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4.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C1E556" w14:textId="33405436" w:rsidR="00BE4918" w:rsidRPr="00A51748" w:rsidRDefault="00BE4918" w:rsidP="006D6DCD">
      <w:pPr>
        <w:rPr>
          <w:rFonts w:cs="Times New Roman"/>
        </w:rPr>
      </w:pPr>
      <w:bookmarkStart w:id="0" w:name="_GoBack"/>
      <w:bookmarkEnd w:id="0"/>
    </w:p>
    <w:p w14:paraId="3CCDCE61" w14:textId="6A43F12C" w:rsidR="00A6197D" w:rsidRPr="00A51748" w:rsidRDefault="007B49FB" w:rsidP="006D6DCD">
      <w:pPr>
        <w:spacing w:after="120"/>
        <w:rPr>
          <w:rFonts w:cs="Times New Roman"/>
          <w:b/>
          <w:szCs w:val="22"/>
        </w:rPr>
      </w:pPr>
      <w:r w:rsidRPr="00A51748">
        <w:rPr>
          <w:rFonts w:cs="Times New Roman"/>
          <w:b/>
          <w:szCs w:val="22"/>
        </w:rPr>
        <w:t>BACK</w:t>
      </w:r>
      <w:r w:rsidR="00A6197D" w:rsidRPr="00A51748">
        <w:rPr>
          <w:rFonts w:cs="Times New Roman"/>
          <w:b/>
          <w:szCs w:val="22"/>
        </w:rPr>
        <w:t xml:space="preserve">GROUND NOTE FOR </w:t>
      </w:r>
      <w:r w:rsidRPr="00A51748">
        <w:rPr>
          <w:rFonts w:cs="Times New Roman"/>
          <w:b/>
          <w:szCs w:val="22"/>
        </w:rPr>
        <w:t xml:space="preserve">THE </w:t>
      </w:r>
      <w:r w:rsidR="00A6197D" w:rsidRPr="00A51748">
        <w:rPr>
          <w:rFonts w:cs="Times New Roman"/>
          <w:b/>
          <w:szCs w:val="22"/>
        </w:rPr>
        <w:t>ABCM THEMATIC WORKSHOP</w:t>
      </w:r>
    </w:p>
    <w:p w14:paraId="29EFAB93" w14:textId="1D8BDC0D" w:rsidR="00A6197D" w:rsidRPr="00A51748" w:rsidRDefault="005D467D" w:rsidP="006D6DCD">
      <w:pPr>
        <w:rPr>
          <w:rFonts w:cs="Times New Roman"/>
          <w:b/>
          <w:bCs/>
        </w:rPr>
      </w:pPr>
      <w:r w:rsidRPr="00A51748">
        <w:rPr>
          <w:rFonts w:cs="Times New Roman"/>
          <w:b/>
          <w:bCs/>
        </w:rPr>
        <w:t xml:space="preserve">1. </w:t>
      </w:r>
      <w:r w:rsidR="002365D8" w:rsidRPr="00A51748">
        <w:rPr>
          <w:rFonts w:cs="Times New Roman"/>
          <w:b/>
          <w:bCs/>
        </w:rPr>
        <w:t>Introduction</w:t>
      </w:r>
    </w:p>
    <w:p w14:paraId="198592CD" w14:textId="77777777" w:rsidR="005D467D" w:rsidRPr="00A51748" w:rsidRDefault="005D467D" w:rsidP="006D6DCD">
      <w:pPr>
        <w:rPr>
          <w:rFonts w:cs="Times New Roman"/>
          <w:b/>
          <w:bCs/>
        </w:rPr>
      </w:pPr>
    </w:p>
    <w:p w14:paraId="5B27917C" w14:textId="3A34FAF2" w:rsidR="00D312D6" w:rsidRPr="00A51748" w:rsidRDefault="005D467D" w:rsidP="006D6DCD">
      <w:pPr>
        <w:rPr>
          <w:rFonts w:cs="Times New Roman"/>
          <w:b/>
        </w:rPr>
      </w:pPr>
      <w:r w:rsidRPr="00A51748">
        <w:rPr>
          <w:rFonts w:cs="Times New Roman"/>
          <w:b/>
          <w:iCs/>
        </w:rPr>
        <w:t xml:space="preserve">2. </w:t>
      </w:r>
      <w:r w:rsidR="00230776" w:rsidRPr="00A51748">
        <w:rPr>
          <w:rFonts w:cs="Times New Roman"/>
          <w:b/>
          <w:iCs/>
        </w:rPr>
        <w:t xml:space="preserve">Brief </w:t>
      </w:r>
      <w:r w:rsidR="00AD5770" w:rsidRPr="00A51748">
        <w:rPr>
          <w:rFonts w:cs="Times New Roman"/>
          <w:b/>
          <w:iCs/>
        </w:rPr>
        <w:t>Explanation</w:t>
      </w:r>
      <w:r w:rsidR="00A6197D" w:rsidRPr="00A51748">
        <w:rPr>
          <w:rFonts w:cs="Times New Roman"/>
          <w:b/>
          <w:iCs/>
        </w:rPr>
        <w:t xml:space="preserve"> on</w:t>
      </w:r>
      <w:r w:rsidR="00230776" w:rsidRPr="00A51748">
        <w:rPr>
          <w:rFonts w:cs="Times New Roman"/>
          <w:b/>
          <w:iCs/>
        </w:rPr>
        <w:t xml:space="preserve"> ABCMs</w:t>
      </w:r>
      <w:r w:rsidR="00D312D6" w:rsidRPr="00A51748">
        <w:rPr>
          <w:rFonts w:cs="Times New Roman"/>
          <w:b/>
          <w:iCs/>
        </w:rPr>
        <w:t>:</w:t>
      </w:r>
    </w:p>
    <w:p w14:paraId="1B6AB907" w14:textId="4A61910F" w:rsidR="00D312D6" w:rsidRPr="00A51748" w:rsidRDefault="00230776" w:rsidP="006D6DCD">
      <w:pPr>
        <w:ind w:firstLine="720"/>
        <w:rPr>
          <w:rFonts w:cs="Times New Roman"/>
          <w:bCs/>
          <w:i/>
        </w:rPr>
      </w:pPr>
      <w:r w:rsidRPr="00A51748">
        <w:rPr>
          <w:rFonts w:cs="Times New Roman"/>
          <w:bCs/>
          <w:i/>
        </w:rPr>
        <w:t>2.1</w:t>
      </w:r>
      <w:r w:rsidR="00D312D6" w:rsidRPr="00A51748">
        <w:rPr>
          <w:rFonts w:cs="Times New Roman"/>
          <w:bCs/>
          <w:i/>
        </w:rPr>
        <w:t xml:space="preserve"> </w:t>
      </w:r>
      <w:r w:rsidR="00A6197D" w:rsidRPr="00A51748">
        <w:rPr>
          <w:rFonts w:cs="Times New Roman"/>
          <w:bCs/>
          <w:i/>
        </w:rPr>
        <w:t xml:space="preserve">What is meant by Area Based Conservation Measures (ABCMs) </w:t>
      </w:r>
    </w:p>
    <w:p w14:paraId="0D18DD97" w14:textId="345D7F2A" w:rsidR="00D312D6" w:rsidRPr="00A51748" w:rsidRDefault="00230776" w:rsidP="006D6DCD">
      <w:pPr>
        <w:ind w:left="720"/>
        <w:rPr>
          <w:rFonts w:cs="Times New Roman"/>
          <w:bCs/>
          <w:i/>
        </w:rPr>
      </w:pPr>
      <w:r w:rsidRPr="00A51748">
        <w:rPr>
          <w:rFonts w:cs="Times New Roman"/>
          <w:bCs/>
          <w:i/>
        </w:rPr>
        <w:t>2.2</w:t>
      </w:r>
      <w:r w:rsidR="00D312D6" w:rsidRPr="00A51748">
        <w:rPr>
          <w:rFonts w:cs="Times New Roman"/>
          <w:bCs/>
          <w:i/>
        </w:rPr>
        <w:t xml:space="preserve"> </w:t>
      </w:r>
      <w:r w:rsidR="007B49FB" w:rsidRPr="00A51748">
        <w:rPr>
          <w:rFonts w:cs="Times New Roman"/>
          <w:bCs/>
          <w:i/>
        </w:rPr>
        <w:t>W</w:t>
      </w:r>
      <w:r w:rsidR="00A6197D" w:rsidRPr="00A51748">
        <w:rPr>
          <w:rFonts w:cs="Times New Roman"/>
          <w:bCs/>
          <w:i/>
        </w:rPr>
        <w:t>hat is the relation between ABCMs</w:t>
      </w:r>
      <w:r w:rsidR="00CE333F" w:rsidRPr="00A51748">
        <w:rPr>
          <w:rFonts w:cs="Times New Roman"/>
          <w:bCs/>
          <w:i/>
        </w:rPr>
        <w:t>,</w:t>
      </w:r>
      <w:r w:rsidR="00A6197D" w:rsidRPr="00A51748">
        <w:rPr>
          <w:rFonts w:cs="Times New Roman"/>
          <w:bCs/>
          <w:i/>
        </w:rPr>
        <w:t xml:space="preserve"> </w:t>
      </w:r>
      <w:r w:rsidR="00CE333F" w:rsidRPr="00A51748">
        <w:rPr>
          <w:rFonts w:cs="Times New Roman"/>
          <w:bCs/>
          <w:i/>
        </w:rPr>
        <w:t>the</w:t>
      </w:r>
      <w:r w:rsidR="00A6197D" w:rsidRPr="00A51748">
        <w:rPr>
          <w:rFonts w:cs="Times New Roman"/>
          <w:bCs/>
          <w:i/>
        </w:rPr>
        <w:t xml:space="preserve"> Post 2020 </w:t>
      </w:r>
      <w:r w:rsidR="007B49FB" w:rsidRPr="00A51748">
        <w:rPr>
          <w:rFonts w:cs="Times New Roman"/>
          <w:bCs/>
          <w:i/>
        </w:rPr>
        <w:t>Global Biodiversity Framework (GBF)</w:t>
      </w:r>
      <w:r w:rsidR="00A6197D" w:rsidRPr="00A51748">
        <w:rPr>
          <w:rFonts w:cs="Times New Roman"/>
          <w:bCs/>
          <w:i/>
        </w:rPr>
        <w:t xml:space="preserve"> and </w:t>
      </w:r>
      <w:r w:rsidR="007B49FB" w:rsidRPr="00A51748">
        <w:rPr>
          <w:rFonts w:cs="Times New Roman"/>
          <w:bCs/>
          <w:i/>
        </w:rPr>
        <w:t>the 2050 V</w:t>
      </w:r>
      <w:r w:rsidR="00A6197D" w:rsidRPr="00A51748">
        <w:rPr>
          <w:rFonts w:cs="Times New Roman"/>
          <w:bCs/>
          <w:i/>
        </w:rPr>
        <w:t xml:space="preserve">ision? </w:t>
      </w:r>
    </w:p>
    <w:p w14:paraId="01E44D0C" w14:textId="77777777" w:rsidR="005D467D" w:rsidRPr="00A51748" w:rsidRDefault="005D467D" w:rsidP="006D6DCD">
      <w:pPr>
        <w:ind w:left="720"/>
        <w:rPr>
          <w:rFonts w:cs="Times New Roman"/>
          <w:bCs/>
          <w:i/>
        </w:rPr>
      </w:pPr>
    </w:p>
    <w:p w14:paraId="07DE7AB4" w14:textId="2A3DF07A" w:rsidR="009E5C65" w:rsidRPr="00A51748" w:rsidRDefault="005D467D" w:rsidP="006D6DCD">
      <w:pPr>
        <w:rPr>
          <w:rFonts w:cs="Times New Roman"/>
          <w:b/>
          <w:iCs/>
        </w:rPr>
      </w:pPr>
      <w:r w:rsidRPr="00A51748">
        <w:rPr>
          <w:rFonts w:cs="Times New Roman"/>
          <w:b/>
          <w:iCs/>
        </w:rPr>
        <w:t xml:space="preserve">3. </w:t>
      </w:r>
      <w:r w:rsidR="009E5C65" w:rsidRPr="00A51748">
        <w:rPr>
          <w:rFonts w:cs="Times New Roman"/>
          <w:b/>
          <w:iCs/>
        </w:rPr>
        <w:t>Area-Based Conservation Targets</w:t>
      </w:r>
    </w:p>
    <w:p w14:paraId="7D15FAAB" w14:textId="425FD8E3" w:rsidR="009E5C65" w:rsidRPr="00A51748" w:rsidRDefault="008239FB" w:rsidP="006D6DCD">
      <w:pPr>
        <w:ind w:firstLine="720"/>
        <w:rPr>
          <w:rFonts w:cs="Times New Roman"/>
          <w:bCs/>
          <w:i/>
        </w:rPr>
      </w:pPr>
      <w:r w:rsidRPr="00A51748">
        <w:rPr>
          <w:rFonts w:cs="Times New Roman"/>
          <w:bCs/>
          <w:i/>
        </w:rPr>
        <w:t>3</w:t>
      </w:r>
      <w:r w:rsidR="009E5C65" w:rsidRPr="00A51748">
        <w:rPr>
          <w:rFonts w:cs="Times New Roman"/>
          <w:bCs/>
          <w:i/>
        </w:rPr>
        <w:t xml:space="preserve">.1 </w:t>
      </w:r>
      <w:r w:rsidR="009F5F04" w:rsidRPr="00A51748">
        <w:rPr>
          <w:rFonts w:cs="Times New Roman"/>
          <w:bCs/>
          <w:i/>
        </w:rPr>
        <w:t>Scope and coverage</w:t>
      </w:r>
    </w:p>
    <w:p w14:paraId="4F3E6390" w14:textId="05714C69" w:rsidR="009E5C65" w:rsidRPr="00A51748" w:rsidRDefault="009E5C65" w:rsidP="006D6DCD">
      <w:pPr>
        <w:rPr>
          <w:rFonts w:eastAsiaTheme="minorHAnsi" w:cs="Times New Roman"/>
          <w:i/>
          <w:szCs w:val="22"/>
        </w:rPr>
      </w:pPr>
      <w:r w:rsidRPr="00A51748">
        <w:rPr>
          <w:rFonts w:eastAsiaTheme="minorHAnsi" w:cs="Times New Roman"/>
          <w:i/>
          <w:szCs w:val="22"/>
        </w:rPr>
        <w:t xml:space="preserve">    </w:t>
      </w:r>
      <w:r w:rsidR="005D467D" w:rsidRPr="00A51748">
        <w:rPr>
          <w:rFonts w:eastAsiaTheme="minorHAnsi" w:cs="Times New Roman"/>
          <w:i/>
          <w:szCs w:val="22"/>
        </w:rPr>
        <w:tab/>
      </w:r>
      <w:r w:rsidR="008239FB" w:rsidRPr="00A51748">
        <w:rPr>
          <w:rFonts w:eastAsiaTheme="minorHAnsi" w:cs="Times New Roman"/>
          <w:i/>
          <w:szCs w:val="22"/>
        </w:rPr>
        <w:t>3</w:t>
      </w:r>
      <w:r w:rsidRPr="00A51748">
        <w:rPr>
          <w:rFonts w:eastAsiaTheme="minorHAnsi" w:cs="Times New Roman"/>
          <w:i/>
          <w:szCs w:val="22"/>
        </w:rPr>
        <w:t>.2 Focus on Area, per se? or Quality and Outcomes?</w:t>
      </w:r>
    </w:p>
    <w:p w14:paraId="15223F28" w14:textId="674E642A" w:rsidR="008239FB" w:rsidRPr="00A51748" w:rsidRDefault="008239FB" w:rsidP="006D6DCD">
      <w:pPr>
        <w:ind w:firstLine="720"/>
        <w:rPr>
          <w:rFonts w:cs="Times New Roman"/>
          <w:bCs/>
          <w:i/>
          <w:szCs w:val="22"/>
        </w:rPr>
      </w:pPr>
      <w:r w:rsidRPr="00A51748">
        <w:rPr>
          <w:rFonts w:cs="Times New Roman"/>
          <w:bCs/>
          <w:i/>
          <w:szCs w:val="22"/>
        </w:rPr>
        <w:t>3.3 Aichi Biodiversity Target 11</w:t>
      </w:r>
      <w:r w:rsidR="009F5F04" w:rsidRPr="00A51748">
        <w:rPr>
          <w:rFonts w:cs="Times New Roman"/>
          <w:bCs/>
          <w:i/>
          <w:szCs w:val="22"/>
        </w:rPr>
        <w:t>: challenges</w:t>
      </w:r>
      <w:r w:rsidRPr="00A51748">
        <w:rPr>
          <w:rFonts w:cs="Times New Roman"/>
          <w:bCs/>
          <w:i/>
          <w:szCs w:val="22"/>
        </w:rPr>
        <w:t xml:space="preserve"> </w:t>
      </w:r>
    </w:p>
    <w:p w14:paraId="4E56A9AA" w14:textId="77777777" w:rsidR="005D467D" w:rsidRPr="00A51748" w:rsidRDefault="005D467D" w:rsidP="006D6DCD">
      <w:pPr>
        <w:rPr>
          <w:rFonts w:cs="Times New Roman"/>
          <w:bCs/>
          <w:iCs/>
        </w:rPr>
      </w:pPr>
    </w:p>
    <w:p w14:paraId="2D1DC130" w14:textId="01A3647C" w:rsidR="00AD5770" w:rsidRPr="00A51748" w:rsidRDefault="005D467D" w:rsidP="006D6DCD">
      <w:pPr>
        <w:rPr>
          <w:rFonts w:cs="Times New Roman"/>
          <w:b/>
          <w:iCs/>
        </w:rPr>
      </w:pPr>
      <w:r w:rsidRPr="00A51748">
        <w:rPr>
          <w:rFonts w:cs="Times New Roman"/>
          <w:b/>
          <w:iCs/>
        </w:rPr>
        <w:t xml:space="preserve">4. </w:t>
      </w:r>
      <w:r w:rsidR="00A6197D" w:rsidRPr="00A51748">
        <w:rPr>
          <w:rFonts w:cs="Times New Roman"/>
          <w:b/>
          <w:iCs/>
        </w:rPr>
        <w:t>Purpose</w:t>
      </w:r>
      <w:r w:rsidR="009F5F04" w:rsidRPr="00A51748">
        <w:rPr>
          <w:rFonts w:cs="Times New Roman"/>
          <w:b/>
          <w:iCs/>
        </w:rPr>
        <w:t xml:space="preserve">, </w:t>
      </w:r>
      <w:r w:rsidR="00A6197D" w:rsidRPr="00A51748">
        <w:rPr>
          <w:rFonts w:cs="Times New Roman"/>
          <w:b/>
          <w:iCs/>
        </w:rPr>
        <w:t xml:space="preserve">expected </w:t>
      </w:r>
      <w:r w:rsidR="00D312D6" w:rsidRPr="00A51748">
        <w:rPr>
          <w:rFonts w:cs="Times New Roman"/>
          <w:b/>
          <w:iCs/>
        </w:rPr>
        <w:t xml:space="preserve">output and </w:t>
      </w:r>
      <w:r w:rsidR="00A6197D" w:rsidRPr="00A51748">
        <w:rPr>
          <w:rFonts w:cs="Times New Roman"/>
          <w:b/>
          <w:iCs/>
        </w:rPr>
        <w:t>outcome</w:t>
      </w:r>
      <w:r w:rsidR="00D312D6" w:rsidRPr="00A51748">
        <w:rPr>
          <w:rFonts w:cs="Times New Roman"/>
          <w:b/>
          <w:iCs/>
        </w:rPr>
        <w:t xml:space="preserve"> from the thematic workshop</w:t>
      </w:r>
    </w:p>
    <w:p w14:paraId="3D7FCE64" w14:textId="77777777" w:rsidR="005D467D" w:rsidRPr="00A51748" w:rsidRDefault="005D467D" w:rsidP="006D6DCD">
      <w:pPr>
        <w:rPr>
          <w:rFonts w:cs="Times New Roman"/>
          <w:b/>
          <w:iCs/>
        </w:rPr>
      </w:pPr>
    </w:p>
    <w:p w14:paraId="156C9879" w14:textId="7C2FA278" w:rsidR="002034AE" w:rsidRPr="00A51748" w:rsidRDefault="005D467D" w:rsidP="006D6DCD">
      <w:pPr>
        <w:rPr>
          <w:rFonts w:cs="Times New Roman"/>
          <w:b/>
          <w:iCs/>
        </w:rPr>
      </w:pPr>
      <w:r w:rsidRPr="00A51748">
        <w:rPr>
          <w:rFonts w:cs="Times New Roman"/>
          <w:b/>
          <w:iCs/>
        </w:rPr>
        <w:t xml:space="preserve">5. </w:t>
      </w:r>
      <w:r w:rsidR="002034AE" w:rsidRPr="00A51748">
        <w:rPr>
          <w:rFonts w:cs="Times New Roman"/>
          <w:b/>
          <w:iCs/>
        </w:rPr>
        <w:t>Some Considerations</w:t>
      </w:r>
    </w:p>
    <w:p w14:paraId="5609FF30" w14:textId="77777777" w:rsidR="005D467D" w:rsidRPr="00A51748" w:rsidRDefault="005D467D" w:rsidP="006D6DCD">
      <w:pPr>
        <w:rPr>
          <w:rFonts w:cs="Times New Roman"/>
          <w:b/>
          <w:szCs w:val="22"/>
        </w:rPr>
      </w:pPr>
    </w:p>
    <w:p w14:paraId="693B8BCE" w14:textId="3BD7C025" w:rsidR="00A6197D" w:rsidRPr="00A51748" w:rsidRDefault="005D467D" w:rsidP="006D6DCD">
      <w:pPr>
        <w:rPr>
          <w:rFonts w:cs="Times New Roman"/>
          <w:b/>
          <w:szCs w:val="22"/>
        </w:rPr>
      </w:pPr>
      <w:r w:rsidRPr="00A51748">
        <w:rPr>
          <w:rFonts w:cs="Times New Roman"/>
          <w:b/>
          <w:szCs w:val="22"/>
        </w:rPr>
        <w:t xml:space="preserve">6. </w:t>
      </w:r>
      <w:r w:rsidR="00A6197D" w:rsidRPr="00A51748">
        <w:rPr>
          <w:rFonts w:cs="Times New Roman"/>
          <w:b/>
          <w:szCs w:val="22"/>
        </w:rPr>
        <w:t>Updated status of Aichi Biodiversity Target 11</w:t>
      </w:r>
    </w:p>
    <w:p w14:paraId="50C98C0C" w14:textId="710BD35F" w:rsidR="00A6197D" w:rsidRPr="00A51748" w:rsidRDefault="007B49FB" w:rsidP="006D6DCD">
      <w:pPr>
        <w:rPr>
          <w:rFonts w:cs="Times New Roman"/>
          <w:i/>
          <w:iCs/>
          <w:szCs w:val="22"/>
        </w:rPr>
      </w:pPr>
      <w:r w:rsidRPr="00A51748">
        <w:rPr>
          <w:rFonts w:cs="Times New Roman"/>
          <w:szCs w:val="22"/>
        </w:rPr>
        <w:t xml:space="preserve"> </w:t>
      </w:r>
      <w:r w:rsidR="005D467D" w:rsidRPr="00A51748">
        <w:rPr>
          <w:rFonts w:cs="Times New Roman"/>
          <w:szCs w:val="22"/>
        </w:rPr>
        <w:tab/>
      </w:r>
      <w:r w:rsidR="002034AE" w:rsidRPr="00A51748">
        <w:rPr>
          <w:rFonts w:cs="Times New Roman"/>
          <w:i/>
          <w:iCs/>
          <w:szCs w:val="22"/>
        </w:rPr>
        <w:t>6</w:t>
      </w:r>
      <w:r w:rsidRPr="00A51748">
        <w:rPr>
          <w:rFonts w:cs="Times New Roman"/>
          <w:i/>
          <w:iCs/>
          <w:szCs w:val="22"/>
        </w:rPr>
        <w:t xml:space="preserve">.1 </w:t>
      </w:r>
      <w:r w:rsidR="009F5F04" w:rsidRPr="00A51748">
        <w:rPr>
          <w:rFonts w:cs="Times New Roman"/>
          <w:i/>
          <w:iCs/>
          <w:szCs w:val="22"/>
        </w:rPr>
        <w:t xml:space="preserve">Target 11 </w:t>
      </w:r>
      <w:r w:rsidR="00A6197D" w:rsidRPr="00A51748">
        <w:rPr>
          <w:rFonts w:cs="Times New Roman"/>
          <w:i/>
          <w:iCs/>
          <w:szCs w:val="22"/>
        </w:rPr>
        <w:t>Background</w:t>
      </w:r>
    </w:p>
    <w:p w14:paraId="146D149A" w14:textId="375CB985" w:rsidR="00A6197D" w:rsidRPr="00A51748" w:rsidRDefault="002365D8" w:rsidP="006D6DCD">
      <w:pPr>
        <w:rPr>
          <w:rFonts w:cs="Times New Roman"/>
          <w:i/>
          <w:iCs/>
          <w:szCs w:val="22"/>
        </w:rPr>
      </w:pPr>
      <w:r w:rsidRPr="00A51748">
        <w:rPr>
          <w:rFonts w:cs="Times New Roman"/>
          <w:i/>
          <w:iCs/>
          <w:szCs w:val="22"/>
        </w:rPr>
        <w:t xml:space="preserve"> </w:t>
      </w:r>
      <w:r w:rsidR="005D467D" w:rsidRPr="00A51748">
        <w:rPr>
          <w:rFonts w:cs="Times New Roman"/>
          <w:i/>
          <w:iCs/>
          <w:szCs w:val="22"/>
        </w:rPr>
        <w:tab/>
      </w:r>
      <w:r w:rsidR="002034AE" w:rsidRPr="00A51748">
        <w:rPr>
          <w:rFonts w:cs="Times New Roman"/>
          <w:i/>
          <w:iCs/>
          <w:szCs w:val="22"/>
        </w:rPr>
        <w:t>6</w:t>
      </w:r>
      <w:r w:rsidR="007B49FB" w:rsidRPr="00A51748">
        <w:rPr>
          <w:rFonts w:cs="Times New Roman"/>
          <w:i/>
          <w:iCs/>
          <w:szCs w:val="22"/>
        </w:rPr>
        <w:t xml:space="preserve">.2 </w:t>
      </w:r>
      <w:r w:rsidR="008E5FC2">
        <w:rPr>
          <w:rFonts w:cs="Times New Roman"/>
          <w:i/>
          <w:iCs/>
          <w:szCs w:val="22"/>
        </w:rPr>
        <w:t>Current status</w:t>
      </w:r>
      <w:r w:rsidR="009F5F04" w:rsidRPr="00A51748">
        <w:rPr>
          <w:rFonts w:cs="Times New Roman"/>
          <w:i/>
          <w:iCs/>
          <w:szCs w:val="22"/>
        </w:rPr>
        <w:t xml:space="preserve"> of Aichi Target 11</w:t>
      </w:r>
    </w:p>
    <w:p w14:paraId="6B1C326B" w14:textId="3FBBCDBC" w:rsidR="00A6197D" w:rsidRPr="00A51748" w:rsidRDefault="005D467D" w:rsidP="006D6DCD">
      <w:pPr>
        <w:ind w:left="720" w:firstLine="720"/>
        <w:rPr>
          <w:rFonts w:cs="Times New Roman"/>
        </w:rPr>
      </w:pPr>
      <w:r w:rsidRPr="00A51748">
        <w:rPr>
          <w:rFonts w:cs="Times New Roman"/>
        </w:rPr>
        <w:t xml:space="preserve">A. </w:t>
      </w:r>
      <w:r w:rsidR="002365D8" w:rsidRPr="00A51748">
        <w:rPr>
          <w:rFonts w:cs="Times New Roman"/>
        </w:rPr>
        <w:t>Q</w:t>
      </w:r>
      <w:r w:rsidR="00A6197D" w:rsidRPr="00A51748">
        <w:rPr>
          <w:rFonts w:cs="Times New Roman"/>
        </w:rPr>
        <w:t xml:space="preserve">uantitative elements </w:t>
      </w:r>
    </w:p>
    <w:p w14:paraId="22D07C5E" w14:textId="27F19EC4" w:rsidR="001C229C" w:rsidRPr="00A51748" w:rsidRDefault="001C229C" w:rsidP="006D6DCD">
      <w:pPr>
        <w:ind w:left="720" w:firstLine="720"/>
        <w:rPr>
          <w:rFonts w:cs="Times New Roman"/>
          <w:i/>
          <w:iCs/>
        </w:rPr>
      </w:pPr>
      <w:r w:rsidRPr="00A51748">
        <w:rPr>
          <w:rFonts w:cs="Times New Roman"/>
        </w:rPr>
        <w:t xml:space="preserve">   </w:t>
      </w:r>
      <w:r w:rsidRPr="00A51748">
        <w:rPr>
          <w:rFonts w:cs="Times New Roman"/>
          <w:i/>
          <w:iCs/>
        </w:rPr>
        <w:t>(i) Terrestrial coverage</w:t>
      </w:r>
    </w:p>
    <w:p w14:paraId="7B649393" w14:textId="0D558CAA" w:rsidR="001C229C" w:rsidRPr="00A51748" w:rsidRDefault="001C229C" w:rsidP="006D6DCD">
      <w:pPr>
        <w:ind w:left="720" w:firstLine="720"/>
        <w:rPr>
          <w:rFonts w:cs="Times New Roman"/>
          <w:i/>
          <w:iCs/>
        </w:rPr>
      </w:pPr>
      <w:r w:rsidRPr="00A51748">
        <w:rPr>
          <w:rFonts w:cs="Times New Roman"/>
          <w:i/>
          <w:iCs/>
        </w:rPr>
        <w:t xml:space="preserve">   (ii) Marine coverage</w:t>
      </w:r>
    </w:p>
    <w:p w14:paraId="26020D22" w14:textId="6269DF26" w:rsidR="001C229C" w:rsidRPr="00A51748" w:rsidRDefault="001C229C" w:rsidP="006D6DCD">
      <w:pPr>
        <w:ind w:left="720" w:firstLine="720"/>
        <w:rPr>
          <w:rFonts w:cs="Times New Roman"/>
          <w:i/>
          <w:iCs/>
        </w:rPr>
      </w:pPr>
      <w:r w:rsidRPr="00A51748">
        <w:rPr>
          <w:rFonts w:cs="Times New Roman"/>
          <w:i/>
          <w:iCs/>
        </w:rPr>
        <w:t xml:space="preserve">   (iii) Protected area commitments</w:t>
      </w:r>
    </w:p>
    <w:p w14:paraId="06579812" w14:textId="12A2A37A" w:rsidR="002365D8" w:rsidRPr="00A51748" w:rsidRDefault="00AD5770" w:rsidP="006D6DCD">
      <w:pPr>
        <w:ind w:left="720" w:firstLine="720"/>
        <w:rPr>
          <w:rFonts w:cs="Times New Roman"/>
          <w:szCs w:val="22"/>
          <w:lang w:val="en-US"/>
        </w:rPr>
      </w:pPr>
      <w:r w:rsidRPr="00A51748">
        <w:rPr>
          <w:rFonts w:cs="Times New Roman"/>
          <w:szCs w:val="22"/>
        </w:rPr>
        <w:t xml:space="preserve">B.  </w:t>
      </w:r>
      <w:r w:rsidR="002365D8" w:rsidRPr="00A51748">
        <w:rPr>
          <w:rFonts w:cs="Times New Roman"/>
          <w:szCs w:val="22"/>
          <w:lang w:val="en-US"/>
        </w:rPr>
        <w:t>Qualitative Elements</w:t>
      </w:r>
    </w:p>
    <w:p w14:paraId="04663DAA" w14:textId="2495EB4E" w:rsidR="001C229C" w:rsidRPr="00A51748" w:rsidRDefault="001C229C" w:rsidP="006D6DCD">
      <w:pPr>
        <w:ind w:left="720" w:firstLine="720"/>
        <w:rPr>
          <w:rFonts w:cs="Times New Roman"/>
          <w:i/>
          <w:iCs/>
          <w:szCs w:val="22"/>
          <w:lang w:val="en-US"/>
        </w:rPr>
      </w:pPr>
      <w:r w:rsidRPr="00A51748">
        <w:rPr>
          <w:rFonts w:cs="Times New Roman"/>
          <w:szCs w:val="22"/>
          <w:lang w:val="en-US"/>
        </w:rPr>
        <w:t xml:space="preserve">   </w:t>
      </w:r>
      <w:r w:rsidRPr="00A51748">
        <w:rPr>
          <w:rFonts w:cs="Times New Roman"/>
          <w:i/>
          <w:iCs/>
          <w:szCs w:val="22"/>
          <w:lang w:val="en-US"/>
        </w:rPr>
        <w:t>(i) Ecological representation</w:t>
      </w:r>
    </w:p>
    <w:p w14:paraId="2670C42A" w14:textId="54BF33D2" w:rsidR="001C229C" w:rsidRPr="00A51748" w:rsidRDefault="001C229C" w:rsidP="006D6DCD">
      <w:pPr>
        <w:ind w:left="720" w:firstLine="720"/>
        <w:rPr>
          <w:rFonts w:cs="Times New Roman"/>
          <w:i/>
          <w:iCs/>
          <w:szCs w:val="22"/>
          <w:lang w:val="en-US"/>
        </w:rPr>
      </w:pPr>
      <w:r w:rsidRPr="00A51748">
        <w:rPr>
          <w:rFonts w:cs="Times New Roman"/>
          <w:i/>
          <w:iCs/>
          <w:szCs w:val="22"/>
          <w:lang w:val="en-US"/>
        </w:rPr>
        <w:t xml:space="preserve">   (ii) Areas important for biodiversity</w:t>
      </w:r>
    </w:p>
    <w:p w14:paraId="4633E1BF" w14:textId="3EEF55E4" w:rsidR="001C229C" w:rsidRPr="00A51748" w:rsidRDefault="001C229C" w:rsidP="006D6DCD">
      <w:pPr>
        <w:ind w:left="720" w:firstLine="720"/>
        <w:rPr>
          <w:rFonts w:cs="Times New Roman"/>
          <w:i/>
          <w:iCs/>
          <w:szCs w:val="22"/>
          <w:lang w:val="en-US"/>
        </w:rPr>
      </w:pPr>
      <w:r w:rsidRPr="00A51748">
        <w:rPr>
          <w:rFonts w:cs="Times New Roman"/>
          <w:i/>
          <w:iCs/>
          <w:szCs w:val="22"/>
          <w:lang w:val="en-US"/>
        </w:rPr>
        <w:t xml:space="preserve">   (iii) Areas important for ecosystem services</w:t>
      </w:r>
    </w:p>
    <w:p w14:paraId="7EBEEEBB" w14:textId="65E7899C" w:rsidR="001C229C" w:rsidRPr="00A51748" w:rsidRDefault="001C229C" w:rsidP="006D6DCD">
      <w:pPr>
        <w:ind w:left="720" w:firstLine="720"/>
        <w:rPr>
          <w:rFonts w:cs="Times New Roman"/>
          <w:i/>
          <w:iCs/>
          <w:szCs w:val="22"/>
          <w:lang w:val="en-US"/>
        </w:rPr>
      </w:pPr>
      <w:r w:rsidRPr="00A51748">
        <w:rPr>
          <w:rFonts w:cs="Times New Roman"/>
          <w:i/>
          <w:iCs/>
          <w:szCs w:val="22"/>
          <w:lang w:val="en-US"/>
        </w:rPr>
        <w:t xml:space="preserve">   (iv) Connectivity</w:t>
      </w:r>
    </w:p>
    <w:p w14:paraId="7E971250" w14:textId="761F6767" w:rsidR="001C229C" w:rsidRPr="00A51748" w:rsidRDefault="001C229C" w:rsidP="006D6DCD">
      <w:pPr>
        <w:ind w:left="720" w:firstLine="720"/>
        <w:rPr>
          <w:rFonts w:cs="Times New Roman"/>
          <w:i/>
          <w:iCs/>
          <w:szCs w:val="22"/>
          <w:lang w:val="en-US"/>
        </w:rPr>
      </w:pPr>
      <w:r w:rsidRPr="00A51748">
        <w:rPr>
          <w:rFonts w:cs="Times New Roman"/>
          <w:i/>
          <w:iCs/>
          <w:szCs w:val="22"/>
          <w:lang w:val="en-US"/>
        </w:rPr>
        <w:t xml:space="preserve">   (v) Effectively managed</w:t>
      </w:r>
    </w:p>
    <w:p w14:paraId="2DCEDE12" w14:textId="2F392FF3" w:rsidR="001C229C" w:rsidRPr="00A51748" w:rsidRDefault="008E5FC2" w:rsidP="006D6DCD">
      <w:pPr>
        <w:ind w:left="720" w:firstLine="720"/>
        <w:rPr>
          <w:rFonts w:cs="Times New Roman"/>
          <w:i/>
          <w:iCs/>
          <w:szCs w:val="22"/>
          <w:lang w:val="en-US"/>
        </w:rPr>
      </w:pPr>
      <w:r>
        <w:rPr>
          <w:rFonts w:cs="Times New Roman"/>
          <w:i/>
          <w:iCs/>
          <w:szCs w:val="22"/>
          <w:lang w:val="en-US"/>
        </w:rPr>
        <w:t xml:space="preserve">   (vi) </w:t>
      </w:r>
      <w:r w:rsidR="001C229C" w:rsidRPr="00A51748">
        <w:rPr>
          <w:rFonts w:cs="Times New Roman"/>
          <w:i/>
          <w:iCs/>
          <w:szCs w:val="22"/>
          <w:lang w:val="en-US"/>
        </w:rPr>
        <w:t>Equitably managed</w:t>
      </w:r>
    </w:p>
    <w:p w14:paraId="021C140F" w14:textId="715D521F" w:rsidR="001C229C" w:rsidRPr="00A51748" w:rsidRDefault="001C229C" w:rsidP="006D6DCD">
      <w:pPr>
        <w:ind w:left="720" w:firstLine="720"/>
        <w:rPr>
          <w:rFonts w:cs="Times New Roman"/>
          <w:i/>
          <w:iCs/>
          <w:szCs w:val="22"/>
          <w:lang w:val="en-US"/>
        </w:rPr>
      </w:pPr>
      <w:r w:rsidRPr="00A51748">
        <w:rPr>
          <w:rFonts w:cs="Times New Roman"/>
          <w:i/>
          <w:iCs/>
          <w:szCs w:val="22"/>
          <w:lang w:val="en-US"/>
        </w:rPr>
        <w:t xml:space="preserve">   (vii) Integration</w:t>
      </w:r>
    </w:p>
    <w:p w14:paraId="45B46C4E" w14:textId="323D92B4" w:rsidR="002365D8" w:rsidRPr="00A51748" w:rsidRDefault="002034AE" w:rsidP="006D6DCD">
      <w:pPr>
        <w:ind w:firstLine="720"/>
        <w:rPr>
          <w:rFonts w:cs="Times New Roman"/>
          <w:i/>
          <w:iCs/>
          <w:szCs w:val="22"/>
        </w:rPr>
      </w:pPr>
      <w:r w:rsidRPr="00A51748">
        <w:rPr>
          <w:rFonts w:cs="Times New Roman"/>
          <w:i/>
          <w:iCs/>
          <w:szCs w:val="22"/>
        </w:rPr>
        <w:t>6</w:t>
      </w:r>
      <w:r w:rsidR="00807990" w:rsidRPr="00A51748">
        <w:rPr>
          <w:rFonts w:cs="Times New Roman"/>
          <w:i/>
          <w:iCs/>
          <w:szCs w:val="22"/>
        </w:rPr>
        <w:t xml:space="preserve">.3 </w:t>
      </w:r>
      <w:r w:rsidR="002365D8" w:rsidRPr="00A51748">
        <w:rPr>
          <w:rFonts w:cs="Times New Roman"/>
          <w:i/>
          <w:iCs/>
          <w:szCs w:val="22"/>
        </w:rPr>
        <w:t>Opportunities for further progress</w:t>
      </w:r>
    </w:p>
    <w:p w14:paraId="66FCB66A" w14:textId="23641C06" w:rsidR="00C430C3" w:rsidRPr="00A51748" w:rsidRDefault="00284A69" w:rsidP="006D6DCD">
      <w:pPr>
        <w:ind w:left="720" w:firstLine="720"/>
        <w:rPr>
          <w:rFonts w:cs="Times New Roman"/>
          <w:szCs w:val="22"/>
        </w:rPr>
      </w:pPr>
      <w:r w:rsidRPr="00A51748">
        <w:rPr>
          <w:rFonts w:cs="Times New Roman"/>
          <w:szCs w:val="22"/>
        </w:rPr>
        <w:t xml:space="preserve">A. </w:t>
      </w:r>
      <w:r w:rsidR="00C430C3" w:rsidRPr="00A51748">
        <w:rPr>
          <w:rFonts w:cs="Times New Roman"/>
          <w:szCs w:val="22"/>
        </w:rPr>
        <w:t>Opportunities from GEF-5 and GEF-6 protected area projects</w:t>
      </w:r>
    </w:p>
    <w:p w14:paraId="6F2E0B7E" w14:textId="1A8A2CC0" w:rsidR="00C430C3" w:rsidRPr="00A51748" w:rsidRDefault="00284A69" w:rsidP="006D6DCD">
      <w:pPr>
        <w:ind w:left="720" w:firstLine="720"/>
        <w:rPr>
          <w:rFonts w:cs="Times New Roman"/>
          <w:szCs w:val="22"/>
        </w:rPr>
      </w:pPr>
      <w:r w:rsidRPr="00A51748">
        <w:rPr>
          <w:rFonts w:cs="Times New Roman"/>
          <w:szCs w:val="22"/>
        </w:rPr>
        <w:t xml:space="preserve">B. </w:t>
      </w:r>
      <w:r w:rsidR="00C430C3" w:rsidRPr="00A51748">
        <w:rPr>
          <w:rFonts w:cs="Times New Roman"/>
          <w:szCs w:val="22"/>
        </w:rPr>
        <w:t>Opportunities from ICCAs</w:t>
      </w:r>
    </w:p>
    <w:p w14:paraId="03546935" w14:textId="6D79FF77" w:rsidR="00D76B11" w:rsidRPr="00A51748" w:rsidRDefault="00284A69" w:rsidP="006D6DCD">
      <w:pPr>
        <w:ind w:left="720" w:firstLine="720"/>
        <w:rPr>
          <w:rFonts w:cs="Times New Roman"/>
          <w:szCs w:val="22"/>
        </w:rPr>
      </w:pPr>
      <w:r w:rsidRPr="00A51748">
        <w:rPr>
          <w:rFonts w:cs="Times New Roman"/>
          <w:szCs w:val="22"/>
        </w:rPr>
        <w:t xml:space="preserve">C. </w:t>
      </w:r>
      <w:r w:rsidR="00C430C3" w:rsidRPr="00A51748">
        <w:rPr>
          <w:rFonts w:cs="Times New Roman"/>
          <w:szCs w:val="22"/>
        </w:rPr>
        <w:t xml:space="preserve">Opportunities from Other Effective Area-based </w:t>
      </w:r>
      <w:r w:rsidR="007B49FB" w:rsidRPr="00A51748">
        <w:rPr>
          <w:rFonts w:cs="Times New Roman"/>
          <w:szCs w:val="22"/>
        </w:rPr>
        <w:t>Conservation M</w:t>
      </w:r>
      <w:r w:rsidR="00C430C3" w:rsidRPr="00A51748">
        <w:rPr>
          <w:rFonts w:cs="Times New Roman"/>
          <w:szCs w:val="22"/>
        </w:rPr>
        <w:t>easures (OECMs)</w:t>
      </w:r>
    </w:p>
    <w:p w14:paraId="087BF6C5" w14:textId="2632FB3C" w:rsidR="00D76B11" w:rsidRPr="00A51748" w:rsidRDefault="002034AE" w:rsidP="006D6DCD">
      <w:pPr>
        <w:ind w:firstLine="720"/>
        <w:rPr>
          <w:rFonts w:cs="Times New Roman"/>
          <w:i/>
          <w:iCs/>
        </w:rPr>
      </w:pPr>
      <w:r w:rsidRPr="00A51748">
        <w:rPr>
          <w:rFonts w:cs="Times New Roman"/>
          <w:i/>
          <w:iCs/>
        </w:rPr>
        <w:t>6</w:t>
      </w:r>
      <w:r w:rsidR="00C10C0C" w:rsidRPr="00A51748">
        <w:rPr>
          <w:rFonts w:cs="Times New Roman"/>
          <w:i/>
          <w:iCs/>
        </w:rPr>
        <w:t xml:space="preserve">.4 </w:t>
      </w:r>
      <w:r w:rsidR="007B49FB" w:rsidRPr="00A51748">
        <w:rPr>
          <w:rFonts w:cs="Times New Roman"/>
          <w:i/>
          <w:iCs/>
        </w:rPr>
        <w:t>Conclusions</w:t>
      </w:r>
    </w:p>
    <w:p w14:paraId="30924B45" w14:textId="77777777" w:rsidR="00AD5770" w:rsidRPr="00A51748" w:rsidRDefault="00AD5770" w:rsidP="006D6DCD">
      <w:pPr>
        <w:rPr>
          <w:rFonts w:cs="Times New Roman"/>
          <w:szCs w:val="22"/>
        </w:rPr>
      </w:pPr>
    </w:p>
    <w:p w14:paraId="767407D6" w14:textId="2A29721C" w:rsidR="00C430C3" w:rsidRPr="00A51748" w:rsidRDefault="002034AE" w:rsidP="006D6DCD">
      <w:pPr>
        <w:rPr>
          <w:rFonts w:cs="Times New Roman"/>
          <w:b/>
          <w:bCs/>
        </w:rPr>
      </w:pPr>
      <w:r w:rsidRPr="00A51748">
        <w:rPr>
          <w:rFonts w:cs="Times New Roman"/>
          <w:b/>
          <w:bCs/>
        </w:rPr>
        <w:t>7</w:t>
      </w:r>
      <w:r w:rsidR="00762DA7" w:rsidRPr="00A51748">
        <w:rPr>
          <w:rFonts w:cs="Times New Roman"/>
          <w:b/>
          <w:bCs/>
        </w:rPr>
        <w:t xml:space="preserve">. </w:t>
      </w:r>
      <w:r w:rsidR="00284A69" w:rsidRPr="00A51748">
        <w:rPr>
          <w:rFonts w:cs="Times New Roman"/>
          <w:b/>
          <w:bCs/>
        </w:rPr>
        <w:t>Types of</w:t>
      </w:r>
      <w:r w:rsidR="000C3973" w:rsidRPr="00A51748">
        <w:rPr>
          <w:rFonts w:cs="Times New Roman"/>
          <w:b/>
          <w:bCs/>
        </w:rPr>
        <w:t xml:space="preserve"> Area-b</w:t>
      </w:r>
      <w:r w:rsidR="00C430C3" w:rsidRPr="00A51748">
        <w:rPr>
          <w:rFonts w:cs="Times New Roman"/>
          <w:b/>
          <w:bCs/>
        </w:rPr>
        <w:t xml:space="preserve">ased Conservation Measures </w:t>
      </w:r>
    </w:p>
    <w:p w14:paraId="130B5319" w14:textId="12C451E0" w:rsidR="009F5F04" w:rsidRPr="00A51748" w:rsidRDefault="009F5F04" w:rsidP="006D6DCD">
      <w:pPr>
        <w:rPr>
          <w:rFonts w:cs="Times New Roman"/>
          <w:i/>
          <w:iCs/>
        </w:rPr>
      </w:pPr>
      <w:r w:rsidRPr="00A51748">
        <w:rPr>
          <w:rFonts w:cs="Times New Roman"/>
          <w:b/>
          <w:bCs/>
        </w:rPr>
        <w:tab/>
      </w:r>
      <w:r w:rsidRPr="00A51748">
        <w:rPr>
          <w:rFonts w:cs="Times New Roman"/>
          <w:i/>
          <w:iCs/>
        </w:rPr>
        <w:t>7.1 ABCM in the terrestrial realm</w:t>
      </w:r>
    </w:p>
    <w:p w14:paraId="1085ABC9" w14:textId="175C1B2A" w:rsidR="009F5F04" w:rsidRPr="00A51748" w:rsidRDefault="009F5F04" w:rsidP="006D6DCD">
      <w:pPr>
        <w:rPr>
          <w:rFonts w:cs="Times New Roman"/>
        </w:rPr>
      </w:pPr>
      <w:r w:rsidRPr="00A51748">
        <w:rPr>
          <w:rFonts w:cs="Times New Roman"/>
          <w:i/>
          <w:iCs/>
        </w:rPr>
        <w:tab/>
      </w:r>
      <w:r w:rsidRPr="00A51748">
        <w:rPr>
          <w:rFonts w:cs="Times New Roman"/>
          <w:i/>
          <w:iCs/>
        </w:rPr>
        <w:tab/>
      </w:r>
      <w:r w:rsidRPr="00A51748">
        <w:rPr>
          <w:rFonts w:cs="Times New Roman"/>
        </w:rPr>
        <w:t>A. OECMs</w:t>
      </w:r>
    </w:p>
    <w:p w14:paraId="438AC9C3" w14:textId="2858CF9A" w:rsidR="009F5F04" w:rsidRPr="00A51748" w:rsidRDefault="009F5F04" w:rsidP="006D6DCD">
      <w:pPr>
        <w:rPr>
          <w:rFonts w:cs="Times New Roman"/>
        </w:rPr>
      </w:pPr>
      <w:r w:rsidRPr="00A51748">
        <w:rPr>
          <w:rFonts w:cs="Times New Roman"/>
        </w:rPr>
        <w:tab/>
      </w:r>
      <w:r w:rsidRPr="00A51748">
        <w:rPr>
          <w:rFonts w:cs="Times New Roman"/>
        </w:rPr>
        <w:tab/>
        <w:t xml:space="preserve">B. Ecological </w:t>
      </w:r>
      <w:r w:rsidR="001C229C" w:rsidRPr="00A51748">
        <w:rPr>
          <w:rFonts w:cs="Times New Roman"/>
        </w:rPr>
        <w:t>corridors</w:t>
      </w:r>
    </w:p>
    <w:p w14:paraId="7220FF84" w14:textId="243008D7" w:rsidR="001C229C" w:rsidRPr="00A51748" w:rsidRDefault="001C229C" w:rsidP="006D6DCD">
      <w:pPr>
        <w:rPr>
          <w:rFonts w:cs="Times New Roman"/>
        </w:rPr>
      </w:pPr>
      <w:r w:rsidRPr="00A51748">
        <w:rPr>
          <w:rFonts w:cs="Times New Roman"/>
        </w:rPr>
        <w:tab/>
      </w:r>
      <w:r w:rsidRPr="00A51748">
        <w:rPr>
          <w:rFonts w:cs="Times New Roman"/>
        </w:rPr>
        <w:tab/>
        <w:t>C. Conservancies</w:t>
      </w:r>
    </w:p>
    <w:p w14:paraId="61CFEBDB" w14:textId="6EE46FF4" w:rsidR="001C229C" w:rsidRPr="00A51748" w:rsidRDefault="001C229C" w:rsidP="006D6DCD">
      <w:pPr>
        <w:rPr>
          <w:rFonts w:cs="Times New Roman"/>
        </w:rPr>
      </w:pPr>
      <w:r w:rsidRPr="00A51748">
        <w:rPr>
          <w:rFonts w:cs="Times New Roman"/>
        </w:rPr>
        <w:tab/>
      </w:r>
      <w:r w:rsidRPr="00A51748">
        <w:rPr>
          <w:rFonts w:cs="Times New Roman"/>
        </w:rPr>
        <w:tab/>
        <w:t>D. Biosphere Reserves</w:t>
      </w:r>
    </w:p>
    <w:p w14:paraId="4CA7D349" w14:textId="6E2C3A49" w:rsidR="001C229C" w:rsidRPr="00A51748" w:rsidRDefault="001C229C" w:rsidP="006D6DCD">
      <w:pPr>
        <w:rPr>
          <w:rFonts w:cs="Times New Roman"/>
        </w:rPr>
      </w:pPr>
      <w:r w:rsidRPr="00A51748">
        <w:rPr>
          <w:rFonts w:cs="Times New Roman"/>
        </w:rPr>
        <w:tab/>
      </w:r>
      <w:r w:rsidRPr="00A51748">
        <w:rPr>
          <w:rFonts w:cs="Times New Roman"/>
        </w:rPr>
        <w:tab/>
        <w:t>E. Privately protected areas</w:t>
      </w:r>
    </w:p>
    <w:p w14:paraId="1AAA35F4" w14:textId="50DD9A85" w:rsidR="001C229C" w:rsidRPr="00A51748" w:rsidRDefault="001C229C" w:rsidP="006D6DCD">
      <w:pPr>
        <w:rPr>
          <w:rFonts w:cs="Times New Roman"/>
          <w:i/>
          <w:iCs/>
        </w:rPr>
      </w:pPr>
      <w:r w:rsidRPr="00A51748">
        <w:rPr>
          <w:rFonts w:cs="Times New Roman"/>
        </w:rPr>
        <w:tab/>
      </w:r>
      <w:r w:rsidRPr="00A51748">
        <w:rPr>
          <w:rFonts w:cs="Times New Roman"/>
          <w:i/>
          <w:iCs/>
        </w:rPr>
        <w:t>7.2 ABCM in the marine realm</w:t>
      </w:r>
    </w:p>
    <w:p w14:paraId="64D321CB" w14:textId="66744B3D" w:rsidR="009F5F04" w:rsidRPr="00A51748" w:rsidRDefault="001C229C" w:rsidP="006D6DCD">
      <w:pPr>
        <w:rPr>
          <w:rFonts w:cs="Times New Roman"/>
        </w:rPr>
      </w:pPr>
      <w:r w:rsidRPr="00A51748">
        <w:rPr>
          <w:rFonts w:cs="Times New Roman"/>
          <w:i/>
          <w:iCs/>
        </w:rPr>
        <w:tab/>
      </w:r>
      <w:r w:rsidRPr="00A51748">
        <w:rPr>
          <w:rFonts w:cs="Times New Roman"/>
          <w:i/>
          <w:iCs/>
        </w:rPr>
        <w:tab/>
      </w:r>
      <w:r w:rsidRPr="00A51748">
        <w:rPr>
          <w:rFonts w:cs="Times New Roman"/>
        </w:rPr>
        <w:t>A. Locally managed marine areas</w:t>
      </w:r>
    </w:p>
    <w:p w14:paraId="16773E20" w14:textId="387D81E6" w:rsidR="001C229C" w:rsidRPr="00A51748" w:rsidRDefault="001C229C" w:rsidP="006D6DCD">
      <w:pPr>
        <w:rPr>
          <w:rFonts w:cs="Times New Roman"/>
        </w:rPr>
      </w:pPr>
      <w:r w:rsidRPr="00A51748">
        <w:rPr>
          <w:rFonts w:cs="Times New Roman"/>
        </w:rPr>
        <w:tab/>
      </w:r>
      <w:r w:rsidRPr="00A51748">
        <w:rPr>
          <w:rFonts w:cs="Times New Roman"/>
        </w:rPr>
        <w:tab/>
        <w:t>B. Marine OECMs</w:t>
      </w:r>
    </w:p>
    <w:p w14:paraId="41ED2EC5" w14:textId="65978A93" w:rsidR="001C229C" w:rsidRPr="00A51748" w:rsidRDefault="001C229C" w:rsidP="006D6DCD">
      <w:pPr>
        <w:rPr>
          <w:rFonts w:cs="Times New Roman"/>
        </w:rPr>
      </w:pPr>
      <w:r w:rsidRPr="00A51748">
        <w:rPr>
          <w:rFonts w:cs="Times New Roman"/>
        </w:rPr>
        <w:tab/>
      </w:r>
      <w:r w:rsidRPr="00A51748">
        <w:rPr>
          <w:rFonts w:cs="Times New Roman"/>
        </w:rPr>
        <w:tab/>
        <w:t>C. Fishery closures</w:t>
      </w:r>
    </w:p>
    <w:p w14:paraId="71902B32" w14:textId="77777777" w:rsidR="00284A69" w:rsidRPr="00A51748" w:rsidRDefault="00284A69" w:rsidP="006D6DCD">
      <w:pPr>
        <w:rPr>
          <w:rFonts w:cs="Times New Roman"/>
          <w:b/>
          <w:bCs/>
          <w:iCs/>
          <w:sz w:val="24"/>
        </w:rPr>
      </w:pPr>
      <w:r w:rsidRPr="00A51748">
        <w:rPr>
          <w:rFonts w:cs="Times New Roman"/>
          <w:sz w:val="24"/>
        </w:rPr>
        <w:br w:type="page"/>
      </w:r>
    </w:p>
    <w:p w14:paraId="2923C466" w14:textId="01C1596C" w:rsidR="00540BA9" w:rsidRPr="00A51748" w:rsidRDefault="00540BA9" w:rsidP="006D6DCD">
      <w:pPr>
        <w:pStyle w:val="Heading1"/>
        <w:spacing w:before="0"/>
        <w:jc w:val="both"/>
      </w:pPr>
      <w:r w:rsidRPr="00A51748">
        <w:lastRenderedPageBreak/>
        <w:t>Introduction</w:t>
      </w:r>
    </w:p>
    <w:p w14:paraId="7B26C201" w14:textId="6F29CF0F" w:rsidR="00B06B18" w:rsidRPr="00A51748" w:rsidRDefault="00B06B18" w:rsidP="006D6DCD">
      <w:pPr>
        <w:pStyle w:val="NormalWeb"/>
        <w:spacing w:before="0" w:beforeAutospacing="0"/>
        <w:jc w:val="both"/>
        <w:rPr>
          <w:rFonts w:ascii="Times New Roman" w:hAnsi="Times New Roman" w:cs="Times New Roman"/>
          <w:color w:val="auto"/>
          <w:sz w:val="22"/>
          <w:szCs w:val="22"/>
        </w:rPr>
      </w:pPr>
      <w:r w:rsidRPr="00A51748">
        <w:rPr>
          <w:rFonts w:ascii="Times New Roman" w:hAnsi="Times New Roman" w:cs="Times New Roman"/>
          <w:color w:val="auto"/>
          <w:sz w:val="22"/>
          <w:szCs w:val="22"/>
        </w:rPr>
        <w:t>The Co-chairs of the Open-ended Working Group on the Post-2020 Global Biodiversity Framework and the Secretariat of the Convention on Biological Diversity (CBD), with the generous financial support by the Government of Norway and the National Geographic Society, are convening a thematic workshop on area-based conservation measures to inform the post-2020 global biodiversity framework in the Greater Montreal area, La Prairie, 1-3 December 2019.</w:t>
      </w:r>
    </w:p>
    <w:p w14:paraId="26A01B9A" w14:textId="1CBADE9D" w:rsidR="006E3B5D" w:rsidRPr="00A51748" w:rsidRDefault="00B06B18" w:rsidP="006D6DCD">
      <w:pPr>
        <w:pStyle w:val="NormalWeb"/>
        <w:spacing w:before="0" w:beforeAutospacing="0"/>
        <w:jc w:val="both"/>
        <w:rPr>
          <w:rFonts w:ascii="Times New Roman" w:hAnsi="Times New Roman" w:cs="Times New Roman"/>
          <w:color w:val="auto"/>
          <w:sz w:val="22"/>
          <w:szCs w:val="22"/>
        </w:rPr>
      </w:pPr>
      <w:r w:rsidRPr="00A51748">
        <w:rPr>
          <w:rFonts w:ascii="Times New Roman" w:hAnsi="Times New Roman" w:cs="Times New Roman"/>
          <w:color w:val="auto"/>
          <w:sz w:val="22"/>
          <w:szCs w:val="22"/>
        </w:rPr>
        <w:t xml:space="preserve">The thematic workshop is intended to facilitate an initial dialogue involving experts nominated by Parties and other stakeholders in order to, </w:t>
      </w:r>
      <w:r w:rsidRPr="00A51748">
        <w:rPr>
          <w:rStyle w:val="Emphasis"/>
          <w:rFonts w:ascii="Times New Roman" w:hAnsi="Times New Roman" w:cs="Times New Roman"/>
          <w:color w:val="auto"/>
          <w:sz w:val="22"/>
          <w:szCs w:val="22"/>
        </w:rPr>
        <w:t>inter alia</w:t>
      </w:r>
      <w:r w:rsidRPr="00A51748">
        <w:rPr>
          <w:rFonts w:ascii="Times New Roman" w:hAnsi="Times New Roman" w:cs="Times New Roman"/>
          <w:color w:val="auto"/>
          <w:sz w:val="22"/>
          <w:szCs w:val="22"/>
        </w:rPr>
        <w:t>, develop suggestions on potential goals, targets</w:t>
      </w:r>
      <w:r w:rsidR="00CE333F" w:rsidRPr="00A51748">
        <w:rPr>
          <w:rFonts w:ascii="Times New Roman" w:hAnsi="Times New Roman" w:cs="Times New Roman"/>
          <w:color w:val="auto"/>
          <w:sz w:val="22"/>
          <w:szCs w:val="22"/>
        </w:rPr>
        <w:t>, sub-targets, as well as</w:t>
      </w:r>
      <w:r w:rsidRPr="00A51748">
        <w:rPr>
          <w:rFonts w:ascii="Times New Roman" w:hAnsi="Times New Roman" w:cs="Times New Roman"/>
          <w:color w:val="auto"/>
          <w:sz w:val="22"/>
          <w:szCs w:val="22"/>
        </w:rPr>
        <w:t xml:space="preserve"> indicators</w:t>
      </w:r>
      <w:r w:rsidR="00CE333F" w:rsidRPr="00A51748">
        <w:rPr>
          <w:rFonts w:ascii="Times New Roman" w:hAnsi="Times New Roman" w:cs="Times New Roman"/>
          <w:color w:val="auto"/>
          <w:sz w:val="22"/>
          <w:szCs w:val="22"/>
        </w:rPr>
        <w:t xml:space="preserve"> and</w:t>
      </w:r>
      <w:r w:rsidRPr="00A51748">
        <w:rPr>
          <w:rFonts w:ascii="Times New Roman" w:hAnsi="Times New Roman" w:cs="Times New Roman"/>
          <w:color w:val="auto"/>
          <w:sz w:val="22"/>
          <w:szCs w:val="22"/>
        </w:rPr>
        <w:t xml:space="preserve"> monitoring tools, for area-based conservation measures for the post-2020 global biodiversity framework, which will be adopted at the</w:t>
      </w:r>
      <w:r w:rsidR="00762DA7" w:rsidRPr="00A51748">
        <w:rPr>
          <w:rFonts w:ascii="Times New Roman" w:hAnsi="Times New Roman" w:cs="Times New Roman"/>
          <w:color w:val="auto"/>
          <w:sz w:val="22"/>
          <w:szCs w:val="22"/>
        </w:rPr>
        <w:t xml:space="preserve"> fifteenth meeting </w:t>
      </w:r>
      <w:r w:rsidRPr="00A51748">
        <w:rPr>
          <w:rFonts w:ascii="Times New Roman" w:hAnsi="Times New Roman" w:cs="Times New Roman"/>
          <w:color w:val="auto"/>
          <w:sz w:val="22"/>
          <w:szCs w:val="22"/>
        </w:rPr>
        <w:t>of the Conference of the Parties (COP 15) to the CBD in Kunming, China, in 2020. The outputs from thi</w:t>
      </w:r>
      <w:r w:rsidR="006D6DCD">
        <w:rPr>
          <w:rFonts w:ascii="Times New Roman" w:hAnsi="Times New Roman" w:cs="Times New Roman"/>
          <w:color w:val="auto"/>
          <w:sz w:val="22"/>
          <w:szCs w:val="22"/>
        </w:rPr>
        <w:t>s workshop will be submitted to</w:t>
      </w:r>
      <w:r w:rsidR="0027617A" w:rsidRPr="00A51748">
        <w:rPr>
          <w:rFonts w:ascii="Times New Roman" w:hAnsi="Times New Roman" w:cs="Times New Roman"/>
          <w:color w:val="auto"/>
          <w:sz w:val="22"/>
          <w:szCs w:val="22"/>
        </w:rPr>
        <w:t xml:space="preserve"> the OEWG Co-chairs and </w:t>
      </w:r>
      <w:r w:rsidRPr="00A51748">
        <w:rPr>
          <w:rFonts w:ascii="Times New Roman" w:hAnsi="Times New Roman" w:cs="Times New Roman"/>
          <w:color w:val="auto"/>
          <w:sz w:val="22"/>
          <w:szCs w:val="22"/>
        </w:rPr>
        <w:t>the second meeting of the Open-ended Working Group for consideration.</w:t>
      </w:r>
    </w:p>
    <w:p w14:paraId="1202FA41" w14:textId="3ADDEB9B" w:rsidR="006E3B5D" w:rsidRPr="00A51748" w:rsidRDefault="00230776" w:rsidP="006D6DCD">
      <w:pPr>
        <w:pStyle w:val="Heading1"/>
        <w:spacing w:before="0"/>
        <w:jc w:val="both"/>
      </w:pPr>
      <w:r w:rsidRPr="00A51748">
        <w:t xml:space="preserve">Brief </w:t>
      </w:r>
      <w:r w:rsidR="005E2541" w:rsidRPr="00A51748">
        <w:t>Explanations</w:t>
      </w:r>
      <w:r w:rsidRPr="00A51748">
        <w:t xml:space="preserve"> on ABCMs</w:t>
      </w:r>
    </w:p>
    <w:p w14:paraId="24E97E88" w14:textId="47C6A74C" w:rsidR="005E2541" w:rsidRPr="00A51748" w:rsidRDefault="00230776" w:rsidP="006D6DCD">
      <w:pPr>
        <w:pStyle w:val="Heading2"/>
        <w:tabs>
          <w:tab w:val="clear" w:pos="720"/>
        </w:tabs>
        <w:spacing w:before="0"/>
        <w:ind w:left="1134" w:hanging="566"/>
        <w:jc w:val="both"/>
        <w:rPr>
          <w:rFonts w:cs="Times New Roman"/>
        </w:rPr>
      </w:pPr>
      <w:r w:rsidRPr="00A51748">
        <w:rPr>
          <w:rFonts w:cs="Times New Roman"/>
        </w:rPr>
        <w:t xml:space="preserve">2.1 </w:t>
      </w:r>
      <w:r w:rsidR="00D312D6" w:rsidRPr="00A51748">
        <w:rPr>
          <w:rFonts w:cs="Times New Roman"/>
        </w:rPr>
        <w:t xml:space="preserve"> </w:t>
      </w:r>
      <w:r w:rsidR="005E2541" w:rsidRPr="00A51748">
        <w:rPr>
          <w:rFonts w:cs="Times New Roman"/>
        </w:rPr>
        <w:t xml:space="preserve"> What is meant by Area-Based Conservation Measures (ABCMs)</w:t>
      </w:r>
    </w:p>
    <w:p w14:paraId="68698993" w14:textId="141EC976" w:rsidR="005E2541" w:rsidRPr="00A51748" w:rsidRDefault="005E2541" w:rsidP="006D6DCD">
      <w:pPr>
        <w:pStyle w:val="Para1"/>
        <w:numPr>
          <w:ilvl w:val="0"/>
          <w:numId w:val="0"/>
        </w:numPr>
        <w:tabs>
          <w:tab w:val="left" w:pos="720"/>
        </w:tabs>
        <w:spacing w:before="0"/>
        <w:rPr>
          <w:rFonts w:cs="Times New Roman"/>
          <w:lang w:val="en-CA"/>
        </w:rPr>
      </w:pPr>
      <w:r w:rsidRPr="00A51748">
        <w:rPr>
          <w:rFonts w:cs="Times New Roman"/>
          <w:lang w:val="en-CA"/>
        </w:rPr>
        <w:tab/>
      </w:r>
      <w:r w:rsidR="0027617A" w:rsidRPr="00A51748">
        <w:rPr>
          <w:rFonts w:cs="Times New Roman"/>
          <w:lang w:val="en-CA"/>
        </w:rPr>
        <w:t xml:space="preserve">Achieving </w:t>
      </w:r>
      <w:r w:rsidRPr="00A51748">
        <w:rPr>
          <w:rFonts w:cs="Times New Roman"/>
          <w:lang w:val="en-CA"/>
        </w:rPr>
        <w:t>the 2050 Vision</w:t>
      </w:r>
      <w:r w:rsidRPr="00A51748">
        <w:rPr>
          <w:rFonts w:cs="Times New Roman"/>
          <w:vertAlign w:val="superscript"/>
          <w:lang w:val="en-CA"/>
        </w:rPr>
        <w:footnoteReference w:id="2"/>
      </w:r>
      <w:r w:rsidRPr="00A51748">
        <w:rPr>
          <w:rFonts w:cs="Times New Roman"/>
          <w:lang w:val="en-CA"/>
        </w:rPr>
        <w:t xml:space="preserve"> will require, among other things, a broad range of area-based conservation measures, covering gradients of human modification and protection levels.</w:t>
      </w:r>
      <w:r w:rsidRPr="00A51748">
        <w:rPr>
          <w:rStyle w:val="FootnoteReference"/>
          <w:rFonts w:cs="Times New Roman"/>
          <w:lang w:val="en-CA"/>
        </w:rPr>
        <w:footnoteReference w:id="3"/>
      </w:r>
      <w:r w:rsidRPr="00A51748">
        <w:rPr>
          <w:rFonts w:cs="Times New Roman"/>
          <w:lang w:val="en-CA"/>
        </w:rPr>
        <w:t xml:space="preserve"> </w:t>
      </w:r>
      <w:r w:rsidRPr="008E5FC2">
        <w:rPr>
          <w:rFonts w:cs="Times New Roman"/>
          <w:lang w:val="en-CA"/>
        </w:rPr>
        <w:t>These include protected areas (PAs) and other</w:t>
      </w:r>
      <w:r w:rsidR="00B321F1" w:rsidRPr="008E5FC2">
        <w:rPr>
          <w:rFonts w:cs="Times New Roman"/>
          <w:lang w:val="en-CA"/>
        </w:rPr>
        <w:t xml:space="preserve"> </w:t>
      </w:r>
      <w:r w:rsidRPr="008E5FC2">
        <w:rPr>
          <w:rFonts w:cs="Times New Roman"/>
          <w:lang w:val="en-CA"/>
        </w:rPr>
        <w:t>effective area-based conservation measures (OECMs) as spelled out in Aichi Biodiversity Target 11</w:t>
      </w:r>
      <w:r w:rsidR="00CE333F" w:rsidRPr="008E5FC2">
        <w:rPr>
          <w:rFonts w:cs="Times New Roman"/>
          <w:lang w:val="en-CA"/>
        </w:rPr>
        <w:t>. They could also include</w:t>
      </w:r>
      <w:r w:rsidRPr="008E5FC2">
        <w:rPr>
          <w:rFonts w:cs="Times New Roman"/>
          <w:lang w:val="en-CA"/>
        </w:rPr>
        <w:t xml:space="preserve"> Ecological Corridors/Areas of Connectivity Conservation,</w:t>
      </w:r>
      <w:r w:rsidRPr="008E5FC2">
        <w:rPr>
          <w:rFonts w:cs="Times New Roman"/>
          <w:vertAlign w:val="superscript"/>
          <w:lang w:val="en-CA"/>
        </w:rPr>
        <w:footnoteReference w:id="4"/>
      </w:r>
      <w:r w:rsidRPr="008E5FC2">
        <w:rPr>
          <w:rFonts w:cs="Times New Roman"/>
          <w:lang w:val="en-CA"/>
        </w:rPr>
        <w:t xml:space="preserve"> High Conservation Value Areas (as protected or conserved in some</w:t>
      </w:r>
      <w:r w:rsidRPr="00A51748">
        <w:rPr>
          <w:rFonts w:cs="Times New Roman"/>
          <w:lang w:val="en-CA"/>
        </w:rPr>
        <w:t xml:space="preserve"> commodity certification schemes), and various governance arrangements for such area-based conservation measures, including territories and areas conserved by indigenous peoples and local communities (ICCAs). Bold </w:t>
      </w:r>
      <w:r w:rsidR="00B321F1" w:rsidRPr="00A51748">
        <w:rPr>
          <w:rFonts w:cs="Times New Roman"/>
          <w:lang w:val="en-CA"/>
        </w:rPr>
        <w:t xml:space="preserve">and </w:t>
      </w:r>
      <w:r w:rsidRPr="00A51748">
        <w:rPr>
          <w:rFonts w:cs="Times New Roman"/>
          <w:lang w:val="en-CA"/>
        </w:rPr>
        <w:t xml:space="preserve">ambitious conservation targets </w:t>
      </w:r>
      <w:r w:rsidR="005D42D0" w:rsidRPr="00A51748">
        <w:rPr>
          <w:rFonts w:cs="Times New Roman"/>
          <w:lang w:val="en-CA"/>
        </w:rPr>
        <w:t xml:space="preserve">will likely </w:t>
      </w:r>
      <w:r w:rsidRPr="00A51748">
        <w:rPr>
          <w:rFonts w:cs="Times New Roman"/>
          <w:lang w:val="en-CA"/>
        </w:rPr>
        <w:t xml:space="preserve">help to stimulate expansion of </w:t>
      </w:r>
      <w:r w:rsidR="00264426" w:rsidRPr="00A51748">
        <w:rPr>
          <w:rFonts w:cs="Times New Roman"/>
          <w:lang w:val="en-CA"/>
        </w:rPr>
        <w:t>area</w:t>
      </w:r>
      <w:r w:rsidR="005D42D0" w:rsidRPr="00A51748">
        <w:rPr>
          <w:rFonts w:cs="Times New Roman"/>
          <w:lang w:val="en-CA"/>
        </w:rPr>
        <w:t>-based conservation measures, and effor</w:t>
      </w:r>
      <w:r w:rsidR="0075144C" w:rsidRPr="00A51748">
        <w:rPr>
          <w:rFonts w:cs="Times New Roman"/>
          <w:lang w:val="en-CA"/>
        </w:rPr>
        <w:t xml:space="preserve">t will be needed to </w:t>
      </w:r>
      <w:r w:rsidR="00264426" w:rsidRPr="00A51748">
        <w:rPr>
          <w:rFonts w:cs="Times New Roman"/>
          <w:lang w:val="en-CA"/>
        </w:rPr>
        <w:t>further enhance the effectiveness of such measures</w:t>
      </w:r>
      <w:r w:rsidRPr="00A51748">
        <w:rPr>
          <w:rFonts w:cs="Times New Roman"/>
          <w:lang w:val="en-CA"/>
        </w:rPr>
        <w:t xml:space="preserve">. These could be placed within the context of calls for broader global retention targets </w:t>
      </w:r>
      <w:r w:rsidR="0075144C" w:rsidRPr="00A51748">
        <w:rPr>
          <w:rFonts w:cs="Times New Roman"/>
          <w:lang w:val="en-CA"/>
        </w:rPr>
        <w:t xml:space="preserve">aimed at achieving </w:t>
      </w:r>
      <w:r w:rsidRPr="00A51748">
        <w:rPr>
          <w:rFonts w:cs="Times New Roman"/>
          <w:lang w:val="en-CA"/>
        </w:rPr>
        <w:t>multiple goals of nature conservation</w:t>
      </w:r>
      <w:r w:rsidR="0075144C" w:rsidRPr="00A51748">
        <w:rPr>
          <w:rFonts w:cs="Times New Roman"/>
          <w:lang w:val="en-CA"/>
        </w:rPr>
        <w:t xml:space="preserve"> as well as those for </w:t>
      </w:r>
      <w:r w:rsidR="0027617A" w:rsidRPr="00A51748">
        <w:rPr>
          <w:rFonts w:cs="Times New Roman"/>
          <w:lang w:val="en-CA"/>
        </w:rPr>
        <w:t xml:space="preserve">sustainable use, </w:t>
      </w:r>
      <w:r w:rsidR="0075144C" w:rsidRPr="00A51748">
        <w:rPr>
          <w:rFonts w:cs="Times New Roman"/>
          <w:lang w:val="en-CA"/>
        </w:rPr>
        <w:t>mitigating and adapting to climate change and supporting the improvement of</w:t>
      </w:r>
      <w:r w:rsidRPr="00A51748">
        <w:rPr>
          <w:rFonts w:cs="Times New Roman"/>
          <w:lang w:val="en-CA"/>
        </w:rPr>
        <w:t xml:space="preserve"> human well-being</w:t>
      </w:r>
      <w:r w:rsidR="00F71113" w:rsidRPr="00A51748">
        <w:rPr>
          <w:rFonts w:cs="Times New Roman"/>
          <w:lang w:val="en-CA"/>
        </w:rPr>
        <w:t xml:space="preserve">, as part of the global </w:t>
      </w:r>
      <w:r w:rsidR="0027617A" w:rsidRPr="00A51748">
        <w:rPr>
          <w:rFonts w:cs="Times New Roman"/>
          <w:lang w:val="en-CA"/>
        </w:rPr>
        <w:t xml:space="preserve">biodiversity </w:t>
      </w:r>
      <w:r w:rsidR="00F71113" w:rsidRPr="00A51748">
        <w:rPr>
          <w:rFonts w:cs="Times New Roman"/>
          <w:lang w:val="en-CA"/>
        </w:rPr>
        <w:t>agenda</w:t>
      </w:r>
      <w:r w:rsidRPr="00A51748">
        <w:rPr>
          <w:rFonts w:cs="Times New Roman"/>
          <w:lang w:val="en-CA"/>
        </w:rPr>
        <w:t>.</w:t>
      </w:r>
      <w:r w:rsidRPr="00A51748">
        <w:rPr>
          <w:rStyle w:val="FootnoteReference"/>
          <w:rFonts w:cs="Times New Roman"/>
          <w:lang w:val="en-CA"/>
        </w:rPr>
        <w:footnoteReference w:id="5"/>
      </w:r>
    </w:p>
    <w:p w14:paraId="4F066B98" w14:textId="5B2BF1C3" w:rsidR="005323A4" w:rsidRPr="00A51748" w:rsidRDefault="00262923" w:rsidP="006D6DCD">
      <w:pPr>
        <w:pStyle w:val="Heading2"/>
        <w:spacing w:before="0"/>
        <w:jc w:val="both"/>
        <w:rPr>
          <w:rFonts w:cs="Times New Roman"/>
        </w:rPr>
      </w:pPr>
      <w:r w:rsidRPr="00A51748">
        <w:rPr>
          <w:rFonts w:cs="Times New Roman"/>
          <w:lang w:val="en-CA"/>
        </w:rPr>
        <w:tab/>
      </w:r>
      <w:r w:rsidR="00081AA2" w:rsidRPr="00A51748">
        <w:rPr>
          <w:rFonts w:cs="Times New Roman"/>
          <w:lang w:val="en-CA"/>
        </w:rPr>
        <w:t xml:space="preserve"> </w:t>
      </w:r>
      <w:r w:rsidR="00230776" w:rsidRPr="00A51748">
        <w:rPr>
          <w:rFonts w:cs="Times New Roman"/>
        </w:rPr>
        <w:t xml:space="preserve">2.2   </w:t>
      </w:r>
      <w:r w:rsidR="005323A4" w:rsidRPr="00A51748">
        <w:rPr>
          <w:rFonts w:cs="Times New Roman"/>
        </w:rPr>
        <w:t>What is the relation between ABCMs</w:t>
      </w:r>
      <w:r w:rsidR="0075144C" w:rsidRPr="00A51748">
        <w:rPr>
          <w:rFonts w:cs="Times New Roman"/>
        </w:rPr>
        <w:t>, the</w:t>
      </w:r>
      <w:r w:rsidR="00540BA9" w:rsidRPr="00A51748">
        <w:rPr>
          <w:rFonts w:cs="Times New Roman"/>
        </w:rPr>
        <w:t xml:space="preserve"> Post-2020 Global Biodiversity Framework</w:t>
      </w:r>
      <w:r w:rsidR="00522CFA" w:rsidRPr="00A51748">
        <w:rPr>
          <w:rFonts w:cs="Times New Roman"/>
        </w:rPr>
        <w:t xml:space="preserve"> </w:t>
      </w:r>
      <w:r w:rsidR="005323A4" w:rsidRPr="00A51748">
        <w:rPr>
          <w:rFonts w:cs="Times New Roman"/>
        </w:rPr>
        <w:t xml:space="preserve">and </w:t>
      </w:r>
      <w:r w:rsidR="00D312D6" w:rsidRPr="00A51748">
        <w:rPr>
          <w:rFonts w:cs="Times New Roman"/>
        </w:rPr>
        <w:t xml:space="preserve">the </w:t>
      </w:r>
      <w:r w:rsidR="005323A4" w:rsidRPr="00A51748">
        <w:rPr>
          <w:rFonts w:cs="Times New Roman"/>
        </w:rPr>
        <w:t xml:space="preserve">2050 </w:t>
      </w:r>
      <w:r w:rsidR="000170AE" w:rsidRPr="00A51748">
        <w:rPr>
          <w:rFonts w:cs="Times New Roman"/>
        </w:rPr>
        <w:t>V</w:t>
      </w:r>
      <w:r w:rsidR="005323A4" w:rsidRPr="00A51748">
        <w:rPr>
          <w:rFonts w:cs="Times New Roman"/>
        </w:rPr>
        <w:t>ision?</w:t>
      </w:r>
    </w:p>
    <w:p w14:paraId="5D13590F" w14:textId="37B45B1C" w:rsidR="00FA502E" w:rsidRPr="00A51748" w:rsidRDefault="005323A4" w:rsidP="006D6DCD">
      <w:pPr>
        <w:autoSpaceDE w:val="0"/>
        <w:autoSpaceDN w:val="0"/>
        <w:adjustRightInd w:val="0"/>
        <w:ind w:firstLine="709"/>
        <w:rPr>
          <w:rFonts w:cs="Times New Roman"/>
          <w:szCs w:val="22"/>
          <w:lang w:val="en-CA" w:eastAsia="en-GB"/>
        </w:rPr>
      </w:pPr>
      <w:r w:rsidRPr="00A51748">
        <w:rPr>
          <w:rFonts w:cs="Times New Roman"/>
          <w:szCs w:val="22"/>
          <w:lang w:val="en-CA" w:eastAsia="en-GB"/>
        </w:rPr>
        <w:t xml:space="preserve">The world is facing a global biodiversity crisis. Extinction rates are estimated to be </w:t>
      </w:r>
      <w:r w:rsidR="00081AA2" w:rsidRPr="00A51748">
        <w:rPr>
          <w:rFonts w:cs="Times New Roman"/>
          <w:szCs w:val="22"/>
          <w:lang w:val="en-CA" w:eastAsia="en-GB"/>
        </w:rPr>
        <w:t>100-</w:t>
      </w:r>
      <w:r w:rsidRPr="00A51748">
        <w:rPr>
          <w:rFonts w:cs="Times New Roman"/>
          <w:szCs w:val="22"/>
          <w:lang w:val="en-CA" w:eastAsia="en-GB"/>
        </w:rPr>
        <w:t xml:space="preserve">1,000 times the </w:t>
      </w:r>
      <w:r w:rsidR="00F71113" w:rsidRPr="00A51748">
        <w:rPr>
          <w:rFonts w:cs="Times New Roman"/>
          <w:szCs w:val="22"/>
          <w:lang w:val="en-CA" w:eastAsia="en-GB"/>
        </w:rPr>
        <w:t xml:space="preserve">pre-human or </w:t>
      </w:r>
      <w:r w:rsidRPr="00A51748">
        <w:rPr>
          <w:rFonts w:cs="Times New Roman"/>
          <w:szCs w:val="22"/>
          <w:lang w:val="en-CA" w:eastAsia="en-GB"/>
        </w:rPr>
        <w:t>background</w:t>
      </w:r>
      <w:r w:rsidR="00F71113" w:rsidRPr="00A51748">
        <w:rPr>
          <w:rFonts w:cs="Times New Roman"/>
          <w:szCs w:val="22"/>
          <w:lang w:val="en-CA" w:eastAsia="en-GB"/>
        </w:rPr>
        <w:t xml:space="preserve"> extinction levels</w:t>
      </w:r>
      <w:r w:rsidR="007A5EB3" w:rsidRPr="00A51748">
        <w:rPr>
          <w:rFonts w:cs="Times New Roman"/>
          <w:szCs w:val="22"/>
          <w:lang w:val="en-CA" w:eastAsia="en-GB"/>
        </w:rPr>
        <w:t xml:space="preserve">, </w:t>
      </w:r>
      <w:r w:rsidRPr="00A51748">
        <w:rPr>
          <w:rFonts w:cs="Times New Roman"/>
          <w:szCs w:val="22"/>
          <w:lang w:val="en-CA" w:eastAsia="en-GB"/>
        </w:rPr>
        <w:t>and future rates could be 10,000 times higher</w:t>
      </w:r>
      <w:r w:rsidR="00F71113" w:rsidRPr="00A51748">
        <w:rPr>
          <w:rStyle w:val="FootnoteReference"/>
          <w:rFonts w:cs="Times New Roman"/>
          <w:szCs w:val="22"/>
          <w:lang w:val="en-CA" w:eastAsia="en-GB"/>
        </w:rPr>
        <w:footnoteReference w:id="6"/>
      </w:r>
      <w:r w:rsidRPr="00A51748">
        <w:rPr>
          <w:rFonts w:cs="Times New Roman"/>
          <w:szCs w:val="22"/>
          <w:lang w:val="en-CA" w:eastAsia="en-GB"/>
        </w:rPr>
        <w:t>. The Intergovernmental Science</w:t>
      </w:r>
      <w:r w:rsidR="00AC5370" w:rsidRPr="00A51748">
        <w:rPr>
          <w:rFonts w:cs="Times New Roman"/>
          <w:szCs w:val="22"/>
          <w:lang w:val="en-CA" w:eastAsia="en-GB"/>
        </w:rPr>
        <w:t xml:space="preserve"> </w:t>
      </w:r>
      <w:r w:rsidRPr="00A51748">
        <w:rPr>
          <w:rFonts w:cs="Times New Roman"/>
          <w:szCs w:val="22"/>
          <w:lang w:val="en-CA" w:eastAsia="en-GB"/>
        </w:rPr>
        <w:t>Policy Platform on Biodiversity and Ecosystem Services</w:t>
      </w:r>
      <w:r w:rsidR="00AC5370" w:rsidRPr="00A51748">
        <w:rPr>
          <w:rFonts w:cs="Times New Roman"/>
          <w:szCs w:val="22"/>
          <w:lang w:val="en-CA" w:eastAsia="en-GB"/>
        </w:rPr>
        <w:t xml:space="preserve"> global assessment of biodiversity and ecosystem</w:t>
      </w:r>
      <w:r w:rsidR="001E7BC5" w:rsidRPr="00A51748">
        <w:rPr>
          <w:rFonts w:cs="Times New Roman"/>
          <w:sz w:val="18"/>
          <w:szCs w:val="22"/>
          <w:vertAlign w:val="superscript"/>
          <w:lang w:val="en-CA" w:eastAsia="en-GB"/>
        </w:rPr>
        <w:t xml:space="preserve"> </w:t>
      </w:r>
      <w:r w:rsidR="001E7BC5" w:rsidRPr="00A51748">
        <w:rPr>
          <w:rFonts w:cs="Times New Roman"/>
          <w:sz w:val="18"/>
          <w:szCs w:val="22"/>
          <w:vertAlign w:val="superscript"/>
          <w:lang w:val="en-CA" w:eastAsia="en-GB"/>
        </w:rPr>
        <w:footnoteReference w:id="7"/>
      </w:r>
      <w:r w:rsidRPr="00A51748">
        <w:rPr>
          <w:rFonts w:cs="Times New Roman"/>
          <w:szCs w:val="22"/>
          <w:lang w:val="en-CA" w:eastAsia="en-GB"/>
        </w:rPr>
        <w:t xml:space="preserve"> reports that 75 per cent of the Earth’s land</w:t>
      </w:r>
      <w:r w:rsidR="000B41E2" w:rsidRPr="00A51748">
        <w:rPr>
          <w:rFonts w:cs="Times New Roman"/>
          <w:szCs w:val="22"/>
          <w:lang w:val="en-CA" w:eastAsia="en-GB"/>
        </w:rPr>
        <w:t xml:space="preserve"> </w:t>
      </w:r>
      <w:r w:rsidRPr="00A51748">
        <w:rPr>
          <w:rFonts w:cs="Times New Roman"/>
          <w:szCs w:val="22"/>
          <w:lang w:val="en-CA" w:eastAsia="en-GB"/>
        </w:rPr>
        <w:t xml:space="preserve">surface is significantly altered, 66 </w:t>
      </w:r>
      <w:r w:rsidRPr="00A51748">
        <w:rPr>
          <w:rFonts w:cs="Times New Roman"/>
          <w:szCs w:val="22"/>
          <w:lang w:val="en-CA" w:eastAsia="en-GB"/>
        </w:rPr>
        <w:lastRenderedPageBreak/>
        <w:t>per cent of the ocean area is experiencing increasing cumulative impacts, and</w:t>
      </w:r>
      <w:r w:rsidR="000B41E2" w:rsidRPr="00A51748">
        <w:rPr>
          <w:rFonts w:cs="Times New Roman"/>
          <w:szCs w:val="22"/>
          <w:lang w:val="en-CA" w:eastAsia="en-GB"/>
        </w:rPr>
        <w:t xml:space="preserve"> </w:t>
      </w:r>
      <w:r w:rsidRPr="00A51748">
        <w:rPr>
          <w:rFonts w:cs="Times New Roman"/>
          <w:szCs w:val="22"/>
          <w:lang w:val="en-CA" w:eastAsia="en-GB"/>
        </w:rPr>
        <w:t xml:space="preserve">over 85 per cent of wetlands (by area) have been </w:t>
      </w:r>
      <w:r w:rsidR="00AC5370" w:rsidRPr="00A51748">
        <w:rPr>
          <w:rFonts w:cs="Times New Roman"/>
          <w:szCs w:val="22"/>
          <w:lang w:val="en-CA" w:eastAsia="en-GB"/>
        </w:rPr>
        <w:t>converted</w:t>
      </w:r>
      <w:r w:rsidRPr="00A51748">
        <w:rPr>
          <w:rFonts w:cs="Times New Roman"/>
          <w:szCs w:val="22"/>
          <w:lang w:val="en-CA" w:eastAsia="en-GB"/>
        </w:rPr>
        <w:t>. On average, population sizes of wild vertebrate species have declined precipitously over the last 50 years on land, in fresh water and in the sea, and around 25 per cent of species in assessed animal and plant groups are threatened.</w:t>
      </w:r>
      <w:r w:rsidR="006D6DCD">
        <w:rPr>
          <w:rStyle w:val="FootnoteReference"/>
          <w:rFonts w:cs="Times New Roman"/>
          <w:szCs w:val="22"/>
          <w:lang w:val="en-CA" w:eastAsia="en-GB"/>
        </w:rPr>
        <w:footnoteReference w:id="8"/>
      </w:r>
      <w:r w:rsidR="00AC5370" w:rsidRPr="00A51748">
        <w:rPr>
          <w:rFonts w:cs="Times New Roman"/>
          <w:szCs w:val="22"/>
          <w:lang w:val="en-CA" w:eastAsia="en-GB"/>
        </w:rPr>
        <w:t xml:space="preserve"> The authors also indicate that</w:t>
      </w:r>
      <w:r w:rsidRPr="00A51748">
        <w:rPr>
          <w:rFonts w:cs="Times New Roman"/>
          <w:szCs w:val="22"/>
          <w:lang w:val="en-CA" w:eastAsia="en-GB"/>
        </w:rPr>
        <w:t xml:space="preserve"> </w:t>
      </w:r>
      <w:r w:rsidR="00AC5370" w:rsidRPr="00A51748">
        <w:rPr>
          <w:rFonts w:cs="Times New Roman"/>
          <w:szCs w:val="22"/>
          <w:lang w:val="en-CA" w:eastAsia="en-GB"/>
        </w:rPr>
        <w:t>t</w:t>
      </w:r>
      <w:r w:rsidRPr="00A51748">
        <w:rPr>
          <w:rFonts w:cs="Times New Roman"/>
          <w:szCs w:val="22"/>
          <w:lang w:val="en-CA" w:eastAsia="en-GB"/>
        </w:rPr>
        <w:t>he most significant direct drivers of biodiversity loss are habitat loss</w:t>
      </w:r>
      <w:r w:rsidR="00AC5370" w:rsidRPr="00A51748">
        <w:rPr>
          <w:rFonts w:cs="Times New Roman"/>
          <w:szCs w:val="22"/>
          <w:lang w:val="en-CA" w:eastAsia="en-GB"/>
        </w:rPr>
        <w:t xml:space="preserve">, </w:t>
      </w:r>
      <w:r w:rsidRPr="00A51748">
        <w:rPr>
          <w:rFonts w:cs="Times New Roman"/>
          <w:szCs w:val="22"/>
          <w:lang w:val="en-CA" w:eastAsia="en-GB"/>
        </w:rPr>
        <w:t xml:space="preserve">fragmentation (changes in land and sea use) and over-exploitation. </w:t>
      </w:r>
      <w:r w:rsidR="0075144C" w:rsidRPr="00A51748">
        <w:rPr>
          <w:rFonts w:cs="Times New Roman"/>
          <w:szCs w:val="22"/>
          <w:lang w:val="en-CA" w:eastAsia="en-GB"/>
        </w:rPr>
        <w:t>Other drivers, like</w:t>
      </w:r>
      <w:r w:rsidRPr="00A51748">
        <w:rPr>
          <w:rFonts w:cs="Times New Roman"/>
          <w:szCs w:val="22"/>
          <w:lang w:val="en-CA" w:eastAsia="en-GB"/>
        </w:rPr>
        <w:t xml:space="preserve"> climate change, invasive alien species, disease and pollution are also important.</w:t>
      </w:r>
    </w:p>
    <w:p w14:paraId="016F6785" w14:textId="77777777" w:rsidR="00FA502E" w:rsidRPr="00A51748" w:rsidRDefault="00FA502E" w:rsidP="006D6DCD">
      <w:pPr>
        <w:autoSpaceDE w:val="0"/>
        <w:autoSpaceDN w:val="0"/>
        <w:adjustRightInd w:val="0"/>
        <w:rPr>
          <w:rFonts w:cs="Times New Roman"/>
          <w:szCs w:val="22"/>
          <w:lang w:val="en-CA" w:eastAsia="en-GB"/>
        </w:rPr>
      </w:pPr>
    </w:p>
    <w:p w14:paraId="01375E73" w14:textId="334702CA" w:rsidR="005323A4" w:rsidRPr="00A51748" w:rsidRDefault="00000D7F" w:rsidP="006D6DCD">
      <w:pPr>
        <w:autoSpaceDE w:val="0"/>
        <w:autoSpaceDN w:val="0"/>
        <w:adjustRightInd w:val="0"/>
        <w:rPr>
          <w:rFonts w:cs="Times New Roman"/>
          <w:szCs w:val="22"/>
          <w:lang w:val="en-CA" w:eastAsia="en-GB"/>
        </w:rPr>
      </w:pPr>
      <w:r w:rsidRPr="00A51748">
        <w:rPr>
          <w:rFonts w:cs="Times New Roman"/>
          <w:szCs w:val="22"/>
          <w:lang w:val="en-CA" w:eastAsia="en-GB"/>
        </w:rPr>
        <w:tab/>
      </w:r>
      <w:r w:rsidR="005323A4" w:rsidRPr="00A51748">
        <w:rPr>
          <w:rFonts w:cs="Times New Roman"/>
          <w:szCs w:val="22"/>
          <w:lang w:val="en-CA" w:eastAsia="en-GB"/>
        </w:rPr>
        <w:t>Many of these drivers of biodiversity loss can be managed through area-based conservation</w:t>
      </w:r>
      <w:r w:rsidR="00AC5370" w:rsidRPr="00A51748">
        <w:rPr>
          <w:rFonts w:cs="Times New Roman"/>
          <w:szCs w:val="22"/>
          <w:lang w:val="en-CA" w:eastAsia="en-GB"/>
        </w:rPr>
        <w:t xml:space="preserve"> measures</w:t>
      </w:r>
      <w:r w:rsidR="005323A4" w:rsidRPr="00A51748">
        <w:rPr>
          <w:rFonts w:cs="Times New Roman"/>
          <w:szCs w:val="22"/>
          <w:lang w:val="en-CA" w:eastAsia="en-GB"/>
        </w:rPr>
        <w:t xml:space="preserve">, with protected areas and ‘other effective area-based conservation </w:t>
      </w:r>
      <w:r w:rsidR="00AC5370" w:rsidRPr="00A51748">
        <w:rPr>
          <w:rFonts w:cs="Times New Roman"/>
          <w:szCs w:val="22"/>
          <w:lang w:val="en-CA" w:eastAsia="en-GB"/>
        </w:rPr>
        <w:t xml:space="preserve">measures’ </w:t>
      </w:r>
      <w:r w:rsidR="005323A4" w:rsidRPr="00A51748">
        <w:rPr>
          <w:rFonts w:cs="Times New Roman"/>
          <w:szCs w:val="22"/>
          <w:lang w:val="en-CA" w:eastAsia="en-GB"/>
        </w:rPr>
        <w:t xml:space="preserve">(CBD, 2018)) being the backbone of area-based conservation. </w:t>
      </w:r>
      <w:r w:rsidR="0009764C" w:rsidRPr="00A51748">
        <w:rPr>
          <w:rFonts w:cs="Times New Roman"/>
          <w:szCs w:val="22"/>
          <w:lang w:val="en-CA" w:eastAsia="en-GB"/>
        </w:rPr>
        <w:t>However, area</w:t>
      </w:r>
      <w:r w:rsidR="005323A4" w:rsidRPr="00A51748">
        <w:rPr>
          <w:rFonts w:cs="Times New Roman"/>
          <w:szCs w:val="22"/>
          <w:lang w:val="en-CA" w:eastAsia="en-GB"/>
        </w:rPr>
        <w:t xml:space="preserve">-based conservation </w:t>
      </w:r>
      <w:r w:rsidR="00096AF8" w:rsidRPr="00A51748">
        <w:rPr>
          <w:rFonts w:cs="Times New Roman"/>
          <w:szCs w:val="22"/>
          <w:lang w:val="en-CA" w:eastAsia="en-GB"/>
        </w:rPr>
        <w:t xml:space="preserve">measures </w:t>
      </w:r>
      <w:r w:rsidR="005323A4" w:rsidRPr="00A51748">
        <w:rPr>
          <w:rFonts w:cs="Times New Roman"/>
          <w:szCs w:val="22"/>
          <w:lang w:val="en-CA" w:eastAsia="en-GB"/>
        </w:rPr>
        <w:t>may be less effective for addressing some drivers, including widespread pollution, disease and invasive species.</w:t>
      </w:r>
    </w:p>
    <w:p w14:paraId="63BDD9B5" w14:textId="0497C0B8" w:rsidR="000B41E2" w:rsidRPr="00A51748" w:rsidRDefault="000B41E2" w:rsidP="006D6DCD">
      <w:pPr>
        <w:autoSpaceDE w:val="0"/>
        <w:autoSpaceDN w:val="0"/>
        <w:adjustRightInd w:val="0"/>
        <w:rPr>
          <w:rFonts w:cs="Times New Roman"/>
          <w:szCs w:val="22"/>
          <w:lang w:val="en-CA" w:eastAsia="en-GB"/>
        </w:rPr>
      </w:pPr>
    </w:p>
    <w:p w14:paraId="4CA9B15B" w14:textId="4CD068C0" w:rsidR="00447E9A" w:rsidRPr="00A51748" w:rsidRDefault="00FA502E" w:rsidP="006D6DCD">
      <w:pPr>
        <w:autoSpaceDE w:val="0"/>
        <w:autoSpaceDN w:val="0"/>
        <w:adjustRightInd w:val="0"/>
        <w:ind w:firstLine="720"/>
        <w:rPr>
          <w:rFonts w:cs="Times New Roman"/>
          <w:szCs w:val="22"/>
          <w:lang w:val="en-CA" w:eastAsia="en-GB"/>
        </w:rPr>
      </w:pPr>
      <w:r w:rsidRPr="00A51748">
        <w:rPr>
          <w:rFonts w:cs="Times New Roman"/>
          <w:szCs w:val="22"/>
          <w:lang w:val="en-CA" w:eastAsia="en-GB"/>
        </w:rPr>
        <w:t>Hence, s</w:t>
      </w:r>
      <w:r w:rsidR="00447E9A" w:rsidRPr="00A51748">
        <w:rPr>
          <w:rFonts w:cs="Times New Roman"/>
          <w:szCs w:val="22"/>
          <w:lang w:val="en-CA" w:eastAsia="en-GB"/>
        </w:rPr>
        <w:t xml:space="preserve">etting global priorities for </w:t>
      </w:r>
      <w:r w:rsidR="00096AF8" w:rsidRPr="00A51748">
        <w:rPr>
          <w:rFonts w:cs="Times New Roman"/>
          <w:szCs w:val="22"/>
          <w:lang w:val="en-CA" w:eastAsia="en-GB"/>
        </w:rPr>
        <w:t xml:space="preserve">area-based conservation measures is </w:t>
      </w:r>
      <w:proofErr w:type="gramStart"/>
      <w:r w:rsidR="00096AF8" w:rsidRPr="00A51748">
        <w:rPr>
          <w:rFonts w:cs="Times New Roman"/>
          <w:szCs w:val="22"/>
          <w:lang w:val="en-CA" w:eastAsia="en-GB"/>
        </w:rPr>
        <w:t>important.</w:t>
      </w:r>
      <w:r w:rsidR="001D22A4" w:rsidRPr="00A51748">
        <w:rPr>
          <w:rFonts w:cs="Times New Roman"/>
          <w:szCs w:val="22"/>
          <w:lang w:val="en-CA" w:eastAsia="en-GB"/>
        </w:rPr>
        <w:t>.</w:t>
      </w:r>
      <w:proofErr w:type="gramEnd"/>
      <w:r w:rsidR="00447E9A" w:rsidRPr="00A51748">
        <w:rPr>
          <w:rFonts w:cs="Times New Roman"/>
          <w:szCs w:val="22"/>
          <w:lang w:val="en-CA" w:eastAsia="en-GB"/>
        </w:rPr>
        <w:t xml:space="preserve"> The question of how much land, fresh</w:t>
      </w:r>
      <w:r w:rsidRPr="00A51748">
        <w:rPr>
          <w:rFonts w:cs="Times New Roman"/>
          <w:szCs w:val="22"/>
          <w:lang w:val="en-CA" w:eastAsia="en-GB"/>
        </w:rPr>
        <w:t xml:space="preserve"> </w:t>
      </w:r>
      <w:r w:rsidR="00447E9A" w:rsidRPr="00A51748">
        <w:rPr>
          <w:rFonts w:cs="Times New Roman"/>
          <w:szCs w:val="22"/>
          <w:lang w:val="en-CA" w:eastAsia="en-GB"/>
        </w:rPr>
        <w:t>water</w:t>
      </w:r>
      <w:r w:rsidRPr="00A51748">
        <w:rPr>
          <w:rFonts w:cs="Times New Roman"/>
          <w:szCs w:val="22"/>
          <w:lang w:val="en-CA" w:eastAsia="en-GB"/>
        </w:rPr>
        <w:t xml:space="preserve">, marine and coastal areas </w:t>
      </w:r>
      <w:r w:rsidR="00447E9A" w:rsidRPr="00A51748">
        <w:rPr>
          <w:rFonts w:cs="Times New Roman"/>
          <w:szCs w:val="22"/>
          <w:lang w:val="en-CA" w:eastAsia="en-GB"/>
        </w:rPr>
        <w:t xml:space="preserve">to </w:t>
      </w:r>
      <w:r w:rsidR="0027617A" w:rsidRPr="00A51748">
        <w:rPr>
          <w:rFonts w:cs="Times New Roman"/>
          <w:szCs w:val="22"/>
          <w:lang w:val="en-CA" w:eastAsia="en-GB"/>
        </w:rPr>
        <w:t>through all</w:t>
      </w:r>
      <w:r w:rsidR="00096AF8" w:rsidRPr="00A51748">
        <w:rPr>
          <w:rFonts w:cs="Times New Roman"/>
          <w:szCs w:val="22"/>
          <w:lang w:val="en-CA" w:eastAsia="en-GB"/>
        </w:rPr>
        <w:t xml:space="preserve"> forms of ABCM, as appropriate, </w:t>
      </w:r>
      <w:r w:rsidR="00447E9A" w:rsidRPr="00A51748">
        <w:rPr>
          <w:rFonts w:cs="Times New Roman"/>
          <w:szCs w:val="22"/>
          <w:lang w:val="en-CA" w:eastAsia="en-GB"/>
        </w:rPr>
        <w:t xml:space="preserve">is central to a larger set of </w:t>
      </w:r>
      <w:r w:rsidR="0027617A" w:rsidRPr="00A51748">
        <w:rPr>
          <w:rFonts w:cs="Times New Roman"/>
          <w:szCs w:val="22"/>
          <w:lang w:val="en-CA" w:eastAsia="en-GB"/>
        </w:rPr>
        <w:t xml:space="preserve">management </w:t>
      </w:r>
      <w:r w:rsidR="00447E9A" w:rsidRPr="00A51748">
        <w:rPr>
          <w:rFonts w:cs="Times New Roman"/>
          <w:szCs w:val="22"/>
          <w:lang w:val="en-CA" w:eastAsia="en-GB"/>
        </w:rPr>
        <w:t xml:space="preserve">decisions </w:t>
      </w:r>
      <w:r w:rsidRPr="00A51748">
        <w:rPr>
          <w:rFonts w:cs="Times New Roman"/>
          <w:szCs w:val="22"/>
          <w:lang w:val="en-CA" w:eastAsia="en-GB"/>
        </w:rPr>
        <w:t xml:space="preserve">including </w:t>
      </w:r>
      <w:r w:rsidR="00447E9A" w:rsidRPr="00A51748">
        <w:rPr>
          <w:rFonts w:cs="Times New Roman"/>
          <w:szCs w:val="22"/>
          <w:lang w:val="en-CA" w:eastAsia="en-GB"/>
        </w:rPr>
        <w:t>site selection and</w:t>
      </w:r>
      <w:r w:rsidR="00096AF8" w:rsidRPr="00A51748">
        <w:rPr>
          <w:rFonts w:cs="Times New Roman"/>
          <w:szCs w:val="22"/>
          <w:lang w:val="en-CA" w:eastAsia="en-GB"/>
        </w:rPr>
        <w:t xml:space="preserve"> the improvement of</w:t>
      </w:r>
      <w:r w:rsidR="00447E9A" w:rsidRPr="00A51748">
        <w:rPr>
          <w:rFonts w:cs="Times New Roman"/>
          <w:szCs w:val="22"/>
          <w:lang w:val="en-CA" w:eastAsia="en-GB"/>
        </w:rPr>
        <w:t xml:space="preserve"> biodiversity conservation outcomes. In reviewing the</w:t>
      </w:r>
      <w:r w:rsidR="00096AF8" w:rsidRPr="00A51748">
        <w:rPr>
          <w:rFonts w:cs="Times New Roman"/>
          <w:szCs w:val="22"/>
          <w:lang w:val="en-CA" w:eastAsia="en-GB"/>
        </w:rPr>
        <w:t xml:space="preserve"> question of how</w:t>
      </w:r>
      <w:r w:rsidR="002F43CC" w:rsidRPr="00A51748">
        <w:rPr>
          <w:rFonts w:cs="Times New Roman"/>
          <w:szCs w:val="22"/>
          <w:lang w:val="en-CA" w:eastAsia="en-GB"/>
        </w:rPr>
        <w:t xml:space="preserve"> much</w:t>
      </w:r>
      <w:r w:rsidR="00096AF8" w:rsidRPr="00A51748">
        <w:rPr>
          <w:rFonts w:cs="Times New Roman"/>
          <w:szCs w:val="22"/>
          <w:lang w:val="en-CA" w:eastAsia="en-GB"/>
        </w:rPr>
        <w:t xml:space="preserve"> area of land or sea to conserve,</w:t>
      </w:r>
      <w:r w:rsidR="00447E9A" w:rsidRPr="00A51748">
        <w:rPr>
          <w:rFonts w:cs="Times New Roman"/>
          <w:szCs w:val="22"/>
          <w:lang w:val="en-CA" w:eastAsia="en-GB"/>
        </w:rPr>
        <w:t xml:space="preserve"> the primary consideration must focus on the overall purpose of having such a goal</w:t>
      </w:r>
      <w:r w:rsidRPr="00A51748">
        <w:rPr>
          <w:rFonts w:cs="Times New Roman"/>
          <w:szCs w:val="22"/>
          <w:lang w:val="en-CA" w:eastAsia="en-GB"/>
        </w:rPr>
        <w:t xml:space="preserve"> and </w:t>
      </w:r>
      <w:r w:rsidR="004B66A6" w:rsidRPr="00A51748">
        <w:rPr>
          <w:rFonts w:cs="Times New Roman"/>
          <w:szCs w:val="22"/>
          <w:lang w:val="en-CA" w:eastAsia="en-GB"/>
        </w:rPr>
        <w:t>the desired and expected outcome</w:t>
      </w:r>
      <w:r w:rsidR="00F215C6" w:rsidRPr="00A51748">
        <w:rPr>
          <w:rFonts w:cs="Times New Roman"/>
          <w:szCs w:val="22"/>
          <w:lang w:val="en-CA" w:eastAsia="en-GB"/>
        </w:rPr>
        <w:t>s</w:t>
      </w:r>
      <w:r w:rsidR="004B66A6" w:rsidRPr="00A51748">
        <w:rPr>
          <w:rFonts w:cs="Times New Roman"/>
          <w:szCs w:val="22"/>
          <w:lang w:val="en-CA" w:eastAsia="en-GB"/>
        </w:rPr>
        <w:t xml:space="preserve">. </w:t>
      </w:r>
      <w:r w:rsidR="00F215C6" w:rsidRPr="00A51748">
        <w:rPr>
          <w:rFonts w:cs="Times New Roman"/>
          <w:szCs w:val="22"/>
          <w:lang w:val="en-CA" w:eastAsia="en-GB"/>
        </w:rPr>
        <w:t xml:space="preserve">For example, a </w:t>
      </w:r>
      <w:r w:rsidR="00447E9A" w:rsidRPr="00A51748">
        <w:rPr>
          <w:rFonts w:cs="Times New Roman"/>
          <w:szCs w:val="22"/>
          <w:lang w:val="en-CA" w:eastAsia="en-GB"/>
        </w:rPr>
        <w:t xml:space="preserve">reasonable </w:t>
      </w:r>
      <w:r w:rsidR="00096AF8" w:rsidRPr="00A51748">
        <w:rPr>
          <w:rFonts w:cs="Times New Roman"/>
          <w:szCs w:val="22"/>
          <w:lang w:val="en-CA" w:eastAsia="en-GB"/>
        </w:rPr>
        <w:t xml:space="preserve">outcome </w:t>
      </w:r>
      <w:r w:rsidR="00447E9A" w:rsidRPr="00A51748">
        <w:rPr>
          <w:rFonts w:cs="Times New Roman"/>
          <w:szCs w:val="22"/>
          <w:lang w:val="en-CA" w:eastAsia="en-GB"/>
        </w:rPr>
        <w:t xml:space="preserve">is that the goal </w:t>
      </w:r>
      <w:r w:rsidR="00BF4D13" w:rsidRPr="00A51748">
        <w:rPr>
          <w:rFonts w:cs="Times New Roman"/>
          <w:szCs w:val="22"/>
          <w:lang w:val="en-CA" w:eastAsia="en-GB"/>
        </w:rPr>
        <w:t>of AB</w:t>
      </w:r>
      <w:r w:rsidR="009D0F76" w:rsidRPr="00A51748">
        <w:rPr>
          <w:rFonts w:cs="Times New Roman"/>
          <w:szCs w:val="22"/>
          <w:lang w:val="en-CA" w:eastAsia="en-GB"/>
        </w:rPr>
        <w:t>CMs</w:t>
      </w:r>
      <w:r w:rsidR="002F43CC" w:rsidRPr="00A51748">
        <w:rPr>
          <w:rFonts w:cs="Times New Roman"/>
          <w:szCs w:val="22"/>
          <w:lang w:val="en-CA" w:eastAsia="en-GB"/>
        </w:rPr>
        <w:t xml:space="preserve"> </w:t>
      </w:r>
      <w:r w:rsidR="00096AF8" w:rsidRPr="00A51748">
        <w:rPr>
          <w:rFonts w:cs="Times New Roman"/>
          <w:szCs w:val="22"/>
          <w:lang w:val="en-CA" w:eastAsia="en-GB"/>
        </w:rPr>
        <w:t>should</w:t>
      </w:r>
      <w:r w:rsidR="009D0F76" w:rsidRPr="00A51748">
        <w:rPr>
          <w:rFonts w:cs="Times New Roman"/>
          <w:szCs w:val="22"/>
          <w:lang w:val="en-CA" w:eastAsia="en-GB"/>
        </w:rPr>
        <w:t xml:space="preserve"> </w:t>
      </w:r>
      <w:r w:rsidR="00447E9A" w:rsidRPr="00A51748">
        <w:rPr>
          <w:rFonts w:cs="Times New Roman"/>
          <w:szCs w:val="22"/>
          <w:lang w:val="en-CA" w:eastAsia="en-GB"/>
        </w:rPr>
        <w:t>ensure that key drivers of biodiversity loss on land, ocean</w:t>
      </w:r>
      <w:r w:rsidR="00BF4D13" w:rsidRPr="00A51748">
        <w:rPr>
          <w:rFonts w:cs="Times New Roman"/>
          <w:szCs w:val="22"/>
          <w:lang w:val="en-CA" w:eastAsia="en-GB"/>
        </w:rPr>
        <w:t>,</w:t>
      </w:r>
      <w:r w:rsidR="004038F1" w:rsidRPr="00A51748">
        <w:rPr>
          <w:rFonts w:cs="Times New Roman"/>
          <w:szCs w:val="22"/>
          <w:lang w:val="en-CA" w:eastAsia="en-GB"/>
        </w:rPr>
        <w:t xml:space="preserve"> </w:t>
      </w:r>
      <w:r w:rsidR="00447E9A" w:rsidRPr="00A51748">
        <w:rPr>
          <w:rFonts w:cs="Times New Roman"/>
          <w:szCs w:val="22"/>
          <w:lang w:val="en-CA" w:eastAsia="en-GB"/>
        </w:rPr>
        <w:t>freshwater</w:t>
      </w:r>
      <w:r w:rsidR="00BF4D13" w:rsidRPr="00A51748">
        <w:rPr>
          <w:rFonts w:cs="Times New Roman"/>
          <w:szCs w:val="22"/>
          <w:lang w:val="en-CA" w:eastAsia="en-GB"/>
        </w:rPr>
        <w:t>, marine and coastal areas</w:t>
      </w:r>
      <w:r w:rsidR="00447E9A" w:rsidRPr="00A51748">
        <w:rPr>
          <w:rFonts w:cs="Times New Roman"/>
          <w:szCs w:val="22"/>
          <w:lang w:val="en-CA" w:eastAsia="en-GB"/>
        </w:rPr>
        <w:t xml:space="preserve"> </w:t>
      </w:r>
      <w:r w:rsidR="00096AF8" w:rsidRPr="00A51748">
        <w:rPr>
          <w:rFonts w:cs="Times New Roman"/>
          <w:szCs w:val="22"/>
          <w:lang w:val="en-CA" w:eastAsia="en-GB"/>
        </w:rPr>
        <w:t>are addressed, so that biodiversity loss can be halted, and eventually reversed.</w:t>
      </w:r>
      <w:r w:rsidR="00447E9A" w:rsidRPr="00A51748">
        <w:rPr>
          <w:rFonts w:cs="Times New Roman"/>
          <w:szCs w:val="22"/>
          <w:lang w:val="en-CA" w:eastAsia="en-GB"/>
        </w:rPr>
        <w:t xml:space="preserve"> </w:t>
      </w:r>
      <w:r w:rsidR="0027617A" w:rsidRPr="00A51748">
        <w:rPr>
          <w:rFonts w:cs="Times New Roman"/>
          <w:szCs w:val="22"/>
          <w:lang w:val="en-CA" w:eastAsia="en-GB"/>
        </w:rPr>
        <w:t>To ensure this occurs, a focus on the quality of these ABCM needs to be considered alongside the questions of where and how much</w:t>
      </w:r>
      <w:r w:rsidR="005315F6" w:rsidRPr="00A51748">
        <w:rPr>
          <w:rFonts w:cs="Times New Roman"/>
          <w:szCs w:val="22"/>
          <w:lang w:val="en-CA" w:eastAsia="en-GB"/>
        </w:rPr>
        <w:t xml:space="preserve"> to conserve</w:t>
      </w:r>
      <w:r w:rsidR="0027617A" w:rsidRPr="00A51748">
        <w:rPr>
          <w:rFonts w:cs="Times New Roman"/>
          <w:szCs w:val="22"/>
          <w:lang w:val="en-CA" w:eastAsia="en-GB"/>
        </w:rPr>
        <w:t>.</w:t>
      </w:r>
    </w:p>
    <w:p w14:paraId="4CC8F589" w14:textId="77777777" w:rsidR="00447E9A" w:rsidRPr="00A51748" w:rsidRDefault="00447E9A" w:rsidP="006D6DCD">
      <w:pPr>
        <w:autoSpaceDE w:val="0"/>
        <w:autoSpaceDN w:val="0"/>
        <w:adjustRightInd w:val="0"/>
        <w:rPr>
          <w:rFonts w:cs="Times New Roman"/>
          <w:szCs w:val="22"/>
          <w:lang w:val="en-CA" w:eastAsia="en-GB"/>
        </w:rPr>
      </w:pPr>
    </w:p>
    <w:p w14:paraId="5F118170" w14:textId="3E871CE7" w:rsidR="009B20C6" w:rsidRPr="00A51748" w:rsidRDefault="000B41E2" w:rsidP="006D6DCD">
      <w:pPr>
        <w:spacing w:after="120"/>
        <w:ind w:firstLine="720"/>
        <w:rPr>
          <w:rFonts w:cs="Times New Roman"/>
        </w:rPr>
      </w:pPr>
      <w:r w:rsidRPr="00A51748">
        <w:rPr>
          <w:rFonts w:cs="Times New Roman"/>
        </w:rPr>
        <w:t>The</w:t>
      </w:r>
      <w:r w:rsidR="00F215C6" w:rsidRPr="00A51748">
        <w:rPr>
          <w:rFonts w:cs="Times New Roman"/>
        </w:rPr>
        <w:t xml:space="preserve"> Sustainable Development Goals (</w:t>
      </w:r>
      <w:r w:rsidRPr="00A51748">
        <w:rPr>
          <w:rFonts w:cs="Times New Roman"/>
        </w:rPr>
        <w:t>SDGs</w:t>
      </w:r>
      <w:r w:rsidR="00F215C6" w:rsidRPr="00A51748">
        <w:rPr>
          <w:rFonts w:cs="Times New Roman"/>
        </w:rPr>
        <w:t>)</w:t>
      </w:r>
      <w:r w:rsidRPr="00A51748">
        <w:rPr>
          <w:rFonts w:cs="Times New Roman"/>
        </w:rPr>
        <w:t xml:space="preserve"> call for three kinds of transformative actions to </w:t>
      </w:r>
      <w:r w:rsidR="00226440" w:rsidRPr="00A51748">
        <w:rPr>
          <w:rFonts w:cs="Times New Roman"/>
        </w:rPr>
        <w:t xml:space="preserve">meet </w:t>
      </w:r>
      <w:r w:rsidRPr="00A51748">
        <w:rPr>
          <w:rFonts w:cs="Times New Roman"/>
        </w:rPr>
        <w:t>human aspirations for development</w:t>
      </w:r>
      <w:r w:rsidR="00226440" w:rsidRPr="00A51748">
        <w:rPr>
          <w:rFonts w:cs="Times New Roman"/>
        </w:rPr>
        <w:t xml:space="preserve"> while maintain biodiversity</w:t>
      </w:r>
      <w:r w:rsidRPr="00A51748">
        <w:rPr>
          <w:rFonts w:cs="Times New Roman"/>
        </w:rPr>
        <w:t xml:space="preserve">: sustainable production, sustainable consumption and direct nature conservation. Area-based </w:t>
      </w:r>
      <w:r w:rsidR="00F215C6" w:rsidRPr="00A51748">
        <w:rPr>
          <w:rFonts w:cs="Times New Roman"/>
        </w:rPr>
        <w:t>C</w:t>
      </w:r>
      <w:r w:rsidRPr="00A51748">
        <w:rPr>
          <w:rFonts w:cs="Times New Roman"/>
        </w:rPr>
        <w:t xml:space="preserve">onservation Measures address </w:t>
      </w:r>
      <w:r w:rsidR="00F215C6" w:rsidRPr="00A51748">
        <w:rPr>
          <w:rFonts w:cs="Times New Roman"/>
        </w:rPr>
        <w:t xml:space="preserve">issues related to, inter alia, </w:t>
      </w:r>
      <w:r w:rsidRPr="00A51748">
        <w:rPr>
          <w:rFonts w:cs="Times New Roman"/>
        </w:rPr>
        <w:t>farming, grazing, natural resource extraction</w:t>
      </w:r>
      <w:r w:rsidR="00F215C6" w:rsidRPr="00A51748">
        <w:rPr>
          <w:rFonts w:cs="Times New Roman"/>
        </w:rPr>
        <w:t>,</w:t>
      </w:r>
      <w:r w:rsidR="00AB5836" w:rsidRPr="00A51748">
        <w:rPr>
          <w:rFonts w:cs="Times New Roman"/>
        </w:rPr>
        <w:t xml:space="preserve"> and</w:t>
      </w:r>
      <w:r w:rsidR="00F215C6" w:rsidRPr="00A51748">
        <w:rPr>
          <w:rFonts w:cs="Times New Roman"/>
        </w:rPr>
        <w:t xml:space="preserve"> </w:t>
      </w:r>
      <w:r w:rsidR="00886A93" w:rsidRPr="00A51748">
        <w:rPr>
          <w:rFonts w:cs="Times New Roman"/>
        </w:rPr>
        <w:t>over</w:t>
      </w:r>
      <w:r w:rsidR="00F215C6" w:rsidRPr="00A51748">
        <w:rPr>
          <w:rFonts w:cs="Times New Roman"/>
        </w:rPr>
        <w:t xml:space="preserve"> exploitation</w:t>
      </w:r>
      <w:r w:rsidR="00886A93" w:rsidRPr="00A51748">
        <w:rPr>
          <w:rFonts w:cs="Times New Roman"/>
        </w:rPr>
        <w:t xml:space="preserve"> of resources</w:t>
      </w:r>
      <w:r w:rsidR="00AB5836" w:rsidRPr="00A51748">
        <w:rPr>
          <w:rFonts w:cs="Times New Roman"/>
        </w:rPr>
        <w:t xml:space="preserve">, as well as </w:t>
      </w:r>
      <w:r w:rsidRPr="00A51748">
        <w:rPr>
          <w:rFonts w:cs="Times New Roman"/>
        </w:rPr>
        <w:t xml:space="preserve">direct nature </w:t>
      </w:r>
      <w:r w:rsidR="009B20C6" w:rsidRPr="00A51748">
        <w:rPr>
          <w:rFonts w:cs="Times New Roman"/>
        </w:rPr>
        <w:t xml:space="preserve">conservation. </w:t>
      </w:r>
      <w:r w:rsidRPr="00A51748">
        <w:rPr>
          <w:rFonts w:cs="Times New Roman"/>
        </w:rPr>
        <w:t xml:space="preserve"> </w:t>
      </w:r>
    </w:p>
    <w:p w14:paraId="42D28BB4" w14:textId="40A430DD" w:rsidR="009D0F76" w:rsidRPr="00A51748" w:rsidRDefault="009D0F76" w:rsidP="006D6DCD">
      <w:pPr>
        <w:pStyle w:val="Heading1"/>
        <w:spacing w:before="0"/>
        <w:jc w:val="both"/>
      </w:pPr>
      <w:r w:rsidRPr="00A51748">
        <w:t xml:space="preserve">Area Based Conservation Targets </w:t>
      </w:r>
    </w:p>
    <w:p w14:paraId="7DD00BA8" w14:textId="0C9A6C7A" w:rsidR="009D0F76" w:rsidRPr="00A51748" w:rsidRDefault="009D0F76" w:rsidP="006D6DCD">
      <w:pPr>
        <w:autoSpaceDE w:val="0"/>
        <w:autoSpaceDN w:val="0"/>
        <w:adjustRightInd w:val="0"/>
        <w:ind w:firstLine="720"/>
        <w:rPr>
          <w:rFonts w:cs="Times New Roman"/>
          <w:szCs w:val="22"/>
          <w:lang w:val="en-CA" w:eastAsia="en-GB"/>
        </w:rPr>
      </w:pPr>
      <w:r w:rsidRPr="00A51748">
        <w:rPr>
          <w:rFonts w:cs="Times New Roman"/>
          <w:szCs w:val="22"/>
          <w:lang w:val="en-CA" w:eastAsia="en-GB"/>
        </w:rPr>
        <w:t>Area based conservation targets should include target</w:t>
      </w:r>
      <w:r w:rsidR="00C10C0C" w:rsidRPr="00A51748">
        <w:rPr>
          <w:rFonts w:cs="Times New Roman"/>
          <w:szCs w:val="22"/>
          <w:lang w:val="en-CA" w:eastAsia="en-GB"/>
        </w:rPr>
        <w:t>s for biodiversity conservation</w:t>
      </w:r>
      <w:r w:rsidR="00A2418A" w:rsidRPr="00A51748">
        <w:rPr>
          <w:rStyle w:val="FootnoteReference"/>
          <w:rFonts w:cs="Times New Roman"/>
          <w:szCs w:val="22"/>
          <w:lang w:val="en-CA" w:eastAsia="en-GB"/>
        </w:rPr>
        <w:footnoteReference w:id="9"/>
      </w:r>
      <w:r w:rsidRPr="00A51748">
        <w:rPr>
          <w:rFonts w:cs="Times New Roman"/>
          <w:szCs w:val="22"/>
          <w:lang w:val="en-CA" w:eastAsia="en-GB"/>
        </w:rPr>
        <w:t xml:space="preserve"> </w:t>
      </w:r>
      <w:r w:rsidR="00A2418A" w:rsidRPr="00A51748">
        <w:rPr>
          <w:rFonts w:cs="Times New Roman"/>
          <w:szCs w:val="22"/>
          <w:lang w:val="en-CA" w:eastAsia="en-GB"/>
        </w:rPr>
        <w:t xml:space="preserve"> </w:t>
      </w:r>
      <w:r w:rsidR="00C10C0C" w:rsidRPr="00A51748">
        <w:rPr>
          <w:rFonts w:cs="Times New Roman"/>
          <w:szCs w:val="22"/>
          <w:lang w:val="en-CA" w:eastAsia="en-GB"/>
        </w:rPr>
        <w:t xml:space="preserve">and </w:t>
      </w:r>
      <w:r w:rsidRPr="00A51748">
        <w:rPr>
          <w:rFonts w:cs="Times New Roman"/>
          <w:szCs w:val="22"/>
          <w:lang w:val="en-CA" w:eastAsia="en-GB"/>
        </w:rPr>
        <w:t xml:space="preserve">targets for nature’s contributions to sustaining people (ecosystem services including carbon storage). </w:t>
      </w:r>
    </w:p>
    <w:p w14:paraId="16DC1638" w14:textId="77777777" w:rsidR="00A51748" w:rsidRPr="00A51748" w:rsidRDefault="00A51748" w:rsidP="006D6DCD">
      <w:pPr>
        <w:autoSpaceDE w:val="0"/>
        <w:autoSpaceDN w:val="0"/>
        <w:adjustRightInd w:val="0"/>
        <w:ind w:firstLine="720"/>
        <w:rPr>
          <w:rFonts w:cs="Times New Roman"/>
        </w:rPr>
      </w:pPr>
    </w:p>
    <w:p w14:paraId="37E04E22" w14:textId="64A48701" w:rsidR="009D0F76" w:rsidRPr="00A51748" w:rsidRDefault="009D0F76" w:rsidP="006D6DCD">
      <w:pPr>
        <w:autoSpaceDE w:val="0"/>
        <w:autoSpaceDN w:val="0"/>
        <w:adjustRightInd w:val="0"/>
        <w:ind w:firstLine="720"/>
        <w:rPr>
          <w:rFonts w:cs="Times New Roman"/>
          <w:sz w:val="24"/>
          <w:lang w:val="en-CA" w:eastAsia="ja-JP"/>
        </w:rPr>
      </w:pPr>
      <w:r w:rsidRPr="00A51748">
        <w:rPr>
          <w:rFonts w:cs="Times New Roman"/>
        </w:rPr>
        <w:t xml:space="preserve">Too many conservation decisions are made based on ingrained prejudices, peer pressure, simply doing what people have done before, or are rooted in past way of thinking. In a rapidly changing and divided world, there is too much at stake to drift into a conservation policy without knowing exactly where we are going. When we talk about protected areas and other forms of area-based conservation, we need to clearly address four questions: </w:t>
      </w:r>
      <w:r w:rsidRPr="00A51748">
        <w:rPr>
          <w:rFonts w:cs="Times New Roman"/>
          <w:b/>
          <w:bCs/>
          <w:i/>
          <w:iCs/>
        </w:rPr>
        <w:t>why</w:t>
      </w:r>
      <w:r w:rsidRPr="00A51748">
        <w:rPr>
          <w:rFonts w:cs="Times New Roman"/>
        </w:rPr>
        <w:t>/</w:t>
      </w:r>
      <w:r w:rsidRPr="00A51748">
        <w:rPr>
          <w:rFonts w:cs="Times New Roman"/>
          <w:b/>
          <w:i/>
        </w:rPr>
        <w:t>what</w:t>
      </w:r>
      <w:r w:rsidRPr="00A51748">
        <w:rPr>
          <w:rFonts w:cs="Times New Roman"/>
        </w:rPr>
        <w:t xml:space="preserve"> they are for; </w:t>
      </w:r>
      <w:r w:rsidRPr="00A51748">
        <w:rPr>
          <w:rFonts w:cs="Times New Roman"/>
          <w:b/>
          <w:bCs/>
          <w:i/>
          <w:iCs/>
        </w:rPr>
        <w:t>where</w:t>
      </w:r>
      <w:r w:rsidRPr="00A51748">
        <w:rPr>
          <w:rFonts w:cs="Times New Roman"/>
        </w:rPr>
        <w:t xml:space="preserve"> they should be; </w:t>
      </w:r>
      <w:r w:rsidRPr="00A51748">
        <w:rPr>
          <w:rFonts w:cs="Times New Roman"/>
          <w:b/>
          <w:i/>
        </w:rPr>
        <w:t>how much</w:t>
      </w:r>
      <w:r w:rsidRPr="00A51748">
        <w:rPr>
          <w:rFonts w:cs="Times New Roman"/>
        </w:rPr>
        <w:t xml:space="preserve">; and </w:t>
      </w:r>
      <w:r w:rsidRPr="00A51748">
        <w:rPr>
          <w:rFonts w:cs="Times New Roman"/>
          <w:b/>
          <w:bCs/>
          <w:i/>
          <w:iCs/>
        </w:rPr>
        <w:t>how</w:t>
      </w:r>
      <w:r w:rsidRPr="00A51748">
        <w:rPr>
          <w:rFonts w:cs="Times New Roman"/>
        </w:rPr>
        <w:t xml:space="preserve"> they should be managed</w:t>
      </w:r>
      <w:r w:rsidR="00A2418A" w:rsidRPr="00A51748">
        <w:rPr>
          <w:rFonts w:cs="Times New Roman"/>
        </w:rPr>
        <w:t xml:space="preserve"> to be effective</w:t>
      </w:r>
      <w:r w:rsidRPr="00A51748">
        <w:rPr>
          <w:rFonts w:cs="Times New Roman"/>
        </w:rPr>
        <w:t>.</w:t>
      </w:r>
    </w:p>
    <w:p w14:paraId="33222E0B" w14:textId="77777777" w:rsidR="009D0F76" w:rsidRPr="00A51748" w:rsidRDefault="009D0F76" w:rsidP="006D6DCD">
      <w:pPr>
        <w:pStyle w:val="NoSpacing"/>
        <w:jc w:val="both"/>
        <w:rPr>
          <w:rFonts w:ascii="Times New Roman" w:hAnsi="Times New Roman"/>
          <w:sz w:val="24"/>
          <w:szCs w:val="24"/>
        </w:rPr>
      </w:pPr>
    </w:p>
    <w:p w14:paraId="30019005" w14:textId="52B75B72" w:rsidR="009D0F76" w:rsidRDefault="009D0F76" w:rsidP="006D6DCD">
      <w:pPr>
        <w:spacing w:after="60"/>
        <w:ind w:firstLine="720"/>
        <w:rPr>
          <w:rFonts w:cs="Times New Roman"/>
          <w:szCs w:val="22"/>
        </w:rPr>
      </w:pPr>
      <w:r w:rsidRPr="00A51748">
        <w:rPr>
          <w:rFonts w:cs="Times New Roman"/>
          <w:szCs w:val="22"/>
        </w:rPr>
        <w:t>There are contrasting views regarding what places should be the primary focus of area-based conservation measures. Conservation objectives may prioritise areas of high biodiversity, high irreplaceability, and/or large intact landscapes with a high degree of ecological integrity</w:t>
      </w:r>
      <w:r w:rsidR="005315F6" w:rsidRPr="00A51748">
        <w:rPr>
          <w:rFonts w:cs="Times New Roman"/>
          <w:szCs w:val="22"/>
        </w:rPr>
        <w:t xml:space="preserve">. They may focus on </w:t>
      </w:r>
      <w:r w:rsidR="00D655DA" w:rsidRPr="00A51748">
        <w:rPr>
          <w:rFonts w:cs="Times New Roman"/>
          <w:szCs w:val="22"/>
        </w:rPr>
        <w:t>maintaining ecosystem services, ecosystem functions benefits to people including cultural and spiritual values</w:t>
      </w:r>
      <w:r w:rsidRPr="00A51748">
        <w:rPr>
          <w:rFonts w:cs="Times New Roman"/>
          <w:szCs w:val="22"/>
        </w:rPr>
        <w:t xml:space="preserve">. Objectives may also prioritise highly vulnerable areas under immense threat from human pressure, which could occur in high biodiversity areas or ecologically intact areas. Several reactive approaches </w:t>
      </w:r>
      <w:r w:rsidRPr="00A51748">
        <w:rPr>
          <w:rFonts w:cs="Times New Roman"/>
          <w:szCs w:val="22"/>
        </w:rPr>
        <w:lastRenderedPageBreak/>
        <w:t xml:space="preserve">targeting vulnerable areas (e.g. biodiversity hotspots or crisis ecoregions) and proactive approaches targeting low vulnerability areas (e.g. high-biodiversity wilderness areas, frontier forests or last of the wild) have been proposed. All are important, but would necessitate different, or complementary, global coverage targets. </w:t>
      </w:r>
    </w:p>
    <w:p w14:paraId="509AE7EF" w14:textId="77777777" w:rsidR="00511C1B" w:rsidRPr="00A51748" w:rsidRDefault="00511C1B" w:rsidP="006D6DCD">
      <w:pPr>
        <w:pStyle w:val="NoSpacing"/>
        <w:spacing w:after="60"/>
        <w:ind w:firstLine="720"/>
        <w:jc w:val="both"/>
        <w:rPr>
          <w:rFonts w:ascii="Times New Roman" w:hAnsi="Times New Roman"/>
        </w:rPr>
      </w:pPr>
    </w:p>
    <w:p w14:paraId="45EDEAAF" w14:textId="3BDA3329" w:rsidR="009D0F76" w:rsidRPr="00A51748" w:rsidRDefault="009E5C65" w:rsidP="006D6DCD">
      <w:pPr>
        <w:pStyle w:val="Heading2"/>
        <w:spacing w:before="0"/>
        <w:jc w:val="both"/>
        <w:rPr>
          <w:rFonts w:cs="Times New Roman"/>
        </w:rPr>
      </w:pPr>
      <w:r w:rsidRPr="00A51748">
        <w:rPr>
          <w:rFonts w:cs="Times New Roman"/>
        </w:rPr>
        <w:t xml:space="preserve">3.1 </w:t>
      </w:r>
      <w:r w:rsidR="00D655DA" w:rsidRPr="00A51748">
        <w:rPr>
          <w:rFonts w:cs="Times New Roman"/>
        </w:rPr>
        <w:t>Scope and coverage</w:t>
      </w:r>
    </w:p>
    <w:p w14:paraId="684AB9B4" w14:textId="29A0CDB4" w:rsidR="009D0F76" w:rsidRPr="00A51748" w:rsidRDefault="00D655DA" w:rsidP="006D6DCD">
      <w:pPr>
        <w:spacing w:after="60"/>
        <w:ind w:firstLine="720"/>
        <w:rPr>
          <w:rFonts w:cs="Times New Roman"/>
        </w:rPr>
      </w:pPr>
      <w:r w:rsidRPr="00A51748">
        <w:rPr>
          <w:rFonts w:cs="Times New Roman"/>
        </w:rPr>
        <w:t>ABCM targets may</w:t>
      </w:r>
      <w:r w:rsidR="009D0F76" w:rsidRPr="00A51748">
        <w:rPr>
          <w:rFonts w:cs="Times New Roman"/>
        </w:rPr>
        <w:t xml:space="preserve"> include protected areas (PAs)</w:t>
      </w:r>
      <w:r w:rsidRPr="00A51748">
        <w:rPr>
          <w:rFonts w:cs="Times New Roman"/>
        </w:rPr>
        <w:t>,</w:t>
      </w:r>
      <w:r w:rsidR="009D0F76" w:rsidRPr="00A51748">
        <w:rPr>
          <w:rFonts w:cs="Times New Roman"/>
        </w:rPr>
        <w:t>other-effective area-based conservation measures (OECMs) as spelled out in Aichi Biodiversity Target 11</w:t>
      </w:r>
      <w:r w:rsidRPr="00A51748">
        <w:rPr>
          <w:rFonts w:cs="Times New Roman"/>
        </w:rPr>
        <w:t xml:space="preserve">, </w:t>
      </w:r>
      <w:r w:rsidR="009D0F76" w:rsidRPr="00A51748">
        <w:rPr>
          <w:rFonts w:cs="Times New Roman"/>
        </w:rPr>
        <w:t xml:space="preserve"> Ecological Corridors/Areas of Connectivity Conservation, High Conservation Value Areas (as protected or conserved in some commodity certification schemes), and various governance arrangements for such area-based conservation measures, including territories and areas conserved by indigenous peoples and local communities (ICCAs). </w:t>
      </w:r>
    </w:p>
    <w:p w14:paraId="7A6C7F92" w14:textId="61C09031" w:rsidR="009D0F76" w:rsidRDefault="009D0F76" w:rsidP="006D6DCD">
      <w:pPr>
        <w:spacing w:after="60"/>
        <w:ind w:firstLine="720"/>
        <w:rPr>
          <w:rFonts w:cs="Times New Roman"/>
        </w:rPr>
      </w:pPr>
      <w:r w:rsidRPr="00A51748">
        <w:rPr>
          <w:rFonts w:cs="Times New Roman"/>
        </w:rPr>
        <w:t xml:space="preserve">Estimates of recommended percentage </w:t>
      </w:r>
      <w:r w:rsidR="00D655DA" w:rsidRPr="00A51748">
        <w:rPr>
          <w:rFonts w:cs="Times New Roman"/>
        </w:rPr>
        <w:t xml:space="preserve">coverage by </w:t>
      </w:r>
      <w:r w:rsidRPr="00A51748">
        <w:rPr>
          <w:rFonts w:cs="Times New Roman"/>
        </w:rPr>
        <w:t>area-based conservation in both terrestrial and marine realm ranged from 10% to 100%, depending on the taxa and landscapes</w:t>
      </w:r>
      <w:r w:rsidR="00D655DA" w:rsidRPr="00A51748">
        <w:rPr>
          <w:rFonts w:cs="Times New Roman"/>
        </w:rPr>
        <w:t>/seascapes</w:t>
      </w:r>
      <w:r w:rsidRPr="00A51748">
        <w:rPr>
          <w:rFonts w:cs="Times New Roman"/>
        </w:rPr>
        <w:t xml:space="preserve"> analysed. However, several criticisms of percentage-based/area-based targets have also been raised</w:t>
      </w:r>
      <w:r w:rsidR="00D655DA" w:rsidRPr="00A51748">
        <w:rPr>
          <w:rFonts w:cs="Times New Roman"/>
        </w:rPr>
        <w:t>.</w:t>
      </w:r>
      <w:r w:rsidRPr="00A51748">
        <w:rPr>
          <w:rFonts w:cs="Times New Roman"/>
        </w:rPr>
        <w:t xml:space="preserve">  </w:t>
      </w:r>
    </w:p>
    <w:p w14:paraId="3368A442" w14:textId="77777777" w:rsidR="00511C1B" w:rsidRPr="00A51748" w:rsidRDefault="00511C1B" w:rsidP="006D6DCD">
      <w:pPr>
        <w:spacing w:after="60"/>
        <w:ind w:firstLine="720"/>
        <w:rPr>
          <w:rFonts w:cs="Times New Roman"/>
        </w:rPr>
      </w:pPr>
    </w:p>
    <w:p w14:paraId="1D377A6A" w14:textId="5497EAA7" w:rsidR="009D0F76" w:rsidRPr="00A51748" w:rsidRDefault="009E5C65" w:rsidP="006D6DCD">
      <w:pPr>
        <w:pStyle w:val="Heading2"/>
        <w:spacing w:before="0"/>
        <w:jc w:val="both"/>
        <w:rPr>
          <w:rFonts w:eastAsiaTheme="minorHAnsi" w:cs="Times New Roman"/>
        </w:rPr>
      </w:pPr>
      <w:r w:rsidRPr="00A51748">
        <w:rPr>
          <w:rFonts w:eastAsiaTheme="minorHAnsi" w:cs="Times New Roman"/>
        </w:rPr>
        <w:t xml:space="preserve">3.2 </w:t>
      </w:r>
      <w:r w:rsidR="009D0F76" w:rsidRPr="00A51748">
        <w:rPr>
          <w:rFonts w:eastAsiaTheme="minorHAnsi" w:cs="Times New Roman"/>
        </w:rPr>
        <w:t xml:space="preserve">Focus on </w:t>
      </w:r>
      <w:r w:rsidR="005315F6" w:rsidRPr="00A51748">
        <w:rPr>
          <w:rFonts w:eastAsiaTheme="minorHAnsi" w:cs="Times New Roman"/>
        </w:rPr>
        <w:t>a</w:t>
      </w:r>
      <w:r w:rsidR="009D0F76" w:rsidRPr="00A51748">
        <w:rPr>
          <w:rFonts w:eastAsiaTheme="minorHAnsi" w:cs="Times New Roman"/>
        </w:rPr>
        <w:t xml:space="preserve">rea, </w:t>
      </w:r>
      <w:r w:rsidR="009D0F76" w:rsidRPr="00A51748">
        <w:rPr>
          <w:rFonts w:eastAsiaTheme="minorHAnsi" w:cs="Times New Roman"/>
          <w:i/>
          <w:iCs w:val="0"/>
        </w:rPr>
        <w:t>per se</w:t>
      </w:r>
      <w:r w:rsidR="009D0F76" w:rsidRPr="00A51748">
        <w:rPr>
          <w:rFonts w:eastAsiaTheme="minorHAnsi" w:cs="Times New Roman"/>
        </w:rPr>
        <w:t xml:space="preserve">? </w:t>
      </w:r>
      <w:r w:rsidR="00362279" w:rsidRPr="00A51748">
        <w:rPr>
          <w:rFonts w:eastAsiaTheme="minorHAnsi" w:cs="Times New Roman"/>
        </w:rPr>
        <w:t>o</w:t>
      </w:r>
      <w:r w:rsidR="009D0F76" w:rsidRPr="00A51748">
        <w:rPr>
          <w:rFonts w:eastAsiaTheme="minorHAnsi" w:cs="Times New Roman"/>
        </w:rPr>
        <w:t>r quality and outcomes?</w:t>
      </w:r>
    </w:p>
    <w:p w14:paraId="4C1C2651" w14:textId="5F66866C" w:rsidR="00D945C0" w:rsidRDefault="00052C33" w:rsidP="006D6DCD">
      <w:pPr>
        <w:spacing w:after="60"/>
        <w:ind w:firstLine="720"/>
        <w:rPr>
          <w:rFonts w:cs="Times New Roman"/>
          <w:szCs w:val="22"/>
          <w:lang w:val="en-US"/>
        </w:rPr>
      </w:pPr>
      <w:r w:rsidRPr="00A51748">
        <w:rPr>
          <w:rFonts w:cs="Times New Roman"/>
          <w:szCs w:val="22"/>
          <w:lang w:val="en-US"/>
        </w:rPr>
        <w:t>Should</w:t>
      </w:r>
      <w:r w:rsidR="009D0F76" w:rsidRPr="00A51748">
        <w:rPr>
          <w:rFonts w:cs="Times New Roman"/>
          <w:szCs w:val="22"/>
          <w:lang w:val="en-US"/>
        </w:rPr>
        <w:t xml:space="preserve"> area-based percentage targets focus on area alone (as in the 17%/10% elements of Aichi Target 11), or on improving the protection status of specific biodiversity features</w:t>
      </w:r>
      <w:r w:rsidR="00D945C0">
        <w:rPr>
          <w:rFonts w:cs="Times New Roman"/>
          <w:szCs w:val="22"/>
          <w:lang w:val="en-US"/>
        </w:rPr>
        <w:t xml:space="preserve"> </w:t>
      </w:r>
      <w:r w:rsidR="00D945C0" w:rsidRPr="00D945C0">
        <w:rPr>
          <w:rFonts w:cs="Times New Roman"/>
          <w:szCs w:val="22"/>
        </w:rPr>
        <w:t>(as in the Global Strategy for Plant Conservation which calls for 75% of known threatened</w:t>
      </w:r>
      <w:r w:rsidR="00D945C0">
        <w:rPr>
          <w:rFonts w:cs="Times New Roman"/>
          <w:szCs w:val="22"/>
        </w:rPr>
        <w:t xml:space="preserve"> plant species to be conserved)</w:t>
      </w:r>
      <w:r w:rsidRPr="00A51748">
        <w:rPr>
          <w:rFonts w:cs="Times New Roman"/>
          <w:szCs w:val="22"/>
          <w:lang w:val="en-US"/>
        </w:rPr>
        <w:t>?</w:t>
      </w:r>
      <w:r w:rsidR="009D0F76" w:rsidRPr="00A51748">
        <w:rPr>
          <w:rFonts w:cs="Times New Roman"/>
          <w:szCs w:val="22"/>
          <w:lang w:val="en-US"/>
        </w:rPr>
        <w:t xml:space="preserve"> </w:t>
      </w:r>
    </w:p>
    <w:p w14:paraId="745FFA30" w14:textId="7226813D" w:rsidR="009D0F76" w:rsidRDefault="009D0F76" w:rsidP="006D6DCD">
      <w:pPr>
        <w:spacing w:after="60"/>
        <w:ind w:firstLine="720"/>
        <w:rPr>
          <w:rFonts w:cs="Times New Roman"/>
          <w:szCs w:val="22"/>
        </w:rPr>
      </w:pPr>
      <w:r w:rsidRPr="00A51748">
        <w:rPr>
          <w:rFonts w:cs="Times New Roman"/>
          <w:szCs w:val="22"/>
        </w:rPr>
        <w:t xml:space="preserve">In addition to expanding and effectively </w:t>
      </w:r>
      <w:r w:rsidR="00052C33" w:rsidRPr="00A51748">
        <w:rPr>
          <w:rFonts w:cs="Times New Roman"/>
          <w:szCs w:val="22"/>
        </w:rPr>
        <w:t>applying ABCM</w:t>
      </w:r>
      <w:r w:rsidRPr="00A51748">
        <w:rPr>
          <w:rFonts w:cs="Times New Roman"/>
          <w:szCs w:val="22"/>
        </w:rPr>
        <w:t xml:space="preserve">, improving conservation outcomes will also require “adaptive governance, strong societal engagement, effective and </w:t>
      </w:r>
      <w:r w:rsidRPr="008E5FC2">
        <w:rPr>
          <w:rFonts w:cs="Times New Roman"/>
          <w:szCs w:val="22"/>
        </w:rPr>
        <w:t>equitable benefit-sharing mechanisms, sustained funding, and monitoring and enforcement of rules</w:t>
      </w:r>
      <w:r w:rsidR="00D945C0">
        <w:rPr>
          <w:rFonts w:cs="Times New Roman"/>
          <w:szCs w:val="22"/>
        </w:rPr>
        <w:t>”</w:t>
      </w:r>
      <w:r w:rsidRPr="008E5FC2">
        <w:rPr>
          <w:rFonts w:cs="Times New Roman"/>
          <w:szCs w:val="22"/>
        </w:rPr>
        <w:t>.</w:t>
      </w:r>
      <w:r w:rsidR="00D945C0">
        <w:rPr>
          <w:rStyle w:val="FootnoteReference"/>
          <w:rFonts w:cs="Times New Roman"/>
          <w:szCs w:val="22"/>
        </w:rPr>
        <w:footnoteReference w:id="10"/>
      </w:r>
      <w:r w:rsidRPr="008E5FC2">
        <w:rPr>
          <w:rFonts w:cs="Times New Roman"/>
          <w:szCs w:val="22"/>
        </w:rPr>
        <w:t xml:space="preserve"> </w:t>
      </w:r>
      <w:r w:rsidRPr="008E5FC2">
        <w:rPr>
          <w:rFonts w:cs="Times New Roman"/>
          <w:bCs/>
          <w:szCs w:val="22"/>
        </w:rPr>
        <w:t xml:space="preserve">There are arguments </w:t>
      </w:r>
      <w:r w:rsidRPr="008E5FC2">
        <w:rPr>
          <w:rFonts w:cs="Times New Roman"/>
          <w:szCs w:val="22"/>
        </w:rPr>
        <w:t>that there must be a focus on biodiversity conservation outcomes,</w:t>
      </w:r>
      <w:r w:rsidR="00D945C0">
        <w:rPr>
          <w:rStyle w:val="FootnoteReference"/>
          <w:rFonts w:cs="Times New Roman"/>
          <w:szCs w:val="22"/>
        </w:rPr>
        <w:footnoteReference w:id="11"/>
      </w:r>
      <w:r w:rsidRPr="008E5FC2">
        <w:rPr>
          <w:rFonts w:cs="Times New Roman"/>
          <w:szCs w:val="22"/>
        </w:rPr>
        <w:t xml:space="preserve"> instead of just area covered</w:t>
      </w:r>
      <w:r w:rsidR="00052C33" w:rsidRPr="008E5FC2">
        <w:rPr>
          <w:rFonts w:cs="Times New Roman"/>
          <w:szCs w:val="22"/>
        </w:rPr>
        <w:t xml:space="preserve"> </w:t>
      </w:r>
      <w:r w:rsidRPr="008E5FC2">
        <w:rPr>
          <w:rFonts w:cs="Times New Roman"/>
          <w:szCs w:val="22"/>
        </w:rPr>
        <w:t>(e</w:t>
      </w:r>
      <w:r w:rsidRPr="00A51748">
        <w:rPr>
          <w:rFonts w:cs="Times New Roman"/>
          <w:szCs w:val="22"/>
        </w:rPr>
        <w:t>.g. representation of species or ecosystems, biodiversity status, avoided threats).</w:t>
      </w:r>
      <w:r w:rsidR="00D945C0">
        <w:rPr>
          <w:rFonts w:cs="Times New Roman"/>
          <w:szCs w:val="22"/>
        </w:rPr>
        <w:t xml:space="preserve"> There could also be a focus on social outcomes and human well-being.</w:t>
      </w:r>
      <w:r w:rsidRPr="00A51748">
        <w:rPr>
          <w:rFonts w:cs="Times New Roman"/>
          <w:szCs w:val="22"/>
        </w:rPr>
        <w:t xml:space="preserve"> </w:t>
      </w:r>
    </w:p>
    <w:p w14:paraId="4B078420" w14:textId="77777777" w:rsidR="00511C1B" w:rsidRPr="00A51748" w:rsidRDefault="00511C1B" w:rsidP="006D6DCD">
      <w:pPr>
        <w:spacing w:after="60"/>
        <w:ind w:firstLine="720"/>
        <w:rPr>
          <w:rFonts w:cs="Times New Roman"/>
          <w:szCs w:val="22"/>
        </w:rPr>
      </w:pPr>
    </w:p>
    <w:p w14:paraId="3C5CDAC1" w14:textId="41587698" w:rsidR="009B20C6" w:rsidRPr="00A51748" w:rsidRDefault="00284A69" w:rsidP="006D6DCD">
      <w:pPr>
        <w:pStyle w:val="Heading2"/>
        <w:spacing w:before="0"/>
        <w:jc w:val="both"/>
        <w:rPr>
          <w:rFonts w:cs="Times New Roman"/>
        </w:rPr>
      </w:pPr>
      <w:r w:rsidRPr="00A51748">
        <w:rPr>
          <w:rFonts w:cs="Times New Roman"/>
        </w:rPr>
        <w:t xml:space="preserve">3.3 </w:t>
      </w:r>
      <w:r w:rsidR="00522CFA" w:rsidRPr="00A51748">
        <w:rPr>
          <w:rFonts w:cs="Times New Roman"/>
        </w:rPr>
        <w:t xml:space="preserve">Aichi Biodiversity </w:t>
      </w:r>
      <w:r w:rsidR="00630EB5" w:rsidRPr="00A51748">
        <w:rPr>
          <w:rFonts w:cs="Times New Roman"/>
        </w:rPr>
        <w:t>Target 11</w:t>
      </w:r>
      <w:r w:rsidR="00052C33" w:rsidRPr="00A51748">
        <w:rPr>
          <w:rFonts w:cs="Times New Roman"/>
        </w:rPr>
        <w:t>: challenges</w:t>
      </w:r>
      <w:r w:rsidR="00630EB5" w:rsidRPr="00A51748">
        <w:rPr>
          <w:rFonts w:cs="Times New Roman"/>
        </w:rPr>
        <w:t xml:space="preserve">  </w:t>
      </w:r>
    </w:p>
    <w:p w14:paraId="287DBEB3" w14:textId="5B095BBE" w:rsidR="00BE63BC" w:rsidRPr="00A51748" w:rsidRDefault="006E3B5D" w:rsidP="006D6DCD">
      <w:pPr>
        <w:pStyle w:val="Para1"/>
        <w:numPr>
          <w:ilvl w:val="0"/>
          <w:numId w:val="0"/>
        </w:numPr>
        <w:tabs>
          <w:tab w:val="left" w:pos="720"/>
        </w:tabs>
        <w:spacing w:before="0" w:after="0"/>
        <w:rPr>
          <w:rFonts w:cs="Times New Roman"/>
        </w:rPr>
      </w:pPr>
      <w:r w:rsidRPr="00A51748">
        <w:rPr>
          <w:rFonts w:cs="Times New Roman"/>
          <w:b/>
          <w:bCs w:val="0"/>
          <w:iCs/>
        </w:rPr>
        <w:tab/>
      </w:r>
      <w:r w:rsidR="0033627D" w:rsidRPr="00A51748">
        <w:rPr>
          <w:rFonts w:cs="Times New Roman"/>
          <w:bCs w:val="0"/>
          <w:iCs/>
        </w:rPr>
        <w:t xml:space="preserve">Aichi </w:t>
      </w:r>
      <w:r w:rsidRPr="00A51748">
        <w:rPr>
          <w:rFonts w:cs="Times New Roman"/>
          <w:bCs w:val="0"/>
          <w:iCs/>
        </w:rPr>
        <w:t xml:space="preserve">Biodiversity </w:t>
      </w:r>
      <w:r w:rsidR="0033627D" w:rsidRPr="00A51748">
        <w:rPr>
          <w:rFonts w:cs="Times New Roman"/>
          <w:bCs w:val="0"/>
          <w:iCs/>
        </w:rPr>
        <w:t>Target 11</w:t>
      </w:r>
      <w:r w:rsidR="00D243E9" w:rsidRPr="00A51748">
        <w:rPr>
          <w:rFonts w:cs="Times New Roman"/>
          <w:lang w:val="en-CA" w:eastAsia="en-GB"/>
        </w:rPr>
        <w:t xml:space="preserve"> </w:t>
      </w:r>
      <w:r w:rsidR="00A70F1C" w:rsidRPr="00A51748">
        <w:rPr>
          <w:rFonts w:cs="Times New Roman"/>
          <w:lang w:val="en-CA" w:eastAsia="en-GB"/>
        </w:rPr>
        <w:t xml:space="preserve">includes both quantitative and </w:t>
      </w:r>
      <w:r w:rsidR="00987DDE" w:rsidRPr="00A51748">
        <w:rPr>
          <w:rFonts w:cs="Times New Roman"/>
          <w:lang w:val="en-CA" w:eastAsia="en-GB"/>
        </w:rPr>
        <w:t xml:space="preserve">qualitative </w:t>
      </w:r>
      <w:r w:rsidR="0044506A" w:rsidRPr="00A51748">
        <w:rPr>
          <w:rFonts w:cs="Times New Roman"/>
          <w:lang w:val="en-CA" w:eastAsia="en-GB"/>
        </w:rPr>
        <w:t>aspects</w:t>
      </w:r>
      <w:r w:rsidR="0033627D" w:rsidRPr="00A51748">
        <w:rPr>
          <w:rFonts w:cs="Times New Roman"/>
          <w:lang w:val="en-CA" w:eastAsia="en-GB"/>
        </w:rPr>
        <w:t xml:space="preserve"> </w:t>
      </w:r>
      <w:r w:rsidR="0044506A" w:rsidRPr="00A51748">
        <w:rPr>
          <w:rFonts w:cs="Times New Roman"/>
          <w:lang w:val="en-CA" w:eastAsia="en-GB"/>
        </w:rPr>
        <w:t>(</w:t>
      </w:r>
      <w:r w:rsidR="004C628C" w:rsidRPr="00A51748">
        <w:rPr>
          <w:rFonts w:cs="Times New Roman"/>
          <w:lang w:val="en-CA" w:eastAsia="en-GB"/>
        </w:rPr>
        <w:t xml:space="preserve">including effective </w:t>
      </w:r>
      <w:r w:rsidR="00226440" w:rsidRPr="00A51748">
        <w:rPr>
          <w:rFonts w:cs="Times New Roman"/>
          <w:lang w:val="en-CA" w:eastAsia="en-GB"/>
        </w:rPr>
        <w:t xml:space="preserve">and equitable </w:t>
      </w:r>
      <w:r w:rsidR="004C628C" w:rsidRPr="00A51748">
        <w:rPr>
          <w:rFonts w:cs="Times New Roman"/>
          <w:lang w:val="en-CA" w:eastAsia="en-GB"/>
        </w:rPr>
        <w:t xml:space="preserve">management, </w:t>
      </w:r>
      <w:r w:rsidR="0044506A" w:rsidRPr="00A51748">
        <w:rPr>
          <w:rFonts w:cs="Times New Roman"/>
          <w:lang w:val="en-CA" w:eastAsia="en-GB"/>
        </w:rPr>
        <w:t>representativeness</w:t>
      </w:r>
      <w:r w:rsidR="00D243E9" w:rsidRPr="00A51748">
        <w:rPr>
          <w:rFonts w:cs="Times New Roman"/>
          <w:lang w:val="en-CA" w:eastAsia="en-GB"/>
        </w:rPr>
        <w:t xml:space="preserve">, </w:t>
      </w:r>
      <w:r w:rsidR="00226440" w:rsidRPr="00A51748">
        <w:rPr>
          <w:rFonts w:cs="Times New Roman"/>
          <w:lang w:val="en-CA" w:eastAsia="en-GB"/>
        </w:rPr>
        <w:t xml:space="preserve">especially areas of particular importance for biodiversity and ecosystem services, </w:t>
      </w:r>
      <w:r w:rsidR="00D243E9" w:rsidRPr="00A51748">
        <w:rPr>
          <w:rFonts w:cs="Times New Roman"/>
          <w:lang w:val="en-CA" w:eastAsia="en-GB"/>
        </w:rPr>
        <w:t>connectivity,</w:t>
      </w:r>
      <w:r w:rsidR="00320B70" w:rsidRPr="00A51748">
        <w:rPr>
          <w:rFonts w:cs="Times New Roman"/>
          <w:lang w:val="en-CA" w:eastAsia="en-GB"/>
        </w:rPr>
        <w:t xml:space="preserve"> </w:t>
      </w:r>
      <w:r w:rsidR="00226440" w:rsidRPr="00A51748">
        <w:rPr>
          <w:rFonts w:cs="Times New Roman"/>
          <w:lang w:val="en-CA" w:eastAsia="en-GB"/>
        </w:rPr>
        <w:t>and integration into the wider landscape and seascape</w:t>
      </w:r>
      <w:r w:rsidR="0044506A" w:rsidRPr="00A51748">
        <w:rPr>
          <w:rFonts w:cs="Times New Roman"/>
          <w:lang w:val="en-CA" w:eastAsia="en-GB"/>
        </w:rPr>
        <w:t>)</w:t>
      </w:r>
      <w:r w:rsidR="00D243E9" w:rsidRPr="00A51748">
        <w:rPr>
          <w:rFonts w:cs="Times New Roman"/>
          <w:lang w:val="en-CA" w:eastAsia="en-GB"/>
        </w:rPr>
        <w:t xml:space="preserve">. </w:t>
      </w:r>
      <w:r w:rsidR="00052C33" w:rsidRPr="00A51748">
        <w:rPr>
          <w:rFonts w:cs="Times New Roman"/>
          <w:lang w:val="en-CA" w:eastAsia="en-GB"/>
        </w:rPr>
        <w:t xml:space="preserve">A </w:t>
      </w:r>
      <w:r w:rsidR="00BE63BC" w:rsidRPr="00A51748">
        <w:rPr>
          <w:rFonts w:cs="Times New Roman"/>
        </w:rPr>
        <w:t>number of criticisms</w:t>
      </w:r>
      <w:r w:rsidR="004C628C" w:rsidRPr="00A51748">
        <w:rPr>
          <w:rFonts w:cs="Times New Roman"/>
        </w:rPr>
        <w:t xml:space="preserve"> have been raised</w:t>
      </w:r>
      <w:r w:rsidR="00BE63BC" w:rsidRPr="00A51748">
        <w:rPr>
          <w:rFonts w:cs="Times New Roman"/>
        </w:rPr>
        <w:t xml:space="preserve"> </w:t>
      </w:r>
      <w:r w:rsidR="004C628C" w:rsidRPr="00A51748">
        <w:rPr>
          <w:rFonts w:cs="Times New Roman"/>
        </w:rPr>
        <w:t xml:space="preserve">regarding </w:t>
      </w:r>
      <w:r w:rsidR="00BE63BC" w:rsidRPr="00A51748">
        <w:rPr>
          <w:rFonts w:cs="Times New Roman"/>
        </w:rPr>
        <w:t>percentage-based/area-based targets;</w:t>
      </w:r>
      <w:r w:rsidR="00BE63BC" w:rsidRPr="00A51748">
        <w:rPr>
          <w:rStyle w:val="FootnoteReference"/>
          <w:rFonts w:cs="Times New Roman"/>
          <w:sz w:val="22"/>
        </w:rPr>
        <w:footnoteReference w:id="12"/>
      </w:r>
      <w:r w:rsidR="00BE63BC" w:rsidRPr="00A51748">
        <w:rPr>
          <w:rFonts w:cs="Times New Roman"/>
        </w:rPr>
        <w:t xml:space="preserve"> some of these include, </w:t>
      </w:r>
      <w:r w:rsidR="00BE63BC" w:rsidRPr="00A51748">
        <w:rPr>
          <w:rFonts w:cs="Times New Roman"/>
          <w:i/>
        </w:rPr>
        <w:t>inter alia</w:t>
      </w:r>
      <w:r w:rsidR="00BE63BC" w:rsidRPr="00A51748">
        <w:rPr>
          <w:rFonts w:cs="Times New Roman"/>
        </w:rPr>
        <w:t xml:space="preserve">: </w:t>
      </w:r>
    </w:p>
    <w:p w14:paraId="7B09A0E1" w14:textId="6B1CF9CA" w:rsidR="00BE63BC" w:rsidRPr="008E5FC2" w:rsidRDefault="006E3B5D" w:rsidP="006D6DCD">
      <w:pPr>
        <w:pStyle w:val="Para1"/>
        <w:numPr>
          <w:ilvl w:val="1"/>
          <w:numId w:val="14"/>
        </w:numPr>
        <w:spacing w:before="0"/>
        <w:ind w:left="1418"/>
        <w:rPr>
          <w:rFonts w:cs="Times New Roman"/>
        </w:rPr>
      </w:pPr>
      <w:r w:rsidRPr="00A51748">
        <w:rPr>
          <w:rFonts w:cs="Times New Roman"/>
        </w:rPr>
        <w:t>T</w:t>
      </w:r>
      <w:r w:rsidR="00BE63BC" w:rsidRPr="00A51748">
        <w:rPr>
          <w:rFonts w:cs="Times New Roman"/>
        </w:rPr>
        <w:t>argets set based on representation do not address species persistence (e.g. minimum r</w:t>
      </w:r>
      <w:r w:rsidR="00BE63BC" w:rsidRPr="008E5FC2">
        <w:rPr>
          <w:rFonts w:cs="Times New Roman"/>
        </w:rPr>
        <w:t xml:space="preserve">eserve area, or minimum replicates needed to ensure persistence); </w:t>
      </w:r>
    </w:p>
    <w:p w14:paraId="3B6DDF5C" w14:textId="5BC2D5EE" w:rsidR="00BE63BC" w:rsidRPr="008E5FC2" w:rsidRDefault="006E3B5D" w:rsidP="006D6DCD">
      <w:pPr>
        <w:pStyle w:val="Para1"/>
        <w:numPr>
          <w:ilvl w:val="1"/>
          <w:numId w:val="14"/>
        </w:numPr>
        <w:spacing w:before="0"/>
        <w:ind w:left="1418"/>
        <w:rPr>
          <w:rFonts w:cs="Times New Roman"/>
        </w:rPr>
      </w:pPr>
      <w:r w:rsidRPr="008E5FC2">
        <w:rPr>
          <w:rFonts w:cs="Times New Roman"/>
        </w:rPr>
        <w:t>T</w:t>
      </w:r>
      <w:r w:rsidR="00BE63BC" w:rsidRPr="008E5FC2">
        <w:rPr>
          <w:rFonts w:cs="Times New Roman"/>
        </w:rPr>
        <w:t xml:space="preserve">here is </w:t>
      </w:r>
      <w:r w:rsidR="008E5FC2">
        <w:rPr>
          <w:rFonts w:cs="Times New Roman"/>
        </w:rPr>
        <w:t xml:space="preserve">incomplete </w:t>
      </w:r>
      <w:r w:rsidR="00BE63BC" w:rsidRPr="008E5FC2">
        <w:rPr>
          <w:rFonts w:cs="Times New Roman"/>
        </w:rPr>
        <w:t>information on the distribution of most species</w:t>
      </w:r>
      <w:r w:rsidR="008E5FC2">
        <w:rPr>
          <w:rFonts w:cs="Times New Roman"/>
        </w:rPr>
        <w:t>;</w:t>
      </w:r>
    </w:p>
    <w:p w14:paraId="011E9D93" w14:textId="63AEE02C" w:rsidR="00BE63BC" w:rsidRPr="00A51748" w:rsidRDefault="006E3B5D" w:rsidP="006D6DCD">
      <w:pPr>
        <w:pStyle w:val="Para1"/>
        <w:numPr>
          <w:ilvl w:val="1"/>
          <w:numId w:val="14"/>
        </w:numPr>
        <w:spacing w:before="0"/>
        <w:ind w:left="1418"/>
        <w:rPr>
          <w:rFonts w:cs="Times New Roman"/>
        </w:rPr>
      </w:pPr>
      <w:r w:rsidRPr="00A51748">
        <w:rPr>
          <w:rFonts w:cs="Times New Roman"/>
        </w:rPr>
        <w:t>T</w:t>
      </w:r>
      <w:r w:rsidR="00BE63BC" w:rsidRPr="00A51748">
        <w:rPr>
          <w:rFonts w:cs="Times New Roman"/>
        </w:rPr>
        <w:t>he amount advocated may either be inadequate to meet biodiversity conservation objectives, or inefficient by conserving amounts far in excess of what is needed;</w:t>
      </w:r>
    </w:p>
    <w:p w14:paraId="0E8FB904" w14:textId="5978B881" w:rsidR="00BE63BC" w:rsidRPr="00A51748" w:rsidRDefault="006E3B5D" w:rsidP="006D6DCD">
      <w:pPr>
        <w:pStyle w:val="Para1"/>
        <w:numPr>
          <w:ilvl w:val="1"/>
          <w:numId w:val="14"/>
        </w:numPr>
        <w:spacing w:before="0"/>
        <w:ind w:left="1418"/>
        <w:rPr>
          <w:rFonts w:cs="Times New Roman"/>
        </w:rPr>
      </w:pPr>
      <w:r w:rsidRPr="00A51748">
        <w:rPr>
          <w:rFonts w:cs="Times New Roman"/>
        </w:rPr>
        <w:t>T</w:t>
      </w:r>
      <w:r w:rsidR="00BE63BC" w:rsidRPr="00A51748">
        <w:rPr>
          <w:rFonts w:cs="Times New Roman"/>
        </w:rPr>
        <w:t xml:space="preserve">hey may lead to ‘perverse outcomes’, such as the prioritisation of large </w:t>
      </w:r>
      <w:r w:rsidR="004C628C" w:rsidRPr="00A51748">
        <w:rPr>
          <w:rFonts w:cs="Times New Roman"/>
        </w:rPr>
        <w:t xml:space="preserve">protected areas </w:t>
      </w:r>
      <w:r w:rsidR="00BE63BC" w:rsidRPr="00A51748">
        <w:rPr>
          <w:rFonts w:cs="Times New Roman"/>
        </w:rPr>
        <w:t>in low opportunity cost areas that may not be particularly important for biodiversity;</w:t>
      </w:r>
    </w:p>
    <w:p w14:paraId="3AB9932A" w14:textId="77777777" w:rsidR="00BE63BC" w:rsidRPr="00A51748" w:rsidRDefault="00BE63BC" w:rsidP="006D6DCD">
      <w:pPr>
        <w:pStyle w:val="Para1"/>
        <w:numPr>
          <w:ilvl w:val="1"/>
          <w:numId w:val="14"/>
        </w:numPr>
        <w:spacing w:before="0"/>
        <w:ind w:left="1418"/>
        <w:rPr>
          <w:rFonts w:cs="Times New Roman"/>
        </w:rPr>
      </w:pPr>
      <w:r w:rsidRPr="00A51748">
        <w:rPr>
          <w:rFonts w:cs="Times New Roman"/>
        </w:rPr>
        <w:lastRenderedPageBreak/>
        <w:t>they may imply that the “remainder of each ecosystem can be modified or destroyed”;</w:t>
      </w:r>
    </w:p>
    <w:p w14:paraId="7C4F86E3" w14:textId="2D0E4D49" w:rsidR="00BE63BC" w:rsidRPr="008E5FC2" w:rsidRDefault="006E3B5D" w:rsidP="006D6DCD">
      <w:pPr>
        <w:pStyle w:val="Para1"/>
        <w:numPr>
          <w:ilvl w:val="1"/>
          <w:numId w:val="14"/>
        </w:numPr>
        <w:spacing w:before="0"/>
        <w:ind w:left="1418"/>
        <w:rPr>
          <w:rFonts w:cs="Times New Roman"/>
        </w:rPr>
      </w:pPr>
      <w:r w:rsidRPr="00A51748">
        <w:rPr>
          <w:rFonts w:cs="Times New Roman"/>
        </w:rPr>
        <w:t>A</w:t>
      </w:r>
      <w:r w:rsidR="00BE63BC" w:rsidRPr="00A51748">
        <w:rPr>
          <w:rFonts w:cs="Times New Roman"/>
        </w:rPr>
        <w:t xml:space="preserve"> strong focus on area-based conservation measures may detract from other actions </w:t>
      </w:r>
      <w:r w:rsidR="00BE63BC" w:rsidRPr="008E5FC2">
        <w:rPr>
          <w:rFonts w:cs="Times New Roman"/>
        </w:rPr>
        <w:t>required to address the full range of drivers of biodiversity loss</w:t>
      </w:r>
      <w:r w:rsidR="004C628C" w:rsidRPr="008E5FC2">
        <w:rPr>
          <w:rFonts w:cs="Times New Roman"/>
        </w:rPr>
        <w:t xml:space="preserve">; </w:t>
      </w:r>
    </w:p>
    <w:p w14:paraId="11F6A5B5" w14:textId="76F4551B" w:rsidR="00BE63BC" w:rsidRPr="008E5FC2" w:rsidRDefault="006E3B5D" w:rsidP="006D6DCD">
      <w:pPr>
        <w:pStyle w:val="Para1"/>
        <w:numPr>
          <w:ilvl w:val="1"/>
          <w:numId w:val="14"/>
        </w:numPr>
        <w:spacing w:before="0"/>
        <w:ind w:left="1418"/>
        <w:rPr>
          <w:rFonts w:cs="Times New Roman"/>
        </w:rPr>
      </w:pPr>
      <w:r w:rsidRPr="008E5FC2">
        <w:rPr>
          <w:rFonts w:cs="Times New Roman"/>
        </w:rPr>
        <w:t>T</w:t>
      </w:r>
      <w:r w:rsidR="00BE63BC" w:rsidRPr="008E5FC2">
        <w:rPr>
          <w:rFonts w:cs="Times New Roman"/>
        </w:rPr>
        <w:t xml:space="preserve">he Half-Earth proposal, in particular, is criticised for not addressing the root </w:t>
      </w:r>
      <w:r w:rsidR="00341636" w:rsidRPr="008E5FC2">
        <w:rPr>
          <w:rFonts w:cs="Times New Roman"/>
        </w:rPr>
        <w:t xml:space="preserve">cause </w:t>
      </w:r>
      <w:r w:rsidR="00BE63BC" w:rsidRPr="008E5FC2">
        <w:rPr>
          <w:rFonts w:cs="Times New Roman"/>
        </w:rPr>
        <w:t xml:space="preserve">of the problem (e.g. overconsumption in the Global North),  </w:t>
      </w:r>
      <w:r w:rsidR="00341636" w:rsidRPr="008E5FC2">
        <w:rPr>
          <w:rFonts w:cs="Times New Roman"/>
        </w:rPr>
        <w:t xml:space="preserve">for </w:t>
      </w:r>
      <w:r w:rsidR="00BE63BC" w:rsidRPr="008E5FC2">
        <w:rPr>
          <w:rFonts w:cs="Times New Roman"/>
        </w:rPr>
        <w:t>potential</w:t>
      </w:r>
      <w:r w:rsidR="00341636" w:rsidRPr="008E5FC2">
        <w:rPr>
          <w:rFonts w:cs="Times New Roman"/>
        </w:rPr>
        <w:t>ly having</w:t>
      </w:r>
      <w:r w:rsidR="00BE63BC" w:rsidRPr="008E5FC2">
        <w:rPr>
          <w:rFonts w:cs="Times New Roman"/>
        </w:rPr>
        <w:t xml:space="preserve"> negative consequences </w:t>
      </w:r>
      <w:r w:rsidR="00341636" w:rsidRPr="008E5FC2">
        <w:rPr>
          <w:rFonts w:cs="Times New Roman"/>
        </w:rPr>
        <w:t xml:space="preserve">on </w:t>
      </w:r>
      <w:r w:rsidR="00BE63BC" w:rsidRPr="008E5FC2">
        <w:rPr>
          <w:rFonts w:cs="Times New Roman"/>
        </w:rPr>
        <w:t>people, and  not address</w:t>
      </w:r>
      <w:r w:rsidR="00341636" w:rsidRPr="008E5FC2">
        <w:rPr>
          <w:rFonts w:cs="Times New Roman"/>
        </w:rPr>
        <w:t>ing</w:t>
      </w:r>
      <w:r w:rsidR="00BE63BC" w:rsidRPr="008E5FC2">
        <w:rPr>
          <w:rFonts w:cs="Times New Roman"/>
        </w:rPr>
        <w:t xml:space="preserve"> conservation in the human-dominated </w:t>
      </w:r>
      <w:r w:rsidR="00341636" w:rsidRPr="008E5FC2">
        <w:rPr>
          <w:rFonts w:cs="Times New Roman"/>
        </w:rPr>
        <w:t xml:space="preserve">other </w:t>
      </w:r>
      <w:r w:rsidR="00BE63BC" w:rsidRPr="008E5FC2">
        <w:rPr>
          <w:rFonts w:cs="Times New Roman"/>
        </w:rPr>
        <w:t>half;</w:t>
      </w:r>
      <w:r w:rsidR="00BE63BC" w:rsidRPr="008E5FC2">
        <w:rPr>
          <w:rStyle w:val="FootnoteReference"/>
          <w:rFonts w:cs="Times New Roman"/>
        </w:rPr>
        <w:footnoteReference w:id="13"/>
      </w:r>
    </w:p>
    <w:p w14:paraId="207AABCA" w14:textId="419AAD03" w:rsidR="000B41E2" w:rsidRPr="00A51748" w:rsidRDefault="006E3B5D" w:rsidP="006D6DCD">
      <w:pPr>
        <w:pStyle w:val="Para1"/>
        <w:numPr>
          <w:ilvl w:val="1"/>
          <w:numId w:val="14"/>
        </w:numPr>
        <w:spacing w:before="0"/>
        <w:ind w:left="1418"/>
        <w:rPr>
          <w:rFonts w:cs="Times New Roman"/>
        </w:rPr>
      </w:pPr>
      <w:r w:rsidRPr="00A51748">
        <w:rPr>
          <w:rFonts w:cs="Times New Roman"/>
        </w:rPr>
        <w:t>T</w:t>
      </w:r>
      <w:r w:rsidR="00BE63BC" w:rsidRPr="00A51748">
        <w:rPr>
          <w:rFonts w:cs="Times New Roman"/>
        </w:rPr>
        <w:t xml:space="preserve">he world is heterogeneous (ecological and social conditions vary considerably), as such </w:t>
      </w:r>
      <w:r w:rsidRPr="00A51748">
        <w:rPr>
          <w:rFonts w:cs="Times New Roman"/>
        </w:rPr>
        <w:t xml:space="preserve">a ‘one size fits all approach’ </w:t>
      </w:r>
      <w:r w:rsidR="00BE63BC" w:rsidRPr="00A51748">
        <w:rPr>
          <w:rFonts w:cs="Times New Roman"/>
        </w:rPr>
        <w:t>(a single percentage-based target) is inappropriate (some areas will require far more protection than others).</w:t>
      </w:r>
    </w:p>
    <w:p w14:paraId="737F89AB" w14:textId="071BE562" w:rsidR="002F43CC" w:rsidRPr="00A51748" w:rsidRDefault="006E3B5D" w:rsidP="006D6DCD">
      <w:pPr>
        <w:rPr>
          <w:rFonts w:cs="Times New Roman"/>
        </w:rPr>
      </w:pPr>
      <w:r w:rsidRPr="00A51748">
        <w:rPr>
          <w:rFonts w:cs="Times New Roman"/>
        </w:rPr>
        <w:tab/>
      </w:r>
    </w:p>
    <w:p w14:paraId="31285072" w14:textId="0458EB1E" w:rsidR="00807990" w:rsidRPr="00A51748" w:rsidRDefault="00540BA9" w:rsidP="006D6DCD">
      <w:pPr>
        <w:pStyle w:val="Heading1"/>
        <w:spacing w:before="0"/>
        <w:jc w:val="both"/>
      </w:pPr>
      <w:r w:rsidRPr="00A51748">
        <w:t>Purpose</w:t>
      </w:r>
      <w:r w:rsidR="000C3973" w:rsidRPr="00A51748">
        <w:t xml:space="preserve">, </w:t>
      </w:r>
      <w:r w:rsidRPr="00A51748">
        <w:t xml:space="preserve">expected </w:t>
      </w:r>
      <w:r w:rsidR="000C3973" w:rsidRPr="00A51748">
        <w:t xml:space="preserve">output and </w:t>
      </w:r>
      <w:r w:rsidRPr="00A51748">
        <w:t>outcome</w:t>
      </w:r>
      <w:r w:rsidR="00230776" w:rsidRPr="00A51748">
        <w:t xml:space="preserve"> </w:t>
      </w:r>
      <w:r w:rsidR="000C3973" w:rsidRPr="00A51748">
        <w:t>from the thematic workshop</w:t>
      </w:r>
    </w:p>
    <w:p w14:paraId="32F881FC" w14:textId="371DFA38" w:rsidR="00807990" w:rsidRPr="00A51748" w:rsidRDefault="00807990" w:rsidP="006D6DCD">
      <w:pPr>
        <w:pStyle w:val="Para1"/>
        <w:numPr>
          <w:ilvl w:val="0"/>
          <w:numId w:val="0"/>
        </w:numPr>
        <w:spacing w:before="0"/>
        <w:ind w:firstLine="720"/>
        <w:rPr>
          <w:rFonts w:cs="Times New Roman"/>
        </w:rPr>
      </w:pPr>
      <w:r w:rsidRPr="00A51748">
        <w:rPr>
          <w:rFonts w:cs="Times New Roman"/>
        </w:rPr>
        <w:t xml:space="preserve">The thematic workshop is an expert meeting aiming at providing the Co-Chairs of the </w:t>
      </w:r>
      <w:r w:rsidR="00052C33" w:rsidRPr="00A51748">
        <w:rPr>
          <w:rFonts w:cs="Times New Roman"/>
        </w:rPr>
        <w:t xml:space="preserve">Open-ended </w:t>
      </w:r>
      <w:r w:rsidRPr="00A51748">
        <w:rPr>
          <w:rFonts w:cs="Times New Roman"/>
        </w:rPr>
        <w:t>Working Group on the Post-2020 Global Biodiversity Framework with concrete and constructive inputs for consideration in their future work on the post-2020 global biodiversity framework. The workshop does not constitute a negotiating process but will serve to seek areas of convergence.</w:t>
      </w:r>
    </w:p>
    <w:p w14:paraId="580D710A" w14:textId="7A64A17A" w:rsidR="00230776" w:rsidRDefault="00807990" w:rsidP="006D6DCD">
      <w:pPr>
        <w:spacing w:after="120"/>
        <w:ind w:firstLine="720"/>
        <w:rPr>
          <w:rFonts w:cs="Times New Roman"/>
        </w:rPr>
      </w:pPr>
      <w:r w:rsidRPr="00A51748">
        <w:rPr>
          <w:rFonts w:cs="Times New Roman"/>
        </w:rPr>
        <w:t xml:space="preserve">The main purpose of </w:t>
      </w:r>
      <w:r w:rsidR="000C3973" w:rsidRPr="00A51748">
        <w:rPr>
          <w:rFonts w:cs="Times New Roman"/>
        </w:rPr>
        <w:t>the</w:t>
      </w:r>
      <w:r w:rsidRPr="00A51748">
        <w:rPr>
          <w:rFonts w:cs="Times New Roman"/>
        </w:rPr>
        <w:t xml:space="preserve"> workshop is to develop c</w:t>
      </w:r>
      <w:r w:rsidR="00230776" w:rsidRPr="00A51748">
        <w:rPr>
          <w:rFonts w:cs="Times New Roman"/>
        </w:rPr>
        <w:t>oncrete proposals to be considered in the further development of the post-2020 Global Biodiversity Framework</w:t>
      </w:r>
      <w:r w:rsidR="00A51748" w:rsidRPr="00A51748">
        <w:rPr>
          <w:rFonts w:cs="Times New Roman"/>
        </w:rPr>
        <w:t>.</w:t>
      </w:r>
      <w:r w:rsidR="00052C33" w:rsidRPr="00A51748">
        <w:rPr>
          <w:rFonts w:cs="Times New Roman"/>
        </w:rPr>
        <w:t xml:space="preserve"> </w:t>
      </w:r>
      <w:r w:rsidR="00230776" w:rsidRPr="00A51748">
        <w:rPr>
          <w:rFonts w:cs="Times New Roman"/>
        </w:rPr>
        <w:t>To the extent feasible and appropriate, these proposals will cover the different elements of the framework with particular focus on goals, targets,</w:t>
      </w:r>
      <w:r w:rsidR="000A1499" w:rsidRPr="00A51748">
        <w:rPr>
          <w:rFonts w:cs="Times New Roman"/>
        </w:rPr>
        <w:t xml:space="preserve"> sub-, with</w:t>
      </w:r>
      <w:r w:rsidR="00230776" w:rsidRPr="00A51748">
        <w:rPr>
          <w:rFonts w:cs="Times New Roman"/>
        </w:rPr>
        <w:t xml:space="preserve"> </w:t>
      </w:r>
      <w:r w:rsidR="00052C33" w:rsidRPr="00A51748">
        <w:rPr>
          <w:rFonts w:cs="Times New Roman"/>
        </w:rPr>
        <w:t xml:space="preserve">possible </w:t>
      </w:r>
      <w:r w:rsidR="00230776" w:rsidRPr="00A51748">
        <w:rPr>
          <w:rFonts w:cs="Times New Roman"/>
        </w:rPr>
        <w:t xml:space="preserve">indicators and </w:t>
      </w:r>
      <w:r w:rsidRPr="00A51748">
        <w:rPr>
          <w:rFonts w:cs="Times New Roman"/>
        </w:rPr>
        <w:t>baselines as</w:t>
      </w:r>
      <w:r w:rsidR="000A1499" w:rsidRPr="00A51748">
        <w:rPr>
          <w:rFonts w:cs="Times New Roman"/>
        </w:rPr>
        <w:t xml:space="preserve"> well as monitoring approaches.</w:t>
      </w:r>
    </w:p>
    <w:p w14:paraId="0193CE12" w14:textId="77777777" w:rsidR="00511C1B" w:rsidRPr="00A51748" w:rsidRDefault="00511C1B" w:rsidP="006D6DCD">
      <w:pPr>
        <w:spacing w:after="120"/>
        <w:ind w:firstLine="720"/>
        <w:rPr>
          <w:rFonts w:cs="Times New Roman"/>
        </w:rPr>
      </w:pPr>
    </w:p>
    <w:p w14:paraId="53E292E6" w14:textId="73E0E2E0" w:rsidR="000A1499" w:rsidRPr="00A51748" w:rsidRDefault="000A1499" w:rsidP="006D6DCD">
      <w:pPr>
        <w:pStyle w:val="Heading1"/>
        <w:spacing w:before="0"/>
        <w:jc w:val="both"/>
      </w:pPr>
      <w:r w:rsidRPr="00A51748">
        <w:t xml:space="preserve">Some </w:t>
      </w:r>
      <w:r w:rsidR="002034AE" w:rsidRPr="00A51748">
        <w:t>C</w:t>
      </w:r>
      <w:r w:rsidRPr="00A51748">
        <w:t xml:space="preserve">onsiderations </w:t>
      </w:r>
    </w:p>
    <w:p w14:paraId="362A759F" w14:textId="77777777" w:rsidR="000A1499" w:rsidRPr="00A51748" w:rsidRDefault="000A1499" w:rsidP="006D6DCD">
      <w:pPr>
        <w:pStyle w:val="NormalWeb"/>
        <w:numPr>
          <w:ilvl w:val="0"/>
          <w:numId w:val="22"/>
        </w:numPr>
        <w:spacing w:before="0" w:beforeAutospacing="0" w:after="60" w:afterAutospacing="0"/>
        <w:jc w:val="both"/>
        <w:rPr>
          <w:rFonts w:ascii="Times New Roman" w:hAnsi="Times New Roman" w:cs="Times New Roman"/>
          <w:color w:val="auto"/>
          <w:sz w:val="22"/>
          <w:szCs w:val="22"/>
        </w:rPr>
      </w:pPr>
      <w:r w:rsidRPr="00A51748">
        <w:rPr>
          <w:rFonts w:ascii="Times New Roman" w:hAnsi="Times New Roman" w:cs="Times New Roman"/>
          <w:color w:val="auto"/>
          <w:sz w:val="22"/>
          <w:szCs w:val="22"/>
        </w:rPr>
        <w:t>As reiterated in the Concept Note the workshop is not a negotiation meeting. All participants, collectively and in an iterative manner, will strive to unravel the issues and find ways and means to address them so that the OEWG Co-chairs will be able to present the best plausible text for facilitating meaningful discussions on SMART targets for post-2020 GBF.</w:t>
      </w:r>
    </w:p>
    <w:p w14:paraId="15EF161A" w14:textId="77777777" w:rsidR="000A1499" w:rsidRPr="00A51748" w:rsidRDefault="000A1499" w:rsidP="006D6DCD">
      <w:pPr>
        <w:pStyle w:val="NormalWeb"/>
        <w:numPr>
          <w:ilvl w:val="0"/>
          <w:numId w:val="22"/>
        </w:numPr>
        <w:spacing w:before="0" w:beforeAutospacing="0" w:after="60" w:afterAutospacing="0"/>
        <w:jc w:val="both"/>
        <w:rPr>
          <w:rFonts w:ascii="Times New Roman" w:hAnsi="Times New Roman" w:cs="Times New Roman"/>
          <w:color w:val="auto"/>
          <w:sz w:val="22"/>
          <w:szCs w:val="22"/>
        </w:rPr>
      </w:pPr>
      <w:r w:rsidRPr="00A51748">
        <w:rPr>
          <w:rFonts w:ascii="Times New Roman" w:hAnsi="Times New Roman" w:cs="Times New Roman"/>
          <w:color w:val="auto"/>
          <w:sz w:val="22"/>
          <w:szCs w:val="22"/>
        </w:rPr>
        <w:t xml:space="preserve">To develop ABCM targets for the Post-2020 GBF, we should consider, inter alia, the experiences gained, and lessons learned from the implementation of Aichi Targets, in particular Target 11, as well as recently developed concepts in this area. </w:t>
      </w:r>
    </w:p>
    <w:p w14:paraId="74AE0AD5" w14:textId="7CF8DEEA" w:rsidR="000A1499" w:rsidRPr="00A51748" w:rsidRDefault="000A1499" w:rsidP="006D6DCD">
      <w:pPr>
        <w:pStyle w:val="NormalWeb"/>
        <w:numPr>
          <w:ilvl w:val="0"/>
          <w:numId w:val="22"/>
        </w:numPr>
        <w:spacing w:before="0" w:beforeAutospacing="0" w:after="60" w:afterAutospacing="0"/>
        <w:jc w:val="both"/>
        <w:rPr>
          <w:rFonts w:ascii="Times New Roman" w:hAnsi="Times New Roman" w:cs="Times New Roman"/>
          <w:color w:val="auto"/>
          <w:sz w:val="22"/>
          <w:szCs w:val="22"/>
        </w:rPr>
      </w:pPr>
      <w:r w:rsidRPr="00A51748">
        <w:rPr>
          <w:rFonts w:ascii="Times New Roman" w:hAnsi="Times New Roman" w:cs="Times New Roman"/>
          <w:color w:val="auto"/>
          <w:sz w:val="22"/>
          <w:szCs w:val="22"/>
        </w:rPr>
        <w:t>Another important consideration that warrants contemplation is how ABCMs will help us to attain the overall objective of the Post-2020 GBF to achieve the 2050 Vision (</w:t>
      </w:r>
      <w:r w:rsidRPr="00A51748">
        <w:rPr>
          <w:rFonts w:ascii="Times New Roman" w:hAnsi="Times New Roman" w:cs="Times New Roman"/>
          <w:i/>
          <w:iCs/>
          <w:color w:val="auto"/>
          <w:sz w:val="22"/>
          <w:szCs w:val="22"/>
        </w:rPr>
        <w:t>biodiversity is valued, conserved, restored and wisely used, maintaining ecosystem services, sustaining a healthy planet and delivering benefits essential for all people</w:t>
      </w:r>
      <w:r w:rsidRPr="00A51748">
        <w:rPr>
          <w:rFonts w:ascii="Times New Roman" w:hAnsi="Times New Roman" w:cs="Times New Roman"/>
          <w:color w:val="auto"/>
          <w:sz w:val="22"/>
          <w:szCs w:val="22"/>
        </w:rPr>
        <w:t>). The elements of the 2050 Vision should be all integrated —action in one area will support outcomes in the others. So while approaching the elements of the 2050 Vision individually, we should not lose the sight of their intricate interrelationships and interactions.</w:t>
      </w:r>
    </w:p>
    <w:p w14:paraId="4406987E" w14:textId="77777777" w:rsidR="00511C1B" w:rsidRPr="00A51748" w:rsidRDefault="00511C1B" w:rsidP="006D6DCD">
      <w:pPr>
        <w:spacing w:after="60"/>
        <w:ind w:firstLine="720"/>
        <w:rPr>
          <w:rFonts w:cs="Times New Roman"/>
          <w:lang w:val="en-CA" w:eastAsia="en-GB"/>
        </w:rPr>
      </w:pPr>
    </w:p>
    <w:p w14:paraId="4E53A0E6" w14:textId="4D0105D5" w:rsidR="000A1499" w:rsidRPr="00A51748" w:rsidRDefault="000A1499" w:rsidP="006D6DCD">
      <w:pPr>
        <w:pStyle w:val="NormalWeb"/>
        <w:numPr>
          <w:ilvl w:val="2"/>
          <w:numId w:val="14"/>
        </w:numPr>
        <w:spacing w:before="0" w:beforeAutospacing="0"/>
        <w:ind w:left="720"/>
        <w:jc w:val="both"/>
        <w:rPr>
          <w:rFonts w:ascii="Times New Roman" w:hAnsi="Times New Roman" w:cs="Times New Roman"/>
          <w:b/>
          <w:i/>
          <w:color w:val="auto"/>
          <w:sz w:val="22"/>
          <w:szCs w:val="22"/>
        </w:rPr>
      </w:pPr>
      <w:r w:rsidRPr="00A51748">
        <w:rPr>
          <w:rFonts w:ascii="Times New Roman" w:hAnsi="Times New Roman" w:cs="Times New Roman"/>
          <w:b/>
          <w:i/>
          <w:color w:val="auto"/>
          <w:sz w:val="22"/>
          <w:szCs w:val="22"/>
        </w:rPr>
        <w:t>Agenda of the Workshop</w:t>
      </w:r>
    </w:p>
    <w:p w14:paraId="795073F0" w14:textId="2884CCC7" w:rsidR="000A1499" w:rsidRPr="00A51748" w:rsidRDefault="000A1499" w:rsidP="006D6DCD">
      <w:pPr>
        <w:pStyle w:val="NormalWeb"/>
        <w:spacing w:before="0" w:beforeAutospacing="0" w:after="60" w:afterAutospacing="0"/>
        <w:ind w:firstLine="720"/>
        <w:jc w:val="both"/>
        <w:rPr>
          <w:rFonts w:ascii="Times New Roman" w:hAnsi="Times New Roman" w:cs="Times New Roman"/>
          <w:color w:val="auto"/>
          <w:sz w:val="22"/>
          <w:szCs w:val="22"/>
        </w:rPr>
      </w:pPr>
      <w:r w:rsidRPr="00A51748">
        <w:rPr>
          <w:rFonts w:ascii="Times New Roman" w:hAnsi="Times New Roman" w:cs="Times New Roman"/>
          <w:color w:val="auto"/>
          <w:sz w:val="22"/>
          <w:szCs w:val="22"/>
        </w:rPr>
        <w:t>Taking cognizance of the Concept Note, the objective of the workshop</w:t>
      </w:r>
      <w:r w:rsidR="009E5C65" w:rsidRPr="00A51748">
        <w:rPr>
          <w:rFonts w:ascii="Times New Roman" w:hAnsi="Times New Roman" w:cs="Times New Roman"/>
          <w:color w:val="auto"/>
          <w:sz w:val="22"/>
          <w:szCs w:val="22"/>
        </w:rPr>
        <w:t xml:space="preserve"> and </w:t>
      </w:r>
      <w:r w:rsidRPr="00A51748">
        <w:rPr>
          <w:rFonts w:ascii="Times New Roman" w:hAnsi="Times New Roman" w:cs="Times New Roman"/>
          <w:color w:val="auto"/>
          <w:sz w:val="22"/>
          <w:szCs w:val="22"/>
        </w:rPr>
        <w:t>the agenda of the workshop has been designed.</w:t>
      </w:r>
    </w:p>
    <w:p w14:paraId="1E7CBCF8" w14:textId="77777777" w:rsidR="000A1499" w:rsidRPr="00A51748" w:rsidRDefault="000A1499" w:rsidP="006D6DCD">
      <w:pPr>
        <w:pStyle w:val="NormalWeb"/>
        <w:numPr>
          <w:ilvl w:val="0"/>
          <w:numId w:val="23"/>
        </w:numPr>
        <w:spacing w:before="0" w:beforeAutospacing="0" w:after="60" w:afterAutospacing="0"/>
        <w:jc w:val="both"/>
        <w:rPr>
          <w:rFonts w:ascii="Times New Roman" w:hAnsi="Times New Roman" w:cs="Times New Roman"/>
          <w:color w:val="auto"/>
          <w:sz w:val="22"/>
          <w:szCs w:val="22"/>
        </w:rPr>
      </w:pPr>
      <w:r w:rsidRPr="00A51748">
        <w:rPr>
          <w:rFonts w:ascii="Times New Roman" w:hAnsi="Times New Roman" w:cs="Times New Roman"/>
          <w:color w:val="auto"/>
          <w:sz w:val="22"/>
          <w:szCs w:val="22"/>
        </w:rPr>
        <w:t xml:space="preserve">For achieving the workshop objective, the first day is devoted to setting the stage, stock-taking, and lessons learned (e.g. what worked, what did not work, how they can be improved for </w:t>
      </w:r>
      <w:r w:rsidRPr="00A51748">
        <w:rPr>
          <w:rFonts w:ascii="Times New Roman" w:hAnsi="Times New Roman" w:cs="Times New Roman"/>
          <w:color w:val="auto"/>
          <w:sz w:val="22"/>
          <w:szCs w:val="22"/>
        </w:rPr>
        <w:lastRenderedPageBreak/>
        <w:t xml:space="preserve">inclusion in the Post-2020 GBF). Towards the end of first day, the workshop will hear case studies from five countries - one from each of the five UN regions. Countries will share their experiences and share the ground realities of what a target/targets, sub targets, actions, and indicators look like (kindly note the purpose is to provide some food for thought for deliberations in the workshop, not to be purported to be respective country positions, </w:t>
      </w:r>
      <w:r w:rsidRPr="00A51748">
        <w:rPr>
          <w:rFonts w:ascii="Times New Roman" w:hAnsi="Times New Roman" w:cs="Times New Roman"/>
          <w:i/>
          <w:iCs/>
          <w:color w:val="auto"/>
          <w:sz w:val="22"/>
          <w:szCs w:val="22"/>
        </w:rPr>
        <w:t>per se</w:t>
      </w:r>
      <w:r w:rsidRPr="00A51748">
        <w:rPr>
          <w:rFonts w:ascii="Times New Roman" w:hAnsi="Times New Roman" w:cs="Times New Roman"/>
          <w:color w:val="auto"/>
          <w:sz w:val="22"/>
          <w:szCs w:val="22"/>
        </w:rPr>
        <w:t xml:space="preserve">). </w:t>
      </w:r>
    </w:p>
    <w:p w14:paraId="326A3675" w14:textId="77777777" w:rsidR="000A1499" w:rsidRPr="00A51748" w:rsidRDefault="000A1499" w:rsidP="006D6DCD">
      <w:pPr>
        <w:pStyle w:val="NormalWeb"/>
        <w:numPr>
          <w:ilvl w:val="0"/>
          <w:numId w:val="23"/>
        </w:numPr>
        <w:spacing w:before="0" w:beforeAutospacing="0" w:after="60" w:afterAutospacing="0"/>
        <w:jc w:val="both"/>
        <w:rPr>
          <w:rFonts w:ascii="Times New Roman" w:hAnsi="Times New Roman" w:cs="Times New Roman"/>
          <w:color w:val="auto"/>
          <w:sz w:val="22"/>
          <w:szCs w:val="22"/>
        </w:rPr>
      </w:pPr>
      <w:r w:rsidRPr="00A51748">
        <w:rPr>
          <w:rFonts w:ascii="Times New Roman" w:hAnsi="Times New Roman" w:cs="Times New Roman"/>
          <w:color w:val="auto"/>
          <w:sz w:val="22"/>
          <w:szCs w:val="22"/>
        </w:rPr>
        <w:t>The second day is devoted to obtaining constructive and specific inputs for the use of OEWG Co-chairs for consideration in their work on the draft the Post-2020 GBF.</w:t>
      </w:r>
    </w:p>
    <w:p w14:paraId="2FB80178" w14:textId="4C14F3B9" w:rsidR="000A1499" w:rsidRDefault="000A1499" w:rsidP="006D6DCD">
      <w:pPr>
        <w:pStyle w:val="NormalWeb"/>
        <w:numPr>
          <w:ilvl w:val="0"/>
          <w:numId w:val="23"/>
        </w:numPr>
        <w:spacing w:before="0" w:beforeAutospacing="0" w:after="60" w:afterAutospacing="0"/>
        <w:jc w:val="both"/>
        <w:rPr>
          <w:rFonts w:ascii="Times New Roman" w:hAnsi="Times New Roman" w:cs="Times New Roman"/>
          <w:color w:val="auto"/>
          <w:sz w:val="22"/>
          <w:szCs w:val="22"/>
        </w:rPr>
      </w:pPr>
      <w:r w:rsidRPr="00A51748">
        <w:rPr>
          <w:rFonts w:ascii="Times New Roman" w:hAnsi="Times New Roman" w:cs="Times New Roman"/>
          <w:color w:val="auto"/>
          <w:sz w:val="22"/>
          <w:szCs w:val="22"/>
        </w:rPr>
        <w:t>The third day is devoted to understanding the relationship between ABCMs and other elements of the 2050 Vision, any other issues that may have been missed from the first two days, and a discussion of baselines, indicators and monitoring for ABCMs in the Post-2020 GBF.</w:t>
      </w:r>
    </w:p>
    <w:p w14:paraId="5AD6EF8D" w14:textId="77777777" w:rsidR="00511C1B" w:rsidRPr="00A51748" w:rsidRDefault="00511C1B" w:rsidP="006D6DCD">
      <w:pPr>
        <w:pStyle w:val="NormalWeb"/>
        <w:spacing w:before="0" w:beforeAutospacing="0" w:after="60" w:afterAutospacing="0"/>
        <w:ind w:left="720"/>
        <w:jc w:val="both"/>
        <w:rPr>
          <w:rFonts w:ascii="Times New Roman" w:hAnsi="Times New Roman" w:cs="Times New Roman"/>
          <w:color w:val="auto"/>
          <w:sz w:val="22"/>
          <w:szCs w:val="22"/>
        </w:rPr>
      </w:pPr>
    </w:p>
    <w:p w14:paraId="411D1FB3" w14:textId="6FAB8A8D" w:rsidR="000A1499" w:rsidRPr="00A51748" w:rsidRDefault="000A1499" w:rsidP="006D6DCD">
      <w:pPr>
        <w:pStyle w:val="NormalWeb"/>
        <w:numPr>
          <w:ilvl w:val="2"/>
          <w:numId w:val="14"/>
        </w:numPr>
        <w:spacing w:before="0" w:beforeAutospacing="0"/>
        <w:ind w:left="720"/>
        <w:jc w:val="both"/>
        <w:rPr>
          <w:rFonts w:ascii="Times New Roman" w:hAnsi="Times New Roman" w:cs="Times New Roman"/>
          <w:b/>
          <w:i/>
          <w:color w:val="auto"/>
          <w:sz w:val="22"/>
          <w:szCs w:val="22"/>
        </w:rPr>
      </w:pPr>
      <w:r w:rsidRPr="00A51748">
        <w:rPr>
          <w:rFonts w:ascii="Times New Roman" w:hAnsi="Times New Roman" w:cs="Times New Roman"/>
          <w:b/>
          <w:i/>
          <w:color w:val="auto"/>
          <w:sz w:val="22"/>
          <w:szCs w:val="22"/>
        </w:rPr>
        <w:t>Some key questions the workshop seeks to find answers</w:t>
      </w:r>
      <w:r w:rsidR="009E5C65" w:rsidRPr="00A51748">
        <w:rPr>
          <w:rFonts w:ascii="Times New Roman" w:hAnsi="Times New Roman" w:cs="Times New Roman"/>
          <w:b/>
          <w:i/>
          <w:color w:val="auto"/>
          <w:sz w:val="22"/>
          <w:szCs w:val="22"/>
        </w:rPr>
        <w:t xml:space="preserve"> for</w:t>
      </w:r>
      <w:r w:rsidRPr="00A51748">
        <w:rPr>
          <w:rFonts w:ascii="Times New Roman" w:hAnsi="Times New Roman" w:cs="Times New Roman"/>
          <w:b/>
          <w:i/>
          <w:color w:val="auto"/>
          <w:sz w:val="22"/>
          <w:szCs w:val="22"/>
        </w:rPr>
        <w:t>:</w:t>
      </w:r>
    </w:p>
    <w:p w14:paraId="6048D5D7" w14:textId="77777777" w:rsidR="008E5FC2" w:rsidRPr="00D945C0" w:rsidRDefault="008E5FC2" w:rsidP="006D6DCD">
      <w:pPr>
        <w:pStyle w:val="ListParagraph"/>
        <w:numPr>
          <w:ilvl w:val="0"/>
          <w:numId w:val="24"/>
        </w:numPr>
        <w:spacing w:after="60"/>
        <w:jc w:val="both"/>
        <w:rPr>
          <w:rFonts w:ascii="Times New Roman" w:hAnsi="Times New Roman" w:cs="Times New Roman"/>
        </w:rPr>
      </w:pPr>
      <w:r w:rsidRPr="00D945C0">
        <w:rPr>
          <w:rFonts w:ascii="Times New Roman" w:hAnsi="Times New Roman" w:cs="Times New Roman"/>
        </w:rPr>
        <w:t>What worked well regarding the design, implementation and monitoring of Target 11?</w:t>
      </w:r>
    </w:p>
    <w:p w14:paraId="654094CF" w14:textId="77777777" w:rsidR="008E5FC2" w:rsidRPr="00D945C0" w:rsidRDefault="008E5FC2" w:rsidP="006D6DCD">
      <w:pPr>
        <w:pStyle w:val="ListParagraph"/>
        <w:numPr>
          <w:ilvl w:val="0"/>
          <w:numId w:val="24"/>
        </w:numPr>
        <w:spacing w:after="60"/>
        <w:jc w:val="both"/>
        <w:rPr>
          <w:rFonts w:ascii="Times New Roman" w:hAnsi="Times New Roman" w:cs="Times New Roman"/>
        </w:rPr>
      </w:pPr>
      <w:r w:rsidRPr="00D945C0">
        <w:rPr>
          <w:rFonts w:ascii="Times New Roman" w:hAnsi="Times New Roman" w:cs="Times New Roman"/>
        </w:rPr>
        <w:t>What did not work regarding the design, implementation and monitoring of Target 11?</w:t>
      </w:r>
    </w:p>
    <w:p w14:paraId="7999C521" w14:textId="77777777" w:rsidR="008E5FC2" w:rsidRPr="00D945C0" w:rsidRDefault="008E5FC2" w:rsidP="006D6DCD">
      <w:pPr>
        <w:pStyle w:val="ListParagraph"/>
        <w:numPr>
          <w:ilvl w:val="0"/>
          <w:numId w:val="24"/>
        </w:numPr>
        <w:spacing w:after="60"/>
        <w:jc w:val="both"/>
        <w:rPr>
          <w:rFonts w:ascii="Times New Roman" w:hAnsi="Times New Roman" w:cs="Times New Roman"/>
        </w:rPr>
      </w:pPr>
      <w:r w:rsidRPr="00D945C0">
        <w:rPr>
          <w:rFonts w:ascii="Times New Roman" w:hAnsi="Times New Roman" w:cs="Times New Roman"/>
        </w:rPr>
        <w:t xml:space="preserve">Were there specific opportunities or challenges faced in implementation, regarding specific elements of Target 11?  </w:t>
      </w:r>
      <w:r w:rsidRPr="00D945C0">
        <w:rPr>
          <w:rFonts w:ascii="Times New Roman" w:hAnsi="Times New Roman" w:cs="Times New Roman"/>
        </w:rPr>
        <w:tab/>
        <w:t xml:space="preserve"> </w:t>
      </w:r>
    </w:p>
    <w:p w14:paraId="574D608E" w14:textId="1270260E" w:rsidR="000A1499" w:rsidRPr="00D945C0" w:rsidRDefault="008E5FC2" w:rsidP="006D6DCD">
      <w:pPr>
        <w:pStyle w:val="ListParagraph"/>
        <w:numPr>
          <w:ilvl w:val="0"/>
          <w:numId w:val="24"/>
        </w:numPr>
        <w:spacing w:after="60"/>
        <w:jc w:val="both"/>
        <w:rPr>
          <w:rFonts w:ascii="Times New Roman" w:hAnsi="Times New Roman" w:cs="Times New Roman"/>
        </w:rPr>
      </w:pPr>
      <w:r w:rsidRPr="00D945C0">
        <w:rPr>
          <w:rFonts w:ascii="Times New Roman" w:hAnsi="Times New Roman" w:cs="Times New Roman"/>
        </w:rPr>
        <w:t>How can these lessons be used to inform the development of the Post-2020 GBF?</w:t>
      </w:r>
      <w:r w:rsidR="000A1499" w:rsidRPr="00D945C0">
        <w:rPr>
          <w:rFonts w:ascii="Times New Roman" w:hAnsi="Times New Roman" w:cs="Times New Roman"/>
        </w:rPr>
        <w:tab/>
        <w:t xml:space="preserve"> </w:t>
      </w:r>
    </w:p>
    <w:p w14:paraId="4BA74D57" w14:textId="77777777" w:rsidR="008E5FC2" w:rsidRPr="00D945C0" w:rsidRDefault="008E5FC2" w:rsidP="006D6DCD">
      <w:pPr>
        <w:pStyle w:val="ListParagraph"/>
        <w:numPr>
          <w:ilvl w:val="0"/>
          <w:numId w:val="24"/>
        </w:numPr>
        <w:spacing w:after="60"/>
        <w:jc w:val="both"/>
        <w:rPr>
          <w:rFonts w:ascii="Times New Roman" w:hAnsi="Times New Roman" w:cs="Times New Roman"/>
        </w:rPr>
      </w:pPr>
      <w:r w:rsidRPr="00D945C0">
        <w:rPr>
          <w:rFonts w:ascii="Times New Roman" w:hAnsi="Times New Roman" w:cs="Times New Roman"/>
        </w:rPr>
        <w:t>Are there critical concerns related to this thematic issue1 being reflected in the post-2020 framework?</w:t>
      </w:r>
    </w:p>
    <w:p w14:paraId="6C4EE6A2" w14:textId="77777777" w:rsidR="008E5FC2" w:rsidRPr="00D945C0" w:rsidRDefault="008E5FC2" w:rsidP="006D6DCD">
      <w:pPr>
        <w:pStyle w:val="ListParagraph"/>
        <w:numPr>
          <w:ilvl w:val="0"/>
          <w:numId w:val="24"/>
        </w:numPr>
        <w:spacing w:after="60"/>
        <w:jc w:val="both"/>
        <w:rPr>
          <w:rFonts w:ascii="Times New Roman" w:hAnsi="Times New Roman" w:cs="Times New Roman"/>
        </w:rPr>
      </w:pPr>
      <w:r w:rsidRPr="00D945C0">
        <w:rPr>
          <w:rFonts w:ascii="Times New Roman" w:hAnsi="Times New Roman" w:cs="Times New Roman"/>
        </w:rPr>
        <w:t>How should this thematic issue1 be treated in the post-2020 framework?</w:t>
      </w:r>
    </w:p>
    <w:p w14:paraId="29F2C180" w14:textId="77777777" w:rsidR="008E5FC2" w:rsidRPr="00D945C0" w:rsidRDefault="008E5FC2" w:rsidP="006D6DCD">
      <w:pPr>
        <w:pStyle w:val="ListParagraph"/>
        <w:numPr>
          <w:ilvl w:val="0"/>
          <w:numId w:val="24"/>
        </w:numPr>
        <w:spacing w:after="60"/>
        <w:jc w:val="both"/>
        <w:rPr>
          <w:rFonts w:ascii="Times New Roman" w:hAnsi="Times New Roman" w:cs="Times New Roman"/>
        </w:rPr>
      </w:pPr>
      <w:r w:rsidRPr="00D945C0">
        <w:rPr>
          <w:rFonts w:ascii="Times New Roman" w:hAnsi="Times New Roman" w:cs="Times New Roman"/>
        </w:rPr>
        <w:t>Is this thematic issue relevant to all types of ABCMs?</w:t>
      </w:r>
    </w:p>
    <w:p w14:paraId="7B63A808" w14:textId="60F60D83" w:rsidR="008E5FC2" w:rsidRPr="00D945C0" w:rsidRDefault="008E5FC2" w:rsidP="006D6DCD">
      <w:pPr>
        <w:pStyle w:val="ListParagraph"/>
        <w:numPr>
          <w:ilvl w:val="0"/>
          <w:numId w:val="24"/>
        </w:numPr>
        <w:spacing w:after="60"/>
        <w:jc w:val="both"/>
        <w:rPr>
          <w:rFonts w:ascii="Times New Roman" w:hAnsi="Times New Roman" w:cs="Times New Roman"/>
        </w:rPr>
      </w:pPr>
      <w:r w:rsidRPr="00D945C0">
        <w:rPr>
          <w:rFonts w:ascii="Times New Roman" w:hAnsi="Times New Roman" w:cs="Times New Roman"/>
        </w:rPr>
        <w:t>How could a goal, target, or sub-target be formulated to address important concerns regarding this thematic issue?</w:t>
      </w:r>
    </w:p>
    <w:p w14:paraId="3DF83268" w14:textId="3182252C" w:rsidR="008E5FC2" w:rsidRPr="00D945C0" w:rsidRDefault="008E5FC2" w:rsidP="006D6DCD">
      <w:pPr>
        <w:pStyle w:val="ListParagraph"/>
        <w:numPr>
          <w:ilvl w:val="0"/>
          <w:numId w:val="24"/>
        </w:numPr>
        <w:spacing w:after="60"/>
        <w:jc w:val="both"/>
        <w:rPr>
          <w:rFonts w:ascii="Times New Roman" w:hAnsi="Times New Roman" w:cs="Times New Roman"/>
        </w:rPr>
      </w:pPr>
      <w:r w:rsidRPr="00D945C0">
        <w:rPr>
          <w:rFonts w:ascii="Times New Roman" w:hAnsi="Times New Roman" w:cs="Times New Roman"/>
        </w:rPr>
        <w:t>What indicators are currently available for tracking progress on the thematic issues</w:t>
      </w:r>
      <w:r w:rsidRPr="00D945C0">
        <w:rPr>
          <w:rStyle w:val="FootnoteReference"/>
          <w:rFonts w:ascii="Times New Roman" w:hAnsi="Times New Roman" w:cs="Times New Roman"/>
        </w:rPr>
        <w:footnoteReference w:id="14"/>
      </w:r>
      <w:r w:rsidRPr="00D945C0">
        <w:rPr>
          <w:rFonts w:ascii="Times New Roman" w:hAnsi="Times New Roman" w:cs="Times New Roman"/>
        </w:rPr>
        <w:t xml:space="preserve"> discussed on Day 2? </w:t>
      </w:r>
    </w:p>
    <w:p w14:paraId="75B2A4DB" w14:textId="77777777" w:rsidR="008E5FC2" w:rsidRPr="00D945C0" w:rsidRDefault="008E5FC2" w:rsidP="006D6DCD">
      <w:pPr>
        <w:pStyle w:val="ListParagraph"/>
        <w:numPr>
          <w:ilvl w:val="0"/>
          <w:numId w:val="24"/>
        </w:numPr>
        <w:spacing w:after="60"/>
        <w:jc w:val="both"/>
        <w:rPr>
          <w:rFonts w:ascii="Times New Roman" w:hAnsi="Times New Roman" w:cs="Times New Roman"/>
        </w:rPr>
      </w:pPr>
      <w:r w:rsidRPr="00D945C0">
        <w:rPr>
          <w:rFonts w:ascii="Times New Roman" w:hAnsi="Times New Roman" w:cs="Times New Roman"/>
        </w:rPr>
        <w:t xml:space="preserve">Are there any issues for which adequate indicators are not currently available? </w:t>
      </w:r>
    </w:p>
    <w:p w14:paraId="616B6708" w14:textId="77777777" w:rsidR="008E5FC2" w:rsidRPr="00D945C0" w:rsidRDefault="008E5FC2" w:rsidP="006D6DCD">
      <w:pPr>
        <w:pStyle w:val="ListParagraph"/>
        <w:numPr>
          <w:ilvl w:val="0"/>
          <w:numId w:val="24"/>
        </w:numPr>
        <w:spacing w:after="60"/>
        <w:jc w:val="both"/>
        <w:rPr>
          <w:rFonts w:ascii="Times New Roman" w:hAnsi="Times New Roman" w:cs="Times New Roman"/>
        </w:rPr>
      </w:pPr>
      <w:r w:rsidRPr="00D945C0">
        <w:rPr>
          <w:rFonts w:ascii="Times New Roman" w:hAnsi="Times New Roman" w:cs="Times New Roman"/>
        </w:rPr>
        <w:t>If there are no indicators currently available, can the related gaps be addressed in the near-term?</w:t>
      </w:r>
    </w:p>
    <w:p w14:paraId="705C994F" w14:textId="77777777" w:rsidR="008E5FC2" w:rsidRPr="00D945C0" w:rsidRDefault="008E5FC2" w:rsidP="006D6DCD">
      <w:pPr>
        <w:pStyle w:val="ListParagraph"/>
        <w:numPr>
          <w:ilvl w:val="0"/>
          <w:numId w:val="24"/>
        </w:numPr>
        <w:spacing w:after="60"/>
        <w:jc w:val="both"/>
        <w:rPr>
          <w:rFonts w:ascii="Times New Roman" w:hAnsi="Times New Roman" w:cs="Times New Roman"/>
        </w:rPr>
      </w:pPr>
      <w:r w:rsidRPr="00D945C0">
        <w:rPr>
          <w:rFonts w:ascii="Times New Roman" w:hAnsi="Times New Roman" w:cs="Times New Roman"/>
        </w:rPr>
        <w:t>What is the current baseline situation regarding these thematic issues?</w:t>
      </w:r>
    </w:p>
    <w:p w14:paraId="789FAC9F" w14:textId="2B72721F" w:rsidR="008E5FC2" w:rsidRPr="00D945C0" w:rsidRDefault="008E5FC2" w:rsidP="006D6DCD">
      <w:pPr>
        <w:pStyle w:val="ListParagraph"/>
        <w:numPr>
          <w:ilvl w:val="0"/>
          <w:numId w:val="24"/>
        </w:numPr>
        <w:spacing w:after="60"/>
        <w:jc w:val="both"/>
        <w:rPr>
          <w:rFonts w:ascii="Times New Roman" w:hAnsi="Times New Roman" w:cs="Times New Roman"/>
        </w:rPr>
      </w:pPr>
      <w:r w:rsidRPr="00D945C0">
        <w:rPr>
          <w:rFonts w:ascii="Times New Roman" w:hAnsi="Times New Roman" w:cs="Times New Roman"/>
        </w:rPr>
        <w:t>What could a monitoring framework for these thematic issues related to ABCMs look like in the post-2020 period?</w:t>
      </w:r>
    </w:p>
    <w:p w14:paraId="7FD0C4A2" w14:textId="77777777" w:rsidR="008E5FC2" w:rsidRPr="00D945C0" w:rsidRDefault="008E5FC2" w:rsidP="006D6DCD">
      <w:pPr>
        <w:pStyle w:val="ListParagraph"/>
        <w:numPr>
          <w:ilvl w:val="0"/>
          <w:numId w:val="24"/>
        </w:numPr>
        <w:spacing w:after="60"/>
        <w:jc w:val="both"/>
        <w:rPr>
          <w:rFonts w:ascii="Times New Roman" w:hAnsi="Times New Roman" w:cs="Times New Roman"/>
        </w:rPr>
      </w:pPr>
      <w:r w:rsidRPr="00D945C0">
        <w:rPr>
          <w:rFonts w:ascii="Times New Roman" w:hAnsi="Times New Roman" w:cs="Times New Roman"/>
        </w:rPr>
        <w:t xml:space="preserve">What is the relationship between area-based conservation measures and other potential elements for the post-2020 framework? </w:t>
      </w:r>
    </w:p>
    <w:p w14:paraId="4CEE1DC3" w14:textId="2461140D" w:rsidR="00161FFA" w:rsidRPr="00D945C0" w:rsidRDefault="008E5FC2" w:rsidP="006D6DCD">
      <w:pPr>
        <w:pStyle w:val="ListParagraph"/>
        <w:numPr>
          <w:ilvl w:val="0"/>
          <w:numId w:val="24"/>
        </w:numPr>
        <w:spacing w:after="60"/>
        <w:jc w:val="both"/>
        <w:rPr>
          <w:rFonts w:cs="Times New Roman"/>
        </w:rPr>
      </w:pPr>
      <w:r w:rsidRPr="00D945C0">
        <w:rPr>
          <w:rFonts w:ascii="Times New Roman" w:hAnsi="Times New Roman" w:cs="Times New Roman"/>
        </w:rPr>
        <w:t>How should these other elements be reflected in goals, targets, and sub-targets for ABCMs?</w:t>
      </w:r>
    </w:p>
    <w:p w14:paraId="3E17A793" w14:textId="128F3B8D" w:rsidR="00E16BAE" w:rsidRPr="00A51748" w:rsidRDefault="00E16BAE" w:rsidP="006D6DCD">
      <w:pPr>
        <w:pStyle w:val="Heading2"/>
        <w:spacing w:before="0"/>
        <w:jc w:val="both"/>
        <w:rPr>
          <w:rFonts w:cs="Times New Roman"/>
          <w:b w:val="0"/>
        </w:rPr>
      </w:pPr>
      <w:r w:rsidRPr="00A51748">
        <w:rPr>
          <w:rFonts w:cs="Times New Roman"/>
          <w:b w:val="0"/>
        </w:rPr>
        <w:br w:type="page"/>
      </w:r>
    </w:p>
    <w:p w14:paraId="2C849024" w14:textId="5F7A82E8" w:rsidR="00E23DFD" w:rsidRPr="00A51748" w:rsidRDefault="00284A69" w:rsidP="006D6DCD">
      <w:pPr>
        <w:pStyle w:val="Heading1"/>
        <w:spacing w:before="0"/>
        <w:jc w:val="both"/>
      </w:pPr>
      <w:r w:rsidRPr="00A51748">
        <w:lastRenderedPageBreak/>
        <w:t>Updated Status of Aichi Biodiversity Target 11</w:t>
      </w:r>
    </w:p>
    <w:p w14:paraId="749A7178" w14:textId="1065DA4C" w:rsidR="003E5ACE" w:rsidRPr="00A51748" w:rsidRDefault="009E5C65" w:rsidP="006D6DCD">
      <w:pPr>
        <w:pStyle w:val="Heading2"/>
        <w:spacing w:before="0"/>
        <w:jc w:val="both"/>
        <w:rPr>
          <w:rFonts w:cs="Times New Roman"/>
        </w:rPr>
      </w:pPr>
      <w:r w:rsidRPr="00A51748">
        <w:rPr>
          <w:rFonts w:cs="Times New Roman"/>
        </w:rPr>
        <w:t>6</w:t>
      </w:r>
      <w:r w:rsidR="006E3B5D" w:rsidRPr="00A51748">
        <w:rPr>
          <w:rFonts w:cs="Times New Roman"/>
        </w:rPr>
        <w:t xml:space="preserve">.1. </w:t>
      </w:r>
      <w:r w:rsidR="00284A69" w:rsidRPr="00A51748">
        <w:rPr>
          <w:rFonts w:cs="Times New Roman"/>
        </w:rPr>
        <w:t>Target 11 Background</w:t>
      </w:r>
    </w:p>
    <w:p w14:paraId="63FFF1DE" w14:textId="465521A0" w:rsidR="00E92386" w:rsidRPr="00A51748" w:rsidRDefault="00E90967" w:rsidP="006D6DCD">
      <w:pPr>
        <w:pStyle w:val="Para1"/>
        <w:numPr>
          <w:ilvl w:val="0"/>
          <w:numId w:val="0"/>
        </w:numPr>
        <w:spacing w:before="0"/>
        <w:rPr>
          <w:rFonts w:cs="Times New Roman"/>
        </w:rPr>
      </w:pPr>
      <w:r w:rsidRPr="00A51748">
        <w:rPr>
          <w:rFonts w:cs="Times New Roman"/>
          <w:lang w:val="en-US"/>
        </w:rPr>
        <w:t xml:space="preserve">1. </w:t>
      </w:r>
      <w:r w:rsidRPr="00A51748">
        <w:rPr>
          <w:rFonts w:cs="Times New Roman"/>
          <w:lang w:val="en-US"/>
        </w:rPr>
        <w:tab/>
      </w:r>
      <w:r w:rsidR="008C0022" w:rsidRPr="00A51748">
        <w:rPr>
          <w:rFonts w:cs="Times New Roman"/>
          <w:lang w:val="en-US"/>
        </w:rPr>
        <w:t>T</w:t>
      </w:r>
      <w:r w:rsidR="008C0022" w:rsidRPr="00A51748">
        <w:rPr>
          <w:rFonts w:cs="Times New Roman"/>
        </w:rPr>
        <w:t xml:space="preserve">he Strategic Plan for Biodiversity 2011-2020 was adopted in 2010 at the tenth meeting of the Conference of the Parties to the Convention on Biological Diversity, in Nagoya, Japan, and subsequently </w:t>
      </w:r>
      <w:r w:rsidR="00B90003" w:rsidRPr="00A51748">
        <w:rPr>
          <w:rFonts w:cs="Times New Roman"/>
        </w:rPr>
        <w:t xml:space="preserve">accepted </w:t>
      </w:r>
      <w:r w:rsidR="008C0022" w:rsidRPr="00A51748">
        <w:rPr>
          <w:rFonts w:cs="Times New Roman"/>
        </w:rPr>
        <w:t xml:space="preserve">by all other global biodiversity-related conventions and </w:t>
      </w:r>
      <w:r w:rsidR="009B54D0" w:rsidRPr="00A51748">
        <w:rPr>
          <w:rFonts w:cs="Times New Roman"/>
        </w:rPr>
        <w:t>noted with appreciation b</w:t>
      </w:r>
      <w:r w:rsidR="008C0022" w:rsidRPr="00A51748">
        <w:rPr>
          <w:rFonts w:cs="Times New Roman"/>
        </w:rPr>
        <w:t>y the United Nations General Assembly (</w:t>
      </w:r>
      <w:hyperlink r:id="rId11" w:history="1">
        <w:r w:rsidR="008C0022" w:rsidRPr="00A51748">
          <w:rPr>
            <w:rStyle w:val="Hyperlink"/>
            <w:rFonts w:cs="Times New Roman"/>
            <w:color w:val="auto"/>
          </w:rPr>
          <w:t>Resolution 65/161</w:t>
        </w:r>
      </w:hyperlink>
      <w:r w:rsidR="008C0022" w:rsidRPr="00A51748">
        <w:rPr>
          <w:rFonts w:cs="Times New Roman"/>
        </w:rPr>
        <w:t xml:space="preserve">). Under Strategic Goal C, Target 11 states: </w:t>
      </w:r>
      <w:r w:rsidR="008C0022" w:rsidRPr="00A51748">
        <w:rPr>
          <w:rFonts w:cs="Times New Roman"/>
          <w:i/>
        </w:rPr>
        <w:t>By 2020 at least 17 per cent of terrestrial and inland water, and 10 per cent of coastal and marine areas, especially areas of particular importance for biodiversity and ecosystem services, are conserved through effectively and equitably managed, ecologically representative and well-connected systems of protected areas and other effective area-based conservation measures, and integrated into the wider landscape and seascapes</w:t>
      </w:r>
      <w:r w:rsidR="008C0022" w:rsidRPr="00A51748">
        <w:rPr>
          <w:rFonts w:cs="Times New Roman"/>
        </w:rPr>
        <w:t>.</w:t>
      </w:r>
      <w:r w:rsidR="008C0022" w:rsidRPr="00A51748">
        <w:rPr>
          <w:rStyle w:val="FootnoteReference"/>
          <w:rFonts w:cs="Times New Roman"/>
          <w:sz w:val="22"/>
        </w:rPr>
        <w:t xml:space="preserve"> </w:t>
      </w:r>
      <w:r w:rsidR="008C0022" w:rsidRPr="00A51748">
        <w:rPr>
          <w:rFonts w:cs="Times New Roman"/>
        </w:rPr>
        <w:t xml:space="preserve"> </w:t>
      </w:r>
    </w:p>
    <w:p w14:paraId="6CEEB36D" w14:textId="6ECBF3D0" w:rsidR="00047E94" w:rsidRPr="00A51748" w:rsidRDefault="00DD49F4" w:rsidP="006D6DCD">
      <w:pPr>
        <w:pStyle w:val="Para1"/>
        <w:numPr>
          <w:ilvl w:val="0"/>
          <w:numId w:val="14"/>
        </w:numPr>
        <w:spacing w:before="0"/>
        <w:ind w:left="0" w:firstLine="0"/>
        <w:rPr>
          <w:rFonts w:cs="Times New Roman"/>
        </w:rPr>
      </w:pPr>
      <w:r w:rsidRPr="00A51748">
        <w:rPr>
          <w:rFonts w:cs="Times New Roman"/>
        </w:rPr>
        <w:t xml:space="preserve">Given the indivisible nature of the Target, for successful achievement, progress is needed </w:t>
      </w:r>
      <w:r w:rsidRPr="00A51748">
        <w:rPr>
          <w:rFonts w:cs="Times New Roman"/>
          <w:b/>
          <w:i/>
        </w:rPr>
        <w:t>on all of its elements</w:t>
      </w:r>
      <w:r w:rsidRPr="00A51748">
        <w:rPr>
          <w:rFonts w:cs="Times New Roman"/>
        </w:rPr>
        <w:t>, not only the quantitative aspects</w:t>
      </w:r>
      <w:r w:rsidR="007D4C50" w:rsidRPr="00A51748">
        <w:rPr>
          <w:rFonts w:cs="Times New Roman"/>
        </w:rPr>
        <w:t xml:space="preserve"> (i.e. 17% </w:t>
      </w:r>
      <w:r w:rsidR="0084269C" w:rsidRPr="00A51748">
        <w:rPr>
          <w:rFonts w:cs="Times New Roman"/>
        </w:rPr>
        <w:t>terrestrial and 10% marine</w:t>
      </w:r>
      <w:r w:rsidR="007D4C50" w:rsidRPr="00A51748">
        <w:rPr>
          <w:rFonts w:cs="Times New Roman"/>
        </w:rPr>
        <w:t>)</w:t>
      </w:r>
      <w:r w:rsidRPr="00A51748">
        <w:rPr>
          <w:rFonts w:cs="Times New Roman"/>
        </w:rPr>
        <w:t>. T</w:t>
      </w:r>
      <w:r w:rsidR="00047E94" w:rsidRPr="00A51748">
        <w:rPr>
          <w:rFonts w:cs="Times New Roman"/>
        </w:rPr>
        <w:t xml:space="preserve">here is a need for increased efforts to address the qualitative elements of Target 11, including: ecological representation, the coverage of areas important for biodiversity and ecosystem services, connectivity, effective and equitable management, and integration into the wider landscapes and seascapes. </w:t>
      </w:r>
    </w:p>
    <w:p w14:paraId="1C665E60" w14:textId="77777777" w:rsidR="00FC3B95" w:rsidRPr="00A51748" w:rsidRDefault="00FC3B95" w:rsidP="006D6DCD">
      <w:pPr>
        <w:pStyle w:val="Para1"/>
        <w:numPr>
          <w:ilvl w:val="0"/>
          <w:numId w:val="14"/>
        </w:numPr>
        <w:spacing w:before="0"/>
        <w:ind w:left="0" w:firstLine="0"/>
        <w:rPr>
          <w:rFonts w:cs="Times New Roman"/>
        </w:rPr>
      </w:pPr>
      <w:r w:rsidRPr="00A51748">
        <w:rPr>
          <w:rFonts w:cs="Times New Roman"/>
        </w:rPr>
        <w:t>The mid-term assessment of progress towards the implementation of the Strategic Plan for Biodiversity</w:t>
      </w:r>
      <w:r w:rsidR="00640D58" w:rsidRPr="00A51748">
        <w:rPr>
          <w:rFonts w:cs="Times New Roman"/>
        </w:rPr>
        <w:t xml:space="preserve"> 2011-2020</w:t>
      </w:r>
      <w:r w:rsidRPr="00A51748">
        <w:rPr>
          <w:rFonts w:cs="Times New Roman"/>
        </w:rPr>
        <w:t xml:space="preserve">, presented in the fourth </w:t>
      </w:r>
      <w:r w:rsidRPr="00A51748">
        <w:rPr>
          <w:rFonts w:cs="Times New Roman"/>
          <w:i/>
        </w:rPr>
        <w:t>Global Biodiversity Outlook</w:t>
      </w:r>
      <w:r w:rsidR="00385DFB" w:rsidRPr="00A51748">
        <w:rPr>
          <w:rFonts w:cs="Times New Roman"/>
          <w:i/>
        </w:rPr>
        <w:t xml:space="preserve"> </w:t>
      </w:r>
      <w:r w:rsidR="00385DFB" w:rsidRPr="00A51748">
        <w:rPr>
          <w:rFonts w:cs="Times New Roman"/>
        </w:rPr>
        <w:t>(GBO-4)</w:t>
      </w:r>
      <w:r w:rsidRPr="00A51748">
        <w:rPr>
          <w:rFonts w:cs="Times New Roman"/>
          <w:i/>
        </w:rPr>
        <w:t xml:space="preserve">, </w:t>
      </w:r>
      <w:r w:rsidR="00250884" w:rsidRPr="00A51748">
        <w:rPr>
          <w:rFonts w:cs="Times New Roman"/>
        </w:rPr>
        <w:t>showed at least some progress f</w:t>
      </w:r>
      <w:r w:rsidRPr="00A51748">
        <w:rPr>
          <w:rFonts w:cs="Times New Roman"/>
        </w:rPr>
        <w:t xml:space="preserve">or </w:t>
      </w:r>
      <w:r w:rsidR="00C764A0" w:rsidRPr="00A51748">
        <w:rPr>
          <w:rFonts w:cs="Times New Roman"/>
        </w:rPr>
        <w:t>all</w:t>
      </w:r>
      <w:r w:rsidRPr="00A51748">
        <w:rPr>
          <w:rFonts w:cs="Times New Roman"/>
        </w:rPr>
        <w:t xml:space="preserve"> elements of Target 11</w:t>
      </w:r>
      <w:r w:rsidR="00250884" w:rsidRPr="00A51748">
        <w:rPr>
          <w:rFonts w:cs="Times New Roman"/>
        </w:rPr>
        <w:t>.</w:t>
      </w:r>
      <w:r w:rsidR="00C764A0" w:rsidRPr="00A51748">
        <w:rPr>
          <w:rFonts w:cs="Times New Roman"/>
        </w:rPr>
        <w:t xml:space="preserve"> However, for all elements </w:t>
      </w:r>
      <w:r w:rsidR="00250884" w:rsidRPr="00A51748">
        <w:rPr>
          <w:rFonts w:cs="Times New Roman"/>
        </w:rPr>
        <w:t>besides</w:t>
      </w:r>
      <w:r w:rsidR="00C764A0" w:rsidRPr="00A51748">
        <w:rPr>
          <w:rFonts w:cs="Times New Roman"/>
        </w:rPr>
        <w:t xml:space="preserve"> terrestrial protected area coverage</w:t>
      </w:r>
      <w:r w:rsidR="0022549E" w:rsidRPr="00A51748">
        <w:rPr>
          <w:rFonts w:cs="Times New Roman"/>
        </w:rPr>
        <w:t>,</w:t>
      </w:r>
      <w:r w:rsidR="00C764A0" w:rsidRPr="00A51748">
        <w:rPr>
          <w:rFonts w:cs="Times New Roman"/>
        </w:rPr>
        <w:t xml:space="preserve"> progress was occurring at</w:t>
      </w:r>
      <w:r w:rsidRPr="00A51748">
        <w:rPr>
          <w:rFonts w:cs="Times New Roman"/>
        </w:rPr>
        <w:t xml:space="preserve"> an insufficient rate, and unless efforts were increased the Target would not be met by 2020.</w:t>
      </w:r>
      <w:r w:rsidRPr="00A51748">
        <w:rPr>
          <w:rStyle w:val="FootnoteReference"/>
          <w:rFonts w:cs="Times New Roman"/>
          <w:sz w:val="22"/>
        </w:rPr>
        <w:footnoteReference w:id="15"/>
      </w:r>
      <w:r w:rsidR="009F640E" w:rsidRPr="00A51748">
        <w:rPr>
          <w:rFonts w:cs="Times New Roman"/>
        </w:rPr>
        <w:t xml:space="preserve"> </w:t>
      </w:r>
    </w:p>
    <w:p w14:paraId="1E3F536E" w14:textId="77777777" w:rsidR="00F06AEA" w:rsidRPr="00A51748" w:rsidRDefault="00C764A0" w:rsidP="006D6DCD">
      <w:pPr>
        <w:pStyle w:val="Para1"/>
        <w:numPr>
          <w:ilvl w:val="0"/>
          <w:numId w:val="14"/>
        </w:numPr>
        <w:spacing w:before="0"/>
        <w:ind w:left="0" w:firstLine="0"/>
        <w:rPr>
          <w:rFonts w:cs="Times New Roman"/>
        </w:rPr>
      </w:pPr>
      <w:r w:rsidRPr="00A51748">
        <w:rPr>
          <w:rFonts w:cs="Times New Roman"/>
        </w:rPr>
        <w:t>To facilitate achievement of Target 11, the Secretariat</w:t>
      </w:r>
      <w:r w:rsidR="0017683F" w:rsidRPr="00A51748">
        <w:rPr>
          <w:rFonts w:cs="Times New Roman"/>
        </w:rPr>
        <w:t xml:space="preserve"> developed a</w:t>
      </w:r>
      <w:r w:rsidRPr="00A51748">
        <w:rPr>
          <w:rFonts w:cs="Times New Roman"/>
        </w:rPr>
        <w:t xml:space="preserve"> two-phase strategy, the details of which were presented to the twentieth meeting of the Subsidiary Body on Scientific, Technical and Technological Advice </w:t>
      </w:r>
      <w:r w:rsidR="00516909" w:rsidRPr="00A51748">
        <w:rPr>
          <w:rFonts w:cs="Times New Roman"/>
        </w:rPr>
        <w:t xml:space="preserve">(SBSTTA) </w:t>
      </w:r>
      <w:r w:rsidRPr="00A51748">
        <w:rPr>
          <w:rFonts w:cs="Times New Roman"/>
        </w:rPr>
        <w:t xml:space="preserve">and to the first meeting of the Subsidiary Body on Implementation </w:t>
      </w:r>
      <w:r w:rsidR="008B3E21" w:rsidRPr="00A51748">
        <w:rPr>
          <w:rFonts w:cs="Times New Roman"/>
        </w:rPr>
        <w:t xml:space="preserve">(SBI) </w:t>
      </w:r>
      <w:r w:rsidRPr="00A51748">
        <w:rPr>
          <w:rFonts w:cs="Times New Roman"/>
        </w:rPr>
        <w:t xml:space="preserve">as information documents </w:t>
      </w:r>
      <w:r w:rsidR="00FA3FCD" w:rsidRPr="00A51748">
        <w:rPr>
          <w:rFonts w:cs="Times New Roman"/>
        </w:rPr>
        <w:t xml:space="preserve">(see </w:t>
      </w:r>
      <w:hyperlink r:id="rId12" w:history="1">
        <w:r w:rsidRPr="00A51748">
          <w:rPr>
            <w:rStyle w:val="Hyperlink"/>
            <w:rFonts w:cs="Times New Roman"/>
            <w:color w:val="auto"/>
          </w:rPr>
          <w:t>UNEP/CBD/SBSTTA/20/INF/43</w:t>
        </w:r>
      </w:hyperlink>
      <w:r w:rsidRPr="00A51748">
        <w:rPr>
          <w:rFonts w:cs="Times New Roman"/>
        </w:rPr>
        <w:t xml:space="preserve"> and </w:t>
      </w:r>
      <w:hyperlink r:id="rId13" w:history="1">
        <w:r w:rsidRPr="00A51748">
          <w:rPr>
            <w:rStyle w:val="Hyperlink"/>
            <w:rFonts w:cs="Times New Roman"/>
            <w:color w:val="auto"/>
          </w:rPr>
          <w:t>UNEP/CBD/SBI/</w:t>
        </w:r>
        <w:r w:rsidR="005F5040" w:rsidRPr="00A51748">
          <w:rPr>
            <w:rStyle w:val="Hyperlink"/>
            <w:rFonts w:cs="Times New Roman"/>
            <w:color w:val="auto"/>
          </w:rPr>
          <w:t>INF/4</w:t>
        </w:r>
        <w:r w:rsidRPr="00A51748">
          <w:rPr>
            <w:rStyle w:val="Hyperlink"/>
            <w:rFonts w:cs="Times New Roman"/>
            <w:color w:val="auto"/>
          </w:rPr>
          <w:t>1</w:t>
        </w:r>
      </w:hyperlink>
      <w:r w:rsidR="00FA3FCD" w:rsidRPr="00A51748">
        <w:rPr>
          <w:rStyle w:val="Hyperlink"/>
          <w:rFonts w:cs="Times New Roman"/>
          <w:color w:val="auto"/>
        </w:rPr>
        <w:t>)</w:t>
      </w:r>
      <w:r w:rsidRPr="00A51748">
        <w:rPr>
          <w:rFonts w:cs="Times New Roman"/>
        </w:rPr>
        <w:t>.</w:t>
      </w:r>
      <w:r w:rsidR="0017683F" w:rsidRPr="00A51748">
        <w:rPr>
          <w:rFonts w:cs="Times New Roman"/>
        </w:rPr>
        <w:t xml:space="preserve"> </w:t>
      </w:r>
      <w:r w:rsidR="0022549E" w:rsidRPr="00A51748">
        <w:rPr>
          <w:rFonts w:cs="Times New Roman"/>
        </w:rPr>
        <w:t>In collaboration with partner organizations, t</w:t>
      </w:r>
      <w:r w:rsidR="0017683F" w:rsidRPr="00A51748">
        <w:rPr>
          <w:rFonts w:cs="Times New Roman"/>
        </w:rPr>
        <w:t xml:space="preserve">he first phase (2015-2016) involved, </w:t>
      </w:r>
      <w:r w:rsidR="0022549E" w:rsidRPr="00A51748">
        <w:rPr>
          <w:rFonts w:cs="Times New Roman"/>
          <w:i/>
        </w:rPr>
        <w:t>inter alia</w:t>
      </w:r>
      <w:r w:rsidR="0017683F" w:rsidRPr="00A51748">
        <w:rPr>
          <w:rFonts w:cs="Times New Roman"/>
        </w:rPr>
        <w:t xml:space="preserve">, the </w:t>
      </w:r>
      <w:r w:rsidR="0022549E" w:rsidRPr="00A51748">
        <w:rPr>
          <w:rFonts w:cs="Times New Roman"/>
        </w:rPr>
        <w:t xml:space="preserve">organization of a series of six regional workshops to collect information on the status, gaps and opportunities for the elements of Target 11, as well as </w:t>
      </w:r>
      <w:r w:rsidR="008B3E21" w:rsidRPr="00A51748">
        <w:rPr>
          <w:rFonts w:cs="Times New Roman"/>
        </w:rPr>
        <w:t>national priority</w:t>
      </w:r>
      <w:r w:rsidR="0022549E" w:rsidRPr="00A51748">
        <w:rPr>
          <w:rFonts w:cs="Times New Roman"/>
        </w:rPr>
        <w:t xml:space="preserve"> actions </w:t>
      </w:r>
      <w:r w:rsidR="008B3E21" w:rsidRPr="00A51748">
        <w:rPr>
          <w:rFonts w:cs="Times New Roman"/>
        </w:rPr>
        <w:t xml:space="preserve">(roadmaps) </w:t>
      </w:r>
      <w:r w:rsidR="0022549E" w:rsidRPr="00A51748">
        <w:rPr>
          <w:rFonts w:cs="Times New Roman"/>
        </w:rPr>
        <w:t>for implementation</w:t>
      </w:r>
      <w:r w:rsidR="0017683F" w:rsidRPr="00A51748">
        <w:rPr>
          <w:rFonts w:cs="Times New Roman"/>
        </w:rPr>
        <w:t xml:space="preserve"> </w:t>
      </w:r>
      <w:r w:rsidR="00B90003" w:rsidRPr="00A51748">
        <w:rPr>
          <w:rFonts w:cs="Times New Roman"/>
        </w:rPr>
        <w:t xml:space="preserve">by </w:t>
      </w:r>
      <w:r w:rsidR="00FE04B2" w:rsidRPr="00A51748">
        <w:rPr>
          <w:rFonts w:cs="Times New Roman"/>
        </w:rPr>
        <w:t>2020</w:t>
      </w:r>
      <w:r w:rsidR="00FF5DA5" w:rsidRPr="00A51748">
        <w:rPr>
          <w:rFonts w:cs="Times New Roman"/>
        </w:rPr>
        <w:t>, as a country-driven process</w:t>
      </w:r>
      <w:r w:rsidR="00FE04B2" w:rsidRPr="00A51748">
        <w:rPr>
          <w:rFonts w:cs="Times New Roman"/>
        </w:rPr>
        <w:t>.</w:t>
      </w:r>
      <w:r w:rsidR="00F42E9D" w:rsidRPr="00A51748">
        <w:rPr>
          <w:rFonts w:cs="Times New Roman"/>
        </w:rPr>
        <w:t xml:space="preserve"> </w:t>
      </w:r>
      <w:r w:rsidR="00640D58" w:rsidRPr="00A51748">
        <w:rPr>
          <w:rFonts w:cs="Times New Roman"/>
        </w:rPr>
        <w:t xml:space="preserve">The second phase </w:t>
      </w:r>
      <w:r w:rsidR="00924D1F" w:rsidRPr="00A51748">
        <w:rPr>
          <w:rFonts w:cs="Times New Roman"/>
        </w:rPr>
        <w:t xml:space="preserve">(2017-2020) aims to facilitate decentralized implementation of national commitments, as called for in </w:t>
      </w:r>
      <w:hyperlink r:id="rId14" w:history="1">
        <w:r w:rsidR="00924D1F" w:rsidRPr="00A51748">
          <w:rPr>
            <w:rStyle w:val="Hyperlink"/>
            <w:rFonts w:cs="Times New Roman"/>
            <w:color w:val="auto"/>
          </w:rPr>
          <w:t>Decision XIII/2</w:t>
        </w:r>
      </w:hyperlink>
      <w:r w:rsidR="00924D1F" w:rsidRPr="00A51748">
        <w:rPr>
          <w:rFonts w:cs="Times New Roman"/>
        </w:rPr>
        <w:t xml:space="preserve"> paragraph 9(d)</w:t>
      </w:r>
      <w:r w:rsidR="00990A75" w:rsidRPr="00A51748">
        <w:rPr>
          <w:rFonts w:cs="Times New Roman"/>
        </w:rPr>
        <w:t>, among other aims.</w:t>
      </w:r>
      <w:r w:rsidR="00924D1F" w:rsidRPr="00A51748">
        <w:rPr>
          <w:rFonts w:cs="Times New Roman"/>
        </w:rPr>
        <w:t xml:space="preserve"> R</w:t>
      </w:r>
      <w:r w:rsidR="00C85DED" w:rsidRPr="00A51748">
        <w:rPr>
          <w:rFonts w:cs="Times New Roman"/>
        </w:rPr>
        <w:t xml:space="preserve">egional implementation support networks have been established in 10 of 12 sub-regions (see details in </w:t>
      </w:r>
      <w:hyperlink r:id="rId15" w:history="1">
        <w:r w:rsidR="00C85DED" w:rsidRPr="00A51748">
          <w:rPr>
            <w:rStyle w:val="Hyperlink"/>
            <w:rFonts w:cs="Times New Roman"/>
            <w:color w:val="auto"/>
          </w:rPr>
          <w:t>CBD/SBSTTA/22/INF/30</w:t>
        </w:r>
      </w:hyperlink>
      <w:r w:rsidR="00C85DED" w:rsidRPr="00A51748">
        <w:rPr>
          <w:rStyle w:val="Hyperlink"/>
          <w:rFonts w:cs="Times New Roman"/>
          <w:color w:val="auto"/>
          <w:u w:val="none"/>
        </w:rPr>
        <w:t>)</w:t>
      </w:r>
      <w:r w:rsidR="00C85DED" w:rsidRPr="00A51748">
        <w:rPr>
          <w:rFonts w:cs="Times New Roman"/>
        </w:rPr>
        <w:t xml:space="preserve"> and </w:t>
      </w:r>
      <w:r w:rsidR="00FA1324" w:rsidRPr="00A51748">
        <w:rPr>
          <w:rFonts w:cs="Times New Roman"/>
        </w:rPr>
        <w:t xml:space="preserve">Regional </w:t>
      </w:r>
      <w:r w:rsidR="00C85DED" w:rsidRPr="00A51748">
        <w:rPr>
          <w:rFonts w:cs="Times New Roman"/>
        </w:rPr>
        <w:t>Action Plans are being developed to coordinate implementation over the next year.</w:t>
      </w:r>
      <w:r w:rsidR="00F06AEA" w:rsidRPr="00A51748">
        <w:rPr>
          <w:rFonts w:cs="Times New Roman"/>
          <w:snapToGrid w:val="0"/>
          <w:kern w:val="22"/>
        </w:rPr>
        <w:t xml:space="preserve"> </w:t>
      </w:r>
      <w:r w:rsidR="00915B94" w:rsidRPr="00A51748">
        <w:rPr>
          <w:rFonts w:cs="Times New Roman"/>
        </w:rPr>
        <w:t>A</w:t>
      </w:r>
      <w:r w:rsidR="00F06AEA" w:rsidRPr="00A51748">
        <w:rPr>
          <w:rFonts w:cs="Times New Roman"/>
        </w:rPr>
        <w:t xml:space="preserve"> </w:t>
      </w:r>
      <w:hyperlink r:id="rId16" w:history="1">
        <w:r w:rsidR="00F06AEA" w:rsidRPr="00A51748">
          <w:rPr>
            <w:rStyle w:val="Hyperlink"/>
            <w:rFonts w:cs="Times New Roman"/>
            <w:color w:val="auto"/>
          </w:rPr>
          <w:t>Global Partnership on Aichi Target 11</w:t>
        </w:r>
      </w:hyperlink>
      <w:r w:rsidR="00F06AEA" w:rsidRPr="00A51748">
        <w:rPr>
          <w:rFonts w:cs="Times New Roman"/>
        </w:rPr>
        <w:t xml:space="preserve"> was launched November 2018, on the margins of </w:t>
      </w:r>
      <w:r w:rsidR="00D71B7C" w:rsidRPr="00A51748">
        <w:rPr>
          <w:rFonts w:cs="Times New Roman"/>
        </w:rPr>
        <w:t xml:space="preserve">the fourteenth meeting of the Conference of the Parties </w:t>
      </w:r>
      <w:r w:rsidR="00AB2D4B" w:rsidRPr="00A51748">
        <w:rPr>
          <w:rFonts w:cs="Times New Roman"/>
        </w:rPr>
        <w:t xml:space="preserve">(COP) </w:t>
      </w:r>
      <w:r w:rsidR="00D71B7C" w:rsidRPr="00A51748">
        <w:rPr>
          <w:rFonts w:cs="Times New Roman"/>
        </w:rPr>
        <w:t>to the Convention,</w:t>
      </w:r>
      <w:r w:rsidR="00367CB5" w:rsidRPr="00A51748">
        <w:rPr>
          <w:rFonts w:cs="Times New Roman"/>
        </w:rPr>
        <w:t xml:space="preserve"> in</w:t>
      </w:r>
      <w:r w:rsidR="00F06AEA" w:rsidRPr="00A51748">
        <w:rPr>
          <w:rFonts w:cs="Times New Roman"/>
        </w:rPr>
        <w:t xml:space="preserve"> Sharm El-Sheikh, Egypt. </w:t>
      </w:r>
      <w:r w:rsidR="00367CB5" w:rsidRPr="00A51748">
        <w:rPr>
          <w:rFonts w:cs="Times New Roman"/>
        </w:rPr>
        <w:t>Its main</w:t>
      </w:r>
      <w:r w:rsidR="00F06AEA" w:rsidRPr="00A51748">
        <w:rPr>
          <w:rFonts w:cs="Times New Roman"/>
        </w:rPr>
        <w:t xml:space="preserve"> objective is facilitat</w:t>
      </w:r>
      <w:r w:rsidR="00367CB5" w:rsidRPr="00A51748">
        <w:rPr>
          <w:rFonts w:cs="Times New Roman"/>
        </w:rPr>
        <w:t>ing</w:t>
      </w:r>
      <w:r w:rsidR="00F06AEA" w:rsidRPr="00A51748">
        <w:rPr>
          <w:rFonts w:cs="Times New Roman"/>
        </w:rPr>
        <w:t xml:space="preserve"> </w:t>
      </w:r>
      <w:r w:rsidR="00367CB5" w:rsidRPr="00A51748">
        <w:rPr>
          <w:rFonts w:cs="Times New Roman"/>
          <w:lang w:val="en-CA"/>
        </w:rPr>
        <w:t xml:space="preserve">accelerated and effective implementation of actions to further </w:t>
      </w:r>
      <w:r w:rsidR="00367CB5" w:rsidRPr="00A51748">
        <w:rPr>
          <w:rFonts w:cs="Times New Roman"/>
        </w:rPr>
        <w:t>progress on</w:t>
      </w:r>
      <w:r w:rsidR="00F06AEA" w:rsidRPr="00A51748">
        <w:rPr>
          <w:rFonts w:cs="Times New Roman"/>
        </w:rPr>
        <w:t xml:space="preserve"> Target 11</w:t>
      </w:r>
      <w:r w:rsidR="00367CB5" w:rsidRPr="00A51748">
        <w:rPr>
          <w:rFonts w:cs="Times New Roman"/>
        </w:rPr>
        <w:t>.</w:t>
      </w:r>
      <w:r w:rsidR="00F06AEA" w:rsidRPr="00A51748">
        <w:rPr>
          <w:rFonts w:cs="Times New Roman"/>
        </w:rPr>
        <w:t xml:space="preserve"> </w:t>
      </w:r>
      <w:r w:rsidR="009E78D5" w:rsidRPr="00A51748">
        <w:rPr>
          <w:rFonts w:cs="Times New Roman"/>
        </w:rPr>
        <w:t xml:space="preserve">The Partnership </w:t>
      </w:r>
      <w:r w:rsidR="00187756" w:rsidRPr="00A51748">
        <w:rPr>
          <w:rFonts w:cs="Times New Roman"/>
        </w:rPr>
        <w:t>aims</w:t>
      </w:r>
      <w:r w:rsidR="009E78D5" w:rsidRPr="00A51748">
        <w:rPr>
          <w:rFonts w:cs="Times New Roman"/>
        </w:rPr>
        <w:t xml:space="preserve"> to </w:t>
      </w:r>
      <w:r w:rsidR="00751BA6" w:rsidRPr="00A51748">
        <w:rPr>
          <w:rFonts w:cs="Times New Roman"/>
        </w:rPr>
        <w:t>support</w:t>
      </w:r>
      <w:r w:rsidR="009E78D5" w:rsidRPr="00A51748">
        <w:rPr>
          <w:rFonts w:cs="Times New Roman"/>
        </w:rPr>
        <w:t xml:space="preserve"> </w:t>
      </w:r>
      <w:r w:rsidR="00760041" w:rsidRPr="00A51748">
        <w:rPr>
          <w:rFonts w:cs="Times New Roman"/>
        </w:rPr>
        <w:t xml:space="preserve">regional implementation support networks, </w:t>
      </w:r>
      <w:r w:rsidR="00751BA6" w:rsidRPr="00A51748">
        <w:rPr>
          <w:rFonts w:cs="Times New Roman"/>
        </w:rPr>
        <w:t>aligning ongoing</w:t>
      </w:r>
      <w:r w:rsidR="00760041" w:rsidRPr="00A51748">
        <w:rPr>
          <w:rFonts w:cs="Times New Roman"/>
        </w:rPr>
        <w:t xml:space="preserve"> activities with national priority actions to facilitate effective implementation</w:t>
      </w:r>
      <w:r w:rsidR="009E78D5" w:rsidRPr="00A51748">
        <w:rPr>
          <w:rFonts w:cs="Times New Roman"/>
        </w:rPr>
        <w:t>.</w:t>
      </w:r>
    </w:p>
    <w:p w14:paraId="7E707288" w14:textId="77777777" w:rsidR="001E0031" w:rsidRPr="00A51748" w:rsidRDefault="00204F18" w:rsidP="006D6DCD">
      <w:pPr>
        <w:pStyle w:val="Para1"/>
        <w:numPr>
          <w:ilvl w:val="0"/>
          <w:numId w:val="14"/>
        </w:numPr>
        <w:spacing w:before="0"/>
        <w:ind w:left="0" w:firstLine="0"/>
        <w:rPr>
          <w:rFonts w:cs="Times New Roman"/>
        </w:rPr>
      </w:pPr>
      <w:r w:rsidRPr="00A51748">
        <w:rPr>
          <w:rFonts w:cs="Times New Roman"/>
        </w:rPr>
        <w:t xml:space="preserve">Recently, the Intergovernmental Science-Policy Platform on Biodiversity and Ecosystem Services (IPBES) </w:t>
      </w:r>
      <w:r w:rsidR="00F452B7" w:rsidRPr="00A51748">
        <w:rPr>
          <w:rFonts w:cs="Times New Roman"/>
        </w:rPr>
        <w:t xml:space="preserve">published </w:t>
      </w:r>
      <w:r w:rsidRPr="00A51748">
        <w:rPr>
          <w:rFonts w:cs="Times New Roman"/>
        </w:rPr>
        <w:t xml:space="preserve">its first </w:t>
      </w:r>
      <w:r w:rsidR="00F452B7" w:rsidRPr="00A51748">
        <w:rPr>
          <w:rFonts w:cs="Times New Roman"/>
        </w:rPr>
        <w:t>Global Assessment on Biodiversity and Ecosystem Services</w:t>
      </w:r>
      <w:r w:rsidRPr="00A51748">
        <w:rPr>
          <w:rFonts w:cs="Times New Roman"/>
        </w:rPr>
        <w:t xml:space="preserve">. It concluded that </w:t>
      </w:r>
      <w:r w:rsidR="009E78D5" w:rsidRPr="00A51748">
        <w:rPr>
          <w:rFonts w:cs="Times New Roman"/>
        </w:rPr>
        <w:t>significant</w:t>
      </w:r>
      <w:r w:rsidR="00E572E9" w:rsidRPr="00A51748">
        <w:rPr>
          <w:rFonts w:cs="Times New Roman"/>
        </w:rPr>
        <w:t xml:space="preserve"> declines in biodiversity were occurring at all levels, from genes and species to ecosystems.</w:t>
      </w:r>
      <w:r w:rsidR="008C0106" w:rsidRPr="00A51748">
        <w:rPr>
          <w:rStyle w:val="FootnoteReference"/>
          <w:rFonts w:cs="Times New Roman"/>
        </w:rPr>
        <w:footnoteReference w:id="16"/>
      </w:r>
      <w:r w:rsidR="00E572E9" w:rsidRPr="00A51748">
        <w:rPr>
          <w:rFonts w:cs="Times New Roman"/>
        </w:rPr>
        <w:t xml:space="preserve">  </w:t>
      </w:r>
      <w:r w:rsidR="009E78D5" w:rsidRPr="00A51748">
        <w:rPr>
          <w:rFonts w:cs="Times New Roman"/>
        </w:rPr>
        <w:t xml:space="preserve">The </w:t>
      </w:r>
      <w:r w:rsidR="001809D4" w:rsidRPr="00A51748">
        <w:rPr>
          <w:rFonts w:cs="Times New Roman"/>
        </w:rPr>
        <w:t xml:space="preserve">authors </w:t>
      </w:r>
      <w:r w:rsidR="009E78D5" w:rsidRPr="00A51748">
        <w:rPr>
          <w:rFonts w:cs="Times New Roman"/>
        </w:rPr>
        <w:t xml:space="preserve">also called attention to the declining trends for 14 of the 18 categories of nature’s contributions to people (NCP) that were analysed. </w:t>
      </w:r>
      <w:r w:rsidR="001809D4" w:rsidRPr="00A51748">
        <w:rPr>
          <w:rFonts w:cs="Times New Roman"/>
        </w:rPr>
        <w:t>The report noted that Nature could be conserved, restored and used sustainably while simultaneously meeting other global societal goals</w:t>
      </w:r>
      <w:r w:rsidR="00AF501A" w:rsidRPr="00A51748">
        <w:rPr>
          <w:rFonts w:cs="Times New Roman"/>
        </w:rPr>
        <w:t>,</w:t>
      </w:r>
      <w:r w:rsidR="001809D4" w:rsidRPr="00A51748">
        <w:rPr>
          <w:rFonts w:cs="Times New Roman"/>
        </w:rPr>
        <w:t xml:space="preserve"> though urgent and concerted efforts fostering transformative change would be needed. </w:t>
      </w:r>
      <w:r w:rsidR="009E78D5" w:rsidRPr="00A51748">
        <w:rPr>
          <w:rFonts w:cs="Times New Roman"/>
        </w:rPr>
        <w:t xml:space="preserve">It did also note that there were some </w:t>
      </w:r>
      <w:r w:rsidR="009E78D5" w:rsidRPr="00A51748">
        <w:rPr>
          <w:rFonts w:cs="Times New Roman"/>
        </w:rPr>
        <w:lastRenderedPageBreak/>
        <w:t xml:space="preserve">successes in preventing the extinction of some species, through conservation actions including protected areas, and efforts to manage unsustainable use and address illegal taking and trade of species. </w:t>
      </w:r>
      <w:r w:rsidR="00F1515A" w:rsidRPr="00A51748">
        <w:rPr>
          <w:rFonts w:cs="Times New Roman"/>
        </w:rPr>
        <w:t>In its review of progress on the Aichi Targets</w:t>
      </w:r>
      <w:r w:rsidR="00AF501A" w:rsidRPr="00A51748">
        <w:rPr>
          <w:rFonts w:cs="Times New Roman"/>
        </w:rPr>
        <w:t>,</w:t>
      </w:r>
      <w:r w:rsidR="00F1515A" w:rsidRPr="00A51748">
        <w:rPr>
          <w:rFonts w:cs="Times New Roman"/>
        </w:rPr>
        <w:t xml:space="preserve"> the assessment noted that the quantitative elements of Target 11 were among the few that showed good progress (i.e. “substantial positive trends at a global scale relating to most aspects of the element”). However, progress on the qualitative elements of Target 11 was deemed </w:t>
      </w:r>
      <w:r w:rsidR="009E78D5" w:rsidRPr="00A51748">
        <w:rPr>
          <w:rFonts w:cs="Times New Roman"/>
        </w:rPr>
        <w:t xml:space="preserve">only </w:t>
      </w:r>
      <w:r w:rsidR="00F1515A" w:rsidRPr="00A51748">
        <w:rPr>
          <w:rFonts w:cs="Times New Roman"/>
        </w:rPr>
        <w:t xml:space="preserve">‘moderate’. </w:t>
      </w:r>
    </w:p>
    <w:p w14:paraId="3AE6C7DD" w14:textId="77777777" w:rsidR="00B52294" w:rsidRPr="00A51748" w:rsidRDefault="00061A42" w:rsidP="006D6DCD">
      <w:pPr>
        <w:pStyle w:val="Para1"/>
        <w:numPr>
          <w:ilvl w:val="0"/>
          <w:numId w:val="14"/>
        </w:numPr>
        <w:spacing w:before="0"/>
        <w:ind w:left="0" w:firstLine="0"/>
        <w:rPr>
          <w:rFonts w:cs="Times New Roman"/>
        </w:rPr>
      </w:pPr>
      <w:r w:rsidRPr="00A51748">
        <w:rPr>
          <w:rFonts w:cs="Times New Roman"/>
        </w:rPr>
        <w:t>This document provide</w:t>
      </w:r>
      <w:r w:rsidR="008A24A6" w:rsidRPr="00A51748">
        <w:rPr>
          <w:rFonts w:cs="Times New Roman"/>
        </w:rPr>
        <w:t>s</w:t>
      </w:r>
      <w:r w:rsidRPr="00A51748">
        <w:rPr>
          <w:rFonts w:cs="Times New Roman"/>
        </w:rPr>
        <w:t xml:space="preserve"> an update</w:t>
      </w:r>
      <w:r w:rsidR="00154359" w:rsidRPr="00A51748">
        <w:rPr>
          <w:rFonts w:cs="Times New Roman"/>
        </w:rPr>
        <w:t xml:space="preserve"> on </w:t>
      </w:r>
      <w:r w:rsidRPr="00A51748">
        <w:rPr>
          <w:rFonts w:cs="Times New Roman"/>
        </w:rPr>
        <w:t xml:space="preserve">the status </w:t>
      </w:r>
      <w:r w:rsidR="00452A08" w:rsidRPr="00A51748">
        <w:rPr>
          <w:rFonts w:cs="Times New Roman"/>
        </w:rPr>
        <w:t xml:space="preserve">of </w:t>
      </w:r>
      <w:r w:rsidR="0017683F" w:rsidRPr="00A51748">
        <w:rPr>
          <w:rFonts w:cs="Times New Roman"/>
        </w:rPr>
        <w:t>the elements of Target 11</w:t>
      </w:r>
      <w:r w:rsidR="008D2A81" w:rsidRPr="00A51748">
        <w:rPr>
          <w:rFonts w:cs="Times New Roman"/>
        </w:rPr>
        <w:t xml:space="preserve"> as the 2020 end date </w:t>
      </w:r>
      <w:r w:rsidR="00924D1F" w:rsidRPr="00A51748">
        <w:rPr>
          <w:rFonts w:cs="Times New Roman"/>
        </w:rPr>
        <w:t xml:space="preserve">for the Strategic Plan </w:t>
      </w:r>
      <w:r w:rsidR="008D2A81" w:rsidRPr="00A51748">
        <w:rPr>
          <w:rFonts w:cs="Times New Roman"/>
        </w:rPr>
        <w:t>approaches</w:t>
      </w:r>
      <w:r w:rsidR="00924D1F" w:rsidRPr="00A51748">
        <w:rPr>
          <w:rFonts w:cs="Times New Roman"/>
        </w:rPr>
        <w:t>, and discussions around a post-2020 Global Biodiversity Framework continue</w:t>
      </w:r>
      <w:r w:rsidR="008D2A81" w:rsidRPr="00A51748">
        <w:rPr>
          <w:rFonts w:cs="Times New Roman"/>
        </w:rPr>
        <w:t>.</w:t>
      </w:r>
      <w:r w:rsidR="00BE31EC" w:rsidRPr="00A51748">
        <w:rPr>
          <w:rFonts w:cs="Times New Roman"/>
        </w:rPr>
        <w:t xml:space="preserve"> </w:t>
      </w:r>
      <w:r w:rsidR="004F5393" w:rsidRPr="00A51748">
        <w:rPr>
          <w:rFonts w:cs="Times New Roman"/>
        </w:rPr>
        <w:t>The following sections present the status of both quantitative and qualitative elements</w:t>
      </w:r>
      <w:r w:rsidR="00AF426F" w:rsidRPr="00A51748">
        <w:rPr>
          <w:rFonts w:cs="Times New Roman"/>
        </w:rPr>
        <w:t xml:space="preserve"> of Target 11</w:t>
      </w:r>
      <w:r w:rsidR="004F5393" w:rsidRPr="00A51748">
        <w:rPr>
          <w:rFonts w:cs="Times New Roman"/>
        </w:rPr>
        <w:t xml:space="preserve"> (</w:t>
      </w:r>
      <w:hyperlink w:anchor="_Current_status_of" w:history="1">
        <w:r w:rsidR="004F5393" w:rsidRPr="00A51748">
          <w:rPr>
            <w:rStyle w:val="Hyperlink"/>
            <w:rFonts w:cs="Times New Roman"/>
            <w:b/>
            <w:color w:val="auto"/>
          </w:rPr>
          <w:t>Section II</w:t>
        </w:r>
      </w:hyperlink>
      <w:r w:rsidR="000E33CE" w:rsidRPr="00A51748">
        <w:rPr>
          <w:rFonts w:cs="Times New Roman"/>
        </w:rPr>
        <w:t>)</w:t>
      </w:r>
      <w:r w:rsidR="00751BA6" w:rsidRPr="00A51748">
        <w:rPr>
          <w:rFonts w:cs="Times New Roman"/>
        </w:rPr>
        <w:t xml:space="preserve">, describe </w:t>
      </w:r>
      <w:r w:rsidR="00250884" w:rsidRPr="00A51748">
        <w:rPr>
          <w:rFonts w:cs="Times New Roman"/>
        </w:rPr>
        <w:t xml:space="preserve">additional opportunities for enhancing progress over the next </w:t>
      </w:r>
      <w:r w:rsidR="002D198A" w:rsidRPr="00A51748">
        <w:rPr>
          <w:rFonts w:cs="Times New Roman"/>
        </w:rPr>
        <w:t>year</w:t>
      </w:r>
      <w:r w:rsidR="00250884" w:rsidRPr="00A51748">
        <w:rPr>
          <w:rFonts w:cs="Times New Roman"/>
        </w:rPr>
        <w:t xml:space="preserve"> </w:t>
      </w:r>
      <w:r w:rsidR="004F5393" w:rsidRPr="00A51748">
        <w:rPr>
          <w:rFonts w:cs="Times New Roman"/>
        </w:rPr>
        <w:t>(</w:t>
      </w:r>
      <w:hyperlink w:anchor="_Opportunities_for_further" w:history="1">
        <w:r w:rsidR="004F5393" w:rsidRPr="00A51748">
          <w:rPr>
            <w:rStyle w:val="Hyperlink"/>
            <w:rFonts w:cs="Times New Roman"/>
            <w:b/>
            <w:color w:val="auto"/>
          </w:rPr>
          <w:t>Section I</w:t>
        </w:r>
        <w:r w:rsidR="00250884" w:rsidRPr="00A51748">
          <w:rPr>
            <w:rStyle w:val="Hyperlink"/>
            <w:rFonts w:cs="Times New Roman"/>
            <w:b/>
            <w:color w:val="auto"/>
          </w:rPr>
          <w:t>II</w:t>
        </w:r>
      </w:hyperlink>
      <w:r w:rsidR="00250884" w:rsidRPr="00A51748">
        <w:rPr>
          <w:rFonts w:cs="Times New Roman"/>
        </w:rPr>
        <w:t>)</w:t>
      </w:r>
      <w:r w:rsidR="000E33CE" w:rsidRPr="00A51748">
        <w:rPr>
          <w:rFonts w:cs="Times New Roman"/>
        </w:rPr>
        <w:t>,</w:t>
      </w:r>
      <w:r w:rsidR="00250884" w:rsidRPr="00A51748">
        <w:rPr>
          <w:rFonts w:cs="Times New Roman"/>
        </w:rPr>
        <w:t xml:space="preserve"> </w:t>
      </w:r>
      <w:r w:rsidR="00AA4398" w:rsidRPr="00A51748">
        <w:rPr>
          <w:rFonts w:cs="Times New Roman"/>
        </w:rPr>
        <w:t>and end</w:t>
      </w:r>
      <w:r w:rsidR="0084269C" w:rsidRPr="00A51748">
        <w:rPr>
          <w:rFonts w:cs="Times New Roman"/>
        </w:rPr>
        <w:t>s</w:t>
      </w:r>
      <w:r w:rsidR="00AA4398" w:rsidRPr="00A51748">
        <w:rPr>
          <w:rFonts w:cs="Times New Roman"/>
        </w:rPr>
        <w:t xml:space="preserve"> with </w:t>
      </w:r>
      <w:r w:rsidR="007F5C56" w:rsidRPr="00A51748">
        <w:rPr>
          <w:rFonts w:cs="Times New Roman"/>
        </w:rPr>
        <w:t>general conclusions (</w:t>
      </w:r>
      <w:hyperlink w:anchor="_conclusion" w:history="1">
        <w:r w:rsidR="007F5C56" w:rsidRPr="00A51748">
          <w:rPr>
            <w:rStyle w:val="Hyperlink"/>
            <w:rFonts w:cs="Times New Roman"/>
            <w:b/>
            <w:color w:val="auto"/>
          </w:rPr>
          <w:t xml:space="preserve">Section </w:t>
        </w:r>
        <w:r w:rsidR="003A785B" w:rsidRPr="00A51748">
          <w:rPr>
            <w:rStyle w:val="Hyperlink"/>
            <w:rFonts w:cs="Times New Roman"/>
            <w:b/>
            <w:color w:val="auto"/>
          </w:rPr>
          <w:t>I</w:t>
        </w:r>
        <w:r w:rsidR="007F5C56" w:rsidRPr="00A51748">
          <w:rPr>
            <w:rStyle w:val="Hyperlink"/>
            <w:rFonts w:cs="Times New Roman"/>
            <w:b/>
            <w:color w:val="auto"/>
          </w:rPr>
          <w:t>V</w:t>
        </w:r>
      </w:hyperlink>
      <w:r w:rsidR="007F5C56" w:rsidRPr="00A51748">
        <w:rPr>
          <w:rFonts w:cs="Times New Roman"/>
          <w:b/>
        </w:rPr>
        <w:t>)</w:t>
      </w:r>
      <w:r w:rsidR="00B52294" w:rsidRPr="00A51748">
        <w:rPr>
          <w:rFonts w:cs="Times New Roman"/>
        </w:rPr>
        <w:t>.</w:t>
      </w:r>
      <w:r w:rsidR="009E7CDD" w:rsidRPr="00A51748">
        <w:rPr>
          <w:rFonts w:cs="Times New Roman"/>
        </w:rPr>
        <w:t xml:space="preserve"> </w:t>
      </w:r>
    </w:p>
    <w:p w14:paraId="428E37E3" w14:textId="67D4AEE4" w:rsidR="00C911F7" w:rsidRPr="00A51748" w:rsidRDefault="002034AE" w:rsidP="006D6DCD">
      <w:pPr>
        <w:pStyle w:val="Heading2"/>
        <w:spacing w:before="0"/>
        <w:jc w:val="both"/>
        <w:rPr>
          <w:rFonts w:cs="Times New Roman"/>
          <w:lang w:val="en-US"/>
        </w:rPr>
      </w:pPr>
      <w:bookmarkStart w:id="1" w:name="_Current_status_of"/>
      <w:bookmarkEnd w:id="1"/>
      <w:r w:rsidRPr="00A51748">
        <w:rPr>
          <w:rFonts w:cs="Times New Roman"/>
          <w:lang w:val="en-US"/>
        </w:rPr>
        <w:t xml:space="preserve">6.2 </w:t>
      </w:r>
      <w:r w:rsidR="000E33CE" w:rsidRPr="00A51748">
        <w:rPr>
          <w:rFonts w:cs="Times New Roman"/>
          <w:lang w:val="en-US"/>
        </w:rPr>
        <w:t>Current status of Aichi Target 11</w:t>
      </w:r>
    </w:p>
    <w:p w14:paraId="6502C7B2" w14:textId="77777777" w:rsidR="007D4C50" w:rsidRPr="00A51748" w:rsidRDefault="00FA2945" w:rsidP="006D6DCD">
      <w:pPr>
        <w:pStyle w:val="Para1"/>
        <w:numPr>
          <w:ilvl w:val="0"/>
          <w:numId w:val="14"/>
        </w:numPr>
        <w:spacing w:before="0"/>
        <w:ind w:left="0" w:firstLine="0"/>
        <w:rPr>
          <w:rFonts w:cs="Times New Roman"/>
        </w:rPr>
      </w:pPr>
      <w:r w:rsidRPr="00A51748">
        <w:rPr>
          <w:rFonts w:cs="Times New Roman"/>
          <w:lang w:val="en-US"/>
        </w:rPr>
        <w:t xml:space="preserve">Target 11 refers to both protected areas and other effective area-based conservation as means of </w:t>
      </w:r>
      <w:r w:rsidR="00751BA6" w:rsidRPr="00A51748">
        <w:rPr>
          <w:rFonts w:cs="Times New Roman"/>
          <w:lang w:val="en-US"/>
        </w:rPr>
        <w:t xml:space="preserve">conserving biodiversity </w:t>
      </w:r>
      <w:r w:rsidR="00751BA6" w:rsidRPr="00A51748">
        <w:rPr>
          <w:rFonts w:cs="Times New Roman"/>
          <w:i/>
          <w:lang w:val="en-US"/>
        </w:rPr>
        <w:t>in situ</w:t>
      </w:r>
      <w:r w:rsidR="00751BA6" w:rsidRPr="00A51748">
        <w:rPr>
          <w:rFonts w:cs="Times New Roman"/>
          <w:lang w:val="en-US"/>
        </w:rPr>
        <w:t>.</w:t>
      </w:r>
      <w:r w:rsidRPr="00A51748">
        <w:rPr>
          <w:rFonts w:cs="Times New Roman"/>
          <w:lang w:val="en-US"/>
        </w:rPr>
        <w:t xml:space="preserve"> </w:t>
      </w:r>
      <w:r w:rsidR="005E6BF9" w:rsidRPr="00A51748">
        <w:rPr>
          <w:rFonts w:cs="Times New Roman"/>
        </w:rPr>
        <w:t>A definition of other effective area-based conservation measures (OECMs) was recently adopted at the 14</w:t>
      </w:r>
      <w:r w:rsidR="005E6BF9" w:rsidRPr="00A51748">
        <w:rPr>
          <w:rFonts w:cs="Times New Roman"/>
          <w:vertAlign w:val="superscript"/>
        </w:rPr>
        <w:t>th</w:t>
      </w:r>
      <w:r w:rsidR="005E6BF9" w:rsidRPr="00A51748">
        <w:rPr>
          <w:rFonts w:cs="Times New Roman"/>
        </w:rPr>
        <w:t xml:space="preserve"> meeting of Parties to the Convention, while the same decision welcomed the scientific and technical advice on OECMs (see </w:t>
      </w:r>
      <w:hyperlink r:id="rId17" w:history="1">
        <w:r w:rsidR="005E6BF9" w:rsidRPr="00A51748">
          <w:rPr>
            <w:rStyle w:val="Hyperlink"/>
            <w:rFonts w:cs="Times New Roman"/>
            <w:color w:val="auto"/>
          </w:rPr>
          <w:t>Decision 14/8</w:t>
        </w:r>
      </w:hyperlink>
      <w:r w:rsidR="005E6BF9" w:rsidRPr="00A51748">
        <w:rPr>
          <w:rFonts w:cs="Times New Roman"/>
        </w:rPr>
        <w:t xml:space="preserve">, Annex III). </w:t>
      </w:r>
      <w:r w:rsidR="00631FAF" w:rsidRPr="00A51748">
        <w:rPr>
          <w:rFonts w:cs="Times New Roman"/>
        </w:rPr>
        <w:t>As the definition was only recently adopted, t</w:t>
      </w:r>
      <w:r w:rsidR="007D4C50" w:rsidRPr="00A51748">
        <w:rPr>
          <w:rFonts w:cs="Times New Roman"/>
        </w:rPr>
        <w:t xml:space="preserve">here is limited information on </w:t>
      </w:r>
      <w:r w:rsidR="00631FAF" w:rsidRPr="00A51748">
        <w:rPr>
          <w:rFonts w:cs="Times New Roman"/>
        </w:rPr>
        <w:t xml:space="preserve">the </w:t>
      </w:r>
      <w:r w:rsidR="007D4C50" w:rsidRPr="00A51748">
        <w:rPr>
          <w:rFonts w:cs="Times New Roman"/>
        </w:rPr>
        <w:t>global extent</w:t>
      </w:r>
      <w:r w:rsidR="00631FAF" w:rsidRPr="00A51748">
        <w:rPr>
          <w:rFonts w:cs="Times New Roman"/>
        </w:rPr>
        <w:t xml:space="preserve"> of OECMs</w:t>
      </w:r>
      <w:r w:rsidR="007D4C50" w:rsidRPr="00A51748">
        <w:rPr>
          <w:rFonts w:cs="Times New Roman"/>
        </w:rPr>
        <w:t xml:space="preserve"> or the impact they could have for elements of Target 11. </w:t>
      </w:r>
      <w:r w:rsidR="00AA4398" w:rsidRPr="00A51748">
        <w:rPr>
          <w:rFonts w:cs="Times New Roman"/>
        </w:rPr>
        <w:t xml:space="preserve">As such, </w:t>
      </w:r>
      <w:r w:rsidR="00631FAF" w:rsidRPr="00A51748">
        <w:rPr>
          <w:rFonts w:cs="Times New Roman"/>
          <w:lang w:val="en-US"/>
        </w:rPr>
        <w:t>an</w:t>
      </w:r>
      <w:r w:rsidR="00FA1324" w:rsidRPr="00A51748">
        <w:rPr>
          <w:rFonts w:cs="Times New Roman"/>
          <w:lang w:val="en-US"/>
        </w:rPr>
        <w:t xml:space="preserve">alysis </w:t>
      </w:r>
      <w:r w:rsidR="007D4C50" w:rsidRPr="00A51748">
        <w:rPr>
          <w:rFonts w:cs="Times New Roman"/>
          <w:lang w:val="en-US"/>
        </w:rPr>
        <w:t>presented herein</w:t>
      </w:r>
      <w:r w:rsidR="00631FAF" w:rsidRPr="00A51748">
        <w:rPr>
          <w:rFonts w:cs="Times New Roman"/>
          <w:lang w:val="en-US"/>
        </w:rPr>
        <w:t xml:space="preserve"> is</w:t>
      </w:r>
      <w:r w:rsidR="007D4C50" w:rsidRPr="00A51748">
        <w:rPr>
          <w:rFonts w:cs="Times New Roman"/>
          <w:lang w:val="en-US"/>
        </w:rPr>
        <w:t xml:space="preserve"> </w:t>
      </w:r>
      <w:r w:rsidR="00631FAF" w:rsidRPr="00A51748">
        <w:rPr>
          <w:rFonts w:cs="Times New Roman"/>
          <w:lang w:val="en-US"/>
        </w:rPr>
        <w:t xml:space="preserve">based </w:t>
      </w:r>
      <w:r w:rsidR="00D325A3" w:rsidRPr="00A51748">
        <w:rPr>
          <w:rFonts w:cs="Times New Roman"/>
          <w:lang w:val="en-US"/>
        </w:rPr>
        <w:t>primarily</w:t>
      </w:r>
      <w:r w:rsidR="00631FAF" w:rsidRPr="00A51748">
        <w:rPr>
          <w:rFonts w:cs="Times New Roman"/>
          <w:lang w:val="en-US"/>
        </w:rPr>
        <w:t xml:space="preserve"> on </w:t>
      </w:r>
      <w:r w:rsidR="00D325A3" w:rsidRPr="00A51748">
        <w:rPr>
          <w:rFonts w:cs="Times New Roman"/>
          <w:lang w:val="en-US"/>
        </w:rPr>
        <w:t xml:space="preserve">protected areas reported </w:t>
      </w:r>
      <w:r w:rsidR="00631FAF" w:rsidRPr="00A51748">
        <w:rPr>
          <w:rFonts w:cs="Times New Roman"/>
          <w:lang w:val="en-US"/>
        </w:rPr>
        <w:t>in the World Database on Protected Areas (WD</w:t>
      </w:r>
      <w:r w:rsidR="00FA1324" w:rsidRPr="00A51748">
        <w:rPr>
          <w:rFonts w:cs="Times New Roman"/>
          <w:lang w:val="en-US"/>
        </w:rPr>
        <w:t>PA</w:t>
      </w:r>
      <w:r w:rsidR="00631FAF" w:rsidRPr="00A51748">
        <w:rPr>
          <w:rFonts w:cs="Times New Roman"/>
          <w:lang w:val="en-US"/>
        </w:rPr>
        <w:t>)</w:t>
      </w:r>
      <w:r w:rsidR="00FA1324" w:rsidRPr="00A51748">
        <w:rPr>
          <w:rFonts w:cs="Times New Roman"/>
          <w:lang w:val="en-US"/>
        </w:rPr>
        <w:t xml:space="preserve">. It is likely that </w:t>
      </w:r>
      <w:r w:rsidR="00631FAF" w:rsidRPr="00A51748">
        <w:rPr>
          <w:rFonts w:cs="Times New Roman"/>
          <w:lang w:val="en-US"/>
        </w:rPr>
        <w:t xml:space="preserve">the </w:t>
      </w:r>
      <w:r w:rsidR="007D4C50" w:rsidRPr="00A51748">
        <w:rPr>
          <w:rFonts w:cs="Times New Roman"/>
        </w:rPr>
        <w:t xml:space="preserve">status of </w:t>
      </w:r>
      <w:r w:rsidR="00631FAF" w:rsidRPr="00A51748">
        <w:rPr>
          <w:rFonts w:cs="Times New Roman"/>
        </w:rPr>
        <w:t xml:space="preserve">several </w:t>
      </w:r>
      <w:r w:rsidR="007D4C50" w:rsidRPr="00A51748">
        <w:rPr>
          <w:rFonts w:cs="Times New Roman"/>
        </w:rPr>
        <w:t xml:space="preserve">elements </w:t>
      </w:r>
      <w:r w:rsidR="00631FAF" w:rsidRPr="00A51748">
        <w:rPr>
          <w:rFonts w:cs="Times New Roman"/>
        </w:rPr>
        <w:t xml:space="preserve">of Target 11 </w:t>
      </w:r>
      <w:r w:rsidR="007D4C50" w:rsidRPr="00A51748">
        <w:rPr>
          <w:rFonts w:cs="Times New Roman"/>
        </w:rPr>
        <w:t>will improve substantially</w:t>
      </w:r>
      <w:r w:rsidR="00631FAF" w:rsidRPr="00A51748">
        <w:rPr>
          <w:rFonts w:cs="Times New Roman"/>
        </w:rPr>
        <w:t xml:space="preserve"> as reporting on OECMs advances.</w:t>
      </w:r>
    </w:p>
    <w:p w14:paraId="36B3D566" w14:textId="77777777" w:rsidR="00C911F7" w:rsidRPr="00A51748" w:rsidRDefault="00C911F7" w:rsidP="006D6DCD">
      <w:pPr>
        <w:pStyle w:val="Heading3"/>
        <w:spacing w:before="0"/>
        <w:jc w:val="both"/>
      </w:pPr>
      <w:r w:rsidRPr="00A51748">
        <w:t>Quantitative Elements</w:t>
      </w:r>
    </w:p>
    <w:p w14:paraId="2C0E8CD0" w14:textId="77777777" w:rsidR="00FA2945" w:rsidRPr="00A51748" w:rsidRDefault="00FA2945" w:rsidP="006D6DCD">
      <w:pPr>
        <w:pStyle w:val="Heading4"/>
        <w:spacing w:before="0"/>
        <w:jc w:val="both"/>
      </w:pPr>
      <w:r w:rsidRPr="00A51748">
        <w:t>(i) Terrestrial coverage</w:t>
      </w:r>
    </w:p>
    <w:p w14:paraId="453CCA79" w14:textId="77777777" w:rsidR="00FA2945" w:rsidRPr="00A51748" w:rsidRDefault="00C911F7" w:rsidP="006D6DCD">
      <w:pPr>
        <w:pStyle w:val="Para1"/>
        <w:numPr>
          <w:ilvl w:val="0"/>
          <w:numId w:val="14"/>
        </w:numPr>
        <w:spacing w:before="0"/>
        <w:ind w:left="0" w:firstLine="0"/>
        <w:rPr>
          <w:rFonts w:cs="Times New Roman"/>
        </w:rPr>
      </w:pPr>
      <w:r w:rsidRPr="00A51748">
        <w:rPr>
          <w:rFonts w:cs="Times New Roman"/>
        </w:rPr>
        <w:t xml:space="preserve">As of June 2019, terrestrial protected area coverage has reached </w:t>
      </w:r>
      <w:r w:rsidR="00E83317" w:rsidRPr="00A51748">
        <w:rPr>
          <w:rFonts w:cs="Times New Roman"/>
        </w:rPr>
        <w:t>15</w:t>
      </w:r>
      <w:r w:rsidR="00E22F89" w:rsidRPr="00A51748">
        <w:rPr>
          <w:rFonts w:cs="Times New Roman"/>
        </w:rPr>
        <w:t>.0</w:t>
      </w:r>
      <w:r w:rsidR="0099588F" w:rsidRPr="00A51748">
        <w:rPr>
          <w:rFonts w:cs="Times New Roman"/>
        </w:rPr>
        <w:t>%.</w:t>
      </w:r>
      <w:r w:rsidR="00AF501A" w:rsidRPr="00A51748">
        <w:rPr>
          <w:rStyle w:val="FootnoteReference"/>
          <w:rFonts w:cs="Times New Roman"/>
        </w:rPr>
        <w:footnoteReference w:id="17"/>
      </w:r>
      <w:r w:rsidR="0099588F" w:rsidRPr="00A51748">
        <w:rPr>
          <w:rFonts w:cs="Times New Roman"/>
        </w:rPr>
        <w:t xml:space="preserve"> This represents a</w:t>
      </w:r>
      <w:r w:rsidR="00E83317" w:rsidRPr="00A51748">
        <w:rPr>
          <w:rFonts w:cs="Times New Roman"/>
        </w:rPr>
        <w:t>n inc</w:t>
      </w:r>
      <w:r w:rsidR="0099588F" w:rsidRPr="00A51748">
        <w:rPr>
          <w:rFonts w:cs="Times New Roman"/>
        </w:rPr>
        <w:t>rease</w:t>
      </w:r>
      <w:r w:rsidR="00E83317" w:rsidRPr="00A51748">
        <w:rPr>
          <w:rFonts w:cs="Times New Roman"/>
        </w:rPr>
        <w:t xml:space="preserve"> of almost 2 million km</w:t>
      </w:r>
      <w:r w:rsidR="00E83317" w:rsidRPr="00A51748">
        <w:rPr>
          <w:rFonts w:cs="Times New Roman"/>
          <w:vertAlign w:val="superscript"/>
        </w:rPr>
        <w:t>2</w:t>
      </w:r>
      <w:r w:rsidR="00E83317" w:rsidRPr="00A51748">
        <w:rPr>
          <w:rFonts w:cs="Times New Roman"/>
        </w:rPr>
        <w:t xml:space="preserve"> </w:t>
      </w:r>
      <w:r w:rsidR="0099588F" w:rsidRPr="00A51748">
        <w:rPr>
          <w:rFonts w:cs="Times New Roman"/>
        </w:rPr>
        <w:t>from the start of the current Strategic Plan</w:t>
      </w:r>
      <w:r w:rsidR="00E83317" w:rsidRPr="00A51748">
        <w:rPr>
          <w:rFonts w:cs="Times New Roman"/>
        </w:rPr>
        <w:t xml:space="preserve"> 2011-2020, when global coverage was </w:t>
      </w:r>
      <w:r w:rsidR="00E22F89" w:rsidRPr="00A51748">
        <w:rPr>
          <w:rFonts w:cs="Times New Roman"/>
        </w:rPr>
        <w:t>13.6%</w:t>
      </w:r>
      <w:r w:rsidR="007379F0" w:rsidRPr="00A51748">
        <w:rPr>
          <w:rFonts w:cs="Times New Roman"/>
        </w:rPr>
        <w:t xml:space="preserve"> (Fig. 1)</w:t>
      </w:r>
      <w:r w:rsidR="00E22F89" w:rsidRPr="00A51748">
        <w:rPr>
          <w:rFonts w:cs="Times New Roman"/>
        </w:rPr>
        <w:t>.</w:t>
      </w:r>
      <w:r w:rsidR="0099588F" w:rsidRPr="00A51748">
        <w:rPr>
          <w:rFonts w:cs="Times New Roman"/>
        </w:rPr>
        <w:t xml:space="preserve"> </w:t>
      </w:r>
      <w:r w:rsidR="00FA1324" w:rsidRPr="00A51748">
        <w:rPr>
          <w:rFonts w:cs="Times New Roman"/>
        </w:rPr>
        <w:t>More than 25,000 sites have been designated since 2011 (~23,000 terrestrial, the remainder coastal and marine),</w:t>
      </w:r>
      <w:r w:rsidR="00FA1324" w:rsidRPr="00A51748">
        <w:rPr>
          <w:rStyle w:val="FootnoteReference"/>
          <w:rFonts w:cs="Times New Roman"/>
        </w:rPr>
        <w:footnoteReference w:id="18"/>
      </w:r>
      <w:r w:rsidR="00FA1324" w:rsidRPr="00A51748">
        <w:rPr>
          <w:rFonts w:cs="Times New Roman"/>
        </w:rPr>
        <w:t xml:space="preserve"> in addition to the large number of sites designated prior to 2011 which have subsequently been reported to the World Database on Protected Areas (WDPA).</w:t>
      </w:r>
      <w:r w:rsidR="00A010DF" w:rsidRPr="00A51748">
        <w:rPr>
          <w:rStyle w:val="FootnoteReference"/>
          <w:rFonts w:cs="Times New Roman"/>
        </w:rPr>
        <w:footnoteReference w:id="19"/>
      </w:r>
    </w:p>
    <w:p w14:paraId="483065AA" w14:textId="77777777" w:rsidR="009042D8" w:rsidRPr="00A51748" w:rsidRDefault="009042D8" w:rsidP="006D6DCD">
      <w:pPr>
        <w:pStyle w:val="Para1"/>
        <w:numPr>
          <w:ilvl w:val="0"/>
          <w:numId w:val="14"/>
        </w:numPr>
        <w:spacing w:before="0"/>
        <w:ind w:left="0" w:firstLine="0"/>
        <w:rPr>
          <w:rFonts w:cs="Times New Roman"/>
        </w:rPr>
      </w:pPr>
      <w:r w:rsidRPr="00A51748">
        <w:rPr>
          <w:rFonts w:cs="Times New Roman"/>
        </w:rPr>
        <w:t>For terrestrial protected areas</w:t>
      </w:r>
      <w:r w:rsidR="007D4C50" w:rsidRPr="00A51748">
        <w:rPr>
          <w:rFonts w:cs="Times New Roman"/>
        </w:rPr>
        <w:t>, recent growth at the global level has been slow</w:t>
      </w:r>
      <w:r w:rsidRPr="00A51748">
        <w:rPr>
          <w:rFonts w:cs="Times New Roman"/>
        </w:rPr>
        <w:t xml:space="preserve"> (Fig. 1), though many individual countries have still made significant progress. For example, </w:t>
      </w:r>
      <w:r w:rsidR="001B12AC" w:rsidRPr="00A51748">
        <w:rPr>
          <w:rFonts w:cs="Times New Roman"/>
        </w:rPr>
        <w:t>in Russia</w:t>
      </w:r>
      <w:r w:rsidR="00FA1324" w:rsidRPr="00A51748">
        <w:rPr>
          <w:rFonts w:cs="Times New Roman"/>
        </w:rPr>
        <w:t>,</w:t>
      </w:r>
      <w:r w:rsidR="001B12AC" w:rsidRPr="00A51748">
        <w:rPr>
          <w:rFonts w:cs="Times New Roman"/>
        </w:rPr>
        <w:t xml:space="preserve"> between 2011 and 2019 the total </w:t>
      </w:r>
      <w:r w:rsidR="00FA1324" w:rsidRPr="00A51748">
        <w:rPr>
          <w:rFonts w:cs="Times New Roman"/>
        </w:rPr>
        <w:t>extent</w:t>
      </w:r>
      <w:r w:rsidR="001B12AC" w:rsidRPr="00A51748">
        <w:rPr>
          <w:rFonts w:cs="Times New Roman"/>
        </w:rPr>
        <w:t xml:space="preserve"> of terrestrial protected areas increased by almost 172,000 km</w:t>
      </w:r>
      <w:r w:rsidR="001B12AC" w:rsidRPr="00A51748">
        <w:rPr>
          <w:rFonts w:cs="Times New Roman"/>
          <w:vertAlign w:val="superscript"/>
        </w:rPr>
        <w:t>2</w:t>
      </w:r>
      <w:r w:rsidR="001B12AC" w:rsidRPr="00A51748">
        <w:rPr>
          <w:rFonts w:cs="Times New Roman"/>
        </w:rPr>
        <w:t>.</w:t>
      </w:r>
      <w:r w:rsidR="00E9488C" w:rsidRPr="00A51748">
        <w:rPr>
          <w:rStyle w:val="FootnoteReference"/>
          <w:rFonts w:cs="Times New Roman"/>
        </w:rPr>
        <w:footnoteReference w:id="20"/>
      </w:r>
      <w:r w:rsidR="001B12AC" w:rsidRPr="00A51748">
        <w:rPr>
          <w:rFonts w:cs="Times New Roman"/>
        </w:rPr>
        <w:t xml:space="preserve"> B</w:t>
      </w:r>
      <w:r w:rsidRPr="00A51748">
        <w:rPr>
          <w:rFonts w:cs="Times New Roman"/>
        </w:rPr>
        <w:t>oth Canada and Australia increased coverage by over 100,000 km</w:t>
      </w:r>
      <w:r w:rsidRPr="00A51748">
        <w:rPr>
          <w:rFonts w:cs="Times New Roman"/>
          <w:vertAlign w:val="superscript"/>
        </w:rPr>
        <w:t>2</w:t>
      </w:r>
      <w:r w:rsidRPr="00A51748">
        <w:rPr>
          <w:rFonts w:cs="Times New Roman"/>
        </w:rPr>
        <w:t xml:space="preserve"> between April 2016 and June 2019. Brazil, Mexico and Tanzania all made significant increases, each adding over 40,000 km</w:t>
      </w:r>
      <w:r w:rsidRPr="00A51748">
        <w:rPr>
          <w:rFonts w:cs="Times New Roman"/>
          <w:vertAlign w:val="superscript"/>
        </w:rPr>
        <w:t>2</w:t>
      </w:r>
      <w:r w:rsidRPr="00A51748">
        <w:rPr>
          <w:rFonts w:cs="Times New Roman"/>
        </w:rPr>
        <w:t xml:space="preserve"> over the same 3-year period. Luxembourg and Martinique both added terrestrial protected areas covering more than 30% of their land area, while Haiti and Qatar both saw more than five-fold increases in terrestrial coverage</w:t>
      </w:r>
      <w:r w:rsidR="001B12AC" w:rsidRPr="00A51748">
        <w:rPr>
          <w:rFonts w:cs="Times New Roman"/>
        </w:rPr>
        <w:t>.</w:t>
      </w:r>
      <w:r w:rsidR="00A010DF" w:rsidRPr="00A51748">
        <w:rPr>
          <w:rStyle w:val="FootnoteReference"/>
          <w:rFonts w:cs="Times New Roman"/>
        </w:rPr>
        <w:footnoteReference w:id="21"/>
      </w:r>
    </w:p>
    <w:p w14:paraId="03B8FF35" w14:textId="77777777" w:rsidR="0099588F" w:rsidRPr="00A51748" w:rsidRDefault="00F1515A" w:rsidP="006D6DCD">
      <w:pPr>
        <w:pStyle w:val="Para1"/>
        <w:numPr>
          <w:ilvl w:val="0"/>
          <w:numId w:val="0"/>
        </w:numPr>
        <w:spacing w:before="0"/>
        <w:rPr>
          <w:rFonts w:cs="Times New Roman"/>
        </w:rPr>
      </w:pPr>
      <w:r w:rsidRPr="00A51748">
        <w:rPr>
          <w:rFonts w:cs="Times New Roman"/>
          <w:noProof/>
          <w:lang w:val="en-CA" w:eastAsia="en-CA"/>
        </w:rPr>
        <w:lastRenderedPageBreak/>
        <w:drawing>
          <wp:inline distT="0" distB="0" distL="0" distR="0" wp14:anchorId="0A9F2D07" wp14:editId="178F0BD6">
            <wp:extent cx="5943600" cy="2624958"/>
            <wp:effectExtent l="0" t="0" r="19050" b="2349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233C90" w14:textId="77777777" w:rsidR="00E22F89" w:rsidRPr="00A51748" w:rsidRDefault="00E22F89" w:rsidP="006D6DCD">
      <w:pPr>
        <w:pStyle w:val="Para1"/>
        <w:numPr>
          <w:ilvl w:val="0"/>
          <w:numId w:val="0"/>
        </w:numPr>
        <w:spacing w:before="0"/>
        <w:rPr>
          <w:rFonts w:cs="Times New Roman"/>
          <w:sz w:val="18"/>
        </w:rPr>
      </w:pPr>
      <w:r w:rsidRPr="00A51748">
        <w:rPr>
          <w:rFonts w:cs="Times New Roman"/>
          <w:b/>
          <w:sz w:val="18"/>
        </w:rPr>
        <w:t xml:space="preserve">Figure 1. </w:t>
      </w:r>
      <w:r w:rsidRPr="00A51748">
        <w:rPr>
          <w:rFonts w:cs="Times New Roman"/>
          <w:sz w:val="18"/>
        </w:rPr>
        <w:t>Growth in global protected area coverage over the time period of the Strategic Plan for Biodiversity 2011-2020.</w:t>
      </w:r>
      <w:r w:rsidR="00F409A2" w:rsidRPr="00A51748">
        <w:rPr>
          <w:rFonts w:cs="Times New Roman"/>
          <w:sz w:val="18"/>
        </w:rPr>
        <w:t xml:space="preserve"> Data for the years 2010 to 2018 based on information in the July 2018 WDPA release; data for 2019 from the June 2019 WDPA release. Analyses performed by UNEP-WCMC.</w:t>
      </w:r>
    </w:p>
    <w:p w14:paraId="41D755E0" w14:textId="77777777" w:rsidR="00631FAF" w:rsidRPr="00A51748" w:rsidRDefault="00631FAF" w:rsidP="006D6DCD">
      <w:pPr>
        <w:pStyle w:val="Heading4"/>
        <w:spacing w:before="0"/>
        <w:jc w:val="both"/>
      </w:pPr>
      <w:r w:rsidRPr="00A51748">
        <w:t>(ii) Marine coverage</w:t>
      </w:r>
    </w:p>
    <w:p w14:paraId="7D064C10" w14:textId="77777777" w:rsidR="00631FAF" w:rsidRPr="00A51748" w:rsidRDefault="00631FAF" w:rsidP="006D6DCD">
      <w:pPr>
        <w:pStyle w:val="Para1"/>
        <w:numPr>
          <w:ilvl w:val="0"/>
          <w:numId w:val="14"/>
        </w:numPr>
        <w:spacing w:before="0"/>
        <w:ind w:left="0" w:firstLine="0"/>
        <w:rPr>
          <w:rFonts w:cs="Times New Roman"/>
        </w:rPr>
      </w:pPr>
      <w:r w:rsidRPr="00A51748">
        <w:rPr>
          <w:rFonts w:cs="Times New Roman"/>
        </w:rPr>
        <w:t>As of June 2019, marine protected area coverage for the global ocean has reached 7.6% (coverage is 17.6% for national waters and 1.2% for areas beyond national jurisdiction [ABNJ]). This represents a significant—almost three-fold—increase from the coverage of 2.9% in 2011, at the start of the current Strategic Plan (7.3% for national waters and 0.2% ABNJ).</w:t>
      </w:r>
      <w:r w:rsidRPr="00A51748">
        <w:rPr>
          <w:rStyle w:val="FootnoteReference"/>
          <w:rFonts w:cs="Times New Roman"/>
        </w:rPr>
        <w:footnoteReference w:id="22"/>
      </w:r>
      <w:r w:rsidRPr="00A51748">
        <w:rPr>
          <w:rFonts w:cs="Times New Roman"/>
        </w:rPr>
        <w:t xml:space="preserve"> For marine areas under national jurisdiction, the 10% global target has already been surpassed (Fig. 1).</w:t>
      </w:r>
    </w:p>
    <w:p w14:paraId="75A0EBE8" w14:textId="77777777" w:rsidR="00631FAF" w:rsidRPr="00A51748" w:rsidRDefault="00631FAF" w:rsidP="006D6DCD">
      <w:pPr>
        <w:pStyle w:val="Para1"/>
        <w:numPr>
          <w:ilvl w:val="0"/>
          <w:numId w:val="14"/>
        </w:numPr>
        <w:spacing w:before="0"/>
        <w:ind w:left="0" w:firstLine="0"/>
        <w:rPr>
          <w:rFonts w:cs="Times New Roman"/>
        </w:rPr>
      </w:pPr>
      <w:r w:rsidRPr="00A51748">
        <w:rPr>
          <w:rFonts w:cs="Times New Roman"/>
        </w:rPr>
        <w:t>Much of this growth in marine protected area coverage has come from the recent designation of very large marine protected areas, for example in Cook Islands (~2 million km</w:t>
      </w:r>
      <w:r w:rsidRPr="00A51748">
        <w:rPr>
          <w:rFonts w:cs="Times New Roman"/>
          <w:vertAlign w:val="superscript"/>
        </w:rPr>
        <w:t>2</w:t>
      </w:r>
      <w:r w:rsidRPr="00A51748">
        <w:rPr>
          <w:rFonts w:cs="Times New Roman"/>
        </w:rPr>
        <w:t xml:space="preserve"> in 2017), Antarctica’s Ross Sea (1.5 million km</w:t>
      </w:r>
      <w:r w:rsidRPr="00A51748">
        <w:rPr>
          <w:rFonts w:cs="Times New Roman"/>
          <w:vertAlign w:val="superscript"/>
        </w:rPr>
        <w:t>2</w:t>
      </w:r>
      <w:r w:rsidRPr="00A51748">
        <w:rPr>
          <w:rFonts w:cs="Times New Roman"/>
        </w:rPr>
        <w:t xml:space="preserve"> in 2017), France’s Southern and Antarctic Lands (~1 million km</w:t>
      </w:r>
      <w:r w:rsidRPr="00A51748">
        <w:rPr>
          <w:rFonts w:cs="Times New Roman"/>
          <w:vertAlign w:val="superscript"/>
        </w:rPr>
        <w:t>2</w:t>
      </w:r>
      <w:r w:rsidRPr="00A51748">
        <w:rPr>
          <w:rFonts w:cs="Times New Roman"/>
        </w:rPr>
        <w:t xml:space="preserve"> in 2017), Pitcairn (0.8 million km</w:t>
      </w:r>
      <w:r w:rsidRPr="00A51748">
        <w:rPr>
          <w:rFonts w:cs="Times New Roman"/>
          <w:vertAlign w:val="superscript"/>
        </w:rPr>
        <w:t>2</w:t>
      </w:r>
      <w:r w:rsidRPr="00A51748">
        <w:rPr>
          <w:rFonts w:cs="Times New Roman"/>
        </w:rPr>
        <w:t xml:space="preserve"> in 2016), and Easter Island (570,000 km</w:t>
      </w:r>
      <w:r w:rsidRPr="00A51748">
        <w:rPr>
          <w:rFonts w:cs="Times New Roman"/>
          <w:vertAlign w:val="superscript"/>
        </w:rPr>
        <w:t>2</w:t>
      </w:r>
      <w:r w:rsidRPr="00A51748">
        <w:rPr>
          <w:rFonts w:cs="Times New Roman"/>
        </w:rPr>
        <w:t xml:space="preserve"> in 2018). In total, there are 14 </w:t>
      </w:r>
      <w:r w:rsidR="000E30C2" w:rsidRPr="00A51748">
        <w:rPr>
          <w:rFonts w:cs="Times New Roman"/>
        </w:rPr>
        <w:t>marine protected areas</w:t>
      </w:r>
      <w:r w:rsidRPr="00A51748">
        <w:rPr>
          <w:rFonts w:cs="Times New Roman"/>
        </w:rPr>
        <w:t xml:space="preserve"> larger than a half million square kilometres, and all but one was designated or expanded in the last ten years. These sites together account for more than half of the ocean area protected.</w:t>
      </w:r>
      <w:r w:rsidR="00D30A59" w:rsidRPr="00A51748">
        <w:rPr>
          <w:rFonts w:cs="Times New Roman"/>
        </w:rPr>
        <w:t xml:space="preserve"> There is some concern that </w:t>
      </w:r>
      <w:r w:rsidR="00D24223" w:rsidRPr="00A51748">
        <w:rPr>
          <w:rFonts w:cs="Times New Roman"/>
        </w:rPr>
        <w:t>recent designations have</w:t>
      </w:r>
      <w:r w:rsidR="00D30A59" w:rsidRPr="00A51748">
        <w:rPr>
          <w:rFonts w:cs="Times New Roman"/>
        </w:rPr>
        <w:t xml:space="preserve"> poor ecological representation</w:t>
      </w:r>
      <w:r w:rsidR="00D30A59" w:rsidRPr="00A51748">
        <w:rPr>
          <w:rStyle w:val="FootnoteReference"/>
          <w:rFonts w:cs="Times New Roman"/>
        </w:rPr>
        <w:footnoteReference w:id="23"/>
      </w:r>
      <w:r w:rsidR="00D30A59" w:rsidRPr="00A51748">
        <w:rPr>
          <w:rFonts w:cs="Times New Roman"/>
        </w:rPr>
        <w:t xml:space="preserve"> and have only </w:t>
      </w:r>
      <w:r w:rsidR="004E65E7" w:rsidRPr="00A51748">
        <w:rPr>
          <w:rFonts w:cs="Times New Roman"/>
        </w:rPr>
        <w:t xml:space="preserve">minimally </w:t>
      </w:r>
      <w:r w:rsidR="00D30A59" w:rsidRPr="00A51748">
        <w:rPr>
          <w:rFonts w:cs="Times New Roman"/>
        </w:rPr>
        <w:t>addressed stoppable threats.</w:t>
      </w:r>
      <w:r w:rsidR="00D30A59" w:rsidRPr="00A51748">
        <w:rPr>
          <w:rStyle w:val="FootnoteReference"/>
          <w:rFonts w:cs="Times New Roman"/>
        </w:rPr>
        <w:footnoteReference w:id="24"/>
      </w:r>
      <w:r w:rsidR="00D30A59" w:rsidRPr="00A51748">
        <w:rPr>
          <w:rFonts w:cs="Times New Roman"/>
        </w:rPr>
        <w:t xml:space="preserve"> </w:t>
      </w:r>
      <w:r w:rsidR="00D30A59" w:rsidRPr="00A51748">
        <w:rPr>
          <w:rFonts w:eastAsia="Times New Roman" w:cs="Times New Roman"/>
          <w:iCs/>
          <w:lang w:val="en-US"/>
        </w:rPr>
        <w:t xml:space="preserve">Issues pertaining to the qualitative elements of Target 11 will be addressed in the </w:t>
      </w:r>
      <w:hyperlink w:anchor="_Qualitative_Elements" w:history="1">
        <w:r w:rsidR="00D30A59" w:rsidRPr="00A51748">
          <w:rPr>
            <w:rStyle w:val="Hyperlink"/>
            <w:rFonts w:eastAsia="Times New Roman" w:cs="Times New Roman"/>
            <w:iCs/>
            <w:color w:val="auto"/>
            <w:lang w:val="en-US"/>
          </w:rPr>
          <w:t>next section</w:t>
        </w:r>
      </w:hyperlink>
      <w:r w:rsidR="00D30A59" w:rsidRPr="00A51748">
        <w:rPr>
          <w:rFonts w:eastAsia="Times New Roman" w:cs="Times New Roman"/>
          <w:iCs/>
          <w:lang w:val="en-US"/>
        </w:rPr>
        <w:t>.</w:t>
      </w:r>
    </w:p>
    <w:p w14:paraId="39872B47" w14:textId="77777777" w:rsidR="007F0228" w:rsidRPr="00A51748" w:rsidRDefault="007F0228" w:rsidP="006D6DCD">
      <w:pPr>
        <w:pStyle w:val="Heading4"/>
        <w:spacing w:before="0"/>
        <w:jc w:val="both"/>
      </w:pPr>
      <w:r w:rsidRPr="00A51748">
        <w:t>(iii) Protected area commitments</w:t>
      </w:r>
    </w:p>
    <w:p w14:paraId="11941059" w14:textId="77777777" w:rsidR="00CA1B33" w:rsidRPr="00A51748" w:rsidRDefault="003A785B" w:rsidP="006D6DCD">
      <w:pPr>
        <w:pStyle w:val="Para1"/>
        <w:numPr>
          <w:ilvl w:val="0"/>
          <w:numId w:val="14"/>
        </w:numPr>
        <w:spacing w:before="0"/>
        <w:ind w:left="0" w:firstLine="0"/>
        <w:rPr>
          <w:rFonts w:eastAsia="Times New Roman" w:cs="Times New Roman"/>
          <w:b/>
          <w:iCs/>
          <w:lang w:val="en-US"/>
        </w:rPr>
      </w:pPr>
      <w:r w:rsidRPr="00A51748">
        <w:rPr>
          <w:rFonts w:cs="Times New Roman"/>
        </w:rPr>
        <w:t xml:space="preserve">Commitments addressing expanded protected area cover have been made by Parties to the Convention through various fora, including National Biodiversity Strategies and Action Plans (NBSAPs), national priority actions </w:t>
      </w:r>
      <w:r w:rsidR="009042D8" w:rsidRPr="00A51748">
        <w:rPr>
          <w:rFonts w:eastAsia="Times New Roman" w:cs="Times New Roman"/>
        </w:rPr>
        <w:t xml:space="preserve">identified </w:t>
      </w:r>
      <w:r w:rsidRPr="00A51748">
        <w:rPr>
          <w:rFonts w:eastAsia="Times New Roman" w:cs="Times New Roman"/>
        </w:rPr>
        <w:t xml:space="preserve">through a series of regional capacity-building workshops, the 2017 </w:t>
      </w:r>
      <w:r w:rsidRPr="00A51748">
        <w:rPr>
          <w:rFonts w:cs="Times New Roman"/>
        </w:rPr>
        <w:t xml:space="preserve">UN Oceans Conference, </w:t>
      </w:r>
      <w:r w:rsidR="007F0228" w:rsidRPr="00A51748">
        <w:rPr>
          <w:rFonts w:cs="Times New Roman"/>
        </w:rPr>
        <w:t xml:space="preserve">and </w:t>
      </w:r>
      <w:r w:rsidRPr="00A51748">
        <w:rPr>
          <w:rFonts w:cs="Times New Roman"/>
        </w:rPr>
        <w:t>various regional initiatives (e.g. the Micronesia Challenge)</w:t>
      </w:r>
      <w:r w:rsidR="007F0228" w:rsidRPr="00A51748">
        <w:rPr>
          <w:rFonts w:cs="Times New Roman"/>
        </w:rPr>
        <w:t>.</w:t>
      </w:r>
      <w:r w:rsidRPr="00A51748">
        <w:rPr>
          <w:rFonts w:eastAsia="Times New Roman" w:cs="Times New Roman"/>
        </w:rPr>
        <w:t xml:space="preserve"> I</w:t>
      </w:r>
      <w:r w:rsidRPr="00A51748">
        <w:rPr>
          <w:rFonts w:cs="Times New Roman"/>
        </w:rPr>
        <w:t xml:space="preserve">f </w:t>
      </w:r>
      <w:r w:rsidR="00AF426F" w:rsidRPr="00A51748">
        <w:rPr>
          <w:rFonts w:cs="Times New Roman"/>
        </w:rPr>
        <w:t>completed</w:t>
      </w:r>
      <w:r w:rsidRPr="00A51748">
        <w:rPr>
          <w:rFonts w:cs="Times New Roman"/>
        </w:rPr>
        <w:t xml:space="preserve"> as proposed by</w:t>
      </w:r>
      <w:r w:rsidRPr="00A51748">
        <w:rPr>
          <w:rFonts w:eastAsia="Times New Roman" w:cs="Times New Roman"/>
          <w:b/>
          <w:iCs/>
          <w:lang w:val="en-US"/>
        </w:rPr>
        <w:t xml:space="preserve"> </w:t>
      </w:r>
      <w:r w:rsidRPr="00A51748">
        <w:rPr>
          <w:rFonts w:eastAsia="Times New Roman" w:cs="Times New Roman"/>
          <w:iCs/>
          <w:lang w:val="en-US"/>
        </w:rPr>
        <w:t xml:space="preserve">2020, </w:t>
      </w:r>
      <w:r w:rsidR="009042D8" w:rsidRPr="00A51748">
        <w:rPr>
          <w:rFonts w:eastAsia="Times New Roman" w:cs="Times New Roman"/>
          <w:iCs/>
          <w:lang w:val="en-US"/>
        </w:rPr>
        <w:t xml:space="preserve">and avoiding double counting </w:t>
      </w:r>
      <w:r w:rsidR="005E6BF9" w:rsidRPr="00A51748">
        <w:rPr>
          <w:rFonts w:eastAsia="Times New Roman" w:cs="Times New Roman"/>
          <w:iCs/>
          <w:lang w:val="en-US"/>
        </w:rPr>
        <w:t>of</w:t>
      </w:r>
      <w:r w:rsidR="009042D8" w:rsidRPr="00A51748">
        <w:rPr>
          <w:rFonts w:eastAsia="Times New Roman" w:cs="Times New Roman"/>
          <w:iCs/>
          <w:lang w:val="en-US"/>
        </w:rPr>
        <w:t xml:space="preserve"> actions from different sources, </w:t>
      </w:r>
      <w:r w:rsidR="00D13AB3" w:rsidRPr="00A51748">
        <w:rPr>
          <w:rFonts w:eastAsia="Times New Roman" w:cs="Times New Roman"/>
          <w:iCs/>
          <w:lang w:val="en-US"/>
        </w:rPr>
        <w:t>these</w:t>
      </w:r>
      <w:r w:rsidRPr="00A51748">
        <w:rPr>
          <w:rFonts w:eastAsia="Times New Roman" w:cs="Times New Roman"/>
          <w:iCs/>
          <w:lang w:val="en-US"/>
        </w:rPr>
        <w:t xml:space="preserve"> would increase global </w:t>
      </w:r>
      <w:r w:rsidR="0056494B" w:rsidRPr="00A51748">
        <w:rPr>
          <w:rFonts w:eastAsia="Times New Roman" w:cs="Times New Roman"/>
          <w:iCs/>
          <w:lang w:val="en-US"/>
        </w:rPr>
        <w:t xml:space="preserve">protected area </w:t>
      </w:r>
      <w:r w:rsidRPr="00A51748">
        <w:rPr>
          <w:rFonts w:eastAsia="Times New Roman" w:cs="Times New Roman"/>
          <w:iCs/>
          <w:lang w:val="en-US"/>
        </w:rPr>
        <w:t>coverage of terrestrial areas by over 4 million km</w:t>
      </w:r>
      <w:r w:rsidRPr="00A51748">
        <w:rPr>
          <w:rFonts w:eastAsia="Times New Roman" w:cs="Times New Roman"/>
          <w:iCs/>
          <w:vertAlign w:val="superscript"/>
          <w:lang w:val="en-US"/>
        </w:rPr>
        <w:t>2</w:t>
      </w:r>
      <w:r w:rsidRPr="00A51748">
        <w:rPr>
          <w:rFonts w:eastAsia="Times New Roman" w:cs="Times New Roman"/>
          <w:iCs/>
          <w:lang w:val="en-US"/>
        </w:rPr>
        <w:t xml:space="preserve"> and would increase coverage of the global ocean by over 11 million km</w:t>
      </w:r>
      <w:r w:rsidRPr="00A51748">
        <w:rPr>
          <w:rFonts w:eastAsia="Times New Roman" w:cs="Times New Roman"/>
          <w:iCs/>
          <w:vertAlign w:val="superscript"/>
          <w:lang w:val="en-US"/>
        </w:rPr>
        <w:t>2</w:t>
      </w:r>
      <w:r w:rsidRPr="00A51748">
        <w:rPr>
          <w:rFonts w:eastAsia="Times New Roman" w:cs="Times New Roman"/>
          <w:iCs/>
          <w:lang w:val="en-US"/>
        </w:rPr>
        <w:t xml:space="preserve">. This would bring terrestrial protected area coverage to more than 18% and marine coverage to </w:t>
      </w:r>
      <w:r w:rsidR="00D13AB3" w:rsidRPr="00A51748">
        <w:rPr>
          <w:rFonts w:eastAsia="Times New Roman" w:cs="Times New Roman"/>
          <w:iCs/>
          <w:lang w:val="en-US"/>
        </w:rPr>
        <w:t>11</w:t>
      </w:r>
      <w:r w:rsidRPr="00A51748">
        <w:rPr>
          <w:rFonts w:eastAsia="Times New Roman" w:cs="Times New Roman"/>
          <w:iCs/>
          <w:lang w:val="en-US"/>
        </w:rPr>
        <w:t>%</w:t>
      </w:r>
      <w:r w:rsidR="00631FAF" w:rsidRPr="00A51748">
        <w:rPr>
          <w:rFonts w:eastAsia="Times New Roman" w:cs="Times New Roman"/>
          <w:iCs/>
          <w:lang w:val="en-US"/>
        </w:rPr>
        <w:t xml:space="preserve"> of the global ocean</w:t>
      </w:r>
      <w:r w:rsidR="0056494B" w:rsidRPr="00A51748">
        <w:rPr>
          <w:rFonts w:eastAsia="Times New Roman" w:cs="Times New Roman"/>
          <w:iCs/>
          <w:lang w:val="en-US"/>
        </w:rPr>
        <w:t xml:space="preserve"> (Fig. 2)</w:t>
      </w:r>
      <w:r w:rsidRPr="00A51748">
        <w:rPr>
          <w:rFonts w:eastAsia="Times New Roman" w:cs="Times New Roman"/>
          <w:iCs/>
          <w:lang w:val="en-US"/>
        </w:rPr>
        <w:t>, surpassing both quantitative targets.</w:t>
      </w:r>
      <w:r w:rsidR="00331D63" w:rsidRPr="00A51748">
        <w:rPr>
          <w:rFonts w:eastAsia="Times New Roman" w:cs="Times New Roman"/>
          <w:iCs/>
          <w:lang w:val="en-US"/>
        </w:rPr>
        <w:t xml:space="preserve"> </w:t>
      </w:r>
      <w:r w:rsidR="00331D63" w:rsidRPr="00A51748">
        <w:rPr>
          <w:rFonts w:eastAsia="Times New Roman" w:cs="Times New Roman"/>
          <w:iCs/>
          <w:lang w:val="en-US"/>
        </w:rPr>
        <w:lastRenderedPageBreak/>
        <w:t xml:space="preserve">However, </w:t>
      </w:r>
      <w:r w:rsidR="0084269C" w:rsidRPr="00A51748">
        <w:rPr>
          <w:rFonts w:eastAsia="Times New Roman" w:cs="Times New Roman"/>
          <w:iCs/>
          <w:lang w:val="en-US"/>
        </w:rPr>
        <w:t xml:space="preserve">further efforts will still be needed to ensure that the </w:t>
      </w:r>
      <w:r w:rsidR="00331D63" w:rsidRPr="00A51748">
        <w:rPr>
          <w:rFonts w:eastAsia="Times New Roman" w:cs="Times New Roman"/>
          <w:iCs/>
          <w:lang w:val="en-US"/>
        </w:rPr>
        <w:t xml:space="preserve">qualitative elements of Target 11 </w:t>
      </w:r>
      <w:r w:rsidR="0084269C" w:rsidRPr="00A51748">
        <w:rPr>
          <w:rFonts w:eastAsia="Times New Roman" w:cs="Times New Roman"/>
          <w:iCs/>
          <w:lang w:val="en-US"/>
        </w:rPr>
        <w:t>are</w:t>
      </w:r>
      <w:r w:rsidR="00331D63" w:rsidRPr="00A51748">
        <w:rPr>
          <w:rFonts w:eastAsia="Times New Roman" w:cs="Times New Roman"/>
          <w:iCs/>
          <w:lang w:val="en-US"/>
        </w:rPr>
        <w:t xml:space="preserve"> be</w:t>
      </w:r>
      <w:r w:rsidR="0084269C" w:rsidRPr="00A51748">
        <w:rPr>
          <w:rFonts w:eastAsia="Times New Roman" w:cs="Times New Roman"/>
          <w:iCs/>
          <w:lang w:val="en-US"/>
        </w:rPr>
        <w:t>ing</w:t>
      </w:r>
      <w:r w:rsidR="00331D63" w:rsidRPr="00A51748">
        <w:rPr>
          <w:rFonts w:eastAsia="Times New Roman" w:cs="Times New Roman"/>
          <w:iCs/>
          <w:lang w:val="en-US"/>
        </w:rPr>
        <w:t xml:space="preserve"> addressed</w:t>
      </w:r>
      <w:r w:rsidR="00302C0E" w:rsidRPr="00A51748">
        <w:rPr>
          <w:rFonts w:eastAsia="Times New Roman" w:cs="Times New Roman"/>
          <w:iCs/>
          <w:lang w:val="en-US"/>
        </w:rPr>
        <w:t>.</w:t>
      </w:r>
    </w:p>
    <w:p w14:paraId="7843D9BB" w14:textId="77777777" w:rsidR="00951700" w:rsidRPr="00A51748" w:rsidRDefault="00951700" w:rsidP="006D6DCD">
      <w:pPr>
        <w:pStyle w:val="Para1"/>
        <w:numPr>
          <w:ilvl w:val="0"/>
          <w:numId w:val="14"/>
        </w:numPr>
        <w:spacing w:before="0"/>
        <w:ind w:left="0" w:firstLine="0"/>
        <w:rPr>
          <w:rFonts w:cs="Times New Roman"/>
        </w:rPr>
      </w:pPr>
      <w:r w:rsidRPr="00A51748">
        <w:rPr>
          <w:rFonts w:cs="Times New Roman"/>
        </w:rPr>
        <w:t xml:space="preserve">To date, 64 Parties have provided NBSAPs with quantitative targets for marine protected area coverage, of which 46 have a target date of 2020 or earlier. Of these 46 Parties, 11 have reached or surpassed </w:t>
      </w:r>
      <w:r w:rsidR="009042D8" w:rsidRPr="00A51748">
        <w:rPr>
          <w:rFonts w:cs="Times New Roman"/>
        </w:rPr>
        <w:t xml:space="preserve">their </w:t>
      </w:r>
      <w:r w:rsidR="005E6BF9" w:rsidRPr="00A51748">
        <w:rPr>
          <w:rFonts w:cs="Times New Roman"/>
        </w:rPr>
        <w:t xml:space="preserve">national </w:t>
      </w:r>
      <w:r w:rsidR="00E16BAE" w:rsidRPr="00A51748">
        <w:rPr>
          <w:rFonts w:cs="Times New Roman"/>
        </w:rPr>
        <w:t xml:space="preserve">coverage </w:t>
      </w:r>
      <w:r w:rsidRPr="00A51748">
        <w:rPr>
          <w:rFonts w:cs="Times New Roman"/>
        </w:rPr>
        <w:t xml:space="preserve">targets as of June 2019, as per data in the WDPA. Of the 18 NBSAPs with post-2020 end-dates for marine protected area targets, one Party has already surpassed their </w:t>
      </w:r>
      <w:r w:rsidR="005E6BF9" w:rsidRPr="00A51748">
        <w:rPr>
          <w:rFonts w:cs="Times New Roman"/>
        </w:rPr>
        <w:t xml:space="preserve">national </w:t>
      </w:r>
      <w:r w:rsidR="00E16BAE" w:rsidRPr="00A51748">
        <w:rPr>
          <w:rFonts w:cs="Times New Roman"/>
        </w:rPr>
        <w:t xml:space="preserve">coverage </w:t>
      </w:r>
      <w:r w:rsidRPr="00A51748">
        <w:rPr>
          <w:rFonts w:cs="Times New Roman"/>
        </w:rPr>
        <w:t xml:space="preserve">target. For terrestrial protected areas, NBSAPs from 82 Parties have specific quantitative targets, of which 61 have a target date of 2020 or earlier; of these, 18 Parties have already reached </w:t>
      </w:r>
      <w:r w:rsidR="009042D8" w:rsidRPr="00A51748">
        <w:rPr>
          <w:rFonts w:cs="Times New Roman"/>
        </w:rPr>
        <w:t xml:space="preserve">their </w:t>
      </w:r>
      <w:r w:rsidR="005E6BF9" w:rsidRPr="00A51748">
        <w:rPr>
          <w:rFonts w:cs="Times New Roman"/>
        </w:rPr>
        <w:t>national coverage</w:t>
      </w:r>
      <w:r w:rsidR="00E16BAE" w:rsidRPr="00A51748">
        <w:rPr>
          <w:rFonts w:cs="Times New Roman"/>
        </w:rPr>
        <w:t xml:space="preserve"> </w:t>
      </w:r>
      <w:r w:rsidRPr="00A51748">
        <w:rPr>
          <w:rFonts w:cs="Times New Roman"/>
        </w:rPr>
        <w:t>target</w:t>
      </w:r>
      <w:r w:rsidR="00E70D24" w:rsidRPr="00A51748">
        <w:rPr>
          <w:rFonts w:cs="Times New Roman"/>
        </w:rPr>
        <w:t>, with data reported in the WDPA</w:t>
      </w:r>
      <w:r w:rsidRPr="00A51748">
        <w:rPr>
          <w:rFonts w:cs="Times New Roman"/>
        </w:rPr>
        <w:t xml:space="preserve">. Of the 21 NBSAPs with post-2020 target dates for terrestrial protected areas, three Parties have already surpassed </w:t>
      </w:r>
      <w:r w:rsidR="009042D8" w:rsidRPr="00A51748">
        <w:rPr>
          <w:rFonts w:cs="Times New Roman"/>
        </w:rPr>
        <w:t xml:space="preserve">their </w:t>
      </w:r>
      <w:r w:rsidR="009B4B17" w:rsidRPr="00A51748">
        <w:rPr>
          <w:rFonts w:cs="Times New Roman"/>
        </w:rPr>
        <w:t xml:space="preserve">national </w:t>
      </w:r>
      <w:r w:rsidR="00E16BAE" w:rsidRPr="00A51748">
        <w:rPr>
          <w:rFonts w:cs="Times New Roman"/>
        </w:rPr>
        <w:t>coverage</w:t>
      </w:r>
      <w:r w:rsidRPr="00A51748">
        <w:rPr>
          <w:rFonts w:cs="Times New Roman"/>
        </w:rPr>
        <w:t xml:space="preserve"> target.</w:t>
      </w:r>
    </w:p>
    <w:p w14:paraId="5E04CC00" w14:textId="77777777" w:rsidR="003A785B" w:rsidRPr="00A51748" w:rsidRDefault="003A785B" w:rsidP="006D6DCD">
      <w:pPr>
        <w:pStyle w:val="Para1"/>
        <w:numPr>
          <w:ilvl w:val="0"/>
          <w:numId w:val="0"/>
        </w:numPr>
        <w:spacing w:before="0"/>
        <w:rPr>
          <w:rFonts w:eastAsia="Times New Roman" w:cs="Times New Roman"/>
          <w:b/>
          <w:iCs/>
          <w:lang w:val="en-US"/>
        </w:rPr>
      </w:pPr>
      <w:r w:rsidRPr="00A51748">
        <w:rPr>
          <w:rFonts w:eastAsia="Times New Roman" w:cs="Times New Roman"/>
          <w:b/>
          <w:iCs/>
          <w:lang w:val="en-US"/>
        </w:rPr>
        <w:t xml:space="preserve"> </w:t>
      </w:r>
      <w:r w:rsidR="00B800E0" w:rsidRPr="00A51748">
        <w:rPr>
          <w:rFonts w:cs="Times New Roman"/>
          <w:noProof/>
          <w:lang w:val="en-CA" w:eastAsia="en-CA"/>
        </w:rPr>
        <w:drawing>
          <wp:inline distT="0" distB="0" distL="0" distR="0" wp14:anchorId="65C5BD3F" wp14:editId="6DFA160A">
            <wp:extent cx="5940213" cy="2343573"/>
            <wp:effectExtent l="0" t="0" r="2286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912F995" w14:textId="77777777" w:rsidR="00050BD1" w:rsidRPr="00A51748" w:rsidRDefault="00050BD1" w:rsidP="006D6DCD">
      <w:pPr>
        <w:pStyle w:val="Para1"/>
        <w:numPr>
          <w:ilvl w:val="0"/>
          <w:numId w:val="0"/>
        </w:numPr>
        <w:spacing w:before="0"/>
        <w:rPr>
          <w:rFonts w:cs="Times New Roman"/>
          <w:sz w:val="18"/>
        </w:rPr>
      </w:pPr>
      <w:r w:rsidRPr="00A51748">
        <w:rPr>
          <w:rFonts w:cs="Times New Roman"/>
          <w:b/>
          <w:sz w:val="18"/>
        </w:rPr>
        <w:t xml:space="preserve">Figure 2. </w:t>
      </w:r>
      <w:r w:rsidR="000C39A2" w:rsidRPr="00A51748">
        <w:rPr>
          <w:rFonts w:cs="Times New Roman"/>
          <w:sz w:val="18"/>
        </w:rPr>
        <w:t>Increase in global protected area coverage if national c</w:t>
      </w:r>
      <w:r w:rsidRPr="00A51748">
        <w:rPr>
          <w:rFonts w:cs="Times New Roman"/>
          <w:sz w:val="18"/>
        </w:rPr>
        <w:t>ommitments</w:t>
      </w:r>
      <w:r w:rsidR="000C39A2" w:rsidRPr="00A51748">
        <w:rPr>
          <w:rFonts w:cs="Times New Roman"/>
          <w:sz w:val="18"/>
        </w:rPr>
        <w:t xml:space="preserve"> are completed as proposed by 2020.</w:t>
      </w:r>
    </w:p>
    <w:p w14:paraId="67FDC44F" w14:textId="77777777" w:rsidR="00C911F7" w:rsidRPr="00A51748" w:rsidRDefault="00C911F7" w:rsidP="006D6DCD">
      <w:pPr>
        <w:pStyle w:val="Heading3"/>
        <w:spacing w:before="0"/>
        <w:jc w:val="both"/>
      </w:pPr>
      <w:bookmarkStart w:id="2" w:name="_Qualitative_Elements"/>
      <w:bookmarkEnd w:id="2"/>
      <w:r w:rsidRPr="00A51748">
        <w:t>Qualitative Elements</w:t>
      </w:r>
    </w:p>
    <w:p w14:paraId="0D60FC38" w14:textId="77777777" w:rsidR="006D29E9" w:rsidRPr="00A51748" w:rsidRDefault="003A785B" w:rsidP="006D6DCD">
      <w:pPr>
        <w:pStyle w:val="Para1"/>
        <w:numPr>
          <w:ilvl w:val="0"/>
          <w:numId w:val="14"/>
        </w:numPr>
        <w:spacing w:before="0"/>
        <w:ind w:left="0" w:firstLine="0"/>
        <w:rPr>
          <w:rFonts w:cs="Times New Roman"/>
        </w:rPr>
      </w:pPr>
      <w:r w:rsidRPr="00A51748">
        <w:rPr>
          <w:rFonts w:cs="Times New Roman"/>
        </w:rPr>
        <w:t>Though it is likely that both terrestrial and marine quantitative targets will be met globally by 2020, there is a need for increased efforts to address the qualitative elements of Target 11</w:t>
      </w:r>
      <w:r w:rsidR="00631FAF" w:rsidRPr="00A51748">
        <w:rPr>
          <w:rFonts w:cs="Times New Roman"/>
        </w:rPr>
        <w:t xml:space="preserve">. As noted above, </w:t>
      </w:r>
      <w:r w:rsidRPr="00A51748">
        <w:rPr>
          <w:rFonts w:cs="Times New Roman"/>
        </w:rPr>
        <w:t xml:space="preserve">for successful achievement, progress is needed </w:t>
      </w:r>
      <w:r w:rsidRPr="00A51748">
        <w:rPr>
          <w:rFonts w:cs="Times New Roman"/>
          <w:b/>
          <w:i/>
        </w:rPr>
        <w:t>on all elements</w:t>
      </w:r>
      <w:r w:rsidR="00631FAF" w:rsidRPr="00A51748">
        <w:rPr>
          <w:rFonts w:cs="Times New Roman"/>
        </w:rPr>
        <w:t xml:space="preserve"> of Target 11</w:t>
      </w:r>
      <w:r w:rsidRPr="00A51748">
        <w:rPr>
          <w:rFonts w:cs="Times New Roman"/>
        </w:rPr>
        <w:t>.</w:t>
      </w:r>
    </w:p>
    <w:p w14:paraId="5CB8AAF0" w14:textId="77777777" w:rsidR="009B4B17" w:rsidRPr="00A51748" w:rsidRDefault="009B4B17" w:rsidP="006D6DCD">
      <w:pPr>
        <w:pStyle w:val="Heading4"/>
        <w:spacing w:before="0"/>
        <w:jc w:val="both"/>
      </w:pPr>
      <w:r w:rsidRPr="00A51748">
        <w:t xml:space="preserve">(i) Ecological </w:t>
      </w:r>
      <w:r w:rsidR="007F0228" w:rsidRPr="00A51748">
        <w:t>representation</w:t>
      </w:r>
    </w:p>
    <w:p w14:paraId="338294AD" w14:textId="77777777" w:rsidR="001931E7" w:rsidRPr="00A51748" w:rsidRDefault="00842088" w:rsidP="006D6DCD">
      <w:pPr>
        <w:pStyle w:val="Para1"/>
        <w:numPr>
          <w:ilvl w:val="0"/>
          <w:numId w:val="14"/>
        </w:numPr>
        <w:spacing w:before="0"/>
        <w:ind w:left="0" w:firstLine="0"/>
        <w:rPr>
          <w:rFonts w:cs="Times New Roman"/>
        </w:rPr>
      </w:pPr>
      <w:r w:rsidRPr="00A51748">
        <w:rPr>
          <w:rFonts w:cs="Times New Roman"/>
        </w:rPr>
        <w:t>P</w:t>
      </w:r>
      <w:r w:rsidR="008B72DC" w:rsidRPr="00A51748">
        <w:rPr>
          <w:rFonts w:cs="Times New Roman"/>
        </w:rPr>
        <w:t xml:space="preserve">rotected area coverage of broad-scale </w:t>
      </w:r>
      <w:r w:rsidR="008B72DC" w:rsidRPr="00A51748">
        <w:rPr>
          <w:rFonts w:cs="Times New Roman"/>
          <w:lang w:val="en-CA"/>
        </w:rPr>
        <w:t>biogeographic units</w:t>
      </w:r>
      <w:r w:rsidR="008B72DC" w:rsidRPr="00A51748">
        <w:rPr>
          <w:rFonts w:cs="Times New Roman"/>
        </w:rPr>
        <w:t xml:space="preserve"> </w:t>
      </w:r>
      <w:r w:rsidRPr="00A51748">
        <w:rPr>
          <w:rFonts w:cs="Times New Roman"/>
        </w:rPr>
        <w:t xml:space="preserve">(like ecoregions) </w:t>
      </w:r>
      <w:r w:rsidR="008B72DC" w:rsidRPr="00A51748">
        <w:rPr>
          <w:rFonts w:cs="Times New Roman"/>
        </w:rPr>
        <w:t>is often used</w:t>
      </w:r>
      <w:r w:rsidRPr="00A51748">
        <w:rPr>
          <w:rFonts w:cs="Times New Roman"/>
        </w:rPr>
        <w:t xml:space="preserve"> to assess </w:t>
      </w:r>
      <w:r w:rsidR="00612215" w:rsidRPr="00A51748">
        <w:rPr>
          <w:rFonts w:cs="Times New Roman"/>
        </w:rPr>
        <w:t xml:space="preserve">the </w:t>
      </w:r>
      <w:r w:rsidRPr="00A51748">
        <w:rPr>
          <w:rFonts w:cs="Times New Roman"/>
        </w:rPr>
        <w:t>ecological representation element of Target 11</w:t>
      </w:r>
      <w:r w:rsidR="00612215" w:rsidRPr="00A51748">
        <w:rPr>
          <w:rFonts w:cs="Times New Roman"/>
        </w:rPr>
        <w:t>.</w:t>
      </w:r>
      <w:r w:rsidR="008B72DC" w:rsidRPr="00A51748">
        <w:rPr>
          <w:rStyle w:val="FootnoteReference"/>
          <w:rFonts w:cs="Times New Roman"/>
          <w:sz w:val="22"/>
        </w:rPr>
        <w:footnoteReference w:id="25"/>
      </w:r>
      <w:r w:rsidR="008B72DC" w:rsidRPr="00A51748">
        <w:rPr>
          <w:rFonts w:cs="Times New Roman"/>
        </w:rPr>
        <w:t xml:space="preserve"> </w:t>
      </w:r>
      <w:r w:rsidRPr="00A51748">
        <w:rPr>
          <w:rFonts w:cs="Times New Roman"/>
        </w:rPr>
        <w:t xml:space="preserve">Globally, ecoregions have been defined and mapped for </w:t>
      </w:r>
      <w:r w:rsidR="008B72DC" w:rsidRPr="00A51748">
        <w:rPr>
          <w:rFonts w:cs="Times New Roman"/>
        </w:rPr>
        <w:t>both terrestrial and marine areas. The</w:t>
      </w:r>
      <w:r w:rsidRPr="00A51748">
        <w:rPr>
          <w:rFonts w:cs="Times New Roman"/>
        </w:rPr>
        <w:t>se</w:t>
      </w:r>
      <w:r w:rsidR="008B72DC" w:rsidRPr="00A51748">
        <w:rPr>
          <w:rFonts w:cs="Times New Roman"/>
        </w:rPr>
        <w:t xml:space="preserve"> include 823 terrestrial ecoregions</w:t>
      </w:r>
      <w:r w:rsidR="003A785B" w:rsidRPr="00A51748">
        <w:rPr>
          <w:rFonts w:cs="Times New Roman"/>
        </w:rPr>
        <w:t xml:space="preserve"> (excluding Antarctica),</w:t>
      </w:r>
      <w:r w:rsidRPr="00A51748">
        <w:rPr>
          <w:rStyle w:val="FootnoteReference"/>
          <w:rFonts w:cs="Times New Roman"/>
          <w:sz w:val="22"/>
        </w:rPr>
        <w:footnoteReference w:id="26"/>
      </w:r>
      <w:r w:rsidR="008B72DC" w:rsidRPr="00A51748">
        <w:rPr>
          <w:rFonts w:cs="Times New Roman"/>
        </w:rPr>
        <w:t xml:space="preserve"> 232 marine ecoregions covering shallow coastal waters</w:t>
      </w:r>
      <w:r w:rsidRPr="00A51748">
        <w:rPr>
          <w:rFonts w:cs="Times New Roman"/>
        </w:rPr>
        <w:t xml:space="preserve"> (&lt;200m in depth) and 37 pelagic provinces.</w:t>
      </w:r>
      <w:r w:rsidRPr="00A51748">
        <w:rPr>
          <w:rStyle w:val="FootnoteReference"/>
          <w:rFonts w:cs="Times New Roman"/>
          <w:sz w:val="22"/>
        </w:rPr>
        <w:footnoteReference w:id="27"/>
      </w:r>
      <w:r w:rsidR="002F02A2" w:rsidRPr="00A51748">
        <w:rPr>
          <w:rFonts w:cs="Times New Roman"/>
        </w:rPr>
        <w:t xml:space="preserve"> </w:t>
      </w:r>
      <w:r w:rsidR="00C911F7" w:rsidRPr="00A51748">
        <w:rPr>
          <w:rFonts w:cs="Times New Roman"/>
        </w:rPr>
        <w:t xml:space="preserve">As </w:t>
      </w:r>
      <w:r w:rsidR="001D3773" w:rsidRPr="00A51748">
        <w:rPr>
          <w:rFonts w:cs="Times New Roman"/>
        </w:rPr>
        <w:t xml:space="preserve">reported </w:t>
      </w:r>
      <w:r w:rsidR="00631FAF" w:rsidRPr="00A51748">
        <w:rPr>
          <w:rFonts w:cs="Times New Roman"/>
        </w:rPr>
        <w:t>in</w:t>
      </w:r>
      <w:r w:rsidR="001D3773" w:rsidRPr="00A51748">
        <w:rPr>
          <w:rFonts w:cs="Times New Roman"/>
        </w:rPr>
        <w:t xml:space="preserve"> the Digital Observatory for Protected Areas (DOPA) of the </w:t>
      </w:r>
      <w:r w:rsidR="00631FAF" w:rsidRPr="00A51748">
        <w:rPr>
          <w:rFonts w:cs="Times New Roman"/>
        </w:rPr>
        <w:t xml:space="preserve">Joint Research Centre of the European Commission </w:t>
      </w:r>
      <w:r w:rsidR="001D3773" w:rsidRPr="00A51748">
        <w:rPr>
          <w:rFonts w:cs="Times New Roman"/>
        </w:rPr>
        <w:t>(EC-JRC)</w:t>
      </w:r>
      <w:r w:rsidR="001D3773" w:rsidRPr="00A51748">
        <w:rPr>
          <w:rStyle w:val="FootnoteReference"/>
          <w:rFonts w:cs="Times New Roman"/>
        </w:rPr>
        <w:footnoteReference w:id="28"/>
      </w:r>
      <w:r w:rsidR="001D3773" w:rsidRPr="00A51748">
        <w:rPr>
          <w:rFonts w:cs="Times New Roman"/>
        </w:rPr>
        <w:t xml:space="preserve"> using data from the WDPA</w:t>
      </w:r>
      <w:r w:rsidR="00A010DF" w:rsidRPr="00A51748">
        <w:rPr>
          <w:rFonts w:cs="Times New Roman"/>
        </w:rPr>
        <w:t xml:space="preserve"> for January 2019</w:t>
      </w:r>
      <w:r w:rsidR="001D3773" w:rsidRPr="00A51748">
        <w:rPr>
          <w:rFonts w:cs="Times New Roman"/>
        </w:rPr>
        <w:t xml:space="preserve">, </w:t>
      </w:r>
      <w:r w:rsidR="00E4639A" w:rsidRPr="00A51748">
        <w:rPr>
          <w:rFonts w:cs="Times New Roman"/>
        </w:rPr>
        <w:t xml:space="preserve">protected </w:t>
      </w:r>
      <w:r w:rsidR="00E4639A" w:rsidRPr="00A51748">
        <w:rPr>
          <w:rFonts w:cs="Times New Roman"/>
        </w:rPr>
        <w:lastRenderedPageBreak/>
        <w:t xml:space="preserve">area coverage was at least 17% for </w:t>
      </w:r>
      <w:r w:rsidR="00F440CF" w:rsidRPr="00A51748">
        <w:rPr>
          <w:rFonts w:cs="Times New Roman"/>
        </w:rPr>
        <w:t xml:space="preserve">344 out of 823 </w:t>
      </w:r>
      <w:r w:rsidR="00C911F7" w:rsidRPr="00A51748">
        <w:rPr>
          <w:rFonts w:cs="Times New Roman"/>
        </w:rPr>
        <w:t>terrestrial ecoregions</w:t>
      </w:r>
      <w:r w:rsidR="00100F49" w:rsidRPr="00A51748">
        <w:rPr>
          <w:rFonts w:cs="Times New Roman"/>
        </w:rPr>
        <w:t>, while 102 ha</w:t>
      </w:r>
      <w:r w:rsidR="00E4639A" w:rsidRPr="00A51748">
        <w:rPr>
          <w:rFonts w:cs="Times New Roman"/>
        </w:rPr>
        <w:t>d</w:t>
      </w:r>
      <w:r w:rsidR="00100F49" w:rsidRPr="00A51748">
        <w:rPr>
          <w:rFonts w:cs="Times New Roman"/>
        </w:rPr>
        <w:t xml:space="preserve"> less than 2% coverage</w:t>
      </w:r>
      <w:r w:rsidR="00CA1B33" w:rsidRPr="00A51748">
        <w:rPr>
          <w:rFonts w:cs="Times New Roman"/>
        </w:rPr>
        <w:t xml:space="preserve"> (Fig. 3)</w:t>
      </w:r>
      <w:r w:rsidR="00100F49" w:rsidRPr="00A51748">
        <w:rPr>
          <w:rFonts w:cs="Times New Roman"/>
        </w:rPr>
        <w:t xml:space="preserve">. </w:t>
      </w:r>
      <w:r w:rsidR="008E5374" w:rsidRPr="00A51748">
        <w:rPr>
          <w:rFonts w:cs="Times New Roman"/>
        </w:rPr>
        <w:t>Twenty-</w:t>
      </w:r>
      <w:r w:rsidR="00CA1B33" w:rsidRPr="00A51748">
        <w:rPr>
          <w:rFonts w:cs="Times New Roman"/>
        </w:rPr>
        <w:t>one</w:t>
      </w:r>
      <w:r w:rsidR="008E5374" w:rsidRPr="00A51748">
        <w:rPr>
          <w:rFonts w:cs="Times New Roman"/>
        </w:rPr>
        <w:t xml:space="preserve"> terrestrial ecoregions have no </w:t>
      </w:r>
      <w:r w:rsidR="00D24223" w:rsidRPr="00A51748">
        <w:rPr>
          <w:rFonts w:cs="Times New Roman"/>
        </w:rPr>
        <w:t xml:space="preserve">reported </w:t>
      </w:r>
      <w:r w:rsidR="008E5374" w:rsidRPr="00A51748">
        <w:rPr>
          <w:rFonts w:cs="Times New Roman"/>
        </w:rPr>
        <w:t xml:space="preserve">protected areas, for example Eritrean coastal desert, Hindu Kush alpine meadow and Carolines tropical moist forests. </w:t>
      </w:r>
      <w:r w:rsidR="00F440CF" w:rsidRPr="00A51748">
        <w:rPr>
          <w:rFonts w:cs="Times New Roman"/>
        </w:rPr>
        <w:t xml:space="preserve">For marine </w:t>
      </w:r>
      <w:r w:rsidR="008132CA" w:rsidRPr="00A51748">
        <w:rPr>
          <w:rFonts w:cs="Times New Roman"/>
        </w:rPr>
        <w:t>ecological representation</w:t>
      </w:r>
      <w:r w:rsidR="00F440CF" w:rsidRPr="00A51748">
        <w:rPr>
          <w:rFonts w:cs="Times New Roman"/>
        </w:rPr>
        <w:t>, 109 out of 232 marine ecoregions, and 4 out of 37 pelagic provinces have reached 10% co</w:t>
      </w:r>
      <w:r w:rsidR="00C911F7" w:rsidRPr="00A51748">
        <w:rPr>
          <w:rFonts w:cs="Times New Roman"/>
        </w:rPr>
        <w:t>verage</w:t>
      </w:r>
      <w:r w:rsidR="00100F49" w:rsidRPr="00A51748">
        <w:rPr>
          <w:rFonts w:cs="Times New Roman"/>
        </w:rPr>
        <w:t xml:space="preserve">, while 66 marine ecoregions and </w:t>
      </w:r>
      <w:r w:rsidR="00E4639A" w:rsidRPr="00A51748">
        <w:rPr>
          <w:rFonts w:cs="Times New Roman"/>
        </w:rPr>
        <w:t>13 pelagic provinces have less than 2% cover</w:t>
      </w:r>
      <w:r w:rsidR="00CA1B33" w:rsidRPr="00A51748">
        <w:rPr>
          <w:rFonts w:cs="Times New Roman"/>
        </w:rPr>
        <w:t xml:space="preserve"> (Fig. 3)</w:t>
      </w:r>
      <w:r w:rsidR="00E4639A" w:rsidRPr="00A51748">
        <w:rPr>
          <w:rFonts w:cs="Times New Roman"/>
        </w:rPr>
        <w:t xml:space="preserve">. </w:t>
      </w:r>
      <w:r w:rsidR="008E5374" w:rsidRPr="00A51748">
        <w:rPr>
          <w:rFonts w:cs="Times New Roman"/>
        </w:rPr>
        <w:t>Eight marine ecoregions</w:t>
      </w:r>
      <w:r w:rsidR="00591A12" w:rsidRPr="00A51748">
        <w:rPr>
          <w:rFonts w:cs="Times New Roman"/>
        </w:rPr>
        <w:t xml:space="preserve"> and four pelagic provinces have no protected areas, including </w:t>
      </w:r>
      <w:r w:rsidR="00C95A41" w:rsidRPr="00A51748">
        <w:rPr>
          <w:rFonts w:cs="Times New Roman"/>
        </w:rPr>
        <w:t>Ce</w:t>
      </w:r>
      <w:r w:rsidR="00D006DF" w:rsidRPr="00A51748">
        <w:rPr>
          <w:rFonts w:cs="Times New Roman"/>
        </w:rPr>
        <w:t xml:space="preserve">ntral Somali Coast, Weddell Sea, </w:t>
      </w:r>
      <w:r w:rsidR="00C95A41" w:rsidRPr="00A51748">
        <w:rPr>
          <w:rFonts w:cs="Times New Roman"/>
        </w:rPr>
        <w:t>Southeastern Madagascar</w:t>
      </w:r>
      <w:r w:rsidR="00D24223" w:rsidRPr="00A51748">
        <w:rPr>
          <w:rFonts w:cs="Times New Roman"/>
        </w:rPr>
        <w:t>,</w:t>
      </w:r>
      <w:r w:rsidR="00D006DF" w:rsidRPr="00A51748">
        <w:rPr>
          <w:rFonts w:cs="Times New Roman"/>
        </w:rPr>
        <w:t xml:space="preserve"> and others</w:t>
      </w:r>
      <w:r w:rsidR="00C95A41" w:rsidRPr="00A51748">
        <w:rPr>
          <w:rFonts w:cs="Times New Roman"/>
        </w:rPr>
        <w:t xml:space="preserve">. </w:t>
      </w:r>
      <w:r w:rsidR="001931E7" w:rsidRPr="00A51748">
        <w:rPr>
          <w:rFonts w:cs="Times New Roman"/>
        </w:rPr>
        <w:t>For larger biogeographic units, just over half of the 62 marine provinces</w:t>
      </w:r>
      <w:r w:rsidR="00977F95" w:rsidRPr="00A51748">
        <w:rPr>
          <w:rFonts w:cs="Times New Roman"/>
        </w:rPr>
        <w:t>, and eight of 12 marine realms</w:t>
      </w:r>
      <w:r w:rsidR="001931E7" w:rsidRPr="00A51748">
        <w:rPr>
          <w:rFonts w:cs="Times New Roman"/>
        </w:rPr>
        <w:t xml:space="preserve"> have reached at least 10% coverage</w:t>
      </w:r>
      <w:r w:rsidR="00BA4E5E" w:rsidRPr="00A51748">
        <w:rPr>
          <w:rFonts w:cs="Times New Roman"/>
        </w:rPr>
        <w:t>; f</w:t>
      </w:r>
      <w:r w:rsidR="001931E7" w:rsidRPr="00A51748">
        <w:rPr>
          <w:rFonts w:cs="Times New Roman"/>
        </w:rPr>
        <w:t>our out of 14 terrestrial biomes have reached 17</w:t>
      </w:r>
      <w:r w:rsidR="00BA4E5E" w:rsidRPr="00A51748">
        <w:rPr>
          <w:rFonts w:cs="Times New Roman"/>
        </w:rPr>
        <w:t>%</w:t>
      </w:r>
      <w:r w:rsidR="001931E7" w:rsidRPr="00A51748">
        <w:rPr>
          <w:rFonts w:cs="Times New Roman"/>
        </w:rPr>
        <w:t>.</w:t>
      </w:r>
      <w:r w:rsidR="000D7019" w:rsidRPr="00A51748">
        <w:rPr>
          <w:rFonts w:cs="Times New Roman"/>
        </w:rPr>
        <w:t xml:space="preserve"> </w:t>
      </w:r>
      <w:r w:rsidR="00A45C93" w:rsidRPr="00A51748">
        <w:rPr>
          <w:rFonts w:cs="Times New Roman"/>
        </w:rPr>
        <w:t>All marine realms and all terrestrial biomes have at least 2% cover, while five of the 62 marine provinces have less than 2% cover.</w:t>
      </w:r>
    </w:p>
    <w:p w14:paraId="338E825F" w14:textId="77777777" w:rsidR="009A19CD" w:rsidRPr="00A51748" w:rsidRDefault="009A19CD" w:rsidP="006D6DCD">
      <w:pPr>
        <w:pStyle w:val="Para1"/>
        <w:numPr>
          <w:ilvl w:val="0"/>
          <w:numId w:val="0"/>
        </w:numPr>
        <w:spacing w:before="0"/>
        <w:rPr>
          <w:rFonts w:cs="Times New Roman"/>
          <w:sz w:val="18"/>
        </w:rPr>
      </w:pPr>
      <w:r w:rsidRPr="00A51748">
        <w:rPr>
          <w:rFonts w:cs="Times New Roman"/>
          <w:noProof/>
          <w:lang w:val="en-CA" w:eastAsia="en-CA"/>
        </w:rPr>
        <w:drawing>
          <wp:inline distT="0" distB="0" distL="0" distR="0" wp14:anchorId="2E2C7D03" wp14:editId="7BC4ADD5">
            <wp:extent cx="2892972" cy="2073165"/>
            <wp:effectExtent l="0" t="0" r="22225" b="2286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A51748">
        <w:rPr>
          <w:rFonts w:cs="Times New Roman"/>
          <w:noProof/>
          <w:lang w:val="en-CA" w:eastAsia="en-CA"/>
        </w:rPr>
        <w:drawing>
          <wp:inline distT="0" distB="0" distL="0" distR="0" wp14:anchorId="434DCB1A" wp14:editId="1A756EB4">
            <wp:extent cx="2948151" cy="2081048"/>
            <wp:effectExtent l="0" t="0" r="24130" b="1460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2C41F6" w14:textId="77777777" w:rsidR="009A19CD" w:rsidRPr="00A51748" w:rsidRDefault="009A19CD" w:rsidP="006D6DCD">
      <w:pPr>
        <w:pStyle w:val="Para1"/>
        <w:numPr>
          <w:ilvl w:val="0"/>
          <w:numId w:val="0"/>
        </w:numPr>
        <w:spacing w:before="0"/>
        <w:rPr>
          <w:rFonts w:cs="Times New Roman"/>
          <w:sz w:val="18"/>
        </w:rPr>
      </w:pPr>
      <w:r w:rsidRPr="00A51748">
        <w:rPr>
          <w:rFonts w:cs="Times New Roman"/>
          <w:b/>
          <w:sz w:val="18"/>
        </w:rPr>
        <w:t xml:space="preserve">Figure </w:t>
      </w:r>
      <w:r w:rsidR="00631FAF" w:rsidRPr="00A51748">
        <w:rPr>
          <w:rFonts w:cs="Times New Roman"/>
          <w:b/>
          <w:sz w:val="18"/>
        </w:rPr>
        <w:t>3</w:t>
      </w:r>
      <w:r w:rsidRPr="00A51748">
        <w:rPr>
          <w:rFonts w:cs="Times New Roman"/>
          <w:b/>
          <w:sz w:val="18"/>
        </w:rPr>
        <w:t xml:space="preserve">. </w:t>
      </w:r>
      <w:r w:rsidRPr="00A51748">
        <w:rPr>
          <w:rFonts w:cs="Times New Roman"/>
          <w:sz w:val="18"/>
        </w:rPr>
        <w:t>Protected area coverage of terrestrial and marine ecoregions in January 2011 and January 2019; showing the number of ecoregions at varying levels of protection.</w:t>
      </w:r>
      <w:r w:rsidRPr="00A51748">
        <w:rPr>
          <w:rStyle w:val="FootnoteReference"/>
          <w:rFonts w:cs="Times New Roman"/>
        </w:rPr>
        <w:footnoteReference w:id="29"/>
      </w:r>
    </w:p>
    <w:p w14:paraId="25EB7733" w14:textId="77777777" w:rsidR="00331D63" w:rsidRPr="00A51748" w:rsidRDefault="009A19CD" w:rsidP="006D6DCD">
      <w:pPr>
        <w:pStyle w:val="Para1"/>
        <w:numPr>
          <w:ilvl w:val="0"/>
          <w:numId w:val="14"/>
        </w:numPr>
        <w:spacing w:before="0"/>
        <w:ind w:left="0" w:firstLine="0"/>
        <w:rPr>
          <w:rFonts w:cs="Times New Roman"/>
        </w:rPr>
      </w:pPr>
      <w:r w:rsidRPr="00A51748">
        <w:rPr>
          <w:rFonts w:eastAsia="Times New Roman" w:cs="Times New Roman"/>
        </w:rPr>
        <w:t>M</w:t>
      </w:r>
      <w:r w:rsidR="00331D63" w:rsidRPr="00A51748">
        <w:rPr>
          <w:rFonts w:eastAsia="Times New Roman" w:cs="Times New Roman"/>
        </w:rPr>
        <w:t>ean target achievement (MTA)</w:t>
      </w:r>
      <w:r w:rsidR="00331D63" w:rsidRPr="00A51748">
        <w:rPr>
          <w:rStyle w:val="FootnoteReference"/>
          <w:rFonts w:eastAsia="Times New Roman" w:cs="Times New Roman"/>
          <w:sz w:val="22"/>
        </w:rPr>
        <w:footnoteReference w:id="30"/>
      </w:r>
      <w:r w:rsidR="00331D63" w:rsidRPr="00A51748">
        <w:rPr>
          <w:rFonts w:eastAsia="Times New Roman" w:cs="Times New Roman"/>
        </w:rPr>
        <w:t xml:space="preserve"> </w:t>
      </w:r>
      <w:r w:rsidR="00331D63" w:rsidRPr="00A51748">
        <w:rPr>
          <w:rFonts w:cs="Times New Roman"/>
        </w:rPr>
        <w:t xml:space="preserve">represents </w:t>
      </w:r>
      <w:r w:rsidR="0067091F" w:rsidRPr="00A51748">
        <w:rPr>
          <w:rFonts w:cs="Times New Roman"/>
        </w:rPr>
        <w:t xml:space="preserve">the </w:t>
      </w:r>
      <w:r w:rsidR="00675889" w:rsidRPr="00A51748">
        <w:rPr>
          <w:rFonts w:cs="Times New Roman"/>
        </w:rPr>
        <w:t xml:space="preserve">average degree of conservation target achievement </w:t>
      </w:r>
      <w:r w:rsidR="009A1889" w:rsidRPr="00A51748">
        <w:rPr>
          <w:rFonts w:cs="Times New Roman"/>
          <w:lang w:val="en-CA"/>
        </w:rPr>
        <w:t>across biodiversity features</w:t>
      </w:r>
      <w:r w:rsidR="00675889" w:rsidRPr="00A51748">
        <w:rPr>
          <w:rFonts w:cs="Times New Roman"/>
          <w:lang w:val="en-CA"/>
        </w:rPr>
        <w:t>. F</w:t>
      </w:r>
      <w:r w:rsidR="009A1889" w:rsidRPr="00A51748">
        <w:rPr>
          <w:rFonts w:cs="Times New Roman"/>
          <w:lang w:val="en-CA"/>
        </w:rPr>
        <w:t xml:space="preserve">or </w:t>
      </w:r>
      <w:r w:rsidR="0084269C" w:rsidRPr="00A51748">
        <w:rPr>
          <w:rFonts w:cs="Times New Roman"/>
          <w:lang w:val="en-CA"/>
        </w:rPr>
        <w:t xml:space="preserve">assessing </w:t>
      </w:r>
      <w:r w:rsidR="009A1889" w:rsidRPr="00A51748">
        <w:rPr>
          <w:rFonts w:cs="Times New Roman"/>
          <w:lang w:val="en-CA"/>
        </w:rPr>
        <w:t xml:space="preserve">ecological </w:t>
      </w:r>
      <w:r w:rsidR="0067091F" w:rsidRPr="00A51748">
        <w:rPr>
          <w:rFonts w:cs="Times New Roman"/>
          <w:lang w:val="en-CA"/>
        </w:rPr>
        <w:t xml:space="preserve">representation </w:t>
      </w:r>
      <w:r w:rsidR="0084269C" w:rsidRPr="00A51748">
        <w:rPr>
          <w:rFonts w:cs="Times New Roman"/>
          <w:lang w:val="en-CA"/>
        </w:rPr>
        <w:t>under Target 11,</w:t>
      </w:r>
      <w:r w:rsidR="00675889" w:rsidRPr="00A51748">
        <w:rPr>
          <w:rFonts w:cs="Times New Roman"/>
          <w:lang w:val="en-CA"/>
        </w:rPr>
        <w:t xml:space="preserve"> it would represent the </w:t>
      </w:r>
      <w:r w:rsidR="00331D63" w:rsidRPr="00A51748">
        <w:rPr>
          <w:rFonts w:cs="Times New Roman"/>
        </w:rPr>
        <w:t>degree to which targets are being achieved</w:t>
      </w:r>
      <w:r w:rsidR="0067091F" w:rsidRPr="00A51748">
        <w:rPr>
          <w:rFonts w:cs="Times New Roman"/>
        </w:rPr>
        <w:t xml:space="preserve"> within ecoregions</w:t>
      </w:r>
      <w:r w:rsidR="00331D63" w:rsidRPr="00A51748">
        <w:rPr>
          <w:rFonts w:cs="Times New Roman"/>
        </w:rPr>
        <w:t xml:space="preserve">, where a score of 100% would indicate that all ecoregions have met </w:t>
      </w:r>
      <w:r w:rsidR="00041602" w:rsidRPr="00A51748">
        <w:rPr>
          <w:rFonts w:cs="Times New Roman"/>
        </w:rPr>
        <w:t xml:space="preserve">a specific </w:t>
      </w:r>
      <w:r w:rsidR="00675889" w:rsidRPr="00A51748">
        <w:rPr>
          <w:rFonts w:cs="Times New Roman"/>
        </w:rPr>
        <w:t xml:space="preserve">benchmark </w:t>
      </w:r>
      <w:r w:rsidR="00041602" w:rsidRPr="00A51748">
        <w:rPr>
          <w:rFonts w:cs="Times New Roman"/>
        </w:rPr>
        <w:t>(whether th</w:t>
      </w:r>
      <w:r w:rsidR="00331D63" w:rsidRPr="00A51748">
        <w:rPr>
          <w:rFonts w:cs="Times New Roman"/>
        </w:rPr>
        <w:t>e 17% or 10% targets</w:t>
      </w:r>
      <w:r w:rsidR="00041602" w:rsidRPr="00A51748">
        <w:rPr>
          <w:rFonts w:cs="Times New Roman"/>
        </w:rPr>
        <w:t xml:space="preserve"> for global coverage from the language of Target 11, the 10% target for ecoregions from the previous Strategic Plan</w:t>
      </w:r>
      <w:r w:rsidR="00D24223" w:rsidRPr="00A51748">
        <w:rPr>
          <w:rFonts w:cs="Times New Roman"/>
        </w:rPr>
        <w:t xml:space="preserve"> [</w:t>
      </w:r>
      <w:hyperlink r:id="rId22" w:history="1">
        <w:r w:rsidR="0067091F" w:rsidRPr="00A51748">
          <w:rPr>
            <w:rStyle w:val="Hyperlink"/>
            <w:rFonts w:cs="Times New Roman"/>
            <w:color w:val="auto"/>
            <w:szCs w:val="18"/>
            <w:lang w:val="en-US"/>
          </w:rPr>
          <w:t>Decision VII/30</w:t>
        </w:r>
      </w:hyperlink>
      <w:r w:rsidR="00D24223" w:rsidRPr="00A51748">
        <w:rPr>
          <w:rFonts w:cs="Times New Roman"/>
        </w:rPr>
        <w:t>],</w:t>
      </w:r>
      <w:r w:rsidR="00041602" w:rsidRPr="00A51748">
        <w:rPr>
          <w:rFonts w:cs="Times New Roman"/>
        </w:rPr>
        <w:t xml:space="preserve"> or considering at least partial coverage</w:t>
      </w:r>
      <w:r w:rsidR="0067091F" w:rsidRPr="00A51748">
        <w:rPr>
          <w:rFonts w:cs="Times New Roman"/>
        </w:rPr>
        <w:t>—at least 2%—</w:t>
      </w:r>
      <w:r w:rsidR="00041602" w:rsidRPr="00A51748">
        <w:rPr>
          <w:rFonts w:cs="Times New Roman"/>
        </w:rPr>
        <w:t xml:space="preserve">for all ecoregions). </w:t>
      </w:r>
      <w:r w:rsidR="00675889" w:rsidRPr="00A51748">
        <w:rPr>
          <w:rFonts w:cs="Times New Roman"/>
        </w:rPr>
        <w:t>Table 1 presents MTA for terrestrial</w:t>
      </w:r>
      <w:r w:rsidR="0084269C" w:rsidRPr="00A51748">
        <w:rPr>
          <w:rFonts w:cs="Times New Roman"/>
        </w:rPr>
        <w:t xml:space="preserve"> ecoregions</w:t>
      </w:r>
      <w:r w:rsidR="00675889" w:rsidRPr="00A51748">
        <w:rPr>
          <w:rFonts w:cs="Times New Roman"/>
        </w:rPr>
        <w:t>, marine</w:t>
      </w:r>
      <w:r w:rsidR="0084269C" w:rsidRPr="00A51748">
        <w:rPr>
          <w:rFonts w:cs="Times New Roman"/>
        </w:rPr>
        <w:t xml:space="preserve"> ecoregions</w:t>
      </w:r>
      <w:r w:rsidR="00675889" w:rsidRPr="00A51748">
        <w:rPr>
          <w:rFonts w:cs="Times New Roman"/>
        </w:rPr>
        <w:t xml:space="preserve">, and pelagic </w:t>
      </w:r>
      <w:r w:rsidR="00D24223" w:rsidRPr="00A51748">
        <w:rPr>
          <w:rFonts w:cs="Times New Roman"/>
        </w:rPr>
        <w:t>provinces,</w:t>
      </w:r>
      <w:r w:rsidR="00675889" w:rsidRPr="00A51748">
        <w:rPr>
          <w:rFonts w:cs="Times New Roman"/>
        </w:rPr>
        <w:t xml:space="preserve"> as of January 2019 for a range of possible conservation targets. </w:t>
      </w:r>
      <w:r w:rsidR="00D325A3" w:rsidRPr="00A51748">
        <w:rPr>
          <w:rFonts w:cs="Times New Roman"/>
        </w:rPr>
        <w:t xml:space="preserve">MTA ranges from 65% to 92% for terrestrial ecoregions, and from 62% to 82% for marine ecoregions, depending on the target applied. </w:t>
      </w:r>
      <w:r w:rsidR="000F4DAF" w:rsidRPr="00A51748">
        <w:rPr>
          <w:rFonts w:cs="Times New Roman"/>
        </w:rPr>
        <w:t xml:space="preserve">Ecological representation has improved for both </w:t>
      </w:r>
      <w:r w:rsidR="00331D63" w:rsidRPr="00A51748">
        <w:rPr>
          <w:rFonts w:cs="Times New Roman"/>
        </w:rPr>
        <w:t xml:space="preserve">terrestrial </w:t>
      </w:r>
      <w:r w:rsidR="000F4DAF" w:rsidRPr="00A51748">
        <w:rPr>
          <w:rFonts w:cs="Times New Roman"/>
        </w:rPr>
        <w:t xml:space="preserve">and </w:t>
      </w:r>
      <w:r w:rsidR="00331D63" w:rsidRPr="00A51748">
        <w:rPr>
          <w:rFonts w:cs="Times New Roman"/>
        </w:rPr>
        <w:t xml:space="preserve">marine </w:t>
      </w:r>
      <w:r w:rsidR="000F4DAF" w:rsidRPr="00A51748">
        <w:rPr>
          <w:rFonts w:cs="Times New Roman"/>
        </w:rPr>
        <w:t>areas</w:t>
      </w:r>
      <w:r w:rsidR="00D325A3" w:rsidRPr="00A51748">
        <w:rPr>
          <w:rFonts w:cs="Times New Roman"/>
        </w:rPr>
        <w:t xml:space="preserve"> since 2011, though the increased coverage is most noticeable for marine ecoregions (Fig. 3; Table 1)</w:t>
      </w:r>
      <w:r w:rsidR="000F4DAF" w:rsidRPr="00A51748">
        <w:rPr>
          <w:rFonts w:cs="Times New Roman"/>
        </w:rPr>
        <w:t>.</w:t>
      </w:r>
      <w:r w:rsidR="00D325A3" w:rsidRPr="00A51748">
        <w:rPr>
          <w:rFonts w:cs="Times New Roman"/>
        </w:rPr>
        <w:t xml:space="preserve"> This follows the </w:t>
      </w:r>
      <w:r w:rsidR="00331D63" w:rsidRPr="00A51748">
        <w:rPr>
          <w:rFonts w:cs="Times New Roman"/>
        </w:rPr>
        <w:t xml:space="preserve">significant increase in MPA cover over the same period (Fig. 1). </w:t>
      </w:r>
    </w:p>
    <w:p w14:paraId="10649243" w14:textId="7B6622FC" w:rsidR="00161FFA" w:rsidRDefault="00E26C74" w:rsidP="006D6DCD">
      <w:pPr>
        <w:pStyle w:val="Para1"/>
        <w:numPr>
          <w:ilvl w:val="0"/>
          <w:numId w:val="14"/>
        </w:numPr>
        <w:spacing w:before="0"/>
        <w:ind w:left="0" w:firstLine="0"/>
        <w:rPr>
          <w:rFonts w:cs="Times New Roman"/>
          <w:sz w:val="18"/>
        </w:rPr>
      </w:pPr>
      <w:r w:rsidRPr="00A51748">
        <w:rPr>
          <w:rFonts w:eastAsia="Times New Roman" w:cs="Times New Roman"/>
        </w:rPr>
        <w:t>It is important to note that coverage of ecoregions is a useful indicator to assess ecological representati</w:t>
      </w:r>
      <w:r w:rsidR="00AA4398" w:rsidRPr="00A51748">
        <w:rPr>
          <w:rFonts w:eastAsia="Times New Roman" w:cs="Times New Roman"/>
        </w:rPr>
        <w:t>on</w:t>
      </w:r>
      <w:r w:rsidRPr="00A51748">
        <w:rPr>
          <w:rFonts w:eastAsia="Times New Roman" w:cs="Times New Roman"/>
        </w:rPr>
        <w:t xml:space="preserve"> at the global level, but at a national level they may be too coarse to apply, requiring proper alignment to national systems</w:t>
      </w:r>
      <w:r w:rsidR="00C9744C" w:rsidRPr="00A51748">
        <w:rPr>
          <w:rFonts w:eastAsia="Times New Roman" w:cs="Times New Roman"/>
        </w:rPr>
        <w:t xml:space="preserve"> of biogeographic classification</w:t>
      </w:r>
      <w:r w:rsidRPr="00A51748">
        <w:rPr>
          <w:rFonts w:eastAsia="Times New Roman" w:cs="Times New Roman"/>
        </w:rPr>
        <w:t xml:space="preserve">. </w:t>
      </w:r>
      <w:r w:rsidR="00C9744C" w:rsidRPr="00A51748">
        <w:rPr>
          <w:rFonts w:eastAsia="Times New Roman" w:cs="Times New Roman"/>
        </w:rPr>
        <w:t xml:space="preserve">Many countries, when reporting on the status of ecological representation within their protected area networks have provided information on the finer-scale designations in use nationally. </w:t>
      </w:r>
      <w:r w:rsidRPr="00A51748">
        <w:rPr>
          <w:rFonts w:eastAsia="Times New Roman" w:cs="Times New Roman"/>
        </w:rPr>
        <w:t>For example, a recent assessment in Russia found that 153 of 159 geographical provinces, and 115 of 117 biome types were represented in the existing protected area network.</w:t>
      </w:r>
      <w:r w:rsidRPr="00A51748">
        <w:rPr>
          <w:rStyle w:val="FootnoteReference"/>
          <w:rFonts w:eastAsia="Times New Roman" w:cs="Times New Roman"/>
          <w:lang w:val="en-US"/>
        </w:rPr>
        <w:t xml:space="preserve"> </w:t>
      </w:r>
      <w:r w:rsidRPr="00A51748">
        <w:rPr>
          <w:rStyle w:val="FootnoteReference"/>
          <w:rFonts w:eastAsia="Times New Roman" w:cs="Times New Roman"/>
          <w:lang w:val="en-US"/>
        </w:rPr>
        <w:footnoteReference w:id="31"/>
      </w:r>
      <w:r w:rsidRPr="00A51748">
        <w:rPr>
          <w:rFonts w:eastAsia="Times New Roman" w:cs="Times New Roman"/>
        </w:rPr>
        <w:t xml:space="preserve"> </w:t>
      </w:r>
    </w:p>
    <w:p w14:paraId="185905B3" w14:textId="2A3C6A16" w:rsidR="005B14B1" w:rsidRDefault="005B14B1" w:rsidP="006D6DCD">
      <w:pPr>
        <w:pStyle w:val="Para1"/>
        <w:numPr>
          <w:ilvl w:val="0"/>
          <w:numId w:val="0"/>
        </w:numPr>
        <w:spacing w:before="0"/>
        <w:rPr>
          <w:rFonts w:cs="Times New Roman"/>
          <w:sz w:val="18"/>
        </w:rPr>
      </w:pPr>
    </w:p>
    <w:p w14:paraId="6ABEA176" w14:textId="2E45130B" w:rsidR="005B14B1" w:rsidRDefault="005B14B1" w:rsidP="006D6DCD">
      <w:pPr>
        <w:pStyle w:val="Para1"/>
        <w:numPr>
          <w:ilvl w:val="0"/>
          <w:numId w:val="0"/>
        </w:numPr>
        <w:spacing w:before="0"/>
        <w:rPr>
          <w:rFonts w:cs="Times New Roman"/>
          <w:sz w:val="18"/>
        </w:rPr>
      </w:pPr>
    </w:p>
    <w:p w14:paraId="2AF86B68" w14:textId="173D4987" w:rsidR="005B14B1" w:rsidRDefault="005B14B1" w:rsidP="006D6DCD">
      <w:pPr>
        <w:pStyle w:val="Para1"/>
        <w:numPr>
          <w:ilvl w:val="0"/>
          <w:numId w:val="0"/>
        </w:numPr>
        <w:spacing w:before="0"/>
        <w:rPr>
          <w:rFonts w:cs="Times New Roman"/>
          <w:sz w:val="18"/>
        </w:rPr>
      </w:pPr>
    </w:p>
    <w:p w14:paraId="253A843B" w14:textId="77777777" w:rsidR="005B14B1" w:rsidRPr="005B14B1" w:rsidRDefault="005B14B1" w:rsidP="006D6DCD">
      <w:pPr>
        <w:pStyle w:val="Para1"/>
        <w:numPr>
          <w:ilvl w:val="0"/>
          <w:numId w:val="0"/>
        </w:numPr>
        <w:spacing w:before="0"/>
        <w:rPr>
          <w:rFonts w:cs="Times New Roman"/>
          <w:sz w:val="18"/>
        </w:rPr>
      </w:pPr>
    </w:p>
    <w:p w14:paraId="5FC8B62B" w14:textId="77777777" w:rsidR="009A19CD" w:rsidRPr="00A51748" w:rsidRDefault="009A19CD" w:rsidP="006D6DCD">
      <w:pPr>
        <w:pStyle w:val="Para1"/>
        <w:numPr>
          <w:ilvl w:val="0"/>
          <w:numId w:val="0"/>
        </w:numPr>
        <w:spacing w:before="0"/>
        <w:rPr>
          <w:rFonts w:cs="Times New Roman"/>
          <w:sz w:val="20"/>
        </w:rPr>
      </w:pPr>
      <w:r w:rsidRPr="00A51748">
        <w:rPr>
          <w:rFonts w:cs="Times New Roman"/>
          <w:b/>
          <w:sz w:val="20"/>
        </w:rPr>
        <w:t xml:space="preserve">Table 1. </w:t>
      </w:r>
      <w:r w:rsidR="00C9744C" w:rsidRPr="00A51748">
        <w:rPr>
          <w:rFonts w:cs="Times New Roman"/>
          <w:sz w:val="20"/>
        </w:rPr>
        <w:t>Global status of ecological representation based on different conservation targets.</w:t>
      </w:r>
    </w:p>
    <w:tbl>
      <w:tblPr>
        <w:tblStyle w:val="TableGrid"/>
        <w:tblW w:w="944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0"/>
        <w:gridCol w:w="1188"/>
        <w:gridCol w:w="1087"/>
        <w:gridCol w:w="1188"/>
        <w:gridCol w:w="1188"/>
        <w:gridCol w:w="1188"/>
        <w:gridCol w:w="1324"/>
      </w:tblGrid>
      <w:tr w:rsidR="004E65E7" w:rsidRPr="00A51748" w14:paraId="7D616913" w14:textId="77777777" w:rsidTr="004E65E7">
        <w:trPr>
          <w:trHeight w:val="343"/>
        </w:trPr>
        <w:tc>
          <w:tcPr>
            <w:tcW w:w="2280" w:type="dxa"/>
            <w:vMerge w:val="restart"/>
            <w:tcBorders>
              <w:top w:val="single" w:sz="12" w:space="0" w:color="auto"/>
              <w:left w:val="single" w:sz="12" w:space="0" w:color="auto"/>
              <w:right w:val="single" w:sz="8" w:space="0" w:color="auto"/>
            </w:tcBorders>
            <w:vAlign w:val="center"/>
          </w:tcPr>
          <w:p w14:paraId="32016B1C" w14:textId="77777777" w:rsidR="004E65E7" w:rsidRPr="00A51748" w:rsidRDefault="004E65E7" w:rsidP="006D6DCD">
            <w:pPr>
              <w:rPr>
                <w:rFonts w:cs="Times New Roman"/>
                <w:sz w:val="20"/>
                <w:szCs w:val="20"/>
              </w:rPr>
            </w:pPr>
          </w:p>
          <w:p w14:paraId="7B76E2B1" w14:textId="77777777" w:rsidR="004E65E7" w:rsidRPr="00A51748" w:rsidRDefault="004E65E7" w:rsidP="006D6DCD">
            <w:pPr>
              <w:rPr>
                <w:rFonts w:cs="Times New Roman"/>
                <w:sz w:val="20"/>
                <w:szCs w:val="20"/>
              </w:rPr>
            </w:pPr>
            <w:r w:rsidRPr="00A51748">
              <w:rPr>
                <w:rFonts w:cs="Times New Roman"/>
                <w:sz w:val="20"/>
                <w:szCs w:val="20"/>
              </w:rPr>
              <w:t>Realm and Year</w:t>
            </w:r>
          </w:p>
        </w:tc>
        <w:tc>
          <w:tcPr>
            <w:tcW w:w="2275" w:type="dxa"/>
            <w:gridSpan w:val="2"/>
            <w:tcBorders>
              <w:top w:val="single" w:sz="12" w:space="0" w:color="auto"/>
              <w:left w:val="single" w:sz="8" w:space="0" w:color="auto"/>
              <w:bottom w:val="single" w:sz="8" w:space="0" w:color="auto"/>
              <w:right w:val="single" w:sz="8" w:space="0" w:color="auto"/>
            </w:tcBorders>
            <w:vAlign w:val="center"/>
          </w:tcPr>
          <w:p w14:paraId="1AE3921F" w14:textId="77777777" w:rsidR="004E65E7" w:rsidRPr="00A51748" w:rsidRDefault="004E65E7" w:rsidP="006D6DCD">
            <w:pPr>
              <w:rPr>
                <w:rFonts w:cs="Times New Roman"/>
                <w:b/>
                <w:sz w:val="20"/>
                <w:szCs w:val="20"/>
              </w:rPr>
            </w:pPr>
            <w:r w:rsidRPr="00A51748">
              <w:rPr>
                <w:rFonts w:cs="Times New Roman"/>
                <w:b/>
                <w:sz w:val="20"/>
                <w:szCs w:val="20"/>
              </w:rPr>
              <w:t>At least partial coverage (&gt;2%)</w:t>
            </w:r>
          </w:p>
        </w:tc>
        <w:tc>
          <w:tcPr>
            <w:tcW w:w="2376" w:type="dxa"/>
            <w:gridSpan w:val="2"/>
            <w:tcBorders>
              <w:top w:val="single" w:sz="12" w:space="0" w:color="auto"/>
              <w:left w:val="single" w:sz="8" w:space="0" w:color="auto"/>
              <w:bottom w:val="single" w:sz="8" w:space="0" w:color="auto"/>
              <w:right w:val="single" w:sz="8" w:space="0" w:color="auto"/>
            </w:tcBorders>
            <w:vAlign w:val="center"/>
          </w:tcPr>
          <w:p w14:paraId="27695F71" w14:textId="77777777" w:rsidR="004E65E7" w:rsidRPr="00A51748" w:rsidRDefault="004E65E7" w:rsidP="006D6DCD">
            <w:pPr>
              <w:rPr>
                <w:rFonts w:cs="Times New Roman"/>
                <w:b/>
                <w:sz w:val="20"/>
                <w:szCs w:val="20"/>
              </w:rPr>
            </w:pPr>
            <w:r w:rsidRPr="00A51748">
              <w:rPr>
                <w:rFonts w:cs="Times New Roman"/>
                <w:b/>
                <w:sz w:val="20"/>
                <w:szCs w:val="20"/>
              </w:rPr>
              <w:t>10% coverage (per COP Decision VII/30)</w:t>
            </w:r>
          </w:p>
        </w:tc>
        <w:tc>
          <w:tcPr>
            <w:tcW w:w="2512" w:type="dxa"/>
            <w:gridSpan w:val="2"/>
            <w:tcBorders>
              <w:top w:val="single" w:sz="12" w:space="0" w:color="auto"/>
              <w:left w:val="single" w:sz="8" w:space="0" w:color="auto"/>
              <w:bottom w:val="single" w:sz="8" w:space="0" w:color="auto"/>
              <w:right w:val="single" w:sz="12" w:space="0" w:color="auto"/>
            </w:tcBorders>
            <w:vAlign w:val="center"/>
          </w:tcPr>
          <w:p w14:paraId="107F4407" w14:textId="77777777" w:rsidR="004E65E7" w:rsidRPr="00A51748" w:rsidRDefault="004E65E7" w:rsidP="006D6DCD">
            <w:pPr>
              <w:rPr>
                <w:rFonts w:cs="Times New Roman"/>
                <w:b/>
                <w:sz w:val="20"/>
                <w:szCs w:val="20"/>
              </w:rPr>
            </w:pPr>
            <w:r w:rsidRPr="00A51748">
              <w:rPr>
                <w:rFonts w:cs="Times New Roman"/>
                <w:b/>
                <w:sz w:val="20"/>
                <w:szCs w:val="20"/>
              </w:rPr>
              <w:t>17% coverage (Target 11 global terrestrial cover)</w:t>
            </w:r>
          </w:p>
        </w:tc>
      </w:tr>
      <w:tr w:rsidR="004E65E7" w:rsidRPr="00A51748" w14:paraId="1B3C93D4" w14:textId="77777777" w:rsidTr="004E65E7">
        <w:trPr>
          <w:trHeight w:val="464"/>
        </w:trPr>
        <w:tc>
          <w:tcPr>
            <w:tcW w:w="2280" w:type="dxa"/>
            <w:vMerge/>
            <w:tcBorders>
              <w:left w:val="single" w:sz="12" w:space="0" w:color="auto"/>
              <w:bottom w:val="single" w:sz="8" w:space="0" w:color="auto"/>
              <w:right w:val="single" w:sz="8" w:space="0" w:color="auto"/>
            </w:tcBorders>
            <w:vAlign w:val="center"/>
          </w:tcPr>
          <w:p w14:paraId="1D09085F" w14:textId="77777777" w:rsidR="004E65E7" w:rsidRPr="00A51748" w:rsidRDefault="004E65E7" w:rsidP="006D6DCD">
            <w:pPr>
              <w:rPr>
                <w:rFonts w:cs="Times New Roman"/>
                <w:sz w:val="20"/>
                <w:szCs w:val="20"/>
              </w:rPr>
            </w:pPr>
          </w:p>
        </w:tc>
        <w:tc>
          <w:tcPr>
            <w:tcW w:w="1188" w:type="dxa"/>
            <w:tcBorders>
              <w:top w:val="single" w:sz="8" w:space="0" w:color="auto"/>
              <w:left w:val="single" w:sz="8" w:space="0" w:color="auto"/>
              <w:bottom w:val="single" w:sz="8" w:space="0" w:color="auto"/>
            </w:tcBorders>
            <w:vAlign w:val="center"/>
          </w:tcPr>
          <w:p w14:paraId="7E92F1C2" w14:textId="77777777" w:rsidR="004E65E7" w:rsidRPr="00A51748" w:rsidRDefault="004E65E7" w:rsidP="006D6DCD">
            <w:pPr>
              <w:rPr>
                <w:rFonts w:cs="Times New Roman"/>
                <w:sz w:val="20"/>
                <w:szCs w:val="20"/>
              </w:rPr>
            </w:pPr>
            <w:r w:rsidRPr="00A51748">
              <w:rPr>
                <w:rFonts w:cs="Times New Roman"/>
                <w:sz w:val="20"/>
                <w:szCs w:val="20"/>
              </w:rPr>
              <w:t># meeting target</w:t>
            </w:r>
          </w:p>
        </w:tc>
        <w:tc>
          <w:tcPr>
            <w:tcW w:w="1087" w:type="dxa"/>
            <w:tcBorders>
              <w:top w:val="single" w:sz="8" w:space="0" w:color="auto"/>
              <w:bottom w:val="single" w:sz="8" w:space="0" w:color="auto"/>
              <w:right w:val="single" w:sz="8" w:space="0" w:color="auto"/>
            </w:tcBorders>
            <w:vAlign w:val="center"/>
          </w:tcPr>
          <w:p w14:paraId="6651AA18" w14:textId="77777777" w:rsidR="004E65E7" w:rsidRPr="00A51748" w:rsidRDefault="004E65E7" w:rsidP="006D6DCD">
            <w:pPr>
              <w:rPr>
                <w:rFonts w:cs="Times New Roman"/>
                <w:sz w:val="20"/>
                <w:szCs w:val="20"/>
              </w:rPr>
            </w:pPr>
            <w:r w:rsidRPr="00A51748">
              <w:rPr>
                <w:rFonts w:cs="Times New Roman"/>
                <w:sz w:val="20"/>
                <w:szCs w:val="20"/>
              </w:rPr>
              <w:t>MTA</w:t>
            </w:r>
          </w:p>
        </w:tc>
        <w:tc>
          <w:tcPr>
            <w:tcW w:w="1188" w:type="dxa"/>
            <w:tcBorders>
              <w:top w:val="single" w:sz="8" w:space="0" w:color="auto"/>
              <w:left w:val="single" w:sz="8" w:space="0" w:color="auto"/>
              <w:bottom w:val="single" w:sz="8" w:space="0" w:color="auto"/>
            </w:tcBorders>
            <w:vAlign w:val="center"/>
          </w:tcPr>
          <w:p w14:paraId="65F7360E" w14:textId="77777777" w:rsidR="004E65E7" w:rsidRPr="00A51748" w:rsidRDefault="004E65E7" w:rsidP="006D6DCD">
            <w:pPr>
              <w:rPr>
                <w:rFonts w:cs="Times New Roman"/>
                <w:sz w:val="20"/>
                <w:szCs w:val="20"/>
              </w:rPr>
            </w:pPr>
            <w:r w:rsidRPr="00A51748">
              <w:rPr>
                <w:rFonts w:cs="Times New Roman"/>
                <w:sz w:val="20"/>
                <w:szCs w:val="20"/>
              </w:rPr>
              <w:t># meeting target</w:t>
            </w:r>
          </w:p>
        </w:tc>
        <w:tc>
          <w:tcPr>
            <w:tcW w:w="1188" w:type="dxa"/>
            <w:tcBorders>
              <w:top w:val="single" w:sz="8" w:space="0" w:color="auto"/>
              <w:bottom w:val="single" w:sz="8" w:space="0" w:color="auto"/>
              <w:right w:val="single" w:sz="8" w:space="0" w:color="auto"/>
            </w:tcBorders>
            <w:vAlign w:val="center"/>
          </w:tcPr>
          <w:p w14:paraId="57E1A109" w14:textId="77777777" w:rsidR="004E65E7" w:rsidRPr="00A51748" w:rsidRDefault="004E65E7" w:rsidP="006D6DCD">
            <w:pPr>
              <w:rPr>
                <w:rFonts w:cs="Times New Roman"/>
                <w:sz w:val="20"/>
                <w:szCs w:val="20"/>
              </w:rPr>
            </w:pPr>
            <w:r w:rsidRPr="00A51748">
              <w:rPr>
                <w:rFonts w:cs="Times New Roman"/>
                <w:sz w:val="20"/>
                <w:szCs w:val="20"/>
              </w:rPr>
              <w:t>MTA</w:t>
            </w:r>
          </w:p>
        </w:tc>
        <w:tc>
          <w:tcPr>
            <w:tcW w:w="1188" w:type="dxa"/>
            <w:tcBorders>
              <w:top w:val="single" w:sz="8" w:space="0" w:color="auto"/>
              <w:left w:val="single" w:sz="8" w:space="0" w:color="auto"/>
              <w:bottom w:val="single" w:sz="8" w:space="0" w:color="auto"/>
            </w:tcBorders>
            <w:vAlign w:val="center"/>
          </w:tcPr>
          <w:p w14:paraId="05EBA9F8" w14:textId="77777777" w:rsidR="004E65E7" w:rsidRPr="00A51748" w:rsidRDefault="004E65E7" w:rsidP="006D6DCD">
            <w:pPr>
              <w:rPr>
                <w:rFonts w:cs="Times New Roman"/>
                <w:sz w:val="20"/>
                <w:szCs w:val="20"/>
              </w:rPr>
            </w:pPr>
            <w:r w:rsidRPr="00A51748">
              <w:rPr>
                <w:rFonts w:cs="Times New Roman"/>
                <w:sz w:val="20"/>
                <w:szCs w:val="20"/>
              </w:rPr>
              <w:t># meeting target</w:t>
            </w:r>
          </w:p>
        </w:tc>
        <w:tc>
          <w:tcPr>
            <w:tcW w:w="1324" w:type="dxa"/>
            <w:tcBorders>
              <w:top w:val="single" w:sz="8" w:space="0" w:color="auto"/>
              <w:bottom w:val="single" w:sz="8" w:space="0" w:color="auto"/>
              <w:right w:val="single" w:sz="12" w:space="0" w:color="auto"/>
            </w:tcBorders>
            <w:vAlign w:val="center"/>
          </w:tcPr>
          <w:p w14:paraId="3CE43E73" w14:textId="77777777" w:rsidR="004E65E7" w:rsidRPr="00A51748" w:rsidRDefault="004E65E7" w:rsidP="006D6DCD">
            <w:pPr>
              <w:rPr>
                <w:rFonts w:cs="Times New Roman"/>
                <w:sz w:val="20"/>
                <w:szCs w:val="20"/>
              </w:rPr>
            </w:pPr>
            <w:r w:rsidRPr="00A51748">
              <w:rPr>
                <w:rFonts w:cs="Times New Roman"/>
                <w:sz w:val="20"/>
                <w:szCs w:val="20"/>
              </w:rPr>
              <w:t>MTA</w:t>
            </w:r>
          </w:p>
        </w:tc>
      </w:tr>
      <w:tr w:rsidR="009A19CD" w:rsidRPr="00A51748" w14:paraId="51129A77" w14:textId="77777777" w:rsidTr="004E65E7">
        <w:trPr>
          <w:trHeight w:val="226"/>
        </w:trPr>
        <w:tc>
          <w:tcPr>
            <w:tcW w:w="2280" w:type="dxa"/>
            <w:tcBorders>
              <w:top w:val="single" w:sz="8" w:space="0" w:color="auto"/>
              <w:left w:val="single" w:sz="12" w:space="0" w:color="auto"/>
              <w:right w:val="single" w:sz="8" w:space="0" w:color="auto"/>
            </w:tcBorders>
            <w:shd w:val="clear" w:color="auto" w:fill="D6E3BC" w:themeFill="accent3" w:themeFillTint="66"/>
            <w:vAlign w:val="center"/>
          </w:tcPr>
          <w:p w14:paraId="7DFFDB84" w14:textId="77777777" w:rsidR="009A19CD" w:rsidRPr="00A51748" w:rsidRDefault="009A19CD" w:rsidP="006D6DCD">
            <w:pPr>
              <w:rPr>
                <w:rFonts w:cs="Times New Roman"/>
                <w:i/>
                <w:sz w:val="20"/>
                <w:szCs w:val="20"/>
              </w:rPr>
            </w:pPr>
            <w:r w:rsidRPr="00A51748">
              <w:rPr>
                <w:rFonts w:cs="Times New Roman"/>
                <w:i/>
                <w:sz w:val="20"/>
                <w:szCs w:val="20"/>
              </w:rPr>
              <w:t>Terrestrial ecoregions</w:t>
            </w:r>
          </w:p>
        </w:tc>
        <w:tc>
          <w:tcPr>
            <w:tcW w:w="1188" w:type="dxa"/>
            <w:tcBorders>
              <w:top w:val="single" w:sz="8" w:space="0" w:color="auto"/>
              <w:left w:val="single" w:sz="8" w:space="0" w:color="auto"/>
            </w:tcBorders>
            <w:shd w:val="clear" w:color="auto" w:fill="D6E3BC" w:themeFill="accent3" w:themeFillTint="66"/>
            <w:vAlign w:val="center"/>
          </w:tcPr>
          <w:p w14:paraId="5B955D4C" w14:textId="77777777" w:rsidR="009A19CD" w:rsidRPr="00A51748" w:rsidRDefault="009A19CD" w:rsidP="006D6DCD">
            <w:pPr>
              <w:rPr>
                <w:rFonts w:cs="Times New Roman"/>
                <w:sz w:val="20"/>
                <w:szCs w:val="20"/>
              </w:rPr>
            </w:pPr>
          </w:p>
        </w:tc>
        <w:tc>
          <w:tcPr>
            <w:tcW w:w="1087" w:type="dxa"/>
            <w:tcBorders>
              <w:top w:val="single" w:sz="8" w:space="0" w:color="auto"/>
              <w:right w:val="single" w:sz="8" w:space="0" w:color="auto"/>
            </w:tcBorders>
            <w:shd w:val="clear" w:color="auto" w:fill="D6E3BC" w:themeFill="accent3" w:themeFillTint="66"/>
            <w:vAlign w:val="center"/>
          </w:tcPr>
          <w:p w14:paraId="0C2920AD" w14:textId="77777777" w:rsidR="009A19CD" w:rsidRPr="00A51748" w:rsidRDefault="009A19CD" w:rsidP="006D6DCD">
            <w:pPr>
              <w:rPr>
                <w:rFonts w:cs="Times New Roman"/>
                <w:sz w:val="20"/>
                <w:szCs w:val="20"/>
              </w:rPr>
            </w:pPr>
          </w:p>
        </w:tc>
        <w:tc>
          <w:tcPr>
            <w:tcW w:w="1188" w:type="dxa"/>
            <w:tcBorders>
              <w:top w:val="single" w:sz="8" w:space="0" w:color="auto"/>
              <w:left w:val="single" w:sz="8" w:space="0" w:color="auto"/>
            </w:tcBorders>
            <w:shd w:val="clear" w:color="auto" w:fill="D6E3BC" w:themeFill="accent3" w:themeFillTint="66"/>
            <w:vAlign w:val="center"/>
          </w:tcPr>
          <w:p w14:paraId="20D74E30" w14:textId="77777777" w:rsidR="009A19CD" w:rsidRPr="00A51748" w:rsidRDefault="009A19CD" w:rsidP="006D6DCD">
            <w:pPr>
              <w:rPr>
                <w:rFonts w:cs="Times New Roman"/>
                <w:sz w:val="20"/>
                <w:szCs w:val="20"/>
              </w:rPr>
            </w:pPr>
          </w:p>
        </w:tc>
        <w:tc>
          <w:tcPr>
            <w:tcW w:w="1188" w:type="dxa"/>
            <w:tcBorders>
              <w:top w:val="single" w:sz="8" w:space="0" w:color="auto"/>
              <w:right w:val="single" w:sz="8" w:space="0" w:color="auto"/>
            </w:tcBorders>
            <w:shd w:val="clear" w:color="auto" w:fill="D6E3BC" w:themeFill="accent3" w:themeFillTint="66"/>
            <w:vAlign w:val="center"/>
          </w:tcPr>
          <w:p w14:paraId="7EDF49E5" w14:textId="77777777" w:rsidR="009A19CD" w:rsidRPr="00A51748" w:rsidRDefault="009A19CD" w:rsidP="006D6DCD">
            <w:pPr>
              <w:rPr>
                <w:rFonts w:cs="Times New Roman"/>
                <w:sz w:val="20"/>
                <w:szCs w:val="20"/>
              </w:rPr>
            </w:pPr>
          </w:p>
        </w:tc>
        <w:tc>
          <w:tcPr>
            <w:tcW w:w="1188" w:type="dxa"/>
            <w:tcBorders>
              <w:top w:val="single" w:sz="8" w:space="0" w:color="auto"/>
              <w:left w:val="single" w:sz="8" w:space="0" w:color="auto"/>
            </w:tcBorders>
            <w:shd w:val="clear" w:color="auto" w:fill="D6E3BC" w:themeFill="accent3" w:themeFillTint="66"/>
            <w:vAlign w:val="center"/>
          </w:tcPr>
          <w:p w14:paraId="5722DAD0" w14:textId="77777777" w:rsidR="009A19CD" w:rsidRPr="00A51748" w:rsidRDefault="009A19CD" w:rsidP="006D6DCD">
            <w:pPr>
              <w:rPr>
                <w:rFonts w:cs="Times New Roman"/>
                <w:sz w:val="20"/>
                <w:szCs w:val="20"/>
              </w:rPr>
            </w:pPr>
          </w:p>
        </w:tc>
        <w:tc>
          <w:tcPr>
            <w:tcW w:w="1324" w:type="dxa"/>
            <w:tcBorders>
              <w:top w:val="single" w:sz="8" w:space="0" w:color="auto"/>
              <w:right w:val="single" w:sz="12" w:space="0" w:color="auto"/>
            </w:tcBorders>
            <w:shd w:val="clear" w:color="auto" w:fill="D6E3BC" w:themeFill="accent3" w:themeFillTint="66"/>
            <w:vAlign w:val="center"/>
          </w:tcPr>
          <w:p w14:paraId="6F314AE1" w14:textId="77777777" w:rsidR="009A19CD" w:rsidRPr="00A51748" w:rsidRDefault="009A19CD" w:rsidP="006D6DCD">
            <w:pPr>
              <w:rPr>
                <w:rFonts w:cs="Times New Roman"/>
                <w:sz w:val="20"/>
                <w:szCs w:val="20"/>
              </w:rPr>
            </w:pPr>
          </w:p>
        </w:tc>
      </w:tr>
      <w:tr w:rsidR="009A19CD" w:rsidRPr="00A51748" w14:paraId="11194F2B" w14:textId="77777777" w:rsidTr="004E65E7">
        <w:trPr>
          <w:trHeight w:val="237"/>
        </w:trPr>
        <w:tc>
          <w:tcPr>
            <w:tcW w:w="2280" w:type="dxa"/>
            <w:tcBorders>
              <w:left w:val="single" w:sz="12" w:space="0" w:color="auto"/>
              <w:right w:val="single" w:sz="8" w:space="0" w:color="auto"/>
            </w:tcBorders>
            <w:shd w:val="clear" w:color="auto" w:fill="EAF1DD" w:themeFill="accent3" w:themeFillTint="33"/>
            <w:vAlign w:val="center"/>
          </w:tcPr>
          <w:p w14:paraId="51BCA377" w14:textId="77777777" w:rsidR="009A19CD" w:rsidRPr="00A51748" w:rsidRDefault="009A19CD" w:rsidP="006D6DCD">
            <w:pPr>
              <w:rPr>
                <w:rFonts w:cs="Times New Roman"/>
                <w:b/>
                <w:sz w:val="20"/>
                <w:szCs w:val="20"/>
              </w:rPr>
            </w:pPr>
            <w:r w:rsidRPr="00A51748">
              <w:rPr>
                <w:rFonts w:cs="Times New Roman"/>
                <w:b/>
                <w:sz w:val="20"/>
                <w:szCs w:val="20"/>
              </w:rPr>
              <w:t>2011</w:t>
            </w:r>
          </w:p>
        </w:tc>
        <w:tc>
          <w:tcPr>
            <w:tcW w:w="1188" w:type="dxa"/>
            <w:tcBorders>
              <w:left w:val="single" w:sz="8" w:space="0" w:color="auto"/>
            </w:tcBorders>
            <w:shd w:val="clear" w:color="auto" w:fill="EAF1DD" w:themeFill="accent3" w:themeFillTint="33"/>
            <w:vAlign w:val="center"/>
          </w:tcPr>
          <w:p w14:paraId="4CD7FD12" w14:textId="77777777" w:rsidR="009A19CD" w:rsidRPr="00A51748" w:rsidRDefault="009A19CD" w:rsidP="006D6DCD">
            <w:pPr>
              <w:rPr>
                <w:rFonts w:cs="Times New Roman"/>
                <w:sz w:val="20"/>
                <w:szCs w:val="20"/>
              </w:rPr>
            </w:pPr>
            <w:r w:rsidRPr="00A51748">
              <w:rPr>
                <w:rFonts w:cs="Times New Roman"/>
                <w:sz w:val="20"/>
                <w:szCs w:val="20"/>
              </w:rPr>
              <w:t>693 (84%)</w:t>
            </w:r>
          </w:p>
        </w:tc>
        <w:tc>
          <w:tcPr>
            <w:tcW w:w="1087" w:type="dxa"/>
            <w:tcBorders>
              <w:right w:val="single" w:sz="8" w:space="0" w:color="auto"/>
            </w:tcBorders>
            <w:shd w:val="clear" w:color="auto" w:fill="EAF1DD" w:themeFill="accent3" w:themeFillTint="33"/>
            <w:vAlign w:val="center"/>
          </w:tcPr>
          <w:p w14:paraId="15148A83" w14:textId="77777777" w:rsidR="009A19CD" w:rsidRPr="00A51748" w:rsidRDefault="009A19CD" w:rsidP="006D6DCD">
            <w:pPr>
              <w:rPr>
                <w:rFonts w:cs="Times New Roman"/>
                <w:sz w:val="20"/>
                <w:szCs w:val="20"/>
              </w:rPr>
            </w:pPr>
            <w:r w:rsidRPr="00A51748">
              <w:rPr>
                <w:rFonts w:cs="Times New Roman"/>
                <w:sz w:val="20"/>
                <w:szCs w:val="20"/>
              </w:rPr>
              <w:t>89.9%</w:t>
            </w:r>
          </w:p>
        </w:tc>
        <w:tc>
          <w:tcPr>
            <w:tcW w:w="1188" w:type="dxa"/>
            <w:tcBorders>
              <w:left w:val="single" w:sz="8" w:space="0" w:color="auto"/>
            </w:tcBorders>
            <w:shd w:val="clear" w:color="auto" w:fill="EAF1DD" w:themeFill="accent3" w:themeFillTint="33"/>
            <w:vAlign w:val="center"/>
          </w:tcPr>
          <w:p w14:paraId="50127771" w14:textId="77777777" w:rsidR="009A19CD" w:rsidRPr="00A51748" w:rsidRDefault="009A19CD" w:rsidP="006D6DCD">
            <w:pPr>
              <w:rPr>
                <w:rFonts w:cs="Times New Roman"/>
                <w:sz w:val="20"/>
                <w:szCs w:val="20"/>
              </w:rPr>
            </w:pPr>
            <w:r w:rsidRPr="00A51748">
              <w:rPr>
                <w:rFonts w:cs="Times New Roman"/>
                <w:sz w:val="20"/>
                <w:szCs w:val="20"/>
              </w:rPr>
              <w:t>414 (50%)</w:t>
            </w:r>
          </w:p>
        </w:tc>
        <w:tc>
          <w:tcPr>
            <w:tcW w:w="1188" w:type="dxa"/>
            <w:tcBorders>
              <w:right w:val="single" w:sz="8" w:space="0" w:color="auto"/>
            </w:tcBorders>
            <w:shd w:val="clear" w:color="auto" w:fill="EAF1DD" w:themeFill="accent3" w:themeFillTint="33"/>
            <w:vAlign w:val="center"/>
          </w:tcPr>
          <w:p w14:paraId="6F7CF833" w14:textId="77777777" w:rsidR="009A19CD" w:rsidRPr="00A51748" w:rsidRDefault="009A19CD" w:rsidP="006D6DCD">
            <w:pPr>
              <w:rPr>
                <w:rFonts w:cs="Times New Roman"/>
                <w:sz w:val="20"/>
                <w:szCs w:val="20"/>
              </w:rPr>
            </w:pPr>
            <w:r w:rsidRPr="00A51748">
              <w:rPr>
                <w:rFonts w:cs="Times New Roman"/>
                <w:sz w:val="20"/>
                <w:szCs w:val="20"/>
              </w:rPr>
              <w:t>70.6%</w:t>
            </w:r>
          </w:p>
        </w:tc>
        <w:tc>
          <w:tcPr>
            <w:tcW w:w="1188" w:type="dxa"/>
            <w:tcBorders>
              <w:left w:val="single" w:sz="8" w:space="0" w:color="auto"/>
            </w:tcBorders>
            <w:shd w:val="clear" w:color="auto" w:fill="EAF1DD" w:themeFill="accent3" w:themeFillTint="33"/>
            <w:vAlign w:val="center"/>
          </w:tcPr>
          <w:p w14:paraId="284AA7AD" w14:textId="77777777" w:rsidR="009A19CD" w:rsidRPr="00A51748" w:rsidRDefault="009A19CD" w:rsidP="006D6DCD">
            <w:pPr>
              <w:rPr>
                <w:rFonts w:cs="Times New Roman"/>
                <w:sz w:val="20"/>
                <w:szCs w:val="20"/>
              </w:rPr>
            </w:pPr>
            <w:r w:rsidRPr="00A51748">
              <w:rPr>
                <w:rFonts w:cs="Times New Roman"/>
                <w:sz w:val="20"/>
                <w:szCs w:val="20"/>
              </w:rPr>
              <w:t>273 (33%)</w:t>
            </w:r>
          </w:p>
        </w:tc>
        <w:tc>
          <w:tcPr>
            <w:tcW w:w="1324" w:type="dxa"/>
            <w:tcBorders>
              <w:right w:val="single" w:sz="12" w:space="0" w:color="auto"/>
            </w:tcBorders>
            <w:shd w:val="clear" w:color="auto" w:fill="EAF1DD" w:themeFill="accent3" w:themeFillTint="33"/>
            <w:vAlign w:val="center"/>
          </w:tcPr>
          <w:p w14:paraId="530F6818" w14:textId="77777777" w:rsidR="009A19CD" w:rsidRPr="00A51748" w:rsidRDefault="009A19CD" w:rsidP="006D6DCD">
            <w:pPr>
              <w:rPr>
                <w:rFonts w:cs="Times New Roman"/>
                <w:sz w:val="20"/>
                <w:szCs w:val="20"/>
              </w:rPr>
            </w:pPr>
            <w:r w:rsidRPr="00A51748">
              <w:rPr>
                <w:rFonts w:cs="Times New Roman"/>
                <w:sz w:val="20"/>
                <w:szCs w:val="20"/>
              </w:rPr>
              <w:t>58.3%</w:t>
            </w:r>
          </w:p>
        </w:tc>
      </w:tr>
      <w:tr w:rsidR="009A19CD" w:rsidRPr="00A51748" w14:paraId="50D31AD6" w14:textId="77777777" w:rsidTr="004E65E7">
        <w:trPr>
          <w:trHeight w:val="226"/>
        </w:trPr>
        <w:tc>
          <w:tcPr>
            <w:tcW w:w="2280" w:type="dxa"/>
            <w:tcBorders>
              <w:left w:val="single" w:sz="12" w:space="0" w:color="auto"/>
              <w:bottom w:val="single" w:sz="8" w:space="0" w:color="auto"/>
              <w:right w:val="single" w:sz="8" w:space="0" w:color="auto"/>
            </w:tcBorders>
            <w:shd w:val="clear" w:color="auto" w:fill="D6E3BC" w:themeFill="accent3" w:themeFillTint="66"/>
            <w:vAlign w:val="center"/>
          </w:tcPr>
          <w:p w14:paraId="12FECE0F" w14:textId="77777777" w:rsidR="009A19CD" w:rsidRPr="00A51748" w:rsidRDefault="009A19CD" w:rsidP="006D6DCD">
            <w:pPr>
              <w:rPr>
                <w:rFonts w:cs="Times New Roman"/>
                <w:b/>
                <w:sz w:val="20"/>
                <w:szCs w:val="20"/>
              </w:rPr>
            </w:pPr>
            <w:r w:rsidRPr="00A51748">
              <w:rPr>
                <w:rFonts w:cs="Times New Roman"/>
                <w:b/>
                <w:sz w:val="20"/>
                <w:szCs w:val="20"/>
              </w:rPr>
              <w:t>2019</w:t>
            </w:r>
          </w:p>
        </w:tc>
        <w:tc>
          <w:tcPr>
            <w:tcW w:w="1188" w:type="dxa"/>
            <w:tcBorders>
              <w:left w:val="single" w:sz="8" w:space="0" w:color="auto"/>
              <w:bottom w:val="single" w:sz="8" w:space="0" w:color="auto"/>
            </w:tcBorders>
            <w:shd w:val="clear" w:color="auto" w:fill="D6E3BC" w:themeFill="accent3" w:themeFillTint="66"/>
            <w:vAlign w:val="center"/>
          </w:tcPr>
          <w:p w14:paraId="5433DA15" w14:textId="77777777" w:rsidR="009A19CD" w:rsidRPr="00A51748" w:rsidRDefault="009A19CD" w:rsidP="006D6DCD">
            <w:pPr>
              <w:rPr>
                <w:rFonts w:cs="Times New Roman"/>
                <w:sz w:val="20"/>
                <w:szCs w:val="20"/>
              </w:rPr>
            </w:pPr>
            <w:r w:rsidRPr="00A51748">
              <w:rPr>
                <w:rFonts w:cs="Times New Roman"/>
                <w:sz w:val="20"/>
                <w:szCs w:val="20"/>
              </w:rPr>
              <w:t>721 (88%)</w:t>
            </w:r>
          </w:p>
        </w:tc>
        <w:tc>
          <w:tcPr>
            <w:tcW w:w="1087" w:type="dxa"/>
            <w:tcBorders>
              <w:bottom w:val="single" w:sz="8" w:space="0" w:color="auto"/>
              <w:right w:val="single" w:sz="8" w:space="0" w:color="auto"/>
            </w:tcBorders>
            <w:shd w:val="clear" w:color="auto" w:fill="D6E3BC" w:themeFill="accent3" w:themeFillTint="66"/>
            <w:vAlign w:val="center"/>
          </w:tcPr>
          <w:p w14:paraId="64424027" w14:textId="77777777" w:rsidR="009A19CD" w:rsidRPr="00A51748" w:rsidRDefault="009A19CD" w:rsidP="006D6DCD">
            <w:pPr>
              <w:rPr>
                <w:rFonts w:cs="Times New Roman"/>
                <w:sz w:val="20"/>
                <w:szCs w:val="20"/>
              </w:rPr>
            </w:pPr>
            <w:r w:rsidRPr="00A51748">
              <w:rPr>
                <w:rFonts w:cs="Times New Roman"/>
                <w:sz w:val="20"/>
                <w:szCs w:val="20"/>
              </w:rPr>
              <w:t>92.2%</w:t>
            </w:r>
          </w:p>
        </w:tc>
        <w:tc>
          <w:tcPr>
            <w:tcW w:w="1188" w:type="dxa"/>
            <w:tcBorders>
              <w:left w:val="single" w:sz="8" w:space="0" w:color="auto"/>
              <w:bottom w:val="single" w:sz="8" w:space="0" w:color="auto"/>
            </w:tcBorders>
            <w:shd w:val="clear" w:color="auto" w:fill="D6E3BC" w:themeFill="accent3" w:themeFillTint="66"/>
            <w:vAlign w:val="center"/>
          </w:tcPr>
          <w:p w14:paraId="5CA400EB" w14:textId="77777777" w:rsidR="009A19CD" w:rsidRPr="00A51748" w:rsidRDefault="009A19CD" w:rsidP="006D6DCD">
            <w:pPr>
              <w:rPr>
                <w:rFonts w:cs="Times New Roman"/>
                <w:sz w:val="20"/>
                <w:szCs w:val="20"/>
              </w:rPr>
            </w:pPr>
            <w:r w:rsidRPr="00A51748">
              <w:rPr>
                <w:rFonts w:cs="Times New Roman"/>
                <w:sz w:val="20"/>
                <w:szCs w:val="20"/>
              </w:rPr>
              <w:t>472 (57%)</w:t>
            </w:r>
          </w:p>
        </w:tc>
        <w:tc>
          <w:tcPr>
            <w:tcW w:w="1188" w:type="dxa"/>
            <w:tcBorders>
              <w:bottom w:val="single" w:sz="8" w:space="0" w:color="auto"/>
              <w:right w:val="single" w:sz="8" w:space="0" w:color="auto"/>
            </w:tcBorders>
            <w:shd w:val="clear" w:color="auto" w:fill="D6E3BC" w:themeFill="accent3" w:themeFillTint="66"/>
            <w:vAlign w:val="center"/>
          </w:tcPr>
          <w:p w14:paraId="1AC40EAA" w14:textId="77777777" w:rsidR="009A19CD" w:rsidRPr="00A51748" w:rsidRDefault="009A19CD" w:rsidP="006D6DCD">
            <w:pPr>
              <w:rPr>
                <w:rFonts w:cs="Times New Roman"/>
                <w:sz w:val="20"/>
                <w:szCs w:val="20"/>
              </w:rPr>
            </w:pPr>
            <w:r w:rsidRPr="00A51748">
              <w:rPr>
                <w:rFonts w:cs="Times New Roman"/>
                <w:sz w:val="20"/>
                <w:szCs w:val="20"/>
              </w:rPr>
              <w:t>75.7%</w:t>
            </w:r>
          </w:p>
        </w:tc>
        <w:tc>
          <w:tcPr>
            <w:tcW w:w="1188" w:type="dxa"/>
            <w:tcBorders>
              <w:left w:val="single" w:sz="8" w:space="0" w:color="auto"/>
              <w:bottom w:val="single" w:sz="8" w:space="0" w:color="auto"/>
            </w:tcBorders>
            <w:shd w:val="clear" w:color="auto" w:fill="D6E3BC" w:themeFill="accent3" w:themeFillTint="66"/>
            <w:vAlign w:val="center"/>
          </w:tcPr>
          <w:p w14:paraId="6E735AAF" w14:textId="77777777" w:rsidR="009A19CD" w:rsidRPr="00A51748" w:rsidRDefault="009A19CD" w:rsidP="006D6DCD">
            <w:pPr>
              <w:rPr>
                <w:rFonts w:cs="Times New Roman"/>
                <w:sz w:val="20"/>
                <w:szCs w:val="20"/>
              </w:rPr>
            </w:pPr>
            <w:r w:rsidRPr="00A51748">
              <w:rPr>
                <w:rFonts w:cs="Times New Roman"/>
                <w:sz w:val="20"/>
                <w:szCs w:val="20"/>
              </w:rPr>
              <w:t>344 (42%)</w:t>
            </w:r>
          </w:p>
        </w:tc>
        <w:tc>
          <w:tcPr>
            <w:tcW w:w="1324" w:type="dxa"/>
            <w:tcBorders>
              <w:bottom w:val="single" w:sz="8" w:space="0" w:color="auto"/>
              <w:right w:val="single" w:sz="12" w:space="0" w:color="auto"/>
            </w:tcBorders>
            <w:shd w:val="clear" w:color="auto" w:fill="D6E3BC" w:themeFill="accent3" w:themeFillTint="66"/>
            <w:vAlign w:val="center"/>
          </w:tcPr>
          <w:p w14:paraId="5A6ADDFD" w14:textId="77777777" w:rsidR="009A19CD" w:rsidRPr="00A51748" w:rsidRDefault="009A19CD" w:rsidP="006D6DCD">
            <w:pPr>
              <w:rPr>
                <w:rFonts w:cs="Times New Roman"/>
                <w:sz w:val="20"/>
                <w:szCs w:val="20"/>
              </w:rPr>
            </w:pPr>
            <w:r w:rsidRPr="00A51748">
              <w:rPr>
                <w:rFonts w:cs="Times New Roman"/>
                <w:sz w:val="20"/>
                <w:szCs w:val="20"/>
              </w:rPr>
              <w:t>64.7%</w:t>
            </w:r>
          </w:p>
        </w:tc>
      </w:tr>
      <w:tr w:rsidR="009A19CD" w:rsidRPr="00A51748" w14:paraId="68808B2A" w14:textId="77777777" w:rsidTr="004E65E7">
        <w:trPr>
          <w:trHeight w:val="237"/>
        </w:trPr>
        <w:tc>
          <w:tcPr>
            <w:tcW w:w="2280" w:type="dxa"/>
            <w:tcBorders>
              <w:top w:val="single" w:sz="8" w:space="0" w:color="auto"/>
              <w:left w:val="single" w:sz="12" w:space="0" w:color="auto"/>
              <w:right w:val="single" w:sz="8" w:space="0" w:color="auto"/>
            </w:tcBorders>
            <w:shd w:val="clear" w:color="auto" w:fill="B6DDE8" w:themeFill="accent5" w:themeFillTint="66"/>
            <w:vAlign w:val="center"/>
          </w:tcPr>
          <w:p w14:paraId="4DB95B1C" w14:textId="77777777" w:rsidR="009A19CD" w:rsidRPr="00A51748" w:rsidRDefault="009A19CD" w:rsidP="006D6DCD">
            <w:pPr>
              <w:rPr>
                <w:rFonts w:cs="Times New Roman"/>
                <w:i/>
                <w:sz w:val="20"/>
                <w:szCs w:val="20"/>
              </w:rPr>
            </w:pPr>
            <w:r w:rsidRPr="00A51748">
              <w:rPr>
                <w:rFonts w:cs="Times New Roman"/>
                <w:i/>
                <w:sz w:val="20"/>
                <w:szCs w:val="20"/>
              </w:rPr>
              <w:t>Marine ecoregions</w:t>
            </w:r>
          </w:p>
        </w:tc>
        <w:tc>
          <w:tcPr>
            <w:tcW w:w="1188" w:type="dxa"/>
            <w:tcBorders>
              <w:top w:val="single" w:sz="8" w:space="0" w:color="auto"/>
              <w:left w:val="single" w:sz="8" w:space="0" w:color="auto"/>
            </w:tcBorders>
            <w:shd w:val="clear" w:color="auto" w:fill="B6DDE8" w:themeFill="accent5" w:themeFillTint="66"/>
            <w:vAlign w:val="center"/>
          </w:tcPr>
          <w:p w14:paraId="5AE91311" w14:textId="77777777" w:rsidR="009A19CD" w:rsidRPr="00A51748" w:rsidRDefault="009A19CD" w:rsidP="006D6DCD">
            <w:pPr>
              <w:rPr>
                <w:rFonts w:cs="Times New Roman"/>
                <w:sz w:val="20"/>
                <w:szCs w:val="20"/>
              </w:rPr>
            </w:pPr>
          </w:p>
        </w:tc>
        <w:tc>
          <w:tcPr>
            <w:tcW w:w="1087" w:type="dxa"/>
            <w:tcBorders>
              <w:top w:val="single" w:sz="8" w:space="0" w:color="auto"/>
              <w:right w:val="single" w:sz="8" w:space="0" w:color="auto"/>
            </w:tcBorders>
            <w:shd w:val="clear" w:color="auto" w:fill="B6DDE8" w:themeFill="accent5" w:themeFillTint="66"/>
            <w:vAlign w:val="center"/>
          </w:tcPr>
          <w:p w14:paraId="3A8D6179" w14:textId="77777777" w:rsidR="009A19CD" w:rsidRPr="00A51748" w:rsidRDefault="009A19CD" w:rsidP="006D6DCD">
            <w:pPr>
              <w:rPr>
                <w:rFonts w:cs="Times New Roman"/>
                <w:sz w:val="20"/>
                <w:szCs w:val="20"/>
              </w:rPr>
            </w:pPr>
          </w:p>
        </w:tc>
        <w:tc>
          <w:tcPr>
            <w:tcW w:w="1188" w:type="dxa"/>
            <w:tcBorders>
              <w:top w:val="single" w:sz="8" w:space="0" w:color="auto"/>
              <w:left w:val="single" w:sz="8" w:space="0" w:color="auto"/>
            </w:tcBorders>
            <w:shd w:val="clear" w:color="auto" w:fill="B6DDE8" w:themeFill="accent5" w:themeFillTint="66"/>
            <w:vAlign w:val="center"/>
          </w:tcPr>
          <w:p w14:paraId="5CE120D1" w14:textId="77777777" w:rsidR="009A19CD" w:rsidRPr="00A51748" w:rsidRDefault="009A19CD" w:rsidP="006D6DCD">
            <w:pPr>
              <w:rPr>
                <w:rFonts w:cs="Times New Roman"/>
                <w:sz w:val="20"/>
                <w:szCs w:val="20"/>
              </w:rPr>
            </w:pPr>
          </w:p>
        </w:tc>
        <w:tc>
          <w:tcPr>
            <w:tcW w:w="1188" w:type="dxa"/>
            <w:tcBorders>
              <w:top w:val="single" w:sz="8" w:space="0" w:color="auto"/>
              <w:right w:val="single" w:sz="8" w:space="0" w:color="auto"/>
            </w:tcBorders>
            <w:shd w:val="clear" w:color="auto" w:fill="B6DDE8" w:themeFill="accent5" w:themeFillTint="66"/>
            <w:vAlign w:val="center"/>
          </w:tcPr>
          <w:p w14:paraId="43B4E52A" w14:textId="77777777" w:rsidR="009A19CD" w:rsidRPr="00A51748" w:rsidRDefault="009A19CD" w:rsidP="006D6DCD">
            <w:pPr>
              <w:rPr>
                <w:rFonts w:cs="Times New Roman"/>
                <w:sz w:val="20"/>
                <w:szCs w:val="20"/>
              </w:rPr>
            </w:pPr>
          </w:p>
        </w:tc>
        <w:tc>
          <w:tcPr>
            <w:tcW w:w="1188" w:type="dxa"/>
            <w:tcBorders>
              <w:top w:val="single" w:sz="8" w:space="0" w:color="auto"/>
              <w:left w:val="single" w:sz="8" w:space="0" w:color="auto"/>
            </w:tcBorders>
            <w:shd w:val="clear" w:color="auto" w:fill="D9D9D9" w:themeFill="background1" w:themeFillShade="D9"/>
            <w:vAlign w:val="center"/>
          </w:tcPr>
          <w:p w14:paraId="0DC86409" w14:textId="77777777" w:rsidR="009A19CD" w:rsidRPr="00A51748" w:rsidRDefault="009A19CD" w:rsidP="006D6DCD">
            <w:pPr>
              <w:rPr>
                <w:rFonts w:cs="Times New Roman"/>
                <w:sz w:val="20"/>
                <w:szCs w:val="20"/>
              </w:rPr>
            </w:pPr>
          </w:p>
        </w:tc>
        <w:tc>
          <w:tcPr>
            <w:tcW w:w="1324" w:type="dxa"/>
            <w:tcBorders>
              <w:top w:val="single" w:sz="8" w:space="0" w:color="auto"/>
              <w:right w:val="single" w:sz="12" w:space="0" w:color="auto"/>
            </w:tcBorders>
            <w:shd w:val="clear" w:color="auto" w:fill="D9D9D9" w:themeFill="background1" w:themeFillShade="D9"/>
            <w:vAlign w:val="center"/>
          </w:tcPr>
          <w:p w14:paraId="5BB276B3" w14:textId="77777777" w:rsidR="009A19CD" w:rsidRPr="00A51748" w:rsidRDefault="009A19CD" w:rsidP="006D6DCD">
            <w:pPr>
              <w:rPr>
                <w:rFonts w:cs="Times New Roman"/>
                <w:sz w:val="20"/>
                <w:szCs w:val="20"/>
              </w:rPr>
            </w:pPr>
          </w:p>
        </w:tc>
      </w:tr>
      <w:tr w:rsidR="009A19CD" w:rsidRPr="00A51748" w14:paraId="26AF013C" w14:textId="77777777" w:rsidTr="004E65E7">
        <w:trPr>
          <w:trHeight w:val="226"/>
        </w:trPr>
        <w:tc>
          <w:tcPr>
            <w:tcW w:w="2280" w:type="dxa"/>
            <w:tcBorders>
              <w:left w:val="single" w:sz="12" w:space="0" w:color="auto"/>
              <w:right w:val="single" w:sz="8" w:space="0" w:color="auto"/>
            </w:tcBorders>
            <w:shd w:val="clear" w:color="auto" w:fill="DAEEF3" w:themeFill="accent5" w:themeFillTint="33"/>
            <w:vAlign w:val="center"/>
          </w:tcPr>
          <w:p w14:paraId="2667B7CE" w14:textId="77777777" w:rsidR="009A19CD" w:rsidRPr="00A51748" w:rsidRDefault="009A19CD" w:rsidP="006D6DCD">
            <w:pPr>
              <w:rPr>
                <w:rFonts w:cs="Times New Roman"/>
                <w:b/>
                <w:sz w:val="20"/>
                <w:szCs w:val="20"/>
              </w:rPr>
            </w:pPr>
            <w:r w:rsidRPr="00A51748">
              <w:rPr>
                <w:rFonts w:cs="Times New Roman"/>
                <w:b/>
                <w:sz w:val="20"/>
                <w:szCs w:val="20"/>
              </w:rPr>
              <w:t>2011</w:t>
            </w:r>
          </w:p>
        </w:tc>
        <w:tc>
          <w:tcPr>
            <w:tcW w:w="1188" w:type="dxa"/>
            <w:tcBorders>
              <w:left w:val="single" w:sz="8" w:space="0" w:color="auto"/>
            </w:tcBorders>
            <w:shd w:val="clear" w:color="auto" w:fill="DAEEF3" w:themeFill="accent5" w:themeFillTint="33"/>
            <w:vAlign w:val="center"/>
          </w:tcPr>
          <w:p w14:paraId="740322BD" w14:textId="77777777" w:rsidR="009A19CD" w:rsidRPr="00A51748" w:rsidRDefault="009A19CD" w:rsidP="006D6DCD">
            <w:pPr>
              <w:rPr>
                <w:rFonts w:cs="Times New Roman"/>
                <w:sz w:val="20"/>
                <w:szCs w:val="20"/>
              </w:rPr>
            </w:pPr>
            <w:r w:rsidRPr="00A51748">
              <w:rPr>
                <w:rFonts w:cs="Times New Roman"/>
                <w:sz w:val="20"/>
                <w:szCs w:val="20"/>
              </w:rPr>
              <w:t>69 (30%)</w:t>
            </w:r>
          </w:p>
        </w:tc>
        <w:tc>
          <w:tcPr>
            <w:tcW w:w="1087" w:type="dxa"/>
            <w:tcBorders>
              <w:right w:val="single" w:sz="8" w:space="0" w:color="auto"/>
            </w:tcBorders>
            <w:shd w:val="clear" w:color="auto" w:fill="DAEEF3" w:themeFill="accent5" w:themeFillTint="33"/>
            <w:vAlign w:val="center"/>
          </w:tcPr>
          <w:p w14:paraId="3758A2BF" w14:textId="77777777" w:rsidR="009A19CD" w:rsidRPr="00A51748" w:rsidRDefault="009A19CD" w:rsidP="006D6DCD">
            <w:pPr>
              <w:rPr>
                <w:rFonts w:cs="Times New Roman"/>
                <w:sz w:val="20"/>
                <w:szCs w:val="20"/>
              </w:rPr>
            </w:pPr>
            <w:r w:rsidRPr="00A51748">
              <w:rPr>
                <w:rFonts w:cs="Times New Roman"/>
                <w:sz w:val="20"/>
                <w:szCs w:val="20"/>
              </w:rPr>
              <w:t>44.3%</w:t>
            </w:r>
          </w:p>
        </w:tc>
        <w:tc>
          <w:tcPr>
            <w:tcW w:w="1188" w:type="dxa"/>
            <w:tcBorders>
              <w:left w:val="single" w:sz="8" w:space="0" w:color="auto"/>
            </w:tcBorders>
            <w:shd w:val="clear" w:color="auto" w:fill="DAEEF3" w:themeFill="accent5" w:themeFillTint="33"/>
            <w:vAlign w:val="center"/>
          </w:tcPr>
          <w:p w14:paraId="5E685D6A" w14:textId="77777777" w:rsidR="009A19CD" w:rsidRPr="00A51748" w:rsidRDefault="009A19CD" w:rsidP="006D6DCD">
            <w:pPr>
              <w:rPr>
                <w:rFonts w:cs="Times New Roman"/>
                <w:sz w:val="20"/>
                <w:szCs w:val="20"/>
              </w:rPr>
            </w:pPr>
            <w:r w:rsidRPr="00A51748">
              <w:rPr>
                <w:rFonts w:cs="Times New Roman"/>
                <w:sz w:val="20"/>
                <w:szCs w:val="20"/>
              </w:rPr>
              <w:t>30 (13%)</w:t>
            </w:r>
          </w:p>
        </w:tc>
        <w:tc>
          <w:tcPr>
            <w:tcW w:w="1188" w:type="dxa"/>
            <w:tcBorders>
              <w:right w:val="single" w:sz="8" w:space="0" w:color="auto"/>
            </w:tcBorders>
            <w:shd w:val="clear" w:color="auto" w:fill="DAEEF3" w:themeFill="accent5" w:themeFillTint="33"/>
            <w:vAlign w:val="center"/>
          </w:tcPr>
          <w:p w14:paraId="64D49827" w14:textId="77777777" w:rsidR="009A19CD" w:rsidRPr="00A51748" w:rsidRDefault="009A19CD" w:rsidP="006D6DCD">
            <w:pPr>
              <w:rPr>
                <w:rFonts w:cs="Times New Roman"/>
                <w:sz w:val="20"/>
                <w:szCs w:val="20"/>
              </w:rPr>
            </w:pPr>
            <w:r w:rsidRPr="00A51748">
              <w:rPr>
                <w:rFonts w:cs="Times New Roman"/>
                <w:sz w:val="20"/>
                <w:szCs w:val="20"/>
              </w:rPr>
              <w:t>23.2%</w:t>
            </w:r>
          </w:p>
        </w:tc>
        <w:tc>
          <w:tcPr>
            <w:tcW w:w="1188" w:type="dxa"/>
            <w:tcBorders>
              <w:left w:val="single" w:sz="8" w:space="0" w:color="auto"/>
            </w:tcBorders>
            <w:shd w:val="clear" w:color="auto" w:fill="D9D9D9" w:themeFill="background1" w:themeFillShade="D9"/>
            <w:vAlign w:val="center"/>
          </w:tcPr>
          <w:p w14:paraId="4ADDF88B" w14:textId="77777777" w:rsidR="009A19CD" w:rsidRPr="00A51748" w:rsidRDefault="009A19CD" w:rsidP="006D6DCD">
            <w:pPr>
              <w:rPr>
                <w:rFonts w:cs="Times New Roman"/>
                <w:sz w:val="20"/>
                <w:szCs w:val="20"/>
              </w:rPr>
            </w:pPr>
          </w:p>
        </w:tc>
        <w:tc>
          <w:tcPr>
            <w:tcW w:w="1324" w:type="dxa"/>
            <w:tcBorders>
              <w:right w:val="single" w:sz="12" w:space="0" w:color="auto"/>
            </w:tcBorders>
            <w:shd w:val="clear" w:color="auto" w:fill="D9D9D9" w:themeFill="background1" w:themeFillShade="D9"/>
            <w:vAlign w:val="center"/>
          </w:tcPr>
          <w:p w14:paraId="4094C74F" w14:textId="77777777" w:rsidR="009A19CD" w:rsidRPr="00A51748" w:rsidRDefault="009A19CD" w:rsidP="006D6DCD">
            <w:pPr>
              <w:rPr>
                <w:rFonts w:cs="Times New Roman"/>
                <w:sz w:val="20"/>
                <w:szCs w:val="20"/>
              </w:rPr>
            </w:pPr>
          </w:p>
        </w:tc>
      </w:tr>
      <w:tr w:rsidR="009A19CD" w:rsidRPr="00A51748" w14:paraId="4AE19ED9" w14:textId="77777777" w:rsidTr="004E65E7">
        <w:trPr>
          <w:trHeight w:val="237"/>
        </w:trPr>
        <w:tc>
          <w:tcPr>
            <w:tcW w:w="2280" w:type="dxa"/>
            <w:tcBorders>
              <w:left w:val="single" w:sz="12" w:space="0" w:color="auto"/>
              <w:bottom w:val="single" w:sz="8" w:space="0" w:color="auto"/>
              <w:right w:val="single" w:sz="8" w:space="0" w:color="auto"/>
            </w:tcBorders>
            <w:shd w:val="clear" w:color="auto" w:fill="B6DDE8" w:themeFill="accent5" w:themeFillTint="66"/>
            <w:vAlign w:val="center"/>
          </w:tcPr>
          <w:p w14:paraId="22CF24FA" w14:textId="77777777" w:rsidR="009A19CD" w:rsidRPr="00A51748" w:rsidRDefault="009A19CD" w:rsidP="006D6DCD">
            <w:pPr>
              <w:rPr>
                <w:rFonts w:cs="Times New Roman"/>
                <w:b/>
                <w:sz w:val="20"/>
                <w:szCs w:val="20"/>
              </w:rPr>
            </w:pPr>
            <w:r w:rsidRPr="00A51748">
              <w:rPr>
                <w:rFonts w:cs="Times New Roman"/>
                <w:b/>
                <w:sz w:val="20"/>
                <w:szCs w:val="20"/>
              </w:rPr>
              <w:t>2019</w:t>
            </w:r>
          </w:p>
        </w:tc>
        <w:tc>
          <w:tcPr>
            <w:tcW w:w="1188" w:type="dxa"/>
            <w:tcBorders>
              <w:left w:val="single" w:sz="8" w:space="0" w:color="auto"/>
              <w:bottom w:val="single" w:sz="8" w:space="0" w:color="auto"/>
            </w:tcBorders>
            <w:shd w:val="clear" w:color="auto" w:fill="B6DDE8" w:themeFill="accent5" w:themeFillTint="66"/>
            <w:vAlign w:val="center"/>
          </w:tcPr>
          <w:p w14:paraId="7FCA5DEA" w14:textId="77777777" w:rsidR="009A19CD" w:rsidRPr="00A51748" w:rsidRDefault="009A19CD" w:rsidP="006D6DCD">
            <w:pPr>
              <w:rPr>
                <w:rFonts w:cs="Times New Roman"/>
                <w:sz w:val="20"/>
                <w:szCs w:val="20"/>
              </w:rPr>
            </w:pPr>
            <w:r w:rsidRPr="00A51748">
              <w:rPr>
                <w:rFonts w:cs="Times New Roman"/>
                <w:sz w:val="20"/>
                <w:szCs w:val="20"/>
              </w:rPr>
              <w:t>166 (72%)</w:t>
            </w:r>
          </w:p>
        </w:tc>
        <w:tc>
          <w:tcPr>
            <w:tcW w:w="1087" w:type="dxa"/>
            <w:tcBorders>
              <w:bottom w:val="single" w:sz="8" w:space="0" w:color="auto"/>
              <w:right w:val="single" w:sz="8" w:space="0" w:color="auto"/>
            </w:tcBorders>
            <w:shd w:val="clear" w:color="auto" w:fill="B6DDE8" w:themeFill="accent5" w:themeFillTint="66"/>
            <w:vAlign w:val="center"/>
          </w:tcPr>
          <w:p w14:paraId="1181C4B5" w14:textId="77777777" w:rsidR="009A19CD" w:rsidRPr="00A51748" w:rsidRDefault="009A19CD" w:rsidP="006D6DCD">
            <w:pPr>
              <w:rPr>
                <w:rFonts w:cs="Times New Roman"/>
                <w:sz w:val="20"/>
                <w:szCs w:val="20"/>
              </w:rPr>
            </w:pPr>
            <w:r w:rsidRPr="00A51748">
              <w:rPr>
                <w:rFonts w:cs="Times New Roman"/>
                <w:sz w:val="20"/>
                <w:szCs w:val="20"/>
              </w:rPr>
              <w:t>82.4%</w:t>
            </w:r>
          </w:p>
        </w:tc>
        <w:tc>
          <w:tcPr>
            <w:tcW w:w="1188" w:type="dxa"/>
            <w:tcBorders>
              <w:left w:val="single" w:sz="8" w:space="0" w:color="auto"/>
              <w:bottom w:val="single" w:sz="8" w:space="0" w:color="auto"/>
            </w:tcBorders>
            <w:shd w:val="clear" w:color="auto" w:fill="B6DDE8" w:themeFill="accent5" w:themeFillTint="66"/>
            <w:vAlign w:val="center"/>
          </w:tcPr>
          <w:p w14:paraId="3A642068" w14:textId="77777777" w:rsidR="009A19CD" w:rsidRPr="00A51748" w:rsidRDefault="009A19CD" w:rsidP="006D6DCD">
            <w:pPr>
              <w:rPr>
                <w:rFonts w:cs="Times New Roman"/>
                <w:sz w:val="20"/>
                <w:szCs w:val="20"/>
              </w:rPr>
            </w:pPr>
            <w:r w:rsidRPr="00A51748">
              <w:rPr>
                <w:rFonts w:cs="Times New Roman"/>
                <w:sz w:val="20"/>
                <w:szCs w:val="20"/>
              </w:rPr>
              <w:t>109 (47%)</w:t>
            </w:r>
          </w:p>
        </w:tc>
        <w:tc>
          <w:tcPr>
            <w:tcW w:w="1188" w:type="dxa"/>
            <w:tcBorders>
              <w:bottom w:val="single" w:sz="8" w:space="0" w:color="auto"/>
              <w:right w:val="single" w:sz="8" w:space="0" w:color="auto"/>
            </w:tcBorders>
            <w:shd w:val="clear" w:color="auto" w:fill="B6DDE8" w:themeFill="accent5" w:themeFillTint="66"/>
            <w:vAlign w:val="center"/>
          </w:tcPr>
          <w:p w14:paraId="2E3C08A7" w14:textId="77777777" w:rsidR="009A19CD" w:rsidRPr="00A51748" w:rsidRDefault="009A19CD" w:rsidP="006D6DCD">
            <w:pPr>
              <w:rPr>
                <w:rFonts w:cs="Times New Roman"/>
                <w:sz w:val="20"/>
                <w:szCs w:val="20"/>
              </w:rPr>
            </w:pPr>
            <w:r w:rsidRPr="00A51748">
              <w:rPr>
                <w:rFonts w:cs="Times New Roman"/>
                <w:sz w:val="20"/>
                <w:szCs w:val="20"/>
              </w:rPr>
              <w:t>62.1%</w:t>
            </w:r>
          </w:p>
        </w:tc>
        <w:tc>
          <w:tcPr>
            <w:tcW w:w="1188" w:type="dxa"/>
            <w:tcBorders>
              <w:left w:val="single" w:sz="8" w:space="0" w:color="auto"/>
              <w:bottom w:val="single" w:sz="8" w:space="0" w:color="auto"/>
            </w:tcBorders>
            <w:shd w:val="clear" w:color="auto" w:fill="D9D9D9" w:themeFill="background1" w:themeFillShade="D9"/>
            <w:vAlign w:val="center"/>
          </w:tcPr>
          <w:p w14:paraId="5024C476" w14:textId="77777777" w:rsidR="009A19CD" w:rsidRPr="00A51748" w:rsidRDefault="009A19CD" w:rsidP="006D6DCD">
            <w:pPr>
              <w:rPr>
                <w:rFonts w:cs="Times New Roman"/>
                <w:sz w:val="20"/>
                <w:szCs w:val="20"/>
              </w:rPr>
            </w:pPr>
          </w:p>
        </w:tc>
        <w:tc>
          <w:tcPr>
            <w:tcW w:w="1324" w:type="dxa"/>
            <w:tcBorders>
              <w:bottom w:val="single" w:sz="8" w:space="0" w:color="auto"/>
              <w:right w:val="single" w:sz="12" w:space="0" w:color="auto"/>
            </w:tcBorders>
            <w:shd w:val="clear" w:color="auto" w:fill="D9D9D9" w:themeFill="background1" w:themeFillShade="D9"/>
            <w:vAlign w:val="center"/>
          </w:tcPr>
          <w:p w14:paraId="2D91BBE2" w14:textId="77777777" w:rsidR="009A19CD" w:rsidRPr="00A51748" w:rsidRDefault="009A19CD" w:rsidP="006D6DCD">
            <w:pPr>
              <w:rPr>
                <w:rFonts w:cs="Times New Roman"/>
                <w:sz w:val="20"/>
                <w:szCs w:val="20"/>
              </w:rPr>
            </w:pPr>
          </w:p>
        </w:tc>
      </w:tr>
      <w:tr w:rsidR="009A19CD" w:rsidRPr="00A51748" w14:paraId="5C6827D3" w14:textId="77777777" w:rsidTr="004E65E7">
        <w:trPr>
          <w:trHeight w:val="226"/>
        </w:trPr>
        <w:tc>
          <w:tcPr>
            <w:tcW w:w="2280" w:type="dxa"/>
            <w:tcBorders>
              <w:top w:val="single" w:sz="8" w:space="0" w:color="auto"/>
              <w:left w:val="single" w:sz="12" w:space="0" w:color="auto"/>
              <w:right w:val="single" w:sz="8" w:space="0" w:color="auto"/>
            </w:tcBorders>
            <w:shd w:val="clear" w:color="auto" w:fill="DBE5F1" w:themeFill="accent1" w:themeFillTint="33"/>
            <w:vAlign w:val="center"/>
          </w:tcPr>
          <w:p w14:paraId="4C97CB30" w14:textId="77777777" w:rsidR="009A19CD" w:rsidRPr="00A51748" w:rsidRDefault="009A19CD" w:rsidP="006D6DCD">
            <w:pPr>
              <w:rPr>
                <w:rFonts w:cs="Times New Roman"/>
                <w:i/>
                <w:sz w:val="20"/>
                <w:szCs w:val="20"/>
              </w:rPr>
            </w:pPr>
            <w:r w:rsidRPr="00A51748">
              <w:rPr>
                <w:rFonts w:cs="Times New Roman"/>
                <w:i/>
                <w:sz w:val="20"/>
                <w:szCs w:val="20"/>
              </w:rPr>
              <w:t>Pelagic provinces</w:t>
            </w:r>
          </w:p>
        </w:tc>
        <w:tc>
          <w:tcPr>
            <w:tcW w:w="1188" w:type="dxa"/>
            <w:tcBorders>
              <w:top w:val="single" w:sz="8" w:space="0" w:color="auto"/>
              <w:left w:val="single" w:sz="8" w:space="0" w:color="auto"/>
            </w:tcBorders>
            <w:shd w:val="clear" w:color="auto" w:fill="DBE5F1" w:themeFill="accent1" w:themeFillTint="33"/>
            <w:vAlign w:val="center"/>
          </w:tcPr>
          <w:p w14:paraId="765AE0E7" w14:textId="77777777" w:rsidR="009A19CD" w:rsidRPr="00A51748" w:rsidRDefault="009A19CD" w:rsidP="006D6DCD">
            <w:pPr>
              <w:rPr>
                <w:rFonts w:cs="Times New Roman"/>
                <w:sz w:val="20"/>
                <w:szCs w:val="20"/>
              </w:rPr>
            </w:pPr>
          </w:p>
        </w:tc>
        <w:tc>
          <w:tcPr>
            <w:tcW w:w="1087" w:type="dxa"/>
            <w:tcBorders>
              <w:top w:val="single" w:sz="8" w:space="0" w:color="auto"/>
              <w:right w:val="single" w:sz="8" w:space="0" w:color="auto"/>
            </w:tcBorders>
            <w:shd w:val="clear" w:color="auto" w:fill="DBE5F1" w:themeFill="accent1" w:themeFillTint="33"/>
            <w:vAlign w:val="center"/>
          </w:tcPr>
          <w:p w14:paraId="1772F069" w14:textId="77777777" w:rsidR="009A19CD" w:rsidRPr="00A51748" w:rsidRDefault="009A19CD" w:rsidP="006D6DCD">
            <w:pPr>
              <w:rPr>
                <w:rFonts w:cs="Times New Roman"/>
                <w:sz w:val="20"/>
                <w:szCs w:val="20"/>
              </w:rPr>
            </w:pPr>
          </w:p>
        </w:tc>
        <w:tc>
          <w:tcPr>
            <w:tcW w:w="1188" w:type="dxa"/>
            <w:tcBorders>
              <w:top w:val="single" w:sz="8" w:space="0" w:color="auto"/>
              <w:left w:val="single" w:sz="8" w:space="0" w:color="auto"/>
            </w:tcBorders>
            <w:shd w:val="clear" w:color="auto" w:fill="DBE5F1" w:themeFill="accent1" w:themeFillTint="33"/>
            <w:vAlign w:val="center"/>
          </w:tcPr>
          <w:p w14:paraId="2F7DB49A" w14:textId="77777777" w:rsidR="009A19CD" w:rsidRPr="00A51748" w:rsidRDefault="009A19CD" w:rsidP="006D6DCD">
            <w:pPr>
              <w:rPr>
                <w:rFonts w:cs="Times New Roman"/>
                <w:sz w:val="20"/>
                <w:szCs w:val="20"/>
              </w:rPr>
            </w:pPr>
          </w:p>
        </w:tc>
        <w:tc>
          <w:tcPr>
            <w:tcW w:w="1188" w:type="dxa"/>
            <w:tcBorders>
              <w:top w:val="single" w:sz="8" w:space="0" w:color="auto"/>
              <w:right w:val="single" w:sz="8" w:space="0" w:color="auto"/>
            </w:tcBorders>
            <w:shd w:val="clear" w:color="auto" w:fill="DBE5F1" w:themeFill="accent1" w:themeFillTint="33"/>
            <w:vAlign w:val="center"/>
          </w:tcPr>
          <w:p w14:paraId="0486443A" w14:textId="77777777" w:rsidR="009A19CD" w:rsidRPr="00A51748" w:rsidRDefault="009A19CD" w:rsidP="006D6DCD">
            <w:pPr>
              <w:rPr>
                <w:rFonts w:cs="Times New Roman"/>
                <w:sz w:val="20"/>
                <w:szCs w:val="20"/>
              </w:rPr>
            </w:pPr>
          </w:p>
        </w:tc>
        <w:tc>
          <w:tcPr>
            <w:tcW w:w="1188" w:type="dxa"/>
            <w:tcBorders>
              <w:top w:val="single" w:sz="8" w:space="0" w:color="auto"/>
              <w:left w:val="single" w:sz="8" w:space="0" w:color="auto"/>
            </w:tcBorders>
            <w:shd w:val="clear" w:color="auto" w:fill="D9D9D9" w:themeFill="background1" w:themeFillShade="D9"/>
            <w:vAlign w:val="center"/>
          </w:tcPr>
          <w:p w14:paraId="2DF4151A" w14:textId="77777777" w:rsidR="009A19CD" w:rsidRPr="00A51748" w:rsidRDefault="009A19CD" w:rsidP="006D6DCD">
            <w:pPr>
              <w:rPr>
                <w:rFonts w:cs="Times New Roman"/>
                <w:sz w:val="20"/>
                <w:szCs w:val="20"/>
              </w:rPr>
            </w:pPr>
          </w:p>
        </w:tc>
        <w:tc>
          <w:tcPr>
            <w:tcW w:w="1324" w:type="dxa"/>
            <w:tcBorders>
              <w:top w:val="single" w:sz="8" w:space="0" w:color="auto"/>
              <w:right w:val="single" w:sz="12" w:space="0" w:color="auto"/>
            </w:tcBorders>
            <w:shd w:val="clear" w:color="auto" w:fill="D9D9D9" w:themeFill="background1" w:themeFillShade="D9"/>
            <w:vAlign w:val="center"/>
          </w:tcPr>
          <w:p w14:paraId="07DA4A7C" w14:textId="77777777" w:rsidR="009A19CD" w:rsidRPr="00A51748" w:rsidRDefault="009A19CD" w:rsidP="006D6DCD">
            <w:pPr>
              <w:rPr>
                <w:rFonts w:cs="Times New Roman"/>
                <w:sz w:val="20"/>
                <w:szCs w:val="20"/>
              </w:rPr>
            </w:pPr>
          </w:p>
        </w:tc>
      </w:tr>
      <w:tr w:rsidR="009A19CD" w:rsidRPr="00A51748" w14:paraId="04F441FB" w14:textId="77777777" w:rsidTr="004E65E7">
        <w:trPr>
          <w:trHeight w:val="237"/>
        </w:trPr>
        <w:tc>
          <w:tcPr>
            <w:tcW w:w="2280" w:type="dxa"/>
            <w:tcBorders>
              <w:left w:val="single" w:sz="12" w:space="0" w:color="auto"/>
              <w:right w:val="single" w:sz="8" w:space="0" w:color="auto"/>
            </w:tcBorders>
            <w:shd w:val="clear" w:color="auto" w:fill="DBE5F1" w:themeFill="accent1" w:themeFillTint="33"/>
            <w:vAlign w:val="center"/>
          </w:tcPr>
          <w:p w14:paraId="22CCAD02" w14:textId="77777777" w:rsidR="009A19CD" w:rsidRPr="00A51748" w:rsidRDefault="009A19CD" w:rsidP="006D6DCD">
            <w:pPr>
              <w:rPr>
                <w:rFonts w:cs="Times New Roman"/>
                <w:b/>
                <w:sz w:val="20"/>
                <w:szCs w:val="20"/>
              </w:rPr>
            </w:pPr>
            <w:r w:rsidRPr="00A51748">
              <w:rPr>
                <w:rFonts w:cs="Times New Roman"/>
                <w:b/>
                <w:sz w:val="20"/>
                <w:szCs w:val="20"/>
              </w:rPr>
              <w:t>2014</w:t>
            </w:r>
            <w:r w:rsidRPr="00A51748">
              <w:rPr>
                <w:rStyle w:val="FootnoteReference"/>
                <w:rFonts w:cs="Times New Roman"/>
                <w:i/>
                <w:sz w:val="20"/>
                <w:szCs w:val="20"/>
              </w:rPr>
              <w:footnoteReference w:id="32"/>
            </w:r>
          </w:p>
        </w:tc>
        <w:tc>
          <w:tcPr>
            <w:tcW w:w="1188" w:type="dxa"/>
            <w:tcBorders>
              <w:left w:val="single" w:sz="8" w:space="0" w:color="auto"/>
            </w:tcBorders>
            <w:shd w:val="clear" w:color="auto" w:fill="DBE5F1" w:themeFill="accent1" w:themeFillTint="33"/>
            <w:vAlign w:val="center"/>
          </w:tcPr>
          <w:p w14:paraId="2115FA06" w14:textId="77777777" w:rsidR="009A19CD" w:rsidRPr="00A51748" w:rsidRDefault="009A19CD" w:rsidP="006D6DCD">
            <w:pPr>
              <w:rPr>
                <w:rFonts w:cs="Times New Roman"/>
                <w:sz w:val="20"/>
                <w:szCs w:val="20"/>
              </w:rPr>
            </w:pPr>
            <w:r w:rsidRPr="00A51748">
              <w:rPr>
                <w:rFonts w:cs="Times New Roman"/>
                <w:sz w:val="20"/>
                <w:szCs w:val="20"/>
              </w:rPr>
              <w:t>16 (43%)</w:t>
            </w:r>
          </w:p>
        </w:tc>
        <w:tc>
          <w:tcPr>
            <w:tcW w:w="1087" w:type="dxa"/>
            <w:tcBorders>
              <w:right w:val="single" w:sz="8" w:space="0" w:color="auto"/>
            </w:tcBorders>
            <w:shd w:val="clear" w:color="auto" w:fill="DBE5F1" w:themeFill="accent1" w:themeFillTint="33"/>
            <w:vAlign w:val="center"/>
          </w:tcPr>
          <w:p w14:paraId="632578EA" w14:textId="77777777" w:rsidR="009A19CD" w:rsidRPr="00A51748" w:rsidRDefault="009A19CD" w:rsidP="006D6DCD">
            <w:pPr>
              <w:rPr>
                <w:rFonts w:cs="Times New Roman"/>
                <w:sz w:val="20"/>
                <w:szCs w:val="20"/>
              </w:rPr>
            </w:pPr>
            <w:r w:rsidRPr="00A51748">
              <w:rPr>
                <w:rFonts w:cs="Times New Roman"/>
                <w:sz w:val="20"/>
                <w:szCs w:val="20"/>
              </w:rPr>
              <w:t>50.0%</w:t>
            </w:r>
          </w:p>
        </w:tc>
        <w:tc>
          <w:tcPr>
            <w:tcW w:w="1188" w:type="dxa"/>
            <w:tcBorders>
              <w:left w:val="single" w:sz="8" w:space="0" w:color="auto"/>
            </w:tcBorders>
            <w:shd w:val="clear" w:color="auto" w:fill="DBE5F1" w:themeFill="accent1" w:themeFillTint="33"/>
            <w:vAlign w:val="center"/>
          </w:tcPr>
          <w:p w14:paraId="2F9CA6D0" w14:textId="77777777" w:rsidR="009A19CD" w:rsidRPr="00A51748" w:rsidRDefault="009A19CD" w:rsidP="006D6DCD">
            <w:pPr>
              <w:rPr>
                <w:rFonts w:cs="Times New Roman"/>
                <w:sz w:val="20"/>
                <w:szCs w:val="20"/>
              </w:rPr>
            </w:pPr>
            <w:r w:rsidRPr="00A51748">
              <w:rPr>
                <w:rFonts w:cs="Times New Roman"/>
                <w:sz w:val="20"/>
                <w:szCs w:val="20"/>
              </w:rPr>
              <w:t>2 (5%)</w:t>
            </w:r>
          </w:p>
        </w:tc>
        <w:tc>
          <w:tcPr>
            <w:tcW w:w="1188" w:type="dxa"/>
            <w:tcBorders>
              <w:right w:val="single" w:sz="8" w:space="0" w:color="auto"/>
            </w:tcBorders>
            <w:shd w:val="clear" w:color="auto" w:fill="DBE5F1" w:themeFill="accent1" w:themeFillTint="33"/>
            <w:vAlign w:val="center"/>
          </w:tcPr>
          <w:p w14:paraId="27B8526E" w14:textId="77777777" w:rsidR="009A19CD" w:rsidRPr="00A51748" w:rsidRDefault="009A19CD" w:rsidP="006D6DCD">
            <w:pPr>
              <w:rPr>
                <w:rFonts w:cs="Times New Roman"/>
                <w:sz w:val="20"/>
                <w:szCs w:val="20"/>
              </w:rPr>
            </w:pPr>
            <w:r w:rsidRPr="00A51748">
              <w:rPr>
                <w:rFonts w:cs="Times New Roman"/>
                <w:sz w:val="20"/>
                <w:szCs w:val="20"/>
              </w:rPr>
              <w:t>19.7%</w:t>
            </w:r>
          </w:p>
        </w:tc>
        <w:tc>
          <w:tcPr>
            <w:tcW w:w="1188" w:type="dxa"/>
            <w:tcBorders>
              <w:left w:val="single" w:sz="8" w:space="0" w:color="auto"/>
            </w:tcBorders>
            <w:shd w:val="clear" w:color="auto" w:fill="D9D9D9" w:themeFill="background1" w:themeFillShade="D9"/>
            <w:vAlign w:val="center"/>
          </w:tcPr>
          <w:p w14:paraId="653F09C5" w14:textId="77777777" w:rsidR="009A19CD" w:rsidRPr="00A51748" w:rsidRDefault="009A19CD" w:rsidP="006D6DCD">
            <w:pPr>
              <w:rPr>
                <w:rFonts w:cs="Times New Roman"/>
                <w:sz w:val="20"/>
                <w:szCs w:val="20"/>
              </w:rPr>
            </w:pPr>
          </w:p>
        </w:tc>
        <w:tc>
          <w:tcPr>
            <w:tcW w:w="1324" w:type="dxa"/>
            <w:tcBorders>
              <w:right w:val="single" w:sz="12" w:space="0" w:color="auto"/>
            </w:tcBorders>
            <w:shd w:val="clear" w:color="auto" w:fill="D9D9D9" w:themeFill="background1" w:themeFillShade="D9"/>
            <w:vAlign w:val="center"/>
          </w:tcPr>
          <w:p w14:paraId="3E66B32B" w14:textId="77777777" w:rsidR="009A19CD" w:rsidRPr="00A51748" w:rsidRDefault="009A19CD" w:rsidP="006D6DCD">
            <w:pPr>
              <w:rPr>
                <w:rFonts w:cs="Times New Roman"/>
                <w:sz w:val="20"/>
                <w:szCs w:val="20"/>
              </w:rPr>
            </w:pPr>
          </w:p>
        </w:tc>
      </w:tr>
      <w:tr w:rsidR="009A19CD" w:rsidRPr="00A51748" w14:paraId="39C30551" w14:textId="77777777" w:rsidTr="004E65E7">
        <w:trPr>
          <w:trHeight w:val="237"/>
        </w:trPr>
        <w:tc>
          <w:tcPr>
            <w:tcW w:w="2280" w:type="dxa"/>
            <w:tcBorders>
              <w:left w:val="single" w:sz="12" w:space="0" w:color="auto"/>
              <w:bottom w:val="single" w:sz="12" w:space="0" w:color="auto"/>
              <w:right w:val="single" w:sz="8" w:space="0" w:color="auto"/>
            </w:tcBorders>
            <w:shd w:val="clear" w:color="auto" w:fill="DBE5F1" w:themeFill="accent1" w:themeFillTint="33"/>
            <w:vAlign w:val="center"/>
          </w:tcPr>
          <w:p w14:paraId="2993E6FE" w14:textId="77777777" w:rsidR="009A19CD" w:rsidRPr="00A51748" w:rsidRDefault="009A19CD" w:rsidP="006D6DCD">
            <w:pPr>
              <w:rPr>
                <w:rFonts w:cs="Times New Roman"/>
                <w:sz w:val="20"/>
                <w:szCs w:val="20"/>
              </w:rPr>
            </w:pPr>
            <w:r w:rsidRPr="00A51748">
              <w:rPr>
                <w:rFonts w:cs="Times New Roman"/>
                <w:b/>
                <w:sz w:val="20"/>
                <w:szCs w:val="20"/>
              </w:rPr>
              <w:t>2019</w:t>
            </w:r>
          </w:p>
        </w:tc>
        <w:tc>
          <w:tcPr>
            <w:tcW w:w="1188" w:type="dxa"/>
            <w:tcBorders>
              <w:left w:val="single" w:sz="8" w:space="0" w:color="auto"/>
              <w:bottom w:val="single" w:sz="12" w:space="0" w:color="auto"/>
            </w:tcBorders>
            <w:shd w:val="clear" w:color="auto" w:fill="DBE5F1" w:themeFill="accent1" w:themeFillTint="33"/>
            <w:vAlign w:val="center"/>
          </w:tcPr>
          <w:p w14:paraId="2A116994" w14:textId="77777777" w:rsidR="009A19CD" w:rsidRPr="00A51748" w:rsidRDefault="009A19CD" w:rsidP="006D6DCD">
            <w:pPr>
              <w:rPr>
                <w:rFonts w:cs="Times New Roman"/>
                <w:sz w:val="20"/>
                <w:szCs w:val="20"/>
              </w:rPr>
            </w:pPr>
            <w:r w:rsidRPr="00A51748">
              <w:rPr>
                <w:rFonts w:cs="Times New Roman"/>
                <w:sz w:val="20"/>
                <w:szCs w:val="20"/>
              </w:rPr>
              <w:t>24 (65%)</w:t>
            </w:r>
          </w:p>
        </w:tc>
        <w:tc>
          <w:tcPr>
            <w:tcW w:w="1087" w:type="dxa"/>
            <w:tcBorders>
              <w:bottom w:val="single" w:sz="12" w:space="0" w:color="auto"/>
              <w:right w:val="single" w:sz="8" w:space="0" w:color="auto"/>
            </w:tcBorders>
            <w:shd w:val="clear" w:color="auto" w:fill="DBE5F1" w:themeFill="accent1" w:themeFillTint="33"/>
            <w:vAlign w:val="center"/>
          </w:tcPr>
          <w:p w14:paraId="790C1B4B" w14:textId="77777777" w:rsidR="009A19CD" w:rsidRPr="00A51748" w:rsidRDefault="009A19CD" w:rsidP="006D6DCD">
            <w:pPr>
              <w:rPr>
                <w:rFonts w:cs="Times New Roman"/>
                <w:sz w:val="20"/>
                <w:szCs w:val="20"/>
              </w:rPr>
            </w:pPr>
            <w:r w:rsidRPr="00A51748">
              <w:rPr>
                <w:rFonts w:cs="Times New Roman"/>
                <w:sz w:val="20"/>
                <w:szCs w:val="20"/>
              </w:rPr>
              <w:t>73.0%</w:t>
            </w:r>
          </w:p>
        </w:tc>
        <w:tc>
          <w:tcPr>
            <w:tcW w:w="1188" w:type="dxa"/>
            <w:tcBorders>
              <w:left w:val="single" w:sz="8" w:space="0" w:color="auto"/>
              <w:bottom w:val="single" w:sz="12" w:space="0" w:color="auto"/>
            </w:tcBorders>
            <w:shd w:val="clear" w:color="auto" w:fill="DBE5F1" w:themeFill="accent1" w:themeFillTint="33"/>
            <w:vAlign w:val="center"/>
          </w:tcPr>
          <w:p w14:paraId="608005DA" w14:textId="77777777" w:rsidR="009A19CD" w:rsidRPr="00A51748" w:rsidRDefault="009A19CD" w:rsidP="006D6DCD">
            <w:pPr>
              <w:rPr>
                <w:rFonts w:cs="Times New Roman"/>
                <w:sz w:val="20"/>
                <w:szCs w:val="20"/>
              </w:rPr>
            </w:pPr>
            <w:r w:rsidRPr="00A51748">
              <w:rPr>
                <w:rFonts w:cs="Times New Roman"/>
                <w:sz w:val="20"/>
                <w:szCs w:val="20"/>
              </w:rPr>
              <w:t>4 (11%)</w:t>
            </w:r>
          </w:p>
        </w:tc>
        <w:tc>
          <w:tcPr>
            <w:tcW w:w="1188" w:type="dxa"/>
            <w:tcBorders>
              <w:bottom w:val="single" w:sz="12" w:space="0" w:color="auto"/>
              <w:right w:val="single" w:sz="8" w:space="0" w:color="auto"/>
            </w:tcBorders>
            <w:shd w:val="clear" w:color="auto" w:fill="DBE5F1" w:themeFill="accent1" w:themeFillTint="33"/>
            <w:vAlign w:val="center"/>
          </w:tcPr>
          <w:p w14:paraId="2A6D74E8" w14:textId="77777777" w:rsidR="009A19CD" w:rsidRPr="00A51748" w:rsidRDefault="009A19CD" w:rsidP="006D6DCD">
            <w:pPr>
              <w:rPr>
                <w:rFonts w:cs="Times New Roman"/>
                <w:sz w:val="20"/>
                <w:szCs w:val="20"/>
              </w:rPr>
            </w:pPr>
            <w:r w:rsidRPr="00A51748">
              <w:rPr>
                <w:rFonts w:cs="Times New Roman"/>
                <w:sz w:val="20"/>
                <w:szCs w:val="20"/>
              </w:rPr>
              <w:t>40.6%</w:t>
            </w:r>
          </w:p>
        </w:tc>
        <w:tc>
          <w:tcPr>
            <w:tcW w:w="1188" w:type="dxa"/>
            <w:tcBorders>
              <w:left w:val="single" w:sz="8" w:space="0" w:color="auto"/>
              <w:bottom w:val="single" w:sz="12" w:space="0" w:color="auto"/>
            </w:tcBorders>
            <w:shd w:val="clear" w:color="auto" w:fill="D9D9D9" w:themeFill="background1" w:themeFillShade="D9"/>
            <w:vAlign w:val="center"/>
          </w:tcPr>
          <w:p w14:paraId="442AB3A9" w14:textId="77777777" w:rsidR="009A19CD" w:rsidRPr="00A51748" w:rsidRDefault="009A19CD" w:rsidP="006D6DCD">
            <w:pPr>
              <w:rPr>
                <w:rFonts w:cs="Times New Roman"/>
                <w:sz w:val="20"/>
                <w:szCs w:val="20"/>
              </w:rPr>
            </w:pPr>
          </w:p>
        </w:tc>
        <w:tc>
          <w:tcPr>
            <w:tcW w:w="1324" w:type="dxa"/>
            <w:tcBorders>
              <w:bottom w:val="single" w:sz="12" w:space="0" w:color="auto"/>
              <w:right w:val="single" w:sz="12" w:space="0" w:color="auto"/>
            </w:tcBorders>
            <w:shd w:val="clear" w:color="auto" w:fill="D9D9D9" w:themeFill="background1" w:themeFillShade="D9"/>
            <w:vAlign w:val="center"/>
          </w:tcPr>
          <w:p w14:paraId="353B29E5" w14:textId="77777777" w:rsidR="009A19CD" w:rsidRPr="00A51748" w:rsidRDefault="009A19CD" w:rsidP="006D6DCD">
            <w:pPr>
              <w:rPr>
                <w:rFonts w:cs="Times New Roman"/>
                <w:sz w:val="20"/>
                <w:szCs w:val="20"/>
              </w:rPr>
            </w:pPr>
          </w:p>
        </w:tc>
      </w:tr>
    </w:tbl>
    <w:p w14:paraId="09AFC713" w14:textId="77777777" w:rsidR="00DF3CCC" w:rsidRPr="00A51748" w:rsidRDefault="00DF3CCC" w:rsidP="006D6DCD">
      <w:pPr>
        <w:pStyle w:val="Para1"/>
        <w:numPr>
          <w:ilvl w:val="0"/>
          <w:numId w:val="14"/>
        </w:numPr>
        <w:spacing w:before="0"/>
        <w:ind w:left="0" w:firstLine="0"/>
        <w:rPr>
          <w:rFonts w:cs="Times New Roman"/>
        </w:rPr>
      </w:pPr>
      <w:r w:rsidRPr="00A51748">
        <w:rPr>
          <w:rFonts w:cs="Times New Roman"/>
        </w:rPr>
        <w:t>Another approach to assessing ecological representation could involve the assessment of species’ representation within protected areas.</w:t>
      </w:r>
      <w:r w:rsidRPr="00A51748">
        <w:rPr>
          <w:rStyle w:val="FootnoteReference"/>
          <w:rFonts w:cs="Times New Roman"/>
        </w:rPr>
        <w:footnoteReference w:id="33"/>
      </w:r>
      <w:r w:rsidRPr="00A51748">
        <w:rPr>
          <w:rFonts w:cs="Times New Roman"/>
        </w:rPr>
        <w:t xml:space="preserve"> </w:t>
      </w:r>
      <w:r w:rsidR="00C9744C" w:rsidRPr="00A51748">
        <w:rPr>
          <w:rFonts w:cs="Times New Roman"/>
        </w:rPr>
        <w:t xml:space="preserve">For example, </w:t>
      </w:r>
      <w:r w:rsidR="00013413" w:rsidRPr="00A51748">
        <w:rPr>
          <w:rFonts w:cs="Times New Roman"/>
        </w:rPr>
        <w:t xml:space="preserve">in 2015 </w:t>
      </w:r>
      <w:r w:rsidR="00C9744C" w:rsidRPr="00A51748">
        <w:rPr>
          <w:rFonts w:cs="Times New Roman"/>
        </w:rPr>
        <w:t xml:space="preserve">less than 10% of </w:t>
      </w:r>
      <w:r w:rsidR="00C9744C" w:rsidRPr="00A51748">
        <w:rPr>
          <w:rFonts w:cs="Times New Roman"/>
          <w:lang w:val="en-CA"/>
        </w:rPr>
        <w:t xml:space="preserve">migratory birds </w:t>
      </w:r>
      <w:r w:rsidR="00013413" w:rsidRPr="00A51748">
        <w:rPr>
          <w:rFonts w:cs="Times New Roman"/>
          <w:lang w:val="en-CA"/>
        </w:rPr>
        <w:t>were</w:t>
      </w:r>
      <w:r w:rsidR="00C9744C" w:rsidRPr="00A51748">
        <w:rPr>
          <w:rFonts w:cs="Times New Roman"/>
          <w:lang w:val="en-CA"/>
        </w:rPr>
        <w:t xml:space="preserve"> adequately covered </w:t>
      </w:r>
      <w:r w:rsidR="00013413" w:rsidRPr="00A51748">
        <w:rPr>
          <w:rFonts w:cs="Times New Roman"/>
          <w:lang w:val="en-CA"/>
        </w:rPr>
        <w:t>across all stages of their annual cycle</w:t>
      </w:r>
      <w:r w:rsidR="00013413" w:rsidRPr="00A51748">
        <w:rPr>
          <w:rFonts w:cs="Times New Roman"/>
        </w:rPr>
        <w:t>.</w:t>
      </w:r>
      <w:r w:rsidR="00013413" w:rsidRPr="00A51748">
        <w:rPr>
          <w:rStyle w:val="FootnoteReference"/>
          <w:rFonts w:cs="Times New Roman"/>
        </w:rPr>
        <w:footnoteReference w:id="34"/>
      </w:r>
      <w:r w:rsidR="00013413" w:rsidRPr="00A51748">
        <w:rPr>
          <w:rFonts w:cs="Times New Roman"/>
        </w:rPr>
        <w:t xml:space="preserve"> </w:t>
      </w:r>
      <w:r w:rsidR="00013413" w:rsidRPr="00A51748">
        <w:rPr>
          <w:rFonts w:eastAsia="Times New Roman" w:cs="Times New Roman"/>
        </w:rPr>
        <w:t xml:space="preserve">In Russia, </w:t>
      </w:r>
      <w:r w:rsidR="00D24223" w:rsidRPr="00A51748">
        <w:rPr>
          <w:rFonts w:eastAsia="Times New Roman" w:cs="Times New Roman"/>
        </w:rPr>
        <w:t>all</w:t>
      </w:r>
      <w:r w:rsidR="00B91E5B" w:rsidRPr="00A51748">
        <w:rPr>
          <w:rFonts w:eastAsia="Times New Roman" w:cs="Times New Roman"/>
          <w:lang w:val="en-US"/>
        </w:rPr>
        <w:t xml:space="preserve"> vertebrate species </w:t>
      </w:r>
      <w:r w:rsidR="00BE2D8C" w:rsidRPr="00A51748">
        <w:rPr>
          <w:rFonts w:eastAsia="Times New Roman" w:cs="Times New Roman"/>
          <w:lang w:val="en-US"/>
        </w:rPr>
        <w:t xml:space="preserve">inhabiting </w:t>
      </w:r>
      <w:r w:rsidR="00013413" w:rsidRPr="00A51748">
        <w:rPr>
          <w:rFonts w:eastAsia="Times New Roman" w:cs="Times New Roman"/>
          <w:lang w:val="en-US"/>
        </w:rPr>
        <w:t>the country</w:t>
      </w:r>
      <w:r w:rsidR="00BE2D8C" w:rsidRPr="00A51748">
        <w:rPr>
          <w:rFonts w:eastAsia="Times New Roman" w:cs="Times New Roman"/>
          <w:lang w:val="en-US"/>
        </w:rPr>
        <w:t xml:space="preserve"> (</w:t>
      </w:r>
      <w:r w:rsidR="00B91E5B" w:rsidRPr="00A51748">
        <w:rPr>
          <w:rFonts w:eastAsia="Times New Roman" w:cs="Times New Roman"/>
          <w:lang w:val="en-US"/>
        </w:rPr>
        <w:t xml:space="preserve">excluding </w:t>
      </w:r>
      <w:r w:rsidR="00BE2D8C" w:rsidRPr="00A51748">
        <w:rPr>
          <w:rFonts w:eastAsia="Times New Roman" w:cs="Times New Roman"/>
          <w:lang w:val="en-US"/>
        </w:rPr>
        <w:t>occasional visitors</w:t>
      </w:r>
      <w:r w:rsidR="00B91E5B" w:rsidRPr="00A51748">
        <w:rPr>
          <w:rFonts w:eastAsia="Times New Roman" w:cs="Times New Roman"/>
          <w:lang w:val="en-US"/>
        </w:rPr>
        <w:t xml:space="preserve">) are represented within existing </w:t>
      </w:r>
      <w:r w:rsidR="00BE2D8C" w:rsidRPr="00A51748">
        <w:rPr>
          <w:rFonts w:eastAsia="Times New Roman" w:cs="Times New Roman"/>
          <w:lang w:val="en-US"/>
        </w:rPr>
        <w:t>protected</w:t>
      </w:r>
      <w:r w:rsidR="00013413" w:rsidRPr="00A51748">
        <w:rPr>
          <w:rFonts w:eastAsia="Times New Roman" w:cs="Times New Roman"/>
          <w:lang w:val="en-US"/>
        </w:rPr>
        <w:t xml:space="preserve"> areas, </w:t>
      </w:r>
      <w:r w:rsidR="00B91E5B" w:rsidRPr="00A51748">
        <w:rPr>
          <w:rFonts w:eastAsia="Times New Roman" w:cs="Times New Roman"/>
          <w:lang w:val="en-US"/>
        </w:rPr>
        <w:t>and 97% are found in federal</w:t>
      </w:r>
      <w:r w:rsidR="00BE2D8C" w:rsidRPr="00A51748">
        <w:rPr>
          <w:rFonts w:eastAsia="Times New Roman" w:cs="Times New Roman"/>
          <w:lang w:val="en-US"/>
        </w:rPr>
        <w:t>-</w:t>
      </w:r>
      <w:r w:rsidR="00B91E5B" w:rsidRPr="00A51748">
        <w:rPr>
          <w:rFonts w:eastAsia="Times New Roman" w:cs="Times New Roman"/>
          <w:lang w:val="en-US"/>
        </w:rPr>
        <w:t xml:space="preserve">level </w:t>
      </w:r>
      <w:r w:rsidR="00BE2D8C" w:rsidRPr="00A51748">
        <w:rPr>
          <w:rFonts w:eastAsia="Times New Roman" w:cs="Times New Roman"/>
          <w:lang w:val="en-US"/>
        </w:rPr>
        <w:t>protected areas</w:t>
      </w:r>
      <w:r w:rsidR="00B91E5B" w:rsidRPr="00A51748">
        <w:rPr>
          <w:rFonts w:eastAsia="Times New Roman" w:cs="Times New Roman"/>
          <w:lang w:val="en-US"/>
        </w:rPr>
        <w:t>.</w:t>
      </w:r>
      <w:r w:rsidR="00B91E5B" w:rsidRPr="00A51748">
        <w:rPr>
          <w:rStyle w:val="FootnoteReference"/>
          <w:rFonts w:eastAsia="Times New Roman" w:cs="Times New Roman"/>
          <w:lang w:val="en-US"/>
        </w:rPr>
        <w:footnoteReference w:id="35"/>
      </w:r>
      <w:r w:rsidR="00DC7B48" w:rsidRPr="00A51748">
        <w:rPr>
          <w:rFonts w:eastAsia="Times New Roman" w:cs="Times New Roman"/>
          <w:lang w:val="en-US"/>
        </w:rPr>
        <w:t xml:space="preserve"> </w:t>
      </w:r>
      <w:r w:rsidRPr="00A51748">
        <w:rPr>
          <w:rFonts w:cs="Times New Roman"/>
        </w:rPr>
        <w:t xml:space="preserve">A complementary indicator for assessing the ‘ecologically representative’ element of Target 11 is the PARC-representativeness index, developed by CSIRO, and collaborators (GEO BON, GBIF, Map of Life). It operates at finer resolution than ecoregion-based assessments, and is based on modelling the relationships between spatial turnover in biodiversity composition (for plants, vertebrates and invertebrates) and fine-scaled environmental variation in temperature, evaporation, water deficit and other variables. The most recent global </w:t>
      </w:r>
      <w:r w:rsidR="00DC7B48" w:rsidRPr="00A51748">
        <w:rPr>
          <w:rFonts w:cs="Times New Roman"/>
        </w:rPr>
        <w:t>results</w:t>
      </w:r>
      <w:r w:rsidRPr="00A51748">
        <w:rPr>
          <w:rFonts w:cs="Times New Roman"/>
        </w:rPr>
        <w:t xml:space="preserve">, </w:t>
      </w:r>
      <w:r w:rsidR="00013413" w:rsidRPr="00A51748">
        <w:rPr>
          <w:rFonts w:cs="Times New Roman"/>
        </w:rPr>
        <w:t xml:space="preserve">with a value </w:t>
      </w:r>
      <w:r w:rsidRPr="00A51748">
        <w:rPr>
          <w:rFonts w:cs="Times New Roman"/>
        </w:rPr>
        <w:t>approaching 0.1, indicate that a large proportion of the world’s relatively unique environments, and their associated biotas, have less than 10% of their extent included in protected areas.</w:t>
      </w:r>
      <w:r w:rsidRPr="00A51748">
        <w:rPr>
          <w:rStyle w:val="FootnoteReference"/>
          <w:rFonts w:cs="Times New Roman"/>
        </w:rPr>
        <w:footnoteReference w:id="36"/>
      </w:r>
    </w:p>
    <w:p w14:paraId="3774E4CB" w14:textId="77777777" w:rsidR="0099440F" w:rsidRPr="00A51748" w:rsidRDefault="0099440F" w:rsidP="006D6DCD">
      <w:pPr>
        <w:pStyle w:val="Heading4"/>
        <w:spacing w:before="0"/>
        <w:jc w:val="both"/>
      </w:pPr>
      <w:r w:rsidRPr="00A51748">
        <w:t>(ii) Areas important for biodiversity</w:t>
      </w:r>
    </w:p>
    <w:p w14:paraId="1A79FEC3" w14:textId="77777777" w:rsidR="00C911F7" w:rsidRPr="00A51748" w:rsidRDefault="0033662C" w:rsidP="006D6DCD">
      <w:pPr>
        <w:pStyle w:val="Para1"/>
        <w:numPr>
          <w:ilvl w:val="0"/>
          <w:numId w:val="14"/>
        </w:numPr>
        <w:spacing w:before="0"/>
        <w:ind w:left="0" w:firstLine="0"/>
        <w:rPr>
          <w:rFonts w:cs="Times New Roman"/>
        </w:rPr>
      </w:pPr>
      <w:r w:rsidRPr="00A51748">
        <w:rPr>
          <w:rFonts w:cs="Times New Roman"/>
        </w:rPr>
        <w:t xml:space="preserve">Protected area coverage of </w:t>
      </w:r>
      <w:r w:rsidR="00E16BAE" w:rsidRPr="00A51748">
        <w:rPr>
          <w:rFonts w:cs="Times New Roman"/>
        </w:rPr>
        <w:t>K</w:t>
      </w:r>
      <w:r w:rsidRPr="00A51748">
        <w:rPr>
          <w:rFonts w:cs="Times New Roman"/>
        </w:rPr>
        <w:t xml:space="preserve">ey </w:t>
      </w:r>
      <w:r w:rsidR="00E16BAE" w:rsidRPr="00A51748">
        <w:rPr>
          <w:rFonts w:cs="Times New Roman"/>
        </w:rPr>
        <w:t>B</w:t>
      </w:r>
      <w:r w:rsidRPr="00A51748">
        <w:rPr>
          <w:rFonts w:cs="Times New Roman"/>
        </w:rPr>
        <w:t xml:space="preserve">iodiversity </w:t>
      </w:r>
      <w:r w:rsidR="00E16BAE" w:rsidRPr="00A51748">
        <w:rPr>
          <w:rFonts w:cs="Times New Roman"/>
        </w:rPr>
        <w:t>A</w:t>
      </w:r>
      <w:r w:rsidRPr="00A51748">
        <w:rPr>
          <w:rFonts w:cs="Times New Roman"/>
        </w:rPr>
        <w:t>reas (</w:t>
      </w:r>
      <w:r w:rsidR="0099588F" w:rsidRPr="00A51748">
        <w:rPr>
          <w:rFonts w:cs="Times New Roman"/>
        </w:rPr>
        <w:t>KBAs</w:t>
      </w:r>
      <w:r w:rsidRPr="00A51748">
        <w:rPr>
          <w:rFonts w:cs="Times New Roman"/>
        </w:rPr>
        <w:t xml:space="preserve">) provides one proxy for assessing </w:t>
      </w:r>
      <w:r w:rsidR="0052168B" w:rsidRPr="00A51748">
        <w:rPr>
          <w:rFonts w:cs="Times New Roman"/>
        </w:rPr>
        <w:t xml:space="preserve">the conservation of </w:t>
      </w:r>
      <w:r w:rsidRPr="00A51748">
        <w:rPr>
          <w:rFonts w:cs="Times New Roman"/>
        </w:rPr>
        <w:t>areas important for biodiversity</w:t>
      </w:r>
      <w:r w:rsidR="0052168B" w:rsidRPr="00A51748">
        <w:rPr>
          <w:rFonts w:cs="Times New Roman"/>
        </w:rPr>
        <w:t xml:space="preserve">. KBAs </w:t>
      </w:r>
      <w:r w:rsidR="00F97F70" w:rsidRPr="00A51748">
        <w:rPr>
          <w:rFonts w:cs="Times New Roman"/>
        </w:rPr>
        <w:t>are “sites that contribute significantly to the global persistence of biodiversity”, with globally agreed criteria for their identification provided in the IUCN’s Global Standard.</w:t>
      </w:r>
      <w:r w:rsidR="00F97F70" w:rsidRPr="00A51748">
        <w:rPr>
          <w:rStyle w:val="FootnoteReference"/>
          <w:rFonts w:cs="Times New Roman"/>
          <w:sz w:val="22"/>
        </w:rPr>
        <w:footnoteReference w:id="37"/>
      </w:r>
      <w:r w:rsidRPr="00A51748">
        <w:rPr>
          <w:rFonts w:cs="Times New Roman"/>
        </w:rPr>
        <w:t xml:space="preserve"> As of December 2018, </w:t>
      </w:r>
      <w:r w:rsidR="0080297B" w:rsidRPr="00A51748">
        <w:rPr>
          <w:rFonts w:cs="Times New Roman"/>
        </w:rPr>
        <w:t xml:space="preserve">out of 14,103 terrestrial KBAs, 2,731 </w:t>
      </w:r>
      <w:r w:rsidR="00AD5240" w:rsidRPr="00A51748">
        <w:rPr>
          <w:rFonts w:cs="Times New Roman"/>
        </w:rPr>
        <w:t xml:space="preserve">(19%) </w:t>
      </w:r>
      <w:r w:rsidR="0080297B" w:rsidRPr="00A51748">
        <w:rPr>
          <w:rFonts w:cs="Times New Roman"/>
        </w:rPr>
        <w:t xml:space="preserve">were fully covered by reported protected areas, while 4,792 </w:t>
      </w:r>
      <w:r w:rsidR="00AD5240" w:rsidRPr="00A51748">
        <w:rPr>
          <w:rFonts w:cs="Times New Roman"/>
        </w:rPr>
        <w:t xml:space="preserve">(34%) </w:t>
      </w:r>
      <w:r w:rsidR="0080297B" w:rsidRPr="00A51748">
        <w:rPr>
          <w:rFonts w:cs="Times New Roman"/>
        </w:rPr>
        <w:t>had no coverage</w:t>
      </w:r>
      <w:r w:rsidR="00BA4E5E" w:rsidRPr="00A51748">
        <w:rPr>
          <w:rFonts w:cs="Times New Roman"/>
        </w:rPr>
        <w:t xml:space="preserve"> (Fig. </w:t>
      </w:r>
      <w:r w:rsidR="00631FAF" w:rsidRPr="00A51748">
        <w:rPr>
          <w:rFonts w:cs="Times New Roman"/>
        </w:rPr>
        <w:t>4</w:t>
      </w:r>
      <w:r w:rsidR="00BA4E5E" w:rsidRPr="00A51748">
        <w:rPr>
          <w:rFonts w:cs="Times New Roman"/>
        </w:rPr>
        <w:t>a)</w:t>
      </w:r>
      <w:r w:rsidR="0080297B" w:rsidRPr="00A51748">
        <w:rPr>
          <w:rFonts w:cs="Times New Roman"/>
        </w:rPr>
        <w:t xml:space="preserve">. Out of 3,990 marine KBAs, 945 </w:t>
      </w:r>
      <w:r w:rsidR="00AD5240" w:rsidRPr="00A51748">
        <w:rPr>
          <w:rFonts w:cs="Times New Roman"/>
        </w:rPr>
        <w:t xml:space="preserve">(24%) </w:t>
      </w:r>
      <w:r w:rsidR="0080297B" w:rsidRPr="00A51748">
        <w:rPr>
          <w:rFonts w:cs="Times New Roman"/>
        </w:rPr>
        <w:t xml:space="preserve">were fully covered, while 1,456 </w:t>
      </w:r>
      <w:r w:rsidR="00AD5240" w:rsidRPr="00A51748">
        <w:rPr>
          <w:rFonts w:cs="Times New Roman"/>
        </w:rPr>
        <w:t xml:space="preserve">(36%) </w:t>
      </w:r>
      <w:r w:rsidR="0080297B" w:rsidRPr="00A51748">
        <w:rPr>
          <w:rFonts w:cs="Times New Roman"/>
        </w:rPr>
        <w:t>had no coverage</w:t>
      </w:r>
      <w:r w:rsidR="00BA4E5E" w:rsidRPr="00A51748">
        <w:rPr>
          <w:rFonts w:cs="Times New Roman"/>
        </w:rPr>
        <w:t xml:space="preserve"> (Fig. </w:t>
      </w:r>
      <w:r w:rsidR="001A4212" w:rsidRPr="00A51748">
        <w:rPr>
          <w:rFonts w:cs="Times New Roman"/>
        </w:rPr>
        <w:t>4</w:t>
      </w:r>
      <w:r w:rsidR="00BA4E5E" w:rsidRPr="00A51748">
        <w:rPr>
          <w:rFonts w:cs="Times New Roman"/>
        </w:rPr>
        <w:t>a).</w:t>
      </w:r>
      <w:r w:rsidR="0068226F" w:rsidRPr="00A51748">
        <w:rPr>
          <w:rFonts w:cs="Times New Roman"/>
        </w:rPr>
        <w:t xml:space="preserve"> Mean percent coverage of terrestrial KBAs </w:t>
      </w:r>
      <w:r w:rsidR="007D0389" w:rsidRPr="00A51748">
        <w:rPr>
          <w:rFonts w:cs="Times New Roman"/>
        </w:rPr>
        <w:t>is</w:t>
      </w:r>
      <w:r w:rsidR="0068226F" w:rsidRPr="00A51748">
        <w:rPr>
          <w:rFonts w:cs="Times New Roman"/>
        </w:rPr>
        <w:t xml:space="preserve"> 46.</w:t>
      </w:r>
      <w:r w:rsidR="00B94553" w:rsidRPr="00A51748">
        <w:rPr>
          <w:rFonts w:cs="Times New Roman"/>
        </w:rPr>
        <w:t>1</w:t>
      </w:r>
      <w:r w:rsidR="0068226F" w:rsidRPr="00A51748">
        <w:rPr>
          <w:rFonts w:cs="Times New Roman"/>
        </w:rPr>
        <w:t>%</w:t>
      </w:r>
      <w:r w:rsidR="0068226F" w:rsidRPr="00A51748">
        <w:rPr>
          <w:rFonts w:cs="Times New Roman"/>
          <w:b/>
        </w:rPr>
        <w:t>;</w:t>
      </w:r>
      <w:r w:rsidR="0068226F" w:rsidRPr="00A51748">
        <w:rPr>
          <w:rFonts w:cs="Times New Roman"/>
        </w:rPr>
        <w:t xml:space="preserve"> for marine KBAs mean coverage </w:t>
      </w:r>
      <w:r w:rsidR="007D0389" w:rsidRPr="00A51748">
        <w:rPr>
          <w:rFonts w:cs="Times New Roman"/>
        </w:rPr>
        <w:t>is</w:t>
      </w:r>
      <w:r w:rsidR="0068226F" w:rsidRPr="00A51748">
        <w:rPr>
          <w:rFonts w:cs="Times New Roman"/>
        </w:rPr>
        <w:t xml:space="preserve"> 45.</w:t>
      </w:r>
      <w:r w:rsidR="00AD5240" w:rsidRPr="00A51748">
        <w:rPr>
          <w:rFonts w:cs="Times New Roman"/>
        </w:rPr>
        <w:t>7</w:t>
      </w:r>
      <w:r w:rsidR="0068226F" w:rsidRPr="00A51748">
        <w:rPr>
          <w:rFonts w:cs="Times New Roman"/>
        </w:rPr>
        <w:t>%</w:t>
      </w:r>
      <w:r w:rsidR="007D0389" w:rsidRPr="00A51748">
        <w:rPr>
          <w:rFonts w:cs="Times New Roman"/>
        </w:rPr>
        <w:t>.</w:t>
      </w:r>
      <w:r w:rsidR="0068226F" w:rsidRPr="00A51748">
        <w:rPr>
          <w:rFonts w:cs="Times New Roman"/>
          <w:b/>
        </w:rPr>
        <w:t xml:space="preserve"> </w:t>
      </w:r>
      <w:r w:rsidR="002F02A2" w:rsidRPr="00A51748">
        <w:rPr>
          <w:rFonts w:cs="Times New Roman"/>
        </w:rPr>
        <w:t xml:space="preserve">There has been modest increase in the average coverage of KBAs </w:t>
      </w:r>
      <w:r w:rsidR="00B94553" w:rsidRPr="00A51748">
        <w:rPr>
          <w:rFonts w:cs="Times New Roman"/>
        </w:rPr>
        <w:t xml:space="preserve">since 2010, </w:t>
      </w:r>
      <w:r w:rsidR="002F02A2" w:rsidRPr="00A51748">
        <w:rPr>
          <w:rFonts w:cs="Times New Roman"/>
        </w:rPr>
        <w:t xml:space="preserve">with mean percent coverage for terrestrial KBAs </w:t>
      </w:r>
      <w:r w:rsidR="002F02A2" w:rsidRPr="00A51748">
        <w:rPr>
          <w:rFonts w:cs="Times New Roman"/>
        </w:rPr>
        <w:lastRenderedPageBreak/>
        <w:t xml:space="preserve">increasing from </w:t>
      </w:r>
      <w:r w:rsidR="00B94553" w:rsidRPr="00A51748">
        <w:rPr>
          <w:rFonts w:cs="Times New Roman"/>
        </w:rPr>
        <w:t xml:space="preserve">45.8 to </w:t>
      </w:r>
      <w:r w:rsidR="00264AE3" w:rsidRPr="00A51748">
        <w:rPr>
          <w:rFonts w:cs="Times New Roman"/>
        </w:rPr>
        <w:t>46.1</w:t>
      </w:r>
      <w:r w:rsidR="002F02A2" w:rsidRPr="00A51748">
        <w:rPr>
          <w:rFonts w:cs="Times New Roman"/>
        </w:rPr>
        <w:t xml:space="preserve">%, and coverage for marine KBAs increasing from </w:t>
      </w:r>
      <w:r w:rsidR="00AD5240" w:rsidRPr="00A51748">
        <w:rPr>
          <w:rFonts w:cs="Times New Roman"/>
        </w:rPr>
        <w:t>41.1</w:t>
      </w:r>
      <w:r w:rsidR="002F02A2" w:rsidRPr="00A51748">
        <w:rPr>
          <w:rFonts w:cs="Times New Roman"/>
        </w:rPr>
        <w:t xml:space="preserve"> to 45.7%</w:t>
      </w:r>
      <w:r w:rsidR="00264AE3" w:rsidRPr="00A51748">
        <w:rPr>
          <w:rFonts w:cs="Times New Roman"/>
        </w:rPr>
        <w:t xml:space="preserve"> (Fig. </w:t>
      </w:r>
      <w:r w:rsidR="00631FAF" w:rsidRPr="00A51748">
        <w:rPr>
          <w:rFonts w:cs="Times New Roman"/>
        </w:rPr>
        <w:t>4</w:t>
      </w:r>
      <w:r w:rsidR="00BA4E5E" w:rsidRPr="00A51748">
        <w:rPr>
          <w:rFonts w:cs="Times New Roman"/>
        </w:rPr>
        <w:t>b</w:t>
      </w:r>
      <w:r w:rsidR="00264AE3" w:rsidRPr="00A51748">
        <w:rPr>
          <w:rFonts w:cs="Times New Roman"/>
        </w:rPr>
        <w:t>).</w:t>
      </w:r>
      <w:r w:rsidR="00B94553" w:rsidRPr="00A51748">
        <w:rPr>
          <w:rStyle w:val="FootnoteReference"/>
          <w:rFonts w:cs="Times New Roman"/>
          <w:sz w:val="22"/>
        </w:rPr>
        <w:footnoteReference w:id="38"/>
      </w:r>
      <w:r w:rsidR="00CE7888" w:rsidRPr="00A51748">
        <w:rPr>
          <w:rFonts w:cs="Times New Roman"/>
        </w:rPr>
        <w:t xml:space="preserve"> </w:t>
      </w:r>
      <w:r w:rsidR="00E26C74" w:rsidRPr="00A51748">
        <w:rPr>
          <w:rFonts w:cs="Times New Roman"/>
        </w:rPr>
        <w:t>It is expected that recognition and reporting of OECMs would further increase this figure.</w:t>
      </w:r>
      <w:r w:rsidR="00456491" w:rsidRPr="00A51748">
        <w:rPr>
          <w:rFonts w:cs="Times New Roman"/>
        </w:rPr>
        <w:t xml:space="preserve"> For example, a recent study of KBAs in 10 countries shows that almost 80% of the 740 unprotected KBAs assessed were at least partly covered by one or more OECMs, and over half were completely covered.</w:t>
      </w:r>
      <w:r w:rsidR="00456491" w:rsidRPr="00A51748">
        <w:rPr>
          <w:rStyle w:val="FootnoteReference"/>
          <w:rFonts w:cs="Times New Roman"/>
        </w:rPr>
        <w:footnoteReference w:id="39"/>
      </w:r>
      <w:r w:rsidR="00456491" w:rsidRPr="00A51748">
        <w:rPr>
          <w:rFonts w:cs="Times New Roman"/>
        </w:rPr>
        <w:t xml:space="preserve"> </w:t>
      </w:r>
    </w:p>
    <w:p w14:paraId="552F4F76" w14:textId="77777777" w:rsidR="00F80EEF" w:rsidRPr="00A51748" w:rsidRDefault="00BA4E5E" w:rsidP="006D6DCD">
      <w:pPr>
        <w:pStyle w:val="Para1"/>
        <w:numPr>
          <w:ilvl w:val="0"/>
          <w:numId w:val="0"/>
        </w:numPr>
        <w:spacing w:before="0"/>
        <w:rPr>
          <w:rFonts w:cs="Times New Roman"/>
        </w:rPr>
      </w:pPr>
      <w:r w:rsidRPr="00A51748">
        <w:rPr>
          <w:rFonts w:cs="Times New Roman"/>
          <w:noProof/>
          <w:lang w:val="en-CA" w:eastAsia="en-CA"/>
        </w:rPr>
        <w:drawing>
          <wp:inline distT="0" distB="0" distL="0" distR="0" wp14:anchorId="2624A318" wp14:editId="66918FEE">
            <wp:extent cx="2350347" cy="2113280"/>
            <wp:effectExtent l="0" t="0" r="0" b="127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A51748">
        <w:rPr>
          <w:rFonts w:cs="Times New Roman"/>
          <w:noProof/>
          <w:lang w:val="en-CA" w:eastAsia="en-CA"/>
        </w:rPr>
        <w:t xml:space="preserve"> </w:t>
      </w:r>
      <w:r w:rsidR="00F80EEF" w:rsidRPr="00A51748">
        <w:rPr>
          <w:rFonts w:cs="Times New Roman"/>
          <w:noProof/>
          <w:lang w:val="en-CA" w:eastAsia="en-CA"/>
        </w:rPr>
        <w:drawing>
          <wp:inline distT="0" distB="0" distL="0" distR="0" wp14:anchorId="794B90D9" wp14:editId="6300CA8B">
            <wp:extent cx="3474720" cy="2113280"/>
            <wp:effectExtent l="0" t="0" r="0" b="12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1A4F31" w:rsidRPr="00A51748">
        <w:rPr>
          <w:rFonts w:cs="Times New Roman"/>
          <w:noProof/>
          <w:lang w:val="en-CA" w:eastAsia="en-CA"/>
        </w:rPr>
        <w:t xml:space="preserve"> </w:t>
      </w:r>
    </w:p>
    <w:p w14:paraId="13084CCB" w14:textId="77777777" w:rsidR="00C205CC" w:rsidRPr="00A51748" w:rsidRDefault="00C205CC" w:rsidP="006D6DCD">
      <w:pPr>
        <w:rPr>
          <w:rFonts w:cs="Times New Roman"/>
        </w:rPr>
      </w:pPr>
      <w:r w:rsidRPr="00A51748">
        <w:rPr>
          <w:rFonts w:cs="Times New Roman"/>
          <w:b/>
          <w:sz w:val="18"/>
        </w:rPr>
        <w:t xml:space="preserve">Figure </w:t>
      </w:r>
      <w:r w:rsidR="00631FAF" w:rsidRPr="00A51748">
        <w:rPr>
          <w:rFonts w:cs="Times New Roman"/>
          <w:b/>
          <w:sz w:val="18"/>
        </w:rPr>
        <w:t>4</w:t>
      </w:r>
      <w:r w:rsidRPr="00A51748">
        <w:rPr>
          <w:rFonts w:cs="Times New Roman"/>
          <w:b/>
          <w:sz w:val="18"/>
        </w:rPr>
        <w:t xml:space="preserve">. </w:t>
      </w:r>
      <w:r w:rsidR="00BA4E5E" w:rsidRPr="00A51748">
        <w:rPr>
          <w:rFonts w:cs="Times New Roman"/>
          <w:sz w:val="18"/>
        </w:rPr>
        <w:t xml:space="preserve">Proportion of KBAs fully, partially, and not covered by </w:t>
      </w:r>
      <w:r w:rsidR="000E30C2" w:rsidRPr="00A51748">
        <w:rPr>
          <w:rFonts w:cs="Times New Roman"/>
          <w:sz w:val="18"/>
        </w:rPr>
        <w:t>protected areas</w:t>
      </w:r>
      <w:r w:rsidR="00BA4E5E" w:rsidRPr="00A51748">
        <w:rPr>
          <w:rFonts w:cs="Times New Roman"/>
          <w:sz w:val="18"/>
        </w:rPr>
        <w:t xml:space="preserve"> (A); and c</w:t>
      </w:r>
      <w:r w:rsidRPr="00A51748">
        <w:rPr>
          <w:rFonts w:cs="Times New Roman"/>
          <w:sz w:val="18"/>
        </w:rPr>
        <w:t>hange in</w:t>
      </w:r>
      <w:r w:rsidRPr="00A51748">
        <w:rPr>
          <w:rFonts w:cs="Times New Roman"/>
          <w:b/>
          <w:sz w:val="18"/>
        </w:rPr>
        <w:t xml:space="preserve"> </w:t>
      </w:r>
      <w:r w:rsidRPr="00A51748">
        <w:rPr>
          <w:rFonts w:cs="Times New Roman"/>
          <w:sz w:val="18"/>
        </w:rPr>
        <w:t>mean percentage area of each KBA</w:t>
      </w:r>
      <w:r w:rsidR="00BA4E5E" w:rsidRPr="00A51748">
        <w:rPr>
          <w:rFonts w:cs="Times New Roman"/>
          <w:sz w:val="18"/>
        </w:rPr>
        <w:t xml:space="preserve"> covered by </w:t>
      </w:r>
      <w:r w:rsidR="000E30C2" w:rsidRPr="00A51748">
        <w:rPr>
          <w:rFonts w:cs="Times New Roman"/>
          <w:sz w:val="18"/>
        </w:rPr>
        <w:t>protected areas</w:t>
      </w:r>
      <w:r w:rsidR="00BA4E5E" w:rsidRPr="00A51748">
        <w:rPr>
          <w:rFonts w:cs="Times New Roman"/>
          <w:sz w:val="18"/>
        </w:rPr>
        <w:t xml:space="preserve"> </w:t>
      </w:r>
      <w:r w:rsidRPr="00A51748">
        <w:rPr>
          <w:rFonts w:cs="Times New Roman"/>
          <w:sz w:val="18"/>
        </w:rPr>
        <w:t>from 2010 to 2018</w:t>
      </w:r>
      <w:r w:rsidR="00BA4E5E" w:rsidRPr="00A51748">
        <w:rPr>
          <w:rFonts w:cs="Times New Roman"/>
          <w:sz w:val="18"/>
        </w:rPr>
        <w:t xml:space="preserve"> (B</w:t>
      </w:r>
      <w:r w:rsidR="00B74BAE" w:rsidRPr="00A51748">
        <w:rPr>
          <w:rFonts w:cs="Times New Roman"/>
          <w:sz w:val="18"/>
        </w:rPr>
        <w:t>)</w:t>
      </w:r>
      <w:r w:rsidR="00BA4E5E" w:rsidRPr="00A51748">
        <w:rPr>
          <w:rFonts w:cs="Times New Roman"/>
          <w:sz w:val="18"/>
        </w:rPr>
        <w:t>. Both are</w:t>
      </w:r>
      <w:r w:rsidRPr="00A51748">
        <w:rPr>
          <w:rFonts w:cs="Times New Roman"/>
          <w:sz w:val="18"/>
        </w:rPr>
        <w:t xml:space="preserve"> based on the spatial overlap between polygons from the World database on KBAs and the WDPA (December 2018 release), as reported in the 2019 SDG report (analysed by UNEP-WCMC in collaboration with BirdLife International and IUCN).</w:t>
      </w:r>
    </w:p>
    <w:p w14:paraId="4076C2F1" w14:textId="2A109621" w:rsidR="002623D3" w:rsidRPr="00A51748" w:rsidRDefault="000F4DAF" w:rsidP="006D6DCD">
      <w:pPr>
        <w:pStyle w:val="Para1"/>
        <w:numPr>
          <w:ilvl w:val="0"/>
          <w:numId w:val="14"/>
        </w:numPr>
        <w:spacing w:before="0"/>
        <w:ind w:left="0" w:firstLine="0"/>
        <w:rPr>
          <w:rFonts w:cs="Times New Roman"/>
        </w:rPr>
      </w:pPr>
      <w:r w:rsidRPr="00A51748">
        <w:rPr>
          <w:rFonts w:cs="Times New Roman"/>
        </w:rPr>
        <w:t xml:space="preserve">Areas of importance for biodiversity could also include more than just </w:t>
      </w:r>
      <w:r w:rsidR="00D32FA2" w:rsidRPr="00A51748">
        <w:rPr>
          <w:rFonts w:cs="Times New Roman"/>
        </w:rPr>
        <w:t xml:space="preserve">identified </w:t>
      </w:r>
      <w:r w:rsidRPr="00A51748">
        <w:rPr>
          <w:rFonts w:cs="Times New Roman"/>
        </w:rPr>
        <w:t xml:space="preserve">KBAs, which are currently both geographically and taxonomically incomplete. </w:t>
      </w:r>
      <w:r w:rsidR="00D32FA2" w:rsidRPr="00A51748">
        <w:rPr>
          <w:rFonts w:cs="Times New Roman"/>
        </w:rPr>
        <w:t xml:space="preserve">Protected area coverage for other important biodiversity sites could be explored. </w:t>
      </w:r>
      <w:r w:rsidR="00013413" w:rsidRPr="00A51748">
        <w:rPr>
          <w:rFonts w:cs="Times New Roman"/>
        </w:rPr>
        <w:t xml:space="preserve">For example, the coverage of species richness hotspots, other hotspot measures, </w:t>
      </w:r>
      <w:r w:rsidR="005E2415" w:rsidRPr="00A51748">
        <w:rPr>
          <w:rFonts w:cs="Times New Roman"/>
        </w:rPr>
        <w:t>centres</w:t>
      </w:r>
      <w:r w:rsidR="00013413" w:rsidRPr="00A51748">
        <w:rPr>
          <w:rFonts w:cs="Times New Roman"/>
        </w:rPr>
        <w:t xml:space="preserve"> of endemism, </w:t>
      </w:r>
      <w:r w:rsidR="005E2415" w:rsidRPr="00A51748">
        <w:rPr>
          <w:rFonts w:cs="Times New Roman"/>
        </w:rPr>
        <w:t>centres</w:t>
      </w:r>
      <w:r w:rsidR="00013413" w:rsidRPr="00A51748">
        <w:rPr>
          <w:rFonts w:cs="Times New Roman"/>
        </w:rPr>
        <w:t xml:space="preserve"> of origin, intact forest landscapes or other measures if intact wilderness. Remaining wilderness areas</w:t>
      </w:r>
      <w:r w:rsidR="00D32FA2" w:rsidRPr="00A51748">
        <w:rPr>
          <w:rFonts w:cs="Times New Roman"/>
        </w:rPr>
        <w:t>, based on measures of human impact, cover less than 25</w:t>
      </w:r>
      <w:r w:rsidR="00013413" w:rsidRPr="00A51748">
        <w:rPr>
          <w:rFonts w:cs="Times New Roman"/>
          <w:lang w:val="en-CA"/>
        </w:rPr>
        <w:t xml:space="preserve">% of </w:t>
      </w:r>
      <w:r w:rsidR="00D32FA2" w:rsidRPr="00A51748">
        <w:rPr>
          <w:rFonts w:cs="Times New Roman"/>
          <w:lang w:val="en-CA"/>
        </w:rPr>
        <w:t xml:space="preserve">non-Antarctic </w:t>
      </w:r>
      <w:r w:rsidR="00013413" w:rsidRPr="00A51748">
        <w:rPr>
          <w:rFonts w:cs="Times New Roman"/>
          <w:lang w:val="en-CA"/>
        </w:rPr>
        <w:t>land</w:t>
      </w:r>
      <w:r w:rsidR="00D32FA2" w:rsidRPr="00A51748">
        <w:rPr>
          <w:rFonts w:cs="Times New Roman"/>
          <w:lang w:val="en-CA"/>
        </w:rPr>
        <w:t>, and only 13% of the ocean.</w:t>
      </w:r>
      <w:r w:rsidR="00D32FA2" w:rsidRPr="00A51748">
        <w:rPr>
          <w:rStyle w:val="FootnoteReference"/>
          <w:rFonts w:cs="Times New Roman"/>
          <w:lang w:val="en-CA"/>
        </w:rPr>
        <w:footnoteReference w:id="40"/>
      </w:r>
      <w:r w:rsidR="00D32FA2" w:rsidRPr="00A51748">
        <w:rPr>
          <w:rFonts w:cs="Times New Roman"/>
          <w:lang w:val="en-CA"/>
        </w:rPr>
        <w:t xml:space="preserve"> In 2017, marine protected areas covered on</w:t>
      </w:r>
      <w:r w:rsidR="00D24223" w:rsidRPr="00A51748">
        <w:rPr>
          <w:rFonts w:cs="Times New Roman"/>
          <w:lang w:val="en-CA"/>
        </w:rPr>
        <w:t>ly</w:t>
      </w:r>
      <w:r w:rsidR="00D32FA2" w:rsidRPr="00A51748">
        <w:rPr>
          <w:rFonts w:cs="Times New Roman"/>
          <w:lang w:val="en-CA"/>
        </w:rPr>
        <w:t xml:space="preserve"> 5% of remaining marine wilderness.</w:t>
      </w:r>
      <w:r w:rsidR="00D32FA2" w:rsidRPr="00A51748">
        <w:rPr>
          <w:rStyle w:val="FootnoteReference"/>
          <w:rFonts w:cs="Times New Roman"/>
          <w:lang w:val="en-CA"/>
        </w:rPr>
        <w:footnoteReference w:id="41"/>
      </w:r>
      <w:r w:rsidR="00D32FA2" w:rsidRPr="00A51748">
        <w:rPr>
          <w:rFonts w:cs="Times New Roman"/>
          <w:lang w:val="en-CA"/>
        </w:rPr>
        <w:t xml:space="preserve"> </w:t>
      </w:r>
      <w:r w:rsidR="00013413" w:rsidRPr="00A51748">
        <w:rPr>
          <w:rFonts w:cs="Times New Roman"/>
        </w:rPr>
        <w:t xml:space="preserve">For reporting on the final status of Target 11 in 2020, it could be useful to explore </w:t>
      </w:r>
      <w:r w:rsidR="00D32FA2" w:rsidRPr="00A51748">
        <w:rPr>
          <w:rFonts w:cs="Times New Roman"/>
        </w:rPr>
        <w:t xml:space="preserve">a range of measures for the </w:t>
      </w:r>
      <w:r w:rsidR="002623D3" w:rsidRPr="00A51748">
        <w:rPr>
          <w:rFonts w:cs="Times New Roman"/>
        </w:rPr>
        <w:t>coverage of</w:t>
      </w:r>
      <w:r w:rsidR="00D32FA2" w:rsidRPr="00A51748">
        <w:rPr>
          <w:rFonts w:cs="Times New Roman"/>
        </w:rPr>
        <w:t xml:space="preserve"> areas important for</w:t>
      </w:r>
      <w:r w:rsidR="002623D3" w:rsidRPr="00A51748">
        <w:rPr>
          <w:rFonts w:cs="Times New Roman"/>
        </w:rPr>
        <w:t xml:space="preserve"> biodiversity.</w:t>
      </w:r>
      <w:r w:rsidR="00E26C74" w:rsidRPr="00A51748">
        <w:rPr>
          <w:rFonts w:cs="Times New Roman"/>
        </w:rPr>
        <w:t xml:space="preserve"> </w:t>
      </w:r>
    </w:p>
    <w:p w14:paraId="27215E0F" w14:textId="77777777" w:rsidR="0099440F" w:rsidRPr="00A51748" w:rsidRDefault="0099440F" w:rsidP="006D6DCD">
      <w:pPr>
        <w:pStyle w:val="Heading4"/>
        <w:spacing w:before="0"/>
        <w:jc w:val="both"/>
      </w:pPr>
      <w:r w:rsidRPr="00A51748">
        <w:t>(iii) Areas important for ecosystem services</w:t>
      </w:r>
    </w:p>
    <w:p w14:paraId="46223C5E" w14:textId="77777777" w:rsidR="000F4DAF" w:rsidRPr="00A51748" w:rsidRDefault="00660E05" w:rsidP="006D6DCD">
      <w:pPr>
        <w:pStyle w:val="Para1"/>
        <w:numPr>
          <w:ilvl w:val="0"/>
          <w:numId w:val="14"/>
        </w:numPr>
        <w:spacing w:before="0"/>
        <w:ind w:left="0" w:firstLine="0"/>
        <w:rPr>
          <w:rFonts w:cs="Times New Roman"/>
        </w:rPr>
      </w:pPr>
      <w:r w:rsidRPr="00A51748">
        <w:rPr>
          <w:rFonts w:cs="Times New Roman"/>
        </w:rPr>
        <w:t>Protected areas are important for conserving the ecosystems providing essential services, as described in the first Global Assessment on Biodiversity and Ecosystem Services, recently released from the IPBES. For example,</w:t>
      </w:r>
      <w:r w:rsidR="004036D5" w:rsidRPr="00A51748">
        <w:rPr>
          <w:rFonts w:cs="Times New Roman"/>
        </w:rPr>
        <w:t xml:space="preserve"> a majority of the world’s population lives downstream of protected areas</w:t>
      </w:r>
      <w:r w:rsidR="00E26C74" w:rsidRPr="00A51748">
        <w:rPr>
          <w:rFonts w:cs="Times New Roman"/>
        </w:rPr>
        <w:t xml:space="preserve">, which provide important supplies of </w:t>
      </w:r>
      <w:r w:rsidRPr="00A51748">
        <w:rPr>
          <w:rFonts w:cs="Times New Roman"/>
        </w:rPr>
        <w:t>freshwater.</w:t>
      </w:r>
      <w:r w:rsidRPr="00A51748">
        <w:rPr>
          <w:rStyle w:val="FootnoteReference"/>
          <w:rFonts w:cs="Times New Roman"/>
        </w:rPr>
        <w:footnoteReference w:id="42"/>
      </w:r>
      <w:r w:rsidRPr="00A51748">
        <w:rPr>
          <w:rFonts w:cs="Times New Roman"/>
        </w:rPr>
        <w:t xml:space="preserve"> </w:t>
      </w:r>
    </w:p>
    <w:p w14:paraId="2A72B09A" w14:textId="77777777" w:rsidR="002B71E1" w:rsidRPr="00A51748" w:rsidRDefault="00660E05" w:rsidP="006D6DCD">
      <w:pPr>
        <w:pStyle w:val="Para1"/>
        <w:numPr>
          <w:ilvl w:val="0"/>
          <w:numId w:val="14"/>
        </w:numPr>
        <w:spacing w:before="0"/>
        <w:ind w:left="0" w:firstLine="0"/>
        <w:rPr>
          <w:rFonts w:cs="Times New Roman"/>
        </w:rPr>
      </w:pPr>
      <w:r w:rsidRPr="00A51748">
        <w:rPr>
          <w:rFonts w:cs="Times New Roman"/>
        </w:rPr>
        <w:t>T</w:t>
      </w:r>
      <w:r w:rsidR="007D0389" w:rsidRPr="00A51748">
        <w:rPr>
          <w:rFonts w:cs="Times New Roman"/>
        </w:rPr>
        <w:t>here is currently no</w:t>
      </w:r>
      <w:r w:rsidRPr="00A51748">
        <w:rPr>
          <w:rFonts w:cs="Times New Roman"/>
        </w:rPr>
        <w:t xml:space="preserve"> single</w:t>
      </w:r>
      <w:r w:rsidR="007D0389" w:rsidRPr="00A51748">
        <w:rPr>
          <w:rFonts w:cs="Times New Roman"/>
        </w:rPr>
        <w:t xml:space="preserve"> indicator identified for assessing protected area coverage of areas important for ecosystem services at the global level. However, maps </w:t>
      </w:r>
      <w:r w:rsidR="000D7019" w:rsidRPr="00A51748">
        <w:rPr>
          <w:rFonts w:cs="Times New Roman"/>
        </w:rPr>
        <w:t xml:space="preserve">and methodologies </w:t>
      </w:r>
      <w:r w:rsidR="007D0389" w:rsidRPr="00A51748">
        <w:rPr>
          <w:rFonts w:cs="Times New Roman"/>
        </w:rPr>
        <w:t xml:space="preserve">have been developed for </w:t>
      </w:r>
      <w:r w:rsidR="000D7019" w:rsidRPr="00A51748">
        <w:rPr>
          <w:rFonts w:cs="Times New Roman"/>
        </w:rPr>
        <w:t xml:space="preserve">the assessment of </w:t>
      </w:r>
      <w:r w:rsidR="007D0389" w:rsidRPr="00A51748">
        <w:rPr>
          <w:rFonts w:cs="Times New Roman"/>
        </w:rPr>
        <w:t>many ecosystem services.</w:t>
      </w:r>
      <w:r w:rsidR="00590DF3" w:rsidRPr="00A51748">
        <w:rPr>
          <w:rStyle w:val="FootnoteReference"/>
          <w:rFonts w:cs="Times New Roman"/>
        </w:rPr>
        <w:footnoteReference w:id="43"/>
      </w:r>
      <w:r w:rsidR="000F3DBD" w:rsidRPr="00A51748">
        <w:rPr>
          <w:rFonts w:cs="Times New Roman"/>
        </w:rPr>
        <w:t xml:space="preserve"> Additionally, several national studies of the coverage of areas important for ecosystem services have been completed</w:t>
      </w:r>
      <w:r w:rsidR="000F4DAF" w:rsidRPr="00A51748">
        <w:rPr>
          <w:rFonts w:cs="Times New Roman"/>
        </w:rPr>
        <w:t xml:space="preserve">; for example in China, where the </w:t>
      </w:r>
      <w:r w:rsidR="000F4DAF" w:rsidRPr="00A51748">
        <w:rPr>
          <w:rFonts w:cs="Times New Roman"/>
        </w:rPr>
        <w:lastRenderedPageBreak/>
        <w:t xml:space="preserve">coverage of four key regulating services by nature reserves was only </w:t>
      </w:r>
      <w:r w:rsidR="000F4DAF" w:rsidRPr="00A51748">
        <w:rPr>
          <w:rFonts w:cs="Times New Roman"/>
          <w:lang w:val="en-CA"/>
        </w:rPr>
        <w:t>10.2–12.5%</w:t>
      </w:r>
      <w:r w:rsidR="000F3DBD" w:rsidRPr="00A51748">
        <w:rPr>
          <w:rFonts w:cs="Times New Roman"/>
        </w:rPr>
        <w:t>.</w:t>
      </w:r>
      <w:r w:rsidR="000F4DAF" w:rsidRPr="00A51748">
        <w:rPr>
          <w:rStyle w:val="FootnoteReference"/>
          <w:rFonts w:cs="Times New Roman"/>
        </w:rPr>
        <w:footnoteReference w:id="44"/>
      </w:r>
      <w:r w:rsidR="007D0389" w:rsidRPr="00A51748">
        <w:rPr>
          <w:rFonts w:cs="Times New Roman"/>
        </w:rPr>
        <w:t xml:space="preserve"> Work is needed to identify which areas would be considered as ‘important for ecosystem services’, then protected area coverage </w:t>
      </w:r>
      <w:r w:rsidR="00B20155" w:rsidRPr="00A51748">
        <w:rPr>
          <w:rFonts w:cs="Times New Roman"/>
        </w:rPr>
        <w:t xml:space="preserve">of these areas </w:t>
      </w:r>
      <w:r w:rsidR="007D0389" w:rsidRPr="00A51748">
        <w:rPr>
          <w:rFonts w:cs="Times New Roman"/>
        </w:rPr>
        <w:t xml:space="preserve">can be assessed. </w:t>
      </w:r>
      <w:r w:rsidR="0053212C" w:rsidRPr="00A51748">
        <w:rPr>
          <w:rFonts w:cs="Times New Roman"/>
        </w:rPr>
        <w:t xml:space="preserve">One approach could include </w:t>
      </w:r>
      <w:r w:rsidR="009E6C39" w:rsidRPr="00A51748">
        <w:rPr>
          <w:rFonts w:cs="Times New Roman"/>
        </w:rPr>
        <w:t>the identification of ecosystem service hotspots</w:t>
      </w:r>
      <w:r w:rsidR="00B31788" w:rsidRPr="00A51748">
        <w:rPr>
          <w:rFonts w:cs="Times New Roman"/>
        </w:rPr>
        <w:t>.</w:t>
      </w:r>
      <w:r w:rsidR="00D32FA2" w:rsidRPr="00A51748">
        <w:rPr>
          <w:rStyle w:val="FootnoteReference"/>
          <w:rFonts w:cs="Times New Roman"/>
        </w:rPr>
        <w:footnoteReference w:id="45"/>
      </w:r>
      <w:r w:rsidR="00B31788" w:rsidRPr="00A51748">
        <w:rPr>
          <w:rFonts w:cs="Times New Roman"/>
        </w:rPr>
        <w:t xml:space="preserve"> As an example, </w:t>
      </w:r>
      <w:r w:rsidR="00D32FA2" w:rsidRPr="00A51748">
        <w:rPr>
          <w:rFonts w:cs="Times New Roman"/>
        </w:rPr>
        <w:t xml:space="preserve">researchers </w:t>
      </w:r>
      <w:r w:rsidR="00D32FA2" w:rsidRPr="00A51748">
        <w:rPr>
          <w:rFonts w:cs="Times New Roman"/>
          <w:lang w:val="en-CA"/>
        </w:rPr>
        <w:t>in Myanmar found that protected areas covered 17%, 14% and 5% of three ecosystem service hotspots (for inland flood risk reduction, sediment retention, and dry-season base flow, respectively).</w:t>
      </w:r>
      <w:r w:rsidR="00D32FA2" w:rsidRPr="00A51748">
        <w:rPr>
          <w:rStyle w:val="FootnoteReference"/>
          <w:rFonts w:cs="Times New Roman"/>
          <w:lang w:val="en-CA"/>
        </w:rPr>
        <w:footnoteReference w:id="46"/>
      </w:r>
      <w:r w:rsidR="00D32FA2" w:rsidRPr="00A51748">
        <w:rPr>
          <w:rFonts w:cs="Times New Roman"/>
          <w:lang w:val="en-CA"/>
        </w:rPr>
        <w:t xml:space="preserve">  </w:t>
      </w:r>
      <w:r w:rsidR="00BA4E5E" w:rsidRPr="00A51748">
        <w:rPr>
          <w:rFonts w:cs="Times New Roman"/>
        </w:rPr>
        <w:t>Maps of various</w:t>
      </w:r>
      <w:r w:rsidR="00992CCD" w:rsidRPr="00A51748">
        <w:rPr>
          <w:rFonts w:cs="Times New Roman"/>
        </w:rPr>
        <w:t xml:space="preserve"> ecosystem services could also be overlaid to identify </w:t>
      </w:r>
      <w:r w:rsidR="00B31788" w:rsidRPr="00A51748">
        <w:rPr>
          <w:rFonts w:cs="Times New Roman"/>
        </w:rPr>
        <w:t xml:space="preserve">areas important for multiple </w:t>
      </w:r>
      <w:r w:rsidR="00992CCD" w:rsidRPr="00A51748">
        <w:rPr>
          <w:rFonts w:cs="Times New Roman"/>
        </w:rPr>
        <w:t>e</w:t>
      </w:r>
      <w:r w:rsidR="009E6C39" w:rsidRPr="00A51748">
        <w:rPr>
          <w:rFonts w:cs="Times New Roman"/>
        </w:rPr>
        <w:t>cosystem service</w:t>
      </w:r>
      <w:r w:rsidR="00B31788" w:rsidRPr="00A51748">
        <w:rPr>
          <w:rFonts w:cs="Times New Roman"/>
        </w:rPr>
        <w:t>s</w:t>
      </w:r>
      <w:r w:rsidR="00E02327" w:rsidRPr="00A51748">
        <w:rPr>
          <w:rFonts w:cs="Times New Roman"/>
        </w:rPr>
        <w:t>.</w:t>
      </w:r>
      <w:r w:rsidR="0053212C" w:rsidRPr="00A51748">
        <w:rPr>
          <w:rFonts w:cs="Times New Roman"/>
        </w:rPr>
        <w:t xml:space="preserve"> </w:t>
      </w:r>
      <w:r w:rsidR="00DF014D" w:rsidRPr="00A51748">
        <w:rPr>
          <w:rFonts w:cs="Times New Roman"/>
        </w:rPr>
        <w:t xml:space="preserve">Attention </w:t>
      </w:r>
      <w:r w:rsidR="00BA4E5E" w:rsidRPr="00A51748">
        <w:rPr>
          <w:rFonts w:cs="Times New Roman"/>
        </w:rPr>
        <w:t xml:space="preserve">should </w:t>
      </w:r>
      <w:r w:rsidR="00DF014D" w:rsidRPr="00A51748">
        <w:rPr>
          <w:rFonts w:cs="Times New Roman"/>
        </w:rPr>
        <w:t xml:space="preserve">be paid to potential trade-offs between biodiversity and certain ecosystem services, as well as between different ecosystem services. </w:t>
      </w:r>
      <w:r w:rsidR="000D7019" w:rsidRPr="00A51748">
        <w:rPr>
          <w:rFonts w:cs="Times New Roman"/>
        </w:rPr>
        <w:t>It i</w:t>
      </w:r>
      <w:r w:rsidR="005C142A" w:rsidRPr="00A51748">
        <w:rPr>
          <w:rFonts w:cs="Times New Roman"/>
        </w:rPr>
        <w:t xml:space="preserve">s likely that many </w:t>
      </w:r>
      <w:r w:rsidR="0053212C" w:rsidRPr="00A51748">
        <w:rPr>
          <w:rFonts w:cs="Times New Roman"/>
        </w:rPr>
        <w:t xml:space="preserve">OECMs </w:t>
      </w:r>
      <w:r w:rsidR="00B91E5B" w:rsidRPr="00A51748">
        <w:rPr>
          <w:rFonts w:cs="Times New Roman"/>
        </w:rPr>
        <w:t xml:space="preserve">are supporting </w:t>
      </w:r>
      <w:r w:rsidR="007462DE" w:rsidRPr="00A51748">
        <w:rPr>
          <w:rFonts w:cs="Times New Roman"/>
        </w:rPr>
        <w:t>the conservation of ecosystem services</w:t>
      </w:r>
      <w:r w:rsidR="00EF0796" w:rsidRPr="00A51748">
        <w:rPr>
          <w:rFonts w:cs="Times New Roman"/>
        </w:rPr>
        <w:t>,</w:t>
      </w:r>
      <w:r w:rsidR="00E16BAE" w:rsidRPr="00A51748">
        <w:rPr>
          <w:rFonts w:cs="Times New Roman"/>
        </w:rPr>
        <w:t xml:space="preserve"> as well as biodiversity</w:t>
      </w:r>
      <w:r w:rsidR="007462DE" w:rsidRPr="00A51748">
        <w:rPr>
          <w:rFonts w:cs="Times New Roman"/>
        </w:rPr>
        <w:t>.</w:t>
      </w:r>
      <w:r w:rsidR="0053212C" w:rsidRPr="00A51748">
        <w:rPr>
          <w:rFonts w:cs="Times New Roman"/>
        </w:rPr>
        <w:t xml:space="preserve"> For example, almost one-third of the OECMs overlapping with KBAs </w:t>
      </w:r>
      <w:r w:rsidR="00B91E5B" w:rsidRPr="00A51748">
        <w:rPr>
          <w:rFonts w:cs="Times New Roman"/>
        </w:rPr>
        <w:t>had</w:t>
      </w:r>
      <w:r w:rsidR="007462DE" w:rsidRPr="00A51748">
        <w:rPr>
          <w:rFonts w:cs="Times New Roman"/>
        </w:rPr>
        <w:t xml:space="preserve"> ‘</w:t>
      </w:r>
      <w:r w:rsidR="0053212C" w:rsidRPr="00A51748">
        <w:rPr>
          <w:rFonts w:cs="Times New Roman"/>
          <w:lang w:val="en-CA"/>
        </w:rPr>
        <w:t>preserving ecosystem services</w:t>
      </w:r>
      <w:r w:rsidR="007462DE" w:rsidRPr="00A51748">
        <w:rPr>
          <w:rFonts w:cs="Times New Roman"/>
          <w:lang w:val="en-CA"/>
        </w:rPr>
        <w:t>’</w:t>
      </w:r>
      <w:r w:rsidR="0053212C" w:rsidRPr="00A51748">
        <w:rPr>
          <w:rFonts w:cs="Times New Roman"/>
        </w:rPr>
        <w:t xml:space="preserve"> </w:t>
      </w:r>
      <w:r w:rsidR="00B91E5B" w:rsidRPr="00A51748">
        <w:rPr>
          <w:rFonts w:cs="Times New Roman"/>
        </w:rPr>
        <w:t xml:space="preserve">listed </w:t>
      </w:r>
      <w:r w:rsidR="0053212C" w:rsidRPr="00A51748">
        <w:rPr>
          <w:rFonts w:cs="Times New Roman"/>
        </w:rPr>
        <w:t>as their primary management objective</w:t>
      </w:r>
      <w:r w:rsidR="00B91E5B" w:rsidRPr="00A51748">
        <w:rPr>
          <w:rFonts w:cs="Times New Roman"/>
          <w:lang w:val="en-CA"/>
        </w:rPr>
        <w:t>.</w:t>
      </w:r>
      <w:r w:rsidR="00B91E5B" w:rsidRPr="00A51748">
        <w:rPr>
          <w:rStyle w:val="FootnoteReference"/>
          <w:rFonts w:cs="Times New Roman"/>
          <w:lang w:val="en-CA"/>
        </w:rPr>
        <w:footnoteReference w:id="47"/>
      </w:r>
      <w:r w:rsidR="003D2DCC" w:rsidRPr="00A51748">
        <w:rPr>
          <w:rFonts w:cs="Times New Roman"/>
        </w:rPr>
        <w:t>Attention also needs to be paid to potential trade-offs between biodiversity and certain ecosystem services, as well as between different ecosystem services.</w:t>
      </w:r>
      <w:r w:rsidR="00C55BBD" w:rsidRPr="00A51748">
        <w:rPr>
          <w:rFonts w:cs="Times New Roman"/>
        </w:rPr>
        <w:t xml:space="preserve"> </w:t>
      </w:r>
    </w:p>
    <w:p w14:paraId="0CEDBE3E" w14:textId="77777777" w:rsidR="0099440F" w:rsidRPr="00A51748" w:rsidRDefault="00AA4398" w:rsidP="006D6DCD">
      <w:pPr>
        <w:pStyle w:val="Para1"/>
        <w:numPr>
          <w:ilvl w:val="0"/>
          <w:numId w:val="14"/>
        </w:numPr>
        <w:spacing w:before="0"/>
        <w:ind w:left="0" w:firstLine="0"/>
        <w:rPr>
          <w:rFonts w:cs="Times New Roman"/>
        </w:rPr>
      </w:pPr>
      <w:r w:rsidRPr="00A51748">
        <w:rPr>
          <w:rFonts w:cs="Times New Roman"/>
        </w:rPr>
        <w:t>Protected areas can</w:t>
      </w:r>
      <w:r w:rsidR="006E0FD9" w:rsidRPr="00A51748">
        <w:rPr>
          <w:rFonts w:cs="Times New Roman"/>
        </w:rPr>
        <w:t xml:space="preserve"> also play an important role in ecosystem-based approaches to climate change adaptation and contribute to mitigation by storing and sequestering carbon. A </w:t>
      </w:r>
      <w:r w:rsidR="00942F79" w:rsidRPr="00A51748">
        <w:rPr>
          <w:rFonts w:cs="Times New Roman"/>
        </w:rPr>
        <w:t>2016</w:t>
      </w:r>
      <w:r w:rsidR="006E0FD9" w:rsidRPr="00A51748">
        <w:rPr>
          <w:rFonts w:cs="Times New Roman"/>
        </w:rPr>
        <w:t xml:space="preserve"> study</w:t>
      </w:r>
      <w:r w:rsidR="00942F79" w:rsidRPr="00A51748">
        <w:rPr>
          <w:rFonts w:cs="Times New Roman"/>
        </w:rPr>
        <w:t xml:space="preserve"> in Czech Republic</w:t>
      </w:r>
      <w:r w:rsidR="00942F79" w:rsidRPr="00A51748">
        <w:rPr>
          <w:rStyle w:val="FootnoteReference"/>
          <w:rFonts w:cs="Times New Roman"/>
        </w:rPr>
        <w:footnoteReference w:id="48"/>
      </w:r>
      <w:r w:rsidR="006E0FD9" w:rsidRPr="00A51748">
        <w:rPr>
          <w:rFonts w:cs="Times New Roman"/>
        </w:rPr>
        <w:t xml:space="preserve"> </w:t>
      </w:r>
      <w:r w:rsidR="00942F79" w:rsidRPr="00A51748">
        <w:rPr>
          <w:rFonts w:cs="Times New Roman"/>
        </w:rPr>
        <w:t>found</w:t>
      </w:r>
      <w:r w:rsidR="006E0FD9" w:rsidRPr="00A51748">
        <w:rPr>
          <w:rFonts w:cs="Times New Roman"/>
        </w:rPr>
        <w:t xml:space="preserve"> higher levels of both biodiversity and </w:t>
      </w:r>
      <w:r w:rsidR="00942F79" w:rsidRPr="00A51748">
        <w:rPr>
          <w:rFonts w:cs="Times New Roman"/>
        </w:rPr>
        <w:t xml:space="preserve">net </w:t>
      </w:r>
      <w:r w:rsidR="006E0FD9" w:rsidRPr="00A51748">
        <w:rPr>
          <w:rFonts w:cs="Times New Roman"/>
        </w:rPr>
        <w:t xml:space="preserve">carbon </w:t>
      </w:r>
      <w:r w:rsidR="00942F79" w:rsidRPr="00A51748">
        <w:rPr>
          <w:rFonts w:cs="Times New Roman"/>
        </w:rPr>
        <w:t xml:space="preserve">storage </w:t>
      </w:r>
      <w:r w:rsidR="006E0FD9" w:rsidRPr="00A51748">
        <w:rPr>
          <w:rFonts w:cs="Times New Roman"/>
        </w:rPr>
        <w:t xml:space="preserve">within protected areas compared to </w:t>
      </w:r>
      <w:r w:rsidR="00942F79" w:rsidRPr="00A51748">
        <w:rPr>
          <w:rFonts w:cs="Times New Roman"/>
        </w:rPr>
        <w:t>other non-protected a</w:t>
      </w:r>
      <w:r w:rsidR="006E0FD9" w:rsidRPr="00A51748">
        <w:rPr>
          <w:rFonts w:cs="Times New Roman"/>
        </w:rPr>
        <w:t xml:space="preserve">reas. </w:t>
      </w:r>
      <w:r w:rsidR="00942F79" w:rsidRPr="00A51748">
        <w:rPr>
          <w:rFonts w:cs="Times New Roman"/>
        </w:rPr>
        <w:t>Globally, a</w:t>
      </w:r>
      <w:r w:rsidR="00EF0796" w:rsidRPr="00A51748">
        <w:rPr>
          <w:rFonts w:cs="Times New Roman"/>
        </w:rPr>
        <w:t xml:space="preserve">s of May 2019, </w:t>
      </w:r>
      <w:r w:rsidR="00942F79" w:rsidRPr="00A51748">
        <w:rPr>
          <w:rFonts w:cs="Times New Roman"/>
        </w:rPr>
        <w:t xml:space="preserve">over </w:t>
      </w:r>
      <w:r w:rsidR="00EF0796" w:rsidRPr="00A51748">
        <w:rPr>
          <w:rFonts w:cs="Times New Roman"/>
        </w:rPr>
        <w:t xml:space="preserve">18% of the total terrestrial carbon stock is </w:t>
      </w:r>
      <w:r w:rsidR="006E0FD9" w:rsidRPr="00A51748">
        <w:rPr>
          <w:rFonts w:cs="Times New Roman"/>
        </w:rPr>
        <w:t>covered by reported protected areas</w:t>
      </w:r>
      <w:r w:rsidR="00EF0796" w:rsidRPr="00A51748">
        <w:rPr>
          <w:rFonts w:cs="Times New Roman"/>
        </w:rPr>
        <w:t>.</w:t>
      </w:r>
      <w:r w:rsidR="00EF0796" w:rsidRPr="00A51748">
        <w:rPr>
          <w:rStyle w:val="FootnoteReference"/>
          <w:rFonts w:cs="Times New Roman"/>
        </w:rPr>
        <w:footnoteReference w:id="49"/>
      </w:r>
    </w:p>
    <w:p w14:paraId="17A81024" w14:textId="77777777" w:rsidR="00506A57" w:rsidRPr="00A51748" w:rsidRDefault="00506A57" w:rsidP="006D6DCD">
      <w:pPr>
        <w:pStyle w:val="Heading4"/>
        <w:spacing w:before="0"/>
        <w:jc w:val="both"/>
      </w:pPr>
      <w:r w:rsidRPr="00A51748">
        <w:t>(iv) Connectivity</w:t>
      </w:r>
    </w:p>
    <w:p w14:paraId="257FF0B9" w14:textId="77777777" w:rsidR="00456491" w:rsidRPr="00A51748" w:rsidRDefault="0084372D" w:rsidP="006D6DCD">
      <w:pPr>
        <w:pStyle w:val="Para1"/>
        <w:numPr>
          <w:ilvl w:val="0"/>
          <w:numId w:val="14"/>
        </w:numPr>
        <w:spacing w:before="0"/>
        <w:ind w:left="0" w:firstLine="0"/>
        <w:rPr>
          <w:rFonts w:cs="Times New Roman"/>
          <w:lang w:val="en-CA"/>
        </w:rPr>
      </w:pPr>
      <w:r w:rsidRPr="00A51748">
        <w:rPr>
          <w:rFonts w:cs="Times New Roman"/>
        </w:rPr>
        <w:t>Protected area connectivity can be assessed using the ProtConn indicator. It</w:t>
      </w:r>
      <w:r w:rsidR="008D5A9C" w:rsidRPr="00A51748">
        <w:rPr>
          <w:rFonts w:cs="Times New Roman"/>
        </w:rPr>
        <w:t xml:space="preserve"> applies </w:t>
      </w:r>
      <w:r w:rsidR="00B5798D" w:rsidRPr="00A51748">
        <w:rPr>
          <w:rFonts w:cs="Times New Roman"/>
        </w:rPr>
        <w:t>network analysis to determine the amount of reachable habitat in protected area networks, based on the spatial arrangement, size and coverage of protected areas</w:t>
      </w:r>
      <w:r w:rsidR="008D5A9C" w:rsidRPr="00A51748">
        <w:rPr>
          <w:rFonts w:cs="Times New Roman"/>
        </w:rPr>
        <w:t>.</w:t>
      </w:r>
      <w:r w:rsidR="008D5A9C" w:rsidRPr="00A51748">
        <w:rPr>
          <w:rStyle w:val="FootnoteReference"/>
          <w:rFonts w:cs="Times New Roman"/>
          <w:sz w:val="22"/>
        </w:rPr>
        <w:footnoteReference w:id="50"/>
      </w:r>
      <w:r w:rsidR="008D5A9C" w:rsidRPr="00A51748">
        <w:rPr>
          <w:rFonts w:cs="Times New Roman"/>
        </w:rPr>
        <w:t xml:space="preserve"> A</w:t>
      </w:r>
      <w:r w:rsidR="00CD6E4C" w:rsidRPr="00A51748">
        <w:rPr>
          <w:rFonts w:cs="Times New Roman"/>
        </w:rPr>
        <w:t xml:space="preserve">s of June 2018, </w:t>
      </w:r>
      <w:r w:rsidR="00456491" w:rsidRPr="00A51748">
        <w:rPr>
          <w:rFonts w:cs="Times New Roman"/>
        </w:rPr>
        <w:t>adequately connected protected areas covered 7.7% of the terrestrial realm</w:t>
      </w:r>
      <w:r w:rsidR="00EF730B" w:rsidRPr="00A51748">
        <w:rPr>
          <w:rFonts w:cs="Times New Roman"/>
        </w:rPr>
        <w:t>.</w:t>
      </w:r>
      <w:r w:rsidR="00456491" w:rsidRPr="00A51748">
        <w:rPr>
          <w:rStyle w:val="FootnoteReference"/>
          <w:rFonts w:cs="Times New Roman"/>
        </w:rPr>
        <w:footnoteReference w:id="51"/>
      </w:r>
      <w:r w:rsidR="00EF730B" w:rsidRPr="00A51748">
        <w:rPr>
          <w:rFonts w:cs="Times New Roman"/>
        </w:rPr>
        <w:t xml:space="preserve"> </w:t>
      </w:r>
      <w:r w:rsidR="00EF730B" w:rsidRPr="00A51748">
        <w:rPr>
          <w:rFonts w:cs="Times New Roman"/>
          <w:lang w:val="en-US"/>
        </w:rPr>
        <w:t xml:space="preserve">This represents a modest increase from 2010, when </w:t>
      </w:r>
      <w:r w:rsidR="00EF730B" w:rsidRPr="00A51748">
        <w:rPr>
          <w:rFonts w:cs="Times New Roman"/>
        </w:rPr>
        <w:t xml:space="preserve">global coverage was </w:t>
      </w:r>
      <w:r w:rsidR="00EF730B" w:rsidRPr="00A51748">
        <w:rPr>
          <w:rFonts w:cs="Times New Roman"/>
          <w:lang w:val="en-CA"/>
        </w:rPr>
        <w:t>6.5%.</w:t>
      </w:r>
      <w:r w:rsidR="00EF730B" w:rsidRPr="00A51748">
        <w:rPr>
          <w:rStyle w:val="FootnoteReference"/>
          <w:rFonts w:cs="Times New Roman"/>
          <w:lang w:val="en-CA"/>
        </w:rPr>
        <w:footnoteReference w:id="52"/>
      </w:r>
      <w:r w:rsidR="00EF730B" w:rsidRPr="00A51748">
        <w:rPr>
          <w:rFonts w:cs="Times New Roman"/>
          <w:lang w:val="en-CA"/>
        </w:rPr>
        <w:t xml:space="preserve"> </w:t>
      </w:r>
      <w:r w:rsidR="00D24223" w:rsidRPr="00A51748">
        <w:rPr>
          <w:rFonts w:cs="Times New Roman"/>
          <w:lang w:val="en-CA"/>
        </w:rPr>
        <w:t>However, t</w:t>
      </w:r>
      <w:r w:rsidR="00EF730B" w:rsidRPr="00A51748">
        <w:rPr>
          <w:rFonts w:cs="Times New Roman"/>
          <w:lang w:val="en-CA"/>
        </w:rPr>
        <w:t xml:space="preserve">his almost 20% increase in connectivity is significantly higher than the 10.5% </w:t>
      </w:r>
      <w:r w:rsidR="00EF3CD5" w:rsidRPr="00A51748">
        <w:rPr>
          <w:rFonts w:cs="Times New Roman"/>
          <w:lang w:val="en-CA"/>
        </w:rPr>
        <w:t xml:space="preserve">relative </w:t>
      </w:r>
      <w:r w:rsidR="00EF730B" w:rsidRPr="00A51748">
        <w:rPr>
          <w:rFonts w:cs="Times New Roman"/>
          <w:lang w:val="en-CA"/>
        </w:rPr>
        <w:t xml:space="preserve">increase in </w:t>
      </w:r>
      <w:r w:rsidR="00456491" w:rsidRPr="00A51748">
        <w:rPr>
          <w:rFonts w:cs="Times New Roman"/>
          <w:lang w:val="en-CA"/>
        </w:rPr>
        <w:t>protected area</w:t>
      </w:r>
      <w:r w:rsidR="00EF730B" w:rsidRPr="00A51748">
        <w:rPr>
          <w:rFonts w:cs="Times New Roman"/>
          <w:lang w:val="en-CA"/>
        </w:rPr>
        <w:t xml:space="preserve"> coverage over the same period.</w:t>
      </w:r>
      <w:r w:rsidR="00EF730B" w:rsidRPr="00A51748">
        <w:rPr>
          <w:rStyle w:val="FootnoteReference"/>
          <w:rFonts w:cs="Times New Roman"/>
          <w:lang w:val="en-CA"/>
        </w:rPr>
        <w:footnoteReference w:id="53"/>
      </w:r>
      <w:r w:rsidR="00EF730B" w:rsidRPr="00A51748">
        <w:rPr>
          <w:rFonts w:cs="Times New Roman"/>
          <w:lang w:val="en-CA"/>
        </w:rPr>
        <w:t xml:space="preserve"> Currently, </w:t>
      </w:r>
      <w:r w:rsidR="00EF730B" w:rsidRPr="00A51748">
        <w:rPr>
          <w:rFonts w:cs="Times New Roman"/>
          <w:lang w:val="en-US"/>
        </w:rPr>
        <w:t>30</w:t>
      </w:r>
      <w:r w:rsidR="0072029D" w:rsidRPr="00A51748">
        <w:rPr>
          <w:rFonts w:cs="Times New Roman"/>
          <w:lang w:val="en-US"/>
        </w:rPr>
        <w:t xml:space="preserve">% of countries </w:t>
      </w:r>
      <w:r w:rsidR="00EF730B" w:rsidRPr="00A51748">
        <w:rPr>
          <w:rFonts w:cs="Times New Roman"/>
          <w:lang w:val="en-US"/>
        </w:rPr>
        <w:t xml:space="preserve">(Fig. </w:t>
      </w:r>
      <w:r w:rsidR="00631FAF" w:rsidRPr="00A51748">
        <w:rPr>
          <w:rFonts w:cs="Times New Roman"/>
          <w:lang w:val="en-US"/>
        </w:rPr>
        <w:t>5</w:t>
      </w:r>
      <w:r w:rsidR="00EF730B" w:rsidRPr="00A51748">
        <w:rPr>
          <w:rFonts w:cs="Times New Roman"/>
          <w:lang w:val="en-US"/>
        </w:rPr>
        <w:t xml:space="preserve">) </w:t>
      </w:r>
      <w:r w:rsidR="0072029D" w:rsidRPr="00A51748">
        <w:rPr>
          <w:rFonts w:cs="Times New Roman"/>
          <w:lang w:val="en-US"/>
        </w:rPr>
        <w:t xml:space="preserve">and </w:t>
      </w:r>
      <w:r w:rsidR="00BF3831" w:rsidRPr="00A51748">
        <w:rPr>
          <w:rFonts w:cs="Times New Roman"/>
          <w:lang w:val="en-US"/>
        </w:rPr>
        <w:t xml:space="preserve">27% of terrestrial ecoregions </w:t>
      </w:r>
      <w:r w:rsidR="00BE2D8C" w:rsidRPr="00A51748">
        <w:rPr>
          <w:rFonts w:cs="Times New Roman"/>
          <w:lang w:val="en-US"/>
        </w:rPr>
        <w:t>are</w:t>
      </w:r>
      <w:r w:rsidR="00BF3831" w:rsidRPr="00A51748">
        <w:rPr>
          <w:rFonts w:cs="Times New Roman"/>
          <w:lang w:val="en-US"/>
        </w:rPr>
        <w:t xml:space="preserve"> covered by </w:t>
      </w:r>
      <w:r w:rsidR="000F3DBD" w:rsidRPr="00A51748">
        <w:rPr>
          <w:rFonts w:cs="Times New Roman"/>
          <w:lang w:val="en-US"/>
        </w:rPr>
        <w:t xml:space="preserve">‘well-connected’ </w:t>
      </w:r>
      <w:r w:rsidR="008D5A9C" w:rsidRPr="00A51748">
        <w:rPr>
          <w:rFonts w:cs="Times New Roman"/>
          <w:lang w:val="en-US"/>
        </w:rPr>
        <w:t>protected area</w:t>
      </w:r>
      <w:r w:rsidR="00BF3831" w:rsidRPr="00A51748">
        <w:rPr>
          <w:rFonts w:cs="Times New Roman"/>
          <w:lang w:val="en-US"/>
        </w:rPr>
        <w:t xml:space="preserve"> networks</w:t>
      </w:r>
      <w:r w:rsidR="000F3DBD" w:rsidRPr="00A51748">
        <w:rPr>
          <w:rFonts w:cs="Times New Roman"/>
          <w:lang w:val="en-US"/>
        </w:rPr>
        <w:t xml:space="preserve"> based on this indicator </w:t>
      </w:r>
      <w:r w:rsidR="00BF3831" w:rsidRPr="00A51748">
        <w:rPr>
          <w:rFonts w:cs="Times New Roman"/>
          <w:lang w:val="en-US"/>
        </w:rPr>
        <w:t>(i.e. </w:t>
      </w:r>
      <w:r w:rsidR="00B94553" w:rsidRPr="00A51748">
        <w:rPr>
          <w:rFonts w:cs="Times New Roman"/>
          <w:lang w:val="en-US"/>
        </w:rPr>
        <w:t xml:space="preserve">had </w:t>
      </w:r>
      <w:r w:rsidR="00BF3831" w:rsidRPr="00A51748">
        <w:rPr>
          <w:rFonts w:cs="Times New Roman"/>
          <w:lang w:val="en-US"/>
        </w:rPr>
        <w:t>ProtConn values &gt;17%)</w:t>
      </w:r>
      <w:r w:rsidR="00B5798D" w:rsidRPr="00A51748">
        <w:rPr>
          <w:rFonts w:cs="Times New Roman"/>
          <w:lang w:val="en-US"/>
        </w:rPr>
        <w:t xml:space="preserve">, </w:t>
      </w:r>
      <w:r w:rsidR="00456491" w:rsidRPr="00A51748">
        <w:rPr>
          <w:rFonts w:cs="Times New Roman"/>
          <w:lang w:val="en-US"/>
        </w:rPr>
        <w:t>demonstrating</w:t>
      </w:r>
      <w:r w:rsidR="00B5798D" w:rsidRPr="00A51748">
        <w:rPr>
          <w:rFonts w:cs="Times New Roman"/>
          <w:lang w:val="en-US"/>
        </w:rPr>
        <w:t xml:space="preserve"> there is still some shortfall in ensuring connectivity of terrestrial protected areas</w:t>
      </w:r>
      <w:r w:rsidR="00BF3831" w:rsidRPr="00A51748">
        <w:rPr>
          <w:rFonts w:cs="Times New Roman"/>
          <w:lang w:val="en-US"/>
        </w:rPr>
        <w:t>.</w:t>
      </w:r>
      <w:r w:rsidR="00B94553" w:rsidRPr="00A51748">
        <w:rPr>
          <w:rStyle w:val="FootnoteReference"/>
          <w:rFonts w:cs="Times New Roman"/>
          <w:sz w:val="22"/>
          <w:lang w:val="en-US"/>
        </w:rPr>
        <w:footnoteReference w:id="54"/>
      </w:r>
      <w:r w:rsidR="00B94553" w:rsidRPr="00A51748">
        <w:rPr>
          <w:rFonts w:cs="Times New Roman"/>
          <w:lang w:val="en-US"/>
        </w:rPr>
        <w:t xml:space="preserve"> </w:t>
      </w:r>
      <w:r w:rsidR="00EF730B" w:rsidRPr="00A51748">
        <w:rPr>
          <w:rFonts w:cs="Times New Roman"/>
          <w:lang w:val="en-US"/>
        </w:rPr>
        <w:t xml:space="preserve">Over the 2010 to 2018 period, </w:t>
      </w:r>
      <w:r w:rsidR="00EF730B" w:rsidRPr="00A51748">
        <w:rPr>
          <w:rFonts w:cs="Times New Roman"/>
          <w:lang w:val="en-CA"/>
        </w:rPr>
        <w:t>56% of countries showed an increase in connectivity, as measured by ProtConn, while 16% showed declines in connectivity; the remainder (28%) saw no significant change.</w:t>
      </w:r>
      <w:r w:rsidR="00EF730B" w:rsidRPr="00A51748">
        <w:rPr>
          <w:rStyle w:val="FootnoteReference"/>
          <w:rFonts w:cs="Times New Roman"/>
          <w:lang w:val="en-CA"/>
        </w:rPr>
        <w:footnoteReference w:id="55"/>
      </w:r>
      <w:r w:rsidR="004B2C84" w:rsidRPr="00A51748">
        <w:rPr>
          <w:rFonts w:cs="Times New Roman"/>
          <w:lang w:val="en-CA"/>
        </w:rPr>
        <w:t xml:space="preserve"> </w:t>
      </w:r>
      <w:r w:rsidR="00EF3CD5" w:rsidRPr="00A51748">
        <w:rPr>
          <w:rFonts w:cs="Times New Roman"/>
          <w:lang w:val="en-CA"/>
        </w:rPr>
        <w:t xml:space="preserve">Additionally, </w:t>
      </w:r>
      <w:r w:rsidR="004B2C84" w:rsidRPr="00A51748">
        <w:rPr>
          <w:rFonts w:cs="Times New Roman"/>
          <w:lang w:val="en-CA"/>
        </w:rPr>
        <w:t>the proportion of protected</w:t>
      </w:r>
      <w:r w:rsidR="00456491" w:rsidRPr="00A51748">
        <w:rPr>
          <w:rFonts w:cs="Times New Roman"/>
          <w:lang w:val="en-CA"/>
        </w:rPr>
        <w:t xml:space="preserve"> area </w:t>
      </w:r>
      <w:r w:rsidR="004B2C84" w:rsidRPr="00A51748">
        <w:rPr>
          <w:rFonts w:cs="Times New Roman"/>
          <w:lang w:val="en-CA"/>
        </w:rPr>
        <w:t>connect</w:t>
      </w:r>
      <w:r w:rsidR="00456491" w:rsidRPr="00A51748">
        <w:rPr>
          <w:rFonts w:cs="Times New Roman"/>
          <w:lang w:val="en-CA"/>
        </w:rPr>
        <w:t xml:space="preserve">ivity </w:t>
      </w:r>
      <w:r w:rsidR="000E7829" w:rsidRPr="00A51748">
        <w:rPr>
          <w:rFonts w:cs="Times New Roman"/>
          <w:lang w:val="en-CA"/>
        </w:rPr>
        <w:t xml:space="preserve">depending on </w:t>
      </w:r>
      <w:r w:rsidR="004B2C84" w:rsidRPr="00A51748">
        <w:rPr>
          <w:rFonts w:cs="Times New Roman"/>
          <w:lang w:val="en-CA"/>
        </w:rPr>
        <w:t xml:space="preserve">transboundary </w:t>
      </w:r>
      <w:r w:rsidR="000E7829" w:rsidRPr="00A51748">
        <w:rPr>
          <w:rFonts w:cs="Times New Roman"/>
          <w:lang w:val="en-CA"/>
        </w:rPr>
        <w:t>connecti</w:t>
      </w:r>
      <w:r w:rsidR="00456491" w:rsidRPr="00A51748">
        <w:rPr>
          <w:rFonts w:cs="Times New Roman"/>
          <w:lang w:val="en-CA"/>
        </w:rPr>
        <w:t xml:space="preserve">ons </w:t>
      </w:r>
      <w:r w:rsidR="000E7829" w:rsidRPr="00A51748">
        <w:rPr>
          <w:rFonts w:cs="Times New Roman"/>
          <w:lang w:val="en-CA"/>
        </w:rPr>
        <w:t>has almost doubled over this period</w:t>
      </w:r>
      <w:r w:rsidR="00456491" w:rsidRPr="00A51748">
        <w:rPr>
          <w:rFonts w:cs="Times New Roman"/>
          <w:lang w:val="en-CA"/>
        </w:rPr>
        <w:t xml:space="preserve"> (2010 to 2018)</w:t>
      </w:r>
      <w:r w:rsidR="00EF3CD5" w:rsidRPr="00A51748">
        <w:rPr>
          <w:rFonts w:cs="Times New Roman"/>
          <w:lang w:val="en-CA"/>
        </w:rPr>
        <w:t xml:space="preserve">. This </w:t>
      </w:r>
      <w:r w:rsidR="00EF3CD5" w:rsidRPr="00A51748">
        <w:rPr>
          <w:rFonts w:cs="Times New Roman"/>
          <w:lang w:val="en-CA"/>
        </w:rPr>
        <w:lastRenderedPageBreak/>
        <w:t>highlights the importance of transnational collaboration for ensuring the management of PA connectivity in many parts of the world</w:t>
      </w:r>
      <w:r w:rsidR="000E7829" w:rsidRPr="00A51748">
        <w:rPr>
          <w:rFonts w:cs="Times New Roman"/>
          <w:lang w:val="en-CA"/>
        </w:rPr>
        <w:t>.</w:t>
      </w:r>
      <w:r w:rsidR="000E7829" w:rsidRPr="00A51748">
        <w:rPr>
          <w:rStyle w:val="FootnoteReference"/>
          <w:rFonts w:cs="Times New Roman"/>
          <w:lang w:val="en-CA"/>
        </w:rPr>
        <w:footnoteReference w:id="56"/>
      </w:r>
      <w:r w:rsidR="000E7829" w:rsidRPr="00A51748">
        <w:rPr>
          <w:rFonts w:cs="Times New Roman"/>
          <w:lang w:val="en-CA"/>
        </w:rPr>
        <w:t xml:space="preserve"> </w:t>
      </w:r>
    </w:p>
    <w:p w14:paraId="3842B329" w14:textId="77777777" w:rsidR="00EF730B" w:rsidRPr="00A51748" w:rsidRDefault="000E7829" w:rsidP="006D6DCD">
      <w:pPr>
        <w:pStyle w:val="Para1"/>
        <w:numPr>
          <w:ilvl w:val="0"/>
          <w:numId w:val="14"/>
        </w:numPr>
        <w:spacing w:before="0"/>
        <w:ind w:left="0" w:firstLine="0"/>
        <w:rPr>
          <w:rFonts w:cs="Times New Roman"/>
          <w:lang w:val="en-CA"/>
        </w:rPr>
      </w:pPr>
      <w:r w:rsidRPr="00A51748">
        <w:rPr>
          <w:rFonts w:cs="Times New Roman"/>
          <w:lang w:val="en-CA"/>
        </w:rPr>
        <w:t xml:space="preserve">To date, there is no global assessment of connectivity for marine protected areas, </w:t>
      </w:r>
      <w:r w:rsidR="00EF3CD5" w:rsidRPr="00A51748">
        <w:rPr>
          <w:rFonts w:cs="Times New Roman"/>
          <w:lang w:val="en-CA"/>
        </w:rPr>
        <w:t xml:space="preserve">though it is possible that the ProtConn indicator could be applied in the marine realm, possibly </w:t>
      </w:r>
      <w:r w:rsidR="000441D8" w:rsidRPr="00A51748">
        <w:rPr>
          <w:rFonts w:cs="Times New Roman"/>
          <w:lang w:val="en-CA"/>
        </w:rPr>
        <w:t>incorporating</w:t>
      </w:r>
      <w:r w:rsidR="009242FE" w:rsidRPr="00A51748">
        <w:rPr>
          <w:rFonts w:cs="Times New Roman"/>
          <w:lang w:val="en-CA"/>
        </w:rPr>
        <w:t xml:space="preserve"> the effects of ocean circulation.</w:t>
      </w:r>
      <w:r w:rsidR="009242FE" w:rsidRPr="00A51748">
        <w:rPr>
          <w:rStyle w:val="FootnoteReference"/>
          <w:rFonts w:cs="Times New Roman"/>
          <w:lang w:val="en-CA"/>
        </w:rPr>
        <w:footnoteReference w:id="57"/>
      </w:r>
    </w:p>
    <w:p w14:paraId="71E01072" w14:textId="77777777" w:rsidR="00FD13D9" w:rsidRPr="00A51748" w:rsidRDefault="00FD13D9" w:rsidP="006D6DCD">
      <w:pPr>
        <w:pStyle w:val="Para1"/>
        <w:numPr>
          <w:ilvl w:val="0"/>
          <w:numId w:val="0"/>
        </w:numPr>
        <w:spacing w:before="0"/>
        <w:rPr>
          <w:rFonts w:cs="Times New Roman"/>
          <w:noProof/>
          <w:lang w:val="en-CA" w:eastAsia="en-CA"/>
        </w:rPr>
      </w:pPr>
      <w:r w:rsidRPr="00A51748">
        <w:rPr>
          <w:rFonts w:cs="Times New Roman"/>
          <w:noProof/>
          <w:lang w:val="en-CA" w:eastAsia="en-CA"/>
        </w:rPr>
        <w:drawing>
          <wp:inline distT="0" distB="0" distL="0" distR="0" wp14:anchorId="30671E20" wp14:editId="7EFB6D1D">
            <wp:extent cx="5946419" cy="4809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_map_WDPA_july_2018.png"/>
                    <pic:cNvPicPr/>
                  </pic:nvPicPr>
                  <pic:blipFill rotWithShape="1">
                    <a:blip r:embed="rId25" cstate="print">
                      <a:extLst>
                        <a:ext uri="{28A0092B-C50C-407E-A947-70E740481C1C}">
                          <a14:useLocalDpi xmlns:a14="http://schemas.microsoft.com/office/drawing/2010/main" val="0"/>
                        </a:ext>
                      </a:extLst>
                    </a:blip>
                    <a:srcRect l="3955" t="1421" r="1695" b="88023"/>
                    <a:stretch/>
                  </pic:blipFill>
                  <pic:spPr bwMode="auto">
                    <a:xfrm>
                      <a:off x="0" y="0"/>
                      <a:ext cx="5943600" cy="480678"/>
                    </a:xfrm>
                    <a:prstGeom prst="rect">
                      <a:avLst/>
                    </a:prstGeom>
                    <a:ln>
                      <a:noFill/>
                    </a:ln>
                    <a:extLst>
                      <a:ext uri="{53640926-AAD7-44D8-BBD7-CCE9431645EC}">
                        <a14:shadowObscured xmlns:a14="http://schemas.microsoft.com/office/drawing/2010/main"/>
                      </a:ext>
                    </a:extLst>
                  </pic:spPr>
                </pic:pic>
              </a:graphicData>
            </a:graphic>
          </wp:inline>
        </w:drawing>
      </w:r>
    </w:p>
    <w:p w14:paraId="3BE3DC7A" w14:textId="77777777" w:rsidR="00FD13D9" w:rsidRPr="00A51748" w:rsidRDefault="00FD13D9" w:rsidP="006D6DCD">
      <w:pPr>
        <w:pStyle w:val="Para1"/>
        <w:numPr>
          <w:ilvl w:val="0"/>
          <w:numId w:val="0"/>
        </w:numPr>
        <w:spacing w:before="0"/>
        <w:rPr>
          <w:rFonts w:cs="Times New Roman"/>
          <w:noProof/>
          <w:lang w:val="en-CA" w:eastAsia="en-CA"/>
        </w:rPr>
      </w:pPr>
      <w:r w:rsidRPr="00A51748">
        <w:rPr>
          <w:rFonts w:cs="Times New Roman"/>
          <w:noProof/>
          <w:lang w:val="en-CA" w:eastAsia="en-CA"/>
        </w:rPr>
        <w:drawing>
          <wp:inline distT="0" distB="0" distL="0" distR="0" wp14:anchorId="0E95FA48" wp14:editId="2AAF62AA">
            <wp:extent cx="5946420" cy="256709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_map_WDPA_july_2018.png"/>
                    <pic:cNvPicPr/>
                  </pic:nvPicPr>
                  <pic:blipFill rotWithShape="1">
                    <a:blip r:embed="rId25" cstate="print">
                      <a:extLst>
                        <a:ext uri="{28A0092B-C50C-407E-A947-70E740481C1C}">
                          <a14:useLocalDpi xmlns:a14="http://schemas.microsoft.com/office/drawing/2010/main" val="0"/>
                        </a:ext>
                      </a:extLst>
                    </a:blip>
                    <a:srcRect l="3955" t="20897" r="1695" b="22759"/>
                    <a:stretch/>
                  </pic:blipFill>
                  <pic:spPr bwMode="auto">
                    <a:xfrm>
                      <a:off x="0" y="0"/>
                      <a:ext cx="5943600" cy="2565876"/>
                    </a:xfrm>
                    <a:prstGeom prst="rect">
                      <a:avLst/>
                    </a:prstGeom>
                    <a:ln>
                      <a:noFill/>
                    </a:ln>
                    <a:extLst>
                      <a:ext uri="{53640926-AAD7-44D8-BBD7-CCE9431645EC}">
                        <a14:shadowObscured xmlns:a14="http://schemas.microsoft.com/office/drawing/2010/main"/>
                      </a:ext>
                    </a:extLst>
                  </pic:spPr>
                </pic:pic>
              </a:graphicData>
            </a:graphic>
          </wp:inline>
        </w:drawing>
      </w:r>
    </w:p>
    <w:p w14:paraId="2F8DFFED" w14:textId="77777777" w:rsidR="00CF00B6" w:rsidRPr="00A51748" w:rsidRDefault="00CF00B6" w:rsidP="006D6DCD">
      <w:pPr>
        <w:pStyle w:val="Para1"/>
        <w:numPr>
          <w:ilvl w:val="0"/>
          <w:numId w:val="0"/>
        </w:numPr>
        <w:spacing w:before="0"/>
        <w:rPr>
          <w:rFonts w:cs="Times New Roman"/>
          <w:noProof/>
          <w:lang w:val="en-CA" w:eastAsia="en-CA"/>
        </w:rPr>
      </w:pPr>
      <w:r w:rsidRPr="00A51748">
        <w:rPr>
          <w:rFonts w:cs="Times New Roman"/>
          <w:noProof/>
          <w:lang w:val="en-CA" w:eastAsia="en-CA"/>
        </w:rPr>
        <w:drawing>
          <wp:inline distT="0" distB="0" distL="0" distR="0" wp14:anchorId="2568EAAD" wp14:editId="44FFBD4C">
            <wp:extent cx="5946486" cy="528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zil_map_WDPA_july_2018.png"/>
                    <pic:cNvPicPr/>
                  </pic:nvPicPr>
                  <pic:blipFill rotWithShape="1">
                    <a:blip r:embed="rId25" cstate="print">
                      <a:extLst>
                        <a:ext uri="{28A0092B-C50C-407E-A947-70E740481C1C}">
                          <a14:useLocalDpi xmlns:a14="http://schemas.microsoft.com/office/drawing/2010/main" val="0"/>
                        </a:ext>
                      </a:extLst>
                    </a:blip>
                    <a:srcRect l="3955" t="88242" r="1695" b="162"/>
                    <a:stretch/>
                  </pic:blipFill>
                  <pic:spPr bwMode="auto">
                    <a:xfrm>
                      <a:off x="0" y="0"/>
                      <a:ext cx="5943600" cy="528064"/>
                    </a:xfrm>
                    <a:prstGeom prst="rect">
                      <a:avLst/>
                    </a:prstGeom>
                    <a:ln>
                      <a:noFill/>
                    </a:ln>
                    <a:extLst>
                      <a:ext uri="{53640926-AAD7-44D8-BBD7-CCE9431645EC}">
                        <a14:shadowObscured xmlns:a14="http://schemas.microsoft.com/office/drawing/2010/main"/>
                      </a:ext>
                    </a:extLst>
                  </pic:spPr>
                </pic:pic>
              </a:graphicData>
            </a:graphic>
          </wp:inline>
        </w:drawing>
      </w:r>
    </w:p>
    <w:p w14:paraId="759FE523" w14:textId="77777777" w:rsidR="00050BD1" w:rsidRPr="00A51748" w:rsidRDefault="00050BD1" w:rsidP="006D6DCD">
      <w:pPr>
        <w:pStyle w:val="Para1"/>
        <w:numPr>
          <w:ilvl w:val="0"/>
          <w:numId w:val="0"/>
        </w:numPr>
        <w:spacing w:before="0"/>
        <w:rPr>
          <w:rFonts w:cs="Times New Roman"/>
          <w:sz w:val="18"/>
        </w:rPr>
      </w:pPr>
      <w:r w:rsidRPr="00A51748">
        <w:rPr>
          <w:rFonts w:cs="Times New Roman"/>
          <w:b/>
          <w:sz w:val="18"/>
        </w:rPr>
        <w:t xml:space="preserve">Figure </w:t>
      </w:r>
      <w:r w:rsidR="00631FAF" w:rsidRPr="00A51748">
        <w:rPr>
          <w:rFonts w:cs="Times New Roman"/>
          <w:b/>
          <w:sz w:val="18"/>
        </w:rPr>
        <w:t>5</w:t>
      </w:r>
      <w:r w:rsidRPr="00A51748">
        <w:rPr>
          <w:rFonts w:cs="Times New Roman"/>
          <w:b/>
          <w:sz w:val="18"/>
        </w:rPr>
        <w:t xml:space="preserve">. </w:t>
      </w:r>
      <w:r w:rsidR="0053212C" w:rsidRPr="00A51748">
        <w:rPr>
          <w:rFonts w:cs="Times New Roman"/>
          <w:sz w:val="18"/>
        </w:rPr>
        <w:t>Percent coverage of protected-connected lands, at the national-level.</w:t>
      </w:r>
      <w:r w:rsidR="0050551F" w:rsidRPr="00A51748">
        <w:rPr>
          <w:rStyle w:val="FootnoteReference"/>
          <w:rFonts w:cs="Times New Roman"/>
        </w:rPr>
        <w:footnoteReference w:id="58"/>
      </w:r>
    </w:p>
    <w:p w14:paraId="122658D8" w14:textId="77777777" w:rsidR="00A5291F" w:rsidRPr="00A51748" w:rsidRDefault="00A5291F" w:rsidP="006D6DCD">
      <w:pPr>
        <w:pStyle w:val="Para1"/>
        <w:numPr>
          <w:ilvl w:val="0"/>
          <w:numId w:val="14"/>
        </w:numPr>
        <w:spacing w:before="0"/>
        <w:ind w:left="0" w:firstLine="0"/>
        <w:rPr>
          <w:rFonts w:cs="Times New Roman"/>
        </w:rPr>
      </w:pPr>
      <w:r w:rsidRPr="00A51748">
        <w:rPr>
          <w:rFonts w:cs="Times New Roman"/>
        </w:rPr>
        <w:t xml:space="preserve">A complementary indicator of protected area connectivity is the Protected Area Connectedness Index, developed by CSIRO, which accounts for the connectivity between protected areas, but also includes areas containing primary vegetation in the surrounding non-protected landscape. </w:t>
      </w:r>
      <w:r w:rsidR="00F94B89" w:rsidRPr="00A51748">
        <w:rPr>
          <w:rFonts w:cs="Times New Roman"/>
        </w:rPr>
        <w:t xml:space="preserve">By including </w:t>
      </w:r>
      <w:r w:rsidR="00C5506B" w:rsidRPr="00A51748">
        <w:rPr>
          <w:rFonts w:cs="Times New Roman"/>
        </w:rPr>
        <w:t>the impacts of</w:t>
      </w:r>
      <w:r w:rsidR="00F94B89" w:rsidRPr="00A51748">
        <w:rPr>
          <w:rFonts w:cs="Times New Roman"/>
        </w:rPr>
        <w:t xml:space="preserve"> surrounding natural vegetation</w:t>
      </w:r>
      <w:r w:rsidR="00C5506B" w:rsidRPr="00A51748">
        <w:rPr>
          <w:rFonts w:cs="Times New Roman"/>
        </w:rPr>
        <w:t xml:space="preserve">, it also gives some indication of </w:t>
      </w:r>
      <w:r w:rsidR="00F94B89" w:rsidRPr="00A51748">
        <w:rPr>
          <w:rFonts w:cs="Times New Roman"/>
        </w:rPr>
        <w:t xml:space="preserve">integration </w:t>
      </w:r>
      <w:r w:rsidR="00F43A3F" w:rsidRPr="00A51748">
        <w:rPr>
          <w:rFonts w:cs="Times New Roman"/>
        </w:rPr>
        <w:t xml:space="preserve">of protected areas </w:t>
      </w:r>
      <w:r w:rsidR="00F94B89" w:rsidRPr="00A51748">
        <w:rPr>
          <w:rFonts w:cs="Times New Roman"/>
        </w:rPr>
        <w:t>with the wider landscape.</w:t>
      </w:r>
      <w:r w:rsidR="00EF3CD5" w:rsidRPr="00A51748">
        <w:rPr>
          <w:rStyle w:val="FootnoteReference"/>
          <w:rFonts w:cs="Times New Roman"/>
        </w:rPr>
        <w:footnoteReference w:id="59"/>
      </w:r>
      <w:r w:rsidR="00F94B89" w:rsidRPr="00A51748">
        <w:rPr>
          <w:rFonts w:cs="Times New Roman"/>
        </w:rPr>
        <w:t xml:space="preserve"> </w:t>
      </w:r>
      <w:r w:rsidRPr="00A51748">
        <w:rPr>
          <w:rFonts w:cs="Times New Roman"/>
        </w:rPr>
        <w:t>The most recent assessment—for the year 2019—shows an indicator value just above 0.5</w:t>
      </w:r>
      <w:r w:rsidR="00D52FC3" w:rsidRPr="00A51748">
        <w:rPr>
          <w:rFonts w:cs="Times New Roman"/>
        </w:rPr>
        <w:t xml:space="preserve"> (Fig. </w:t>
      </w:r>
      <w:r w:rsidR="00631FAF" w:rsidRPr="00A51748">
        <w:rPr>
          <w:rFonts w:cs="Times New Roman"/>
        </w:rPr>
        <w:t>6</w:t>
      </w:r>
      <w:r w:rsidR="00D52FC3" w:rsidRPr="00A51748">
        <w:rPr>
          <w:rFonts w:cs="Times New Roman"/>
        </w:rPr>
        <w:t>)</w:t>
      </w:r>
      <w:r w:rsidRPr="00A51748">
        <w:rPr>
          <w:rFonts w:cs="Times New Roman"/>
        </w:rPr>
        <w:t>.</w:t>
      </w:r>
      <w:r w:rsidR="00F43A3F" w:rsidRPr="00A51748">
        <w:rPr>
          <w:rStyle w:val="FootnoteReference"/>
          <w:rFonts w:cs="Times New Roman"/>
          <w:sz w:val="22"/>
        </w:rPr>
        <w:t xml:space="preserve"> </w:t>
      </w:r>
      <w:r w:rsidR="00F43A3F" w:rsidRPr="00A51748">
        <w:rPr>
          <w:rStyle w:val="FootnoteReference"/>
          <w:rFonts w:cs="Times New Roman"/>
          <w:sz w:val="22"/>
        </w:rPr>
        <w:footnoteReference w:id="60"/>
      </w:r>
      <w:r w:rsidRPr="00A51748">
        <w:rPr>
          <w:rFonts w:cs="Times New Roman"/>
        </w:rPr>
        <w:t xml:space="preserve"> This indicates that, on average, connectivity is halfway between a scenario where a protected area is surrounded by a continuous 500 km radius of unprotected human-modified habitat, and one where it is surrounded by a stretch of protected areas and/or primary vegetation.</w:t>
      </w:r>
      <w:r w:rsidR="00F94B89" w:rsidRPr="00A51748">
        <w:rPr>
          <w:rFonts w:cs="Times New Roman"/>
        </w:rPr>
        <w:t xml:space="preserve"> There was very little change in global connectivity</w:t>
      </w:r>
      <w:r w:rsidR="00F43A3F" w:rsidRPr="00A51748">
        <w:rPr>
          <w:rFonts w:cs="Times New Roman"/>
        </w:rPr>
        <w:t xml:space="preserve"> as measured by the PARC-Connectedness Index </w:t>
      </w:r>
      <w:r w:rsidR="004B2C84" w:rsidRPr="00A51748">
        <w:rPr>
          <w:rFonts w:cs="Times New Roman"/>
        </w:rPr>
        <w:t xml:space="preserve">between 2005 and 2019 </w:t>
      </w:r>
      <w:r w:rsidR="00F43A3F" w:rsidRPr="00A51748">
        <w:rPr>
          <w:rFonts w:cs="Times New Roman"/>
        </w:rPr>
        <w:t xml:space="preserve">(Fig. </w:t>
      </w:r>
      <w:r w:rsidR="00631FAF" w:rsidRPr="00A51748">
        <w:rPr>
          <w:rFonts w:cs="Times New Roman"/>
        </w:rPr>
        <w:t>6</w:t>
      </w:r>
      <w:r w:rsidR="00D52FC3" w:rsidRPr="00A51748">
        <w:rPr>
          <w:rFonts w:cs="Times New Roman"/>
        </w:rPr>
        <w:t>a</w:t>
      </w:r>
      <w:r w:rsidR="00F43A3F" w:rsidRPr="00A51748">
        <w:rPr>
          <w:rFonts w:cs="Times New Roman"/>
        </w:rPr>
        <w:t>)</w:t>
      </w:r>
      <w:r w:rsidR="004B2C84" w:rsidRPr="00A51748">
        <w:rPr>
          <w:rFonts w:cs="Times New Roman"/>
        </w:rPr>
        <w:t>. However, this masks some of th</w:t>
      </w:r>
      <w:r w:rsidR="00121E27" w:rsidRPr="00A51748">
        <w:rPr>
          <w:rFonts w:cs="Times New Roman"/>
        </w:rPr>
        <w:t>e changes occurring nationally</w:t>
      </w:r>
      <w:r w:rsidR="00D52FC3" w:rsidRPr="00A51748">
        <w:rPr>
          <w:rFonts w:cs="Times New Roman"/>
        </w:rPr>
        <w:t xml:space="preserve"> (Fig. </w:t>
      </w:r>
      <w:r w:rsidR="00631FAF" w:rsidRPr="00A51748">
        <w:rPr>
          <w:rFonts w:cs="Times New Roman"/>
        </w:rPr>
        <w:t>6</w:t>
      </w:r>
      <w:r w:rsidR="00D52FC3" w:rsidRPr="00A51748">
        <w:rPr>
          <w:rFonts w:cs="Times New Roman"/>
        </w:rPr>
        <w:t>b)</w:t>
      </w:r>
      <w:r w:rsidR="00121E27" w:rsidRPr="00A51748">
        <w:rPr>
          <w:rFonts w:cs="Times New Roman"/>
        </w:rPr>
        <w:t xml:space="preserve">. Over </w:t>
      </w:r>
      <w:r w:rsidR="00121E27" w:rsidRPr="00A51748">
        <w:rPr>
          <w:rFonts w:cs="Times New Roman"/>
        </w:rPr>
        <w:lastRenderedPageBreak/>
        <w:t xml:space="preserve">this time period, most countries saw at least some increase in connectivity, and </w:t>
      </w:r>
      <w:r w:rsidR="000E7829" w:rsidRPr="00A51748">
        <w:rPr>
          <w:rFonts w:cs="Times New Roman"/>
        </w:rPr>
        <w:t>8</w:t>
      </w:r>
      <w:r w:rsidR="00121E27" w:rsidRPr="00A51748">
        <w:rPr>
          <w:rFonts w:cs="Times New Roman"/>
        </w:rPr>
        <w:t>3</w:t>
      </w:r>
      <w:r w:rsidR="000E7829" w:rsidRPr="00A51748">
        <w:rPr>
          <w:rFonts w:cs="Times New Roman"/>
        </w:rPr>
        <w:t xml:space="preserve"> countries saw a relative increase of at least 5%.</w:t>
      </w:r>
      <w:r w:rsidR="0018621B" w:rsidRPr="00A51748">
        <w:rPr>
          <w:rFonts w:cs="Times New Roman"/>
        </w:rPr>
        <w:t xml:space="preserve"> </w:t>
      </w:r>
      <w:r w:rsidR="00121E27" w:rsidRPr="00A51748">
        <w:rPr>
          <w:rFonts w:cs="Times New Roman"/>
        </w:rPr>
        <w:t xml:space="preserve">Concurrently, 43 saw a decrease in connectivity. </w:t>
      </w:r>
      <w:r w:rsidR="001761D3" w:rsidRPr="00A51748">
        <w:rPr>
          <w:rFonts w:cs="Times New Roman"/>
        </w:rPr>
        <w:t xml:space="preserve">As the </w:t>
      </w:r>
      <w:r w:rsidR="001761D3" w:rsidRPr="00A51748">
        <w:rPr>
          <w:rFonts w:cs="Times New Roman"/>
          <w:lang w:val="en-AU"/>
        </w:rPr>
        <w:t xml:space="preserve">PARC-Connectedness Index measures the average connectedness of protected areas, and not total coverage, </w:t>
      </w:r>
      <w:r w:rsidR="001761D3" w:rsidRPr="00A51748">
        <w:rPr>
          <w:rFonts w:cs="Times New Roman"/>
        </w:rPr>
        <w:t>decreases</w:t>
      </w:r>
      <w:r w:rsidR="0018621B" w:rsidRPr="00A51748">
        <w:rPr>
          <w:rFonts w:cs="Times New Roman"/>
        </w:rPr>
        <w:t xml:space="preserve"> </w:t>
      </w:r>
      <w:r w:rsidR="00121E27" w:rsidRPr="00A51748">
        <w:rPr>
          <w:rFonts w:cs="Times New Roman"/>
        </w:rPr>
        <w:t xml:space="preserve">in connectivity could result </w:t>
      </w:r>
      <w:r w:rsidR="0018621B" w:rsidRPr="00A51748">
        <w:rPr>
          <w:rFonts w:cs="Times New Roman"/>
        </w:rPr>
        <w:t xml:space="preserve">from </w:t>
      </w:r>
      <w:r w:rsidR="001761D3" w:rsidRPr="00A51748">
        <w:rPr>
          <w:rFonts w:cs="Times New Roman"/>
        </w:rPr>
        <w:t xml:space="preserve">the </w:t>
      </w:r>
      <w:r w:rsidR="001761D3" w:rsidRPr="00A51748">
        <w:rPr>
          <w:rFonts w:cs="Times New Roman"/>
          <w:lang w:val="en-AU"/>
        </w:rPr>
        <w:t xml:space="preserve">addition of small poorly-connected protected areas. Decreases could also result from </w:t>
      </w:r>
      <w:r w:rsidR="00D52FC3" w:rsidRPr="00A51748">
        <w:rPr>
          <w:rFonts w:cs="Times New Roman"/>
          <w:lang w:val="en-AU"/>
        </w:rPr>
        <w:t>the</w:t>
      </w:r>
      <w:r w:rsidR="0018621B" w:rsidRPr="00A51748">
        <w:rPr>
          <w:rFonts w:cs="Times New Roman"/>
        </w:rPr>
        <w:t xml:space="preserve"> loss of primary vegetation in surrounding </w:t>
      </w:r>
      <w:r w:rsidR="001761D3" w:rsidRPr="00A51748">
        <w:rPr>
          <w:rFonts w:cs="Times New Roman"/>
        </w:rPr>
        <w:t>non-protected areas.</w:t>
      </w:r>
    </w:p>
    <w:p w14:paraId="642B03F3" w14:textId="77777777" w:rsidR="00CF00B6" w:rsidRPr="00A51748" w:rsidRDefault="00E02327" w:rsidP="006D6DCD">
      <w:pPr>
        <w:pStyle w:val="Para1"/>
        <w:numPr>
          <w:ilvl w:val="0"/>
          <w:numId w:val="0"/>
        </w:numPr>
        <w:spacing w:before="0"/>
        <w:rPr>
          <w:rFonts w:cs="Times New Roman"/>
        </w:rPr>
      </w:pPr>
      <w:r w:rsidRPr="00A51748">
        <w:rPr>
          <w:rFonts w:cs="Times New Roman"/>
          <w:noProof/>
          <w:lang w:val="en-CA" w:eastAsia="en-CA"/>
        </w:rPr>
        <w:drawing>
          <wp:inline distT="0" distB="0" distL="0" distR="0" wp14:anchorId="220DED45" wp14:editId="0B542FAF">
            <wp:extent cx="2878667" cy="1964266"/>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121E27" w:rsidRPr="00A51748">
        <w:rPr>
          <w:rFonts w:cs="Times New Roman"/>
          <w:noProof/>
          <w:lang w:val="en-CA" w:eastAsia="en-CA"/>
        </w:rPr>
        <w:t xml:space="preserve"> </w:t>
      </w:r>
      <w:r w:rsidR="00121E27" w:rsidRPr="00A51748">
        <w:rPr>
          <w:rFonts w:cs="Times New Roman"/>
          <w:noProof/>
          <w:lang w:val="en-CA" w:eastAsia="en-CA"/>
        </w:rPr>
        <w:drawing>
          <wp:inline distT="0" distB="0" distL="0" distR="0" wp14:anchorId="37B60838" wp14:editId="5D66164C">
            <wp:extent cx="3007360" cy="1964266"/>
            <wp:effectExtent l="0" t="0" r="254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14364EE" w14:textId="77777777" w:rsidR="00E02327" w:rsidRPr="00A51748" w:rsidRDefault="00D52FC3" w:rsidP="006D6DCD">
      <w:pPr>
        <w:pStyle w:val="Para1"/>
        <w:numPr>
          <w:ilvl w:val="0"/>
          <w:numId w:val="0"/>
        </w:numPr>
        <w:spacing w:before="0"/>
        <w:rPr>
          <w:rFonts w:cs="Times New Roman"/>
        </w:rPr>
      </w:pPr>
      <w:r w:rsidRPr="00A51748">
        <w:rPr>
          <w:rFonts w:cs="Times New Roman"/>
          <w:b/>
          <w:sz w:val="18"/>
        </w:rPr>
        <w:t xml:space="preserve">Figure </w:t>
      </w:r>
      <w:r w:rsidR="00631FAF" w:rsidRPr="00A51748">
        <w:rPr>
          <w:rFonts w:cs="Times New Roman"/>
          <w:b/>
          <w:sz w:val="18"/>
        </w:rPr>
        <w:t>6</w:t>
      </w:r>
      <w:r w:rsidR="00E02327" w:rsidRPr="00A51748">
        <w:rPr>
          <w:rFonts w:cs="Times New Roman"/>
          <w:b/>
          <w:sz w:val="18"/>
        </w:rPr>
        <w:t xml:space="preserve">. </w:t>
      </w:r>
      <w:r w:rsidR="00E02327" w:rsidRPr="00A51748">
        <w:rPr>
          <w:rFonts w:cs="Times New Roman"/>
          <w:sz w:val="18"/>
        </w:rPr>
        <w:t>Chan</w:t>
      </w:r>
      <w:r w:rsidR="0050551F" w:rsidRPr="00A51748">
        <w:rPr>
          <w:rFonts w:cs="Times New Roman"/>
          <w:sz w:val="18"/>
        </w:rPr>
        <w:t>ge in PARC-Connectedness Index, globally</w:t>
      </w:r>
      <w:r w:rsidR="00121E27" w:rsidRPr="00A51748">
        <w:rPr>
          <w:rFonts w:cs="Times New Roman"/>
          <w:sz w:val="18"/>
        </w:rPr>
        <w:t xml:space="preserve"> (A) and change in the number of countries at varying levels of connectivity (B)</w:t>
      </w:r>
      <w:r w:rsidR="0050551F" w:rsidRPr="00A51748">
        <w:rPr>
          <w:rFonts w:cs="Times New Roman"/>
          <w:sz w:val="18"/>
        </w:rPr>
        <w:t>, between 2005 and 2019</w:t>
      </w:r>
      <w:r w:rsidR="00E02327" w:rsidRPr="00A51748">
        <w:rPr>
          <w:rFonts w:cs="Times New Roman"/>
          <w:sz w:val="18"/>
        </w:rPr>
        <w:t>.</w:t>
      </w:r>
      <w:r w:rsidR="00E02327" w:rsidRPr="00A51748">
        <w:rPr>
          <w:rStyle w:val="FootnoteReference"/>
          <w:rFonts w:cs="Times New Roman"/>
        </w:rPr>
        <w:footnoteReference w:id="61"/>
      </w:r>
    </w:p>
    <w:p w14:paraId="7183EEA0" w14:textId="77777777" w:rsidR="00506A57" w:rsidRPr="00A51748" w:rsidRDefault="00506A57" w:rsidP="006D6DCD">
      <w:pPr>
        <w:pStyle w:val="Heading4"/>
        <w:spacing w:before="0"/>
        <w:jc w:val="both"/>
      </w:pPr>
      <w:r w:rsidRPr="00A51748">
        <w:t>(v) Effectively managed</w:t>
      </w:r>
    </w:p>
    <w:p w14:paraId="6D666D1A" w14:textId="77777777" w:rsidR="00CE508B" w:rsidRPr="00A51748" w:rsidRDefault="00FB5D2E" w:rsidP="006D6DCD">
      <w:pPr>
        <w:pStyle w:val="Para1"/>
        <w:numPr>
          <w:ilvl w:val="0"/>
          <w:numId w:val="14"/>
        </w:numPr>
        <w:spacing w:before="0"/>
        <w:ind w:left="0" w:firstLine="0"/>
        <w:rPr>
          <w:rFonts w:cs="Times New Roman"/>
        </w:rPr>
      </w:pPr>
      <w:r w:rsidRPr="00A51748">
        <w:rPr>
          <w:rFonts w:cs="Times New Roman"/>
        </w:rPr>
        <w:t xml:space="preserve">In 2010, per COP </w:t>
      </w:r>
      <w:hyperlink r:id="rId28" w:history="1">
        <w:r w:rsidRPr="00A51748">
          <w:rPr>
            <w:rStyle w:val="Hyperlink"/>
            <w:rFonts w:cs="Times New Roman"/>
            <w:color w:val="auto"/>
          </w:rPr>
          <w:t>Decision X/31</w:t>
        </w:r>
      </w:hyperlink>
      <w:r w:rsidRPr="00A51748">
        <w:rPr>
          <w:rFonts w:cs="Times New Roman"/>
        </w:rPr>
        <w:t>, Parties were invited to implement management effectiveness evaluations in at least 60% of their total protected areas</w:t>
      </w:r>
      <w:r w:rsidR="00060F59" w:rsidRPr="00A51748">
        <w:rPr>
          <w:rFonts w:cs="Times New Roman"/>
        </w:rPr>
        <w:t>. In 20</w:t>
      </w:r>
      <w:r w:rsidR="001E7350" w:rsidRPr="00A51748">
        <w:rPr>
          <w:rFonts w:cs="Times New Roman"/>
        </w:rPr>
        <w:t>1</w:t>
      </w:r>
      <w:r w:rsidR="00060F59" w:rsidRPr="00A51748">
        <w:rPr>
          <w:rFonts w:cs="Times New Roman"/>
        </w:rPr>
        <w:t xml:space="preserve">6, </w:t>
      </w:r>
      <w:r w:rsidRPr="00A51748">
        <w:rPr>
          <w:rFonts w:cs="Times New Roman"/>
        </w:rPr>
        <w:t xml:space="preserve">the COP encouraged Parties to expand, institutionalize, and undertake more systematic assessments of management effectiveness within their protected areas system, as well as to update and share the relevant information on management effectiveness in the global database on protected area management effectiveness (GD-PAME). </w:t>
      </w:r>
      <w:r w:rsidR="00CD6E4C" w:rsidRPr="00A51748">
        <w:rPr>
          <w:rFonts w:cs="Times New Roman"/>
        </w:rPr>
        <w:t xml:space="preserve">By </w:t>
      </w:r>
      <w:r w:rsidR="00217B8C" w:rsidRPr="00A51748">
        <w:rPr>
          <w:rFonts w:cs="Times New Roman"/>
        </w:rPr>
        <w:t xml:space="preserve">June </w:t>
      </w:r>
      <w:r w:rsidR="00CD6E4C" w:rsidRPr="00A51748">
        <w:rPr>
          <w:rFonts w:cs="Times New Roman"/>
        </w:rPr>
        <w:t xml:space="preserve">2019, </w:t>
      </w:r>
      <w:r w:rsidRPr="00A51748">
        <w:rPr>
          <w:rFonts w:cs="Times New Roman"/>
        </w:rPr>
        <w:t xml:space="preserve">as per information reported in the GD-PAME, </w:t>
      </w:r>
      <w:r w:rsidR="00FD13D9" w:rsidRPr="00A51748">
        <w:rPr>
          <w:rFonts w:cs="Times New Roman"/>
        </w:rPr>
        <w:t>only one-in-five c</w:t>
      </w:r>
      <w:r w:rsidR="00CD6E4C" w:rsidRPr="00A51748">
        <w:rPr>
          <w:rFonts w:cs="Times New Roman"/>
        </w:rPr>
        <w:t>ountries have</w:t>
      </w:r>
      <w:r w:rsidR="00FD13D9" w:rsidRPr="00A51748">
        <w:rPr>
          <w:rFonts w:cs="Times New Roman"/>
        </w:rPr>
        <w:t xml:space="preserve"> evaluated management effectiveness for at least 60% of</w:t>
      </w:r>
      <w:r w:rsidR="00CD6E4C" w:rsidRPr="00A51748">
        <w:rPr>
          <w:rFonts w:cs="Times New Roman"/>
        </w:rPr>
        <w:t xml:space="preserve"> terrestrial protected areas</w:t>
      </w:r>
      <w:r w:rsidR="00FD13D9" w:rsidRPr="00A51748">
        <w:rPr>
          <w:rFonts w:cs="Times New Roman"/>
        </w:rPr>
        <w:t>.</w:t>
      </w:r>
      <w:r w:rsidR="008D41B4" w:rsidRPr="00A51748">
        <w:rPr>
          <w:rStyle w:val="FootnoteReference"/>
          <w:rFonts w:cs="Times New Roman"/>
        </w:rPr>
        <w:footnoteReference w:id="62"/>
      </w:r>
      <w:r w:rsidR="00FD13D9" w:rsidRPr="00A51748">
        <w:rPr>
          <w:rFonts w:cs="Times New Roman"/>
        </w:rPr>
        <w:t xml:space="preserve"> Only</w:t>
      </w:r>
      <w:r w:rsidRPr="00A51748">
        <w:rPr>
          <w:rFonts w:cs="Times New Roman"/>
        </w:rPr>
        <w:t xml:space="preserve"> </w:t>
      </w:r>
      <w:r w:rsidR="00217B8C" w:rsidRPr="00A51748">
        <w:rPr>
          <w:rFonts w:cs="Times New Roman"/>
        </w:rPr>
        <w:t>15</w:t>
      </w:r>
      <w:r w:rsidR="00CD6E4C" w:rsidRPr="00A51748">
        <w:rPr>
          <w:rFonts w:cs="Times New Roman"/>
        </w:rPr>
        <w:t>%</w:t>
      </w:r>
      <w:r w:rsidRPr="00A51748">
        <w:rPr>
          <w:rFonts w:cs="Times New Roman"/>
        </w:rPr>
        <w:t xml:space="preserve"> </w:t>
      </w:r>
      <w:r w:rsidR="00FD13D9" w:rsidRPr="00A51748">
        <w:rPr>
          <w:rFonts w:cs="Times New Roman"/>
        </w:rPr>
        <w:t xml:space="preserve">of countries </w:t>
      </w:r>
      <w:r w:rsidR="00AD5240" w:rsidRPr="00A51748">
        <w:rPr>
          <w:rFonts w:cs="Times New Roman"/>
        </w:rPr>
        <w:t xml:space="preserve">have </w:t>
      </w:r>
      <w:r w:rsidR="00FD13D9" w:rsidRPr="00A51748">
        <w:rPr>
          <w:rFonts w:cs="Times New Roman"/>
        </w:rPr>
        <w:t xml:space="preserve">evaluated management effectiveness for at least 60% of their total </w:t>
      </w:r>
      <w:r w:rsidR="00BF3831" w:rsidRPr="00A51748">
        <w:rPr>
          <w:rFonts w:cs="Times New Roman"/>
        </w:rPr>
        <w:t>marine protected areas</w:t>
      </w:r>
      <w:r w:rsidRPr="00A51748">
        <w:rPr>
          <w:rFonts w:cs="Times New Roman"/>
        </w:rPr>
        <w:t xml:space="preserve">. Currently, </w:t>
      </w:r>
      <w:r w:rsidR="009C0070" w:rsidRPr="00A51748">
        <w:rPr>
          <w:rFonts w:cs="Times New Roman"/>
        </w:rPr>
        <w:t>33 CBD Parties have no completed assessments reported in the GD-PAME</w:t>
      </w:r>
      <w:r w:rsidRPr="00A51748">
        <w:rPr>
          <w:rFonts w:cs="Times New Roman"/>
        </w:rPr>
        <w:t xml:space="preserve">, and the majority have less than 30% </w:t>
      </w:r>
      <w:r w:rsidR="00AD5240" w:rsidRPr="00A51748">
        <w:rPr>
          <w:rFonts w:cs="Times New Roman"/>
        </w:rPr>
        <w:t xml:space="preserve">of their protected area network </w:t>
      </w:r>
      <w:r w:rsidRPr="00A51748">
        <w:rPr>
          <w:rFonts w:cs="Times New Roman"/>
        </w:rPr>
        <w:t>assessed</w:t>
      </w:r>
      <w:r w:rsidR="00CE7888" w:rsidRPr="00A51748">
        <w:rPr>
          <w:rFonts w:cs="Times New Roman"/>
        </w:rPr>
        <w:t xml:space="preserve"> (Fig. </w:t>
      </w:r>
      <w:r w:rsidR="00631FAF" w:rsidRPr="00A51748">
        <w:rPr>
          <w:rFonts w:cs="Times New Roman"/>
        </w:rPr>
        <w:t>7</w:t>
      </w:r>
      <w:r w:rsidR="00CE7888" w:rsidRPr="00A51748">
        <w:rPr>
          <w:rFonts w:cs="Times New Roman"/>
        </w:rPr>
        <w:t>)</w:t>
      </w:r>
      <w:r w:rsidRPr="00A51748">
        <w:rPr>
          <w:rFonts w:cs="Times New Roman"/>
        </w:rPr>
        <w:t>.</w:t>
      </w:r>
      <w:r w:rsidR="00C25580" w:rsidRPr="00A51748">
        <w:rPr>
          <w:rFonts w:cs="Times New Roman"/>
        </w:rPr>
        <w:t xml:space="preserve"> </w:t>
      </w:r>
    </w:p>
    <w:p w14:paraId="0D747DC0" w14:textId="77777777" w:rsidR="00AB1604" w:rsidRPr="00A51748" w:rsidRDefault="005911D3" w:rsidP="006D6DCD">
      <w:pPr>
        <w:pStyle w:val="Para1"/>
        <w:numPr>
          <w:ilvl w:val="0"/>
          <w:numId w:val="14"/>
        </w:numPr>
        <w:spacing w:before="0"/>
        <w:ind w:left="0" w:firstLine="0"/>
        <w:rPr>
          <w:rFonts w:cs="Times New Roman"/>
        </w:rPr>
      </w:pPr>
      <w:r w:rsidRPr="00A51748">
        <w:rPr>
          <w:rFonts w:cs="Times New Roman"/>
        </w:rPr>
        <w:t xml:space="preserve">To date, reporting of progress on the ‘effectively managed’ element of Target 11 has focused on the completion of management effectiveness </w:t>
      </w:r>
      <w:r w:rsidR="008511F8" w:rsidRPr="00A51748">
        <w:rPr>
          <w:rFonts w:cs="Times New Roman"/>
        </w:rPr>
        <w:t xml:space="preserve">evaluations </w:t>
      </w:r>
      <w:r w:rsidR="000F296D" w:rsidRPr="00A51748">
        <w:rPr>
          <w:rFonts w:cs="Times New Roman"/>
        </w:rPr>
        <w:t>(measured against the 60% target)</w:t>
      </w:r>
      <w:r w:rsidR="008511F8" w:rsidRPr="00A51748">
        <w:rPr>
          <w:rFonts w:cs="Times New Roman"/>
        </w:rPr>
        <w:t>. However, simply reporting on the completion of evaluations is not adequate. Results of these management effectiveness evaluations need to be examined to determine whether sites are reporting sound management.</w:t>
      </w:r>
      <w:r w:rsidR="00763B4E" w:rsidRPr="00A51748">
        <w:rPr>
          <w:rFonts w:cs="Times New Roman"/>
        </w:rPr>
        <w:t xml:space="preserve"> </w:t>
      </w:r>
      <w:r w:rsidR="008D41B4" w:rsidRPr="00A51748">
        <w:rPr>
          <w:rFonts w:cs="Times New Roman"/>
        </w:rPr>
        <w:t xml:space="preserve">One difficulty arises from the fact that over 60 different assessment methodologies are in use, according to data reported in the GD-PAME. </w:t>
      </w:r>
      <w:r w:rsidR="008511F8" w:rsidRPr="00A51748">
        <w:rPr>
          <w:rFonts w:cs="Times New Roman"/>
        </w:rPr>
        <w:t xml:space="preserve">Future </w:t>
      </w:r>
      <w:r w:rsidR="00AB1604" w:rsidRPr="00A51748">
        <w:rPr>
          <w:rFonts w:cs="Times New Roman"/>
        </w:rPr>
        <w:t xml:space="preserve">targets relating to </w:t>
      </w:r>
      <w:r w:rsidR="008511F8" w:rsidRPr="00A51748">
        <w:rPr>
          <w:rFonts w:cs="Times New Roman"/>
        </w:rPr>
        <w:t xml:space="preserve">protected area </w:t>
      </w:r>
      <w:r w:rsidR="00AB1604" w:rsidRPr="00A51748">
        <w:rPr>
          <w:rFonts w:cs="Times New Roman"/>
        </w:rPr>
        <w:t xml:space="preserve">management effectiveness </w:t>
      </w:r>
      <w:r w:rsidR="00CE5B57" w:rsidRPr="00A51748">
        <w:rPr>
          <w:rFonts w:cs="Times New Roman"/>
        </w:rPr>
        <w:t>should</w:t>
      </w:r>
      <w:r w:rsidR="00AB1604" w:rsidRPr="00A51748">
        <w:rPr>
          <w:rFonts w:cs="Times New Roman"/>
        </w:rPr>
        <w:t xml:space="preserve"> require that some benchmark of quality is being met. For example, a 2010 study</w:t>
      </w:r>
      <w:r w:rsidR="00AB1604" w:rsidRPr="00A51748">
        <w:rPr>
          <w:rStyle w:val="FootnoteReference"/>
          <w:rFonts w:cs="Times New Roman"/>
        </w:rPr>
        <w:footnoteReference w:id="63"/>
      </w:r>
      <w:r w:rsidR="00AB1604" w:rsidRPr="00A51748">
        <w:rPr>
          <w:rFonts w:cs="Times New Roman"/>
        </w:rPr>
        <w:t xml:space="preserve"> applied a benchmark of two-thirds indicating “effective” management across </w:t>
      </w:r>
      <w:r w:rsidR="00C64D69" w:rsidRPr="00A51748">
        <w:rPr>
          <w:rFonts w:cs="Times New Roman"/>
        </w:rPr>
        <w:t>a</w:t>
      </w:r>
      <w:r w:rsidR="00AB1604" w:rsidRPr="00A51748">
        <w:rPr>
          <w:rFonts w:cs="Times New Roman"/>
        </w:rPr>
        <w:t xml:space="preserve"> suite of indicators, and based on the sample of protected areas included at the time</w:t>
      </w:r>
      <w:r w:rsidR="00060FE7" w:rsidRPr="00A51748">
        <w:rPr>
          <w:rFonts w:cs="Times New Roman"/>
        </w:rPr>
        <w:t xml:space="preserve"> (~6,000 sites</w:t>
      </w:r>
      <w:r w:rsidR="00060FE7" w:rsidRPr="00A51748">
        <w:rPr>
          <w:rStyle w:val="FootnoteReference"/>
          <w:rFonts w:cs="Times New Roman"/>
        </w:rPr>
        <w:footnoteReference w:id="64"/>
      </w:r>
      <w:r w:rsidR="00060FE7" w:rsidRPr="00A51748">
        <w:rPr>
          <w:rFonts w:cs="Times New Roman"/>
        </w:rPr>
        <w:t>)</w:t>
      </w:r>
      <w:r w:rsidR="00AB1604" w:rsidRPr="00A51748">
        <w:rPr>
          <w:rFonts w:cs="Times New Roman"/>
        </w:rPr>
        <w:t xml:space="preserve"> less than one-quarter were deemed to have ‘sound management’.</w:t>
      </w:r>
      <w:r w:rsidR="008511F8" w:rsidRPr="00A51748">
        <w:rPr>
          <w:rFonts w:cs="Times New Roman"/>
        </w:rPr>
        <w:t xml:space="preserve"> </w:t>
      </w:r>
      <w:r w:rsidR="00302C0E" w:rsidRPr="00A51748">
        <w:rPr>
          <w:rFonts w:cs="Times New Roman"/>
        </w:rPr>
        <w:t>Without this information on the adequacy of aspects of management, it will not be possible to properly assess progress for this element of Target</w:t>
      </w:r>
      <w:r w:rsidR="008D41B4" w:rsidRPr="00A51748">
        <w:rPr>
          <w:rFonts w:cs="Times New Roman"/>
        </w:rPr>
        <w:t xml:space="preserve"> 11</w:t>
      </w:r>
      <w:r w:rsidR="00302C0E" w:rsidRPr="00A51748">
        <w:rPr>
          <w:rFonts w:cs="Times New Roman"/>
        </w:rPr>
        <w:t>.</w:t>
      </w:r>
    </w:p>
    <w:p w14:paraId="4908F99A" w14:textId="77777777" w:rsidR="00456491" w:rsidRPr="00A51748" w:rsidRDefault="00456491" w:rsidP="006D6DCD">
      <w:pPr>
        <w:pStyle w:val="Para1"/>
        <w:numPr>
          <w:ilvl w:val="0"/>
          <w:numId w:val="14"/>
        </w:numPr>
        <w:spacing w:before="0"/>
        <w:ind w:left="0" w:firstLine="0"/>
        <w:rPr>
          <w:rFonts w:cs="Times New Roman"/>
        </w:rPr>
      </w:pPr>
      <w:r w:rsidRPr="00A51748">
        <w:rPr>
          <w:rFonts w:cs="Times New Roman"/>
        </w:rPr>
        <w:lastRenderedPageBreak/>
        <w:t>Recent studies have shown that staff and budget capacity are some of the aspects of management most related to conservation outcomes, in both terrestrial</w:t>
      </w:r>
      <w:r w:rsidRPr="00A51748">
        <w:rPr>
          <w:rStyle w:val="FootnoteReference"/>
          <w:rFonts w:cs="Times New Roman"/>
          <w:sz w:val="22"/>
        </w:rPr>
        <w:footnoteReference w:id="65"/>
      </w:r>
      <w:r w:rsidRPr="00A51748">
        <w:rPr>
          <w:rFonts w:cs="Times New Roman"/>
        </w:rPr>
        <w:t xml:space="preserve"> and marine protected areas.</w:t>
      </w:r>
      <w:r w:rsidRPr="00A51748">
        <w:rPr>
          <w:rStyle w:val="FootnoteReference"/>
          <w:rFonts w:cs="Times New Roman"/>
          <w:sz w:val="22"/>
        </w:rPr>
        <w:footnoteReference w:id="66"/>
      </w:r>
      <w:r w:rsidRPr="00A51748">
        <w:rPr>
          <w:rFonts w:cs="Times New Roman"/>
        </w:rPr>
        <w:t xml:space="preserve"> Yet, out of the protected areas represented in the GD-PAME with assessments that address </w:t>
      </w:r>
      <w:r w:rsidRPr="00A51748">
        <w:rPr>
          <w:rFonts w:cs="Times New Roman"/>
          <w:lang w:val="en-CA"/>
        </w:rPr>
        <w:t xml:space="preserve">budget and staff adequacy (over 2,000 sites), </w:t>
      </w:r>
      <w:r w:rsidRPr="00A51748">
        <w:rPr>
          <w:rFonts w:cs="Times New Roman"/>
          <w:lang w:val="en-CA" w:eastAsia="en-GB"/>
        </w:rPr>
        <w:t>less than 25% reported that they had adequate resources with respect to staffing and budget.</w:t>
      </w:r>
      <w:r w:rsidRPr="00A51748">
        <w:rPr>
          <w:rStyle w:val="FootnoteReference"/>
          <w:rFonts w:cs="Times New Roman"/>
          <w:sz w:val="22"/>
        </w:rPr>
        <w:footnoteReference w:id="67"/>
      </w:r>
      <w:r w:rsidRPr="00A51748">
        <w:rPr>
          <w:rFonts w:cs="Times New Roman"/>
        </w:rPr>
        <w:t xml:space="preserve"> Similarly, for marine protected areas, </w:t>
      </w:r>
      <w:r w:rsidRPr="00A51748">
        <w:rPr>
          <w:rFonts w:cs="Times New Roman"/>
          <w:lang w:val="en-CA"/>
        </w:rPr>
        <w:t>most of the 433 marine protected areas in a recent review reported inadequate budgets (65%) and inadequate or below optimum staff capacity (91%).</w:t>
      </w:r>
      <w:r w:rsidRPr="00A51748">
        <w:rPr>
          <w:rStyle w:val="FootnoteReference"/>
          <w:rFonts w:cs="Times New Roman"/>
        </w:rPr>
        <w:footnoteReference w:id="68"/>
      </w:r>
      <w:r w:rsidRPr="00A51748">
        <w:rPr>
          <w:rFonts w:cs="Times New Roman"/>
        </w:rPr>
        <w:t xml:space="preserve"> </w:t>
      </w:r>
      <w:r w:rsidRPr="00A51748">
        <w:rPr>
          <w:rFonts w:eastAsia="Times New Roman" w:cs="Times New Roman"/>
        </w:rPr>
        <w:t>There is a need for more information on conservation outcomes in protected areas, and a better understanding of their relation to specific management inputs</w:t>
      </w:r>
      <w:r w:rsidRPr="00A51748">
        <w:rPr>
          <w:rStyle w:val="FootnoteReference"/>
          <w:rFonts w:cs="Times New Roman"/>
          <w:sz w:val="22"/>
        </w:rPr>
        <w:footnoteReference w:id="69"/>
      </w:r>
      <w:r w:rsidRPr="00A51748">
        <w:rPr>
          <w:rFonts w:eastAsia="Times New Roman" w:cs="Times New Roman"/>
        </w:rPr>
        <w:t>; aspects which should receive greater focus in a post-2020 biodiversity framework. There is also a need for a simple set of indicators that can be used to properly report on management effectiveness</w:t>
      </w:r>
      <w:r w:rsidRPr="00A51748">
        <w:rPr>
          <w:rFonts w:cs="Times New Roman"/>
        </w:rPr>
        <w:t>.</w:t>
      </w:r>
      <w:r w:rsidRPr="00A51748">
        <w:rPr>
          <w:rStyle w:val="FootnoteReference"/>
          <w:rFonts w:cs="Times New Roman"/>
          <w:sz w:val="22"/>
        </w:rPr>
        <w:footnoteReference w:id="70"/>
      </w:r>
      <w:r w:rsidRPr="00A51748">
        <w:rPr>
          <w:rFonts w:eastAsia="Times New Roman" w:cs="Times New Roman"/>
        </w:rPr>
        <w:t xml:space="preserve"> </w:t>
      </w:r>
    </w:p>
    <w:p w14:paraId="785C7464" w14:textId="77777777" w:rsidR="004520B2" w:rsidRPr="00A51748" w:rsidRDefault="004520B2" w:rsidP="006D6DCD">
      <w:pPr>
        <w:pStyle w:val="Para1"/>
        <w:numPr>
          <w:ilvl w:val="0"/>
          <w:numId w:val="0"/>
        </w:numPr>
        <w:spacing w:before="0"/>
        <w:rPr>
          <w:rFonts w:cs="Times New Roman"/>
          <w:sz w:val="18"/>
        </w:rPr>
      </w:pPr>
      <w:r w:rsidRPr="00A51748">
        <w:rPr>
          <w:rFonts w:eastAsia="Times New Roman" w:cs="Times New Roman"/>
          <w:noProof/>
          <w:lang w:val="en-CA" w:eastAsia="en-CA"/>
        </w:rPr>
        <mc:AlternateContent>
          <mc:Choice Requires="wpg">
            <w:drawing>
              <wp:anchor distT="0" distB="0" distL="114300" distR="114300" simplePos="0" relativeHeight="251655168" behindDoc="0" locked="0" layoutInCell="1" allowOverlap="1" wp14:anchorId="3072462A" wp14:editId="2AFA89F5">
                <wp:simplePos x="0" y="0"/>
                <wp:positionH relativeFrom="column">
                  <wp:posOffset>-13547</wp:posOffset>
                </wp:positionH>
                <wp:positionV relativeFrom="paragraph">
                  <wp:posOffset>25823</wp:posOffset>
                </wp:positionV>
                <wp:extent cx="5975985" cy="1337310"/>
                <wp:effectExtent l="0" t="0" r="0" b="0"/>
                <wp:wrapTopAndBottom/>
                <wp:docPr id="19" name="Group 19"/>
                <wp:cNvGraphicFramePr/>
                <a:graphic xmlns:a="http://schemas.openxmlformats.org/drawingml/2006/main">
                  <a:graphicData uri="http://schemas.microsoft.com/office/word/2010/wordprocessingGroup">
                    <wpg:wgp>
                      <wpg:cNvGrpSpPr/>
                      <wpg:grpSpPr>
                        <a:xfrm>
                          <a:off x="0" y="0"/>
                          <a:ext cx="5975985" cy="1337310"/>
                          <a:chOff x="0" y="0"/>
                          <a:chExt cx="5976519" cy="1836115"/>
                        </a:xfrm>
                      </wpg:grpSpPr>
                      <wpg:grpSp>
                        <wpg:cNvPr id="11" name="Group 6"/>
                        <wpg:cNvGrpSpPr/>
                        <wpg:grpSpPr>
                          <a:xfrm>
                            <a:off x="0" y="0"/>
                            <a:ext cx="5976519" cy="1836115"/>
                            <a:chOff x="0" y="0"/>
                            <a:chExt cx="6153148" cy="2524125"/>
                          </a:xfrm>
                        </wpg:grpSpPr>
                        <wpg:graphicFrame>
                          <wpg:cNvPr id="14" name="Chart 14"/>
                          <wpg:cNvFrPr/>
                          <wpg:xfrm>
                            <a:off x="0" y="0"/>
                            <a:ext cx="3495674" cy="2524125"/>
                          </wpg:xfrm>
                          <a:graphic>
                            <a:graphicData uri="http://schemas.openxmlformats.org/drawingml/2006/chart">
                              <c:chart xmlns:c="http://schemas.openxmlformats.org/drawingml/2006/chart" xmlns:r="http://schemas.openxmlformats.org/officeDocument/2006/relationships" r:id="rId29"/>
                            </a:graphicData>
                          </a:graphic>
                        </wpg:graphicFrame>
                        <wpg:graphicFrame>
                          <wpg:cNvPr id="16" name="Chart 16"/>
                          <wpg:cNvFrPr>
                            <a:graphicFrameLocks/>
                          </wpg:cNvFrPr>
                          <wpg:xfrm>
                            <a:off x="2657474" y="0"/>
                            <a:ext cx="3495674" cy="2524125"/>
                          </wpg:xfrm>
                          <a:graphic>
                            <a:graphicData uri="http://schemas.openxmlformats.org/drawingml/2006/chart">
                              <c:chart xmlns:c="http://schemas.openxmlformats.org/drawingml/2006/chart" xmlns:r="http://schemas.openxmlformats.org/officeDocument/2006/relationships" r:id="rId30"/>
                            </a:graphicData>
                          </a:graphic>
                        </wpg:graphicFrame>
                      </wpg:grpSp>
                      <wps:wsp>
                        <wps:cNvPr id="18" name="Text Box 18"/>
                        <wps:cNvSpPr txBox="1"/>
                        <wps:spPr>
                          <a:xfrm>
                            <a:off x="2311603" y="277978"/>
                            <a:ext cx="1484986" cy="3068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5EA140" w14:textId="77777777" w:rsidR="008E5FC2" w:rsidRPr="00A5291F" w:rsidRDefault="008E5FC2" w:rsidP="00CF00B6">
                              <w:pPr>
                                <w:rPr>
                                  <w:rFonts w:asciiTheme="minorHAnsi" w:hAnsiTheme="minorHAnsi"/>
                                  <w:sz w:val="18"/>
                                  <w:lang w:val="en-CA"/>
                                </w:rPr>
                              </w:pPr>
                              <w:r w:rsidRPr="00A5291F">
                                <w:rPr>
                                  <w:rFonts w:asciiTheme="minorHAnsi" w:hAnsiTheme="minorHAnsi"/>
                                  <w:sz w:val="18"/>
                                  <w:lang w:val="en-CA"/>
                                </w:rPr>
                                <w:t>% of PAs assessed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72462A" id="Group 19" o:spid="_x0000_s1026" style="position:absolute;left:0;text-align:left;margin-left:-1.05pt;margin-top:2.05pt;width:470.55pt;height:105.3pt;z-index:251655168;mso-width-relative:margin;mso-height-relative:margin" coordsize="59765,18361" o:gfxdata="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">
                <v:group id="Group 6" o:spid="_x0000_s1027" style="position:absolute;width:59765;height:18361" coordsize="61531,2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4" o:spid="_x0000_s1028" type="#_x0000_t75" style="position:absolute;width:34961;height:25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">
                    <v:imagedata r:id="rId31" o:title=""/>
                    <o:lock v:ext="edit" aspectratio="f"/>
                  </v:shape>
                  <v:shape id="Chart 16" o:spid="_x0000_s1029" type="#_x0000_t75" style="position:absolute;left:26550;width:34961;height:25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">
                    <v:imagedata r:id="rId32" o:title=""/>
                    <o:lock v:ext="edit" aspectratio="f"/>
                  </v:shape>
                </v:group>
                <v:shapetype id="_x0000_t202" coordsize="21600,21600" o:spt="202" path="m,l,21600r21600,l21600,xe">
                  <v:stroke joinstyle="miter"/>
                  <v:path gradientshapeok="t" o:connecttype="rect"/>
                </v:shapetype>
                <v:shape id="Text Box 18" o:spid="_x0000_s1030" type="#_x0000_t202" style="position:absolute;left:23116;top:2779;width:14849;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115EA140" w14:textId="77777777" w:rsidR="008E5FC2" w:rsidRPr="00A5291F" w:rsidRDefault="008E5FC2" w:rsidP="00CF00B6">
                        <w:pPr>
                          <w:rPr>
                            <w:rFonts w:asciiTheme="minorHAnsi" w:hAnsiTheme="minorHAnsi"/>
                            <w:sz w:val="18"/>
                            <w:lang w:val="en-CA"/>
                          </w:rPr>
                        </w:pPr>
                        <w:r w:rsidRPr="00A5291F">
                          <w:rPr>
                            <w:rFonts w:asciiTheme="minorHAnsi" w:hAnsiTheme="minorHAnsi"/>
                            <w:sz w:val="18"/>
                            <w:lang w:val="en-CA"/>
                          </w:rPr>
                          <w:t>% of PAs assessed</w:t>
                        </w:r>
                      </w:p>
                    </w:txbxContent>
                  </v:textbox>
                </v:shape>
                <w10:wrap type="topAndBottom"/>
              </v:group>
            </w:pict>
          </mc:Fallback>
        </mc:AlternateContent>
      </w:r>
      <w:r w:rsidRPr="00A51748">
        <w:rPr>
          <w:rFonts w:cs="Times New Roman"/>
          <w:b/>
          <w:sz w:val="18"/>
        </w:rPr>
        <w:t xml:space="preserve">Figure </w:t>
      </w:r>
      <w:r w:rsidR="00631FAF" w:rsidRPr="00A51748">
        <w:rPr>
          <w:rFonts w:cs="Times New Roman"/>
          <w:b/>
          <w:sz w:val="18"/>
        </w:rPr>
        <w:t>7</w:t>
      </w:r>
      <w:r w:rsidRPr="00A51748">
        <w:rPr>
          <w:rFonts w:cs="Times New Roman"/>
          <w:b/>
          <w:sz w:val="18"/>
        </w:rPr>
        <w:t xml:space="preserve">. </w:t>
      </w:r>
      <w:r w:rsidRPr="00A51748">
        <w:rPr>
          <w:rFonts w:cs="Times New Roman"/>
          <w:sz w:val="18"/>
        </w:rPr>
        <w:t xml:space="preserve">Number of </w:t>
      </w:r>
      <w:r w:rsidR="00FD13D9" w:rsidRPr="00A51748">
        <w:rPr>
          <w:rFonts w:cs="Times New Roman"/>
          <w:sz w:val="18"/>
        </w:rPr>
        <w:t xml:space="preserve">CBD Parties </w:t>
      </w:r>
      <w:r w:rsidRPr="00A51748">
        <w:rPr>
          <w:rFonts w:cs="Times New Roman"/>
          <w:sz w:val="18"/>
        </w:rPr>
        <w:t>with completed PAME evaluations, as of June 2019 per the GD-PAME.</w:t>
      </w:r>
      <w:r w:rsidRPr="00A51748">
        <w:rPr>
          <w:rStyle w:val="FootnoteReference"/>
          <w:rFonts w:cs="Times New Roman"/>
        </w:rPr>
        <w:footnoteReference w:id="71"/>
      </w:r>
    </w:p>
    <w:p w14:paraId="0DEA0C4E" w14:textId="77777777" w:rsidR="00506A57" w:rsidRPr="00A51748" w:rsidRDefault="00506A57" w:rsidP="006D6DCD">
      <w:pPr>
        <w:pStyle w:val="Heading4"/>
        <w:spacing w:before="0"/>
        <w:jc w:val="both"/>
      </w:pPr>
      <w:r w:rsidRPr="00A51748">
        <w:t>(vi) Equitably managed</w:t>
      </w:r>
    </w:p>
    <w:p w14:paraId="66E6B612" w14:textId="77777777" w:rsidR="000F31AC" w:rsidRPr="00A51748" w:rsidRDefault="003C781A" w:rsidP="006D6DCD">
      <w:pPr>
        <w:pStyle w:val="Para1"/>
        <w:numPr>
          <w:ilvl w:val="0"/>
          <w:numId w:val="14"/>
        </w:numPr>
        <w:spacing w:before="0"/>
        <w:ind w:left="0" w:firstLine="0"/>
        <w:rPr>
          <w:rFonts w:cs="Times New Roman"/>
        </w:rPr>
      </w:pPr>
      <w:r w:rsidRPr="00A51748">
        <w:rPr>
          <w:rFonts w:cs="Times New Roman"/>
        </w:rPr>
        <w:t xml:space="preserve">Target 11 also calls for protected areas to be ‘equitably managed’. </w:t>
      </w:r>
      <w:r w:rsidR="00060F59" w:rsidRPr="00A51748">
        <w:rPr>
          <w:rFonts w:cs="Times New Roman"/>
          <w:lang w:val="en-CA"/>
        </w:rPr>
        <w:t>Equity</w:t>
      </w:r>
      <w:r w:rsidR="00DF75F3" w:rsidRPr="00A51748">
        <w:rPr>
          <w:rFonts w:cs="Times New Roman"/>
          <w:lang w:val="en-CA"/>
        </w:rPr>
        <w:t xml:space="preserve">, which </w:t>
      </w:r>
      <w:r w:rsidR="00DF75F3" w:rsidRPr="00A51748">
        <w:rPr>
          <w:rFonts w:cs="Times New Roman"/>
        </w:rPr>
        <w:t>is one element of good governance,</w:t>
      </w:r>
      <w:r w:rsidR="00DF75F3" w:rsidRPr="00A51748">
        <w:rPr>
          <w:rStyle w:val="FootnoteReference"/>
          <w:rFonts w:cs="Times New Roman"/>
          <w:sz w:val="22"/>
        </w:rPr>
        <w:footnoteReference w:id="72"/>
      </w:r>
      <w:r w:rsidR="00060F59" w:rsidRPr="00A51748">
        <w:rPr>
          <w:rFonts w:cs="Times New Roman"/>
          <w:lang w:val="en-CA"/>
        </w:rPr>
        <w:t xml:space="preserve"> </w:t>
      </w:r>
      <w:r w:rsidR="00C64C6C" w:rsidRPr="00A51748">
        <w:rPr>
          <w:rFonts w:cs="Times New Roman"/>
          <w:lang w:val="en-CA"/>
        </w:rPr>
        <w:t>is generally described with respect to three dimensions: recognition, procedure and distribution.</w:t>
      </w:r>
      <w:r w:rsidR="00C64C6C" w:rsidRPr="00A51748">
        <w:rPr>
          <w:rStyle w:val="FootnoteReference"/>
          <w:rFonts w:cs="Times New Roman"/>
          <w:sz w:val="22"/>
          <w:lang w:val="en-CA"/>
        </w:rPr>
        <w:footnoteReference w:id="73"/>
      </w:r>
      <w:r w:rsidR="00C64C6C" w:rsidRPr="00A51748">
        <w:rPr>
          <w:rFonts w:cs="Times New Roman"/>
          <w:lang w:val="en-CA"/>
        </w:rPr>
        <w:t xml:space="preserve"> </w:t>
      </w:r>
      <w:r w:rsidR="00D01BA4" w:rsidRPr="00A51748">
        <w:rPr>
          <w:rFonts w:cs="Times New Roman"/>
        </w:rPr>
        <w:t xml:space="preserve">Enhancing the diversity, quality, effectiveness and equity of protected area governance is </w:t>
      </w:r>
      <w:r w:rsidR="00EF0796" w:rsidRPr="00A51748">
        <w:rPr>
          <w:rFonts w:cs="Times New Roman"/>
        </w:rPr>
        <w:t>important</w:t>
      </w:r>
      <w:r w:rsidR="00D01BA4" w:rsidRPr="00A51748">
        <w:rPr>
          <w:rFonts w:cs="Times New Roman"/>
        </w:rPr>
        <w:t xml:space="preserve"> for the achievement of Target 11.</w:t>
      </w:r>
      <w:r w:rsidR="000F31AC" w:rsidRPr="00A51748">
        <w:rPr>
          <w:rFonts w:cs="Times New Roman"/>
        </w:rPr>
        <w:t xml:space="preserve"> </w:t>
      </w:r>
      <w:r w:rsidR="00D01BA4" w:rsidRPr="00A51748">
        <w:rPr>
          <w:rFonts w:cs="Times New Roman"/>
          <w:lang w:val="en-CA"/>
        </w:rPr>
        <w:t xml:space="preserve">Given the lack of comprehensive global assessments of governance and equity in protected areas, to date, reporting on this element has focused on governance diversity. In general, </w:t>
      </w:r>
      <w:r w:rsidR="00D01BA4" w:rsidRPr="00A51748">
        <w:rPr>
          <w:rFonts w:cs="Times New Roman"/>
        </w:rPr>
        <w:t>four broad governance types are described: governance by government</w:t>
      </w:r>
      <w:r w:rsidR="00EA110B" w:rsidRPr="00A51748">
        <w:rPr>
          <w:rFonts w:cs="Times New Roman"/>
        </w:rPr>
        <w:t>s</w:t>
      </w:r>
      <w:r w:rsidR="00D01BA4" w:rsidRPr="00A51748">
        <w:rPr>
          <w:rFonts w:cs="Times New Roman"/>
        </w:rPr>
        <w:t xml:space="preserve">; </w:t>
      </w:r>
      <w:r w:rsidR="00EA110B" w:rsidRPr="00A51748">
        <w:rPr>
          <w:rFonts w:cs="Times New Roman"/>
        </w:rPr>
        <w:t xml:space="preserve">governance by private individuals or organizations; governance by indigenous peoples and/or local communities (IPLC); and </w:t>
      </w:r>
      <w:r w:rsidR="00D01BA4" w:rsidRPr="00A51748">
        <w:rPr>
          <w:rFonts w:cs="Times New Roman"/>
        </w:rPr>
        <w:t>shared governance</w:t>
      </w:r>
      <w:r w:rsidR="00CE5B57" w:rsidRPr="00A51748">
        <w:rPr>
          <w:rFonts w:cs="Times New Roman"/>
        </w:rPr>
        <w:t xml:space="preserve"> (e.g. </w:t>
      </w:r>
      <w:r w:rsidR="00EA110B" w:rsidRPr="00A51748">
        <w:rPr>
          <w:rFonts w:cs="Times New Roman"/>
        </w:rPr>
        <w:t xml:space="preserve">between IPLC and Governments or between private individuals and Governments). </w:t>
      </w:r>
      <w:r w:rsidR="008D2771" w:rsidRPr="00A51748">
        <w:rPr>
          <w:rFonts w:cs="Times New Roman"/>
        </w:rPr>
        <w:t>In</w:t>
      </w:r>
      <w:r w:rsidR="00D01BA4" w:rsidRPr="00A51748">
        <w:rPr>
          <w:rFonts w:cs="Times New Roman"/>
          <w:lang w:val="en-CA"/>
        </w:rPr>
        <w:t xml:space="preserve"> 2018, sites reported in the WDPA were primarily governed by governments (&gt;80%), with less than </w:t>
      </w:r>
      <w:r w:rsidR="005706E7" w:rsidRPr="00A51748">
        <w:rPr>
          <w:rFonts w:cs="Times New Roman"/>
          <w:lang w:val="en-CA"/>
        </w:rPr>
        <w:t>4</w:t>
      </w:r>
      <w:r w:rsidR="00D01BA4" w:rsidRPr="00A51748">
        <w:rPr>
          <w:rFonts w:cs="Times New Roman"/>
          <w:lang w:val="en-CA"/>
        </w:rPr>
        <w:t xml:space="preserve">% </w:t>
      </w:r>
      <w:r w:rsidR="000F31AC" w:rsidRPr="00A51748">
        <w:rPr>
          <w:rFonts w:cs="Times New Roman"/>
          <w:lang w:val="en-CA"/>
        </w:rPr>
        <w:t xml:space="preserve">under </w:t>
      </w:r>
      <w:r w:rsidR="005706E7" w:rsidRPr="00A51748">
        <w:rPr>
          <w:rFonts w:cs="Times New Roman"/>
        </w:rPr>
        <w:t xml:space="preserve">shared or </w:t>
      </w:r>
      <w:r w:rsidR="00B20155" w:rsidRPr="00A51748">
        <w:rPr>
          <w:rFonts w:cs="Times New Roman"/>
        </w:rPr>
        <w:t>IPLC</w:t>
      </w:r>
      <w:r w:rsidR="008D2771" w:rsidRPr="00A51748">
        <w:rPr>
          <w:rFonts w:cs="Times New Roman"/>
        </w:rPr>
        <w:t xml:space="preserve"> </w:t>
      </w:r>
      <w:r w:rsidR="005706E7" w:rsidRPr="00A51748">
        <w:rPr>
          <w:rFonts w:cs="Times New Roman"/>
        </w:rPr>
        <w:t>governance</w:t>
      </w:r>
      <w:r w:rsidR="000F31AC" w:rsidRPr="00A51748">
        <w:rPr>
          <w:rFonts w:cs="Times New Roman"/>
        </w:rPr>
        <w:t>.</w:t>
      </w:r>
      <w:r w:rsidR="005706E7" w:rsidRPr="00A51748">
        <w:rPr>
          <w:rStyle w:val="FootnoteReference"/>
          <w:rFonts w:cs="Times New Roman"/>
          <w:sz w:val="22"/>
        </w:rPr>
        <w:footnoteReference w:id="74"/>
      </w:r>
      <w:r w:rsidR="00D01BA4" w:rsidRPr="00A51748">
        <w:rPr>
          <w:rFonts w:cs="Times New Roman"/>
          <w:lang w:val="en-CA"/>
        </w:rPr>
        <w:t xml:space="preserve"> </w:t>
      </w:r>
    </w:p>
    <w:p w14:paraId="3BE3B10C" w14:textId="77777777" w:rsidR="00AE1325" w:rsidRPr="00A51748" w:rsidRDefault="000F31AC" w:rsidP="006D6DCD">
      <w:pPr>
        <w:pStyle w:val="Para1"/>
        <w:numPr>
          <w:ilvl w:val="0"/>
          <w:numId w:val="14"/>
        </w:numPr>
        <w:spacing w:before="0"/>
        <w:ind w:left="0" w:firstLine="0"/>
        <w:rPr>
          <w:rFonts w:cs="Times New Roman"/>
        </w:rPr>
      </w:pPr>
      <w:r w:rsidRPr="00A51748">
        <w:rPr>
          <w:rFonts w:cs="Times New Roman"/>
        </w:rPr>
        <w:t xml:space="preserve">Voluntary guidance on this element has been developed (see COP </w:t>
      </w:r>
      <w:hyperlink r:id="rId33" w:history="1">
        <w:r w:rsidRPr="00A51748">
          <w:rPr>
            <w:rStyle w:val="Hyperlink"/>
            <w:rFonts w:cs="Times New Roman"/>
            <w:color w:val="auto"/>
          </w:rPr>
          <w:t>Decision 14/8</w:t>
        </w:r>
      </w:hyperlink>
      <w:r w:rsidRPr="00A51748">
        <w:rPr>
          <w:rFonts w:cs="Times New Roman"/>
        </w:rPr>
        <w:t xml:space="preserve">, Annex II), and provides </w:t>
      </w:r>
      <w:r w:rsidRPr="00A51748">
        <w:rPr>
          <w:rFonts w:eastAsia="Times New Roman" w:cs="Times New Roman"/>
        </w:rPr>
        <w:t xml:space="preserve">a range of suggested steps that could be implemented to </w:t>
      </w:r>
      <w:r w:rsidR="004D54F9" w:rsidRPr="00A51748">
        <w:rPr>
          <w:rFonts w:cs="Times New Roman"/>
        </w:rPr>
        <w:t>enable and support effective and equitable governance models for protected and conserved areas.</w:t>
      </w:r>
      <w:r w:rsidRPr="00A51748">
        <w:rPr>
          <w:rFonts w:eastAsia="Times New Roman" w:cs="Times New Roman"/>
        </w:rPr>
        <w:t xml:space="preserve"> </w:t>
      </w:r>
      <w:r w:rsidR="00B16DE8" w:rsidRPr="00A51748">
        <w:rPr>
          <w:rFonts w:cs="Times New Roman"/>
          <w:lang w:val="en-CA"/>
        </w:rPr>
        <w:t xml:space="preserve">Principles of good governance have been identified, and used to develop </w:t>
      </w:r>
      <w:r w:rsidR="00D01BA4" w:rsidRPr="00A51748">
        <w:rPr>
          <w:rFonts w:cs="Times New Roman"/>
          <w:lang w:val="en-CA"/>
        </w:rPr>
        <w:t>the</w:t>
      </w:r>
      <w:r w:rsidR="00B16DE8" w:rsidRPr="00A51748">
        <w:rPr>
          <w:rFonts w:cs="Times New Roman"/>
          <w:lang w:val="en-CA"/>
        </w:rPr>
        <w:t xml:space="preserve"> Governance Assessment for Protected and</w:t>
      </w:r>
      <w:r w:rsidR="00D01BA4" w:rsidRPr="00A51748">
        <w:rPr>
          <w:rFonts w:cs="Times New Roman"/>
          <w:lang w:val="en-CA"/>
        </w:rPr>
        <w:t xml:space="preserve"> Conserved Areas </w:t>
      </w:r>
      <w:r w:rsidR="00D01BA4" w:rsidRPr="00A51748">
        <w:rPr>
          <w:rFonts w:cs="Times New Roman"/>
          <w:lang w:val="en-CA"/>
        </w:rPr>
        <w:lastRenderedPageBreak/>
        <w:t>methodology.</w:t>
      </w:r>
      <w:r w:rsidR="00D01BA4" w:rsidRPr="00A51748">
        <w:rPr>
          <w:rStyle w:val="FootnoteReference"/>
          <w:rFonts w:cs="Times New Roman"/>
          <w:sz w:val="22"/>
          <w:lang w:val="en-CA"/>
        </w:rPr>
        <w:footnoteReference w:id="75"/>
      </w:r>
      <w:r w:rsidR="00D01BA4" w:rsidRPr="00A51748">
        <w:rPr>
          <w:rFonts w:cs="Times New Roman"/>
          <w:lang w:val="en-CA"/>
        </w:rPr>
        <w:t xml:space="preserve"> The methodology has been piloted in several sites, and its application could be scaled-up over the next 18 months.</w:t>
      </w:r>
      <w:r w:rsidRPr="00A51748">
        <w:rPr>
          <w:rFonts w:cs="Times New Roman"/>
        </w:rPr>
        <w:t xml:space="preserve"> Additionally, a</w:t>
      </w:r>
      <w:r w:rsidR="00BF3831" w:rsidRPr="00A51748">
        <w:rPr>
          <w:rFonts w:cs="Times New Roman"/>
        </w:rPr>
        <w:t xml:space="preserve"> set of 10 indicators, based on the </w:t>
      </w:r>
      <w:r w:rsidRPr="00A51748">
        <w:rPr>
          <w:rFonts w:cs="Times New Roman"/>
        </w:rPr>
        <w:t>three</w:t>
      </w:r>
      <w:r w:rsidR="00BF3831" w:rsidRPr="00A51748">
        <w:rPr>
          <w:rFonts w:cs="Times New Roman"/>
        </w:rPr>
        <w:t xml:space="preserve"> dimensions of equity have been proposed</w:t>
      </w:r>
      <w:r w:rsidRPr="00A51748">
        <w:rPr>
          <w:rFonts w:cs="Times New Roman"/>
        </w:rPr>
        <w:t>,</w:t>
      </w:r>
      <w:r w:rsidRPr="00A51748">
        <w:rPr>
          <w:rStyle w:val="FootnoteReference"/>
          <w:rFonts w:cs="Times New Roman"/>
          <w:sz w:val="22"/>
        </w:rPr>
        <w:footnoteReference w:id="76"/>
      </w:r>
      <w:r w:rsidRPr="00A51748">
        <w:rPr>
          <w:rFonts w:cs="Times New Roman"/>
        </w:rPr>
        <w:t xml:space="preserve"> and </w:t>
      </w:r>
      <w:r w:rsidR="00BF3831" w:rsidRPr="00A51748">
        <w:rPr>
          <w:rFonts w:cs="Times New Roman"/>
        </w:rPr>
        <w:t xml:space="preserve">the first global assessment of equitable management in </w:t>
      </w:r>
      <w:r w:rsidRPr="00A51748">
        <w:rPr>
          <w:rFonts w:cs="Times New Roman"/>
        </w:rPr>
        <w:t>protected areas</w:t>
      </w:r>
      <w:r w:rsidR="00BF3831" w:rsidRPr="00A51748">
        <w:rPr>
          <w:rFonts w:cs="Times New Roman"/>
        </w:rPr>
        <w:t xml:space="preserve"> was recently published</w:t>
      </w:r>
      <w:r w:rsidR="000F296D" w:rsidRPr="00A51748">
        <w:rPr>
          <w:rFonts w:cs="Times New Roman"/>
        </w:rPr>
        <w:t>, concluding that there are still significant challenges remaining.</w:t>
      </w:r>
      <w:r w:rsidRPr="00A51748">
        <w:rPr>
          <w:rStyle w:val="FootnoteReference"/>
          <w:rFonts w:cs="Times New Roman"/>
          <w:sz w:val="22"/>
        </w:rPr>
        <w:footnoteReference w:id="77"/>
      </w:r>
      <w:r w:rsidR="00BF3831" w:rsidRPr="00A51748">
        <w:rPr>
          <w:rFonts w:cs="Times New Roman"/>
        </w:rPr>
        <w:t xml:space="preserve"> The aspect of social equity</w:t>
      </w:r>
      <w:r w:rsidR="00217B8C" w:rsidRPr="00A51748">
        <w:rPr>
          <w:rFonts w:cs="Times New Roman"/>
        </w:rPr>
        <w:t xml:space="preserve">, where </w:t>
      </w:r>
      <w:r w:rsidRPr="00A51748">
        <w:rPr>
          <w:rFonts w:cs="Times New Roman"/>
        </w:rPr>
        <w:t>protected areas</w:t>
      </w:r>
      <w:r w:rsidR="00217B8C" w:rsidRPr="00A51748">
        <w:rPr>
          <w:rFonts w:cs="Times New Roman"/>
        </w:rPr>
        <w:t xml:space="preserve"> showed the greatest contribution </w:t>
      </w:r>
      <w:r w:rsidR="00BF3831" w:rsidRPr="00A51748">
        <w:rPr>
          <w:rFonts w:cs="Times New Roman"/>
        </w:rPr>
        <w:t xml:space="preserve">based on </w:t>
      </w:r>
      <w:r w:rsidRPr="00A51748">
        <w:rPr>
          <w:rFonts w:cs="Times New Roman"/>
        </w:rPr>
        <w:t>this</w:t>
      </w:r>
      <w:r w:rsidR="00BF3831" w:rsidRPr="00A51748">
        <w:rPr>
          <w:rFonts w:cs="Times New Roman"/>
        </w:rPr>
        <w:t xml:space="preserve"> survey of </w:t>
      </w:r>
      <w:r w:rsidR="00217B8C" w:rsidRPr="00A51748">
        <w:rPr>
          <w:rFonts w:cs="Times New Roman"/>
        </w:rPr>
        <w:t xml:space="preserve">stakeholders in </w:t>
      </w:r>
      <w:r w:rsidR="00BF3831" w:rsidRPr="00A51748">
        <w:rPr>
          <w:rFonts w:cs="Times New Roman"/>
        </w:rPr>
        <w:t>over 200 protected areas</w:t>
      </w:r>
      <w:r w:rsidR="005706E7" w:rsidRPr="00A51748">
        <w:rPr>
          <w:rFonts w:cs="Times New Roman"/>
        </w:rPr>
        <w:t>,</w:t>
      </w:r>
      <w:r w:rsidR="00BF3831" w:rsidRPr="00A51748">
        <w:rPr>
          <w:rFonts w:cs="Times New Roman"/>
        </w:rPr>
        <w:t xml:space="preserve"> was benefit sharing, where ~80% of respondents said that </w:t>
      </w:r>
      <w:r w:rsidRPr="00A51748">
        <w:rPr>
          <w:rFonts w:cs="Times New Roman"/>
        </w:rPr>
        <w:t xml:space="preserve">protected areas </w:t>
      </w:r>
      <w:r w:rsidR="00BF3831" w:rsidRPr="00A51748">
        <w:rPr>
          <w:rFonts w:cs="Times New Roman"/>
        </w:rPr>
        <w:t>had at least a weak contribution</w:t>
      </w:r>
      <w:r w:rsidR="00BC21AA" w:rsidRPr="00A51748">
        <w:rPr>
          <w:rFonts w:cs="Times New Roman"/>
        </w:rPr>
        <w:t xml:space="preserve"> (Fig. </w:t>
      </w:r>
      <w:r w:rsidR="00631FAF" w:rsidRPr="00A51748">
        <w:rPr>
          <w:rFonts w:cs="Times New Roman"/>
        </w:rPr>
        <w:t>8</w:t>
      </w:r>
      <w:r w:rsidR="00BC21AA" w:rsidRPr="00A51748">
        <w:rPr>
          <w:rFonts w:cs="Times New Roman"/>
        </w:rPr>
        <w:t>)</w:t>
      </w:r>
      <w:r w:rsidR="00BF3831" w:rsidRPr="00A51748">
        <w:rPr>
          <w:rFonts w:cs="Times New Roman"/>
        </w:rPr>
        <w:t xml:space="preserve">. The aspects of social equity </w:t>
      </w:r>
      <w:r w:rsidR="00B20155" w:rsidRPr="00A51748">
        <w:rPr>
          <w:rFonts w:cs="Times New Roman"/>
        </w:rPr>
        <w:t xml:space="preserve">which was </w:t>
      </w:r>
      <w:r w:rsidR="00217B8C" w:rsidRPr="00A51748">
        <w:rPr>
          <w:rFonts w:cs="Times New Roman"/>
        </w:rPr>
        <w:t>scored the lowest by survey respondents—where a majority p</w:t>
      </w:r>
      <w:r w:rsidR="00BF3831" w:rsidRPr="00A51748">
        <w:rPr>
          <w:rFonts w:cs="Times New Roman"/>
        </w:rPr>
        <w:t xml:space="preserve">erceived that </w:t>
      </w:r>
      <w:r w:rsidRPr="00A51748">
        <w:rPr>
          <w:rFonts w:cs="Times New Roman"/>
        </w:rPr>
        <w:t>protected areas</w:t>
      </w:r>
      <w:r w:rsidR="00BF3831" w:rsidRPr="00A51748">
        <w:rPr>
          <w:rFonts w:cs="Times New Roman"/>
        </w:rPr>
        <w:t xml:space="preserve"> did not contribute</w:t>
      </w:r>
      <w:r w:rsidR="00217B8C" w:rsidRPr="00A51748">
        <w:rPr>
          <w:rFonts w:cs="Times New Roman"/>
        </w:rPr>
        <w:t>—were: e</w:t>
      </w:r>
      <w:r w:rsidR="00BF3831" w:rsidRPr="00A51748">
        <w:rPr>
          <w:rFonts w:cs="Times New Roman"/>
        </w:rPr>
        <w:t xml:space="preserve">ffective participation in decision-making; </w:t>
      </w:r>
      <w:r w:rsidR="00217B8C" w:rsidRPr="00A51748">
        <w:rPr>
          <w:rFonts w:cs="Times New Roman"/>
        </w:rPr>
        <w:t>s</w:t>
      </w:r>
      <w:r w:rsidR="00BF3831" w:rsidRPr="00A51748">
        <w:rPr>
          <w:rFonts w:cs="Times New Roman"/>
        </w:rPr>
        <w:t xml:space="preserve">tatutory and customary rights (i.e. recognition of the rights and diversity of local people); </w:t>
      </w:r>
      <w:r w:rsidR="00217B8C" w:rsidRPr="00A51748">
        <w:rPr>
          <w:rFonts w:cs="Times New Roman"/>
        </w:rPr>
        <w:t>a</w:t>
      </w:r>
      <w:r w:rsidR="00BF3831" w:rsidRPr="00A51748">
        <w:rPr>
          <w:rFonts w:cs="Times New Roman"/>
        </w:rPr>
        <w:t xml:space="preserve">ccess to justice; and </w:t>
      </w:r>
      <w:r w:rsidR="00217B8C" w:rsidRPr="00A51748">
        <w:rPr>
          <w:rFonts w:cs="Times New Roman"/>
        </w:rPr>
        <w:t>t</w:t>
      </w:r>
      <w:r w:rsidR="00BF3831" w:rsidRPr="00A51748">
        <w:rPr>
          <w:rFonts w:cs="Times New Roman"/>
        </w:rPr>
        <w:t>ransparency</w:t>
      </w:r>
      <w:r w:rsidR="00BC21AA" w:rsidRPr="00A51748">
        <w:rPr>
          <w:rFonts w:cs="Times New Roman"/>
        </w:rPr>
        <w:t xml:space="preserve"> (Fig. </w:t>
      </w:r>
      <w:r w:rsidR="00631FAF" w:rsidRPr="00A51748">
        <w:rPr>
          <w:rFonts w:cs="Times New Roman"/>
        </w:rPr>
        <w:t>8</w:t>
      </w:r>
      <w:r w:rsidR="00BC21AA" w:rsidRPr="00A51748">
        <w:rPr>
          <w:rFonts w:cs="Times New Roman"/>
        </w:rPr>
        <w:t>)</w:t>
      </w:r>
      <w:r w:rsidR="00217B8C" w:rsidRPr="00A51748">
        <w:rPr>
          <w:rFonts w:cs="Times New Roman"/>
        </w:rPr>
        <w:t>.</w:t>
      </w:r>
      <w:r w:rsidR="00B20155" w:rsidRPr="00A51748">
        <w:rPr>
          <w:rStyle w:val="FootnoteReference"/>
          <w:rFonts w:cs="Times New Roman"/>
        </w:rPr>
        <w:footnoteReference w:id="78"/>
      </w:r>
      <w:r w:rsidRPr="00A51748">
        <w:rPr>
          <w:rFonts w:cs="Times New Roman"/>
          <w:b/>
        </w:rPr>
        <w:t xml:space="preserve"> </w:t>
      </w:r>
    </w:p>
    <w:p w14:paraId="290BF167" w14:textId="77777777" w:rsidR="00C03E1D" w:rsidRPr="00A51748" w:rsidRDefault="00BC21AA" w:rsidP="006D6DCD">
      <w:pPr>
        <w:pStyle w:val="Para1"/>
        <w:numPr>
          <w:ilvl w:val="0"/>
          <w:numId w:val="0"/>
        </w:numPr>
        <w:spacing w:before="0"/>
        <w:rPr>
          <w:rFonts w:cs="Times New Roman"/>
          <w:b/>
          <w:sz w:val="18"/>
        </w:rPr>
      </w:pPr>
      <w:r w:rsidRPr="00A51748">
        <w:rPr>
          <w:rFonts w:cs="Times New Roman"/>
          <w:b/>
          <w:noProof/>
          <w:sz w:val="18"/>
          <w:lang w:val="en-CA" w:eastAsia="en-CA"/>
        </w:rPr>
        <w:drawing>
          <wp:inline distT="0" distB="0" distL="0" distR="0" wp14:anchorId="688B4788" wp14:editId="424409D8">
            <wp:extent cx="5249333" cy="2999342"/>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3338" cy="3001630"/>
                    </a:xfrm>
                    <a:prstGeom prst="rect">
                      <a:avLst/>
                    </a:prstGeom>
                    <a:noFill/>
                    <a:ln>
                      <a:noFill/>
                    </a:ln>
                  </pic:spPr>
                </pic:pic>
              </a:graphicData>
            </a:graphic>
          </wp:inline>
        </w:drawing>
      </w:r>
    </w:p>
    <w:p w14:paraId="4A38C04D" w14:textId="77777777" w:rsidR="00050BD1" w:rsidRPr="00A51748" w:rsidRDefault="00050BD1" w:rsidP="006D6DCD">
      <w:pPr>
        <w:pStyle w:val="Para1"/>
        <w:numPr>
          <w:ilvl w:val="0"/>
          <w:numId w:val="0"/>
        </w:numPr>
        <w:spacing w:before="0"/>
        <w:rPr>
          <w:rFonts w:cs="Times New Roman"/>
          <w:sz w:val="18"/>
        </w:rPr>
      </w:pPr>
      <w:r w:rsidRPr="00A51748">
        <w:rPr>
          <w:rFonts w:cs="Times New Roman"/>
          <w:b/>
          <w:sz w:val="18"/>
        </w:rPr>
        <w:t xml:space="preserve">Figure </w:t>
      </w:r>
      <w:r w:rsidR="00631FAF" w:rsidRPr="00A51748">
        <w:rPr>
          <w:rFonts w:cs="Times New Roman"/>
          <w:b/>
          <w:sz w:val="18"/>
        </w:rPr>
        <w:t>8</w:t>
      </w:r>
      <w:r w:rsidRPr="00A51748">
        <w:rPr>
          <w:rFonts w:cs="Times New Roman"/>
          <w:b/>
          <w:sz w:val="18"/>
        </w:rPr>
        <w:t xml:space="preserve">. </w:t>
      </w:r>
      <w:r w:rsidR="00BC21AA" w:rsidRPr="00A51748">
        <w:rPr>
          <w:rFonts w:cs="Times New Roman"/>
          <w:sz w:val="18"/>
        </w:rPr>
        <w:t>Reproduced from Zafra-Calvo et al 2019</w:t>
      </w:r>
      <w:r w:rsidR="00CE7888" w:rsidRPr="00A51748">
        <w:rPr>
          <w:rFonts w:cs="Times New Roman"/>
          <w:sz w:val="18"/>
        </w:rPr>
        <w:t>:</w:t>
      </w:r>
      <w:r w:rsidR="00BC21AA" w:rsidRPr="00A51748">
        <w:rPr>
          <w:rFonts w:cs="Times New Roman"/>
          <w:sz w:val="18"/>
        </w:rPr>
        <w:t xml:space="preserve"> “Mean and standard deviation of responses to the 10 criteria across the three dimensions of social equity (n = 122). Social equity criteria were scored according to the responses to the questionnaire with a minimum value of 1 (the establishment or management of the PA is perceived as not contributing to achieving a given social equity criteria), 2 (the establishment or management of the PA is perceived as having a weak contribution toward achieving a given social equity criteria), to 3 (the establishment or management of the PA is perceived as having a strong contribution toward achieving a given social equity criteria). Columns present the distributions of the frequency of the responses as the percentage of the occurrences of each score (no contribution, weak, strong).”</w:t>
      </w:r>
    </w:p>
    <w:p w14:paraId="7E36398A" w14:textId="77777777" w:rsidR="009557C9" w:rsidRPr="00A51748" w:rsidRDefault="00BC21AA" w:rsidP="006D6DCD">
      <w:pPr>
        <w:pStyle w:val="Para1"/>
        <w:numPr>
          <w:ilvl w:val="0"/>
          <w:numId w:val="14"/>
        </w:numPr>
        <w:spacing w:before="0"/>
        <w:ind w:left="0" w:firstLine="0"/>
        <w:rPr>
          <w:rFonts w:cs="Times New Roman"/>
          <w:sz w:val="20"/>
        </w:rPr>
      </w:pPr>
      <w:r w:rsidRPr="00A51748">
        <w:rPr>
          <w:rFonts w:cs="Times New Roman"/>
        </w:rPr>
        <w:t xml:space="preserve">In </w:t>
      </w:r>
      <w:hyperlink r:id="rId35" w:history="1">
        <w:r w:rsidRPr="00A51748">
          <w:rPr>
            <w:rStyle w:val="Hyperlink"/>
            <w:rFonts w:cs="Times New Roman"/>
            <w:color w:val="auto"/>
          </w:rPr>
          <w:t>Decision XIII/2</w:t>
        </w:r>
      </w:hyperlink>
      <w:r w:rsidRPr="00A51748">
        <w:rPr>
          <w:rFonts w:cs="Times New Roman"/>
        </w:rPr>
        <w:t>, the COP invited Parties to use the IUCN Green List of Protected and Conserved Areas as a voluntary standard to promote and encourage protected area management effectiveness.</w:t>
      </w:r>
      <w:r w:rsidR="00CE508B" w:rsidRPr="00A51748">
        <w:rPr>
          <w:rFonts w:cs="Times New Roman"/>
        </w:rPr>
        <w:t xml:space="preserve"> </w:t>
      </w:r>
      <w:r w:rsidR="000A406C" w:rsidRPr="00A51748">
        <w:rPr>
          <w:rFonts w:cs="Times New Roman"/>
          <w:lang w:val="en-CA"/>
        </w:rPr>
        <w:t xml:space="preserve">The IUCN Green List is a voluntary global standard, with the goal of increasing </w:t>
      </w:r>
      <w:r w:rsidR="000A406C" w:rsidRPr="00A51748">
        <w:rPr>
          <w:rFonts w:cs="Times New Roman"/>
        </w:rPr>
        <w:t>“the number of Protected and Conserved Areas (PAs) that are effectively and equitably managed and deliver conservation outcomes,”</w:t>
      </w:r>
      <w:r w:rsidR="000A406C" w:rsidRPr="00A51748">
        <w:rPr>
          <w:rStyle w:val="FootnoteReference"/>
          <w:rFonts w:cs="Times New Roman"/>
        </w:rPr>
        <w:footnoteReference w:id="79"/>
      </w:r>
      <w:r w:rsidR="000A406C" w:rsidRPr="00A51748">
        <w:rPr>
          <w:rFonts w:cs="Times New Roman"/>
        </w:rPr>
        <w:t xml:space="preserve"> and currently contains 46 areas in 14 countries.</w:t>
      </w:r>
      <w:r w:rsidR="000A406C" w:rsidRPr="00A51748">
        <w:rPr>
          <w:rStyle w:val="FootnoteReference"/>
          <w:rFonts w:cs="Times New Roman"/>
        </w:rPr>
        <w:footnoteReference w:id="80"/>
      </w:r>
      <w:r w:rsidR="000A406C" w:rsidRPr="00A51748">
        <w:rPr>
          <w:rFonts w:cs="Times New Roman"/>
        </w:rPr>
        <w:t xml:space="preserve"> </w:t>
      </w:r>
      <w:r w:rsidR="000A406C" w:rsidRPr="00A51748">
        <w:rPr>
          <w:rFonts w:cs="Times New Roman"/>
          <w:lang w:val="en-CA"/>
        </w:rPr>
        <w:t xml:space="preserve"> It could provide one benchmark for effective and equitable management, with contributions to successful conservation </w:t>
      </w:r>
      <w:r w:rsidR="000A406C" w:rsidRPr="00A51748">
        <w:rPr>
          <w:rFonts w:cs="Times New Roman"/>
          <w:lang w:val="en-CA"/>
        </w:rPr>
        <w:lastRenderedPageBreak/>
        <w:t>outcomes. The four components of the Green List Standard (</w:t>
      </w:r>
      <w:r w:rsidR="000A406C" w:rsidRPr="00A51748">
        <w:rPr>
          <w:rFonts w:cs="Times New Roman"/>
          <w:lang w:val="en-AU"/>
        </w:rPr>
        <w:t>Good Governance, Sound Design and Planning, Effective Management, and Successful Outcomes) are underpinned by 17 criteria.</w:t>
      </w:r>
      <w:r w:rsidR="000A406C" w:rsidRPr="00A51748">
        <w:rPr>
          <w:rStyle w:val="FootnoteReference"/>
          <w:rFonts w:cs="Times New Roman"/>
          <w:lang w:val="en-AU"/>
        </w:rPr>
        <w:footnoteReference w:id="81"/>
      </w:r>
      <w:r w:rsidR="000A406C" w:rsidRPr="00A51748">
        <w:rPr>
          <w:rFonts w:cs="Times New Roman"/>
          <w:lang w:val="en-AU"/>
        </w:rPr>
        <w:t xml:space="preserve"> Existing approaches for management effectiveness,</w:t>
      </w:r>
      <w:r w:rsidR="000A406C" w:rsidRPr="00A51748">
        <w:rPr>
          <w:rStyle w:val="FootnoteReference"/>
          <w:rFonts w:cs="Times New Roman"/>
          <w:lang w:val="en-AU"/>
        </w:rPr>
        <w:footnoteReference w:id="82"/>
      </w:r>
      <w:r w:rsidR="000A406C" w:rsidRPr="00A51748">
        <w:rPr>
          <w:rFonts w:cs="Times New Roman"/>
          <w:lang w:val="en-AU"/>
        </w:rPr>
        <w:t xml:space="preserve"> governance,</w:t>
      </w:r>
      <w:r w:rsidR="000A406C" w:rsidRPr="00A51748">
        <w:rPr>
          <w:rStyle w:val="FootnoteReference"/>
          <w:rFonts w:cs="Times New Roman"/>
          <w:lang w:val="en-AU"/>
        </w:rPr>
        <w:footnoteReference w:id="83"/>
      </w:r>
      <w:r w:rsidR="000A406C" w:rsidRPr="00A51748">
        <w:rPr>
          <w:rFonts w:cs="Times New Roman"/>
          <w:lang w:val="en-AU"/>
        </w:rPr>
        <w:t xml:space="preserve"> and social assessment</w:t>
      </w:r>
      <w:r w:rsidR="000A406C" w:rsidRPr="00A51748">
        <w:rPr>
          <w:rStyle w:val="FootnoteReference"/>
          <w:rFonts w:cs="Times New Roman"/>
          <w:lang w:val="en-AU"/>
        </w:rPr>
        <w:footnoteReference w:id="84"/>
      </w:r>
      <w:r w:rsidR="000A406C" w:rsidRPr="00A51748">
        <w:rPr>
          <w:rFonts w:cs="Times New Roman"/>
          <w:lang w:val="en-AU"/>
        </w:rPr>
        <w:t xml:space="preserve"> in protected and conserved areas could be used to compile information to address these 17 criteria. This would allow for </w:t>
      </w:r>
      <w:r w:rsidR="000A406C" w:rsidRPr="00A51748">
        <w:rPr>
          <w:rFonts w:cs="Times New Roman"/>
          <w:lang w:val="en-CA"/>
        </w:rPr>
        <w:t xml:space="preserve">better estimates of progress in the quality of protected areas. </w:t>
      </w:r>
    </w:p>
    <w:p w14:paraId="014A4EBC" w14:textId="77777777" w:rsidR="00506A57" w:rsidRPr="00A51748" w:rsidRDefault="00506A57" w:rsidP="006D6DCD">
      <w:pPr>
        <w:pStyle w:val="Heading4"/>
        <w:spacing w:before="0"/>
        <w:jc w:val="both"/>
      </w:pPr>
      <w:r w:rsidRPr="00A51748">
        <w:t xml:space="preserve">(vii) Integration </w:t>
      </w:r>
    </w:p>
    <w:p w14:paraId="1ABB2F7B" w14:textId="77777777" w:rsidR="00794275" w:rsidRPr="00A51748" w:rsidRDefault="003C781A" w:rsidP="006D6DCD">
      <w:pPr>
        <w:pStyle w:val="Para1"/>
        <w:numPr>
          <w:ilvl w:val="0"/>
          <w:numId w:val="14"/>
        </w:numPr>
        <w:spacing w:before="0"/>
        <w:ind w:left="0" w:firstLine="0"/>
        <w:rPr>
          <w:rFonts w:cs="Times New Roman"/>
        </w:rPr>
      </w:pPr>
      <w:r w:rsidRPr="00A51748">
        <w:rPr>
          <w:rFonts w:cs="Times New Roman"/>
          <w:lang w:val="en-CA"/>
        </w:rPr>
        <w:t xml:space="preserve">Protected area integration </w:t>
      </w:r>
      <w:r w:rsidR="00794275" w:rsidRPr="00A51748">
        <w:rPr>
          <w:rFonts w:cs="Times New Roman"/>
          <w:lang w:val="en-CA"/>
        </w:rPr>
        <w:t>involves</w:t>
      </w:r>
      <w:r w:rsidRPr="00A51748">
        <w:rPr>
          <w:rFonts w:cs="Times New Roman"/>
          <w:lang w:val="en-CA"/>
        </w:rPr>
        <w:t xml:space="preserve"> linking </w:t>
      </w:r>
      <w:r w:rsidR="00794275" w:rsidRPr="00A51748">
        <w:rPr>
          <w:rFonts w:cs="Times New Roman"/>
          <w:lang w:val="en-CA"/>
        </w:rPr>
        <w:t>sites within</w:t>
      </w:r>
      <w:r w:rsidRPr="00A51748">
        <w:rPr>
          <w:rFonts w:cs="Times New Roman"/>
          <w:lang w:val="en-CA"/>
        </w:rPr>
        <w:t xml:space="preserve"> </w:t>
      </w:r>
      <w:r w:rsidR="00794275" w:rsidRPr="00A51748">
        <w:rPr>
          <w:rFonts w:cs="Times New Roman"/>
          <w:lang w:val="en-CA"/>
        </w:rPr>
        <w:t>wider</w:t>
      </w:r>
      <w:r w:rsidRPr="00A51748">
        <w:rPr>
          <w:rFonts w:cs="Times New Roman"/>
          <w:lang w:val="en-CA"/>
        </w:rPr>
        <w:t xml:space="preserve"> network</w:t>
      </w:r>
      <w:r w:rsidR="00794275" w:rsidRPr="00A51748">
        <w:rPr>
          <w:rFonts w:cs="Times New Roman"/>
          <w:lang w:val="en-CA"/>
        </w:rPr>
        <w:t>s</w:t>
      </w:r>
      <w:r w:rsidRPr="00A51748">
        <w:rPr>
          <w:rFonts w:cs="Times New Roman"/>
          <w:lang w:val="en-CA"/>
        </w:rPr>
        <w:t xml:space="preserve"> of protect</w:t>
      </w:r>
      <w:r w:rsidR="00794275" w:rsidRPr="00A51748">
        <w:rPr>
          <w:rFonts w:cs="Times New Roman"/>
          <w:lang w:val="en-CA"/>
        </w:rPr>
        <w:t xml:space="preserve">ed, conserved and managed lands/waters, but also incorporating protected area design and management into a broader framework of land-use plans, </w:t>
      </w:r>
      <w:r w:rsidR="00794275" w:rsidRPr="00A51748">
        <w:rPr>
          <w:rFonts w:cs="Times New Roman"/>
        </w:rPr>
        <w:t>other relevant laws and policies, and related sectoral plans, strategies and programmes</w:t>
      </w:r>
      <w:r w:rsidR="00794275" w:rsidRPr="00A51748">
        <w:rPr>
          <w:rFonts w:cs="Times New Roman"/>
          <w:lang w:val="en-CA"/>
        </w:rPr>
        <w:t>.</w:t>
      </w:r>
      <w:r w:rsidR="00794275" w:rsidRPr="00A51748">
        <w:rPr>
          <w:rStyle w:val="FootnoteReference"/>
          <w:rFonts w:cs="Times New Roman"/>
          <w:sz w:val="22"/>
          <w:lang w:val="en-CA"/>
        </w:rPr>
        <w:footnoteReference w:id="85"/>
      </w:r>
      <w:r w:rsidR="00794275" w:rsidRPr="00A51748">
        <w:rPr>
          <w:rFonts w:cs="Times New Roman"/>
          <w:lang w:val="en-CA"/>
        </w:rPr>
        <w:t xml:space="preserve"> This will ensure the </w:t>
      </w:r>
      <w:r w:rsidRPr="00A51748">
        <w:rPr>
          <w:rFonts w:cs="Times New Roman"/>
          <w:lang w:val="en-CA"/>
        </w:rPr>
        <w:t>maint</w:t>
      </w:r>
      <w:r w:rsidR="00794275" w:rsidRPr="00A51748">
        <w:rPr>
          <w:rFonts w:cs="Times New Roman"/>
          <w:lang w:val="en-CA"/>
        </w:rPr>
        <w:t xml:space="preserve">enance of </w:t>
      </w:r>
      <w:r w:rsidRPr="00A51748">
        <w:rPr>
          <w:rFonts w:cs="Times New Roman"/>
          <w:lang w:val="en-CA"/>
        </w:rPr>
        <w:t>ecological processes</w:t>
      </w:r>
      <w:r w:rsidR="00794275" w:rsidRPr="00A51748">
        <w:rPr>
          <w:rFonts w:cs="Times New Roman"/>
          <w:lang w:val="en-CA"/>
        </w:rPr>
        <w:t xml:space="preserve"> and </w:t>
      </w:r>
      <w:r w:rsidRPr="00A51748">
        <w:rPr>
          <w:rFonts w:cs="Times New Roman"/>
          <w:lang w:val="en-CA"/>
        </w:rPr>
        <w:t>functions</w:t>
      </w:r>
      <w:r w:rsidR="00794275" w:rsidRPr="00A51748">
        <w:rPr>
          <w:rFonts w:cs="Times New Roman"/>
          <w:lang w:val="en-CA"/>
        </w:rPr>
        <w:t>, and help to m</w:t>
      </w:r>
      <w:r w:rsidRPr="00A51748">
        <w:rPr>
          <w:rFonts w:cs="Times New Roman"/>
          <w:lang w:val="en-CA"/>
        </w:rPr>
        <w:t>aximize benefits from</w:t>
      </w:r>
      <w:r w:rsidR="00794275" w:rsidRPr="00A51748">
        <w:rPr>
          <w:rFonts w:cs="Times New Roman"/>
          <w:lang w:val="en-CA"/>
        </w:rPr>
        <w:t xml:space="preserve">, and </w:t>
      </w:r>
      <w:r w:rsidRPr="00A51748">
        <w:rPr>
          <w:rFonts w:cs="Times New Roman"/>
          <w:lang w:val="en-CA"/>
        </w:rPr>
        <w:t>mitigate threats to, biodiversity</w:t>
      </w:r>
      <w:r w:rsidR="00794275" w:rsidRPr="00A51748">
        <w:rPr>
          <w:rFonts w:cs="Times New Roman"/>
          <w:lang w:val="en-CA"/>
        </w:rPr>
        <w:t>.</w:t>
      </w:r>
      <w:r w:rsidR="00794275" w:rsidRPr="00A51748">
        <w:rPr>
          <w:rStyle w:val="FootnoteReference"/>
          <w:rFonts w:cs="Times New Roman"/>
          <w:sz w:val="22"/>
          <w:lang w:val="en-CA"/>
        </w:rPr>
        <w:footnoteReference w:id="86"/>
      </w:r>
      <w:r w:rsidR="00794275" w:rsidRPr="00A51748">
        <w:rPr>
          <w:rFonts w:cs="Times New Roman"/>
          <w:lang w:val="en-CA"/>
        </w:rPr>
        <w:t xml:space="preserve"> </w:t>
      </w:r>
      <w:r w:rsidRPr="00A51748">
        <w:rPr>
          <w:rFonts w:cs="Times New Roman"/>
        </w:rPr>
        <w:t xml:space="preserve">Based on the responses of 59 developing Parties, the most important sectors for integration with </w:t>
      </w:r>
      <w:r w:rsidR="00794275" w:rsidRPr="00A51748">
        <w:rPr>
          <w:rFonts w:cs="Times New Roman"/>
        </w:rPr>
        <w:t>protected area</w:t>
      </w:r>
      <w:r w:rsidRPr="00A51748">
        <w:rPr>
          <w:rFonts w:cs="Times New Roman"/>
        </w:rPr>
        <w:t xml:space="preserve"> systems </w:t>
      </w:r>
      <w:r w:rsidR="0039509B" w:rsidRPr="00A51748">
        <w:rPr>
          <w:rFonts w:cs="Times New Roman"/>
        </w:rPr>
        <w:t xml:space="preserve">were agriculture, forestry, </w:t>
      </w:r>
      <w:r w:rsidRPr="00A51748">
        <w:rPr>
          <w:rFonts w:cs="Times New Roman"/>
        </w:rPr>
        <w:t>water resource</w:t>
      </w:r>
      <w:r w:rsidR="0039509B" w:rsidRPr="00A51748">
        <w:rPr>
          <w:rFonts w:cs="Times New Roman"/>
        </w:rPr>
        <w:t xml:space="preserve">s, and mining and energy; </w:t>
      </w:r>
      <w:r w:rsidR="008D2771" w:rsidRPr="00A51748">
        <w:rPr>
          <w:rFonts w:cs="Times New Roman"/>
        </w:rPr>
        <w:t>other</w:t>
      </w:r>
      <w:r w:rsidR="0039509B" w:rsidRPr="00A51748">
        <w:rPr>
          <w:rFonts w:cs="Times New Roman"/>
        </w:rPr>
        <w:t xml:space="preserve"> sectors were selected by less than a third of respondents.</w:t>
      </w:r>
      <w:r w:rsidR="00AA74B4" w:rsidRPr="00A51748">
        <w:rPr>
          <w:rStyle w:val="FootnoteReference"/>
          <w:rFonts w:cs="Times New Roman"/>
        </w:rPr>
        <w:footnoteReference w:id="87"/>
      </w:r>
      <w:r w:rsidR="003D6AC0" w:rsidRPr="00A51748">
        <w:rPr>
          <w:rFonts w:cs="Times New Roman"/>
        </w:rPr>
        <w:t xml:space="preserve"> As noted in a 2016 study of </w:t>
      </w:r>
      <w:r w:rsidR="005911D3" w:rsidRPr="00A51748">
        <w:rPr>
          <w:rFonts w:cs="Times New Roman"/>
        </w:rPr>
        <w:t xml:space="preserve">National Biodiversity Strategies and Action Plans (NBSAPs), </w:t>
      </w:r>
      <w:r w:rsidR="003D6AC0" w:rsidRPr="00A51748">
        <w:rPr>
          <w:rFonts w:cs="Times New Roman"/>
        </w:rPr>
        <w:t>very few countries have identified specific strategies within their NBSAPs to integrate protected and conserved areas into the wider landscapes and seascapes</w:t>
      </w:r>
      <w:r w:rsidR="005911D3" w:rsidRPr="00A51748">
        <w:rPr>
          <w:rFonts w:cs="Times New Roman"/>
        </w:rPr>
        <w:t>.</w:t>
      </w:r>
      <w:r w:rsidR="005911D3" w:rsidRPr="00A51748">
        <w:rPr>
          <w:rStyle w:val="FootnoteReference"/>
          <w:rFonts w:cs="Times New Roman"/>
        </w:rPr>
        <w:footnoteReference w:id="88"/>
      </w:r>
      <w:r w:rsidR="00FD0A7D" w:rsidRPr="00A51748">
        <w:rPr>
          <w:rFonts w:cs="Times New Roman"/>
        </w:rPr>
        <w:t xml:space="preserve"> Although not explicit in the Target’s language, integration</w:t>
      </w:r>
      <w:r w:rsidR="00941E51" w:rsidRPr="00A51748">
        <w:rPr>
          <w:rFonts w:cs="Times New Roman"/>
        </w:rPr>
        <w:t xml:space="preserve"> </w:t>
      </w:r>
      <w:r w:rsidR="00E4655B" w:rsidRPr="00A51748">
        <w:rPr>
          <w:rFonts w:cs="Times New Roman"/>
        </w:rPr>
        <w:t xml:space="preserve">of biodiversity within and </w:t>
      </w:r>
      <w:r w:rsidR="00FD0A7D" w:rsidRPr="00A51748">
        <w:rPr>
          <w:rFonts w:cs="Times New Roman"/>
        </w:rPr>
        <w:t xml:space="preserve">across sectors is also vital, and was included in PoWPA, as well as guidance on </w:t>
      </w:r>
      <w:r w:rsidR="00AA74B4" w:rsidRPr="00A51748">
        <w:rPr>
          <w:rFonts w:cs="Times New Roman"/>
        </w:rPr>
        <w:t>Target 11.</w:t>
      </w:r>
      <w:r w:rsidR="00AA74B4" w:rsidRPr="00A51748">
        <w:rPr>
          <w:rStyle w:val="FootnoteReference"/>
          <w:rFonts w:cs="Times New Roman"/>
        </w:rPr>
        <w:footnoteReference w:id="89"/>
      </w:r>
      <w:r w:rsidR="00AA74B4" w:rsidRPr="00A51748">
        <w:rPr>
          <w:rFonts w:cs="Times New Roman"/>
        </w:rPr>
        <w:t xml:space="preserve"> </w:t>
      </w:r>
      <w:r w:rsidR="00E4655B" w:rsidRPr="00A51748">
        <w:rPr>
          <w:rFonts w:cs="Times New Roman"/>
        </w:rPr>
        <w:t>C</w:t>
      </w:r>
      <w:r w:rsidR="00FD0A7D" w:rsidRPr="00A51748">
        <w:rPr>
          <w:rFonts w:cs="Times New Roman"/>
        </w:rPr>
        <w:t xml:space="preserve">ontradictory policy objectives across different sectors </w:t>
      </w:r>
      <w:r w:rsidR="00E4655B" w:rsidRPr="00A51748">
        <w:rPr>
          <w:rFonts w:cs="Times New Roman"/>
        </w:rPr>
        <w:t xml:space="preserve">could </w:t>
      </w:r>
      <w:r w:rsidR="000A406C" w:rsidRPr="00A51748">
        <w:rPr>
          <w:rFonts w:cs="Times New Roman"/>
        </w:rPr>
        <w:t>jeopardise biodiversity conservation and limit the efficacy of protected areas.</w:t>
      </w:r>
    </w:p>
    <w:p w14:paraId="1A194978" w14:textId="77777777" w:rsidR="003930DB" w:rsidRPr="00A51748" w:rsidRDefault="00BF3831" w:rsidP="006D6DCD">
      <w:pPr>
        <w:pStyle w:val="Para1"/>
        <w:numPr>
          <w:ilvl w:val="0"/>
          <w:numId w:val="14"/>
        </w:numPr>
        <w:spacing w:before="0"/>
        <w:ind w:left="0" w:firstLine="0"/>
        <w:rPr>
          <w:rFonts w:cs="Times New Roman"/>
        </w:rPr>
      </w:pPr>
      <w:r w:rsidRPr="00A51748">
        <w:rPr>
          <w:rFonts w:cs="Times New Roman"/>
        </w:rPr>
        <w:t xml:space="preserve">Voluntary guidance on this element has been developed (see COP </w:t>
      </w:r>
      <w:hyperlink r:id="rId36" w:history="1">
        <w:r w:rsidR="00F80EEF" w:rsidRPr="00A51748">
          <w:rPr>
            <w:rStyle w:val="Hyperlink"/>
            <w:rFonts w:cs="Times New Roman"/>
            <w:color w:val="auto"/>
          </w:rPr>
          <w:t>Decision 14/8</w:t>
        </w:r>
      </w:hyperlink>
      <w:r w:rsidRPr="00A51748">
        <w:rPr>
          <w:rFonts w:cs="Times New Roman"/>
        </w:rPr>
        <w:t>, Annex I)</w:t>
      </w:r>
      <w:r w:rsidR="0039509B" w:rsidRPr="00A51748">
        <w:rPr>
          <w:rFonts w:cs="Times New Roman"/>
        </w:rPr>
        <w:t xml:space="preserve">, </w:t>
      </w:r>
      <w:r w:rsidR="000C04DA" w:rsidRPr="00A51748">
        <w:rPr>
          <w:rFonts w:cs="Times New Roman"/>
        </w:rPr>
        <w:t>and</w:t>
      </w:r>
      <w:r w:rsidR="0039509B" w:rsidRPr="00A51748">
        <w:rPr>
          <w:rFonts w:cs="Times New Roman"/>
        </w:rPr>
        <w:t xml:space="preserve"> offer</w:t>
      </w:r>
      <w:r w:rsidR="000C04DA" w:rsidRPr="00A51748">
        <w:rPr>
          <w:rFonts w:cs="Times New Roman"/>
        </w:rPr>
        <w:t>s</w:t>
      </w:r>
      <w:r w:rsidR="0039509B" w:rsidRPr="00A51748">
        <w:rPr>
          <w:rFonts w:cs="Times New Roman"/>
        </w:rPr>
        <w:t xml:space="preserve"> </w:t>
      </w:r>
      <w:r w:rsidR="0039509B" w:rsidRPr="00A51748">
        <w:rPr>
          <w:rFonts w:eastAsia="Times New Roman" w:cs="Times New Roman"/>
        </w:rPr>
        <w:t xml:space="preserve">a range of suggested steps for the integration of protected areas into wider landscapes and seascapes </w:t>
      </w:r>
      <w:r w:rsidR="000441D8" w:rsidRPr="00A51748">
        <w:rPr>
          <w:rFonts w:eastAsia="Times New Roman" w:cs="Times New Roman"/>
        </w:rPr>
        <w:t>as well as important</w:t>
      </w:r>
      <w:r w:rsidR="0039509B" w:rsidRPr="00A51748">
        <w:rPr>
          <w:rFonts w:eastAsia="Times New Roman" w:cs="Times New Roman"/>
        </w:rPr>
        <w:t xml:space="preserve"> sectors</w:t>
      </w:r>
      <w:r w:rsidR="00917439" w:rsidRPr="00A51748">
        <w:rPr>
          <w:rFonts w:eastAsia="Times New Roman" w:cs="Times New Roman"/>
        </w:rPr>
        <w:t xml:space="preserve">. </w:t>
      </w:r>
      <w:r w:rsidR="000F31AC" w:rsidRPr="00A51748">
        <w:rPr>
          <w:rFonts w:eastAsia="Times New Roman" w:cs="Times New Roman"/>
        </w:rPr>
        <w:t>However, there is still a l</w:t>
      </w:r>
      <w:r w:rsidR="000C04DA" w:rsidRPr="00A51748">
        <w:rPr>
          <w:rFonts w:eastAsia="Times New Roman" w:cs="Times New Roman"/>
        </w:rPr>
        <w:t>ack of indicators</w:t>
      </w:r>
      <w:r w:rsidR="000F31AC" w:rsidRPr="00A51748">
        <w:rPr>
          <w:rFonts w:eastAsia="Times New Roman" w:cs="Times New Roman"/>
        </w:rPr>
        <w:t xml:space="preserve"> </w:t>
      </w:r>
      <w:r w:rsidR="000C04DA" w:rsidRPr="00A51748">
        <w:rPr>
          <w:rFonts w:eastAsia="Times New Roman" w:cs="Times New Roman"/>
        </w:rPr>
        <w:t>and global assessment</w:t>
      </w:r>
      <w:r w:rsidR="000F31AC" w:rsidRPr="00A51748">
        <w:rPr>
          <w:rFonts w:eastAsia="Times New Roman" w:cs="Times New Roman"/>
        </w:rPr>
        <w:t xml:space="preserve">s available for this element of Target 11. One means to assess this </w:t>
      </w:r>
      <w:r w:rsidR="000F31AC" w:rsidRPr="00A51748">
        <w:rPr>
          <w:rFonts w:cs="Times New Roman"/>
        </w:rPr>
        <w:t>could be</w:t>
      </w:r>
      <w:r w:rsidR="000C04DA" w:rsidRPr="00A51748">
        <w:rPr>
          <w:rFonts w:eastAsia="Times New Roman" w:cs="Times New Roman"/>
        </w:rPr>
        <w:t xml:space="preserve"> </w:t>
      </w:r>
      <w:r w:rsidR="000F31AC" w:rsidRPr="00A51748">
        <w:rPr>
          <w:rFonts w:eastAsia="Times New Roman" w:cs="Times New Roman"/>
        </w:rPr>
        <w:t xml:space="preserve">to look </w:t>
      </w:r>
      <w:r w:rsidR="00CE5B57" w:rsidRPr="00A51748">
        <w:rPr>
          <w:rFonts w:eastAsia="Times New Roman" w:cs="Times New Roman"/>
        </w:rPr>
        <w:t xml:space="preserve">ecological </w:t>
      </w:r>
      <w:r w:rsidR="000441D8" w:rsidRPr="00A51748">
        <w:rPr>
          <w:rFonts w:eastAsia="Times New Roman" w:cs="Times New Roman"/>
        </w:rPr>
        <w:t xml:space="preserve">spill-over, </w:t>
      </w:r>
      <w:r w:rsidR="000E33CE" w:rsidRPr="00A51748">
        <w:rPr>
          <w:rFonts w:eastAsia="Times New Roman" w:cs="Times New Roman"/>
        </w:rPr>
        <w:t>examining "leakage" and "blockage" effects of protected areas on non-target, neighbouring areas.</w:t>
      </w:r>
      <w:r w:rsidR="000E33CE" w:rsidRPr="00A51748">
        <w:rPr>
          <w:rFonts w:cs="Times New Roman"/>
          <w:b/>
        </w:rPr>
        <w:t xml:space="preserve"> </w:t>
      </w:r>
      <w:r w:rsidR="00EA0803" w:rsidRPr="00A51748">
        <w:rPr>
          <w:rFonts w:cs="Times New Roman"/>
        </w:rPr>
        <w:t>A r</w:t>
      </w:r>
      <w:r w:rsidR="003930DB" w:rsidRPr="00A51748">
        <w:rPr>
          <w:rFonts w:cs="Times New Roman"/>
        </w:rPr>
        <w:t>ecent study</w:t>
      </w:r>
      <w:r w:rsidR="007B2197" w:rsidRPr="00A51748">
        <w:rPr>
          <w:rFonts w:cs="Times New Roman"/>
        </w:rPr>
        <w:t>,</w:t>
      </w:r>
      <w:r w:rsidR="00EA0803" w:rsidRPr="00A51748">
        <w:rPr>
          <w:rStyle w:val="FootnoteReference"/>
          <w:rFonts w:cs="Times New Roman"/>
          <w:sz w:val="22"/>
        </w:rPr>
        <w:footnoteReference w:id="90"/>
      </w:r>
      <w:r w:rsidR="003930DB" w:rsidRPr="00A51748">
        <w:rPr>
          <w:rFonts w:cs="Times New Roman"/>
        </w:rPr>
        <w:t xml:space="preserve"> focusing largely on tro</w:t>
      </w:r>
      <w:r w:rsidR="00FD4DDE" w:rsidRPr="00A51748">
        <w:rPr>
          <w:rFonts w:cs="Times New Roman"/>
        </w:rPr>
        <w:t xml:space="preserve">pical and subtropical </w:t>
      </w:r>
      <w:r w:rsidR="003930DB" w:rsidRPr="00A51748">
        <w:rPr>
          <w:rFonts w:cs="Times New Roman"/>
        </w:rPr>
        <w:t>forests</w:t>
      </w:r>
      <w:r w:rsidR="00EA0803" w:rsidRPr="00A51748">
        <w:rPr>
          <w:rFonts w:cs="Times New Roman"/>
        </w:rPr>
        <w:t xml:space="preserve"> found that out of </w:t>
      </w:r>
      <w:r w:rsidR="003930DB" w:rsidRPr="00A51748">
        <w:rPr>
          <w:rFonts w:cs="Times New Roman"/>
        </w:rPr>
        <w:t>2</w:t>
      </w:r>
      <w:r w:rsidR="005706E7" w:rsidRPr="00A51748">
        <w:rPr>
          <w:rFonts w:cs="Times New Roman"/>
        </w:rPr>
        <w:t>,</w:t>
      </w:r>
      <w:r w:rsidR="003930DB" w:rsidRPr="00A51748">
        <w:rPr>
          <w:rFonts w:cs="Times New Roman"/>
        </w:rPr>
        <w:t xml:space="preserve">575 </w:t>
      </w:r>
      <w:r w:rsidR="00EA0803" w:rsidRPr="00A51748">
        <w:rPr>
          <w:rFonts w:cs="Times New Roman"/>
        </w:rPr>
        <w:t>protected areas</w:t>
      </w:r>
      <w:r w:rsidR="003930DB" w:rsidRPr="00A51748">
        <w:rPr>
          <w:rFonts w:cs="Times New Roman"/>
        </w:rPr>
        <w:t xml:space="preserve"> that effectively </w:t>
      </w:r>
      <w:r w:rsidR="00EA0803" w:rsidRPr="00A51748">
        <w:rPr>
          <w:rFonts w:cs="Times New Roman"/>
        </w:rPr>
        <w:t>limited</w:t>
      </w:r>
      <w:r w:rsidR="003930DB" w:rsidRPr="00A51748">
        <w:rPr>
          <w:rFonts w:cs="Times New Roman"/>
        </w:rPr>
        <w:t xml:space="preserve"> deforestation,</w:t>
      </w:r>
      <w:r w:rsidR="008D2771" w:rsidRPr="00A51748">
        <w:rPr>
          <w:rStyle w:val="FootnoteReference"/>
          <w:rFonts w:cs="Times New Roman"/>
          <w:sz w:val="22"/>
        </w:rPr>
        <w:footnoteReference w:id="91"/>
      </w:r>
      <w:r w:rsidR="003930DB" w:rsidRPr="00A51748">
        <w:rPr>
          <w:rFonts w:cs="Times New Roman"/>
        </w:rPr>
        <w:t xml:space="preserve"> </w:t>
      </w:r>
      <w:r w:rsidR="006049AA" w:rsidRPr="00A51748">
        <w:rPr>
          <w:rFonts w:cs="Times New Roman"/>
        </w:rPr>
        <w:t>860 had negligible spill</w:t>
      </w:r>
      <w:r w:rsidRPr="00A51748">
        <w:rPr>
          <w:rFonts w:cs="Times New Roman"/>
        </w:rPr>
        <w:t>-</w:t>
      </w:r>
      <w:r w:rsidR="006049AA" w:rsidRPr="00A51748">
        <w:rPr>
          <w:rFonts w:cs="Times New Roman"/>
        </w:rPr>
        <w:t xml:space="preserve">over, </w:t>
      </w:r>
      <w:r w:rsidR="000E33CE" w:rsidRPr="00A51748">
        <w:rPr>
          <w:rFonts w:cs="Times New Roman"/>
        </w:rPr>
        <w:t xml:space="preserve">and </w:t>
      </w:r>
      <w:r w:rsidR="006049AA" w:rsidRPr="00A51748">
        <w:rPr>
          <w:rFonts w:cs="Times New Roman"/>
        </w:rPr>
        <w:t xml:space="preserve">304 </w:t>
      </w:r>
      <w:r w:rsidR="00EA0803" w:rsidRPr="00A51748">
        <w:rPr>
          <w:rFonts w:cs="Times New Roman"/>
        </w:rPr>
        <w:t>(12%) displayed</w:t>
      </w:r>
      <w:r w:rsidR="006049AA" w:rsidRPr="00A51748">
        <w:rPr>
          <w:rFonts w:cs="Times New Roman"/>
        </w:rPr>
        <w:t xml:space="preserve"> ‘leakage’</w:t>
      </w:r>
      <w:r w:rsidR="000C04DA" w:rsidRPr="00A51748">
        <w:rPr>
          <w:rFonts w:cs="Times New Roman"/>
        </w:rPr>
        <w:t xml:space="preserve">—where </w:t>
      </w:r>
      <w:r w:rsidR="00EA0803" w:rsidRPr="00A51748">
        <w:rPr>
          <w:rFonts w:cs="Times New Roman"/>
        </w:rPr>
        <w:t>deforestation was simply displaced to the surrounding area, showin</w:t>
      </w:r>
      <w:r w:rsidR="000C04DA" w:rsidRPr="00A51748">
        <w:rPr>
          <w:rFonts w:cs="Times New Roman"/>
        </w:rPr>
        <w:t>g limited integration with the wi</w:t>
      </w:r>
      <w:r w:rsidR="00EA0803" w:rsidRPr="00A51748">
        <w:rPr>
          <w:rFonts w:cs="Times New Roman"/>
        </w:rPr>
        <w:t xml:space="preserve">der landscape. ‘Blockage’, where deforestation was also reduced in areas surrounding the </w:t>
      </w:r>
      <w:r w:rsidR="000E33CE" w:rsidRPr="00A51748">
        <w:rPr>
          <w:rFonts w:cs="Times New Roman"/>
        </w:rPr>
        <w:t>protected</w:t>
      </w:r>
      <w:r w:rsidR="00EA0803" w:rsidRPr="00A51748">
        <w:rPr>
          <w:rFonts w:cs="Times New Roman"/>
        </w:rPr>
        <w:t xml:space="preserve"> </w:t>
      </w:r>
      <w:r w:rsidR="00B20155" w:rsidRPr="00A51748">
        <w:rPr>
          <w:rFonts w:cs="Times New Roman"/>
        </w:rPr>
        <w:t xml:space="preserve">area, </w:t>
      </w:r>
      <w:r w:rsidR="00EA0803" w:rsidRPr="00A51748">
        <w:rPr>
          <w:rFonts w:cs="Times New Roman"/>
        </w:rPr>
        <w:t xml:space="preserve">was recorded in </w:t>
      </w:r>
      <w:r w:rsidR="006049AA" w:rsidRPr="00A51748">
        <w:rPr>
          <w:rFonts w:cs="Times New Roman"/>
        </w:rPr>
        <w:t>1</w:t>
      </w:r>
      <w:r w:rsidR="00137511" w:rsidRPr="00A51748">
        <w:rPr>
          <w:rFonts w:cs="Times New Roman"/>
        </w:rPr>
        <w:t>,</w:t>
      </w:r>
      <w:r w:rsidR="006049AA" w:rsidRPr="00A51748">
        <w:rPr>
          <w:rFonts w:cs="Times New Roman"/>
        </w:rPr>
        <w:t xml:space="preserve">411 </w:t>
      </w:r>
      <w:r w:rsidR="00EA0803" w:rsidRPr="00A51748">
        <w:rPr>
          <w:rFonts w:cs="Times New Roman"/>
        </w:rPr>
        <w:t xml:space="preserve">(55%) sites. </w:t>
      </w:r>
      <w:r w:rsidR="00AA74B4" w:rsidRPr="00A51748">
        <w:rPr>
          <w:rFonts w:cs="Times New Roman"/>
        </w:rPr>
        <w:t xml:space="preserve">Another study noted that across </w:t>
      </w:r>
      <w:r w:rsidR="00AA74B4" w:rsidRPr="00A51748">
        <w:rPr>
          <w:rFonts w:cs="Times New Roman"/>
          <w:lang w:val="en-CA"/>
        </w:rPr>
        <w:t xml:space="preserve">Europe, land cover changes were more frequent in areas immediately surrounding </w:t>
      </w:r>
      <w:r w:rsidR="000E30C2" w:rsidRPr="00A51748">
        <w:rPr>
          <w:rFonts w:cs="Times New Roman"/>
          <w:lang w:val="en-CA"/>
        </w:rPr>
        <w:t>protected areas</w:t>
      </w:r>
      <w:r w:rsidR="00AA74B4" w:rsidRPr="00A51748">
        <w:rPr>
          <w:rFonts w:cs="Times New Roman"/>
          <w:lang w:val="en-CA"/>
        </w:rPr>
        <w:t xml:space="preserve"> (1-km buffer) than in all non-protected areas; both unprotected areas and</w:t>
      </w:r>
      <w:r w:rsidR="000E30C2" w:rsidRPr="00A51748">
        <w:rPr>
          <w:rFonts w:cs="Times New Roman"/>
          <w:lang w:val="en-CA"/>
        </w:rPr>
        <w:t xml:space="preserve"> those immediately surrounding protected areas</w:t>
      </w:r>
      <w:r w:rsidR="00AA74B4" w:rsidRPr="00A51748">
        <w:rPr>
          <w:rFonts w:cs="Times New Roman"/>
          <w:lang w:val="en-CA"/>
        </w:rPr>
        <w:t xml:space="preserve"> showed </w:t>
      </w:r>
      <w:r w:rsidR="00AA74B4" w:rsidRPr="00A51748">
        <w:rPr>
          <w:rFonts w:cs="Times New Roman"/>
          <w:lang w:val="en-CA"/>
        </w:rPr>
        <w:lastRenderedPageBreak/>
        <w:t xml:space="preserve">more land cover change than inside </w:t>
      </w:r>
      <w:r w:rsidR="000E30C2" w:rsidRPr="00A51748">
        <w:rPr>
          <w:rFonts w:cs="Times New Roman"/>
          <w:lang w:val="en-CA"/>
        </w:rPr>
        <w:t>protected areas</w:t>
      </w:r>
      <w:r w:rsidR="00AA74B4" w:rsidRPr="00A51748">
        <w:rPr>
          <w:rFonts w:cs="Times New Roman"/>
          <w:lang w:val="en-CA"/>
        </w:rPr>
        <w:t>.</w:t>
      </w:r>
      <w:r w:rsidR="00AA74B4" w:rsidRPr="00A51748">
        <w:rPr>
          <w:rStyle w:val="FootnoteReference"/>
          <w:rFonts w:cs="Times New Roman"/>
          <w:lang w:val="en-CA"/>
        </w:rPr>
        <w:footnoteReference w:id="92"/>
      </w:r>
      <w:r w:rsidR="00DF3CCC" w:rsidRPr="00A51748">
        <w:rPr>
          <w:rFonts w:cs="Times New Roman"/>
          <w:lang w:val="en-CA"/>
        </w:rPr>
        <w:t xml:space="preserve"> This land cover change was driven primarily by afforestation and deforestation, and to a lesser degree from urbanisation and agriculture.</w:t>
      </w:r>
    </w:p>
    <w:p w14:paraId="57244005" w14:textId="77777777" w:rsidR="0028604F" w:rsidRPr="00A51748" w:rsidRDefault="0028604F" w:rsidP="006D6DCD">
      <w:pPr>
        <w:pStyle w:val="Para1"/>
        <w:numPr>
          <w:ilvl w:val="0"/>
          <w:numId w:val="14"/>
        </w:numPr>
        <w:spacing w:before="0"/>
        <w:ind w:left="0" w:firstLine="0"/>
        <w:rPr>
          <w:rFonts w:cs="Times New Roman"/>
        </w:rPr>
      </w:pPr>
      <w:r w:rsidRPr="00A51748">
        <w:rPr>
          <w:rFonts w:cs="Times New Roman"/>
        </w:rPr>
        <w:t>Marine spatial planning</w:t>
      </w:r>
      <w:r w:rsidR="00BE2D8C" w:rsidRPr="00A51748">
        <w:rPr>
          <w:rFonts w:cs="Times New Roman"/>
        </w:rPr>
        <w:t xml:space="preserve"> </w:t>
      </w:r>
      <w:r w:rsidR="00621683" w:rsidRPr="00A51748">
        <w:rPr>
          <w:rFonts w:cs="Times New Roman"/>
        </w:rPr>
        <w:t>“is an area-based management framework that addresses multiple management objectives” and represents a “framework to provide a means for improving decision-making as it relates to the use of marine resources and space.”</w:t>
      </w:r>
      <w:r w:rsidR="00621683" w:rsidRPr="00A51748">
        <w:rPr>
          <w:rStyle w:val="FootnoteReference"/>
          <w:rFonts w:cs="Times New Roman"/>
        </w:rPr>
        <w:footnoteReference w:id="93"/>
      </w:r>
      <w:r w:rsidR="00621683" w:rsidRPr="00A51748">
        <w:rPr>
          <w:rFonts w:cs="Times New Roman"/>
        </w:rPr>
        <w:t xml:space="preserve"> It represents an important means for ensuring the integration of marine protected areas with the wider seascape, and with relevant sectors, and coordinating the distribution of human impacts in the ocean.  Globally, marine spatial planning is under development in more than 66 countries.</w:t>
      </w:r>
      <w:r w:rsidR="00621683" w:rsidRPr="00A51748">
        <w:rPr>
          <w:rStyle w:val="FootnoteReference"/>
          <w:rFonts w:cs="Times New Roman"/>
        </w:rPr>
        <w:footnoteReference w:id="94"/>
      </w:r>
      <w:r w:rsidR="00621683" w:rsidRPr="00A51748">
        <w:rPr>
          <w:rFonts w:cs="Times New Roman"/>
        </w:rPr>
        <w:t xml:space="preserve"> </w:t>
      </w:r>
    </w:p>
    <w:p w14:paraId="24B8E396" w14:textId="0BCA2D82" w:rsidR="005D720C" w:rsidRPr="00A51748" w:rsidRDefault="002034AE" w:rsidP="006D6DCD">
      <w:pPr>
        <w:pStyle w:val="Heading2"/>
        <w:spacing w:before="0"/>
        <w:jc w:val="both"/>
        <w:rPr>
          <w:rFonts w:cs="Times New Roman"/>
        </w:rPr>
      </w:pPr>
      <w:bookmarkStart w:id="3" w:name="_Opportunities_for_further"/>
      <w:bookmarkEnd w:id="3"/>
      <w:r w:rsidRPr="00A51748">
        <w:rPr>
          <w:rFonts w:cs="Times New Roman"/>
        </w:rPr>
        <w:t>6</w:t>
      </w:r>
      <w:r w:rsidR="00B90060" w:rsidRPr="00A51748">
        <w:rPr>
          <w:rFonts w:cs="Times New Roman"/>
        </w:rPr>
        <w:t xml:space="preserve">.3 </w:t>
      </w:r>
      <w:r w:rsidR="00284A69" w:rsidRPr="00A51748">
        <w:rPr>
          <w:rFonts w:cs="Times New Roman"/>
        </w:rPr>
        <w:t>Opportunities</w:t>
      </w:r>
      <w:r w:rsidR="00C911F7" w:rsidRPr="00A51748">
        <w:rPr>
          <w:rFonts w:cs="Times New Roman"/>
        </w:rPr>
        <w:t xml:space="preserve"> </w:t>
      </w:r>
      <w:r w:rsidR="00FD4DDE" w:rsidRPr="00A51748">
        <w:rPr>
          <w:rFonts w:cs="Times New Roman"/>
        </w:rPr>
        <w:t>for further progress</w:t>
      </w:r>
    </w:p>
    <w:p w14:paraId="63FFB287" w14:textId="77777777" w:rsidR="007D0389" w:rsidRPr="00A51748" w:rsidRDefault="00FD4DDE" w:rsidP="006D6DCD">
      <w:pPr>
        <w:pStyle w:val="Para1"/>
        <w:numPr>
          <w:ilvl w:val="0"/>
          <w:numId w:val="14"/>
        </w:numPr>
        <w:spacing w:before="0"/>
        <w:ind w:left="0" w:firstLine="0"/>
        <w:rPr>
          <w:rFonts w:cs="Times New Roman"/>
        </w:rPr>
      </w:pPr>
      <w:r w:rsidRPr="00A51748">
        <w:rPr>
          <w:rFonts w:cs="Times New Roman"/>
        </w:rPr>
        <w:t>Commitments</w:t>
      </w:r>
      <w:r w:rsidR="00F80EEF" w:rsidRPr="00A51748">
        <w:rPr>
          <w:rFonts w:cs="Times New Roman"/>
        </w:rPr>
        <w:t xml:space="preserve"> made by Parties to the Convention, as noted above</w:t>
      </w:r>
      <w:r w:rsidR="005911D3" w:rsidRPr="00A51748">
        <w:rPr>
          <w:rFonts w:cs="Times New Roman"/>
        </w:rPr>
        <w:t xml:space="preserve"> (Fig. 2)</w:t>
      </w:r>
      <w:r w:rsidR="007D0389" w:rsidRPr="00A51748">
        <w:rPr>
          <w:rFonts w:cs="Times New Roman"/>
        </w:rPr>
        <w:t>, will have significant impacts for global protected area coverage if implemented as proposed by 2020</w:t>
      </w:r>
      <w:r w:rsidR="005F190D" w:rsidRPr="00A51748">
        <w:rPr>
          <w:rFonts w:cs="Times New Roman"/>
        </w:rPr>
        <w:t xml:space="preserve">. Further opportunities exist through the completion of </w:t>
      </w:r>
      <w:r w:rsidR="005F190D" w:rsidRPr="00A51748">
        <w:rPr>
          <w:rFonts w:eastAsia="Times New Roman" w:cs="Times New Roman"/>
        </w:rPr>
        <w:t>Global Environment Facility (GEF-5 and GEF-6) projects</w:t>
      </w:r>
      <w:r w:rsidR="00FD0794" w:rsidRPr="00A51748">
        <w:rPr>
          <w:rFonts w:cs="Times New Roman"/>
        </w:rPr>
        <w:t>,</w:t>
      </w:r>
      <w:r w:rsidR="005F190D" w:rsidRPr="00A51748">
        <w:rPr>
          <w:rFonts w:cs="Times New Roman"/>
        </w:rPr>
        <w:t xml:space="preserve"> the recognition and reporting of territories and areas conserved by indigenous peoples and local communities (ICCAs), and </w:t>
      </w:r>
      <w:r w:rsidR="00FD0794" w:rsidRPr="00A51748">
        <w:rPr>
          <w:rFonts w:cs="Times New Roman"/>
        </w:rPr>
        <w:t>especially</w:t>
      </w:r>
      <w:r w:rsidR="005F190D" w:rsidRPr="00A51748">
        <w:rPr>
          <w:rFonts w:cs="Times New Roman"/>
        </w:rPr>
        <w:t xml:space="preserve"> through</w:t>
      </w:r>
      <w:r w:rsidR="00FD0794" w:rsidRPr="00A51748">
        <w:rPr>
          <w:rFonts w:cs="Times New Roman"/>
        </w:rPr>
        <w:t xml:space="preserve"> better recording of data and recognition of OECMs</w:t>
      </w:r>
      <w:r w:rsidR="007D0389" w:rsidRPr="00A51748">
        <w:rPr>
          <w:rFonts w:cs="Times New Roman"/>
        </w:rPr>
        <w:t xml:space="preserve">. These additions will improve ecological representation and may also have benefits for connectivity and the coverage of areas important for </w:t>
      </w:r>
      <w:r w:rsidR="00FD4CA8" w:rsidRPr="00A51748">
        <w:rPr>
          <w:rFonts w:cs="Times New Roman"/>
        </w:rPr>
        <w:t>biodiversity</w:t>
      </w:r>
      <w:r w:rsidR="000E30C2" w:rsidRPr="00A51748">
        <w:rPr>
          <w:rFonts w:cs="Times New Roman"/>
        </w:rPr>
        <w:t>, as well as other elements of the Target</w:t>
      </w:r>
      <w:r w:rsidR="007D0389" w:rsidRPr="00A51748">
        <w:rPr>
          <w:rFonts w:cs="Times New Roman"/>
        </w:rPr>
        <w:t>. However, to assess the impacts for these elements, spatial information on these areas is needed. Work is underway to collect</w:t>
      </w:r>
      <w:r w:rsidR="00FD4CA8" w:rsidRPr="00A51748">
        <w:rPr>
          <w:rFonts w:cs="Times New Roman"/>
        </w:rPr>
        <w:t xml:space="preserve"> some of </w:t>
      </w:r>
      <w:r w:rsidR="007D0389" w:rsidRPr="00A51748">
        <w:rPr>
          <w:rFonts w:cs="Times New Roman"/>
        </w:rPr>
        <w:t>this information and assess the impact on these elements of Target 11, as discussed in the following sections.</w:t>
      </w:r>
    </w:p>
    <w:p w14:paraId="6370D85B" w14:textId="77777777" w:rsidR="00FD4DDE" w:rsidRPr="00A51748" w:rsidRDefault="00E70D24" w:rsidP="006D6DCD">
      <w:pPr>
        <w:pStyle w:val="Para1"/>
        <w:numPr>
          <w:ilvl w:val="0"/>
          <w:numId w:val="14"/>
        </w:numPr>
        <w:spacing w:before="0"/>
        <w:ind w:left="0" w:firstLine="0"/>
        <w:rPr>
          <w:rFonts w:cs="Times New Roman"/>
        </w:rPr>
      </w:pPr>
      <w:r w:rsidRPr="00A51748">
        <w:rPr>
          <w:rFonts w:cs="Times New Roman"/>
        </w:rPr>
        <w:t>Additionally, properly updating information in the WDPA to better reflect conditions on the ground, which may be higher than presently recorded, will improve our knowledge of the global status of protected area coverage. Information on protected area coverage from Sixth National Reports submitted by June 2019 has been analysed and includes information submitted by 90 Parties. Of these, for terrestrial areas, 26 report values lower than the WDPA, 32 report values higher than the WDPA, 17 report values that are similar, and the remaining 15 either did not report specific figures for terrestrial protected area coverage or the description was unclear. For marine areas: 11 report values lower than the WDPA, 26 report values higher than the WDPA, 10 report values that are similar, 3 provided information that was unclear, 17 did not provide marine coverage, and the remaining 23 National Reports are from landlocked countries. This mean that the remaining gaps for global protected area coverage</w:t>
      </w:r>
      <w:r w:rsidRPr="00A51748">
        <w:rPr>
          <w:rStyle w:val="FootnoteReference"/>
          <w:rFonts w:cs="Times New Roman"/>
        </w:rPr>
        <w:footnoteReference w:id="95"/>
      </w:r>
      <w:r w:rsidRPr="00A51748">
        <w:rPr>
          <w:rFonts w:cs="Times New Roman"/>
        </w:rPr>
        <w:t xml:space="preserve"> are lower than currently assessed based on coverage in the WDPA. Based on this preliminary analysis, global coverage could be at least 16% for terrestrial areas and almost 8% for the global ocean. Work is ongoing to facilitate updating records in the WDPA to better reflect the situation on the ground, or to clarify some of the discrepancy</w:t>
      </w:r>
      <w:r w:rsidR="00312922" w:rsidRPr="00A51748">
        <w:rPr>
          <w:rFonts w:cs="Times New Roman"/>
        </w:rPr>
        <w:t xml:space="preserve">. </w:t>
      </w:r>
    </w:p>
    <w:p w14:paraId="7B2909CD" w14:textId="50AEED26" w:rsidR="00FD4DDE" w:rsidRPr="00A51748" w:rsidRDefault="00FD4DDE" w:rsidP="006D6DCD">
      <w:pPr>
        <w:pStyle w:val="Heading3"/>
        <w:numPr>
          <w:ilvl w:val="0"/>
          <w:numId w:val="28"/>
        </w:numPr>
        <w:spacing w:before="0"/>
        <w:jc w:val="both"/>
      </w:pPr>
      <w:r w:rsidRPr="00A51748">
        <w:t>Opportunities from GEF-5 and GEF-6 protected area projects</w:t>
      </w:r>
    </w:p>
    <w:p w14:paraId="7069E924" w14:textId="77777777" w:rsidR="006B611F" w:rsidRPr="00A51748" w:rsidRDefault="00237162" w:rsidP="006D6DCD">
      <w:pPr>
        <w:pStyle w:val="Para1"/>
        <w:numPr>
          <w:ilvl w:val="0"/>
          <w:numId w:val="14"/>
        </w:numPr>
        <w:spacing w:before="0"/>
        <w:ind w:left="0" w:firstLine="0"/>
        <w:rPr>
          <w:rFonts w:cs="Times New Roman"/>
        </w:rPr>
      </w:pPr>
      <w:r w:rsidRPr="00A51748">
        <w:rPr>
          <w:rFonts w:cs="Times New Roman"/>
        </w:rPr>
        <w:t xml:space="preserve">There are 115 approved projects from the fifth and sixth replenishment of the Global Environment Facility (GEF-5/6) with clear plans for increasing protected area coverage—through either the creation of new sites, or expansion of existing sites. However, five of these projects did not include the area to be added, and four projects did not state whether the project would cover terrestrial or marine areas. Overall, completion of these projects before 2020 would add </w:t>
      </w:r>
      <w:r w:rsidR="00456491" w:rsidRPr="00A51748">
        <w:rPr>
          <w:rFonts w:cs="Times New Roman"/>
        </w:rPr>
        <w:t xml:space="preserve">over 300,000 </w:t>
      </w:r>
      <w:r w:rsidRPr="00A51748">
        <w:rPr>
          <w:rFonts w:cs="Times New Roman"/>
        </w:rPr>
        <w:t>km</w:t>
      </w:r>
      <w:r w:rsidRPr="00A51748">
        <w:rPr>
          <w:rFonts w:cs="Times New Roman"/>
          <w:vertAlign w:val="superscript"/>
        </w:rPr>
        <w:t>2</w:t>
      </w:r>
      <w:r w:rsidRPr="00A51748">
        <w:rPr>
          <w:rFonts w:cs="Times New Roman"/>
        </w:rPr>
        <w:t xml:space="preserve"> in terrestrial</w:t>
      </w:r>
      <w:r w:rsidR="005911D3" w:rsidRPr="00A51748">
        <w:rPr>
          <w:rFonts w:cs="Times New Roman"/>
        </w:rPr>
        <w:t xml:space="preserve"> protected areas (0.22% globally)</w:t>
      </w:r>
      <w:r w:rsidRPr="00A51748">
        <w:rPr>
          <w:rFonts w:cs="Times New Roman"/>
        </w:rPr>
        <w:t xml:space="preserve">, and </w:t>
      </w:r>
      <w:r w:rsidR="00456491" w:rsidRPr="00A51748">
        <w:rPr>
          <w:rFonts w:cs="Times New Roman"/>
        </w:rPr>
        <w:t xml:space="preserve">over 500,000 </w:t>
      </w:r>
      <w:r w:rsidRPr="00A51748">
        <w:rPr>
          <w:rFonts w:cs="Times New Roman"/>
        </w:rPr>
        <w:t>km</w:t>
      </w:r>
      <w:r w:rsidRPr="00A51748">
        <w:rPr>
          <w:rFonts w:cs="Times New Roman"/>
          <w:vertAlign w:val="superscript"/>
        </w:rPr>
        <w:t>2</w:t>
      </w:r>
      <w:r w:rsidRPr="00A51748">
        <w:rPr>
          <w:rFonts w:cs="Times New Roman"/>
        </w:rPr>
        <w:t xml:space="preserve"> </w:t>
      </w:r>
      <w:r w:rsidR="005911D3" w:rsidRPr="00A51748">
        <w:rPr>
          <w:rFonts w:cs="Times New Roman"/>
        </w:rPr>
        <w:t>in marine protected areas (0.36% of national waters; 0.14% of the global ocean)</w:t>
      </w:r>
      <w:r w:rsidRPr="00A51748">
        <w:rPr>
          <w:rFonts w:cs="Times New Roman"/>
        </w:rPr>
        <w:t>, accounting for areas that are already reported in the WDPA</w:t>
      </w:r>
      <w:r w:rsidR="006730F4" w:rsidRPr="00A51748">
        <w:rPr>
          <w:rFonts w:cs="Times New Roman"/>
        </w:rPr>
        <w:t>.</w:t>
      </w:r>
      <w:r w:rsidRPr="00A51748">
        <w:rPr>
          <w:rFonts w:cs="Times New Roman"/>
        </w:rPr>
        <w:t xml:space="preserve"> </w:t>
      </w:r>
    </w:p>
    <w:p w14:paraId="2A220B08" w14:textId="77777777" w:rsidR="00C30634" w:rsidRPr="00A51748" w:rsidRDefault="005603DA" w:rsidP="006D6DCD">
      <w:pPr>
        <w:pStyle w:val="Para1"/>
        <w:numPr>
          <w:ilvl w:val="0"/>
          <w:numId w:val="14"/>
        </w:numPr>
        <w:spacing w:before="0"/>
        <w:ind w:left="0" w:firstLine="0"/>
        <w:rPr>
          <w:rFonts w:cs="Times New Roman"/>
        </w:rPr>
      </w:pPr>
      <w:r w:rsidRPr="00A51748">
        <w:rPr>
          <w:rFonts w:cs="Times New Roman"/>
          <w:noProof/>
          <w:lang w:val="en-CA" w:eastAsia="en-CA"/>
        </w:rPr>
        <w:lastRenderedPageBreak/>
        <mc:AlternateContent>
          <mc:Choice Requires="wps">
            <w:drawing>
              <wp:anchor distT="0" distB="0" distL="114300" distR="114300" simplePos="0" relativeHeight="251660288" behindDoc="1" locked="0" layoutInCell="1" allowOverlap="0" wp14:anchorId="473A6A5A" wp14:editId="270ED218">
                <wp:simplePos x="0" y="0"/>
                <wp:positionH relativeFrom="page">
                  <wp:posOffset>861060</wp:posOffset>
                </wp:positionH>
                <wp:positionV relativeFrom="paragraph">
                  <wp:posOffset>1170305</wp:posOffset>
                </wp:positionV>
                <wp:extent cx="5943600" cy="6055360"/>
                <wp:effectExtent l="19050" t="19050" r="38100" b="40640"/>
                <wp:wrapTight wrapText="bothSides">
                  <wp:wrapPolygon edited="0">
                    <wp:start x="-69" y="-68"/>
                    <wp:lineTo x="-69" y="21677"/>
                    <wp:lineTo x="21669" y="21677"/>
                    <wp:lineTo x="21669" y="-68"/>
                    <wp:lineTo x="-69" y="-68"/>
                  </wp:wrapPolygon>
                </wp:wrapTight>
                <wp:docPr id="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55360"/>
                        </a:xfrm>
                        <a:prstGeom prst="rect">
                          <a:avLst/>
                        </a:prstGeom>
                        <a:solidFill>
                          <a:schemeClr val="bg1">
                            <a:lumMod val="85000"/>
                            <a:lumOff val="0"/>
                          </a:schemeClr>
                        </a:solidFill>
                        <a:ln w="57150" cmpd="thinThick">
                          <a:solidFill>
                            <a:schemeClr val="tx1"/>
                          </a:solidFill>
                          <a:miter lim="800000"/>
                          <a:headEnd/>
                          <a:tailEnd/>
                        </a:ln>
                      </wps:spPr>
                      <wps:txbx>
                        <w:txbxContent>
                          <w:p w14:paraId="5F86C654" w14:textId="77777777" w:rsidR="008E5FC2" w:rsidRPr="004136BA" w:rsidRDefault="008E5FC2" w:rsidP="005603DA">
                            <w:pPr>
                              <w:jc w:val="center"/>
                              <w:rPr>
                                <w:b/>
                                <w:sz w:val="20"/>
                                <w:szCs w:val="20"/>
                              </w:rPr>
                            </w:pPr>
                            <w:r w:rsidRPr="004136BA">
                              <w:rPr>
                                <w:b/>
                                <w:sz w:val="20"/>
                                <w:szCs w:val="20"/>
                              </w:rPr>
                              <w:t xml:space="preserve">Box 1: </w:t>
                            </w:r>
                            <w:r>
                              <w:rPr>
                                <w:b/>
                                <w:sz w:val="20"/>
                                <w:szCs w:val="20"/>
                              </w:rPr>
                              <w:t>GEF example</w:t>
                            </w:r>
                          </w:p>
                          <w:p w14:paraId="50736C71" w14:textId="77777777" w:rsidR="008E5FC2" w:rsidRDefault="008E5FC2" w:rsidP="00531D8B">
                            <w:pPr>
                              <w:pStyle w:val="Para1"/>
                              <w:numPr>
                                <w:ilvl w:val="0"/>
                                <w:numId w:val="0"/>
                              </w:numPr>
                              <w:rPr>
                                <w:sz w:val="20"/>
                                <w:szCs w:val="20"/>
                              </w:rPr>
                            </w:pPr>
                            <w:r>
                              <w:rPr>
                                <w:sz w:val="20"/>
                                <w:szCs w:val="20"/>
                              </w:rPr>
                              <w:t>In U</w:t>
                            </w:r>
                            <w:r w:rsidRPr="004136BA">
                              <w:rPr>
                                <w:sz w:val="20"/>
                                <w:szCs w:val="20"/>
                              </w:rPr>
                              <w:t xml:space="preserve">ruguay there is one GEF-5 project (GEF ID 4841), that will add </w:t>
                            </w:r>
                            <w:r>
                              <w:rPr>
                                <w:sz w:val="20"/>
                                <w:szCs w:val="20"/>
                              </w:rPr>
                              <w:t>1,100</w:t>
                            </w:r>
                            <w:r w:rsidRPr="004136BA">
                              <w:rPr>
                                <w:sz w:val="20"/>
                                <w:szCs w:val="20"/>
                              </w:rPr>
                              <w:t xml:space="preserve"> km</w:t>
                            </w:r>
                            <w:r w:rsidRPr="004136BA">
                              <w:rPr>
                                <w:sz w:val="20"/>
                                <w:szCs w:val="20"/>
                                <w:vertAlign w:val="superscript"/>
                              </w:rPr>
                              <w:t xml:space="preserve">2 </w:t>
                            </w:r>
                            <w:r w:rsidRPr="004136BA">
                              <w:rPr>
                                <w:sz w:val="20"/>
                                <w:szCs w:val="20"/>
                              </w:rPr>
                              <w:t>in terrestrial protected area coverage, as well as strengthening the effectiveness of the Uruguay’s protected area system by including a landscape approach to their management. This commitment will increase protection for KBAs in Uruguay as well as improve the protected area network’s ecological representation</w:t>
                            </w:r>
                            <w:r>
                              <w:rPr>
                                <w:sz w:val="20"/>
                                <w:szCs w:val="20"/>
                              </w:rPr>
                              <w:t xml:space="preserve"> and coverage of important areas of carbon storage</w:t>
                            </w:r>
                            <w:r w:rsidRPr="004136BA">
                              <w:rPr>
                                <w:sz w:val="20"/>
                                <w:szCs w:val="20"/>
                              </w:rPr>
                              <w:t xml:space="preserve">. Of the five ecoregions found in Uruguay, two will have increased protection following successful completion of this project (Fig. </w:t>
                            </w:r>
                            <w:r>
                              <w:rPr>
                                <w:sz w:val="20"/>
                                <w:szCs w:val="20"/>
                              </w:rPr>
                              <w:t>9</w:t>
                            </w:r>
                            <w:r w:rsidRPr="004136BA">
                              <w:rPr>
                                <w:sz w:val="20"/>
                                <w:szCs w:val="20"/>
                              </w:rPr>
                              <w:t>)</w:t>
                            </w:r>
                            <w:r>
                              <w:rPr>
                                <w:sz w:val="20"/>
                                <w:szCs w:val="20"/>
                              </w:rPr>
                              <w:t>;</w:t>
                            </w:r>
                            <w:r w:rsidRPr="004136BA">
                              <w:rPr>
                                <w:sz w:val="20"/>
                                <w:szCs w:val="20"/>
                              </w:rPr>
                              <w:t xml:space="preserve"> both of these ecoregions currently fall below 17% coverage globally. Of the twenty-two KBAs located in Uruguay, eight will h</w:t>
                            </w:r>
                            <w:r>
                              <w:rPr>
                                <w:sz w:val="20"/>
                                <w:szCs w:val="20"/>
                              </w:rPr>
                              <w:t>ave increased protection (Fig. 9</w:t>
                            </w:r>
                            <w:r w:rsidRPr="004136BA">
                              <w:rPr>
                                <w:sz w:val="20"/>
                                <w:szCs w:val="20"/>
                              </w:rPr>
                              <w:t xml:space="preserve">), of which five currently have no protected area coverage, and three are only partially </w:t>
                            </w:r>
                            <w:r>
                              <w:rPr>
                                <w:sz w:val="20"/>
                                <w:szCs w:val="20"/>
                              </w:rPr>
                              <w:t>covered (i.e. between 2% and 98%)</w:t>
                            </w:r>
                            <w:r w:rsidRPr="004136BA">
                              <w:rPr>
                                <w:sz w:val="20"/>
                                <w:szCs w:val="20"/>
                              </w:rPr>
                              <w:t>.</w:t>
                            </w:r>
                          </w:p>
                          <w:p w14:paraId="7714026A" w14:textId="77777777" w:rsidR="008E5FC2" w:rsidRDefault="008E5FC2" w:rsidP="005603DA">
                            <w:pPr>
                              <w:pStyle w:val="Para1"/>
                              <w:numPr>
                                <w:ilvl w:val="0"/>
                                <w:numId w:val="0"/>
                              </w:numPr>
                              <w:jc w:val="center"/>
                              <w:rPr>
                                <w:sz w:val="20"/>
                                <w:szCs w:val="20"/>
                              </w:rPr>
                            </w:pPr>
                            <w:r w:rsidRPr="00B20155">
                              <w:rPr>
                                <w:noProof/>
                                <w:lang w:val="en-CA" w:eastAsia="en-CA"/>
                              </w:rPr>
                              <w:drawing>
                                <wp:inline distT="0" distB="0" distL="0" distR="0" wp14:anchorId="7428D4C8" wp14:editId="5D77E88D">
                                  <wp:extent cx="4870026" cy="32647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aCommitments_URY.png"/>
                                          <pic:cNvPicPr/>
                                        </pic:nvPicPr>
                                        <pic:blipFill rotWithShape="1">
                                          <a:blip r:embed="rId37" cstate="print">
                                            <a:extLst>
                                              <a:ext uri="{28A0092B-C50C-407E-A947-70E740481C1C}">
                                                <a14:useLocalDpi xmlns:a14="http://schemas.microsoft.com/office/drawing/2010/main" val="0"/>
                                              </a:ext>
                                            </a:extLst>
                                          </a:blip>
                                          <a:srcRect l="1877" t="2913" r="1744" b="3495"/>
                                          <a:stretch/>
                                        </pic:blipFill>
                                        <pic:spPr bwMode="auto">
                                          <a:xfrm>
                                            <a:off x="0" y="0"/>
                                            <a:ext cx="4869392" cy="3264321"/>
                                          </a:xfrm>
                                          <a:prstGeom prst="rect">
                                            <a:avLst/>
                                          </a:prstGeom>
                                          <a:ln>
                                            <a:noFill/>
                                          </a:ln>
                                          <a:extLst>
                                            <a:ext uri="{53640926-AAD7-44D8-BBD7-CCE9431645EC}">
                                              <a14:shadowObscured xmlns:a14="http://schemas.microsoft.com/office/drawing/2010/main"/>
                                            </a:ext>
                                          </a:extLst>
                                        </pic:spPr>
                                      </pic:pic>
                                    </a:graphicData>
                                  </a:graphic>
                                </wp:inline>
                              </w:drawing>
                            </w:r>
                          </w:p>
                          <w:p w14:paraId="55AD94C4" w14:textId="77777777" w:rsidR="008E5FC2" w:rsidRDefault="008E5FC2" w:rsidP="00531D8B">
                            <w:pPr>
                              <w:pStyle w:val="Para1"/>
                              <w:numPr>
                                <w:ilvl w:val="0"/>
                                <w:numId w:val="0"/>
                              </w:numPr>
                              <w:rPr>
                                <w:sz w:val="20"/>
                                <w:szCs w:val="20"/>
                              </w:rPr>
                            </w:pPr>
                            <w:r w:rsidRPr="004136BA">
                              <w:rPr>
                                <w:sz w:val="20"/>
                                <w:szCs w:val="20"/>
                              </w:rPr>
                              <w:t xml:space="preserve">In Viet Nam there are two approved GEF projects, which together </w:t>
                            </w:r>
                            <w:r>
                              <w:rPr>
                                <w:sz w:val="20"/>
                                <w:szCs w:val="20"/>
                              </w:rPr>
                              <w:t>will add</w:t>
                            </w:r>
                            <w:r w:rsidRPr="004136BA">
                              <w:rPr>
                                <w:sz w:val="20"/>
                                <w:szCs w:val="20"/>
                              </w:rPr>
                              <w:t xml:space="preserve"> </w:t>
                            </w:r>
                            <w:r>
                              <w:rPr>
                                <w:sz w:val="20"/>
                                <w:szCs w:val="20"/>
                              </w:rPr>
                              <w:t>650</w:t>
                            </w:r>
                            <w:r w:rsidRPr="004136BA">
                              <w:rPr>
                                <w:sz w:val="20"/>
                                <w:szCs w:val="20"/>
                              </w:rPr>
                              <w:t xml:space="preserve"> km</w:t>
                            </w:r>
                            <w:r w:rsidRPr="004136BA">
                              <w:rPr>
                                <w:sz w:val="20"/>
                                <w:szCs w:val="20"/>
                                <w:vertAlign w:val="superscript"/>
                              </w:rPr>
                              <w:t>2</w:t>
                            </w:r>
                            <w:r w:rsidRPr="004136BA">
                              <w:rPr>
                                <w:sz w:val="20"/>
                                <w:szCs w:val="20"/>
                              </w:rPr>
                              <w:t xml:space="preserve"> to the terrestrial protected area system. These commitments will help </w:t>
                            </w:r>
                            <w:r>
                              <w:rPr>
                                <w:sz w:val="20"/>
                                <w:szCs w:val="20"/>
                              </w:rPr>
                              <w:t>improve coverage of terrestrial ec</w:t>
                            </w:r>
                            <w:r w:rsidRPr="004136BA">
                              <w:rPr>
                                <w:sz w:val="20"/>
                                <w:szCs w:val="20"/>
                              </w:rPr>
                              <w:t>oregions</w:t>
                            </w:r>
                            <w:r>
                              <w:rPr>
                                <w:sz w:val="20"/>
                                <w:szCs w:val="20"/>
                              </w:rPr>
                              <w:t xml:space="preserve"> and K</w:t>
                            </w:r>
                            <w:r w:rsidRPr="004136BA">
                              <w:rPr>
                                <w:sz w:val="20"/>
                                <w:szCs w:val="20"/>
                              </w:rPr>
                              <w:t xml:space="preserve">BAs. Of the 14 ecoregions in Viet Nam, five will have increased protection due to GEF 5/6 funding, of which three currently fall below 17% coverage globally. Out of the 110 total KBAs found in Viet Nam, 25 will have increased protection, of which 16 currently have no protected area coverage, and nine are only partially </w:t>
                            </w:r>
                            <w:r>
                              <w:rPr>
                                <w:sz w:val="20"/>
                                <w:szCs w:val="20"/>
                              </w:rPr>
                              <w:t>covered (i.e. between 2% and 98%)</w:t>
                            </w:r>
                            <w:r w:rsidRPr="004136BA">
                              <w:rPr>
                                <w:sz w:val="20"/>
                                <w:szCs w:val="20"/>
                              </w:rPr>
                              <w:t>.</w:t>
                            </w:r>
                            <w:r>
                              <w:rPr>
                                <w:sz w:val="20"/>
                                <w:szCs w:val="20"/>
                              </w:rPr>
                              <w:t xml:space="preserve"> There will also an increase in the coverage of important areas for carbon storage, in both above ground biomass and soil organic carbon.</w:t>
                            </w:r>
                          </w:p>
                          <w:p w14:paraId="7F311192" w14:textId="77777777" w:rsidR="008E5FC2" w:rsidRPr="004136BA" w:rsidRDefault="008E5FC2" w:rsidP="005603DA">
                            <w:pPr>
                              <w:pStyle w:val="Para1"/>
                              <w:numPr>
                                <w:ilvl w:val="0"/>
                                <w:numId w:val="0"/>
                              </w:numPr>
                              <w:jc w:val="center"/>
                              <w:rPr>
                                <w:sz w:val="20"/>
                                <w:szCs w:val="20"/>
                              </w:rPr>
                            </w:pPr>
                          </w:p>
                          <w:p w14:paraId="187BFD3C" w14:textId="77777777" w:rsidR="008E5FC2" w:rsidRPr="004136BA" w:rsidRDefault="008E5FC2" w:rsidP="005603DA">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A6A5A" id="Text Box 24" o:spid="_x0000_s1031" type="#_x0000_t202" style="position:absolute;left:0;text-align:left;margin-left:67.8pt;margin-top:92.15pt;width:468pt;height:476.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" o:allowoverlap="f" fillcolor="#d8d8d8 [2732]" strokecolor="black [3213]" strokeweight="4.5pt">
                <v:stroke linestyle="thinThick"/>
                <v:textbox>
                  <w:txbxContent>
                    <w:p w14:paraId="5F86C654" w14:textId="77777777" w:rsidR="008E5FC2" w:rsidRPr="004136BA" w:rsidRDefault="008E5FC2" w:rsidP="005603DA">
                      <w:pPr>
                        <w:jc w:val="center"/>
                        <w:rPr>
                          <w:b/>
                          <w:sz w:val="20"/>
                          <w:szCs w:val="20"/>
                        </w:rPr>
                      </w:pPr>
                      <w:r w:rsidRPr="004136BA">
                        <w:rPr>
                          <w:b/>
                          <w:sz w:val="20"/>
                          <w:szCs w:val="20"/>
                        </w:rPr>
                        <w:t xml:space="preserve">Box 1: </w:t>
                      </w:r>
                      <w:r>
                        <w:rPr>
                          <w:b/>
                          <w:sz w:val="20"/>
                          <w:szCs w:val="20"/>
                        </w:rPr>
                        <w:t>GEF example</w:t>
                      </w:r>
                    </w:p>
                    <w:p w14:paraId="50736C71" w14:textId="77777777" w:rsidR="008E5FC2" w:rsidRDefault="008E5FC2" w:rsidP="00531D8B">
                      <w:pPr>
                        <w:pStyle w:val="Para1"/>
                        <w:numPr>
                          <w:ilvl w:val="0"/>
                          <w:numId w:val="0"/>
                        </w:numPr>
                        <w:rPr>
                          <w:sz w:val="20"/>
                          <w:szCs w:val="20"/>
                        </w:rPr>
                      </w:pPr>
                      <w:r>
                        <w:rPr>
                          <w:sz w:val="20"/>
                          <w:szCs w:val="20"/>
                        </w:rPr>
                        <w:t>In U</w:t>
                      </w:r>
                      <w:r w:rsidRPr="004136BA">
                        <w:rPr>
                          <w:sz w:val="20"/>
                          <w:szCs w:val="20"/>
                        </w:rPr>
                        <w:t xml:space="preserve">ruguay there is one GEF-5 project (GEF ID 4841), that will add </w:t>
                      </w:r>
                      <w:r>
                        <w:rPr>
                          <w:sz w:val="20"/>
                          <w:szCs w:val="20"/>
                        </w:rPr>
                        <w:t>1,100</w:t>
                      </w:r>
                      <w:r w:rsidRPr="004136BA">
                        <w:rPr>
                          <w:sz w:val="20"/>
                          <w:szCs w:val="20"/>
                        </w:rPr>
                        <w:t xml:space="preserve"> km</w:t>
                      </w:r>
                      <w:r w:rsidRPr="004136BA">
                        <w:rPr>
                          <w:sz w:val="20"/>
                          <w:szCs w:val="20"/>
                          <w:vertAlign w:val="superscript"/>
                        </w:rPr>
                        <w:t xml:space="preserve">2 </w:t>
                      </w:r>
                      <w:r w:rsidRPr="004136BA">
                        <w:rPr>
                          <w:sz w:val="20"/>
                          <w:szCs w:val="20"/>
                        </w:rPr>
                        <w:t>in terrestrial protected area coverage, as well as strengthening the effectiveness of the Uruguay’s protected area system by including a landscape approach to their management. This commitment will increase protection for KBAs in Uruguay as well as improve the protected area network’s ecological representation</w:t>
                      </w:r>
                      <w:r>
                        <w:rPr>
                          <w:sz w:val="20"/>
                          <w:szCs w:val="20"/>
                        </w:rPr>
                        <w:t xml:space="preserve"> and coverage of important areas of carbon storage</w:t>
                      </w:r>
                      <w:r w:rsidRPr="004136BA">
                        <w:rPr>
                          <w:sz w:val="20"/>
                          <w:szCs w:val="20"/>
                        </w:rPr>
                        <w:t xml:space="preserve">. Of the five ecoregions found in Uruguay, two will have increased protection following successful completion of this project (Fig. </w:t>
                      </w:r>
                      <w:r>
                        <w:rPr>
                          <w:sz w:val="20"/>
                          <w:szCs w:val="20"/>
                        </w:rPr>
                        <w:t>9</w:t>
                      </w:r>
                      <w:r w:rsidRPr="004136BA">
                        <w:rPr>
                          <w:sz w:val="20"/>
                          <w:szCs w:val="20"/>
                        </w:rPr>
                        <w:t>)</w:t>
                      </w:r>
                      <w:r>
                        <w:rPr>
                          <w:sz w:val="20"/>
                          <w:szCs w:val="20"/>
                        </w:rPr>
                        <w:t>;</w:t>
                      </w:r>
                      <w:r w:rsidRPr="004136BA">
                        <w:rPr>
                          <w:sz w:val="20"/>
                          <w:szCs w:val="20"/>
                        </w:rPr>
                        <w:t xml:space="preserve"> both of these ecoregions currently fall below 17% coverage globally. Of the twenty-two KBAs located in Uruguay, eight will h</w:t>
                      </w:r>
                      <w:r>
                        <w:rPr>
                          <w:sz w:val="20"/>
                          <w:szCs w:val="20"/>
                        </w:rPr>
                        <w:t>ave increased protection (Fig. 9</w:t>
                      </w:r>
                      <w:r w:rsidRPr="004136BA">
                        <w:rPr>
                          <w:sz w:val="20"/>
                          <w:szCs w:val="20"/>
                        </w:rPr>
                        <w:t xml:space="preserve">), of which five currently have no protected area coverage, and three are only partially </w:t>
                      </w:r>
                      <w:r>
                        <w:rPr>
                          <w:sz w:val="20"/>
                          <w:szCs w:val="20"/>
                        </w:rPr>
                        <w:t>covered (i.e. between 2% and 98%)</w:t>
                      </w:r>
                      <w:r w:rsidRPr="004136BA">
                        <w:rPr>
                          <w:sz w:val="20"/>
                          <w:szCs w:val="20"/>
                        </w:rPr>
                        <w:t>.</w:t>
                      </w:r>
                    </w:p>
                    <w:p w14:paraId="7714026A" w14:textId="77777777" w:rsidR="008E5FC2" w:rsidRDefault="008E5FC2" w:rsidP="005603DA">
                      <w:pPr>
                        <w:pStyle w:val="Para1"/>
                        <w:numPr>
                          <w:ilvl w:val="0"/>
                          <w:numId w:val="0"/>
                        </w:numPr>
                        <w:jc w:val="center"/>
                        <w:rPr>
                          <w:sz w:val="20"/>
                          <w:szCs w:val="20"/>
                        </w:rPr>
                      </w:pPr>
                      <w:r w:rsidRPr="00B20155">
                        <w:rPr>
                          <w:noProof/>
                          <w:lang w:val="en-CA" w:eastAsia="en-CA"/>
                        </w:rPr>
                        <w:drawing>
                          <wp:inline distT="0" distB="0" distL="0" distR="0" wp14:anchorId="7428D4C8" wp14:editId="5D77E88D">
                            <wp:extent cx="4870026" cy="32647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aCommitments_URY.png"/>
                                    <pic:cNvPicPr/>
                                  </pic:nvPicPr>
                                  <pic:blipFill rotWithShape="1">
                                    <a:blip r:embed="rId37" cstate="print">
                                      <a:extLst>
                                        <a:ext uri="{28A0092B-C50C-407E-A947-70E740481C1C}">
                                          <a14:useLocalDpi xmlns:a14="http://schemas.microsoft.com/office/drawing/2010/main" val="0"/>
                                        </a:ext>
                                      </a:extLst>
                                    </a:blip>
                                    <a:srcRect l="1877" t="2913" r="1744" b="3495"/>
                                    <a:stretch/>
                                  </pic:blipFill>
                                  <pic:spPr bwMode="auto">
                                    <a:xfrm>
                                      <a:off x="0" y="0"/>
                                      <a:ext cx="4869392" cy="3264321"/>
                                    </a:xfrm>
                                    <a:prstGeom prst="rect">
                                      <a:avLst/>
                                    </a:prstGeom>
                                    <a:ln>
                                      <a:noFill/>
                                    </a:ln>
                                    <a:extLst>
                                      <a:ext uri="{53640926-AAD7-44D8-BBD7-CCE9431645EC}">
                                        <a14:shadowObscured xmlns:a14="http://schemas.microsoft.com/office/drawing/2010/main"/>
                                      </a:ext>
                                    </a:extLst>
                                  </pic:spPr>
                                </pic:pic>
                              </a:graphicData>
                            </a:graphic>
                          </wp:inline>
                        </w:drawing>
                      </w:r>
                    </w:p>
                    <w:p w14:paraId="55AD94C4" w14:textId="77777777" w:rsidR="008E5FC2" w:rsidRDefault="008E5FC2" w:rsidP="00531D8B">
                      <w:pPr>
                        <w:pStyle w:val="Para1"/>
                        <w:numPr>
                          <w:ilvl w:val="0"/>
                          <w:numId w:val="0"/>
                        </w:numPr>
                        <w:rPr>
                          <w:sz w:val="20"/>
                          <w:szCs w:val="20"/>
                        </w:rPr>
                      </w:pPr>
                      <w:r w:rsidRPr="004136BA">
                        <w:rPr>
                          <w:sz w:val="20"/>
                          <w:szCs w:val="20"/>
                        </w:rPr>
                        <w:t xml:space="preserve">In Viet Nam there are two approved GEF projects, which together </w:t>
                      </w:r>
                      <w:r>
                        <w:rPr>
                          <w:sz w:val="20"/>
                          <w:szCs w:val="20"/>
                        </w:rPr>
                        <w:t>will add</w:t>
                      </w:r>
                      <w:r w:rsidRPr="004136BA">
                        <w:rPr>
                          <w:sz w:val="20"/>
                          <w:szCs w:val="20"/>
                        </w:rPr>
                        <w:t xml:space="preserve"> </w:t>
                      </w:r>
                      <w:r>
                        <w:rPr>
                          <w:sz w:val="20"/>
                          <w:szCs w:val="20"/>
                        </w:rPr>
                        <w:t>650</w:t>
                      </w:r>
                      <w:r w:rsidRPr="004136BA">
                        <w:rPr>
                          <w:sz w:val="20"/>
                          <w:szCs w:val="20"/>
                        </w:rPr>
                        <w:t xml:space="preserve"> km</w:t>
                      </w:r>
                      <w:r w:rsidRPr="004136BA">
                        <w:rPr>
                          <w:sz w:val="20"/>
                          <w:szCs w:val="20"/>
                          <w:vertAlign w:val="superscript"/>
                        </w:rPr>
                        <w:t>2</w:t>
                      </w:r>
                      <w:r w:rsidRPr="004136BA">
                        <w:rPr>
                          <w:sz w:val="20"/>
                          <w:szCs w:val="20"/>
                        </w:rPr>
                        <w:t xml:space="preserve"> to the terrestrial protected area system. These commitments will help </w:t>
                      </w:r>
                      <w:r>
                        <w:rPr>
                          <w:sz w:val="20"/>
                          <w:szCs w:val="20"/>
                        </w:rPr>
                        <w:t>improve coverage of terrestrial ec</w:t>
                      </w:r>
                      <w:r w:rsidRPr="004136BA">
                        <w:rPr>
                          <w:sz w:val="20"/>
                          <w:szCs w:val="20"/>
                        </w:rPr>
                        <w:t>oregions</w:t>
                      </w:r>
                      <w:r>
                        <w:rPr>
                          <w:sz w:val="20"/>
                          <w:szCs w:val="20"/>
                        </w:rPr>
                        <w:t xml:space="preserve"> and K</w:t>
                      </w:r>
                      <w:r w:rsidRPr="004136BA">
                        <w:rPr>
                          <w:sz w:val="20"/>
                          <w:szCs w:val="20"/>
                        </w:rPr>
                        <w:t xml:space="preserve">BAs. Of the 14 ecoregions in Viet Nam, five will have increased protection due to GEF 5/6 funding, of which three currently fall below 17% coverage globally. Out of the 110 total KBAs found in Viet Nam, 25 will have increased protection, of which 16 currently have no protected area coverage, and nine are only partially </w:t>
                      </w:r>
                      <w:r>
                        <w:rPr>
                          <w:sz w:val="20"/>
                          <w:szCs w:val="20"/>
                        </w:rPr>
                        <w:t>covered (i.e. between 2% and 98%)</w:t>
                      </w:r>
                      <w:r w:rsidRPr="004136BA">
                        <w:rPr>
                          <w:sz w:val="20"/>
                          <w:szCs w:val="20"/>
                        </w:rPr>
                        <w:t>.</w:t>
                      </w:r>
                      <w:r>
                        <w:rPr>
                          <w:sz w:val="20"/>
                          <w:szCs w:val="20"/>
                        </w:rPr>
                        <w:t xml:space="preserve"> There will also an increase in the coverage of important areas for carbon storage, in both above ground biomass and soil organic carbon.</w:t>
                      </w:r>
                    </w:p>
                    <w:p w14:paraId="7F311192" w14:textId="77777777" w:rsidR="008E5FC2" w:rsidRPr="004136BA" w:rsidRDefault="008E5FC2" w:rsidP="005603DA">
                      <w:pPr>
                        <w:pStyle w:val="Para1"/>
                        <w:numPr>
                          <w:ilvl w:val="0"/>
                          <w:numId w:val="0"/>
                        </w:numPr>
                        <w:jc w:val="center"/>
                        <w:rPr>
                          <w:sz w:val="20"/>
                          <w:szCs w:val="20"/>
                        </w:rPr>
                      </w:pPr>
                    </w:p>
                    <w:p w14:paraId="187BFD3C" w14:textId="77777777" w:rsidR="008E5FC2" w:rsidRPr="004136BA" w:rsidRDefault="008E5FC2" w:rsidP="005603DA">
                      <w:pPr>
                        <w:jc w:val="center"/>
                        <w:rPr>
                          <w:sz w:val="20"/>
                          <w:szCs w:val="20"/>
                        </w:rPr>
                      </w:pPr>
                    </w:p>
                  </w:txbxContent>
                </v:textbox>
                <w10:wrap type="tight" anchorx="page"/>
              </v:shape>
            </w:pict>
          </mc:Fallback>
        </mc:AlternateContent>
      </w:r>
      <w:r w:rsidR="00237162" w:rsidRPr="00A51748">
        <w:rPr>
          <w:rFonts w:cs="Times New Roman"/>
        </w:rPr>
        <w:t xml:space="preserve">Of these GEF projects, UNDP is the implementing agency for 81 projects in 53 countries. For these projects, UNDP is working with project coordinators to obtain spatial data for the protected areas, and identify which will be completed by 2020. With this information, they are analysing and mapping the impact that these committed protected areas will have on ecological representation, </w:t>
      </w:r>
      <w:r w:rsidR="00DD066B" w:rsidRPr="00A51748">
        <w:rPr>
          <w:rFonts w:cs="Times New Roman"/>
        </w:rPr>
        <w:t>on</w:t>
      </w:r>
      <w:r w:rsidR="00237162" w:rsidRPr="00A51748">
        <w:rPr>
          <w:rFonts w:cs="Times New Roman"/>
        </w:rPr>
        <w:t xml:space="preserve"> the coverage of KBAs</w:t>
      </w:r>
      <w:r w:rsidR="00DD066B" w:rsidRPr="00A51748">
        <w:rPr>
          <w:rFonts w:cs="Times New Roman"/>
        </w:rPr>
        <w:t>, and on</w:t>
      </w:r>
      <w:r w:rsidR="005911D3" w:rsidRPr="00A51748">
        <w:rPr>
          <w:rFonts w:cs="Times New Roman"/>
        </w:rPr>
        <w:t xml:space="preserve"> areas important for carbon storage</w:t>
      </w:r>
      <w:r w:rsidR="00DD066B" w:rsidRPr="00A51748">
        <w:rPr>
          <w:rFonts w:cs="Times New Roman"/>
        </w:rPr>
        <w:t xml:space="preserve"> (both above ground biomass, and soil organic carbon), as one example of areas important for ecosystem services</w:t>
      </w:r>
      <w:r w:rsidR="00237162" w:rsidRPr="00A51748">
        <w:rPr>
          <w:rFonts w:cs="Times New Roman"/>
        </w:rPr>
        <w:t>.</w:t>
      </w:r>
      <w:r w:rsidR="00E6435F" w:rsidRPr="00A51748">
        <w:rPr>
          <w:rStyle w:val="FootnoteReference"/>
          <w:rFonts w:cs="Times New Roman"/>
        </w:rPr>
        <w:footnoteReference w:id="96"/>
      </w:r>
      <w:r w:rsidR="00237162" w:rsidRPr="00A51748">
        <w:rPr>
          <w:rFonts w:cs="Times New Roman"/>
        </w:rPr>
        <w:t xml:space="preserve"> Full results are expected </w:t>
      </w:r>
      <w:r w:rsidR="00DD066B" w:rsidRPr="00A51748">
        <w:rPr>
          <w:rFonts w:cs="Times New Roman"/>
        </w:rPr>
        <w:t>in November 2019</w:t>
      </w:r>
      <w:r w:rsidR="00237162" w:rsidRPr="00A51748">
        <w:rPr>
          <w:rFonts w:cs="Times New Roman"/>
        </w:rPr>
        <w:t xml:space="preserve">, but some preliminary analysis is </w:t>
      </w:r>
      <w:r w:rsidR="00DD066B" w:rsidRPr="00A51748">
        <w:rPr>
          <w:rFonts w:cs="Times New Roman"/>
        </w:rPr>
        <w:t xml:space="preserve">currently </w:t>
      </w:r>
      <w:r w:rsidR="00237162" w:rsidRPr="00A51748">
        <w:rPr>
          <w:rFonts w:cs="Times New Roman"/>
        </w:rPr>
        <w:t>available</w:t>
      </w:r>
      <w:r w:rsidR="004136BA" w:rsidRPr="00A51748">
        <w:rPr>
          <w:rFonts w:cs="Times New Roman"/>
        </w:rPr>
        <w:t xml:space="preserve"> (see examples in Box </w:t>
      </w:r>
      <w:r w:rsidR="00531D8B" w:rsidRPr="00A51748">
        <w:rPr>
          <w:rFonts w:cs="Times New Roman"/>
        </w:rPr>
        <w:t>1</w:t>
      </w:r>
      <w:r w:rsidR="004136BA" w:rsidRPr="00A51748">
        <w:rPr>
          <w:rFonts w:cs="Times New Roman"/>
        </w:rPr>
        <w:t>)</w:t>
      </w:r>
      <w:r w:rsidR="00237162" w:rsidRPr="00A51748">
        <w:rPr>
          <w:rFonts w:cs="Times New Roman"/>
        </w:rPr>
        <w:t>.</w:t>
      </w:r>
    </w:p>
    <w:p w14:paraId="22B4145C" w14:textId="77777777" w:rsidR="00161FFA" w:rsidRPr="00A51748" w:rsidRDefault="00161FFA" w:rsidP="006D6DCD">
      <w:pPr>
        <w:pStyle w:val="Para1"/>
        <w:numPr>
          <w:ilvl w:val="0"/>
          <w:numId w:val="0"/>
        </w:numPr>
        <w:spacing w:before="0"/>
        <w:rPr>
          <w:rFonts w:cs="Times New Roman"/>
        </w:rPr>
      </w:pPr>
    </w:p>
    <w:p w14:paraId="770DFC9B" w14:textId="77777777" w:rsidR="004520B2" w:rsidRPr="00A51748" w:rsidRDefault="004520B2" w:rsidP="006D6DCD">
      <w:pPr>
        <w:pStyle w:val="Para1"/>
        <w:numPr>
          <w:ilvl w:val="0"/>
          <w:numId w:val="14"/>
        </w:numPr>
        <w:spacing w:before="0"/>
        <w:ind w:left="0" w:firstLine="0"/>
        <w:rPr>
          <w:rFonts w:cs="Times New Roman"/>
        </w:rPr>
      </w:pPr>
      <w:r w:rsidRPr="00A51748">
        <w:rPr>
          <w:rFonts w:cs="Times New Roman"/>
        </w:rPr>
        <w:t xml:space="preserve">While these 115 projects address the quantitative aspect of Target 11 by increasing the coverage of protected areas, there are over 300 approved GEF-5/6 biodiversity projects that address one or more qualitative element of Target 11. While all qualitative elements are addressed in at least 100 projects, the </w:t>
      </w:r>
      <w:r w:rsidRPr="00A51748">
        <w:rPr>
          <w:rFonts w:cs="Times New Roman"/>
        </w:rPr>
        <w:lastRenderedPageBreak/>
        <w:t xml:space="preserve">elements addressed most often (in over 200 projects) are: effective management, integration, </w:t>
      </w:r>
      <w:r w:rsidR="00FD0794" w:rsidRPr="00A51748">
        <w:rPr>
          <w:rFonts w:cs="Times New Roman"/>
        </w:rPr>
        <w:t xml:space="preserve">more </w:t>
      </w:r>
      <w:r w:rsidRPr="00A51748">
        <w:rPr>
          <w:rFonts w:cs="Times New Roman"/>
        </w:rPr>
        <w:t>equitable governance, and areas important for biodiversity.</w:t>
      </w:r>
    </w:p>
    <w:p w14:paraId="6EA0CA2E" w14:textId="31709237" w:rsidR="00C911F7" w:rsidRPr="00A51748" w:rsidRDefault="00FD4DDE" w:rsidP="006D6DCD">
      <w:pPr>
        <w:pStyle w:val="Heading3"/>
        <w:numPr>
          <w:ilvl w:val="0"/>
          <w:numId w:val="28"/>
        </w:numPr>
        <w:spacing w:before="0"/>
        <w:jc w:val="both"/>
      </w:pPr>
      <w:r w:rsidRPr="00A51748">
        <w:t>Opportunities</w:t>
      </w:r>
      <w:r w:rsidR="00C911F7" w:rsidRPr="00A51748">
        <w:t xml:space="preserve"> from </w:t>
      </w:r>
      <w:r w:rsidRPr="00A51748">
        <w:t>ICCAs</w:t>
      </w:r>
    </w:p>
    <w:p w14:paraId="29793AED" w14:textId="77777777" w:rsidR="008D2A81" w:rsidRPr="00A51748" w:rsidRDefault="002B71E1" w:rsidP="006D6DCD">
      <w:pPr>
        <w:pStyle w:val="Para1"/>
        <w:numPr>
          <w:ilvl w:val="0"/>
          <w:numId w:val="14"/>
        </w:numPr>
        <w:spacing w:before="0"/>
        <w:ind w:left="0" w:firstLine="0"/>
        <w:rPr>
          <w:rFonts w:cs="Times New Roman"/>
        </w:rPr>
      </w:pPr>
      <w:r w:rsidRPr="00A51748">
        <w:rPr>
          <w:rFonts w:cs="Times New Roman"/>
        </w:rPr>
        <w:t>Land that is managed by or under the tenure rights of indigenous peoples covers almost 40 million km</w:t>
      </w:r>
      <w:r w:rsidRPr="00A51748">
        <w:rPr>
          <w:rFonts w:cs="Times New Roman"/>
          <w:vertAlign w:val="superscript"/>
        </w:rPr>
        <w:t>2</w:t>
      </w:r>
      <w:r w:rsidRPr="00A51748">
        <w:rPr>
          <w:rFonts w:cs="Times New Roman"/>
        </w:rPr>
        <w:t xml:space="preserve"> globally</w:t>
      </w:r>
      <w:r w:rsidR="00002FB7" w:rsidRPr="00A51748">
        <w:rPr>
          <w:rFonts w:cs="Times New Roman"/>
        </w:rPr>
        <w:t xml:space="preserve"> (28% of all non-Antarctic terrestrial area)</w:t>
      </w:r>
      <w:r w:rsidRPr="00A51748">
        <w:rPr>
          <w:rFonts w:cs="Times New Roman"/>
        </w:rPr>
        <w:t xml:space="preserve">, and accounts for more than one-third of remaining </w:t>
      </w:r>
      <w:r w:rsidR="00C30634" w:rsidRPr="00A51748">
        <w:rPr>
          <w:rFonts w:cs="Times New Roman"/>
          <w:lang w:val="en-CA"/>
        </w:rPr>
        <w:t>areas of low human impact</w:t>
      </w:r>
      <w:r w:rsidRPr="00A51748">
        <w:rPr>
          <w:rFonts w:cs="Times New Roman"/>
        </w:rPr>
        <w:t xml:space="preserve"> (based on Human Footprint data).</w:t>
      </w:r>
      <w:r w:rsidRPr="00A51748">
        <w:rPr>
          <w:rStyle w:val="FootnoteReference"/>
          <w:rFonts w:cs="Times New Roman"/>
          <w:sz w:val="22"/>
        </w:rPr>
        <w:footnoteReference w:id="97"/>
      </w:r>
      <w:r w:rsidR="008C2EA4" w:rsidRPr="00A51748">
        <w:rPr>
          <w:rFonts w:cs="Times New Roman"/>
        </w:rPr>
        <w:t xml:space="preserve"> </w:t>
      </w:r>
      <w:r w:rsidR="003B3232" w:rsidRPr="00A51748">
        <w:rPr>
          <w:rFonts w:cs="Times New Roman"/>
        </w:rPr>
        <w:t>Some of these areas may be considered as t</w:t>
      </w:r>
      <w:r w:rsidR="008D2A81" w:rsidRPr="00A51748">
        <w:rPr>
          <w:rFonts w:cs="Times New Roman"/>
        </w:rPr>
        <w:t>erritories and areas conserved by indigenous peoples and local communities (ICCAs)</w:t>
      </w:r>
      <w:r w:rsidR="003B3232" w:rsidRPr="00A51748">
        <w:rPr>
          <w:rFonts w:cs="Times New Roman"/>
        </w:rPr>
        <w:t xml:space="preserve">, and </w:t>
      </w:r>
      <w:r w:rsidR="0064293B" w:rsidRPr="00A51748">
        <w:rPr>
          <w:rFonts w:cs="Times New Roman"/>
        </w:rPr>
        <w:t xml:space="preserve">through their contribution to conservation </w:t>
      </w:r>
      <w:r w:rsidR="003B3232" w:rsidRPr="00A51748">
        <w:rPr>
          <w:rFonts w:cs="Times New Roman"/>
        </w:rPr>
        <w:t xml:space="preserve">could </w:t>
      </w:r>
      <w:r w:rsidR="0064293B" w:rsidRPr="00A51748">
        <w:rPr>
          <w:rFonts w:cs="Times New Roman"/>
        </w:rPr>
        <w:t>support progress on</w:t>
      </w:r>
      <w:r w:rsidR="003B3232" w:rsidRPr="00A51748">
        <w:rPr>
          <w:rFonts w:cs="Times New Roman"/>
        </w:rPr>
        <w:t xml:space="preserve"> Target 11. </w:t>
      </w:r>
      <w:r w:rsidR="0064293B" w:rsidRPr="00A51748">
        <w:rPr>
          <w:rFonts w:cs="Times New Roman"/>
        </w:rPr>
        <w:t xml:space="preserve">The </w:t>
      </w:r>
      <w:r w:rsidR="00EB76BD" w:rsidRPr="00A51748">
        <w:rPr>
          <w:rFonts w:cs="Times New Roman"/>
        </w:rPr>
        <w:t>overall</w:t>
      </w:r>
      <w:r w:rsidR="002351AC" w:rsidRPr="00A51748">
        <w:rPr>
          <w:rFonts w:cs="Times New Roman"/>
        </w:rPr>
        <w:t xml:space="preserve"> </w:t>
      </w:r>
      <w:r w:rsidR="0064293B" w:rsidRPr="00A51748">
        <w:rPr>
          <w:rFonts w:cs="Times New Roman"/>
        </w:rPr>
        <w:t xml:space="preserve">contribution of ICCAs to biodiversity conservation has yet to be assessed globally. The Programme of Work on Protected Areas and successive decisions of the COP (e.g. Decisions </w:t>
      </w:r>
      <w:hyperlink r:id="rId38" w:history="1">
        <w:r w:rsidR="0064293B" w:rsidRPr="00A51748">
          <w:rPr>
            <w:rStyle w:val="Hyperlink"/>
            <w:rFonts w:cs="Times New Roman"/>
            <w:color w:val="auto"/>
          </w:rPr>
          <w:t>IX/18</w:t>
        </w:r>
      </w:hyperlink>
      <w:r w:rsidR="0064293B" w:rsidRPr="00A51748">
        <w:rPr>
          <w:rFonts w:cs="Times New Roman"/>
        </w:rPr>
        <w:t xml:space="preserve"> and </w:t>
      </w:r>
      <w:hyperlink r:id="rId39" w:history="1">
        <w:r w:rsidR="0064293B" w:rsidRPr="00A51748">
          <w:rPr>
            <w:rStyle w:val="Hyperlink"/>
            <w:rFonts w:cs="Times New Roman"/>
            <w:color w:val="auto"/>
          </w:rPr>
          <w:t>X/31</w:t>
        </w:r>
      </w:hyperlink>
      <w:r w:rsidR="0064293B" w:rsidRPr="00A51748">
        <w:rPr>
          <w:rFonts w:cs="Times New Roman"/>
        </w:rPr>
        <w:t>) have accorded recognition to ICCAs, though they are currently underreported in the WDPA.</w:t>
      </w:r>
      <w:r w:rsidR="002351AC" w:rsidRPr="00A51748">
        <w:rPr>
          <w:rStyle w:val="FootnoteReference"/>
          <w:rFonts w:cs="Times New Roman"/>
        </w:rPr>
        <w:footnoteReference w:id="98"/>
      </w:r>
      <w:r w:rsidR="0064293B" w:rsidRPr="00A51748">
        <w:rPr>
          <w:rFonts w:cs="Times New Roman"/>
        </w:rPr>
        <w:t xml:space="preserve"> </w:t>
      </w:r>
      <w:r w:rsidR="00ED3F0E" w:rsidRPr="00A51748">
        <w:rPr>
          <w:rFonts w:cs="Times New Roman"/>
        </w:rPr>
        <w:t xml:space="preserve">Some </w:t>
      </w:r>
      <w:r w:rsidR="0064293B" w:rsidRPr="00A51748">
        <w:rPr>
          <w:rFonts w:cs="Times New Roman"/>
        </w:rPr>
        <w:t xml:space="preserve">ICCAs </w:t>
      </w:r>
      <w:r w:rsidR="00ED3F0E" w:rsidRPr="00A51748">
        <w:rPr>
          <w:rFonts w:cs="Times New Roman"/>
        </w:rPr>
        <w:t>may be considered as OECMs,</w:t>
      </w:r>
      <w:r w:rsidR="00ED3F0E" w:rsidRPr="00A51748">
        <w:rPr>
          <w:rStyle w:val="FootnoteReference"/>
          <w:rFonts w:cs="Times New Roman"/>
        </w:rPr>
        <w:footnoteReference w:id="99"/>
      </w:r>
      <w:r w:rsidR="00ED3F0E" w:rsidRPr="00A51748">
        <w:rPr>
          <w:rFonts w:cs="Times New Roman"/>
        </w:rPr>
        <w:t xml:space="preserve"> though others may be </w:t>
      </w:r>
      <w:r w:rsidR="00352F20" w:rsidRPr="00A51748">
        <w:rPr>
          <w:rFonts w:cs="Times New Roman"/>
        </w:rPr>
        <w:t>reported</w:t>
      </w:r>
      <w:r w:rsidR="00ED3F0E" w:rsidRPr="00A51748">
        <w:rPr>
          <w:rFonts w:cs="Times New Roman"/>
        </w:rPr>
        <w:t xml:space="preserve"> as protected areas, as in the many indigenous protected areas reported in Brazil or Australia.</w:t>
      </w:r>
      <w:r w:rsidR="0064293B" w:rsidRPr="00A51748">
        <w:rPr>
          <w:rFonts w:cs="Times New Roman"/>
        </w:rPr>
        <w:t xml:space="preserve"> In other cases, the governing authority may not want the site recognised </w:t>
      </w:r>
      <w:r w:rsidR="00C30634" w:rsidRPr="00A51748">
        <w:rPr>
          <w:rFonts w:cs="Times New Roman"/>
        </w:rPr>
        <w:t>as</w:t>
      </w:r>
      <w:r w:rsidR="0064293B" w:rsidRPr="00A51748">
        <w:rPr>
          <w:rFonts w:cs="Times New Roman"/>
        </w:rPr>
        <w:t xml:space="preserve"> either</w:t>
      </w:r>
      <w:r w:rsidR="003B3232" w:rsidRPr="00A51748">
        <w:rPr>
          <w:rFonts w:cs="Times New Roman"/>
        </w:rPr>
        <w:t xml:space="preserve">. </w:t>
      </w:r>
      <w:r w:rsidR="00234446" w:rsidRPr="00A51748">
        <w:rPr>
          <w:rFonts w:cs="Times New Roman"/>
        </w:rPr>
        <w:t xml:space="preserve">Reporting on </w:t>
      </w:r>
      <w:r w:rsidR="003B3232" w:rsidRPr="00A51748">
        <w:rPr>
          <w:rFonts w:cs="Times New Roman"/>
        </w:rPr>
        <w:t xml:space="preserve">ICCAs </w:t>
      </w:r>
      <w:r w:rsidR="00234446" w:rsidRPr="00A51748">
        <w:rPr>
          <w:rFonts w:cs="Times New Roman"/>
        </w:rPr>
        <w:t xml:space="preserve">for the purposes of </w:t>
      </w:r>
      <w:r w:rsidR="003B3232" w:rsidRPr="00A51748">
        <w:rPr>
          <w:rFonts w:cs="Times New Roman"/>
        </w:rPr>
        <w:t xml:space="preserve">Target 11 </w:t>
      </w:r>
      <w:r w:rsidR="0064293B" w:rsidRPr="00A51748">
        <w:rPr>
          <w:rFonts w:cs="Times New Roman"/>
        </w:rPr>
        <w:t>requires</w:t>
      </w:r>
      <w:r w:rsidR="003B3232" w:rsidRPr="00A51748">
        <w:rPr>
          <w:rFonts w:cs="Times New Roman"/>
        </w:rPr>
        <w:t xml:space="preserve"> the employment of necessary safeguards relating to the rights of IPLCs, </w:t>
      </w:r>
      <w:r w:rsidR="00E56A55" w:rsidRPr="00A51748">
        <w:rPr>
          <w:rFonts w:cs="Times New Roman"/>
        </w:rPr>
        <w:t xml:space="preserve">including </w:t>
      </w:r>
      <w:r w:rsidR="003B3232" w:rsidRPr="00A51748">
        <w:rPr>
          <w:rFonts w:cs="Times New Roman"/>
        </w:rPr>
        <w:t>free, prior, and informed consent</w:t>
      </w:r>
      <w:r w:rsidR="00E56A55" w:rsidRPr="00A51748">
        <w:rPr>
          <w:rFonts w:cs="Times New Roman"/>
        </w:rPr>
        <w:t>.</w:t>
      </w:r>
      <w:r w:rsidR="003B3232" w:rsidRPr="00A51748">
        <w:rPr>
          <w:rFonts w:cs="Times New Roman"/>
        </w:rPr>
        <w:t xml:space="preserve"> </w:t>
      </w:r>
    </w:p>
    <w:p w14:paraId="2AD66573" w14:textId="2DF83191" w:rsidR="008D2A81" w:rsidRPr="00A51748" w:rsidRDefault="00C911F7" w:rsidP="006D6DCD">
      <w:pPr>
        <w:pStyle w:val="Para1"/>
        <w:numPr>
          <w:ilvl w:val="0"/>
          <w:numId w:val="14"/>
        </w:numPr>
        <w:spacing w:before="0"/>
        <w:ind w:left="0" w:firstLine="0"/>
        <w:rPr>
          <w:rStyle w:val="Strong"/>
          <w:rFonts w:cs="Times New Roman"/>
          <w:b w:val="0"/>
          <w:bCs/>
        </w:rPr>
      </w:pPr>
      <w:r w:rsidRPr="00A51748">
        <w:rPr>
          <w:rFonts w:cs="Times New Roman"/>
        </w:rPr>
        <w:t xml:space="preserve">The </w:t>
      </w:r>
      <w:r w:rsidRPr="00A51748">
        <w:rPr>
          <w:rStyle w:val="Strong"/>
          <w:rFonts w:cs="Times New Roman"/>
          <w:b w:val="0"/>
          <w:bCs/>
          <w:shd w:val="clear" w:color="auto" w:fill="FFFFFF"/>
        </w:rPr>
        <w:t>Global Support Initiative for Indigenous Peoples and Community-Conserved Territories and Areas (ICCA-GSI)</w:t>
      </w:r>
      <w:r w:rsidR="006822CC" w:rsidRPr="00A51748">
        <w:rPr>
          <w:rStyle w:val="Strong"/>
          <w:rFonts w:cs="Times New Roman"/>
          <w:b w:val="0"/>
          <w:bCs/>
          <w:shd w:val="clear" w:color="auto" w:fill="FFFFFF"/>
        </w:rPr>
        <w:t xml:space="preserve"> aims to “improve the recognition and overall effectiveness for biodiversity conservation, sustainable livelihoods and resilience to climate change effects of territories and areas conserved by indigenous peoples and local communities” and is currently being implemented in </w:t>
      </w:r>
      <w:r w:rsidRPr="00A51748">
        <w:rPr>
          <w:rStyle w:val="Strong"/>
          <w:rFonts w:cs="Times New Roman"/>
          <w:b w:val="0"/>
          <w:bCs/>
          <w:shd w:val="clear" w:color="auto" w:fill="FFFFFF"/>
        </w:rPr>
        <w:t>26 countries</w:t>
      </w:r>
      <w:r w:rsidR="006822CC" w:rsidRPr="00A51748">
        <w:rPr>
          <w:rStyle w:val="Strong"/>
          <w:rFonts w:cs="Times New Roman"/>
          <w:b w:val="0"/>
          <w:bCs/>
          <w:shd w:val="clear" w:color="auto" w:fill="FFFFFF"/>
        </w:rPr>
        <w:t>.</w:t>
      </w:r>
      <w:r w:rsidR="006822CC" w:rsidRPr="00A51748">
        <w:rPr>
          <w:rStyle w:val="FootnoteReference"/>
          <w:rFonts w:cs="Times New Roman"/>
          <w:sz w:val="22"/>
          <w:shd w:val="clear" w:color="auto" w:fill="FFFFFF"/>
        </w:rPr>
        <w:footnoteReference w:id="100"/>
      </w:r>
      <w:r w:rsidRPr="00A51748">
        <w:rPr>
          <w:rStyle w:val="Strong"/>
          <w:rFonts w:cs="Times New Roman"/>
          <w:b w:val="0"/>
          <w:bCs/>
          <w:shd w:val="clear" w:color="auto" w:fill="FFFFFF"/>
        </w:rPr>
        <w:t xml:space="preserve"> </w:t>
      </w:r>
      <w:r w:rsidR="002C0E7C" w:rsidRPr="00A51748">
        <w:rPr>
          <w:rStyle w:val="Strong"/>
          <w:rFonts w:cs="Times New Roman"/>
          <w:b w:val="0"/>
          <w:bCs/>
          <w:shd w:val="clear" w:color="auto" w:fill="FFFFFF"/>
        </w:rPr>
        <w:t xml:space="preserve">To date, </w:t>
      </w:r>
      <w:r w:rsidR="00D87887" w:rsidRPr="00A51748">
        <w:rPr>
          <w:rStyle w:val="Strong"/>
          <w:rFonts w:cs="Times New Roman"/>
          <w:b w:val="0"/>
          <w:bCs/>
          <w:shd w:val="clear" w:color="auto" w:fill="FFFFFF"/>
        </w:rPr>
        <w:t xml:space="preserve">very few </w:t>
      </w:r>
      <w:r w:rsidR="002C0E7C" w:rsidRPr="00A51748">
        <w:rPr>
          <w:rStyle w:val="Strong"/>
          <w:rFonts w:cs="Times New Roman"/>
          <w:b w:val="0"/>
          <w:bCs/>
          <w:shd w:val="clear" w:color="auto" w:fill="FFFFFF"/>
        </w:rPr>
        <w:t xml:space="preserve">ICCA-GSI sites are recorded in the WDPA </w:t>
      </w:r>
      <w:r w:rsidR="00D87887" w:rsidRPr="00A51748">
        <w:rPr>
          <w:rStyle w:val="Strong"/>
          <w:rFonts w:cs="Times New Roman"/>
          <w:b w:val="0"/>
          <w:bCs/>
          <w:shd w:val="clear" w:color="auto" w:fill="FFFFFF"/>
        </w:rPr>
        <w:t>and/</w:t>
      </w:r>
      <w:r w:rsidR="002C0E7C" w:rsidRPr="00A51748">
        <w:rPr>
          <w:rStyle w:val="Strong"/>
          <w:rFonts w:cs="Times New Roman"/>
          <w:b w:val="0"/>
          <w:bCs/>
          <w:shd w:val="clear" w:color="auto" w:fill="FFFFFF"/>
        </w:rPr>
        <w:t>or the ICCA Registry.</w:t>
      </w:r>
      <w:r w:rsidR="004F0A74" w:rsidRPr="00A51748">
        <w:rPr>
          <w:rStyle w:val="Strong"/>
          <w:rFonts w:cs="Times New Roman"/>
          <w:b w:val="0"/>
          <w:bCs/>
          <w:shd w:val="clear" w:color="auto" w:fill="FFFFFF"/>
        </w:rPr>
        <w:t xml:space="preserve"> However, progress with the </w:t>
      </w:r>
      <w:r w:rsidR="00016D0B" w:rsidRPr="00A51748">
        <w:rPr>
          <w:rStyle w:val="Strong"/>
          <w:rFonts w:cs="Times New Roman"/>
          <w:b w:val="0"/>
          <w:bCs/>
          <w:shd w:val="clear" w:color="auto" w:fill="FFFFFF"/>
        </w:rPr>
        <w:t xml:space="preserve">ICCA-GSI is significant in </w:t>
      </w:r>
      <w:r w:rsidR="00EF1A6E" w:rsidRPr="00A51748">
        <w:rPr>
          <w:rStyle w:val="Strong"/>
          <w:rFonts w:cs="Times New Roman"/>
          <w:b w:val="0"/>
          <w:bCs/>
          <w:shd w:val="clear" w:color="auto" w:fill="FFFFFF"/>
        </w:rPr>
        <w:t>many</w:t>
      </w:r>
      <w:r w:rsidR="00016D0B" w:rsidRPr="00A51748">
        <w:rPr>
          <w:rStyle w:val="Strong"/>
          <w:rFonts w:cs="Times New Roman"/>
          <w:b w:val="0"/>
          <w:bCs/>
          <w:shd w:val="clear" w:color="auto" w:fill="FFFFFF"/>
        </w:rPr>
        <w:t xml:space="preserve"> countries, and data </w:t>
      </w:r>
      <w:r w:rsidR="00EF1A6E" w:rsidRPr="00A51748">
        <w:rPr>
          <w:rStyle w:val="Strong"/>
          <w:rFonts w:cs="Times New Roman"/>
          <w:b w:val="0"/>
          <w:bCs/>
          <w:shd w:val="clear" w:color="auto" w:fill="FFFFFF"/>
        </w:rPr>
        <w:t xml:space="preserve">is currently </w:t>
      </w:r>
      <w:r w:rsidR="00D87887" w:rsidRPr="00A51748">
        <w:rPr>
          <w:rStyle w:val="Strong"/>
          <w:rFonts w:cs="Times New Roman"/>
          <w:b w:val="0"/>
          <w:bCs/>
          <w:shd w:val="clear" w:color="auto" w:fill="FFFFFF"/>
        </w:rPr>
        <w:t xml:space="preserve">being </w:t>
      </w:r>
      <w:r w:rsidR="00EF1A6E" w:rsidRPr="00A51748">
        <w:rPr>
          <w:rStyle w:val="Strong"/>
          <w:rFonts w:cs="Times New Roman"/>
          <w:b w:val="0"/>
          <w:bCs/>
          <w:shd w:val="clear" w:color="auto" w:fill="FFFFFF"/>
        </w:rPr>
        <w:t xml:space="preserve">reported </w:t>
      </w:r>
      <w:r w:rsidR="00D87887" w:rsidRPr="00A51748">
        <w:rPr>
          <w:rStyle w:val="Strong"/>
          <w:rFonts w:cs="Times New Roman"/>
          <w:b w:val="0"/>
          <w:bCs/>
          <w:shd w:val="clear" w:color="auto" w:fill="FFFFFF"/>
        </w:rPr>
        <w:t>for over a 100 ICCAs.</w:t>
      </w:r>
      <w:r w:rsidR="00F75655" w:rsidRPr="00A51748">
        <w:rPr>
          <w:rFonts w:cs="Times New Roman"/>
        </w:rPr>
        <w:t xml:space="preserve"> </w:t>
      </w:r>
      <w:r w:rsidR="0087656B" w:rsidRPr="00A51748">
        <w:rPr>
          <w:rFonts w:cs="Times New Roman"/>
        </w:rPr>
        <w:t xml:space="preserve">For example, the </w:t>
      </w:r>
      <w:r w:rsidR="0037184B" w:rsidRPr="00A51748">
        <w:rPr>
          <w:rFonts w:cs="Times New Roman"/>
        </w:rPr>
        <w:t xml:space="preserve">ICCA-GSI projects in </w:t>
      </w:r>
      <w:r w:rsidR="00D87887" w:rsidRPr="00A51748">
        <w:rPr>
          <w:rFonts w:cs="Times New Roman"/>
        </w:rPr>
        <w:t>Columbia</w:t>
      </w:r>
      <w:r w:rsidR="00EA610A" w:rsidRPr="00A51748">
        <w:rPr>
          <w:rStyle w:val="FootnoteReference"/>
          <w:rFonts w:cs="Times New Roman"/>
        </w:rPr>
        <w:footnoteReference w:id="101"/>
      </w:r>
      <w:r w:rsidR="00D87887" w:rsidRPr="00A51748">
        <w:rPr>
          <w:rFonts w:cs="Times New Roman"/>
        </w:rPr>
        <w:t xml:space="preserve"> </w:t>
      </w:r>
      <w:r w:rsidR="0037184B" w:rsidRPr="00A51748">
        <w:rPr>
          <w:rFonts w:cs="Times New Roman"/>
        </w:rPr>
        <w:t>report</w:t>
      </w:r>
      <w:r w:rsidR="0087656B" w:rsidRPr="00A51748">
        <w:rPr>
          <w:rFonts w:cs="Times New Roman"/>
        </w:rPr>
        <w:t>ed</w:t>
      </w:r>
      <w:r w:rsidR="0037184B" w:rsidRPr="00A51748">
        <w:rPr>
          <w:rFonts w:cs="Times New Roman"/>
        </w:rPr>
        <w:t xml:space="preserve"> </w:t>
      </w:r>
      <w:r w:rsidR="00EA610A" w:rsidRPr="00A51748">
        <w:rPr>
          <w:rFonts w:cs="Times New Roman"/>
        </w:rPr>
        <w:t>13,80</w:t>
      </w:r>
      <w:r w:rsidR="0037184B" w:rsidRPr="00A51748">
        <w:rPr>
          <w:rFonts w:cs="Times New Roman"/>
        </w:rPr>
        <w:t>0</w:t>
      </w:r>
      <w:r w:rsidR="00EA610A" w:rsidRPr="00A51748">
        <w:rPr>
          <w:rFonts w:cs="Times New Roman"/>
        </w:rPr>
        <w:t xml:space="preserve"> km</w:t>
      </w:r>
      <w:r w:rsidR="00EA610A" w:rsidRPr="00A51748">
        <w:rPr>
          <w:rFonts w:cs="Times New Roman"/>
          <w:vertAlign w:val="superscript"/>
        </w:rPr>
        <w:t>2</w:t>
      </w:r>
      <w:r w:rsidR="0037184B" w:rsidRPr="00A51748">
        <w:rPr>
          <w:rFonts w:cs="Times New Roman"/>
        </w:rPr>
        <w:t xml:space="preserve"> under community conservation and self-recognised as ICCAs. </w:t>
      </w:r>
    </w:p>
    <w:p w14:paraId="7DFEADF6" w14:textId="1C794D41" w:rsidR="00234446" w:rsidRPr="00A51748" w:rsidRDefault="00506A57" w:rsidP="006D6DCD">
      <w:pPr>
        <w:pStyle w:val="Heading3"/>
        <w:spacing w:before="0"/>
        <w:jc w:val="both"/>
      </w:pPr>
      <w:r w:rsidRPr="00A51748">
        <w:t>Opportunities from Other Effective Area-based conservation measures (OECMs)</w:t>
      </w:r>
    </w:p>
    <w:p w14:paraId="2E64B79F" w14:textId="77777777" w:rsidR="00DE08CE" w:rsidRPr="00A51748" w:rsidRDefault="00751BA6" w:rsidP="006D6DCD">
      <w:pPr>
        <w:pStyle w:val="Para1"/>
        <w:numPr>
          <w:ilvl w:val="0"/>
          <w:numId w:val="14"/>
        </w:numPr>
        <w:spacing w:before="0"/>
        <w:ind w:left="0" w:firstLine="0"/>
        <w:rPr>
          <w:rFonts w:cs="Times New Roman"/>
        </w:rPr>
      </w:pPr>
      <w:r w:rsidRPr="00A51748">
        <w:rPr>
          <w:rFonts w:cs="Times New Roman"/>
        </w:rPr>
        <w:t xml:space="preserve">OECMs may contribute to all elements of Target 11, </w:t>
      </w:r>
      <w:r w:rsidRPr="00A51748">
        <w:rPr>
          <w:rFonts w:cs="Times New Roman"/>
          <w:i/>
        </w:rPr>
        <w:t>inter alia</w:t>
      </w:r>
      <w:r w:rsidRPr="00A51748">
        <w:rPr>
          <w:rFonts w:cs="Times New Roman"/>
        </w:rPr>
        <w:t>, through the conservation of important ecosystems, habitats and wildlife corridors, retaining and connecting fragmented ecosystems, and contributing to ecologically representative and well-connected conservation systems, integrated within wider landscapes and seascapes.</w:t>
      </w:r>
      <w:r w:rsidR="00E56A55" w:rsidRPr="00A51748">
        <w:rPr>
          <w:rFonts w:cs="Times New Roman"/>
        </w:rPr>
        <w:t xml:space="preserve"> As noted above, the </w:t>
      </w:r>
      <w:r w:rsidR="00E56A55" w:rsidRPr="00A51748">
        <w:rPr>
          <w:rFonts w:cs="Times New Roman"/>
          <w:lang w:val="en-CA"/>
        </w:rPr>
        <w:t>status of many elements of Target 11 is expected to improve significantly as reporting on OECMs advances</w:t>
      </w:r>
      <w:r w:rsidR="005603DA" w:rsidRPr="00A51748">
        <w:rPr>
          <w:rFonts w:cs="Times New Roman"/>
          <w:lang w:val="en-CA"/>
        </w:rPr>
        <w:t xml:space="preserve">, </w:t>
      </w:r>
      <w:r w:rsidR="005603DA" w:rsidRPr="00A51748">
        <w:rPr>
          <w:rFonts w:cs="Times New Roman"/>
        </w:rPr>
        <w:t xml:space="preserve">though there is no clear indication of potential global coverage at this time. </w:t>
      </w:r>
      <w:r w:rsidR="00CF36BE" w:rsidRPr="00A51748">
        <w:rPr>
          <w:rFonts w:cs="Times New Roman"/>
        </w:rPr>
        <w:t>Work will be needed to develop an understanding of OECMs within different national contexts.</w:t>
      </w:r>
    </w:p>
    <w:p w14:paraId="68E50EF9" w14:textId="77777777" w:rsidR="0028604F" w:rsidRPr="00A51748" w:rsidRDefault="00DF3CCC" w:rsidP="006D6DCD">
      <w:pPr>
        <w:pStyle w:val="Para1"/>
        <w:numPr>
          <w:ilvl w:val="0"/>
          <w:numId w:val="14"/>
        </w:numPr>
        <w:spacing w:before="0"/>
        <w:ind w:left="0" w:firstLine="0"/>
        <w:rPr>
          <w:rFonts w:cs="Times New Roman"/>
        </w:rPr>
      </w:pPr>
      <w:r w:rsidRPr="00A51748">
        <w:rPr>
          <w:rFonts w:cs="Times New Roman"/>
        </w:rPr>
        <w:t>R</w:t>
      </w:r>
      <w:r w:rsidR="00CF36BE" w:rsidRPr="00A51748">
        <w:rPr>
          <w:rFonts w:cs="Times New Roman"/>
        </w:rPr>
        <w:t>ecognising and r</w:t>
      </w:r>
      <w:r w:rsidRPr="00A51748">
        <w:rPr>
          <w:rFonts w:cs="Times New Roman"/>
        </w:rPr>
        <w:t>eporting on OECMs</w:t>
      </w:r>
      <w:r w:rsidR="00763B4E" w:rsidRPr="00A51748">
        <w:rPr>
          <w:rFonts w:cs="Times New Roman"/>
        </w:rPr>
        <w:t xml:space="preserve"> will result in </w:t>
      </w:r>
      <w:r w:rsidR="00CF36BE" w:rsidRPr="00A51748">
        <w:rPr>
          <w:rFonts w:cs="Times New Roman"/>
        </w:rPr>
        <w:t>substantial</w:t>
      </w:r>
      <w:r w:rsidRPr="00A51748">
        <w:rPr>
          <w:rFonts w:cs="Times New Roman"/>
        </w:rPr>
        <w:t xml:space="preserve"> improvements in </w:t>
      </w:r>
      <w:r w:rsidR="00763B4E" w:rsidRPr="00A51748">
        <w:rPr>
          <w:rFonts w:cs="Times New Roman"/>
        </w:rPr>
        <w:t xml:space="preserve">global </w:t>
      </w:r>
      <w:r w:rsidRPr="00A51748">
        <w:rPr>
          <w:rFonts w:cs="Times New Roman"/>
        </w:rPr>
        <w:t>coverage, with implications for other elements of Target 11</w:t>
      </w:r>
      <w:r w:rsidR="00763B4E" w:rsidRPr="00A51748">
        <w:rPr>
          <w:rFonts w:cs="Times New Roman"/>
        </w:rPr>
        <w:t xml:space="preserve">. It will also provide </w:t>
      </w:r>
      <w:r w:rsidR="0028604F" w:rsidRPr="00A51748">
        <w:rPr>
          <w:rFonts w:cs="Times New Roman"/>
        </w:rPr>
        <w:t xml:space="preserve">better understanding of </w:t>
      </w:r>
      <w:r w:rsidR="00763B4E" w:rsidRPr="00A51748">
        <w:rPr>
          <w:rFonts w:cs="Times New Roman"/>
        </w:rPr>
        <w:t xml:space="preserve">the range of available </w:t>
      </w:r>
      <w:r w:rsidR="0028604F" w:rsidRPr="00A51748">
        <w:rPr>
          <w:rFonts w:cs="Times New Roman"/>
        </w:rPr>
        <w:t>approaches</w:t>
      </w:r>
      <w:r w:rsidR="00763B4E" w:rsidRPr="00A51748">
        <w:rPr>
          <w:rFonts w:cs="Times New Roman"/>
        </w:rPr>
        <w:t xml:space="preserve"> providing effective </w:t>
      </w:r>
      <w:r w:rsidR="00763B4E" w:rsidRPr="00A51748">
        <w:rPr>
          <w:rFonts w:cs="Times New Roman"/>
          <w:i/>
        </w:rPr>
        <w:t xml:space="preserve">in situ </w:t>
      </w:r>
      <w:r w:rsidR="00763B4E" w:rsidRPr="00A51748">
        <w:rPr>
          <w:rFonts w:cs="Times New Roman"/>
        </w:rPr>
        <w:t>conservation of biodi</w:t>
      </w:r>
      <w:r w:rsidR="008D41B4" w:rsidRPr="00A51748">
        <w:rPr>
          <w:rFonts w:cs="Times New Roman"/>
        </w:rPr>
        <w:t xml:space="preserve">versity. This will help to </w:t>
      </w:r>
      <w:r w:rsidR="008D41B4" w:rsidRPr="00A51748">
        <w:rPr>
          <w:rFonts w:cs="Times New Roman"/>
          <w:lang w:val="en-US"/>
        </w:rPr>
        <w:t xml:space="preserve">better </w:t>
      </w:r>
      <w:r w:rsidR="008D41B4" w:rsidRPr="00A51748">
        <w:rPr>
          <w:rFonts w:cs="Times New Roman"/>
        </w:rPr>
        <w:t xml:space="preserve">recognise </w:t>
      </w:r>
      <w:r w:rsidR="008D41B4" w:rsidRPr="00A51748">
        <w:rPr>
          <w:rFonts w:cs="Times New Roman"/>
          <w:i/>
        </w:rPr>
        <w:t>de facto</w:t>
      </w:r>
      <w:r w:rsidR="008D41B4" w:rsidRPr="00A51748">
        <w:rPr>
          <w:rFonts w:cs="Times New Roman"/>
        </w:rPr>
        <w:t xml:space="preserve"> conservation </w:t>
      </w:r>
      <w:r w:rsidR="00AC071D" w:rsidRPr="00A51748">
        <w:rPr>
          <w:rFonts w:cs="Times New Roman"/>
        </w:rPr>
        <w:t xml:space="preserve">occurring outside formally designated </w:t>
      </w:r>
      <w:r w:rsidR="008D41B4" w:rsidRPr="00A51748">
        <w:rPr>
          <w:rFonts w:cs="Times New Roman"/>
        </w:rPr>
        <w:t>protected areas</w:t>
      </w:r>
      <w:r w:rsidR="00AC071D" w:rsidRPr="00A51748">
        <w:rPr>
          <w:rFonts w:cs="Times New Roman"/>
        </w:rPr>
        <w:t xml:space="preserve">, being carried out </w:t>
      </w:r>
      <w:r w:rsidR="008D41B4" w:rsidRPr="00A51748">
        <w:rPr>
          <w:rFonts w:cs="Times New Roman"/>
        </w:rPr>
        <w:t>by a diverse set of actors</w:t>
      </w:r>
      <w:r w:rsidR="00AC071D" w:rsidRPr="00A51748">
        <w:rPr>
          <w:rFonts w:cs="Times New Roman"/>
        </w:rPr>
        <w:t xml:space="preserve">. </w:t>
      </w:r>
    </w:p>
    <w:p w14:paraId="367C59D9" w14:textId="77777777" w:rsidR="00234446" w:rsidRPr="00A51748" w:rsidRDefault="009F230B" w:rsidP="006D6DCD">
      <w:pPr>
        <w:pStyle w:val="Para1"/>
        <w:numPr>
          <w:ilvl w:val="0"/>
          <w:numId w:val="14"/>
        </w:numPr>
        <w:spacing w:before="0"/>
        <w:ind w:left="0" w:firstLine="0"/>
        <w:rPr>
          <w:rFonts w:cs="Times New Roman"/>
          <w:lang w:val="en-US"/>
        </w:rPr>
      </w:pPr>
      <w:r w:rsidRPr="00A51748">
        <w:rPr>
          <w:rFonts w:cs="Times New Roman"/>
        </w:rPr>
        <w:lastRenderedPageBreak/>
        <w:t xml:space="preserve">Case studies of </w:t>
      </w:r>
      <w:r w:rsidR="00E6435F" w:rsidRPr="00A51748">
        <w:rPr>
          <w:rFonts w:cs="Times New Roman"/>
        </w:rPr>
        <w:t>areas potentially meeting the definition for OECM have been described</w:t>
      </w:r>
      <w:r w:rsidRPr="00A51748">
        <w:rPr>
          <w:rFonts w:cs="Times New Roman"/>
        </w:rPr>
        <w:t xml:space="preserve"> in a number of countries</w:t>
      </w:r>
      <w:r w:rsidR="00531D8B" w:rsidRPr="00A51748">
        <w:rPr>
          <w:rFonts w:cs="Times New Roman"/>
        </w:rPr>
        <w:t>,</w:t>
      </w:r>
      <w:r w:rsidRPr="00A51748">
        <w:rPr>
          <w:rStyle w:val="FootnoteReference"/>
          <w:rFonts w:cs="Times New Roman"/>
          <w:sz w:val="22"/>
        </w:rPr>
        <w:footnoteReference w:id="102"/>
      </w:r>
      <w:r w:rsidR="00531D8B" w:rsidRPr="00A51748">
        <w:rPr>
          <w:rFonts w:cs="Times New Roman"/>
        </w:rPr>
        <w:t xml:space="preserve"> and in some countries OECMs are making a significant contribution to progress on Target 11. For ex</w:t>
      </w:r>
      <w:r w:rsidRPr="00A51748">
        <w:rPr>
          <w:rFonts w:cs="Times New Roman"/>
          <w:lang w:val="en-CA"/>
        </w:rPr>
        <w:t xml:space="preserve">ample, in </w:t>
      </w:r>
      <w:r w:rsidRPr="00A51748">
        <w:rPr>
          <w:rFonts w:cs="Times New Roman"/>
        </w:rPr>
        <w:t>Canada there has been a five-fold increase in marine coverage since 2015, and a large portion of this has come from the designation of marine OECMs.</w:t>
      </w:r>
      <w:r w:rsidRPr="00A51748">
        <w:rPr>
          <w:rStyle w:val="FootnoteReference"/>
          <w:rFonts w:cs="Times New Roman"/>
        </w:rPr>
        <w:footnoteReference w:id="103"/>
      </w:r>
      <w:r w:rsidRPr="00A51748">
        <w:rPr>
          <w:rFonts w:cs="Times New Roman"/>
        </w:rPr>
        <w:t xml:space="preserve"> </w:t>
      </w:r>
      <w:r w:rsidR="00C30634" w:rsidRPr="00A51748">
        <w:rPr>
          <w:rFonts w:cs="Times New Roman"/>
        </w:rPr>
        <w:t xml:space="preserve">In </w:t>
      </w:r>
      <w:r w:rsidR="00234446" w:rsidRPr="00A51748">
        <w:rPr>
          <w:rFonts w:cs="Times New Roman"/>
        </w:rPr>
        <w:t xml:space="preserve">Russia, </w:t>
      </w:r>
      <w:r w:rsidR="00E56A55" w:rsidRPr="00A51748">
        <w:rPr>
          <w:rFonts w:cs="Times New Roman"/>
        </w:rPr>
        <w:t>an</w:t>
      </w:r>
      <w:r w:rsidR="00BA7D14" w:rsidRPr="00A51748">
        <w:rPr>
          <w:rFonts w:cs="Times New Roman"/>
          <w:lang w:val="en-US"/>
        </w:rPr>
        <w:t xml:space="preserve"> analysis of existing </w:t>
      </w:r>
      <w:r w:rsidR="00C30634" w:rsidRPr="00A51748">
        <w:rPr>
          <w:rFonts w:cs="Times New Roman"/>
          <w:lang w:val="en-US"/>
        </w:rPr>
        <w:t>coverage</w:t>
      </w:r>
      <w:r w:rsidR="00BA7D14" w:rsidRPr="00A51748">
        <w:rPr>
          <w:rFonts w:cs="Times New Roman"/>
          <w:lang w:val="en-US"/>
        </w:rPr>
        <w:t xml:space="preserve"> </w:t>
      </w:r>
      <w:r w:rsidR="00531D8B" w:rsidRPr="00A51748">
        <w:rPr>
          <w:rFonts w:cs="Times New Roman"/>
          <w:lang w:val="en-US"/>
        </w:rPr>
        <w:t>was recently</w:t>
      </w:r>
      <w:r w:rsidR="00E56A55" w:rsidRPr="00A51748">
        <w:rPr>
          <w:rFonts w:cs="Times New Roman"/>
          <w:lang w:val="en-US"/>
        </w:rPr>
        <w:t xml:space="preserve"> carried </w:t>
      </w:r>
      <w:r w:rsidR="00763B4E" w:rsidRPr="00A51748">
        <w:rPr>
          <w:rFonts w:cs="Times New Roman"/>
          <w:lang w:val="en-US"/>
        </w:rPr>
        <w:t>out;</w:t>
      </w:r>
      <w:r w:rsidR="00531D8B" w:rsidRPr="00A51748">
        <w:rPr>
          <w:rStyle w:val="FootnoteReference"/>
          <w:rFonts w:cs="Times New Roman"/>
        </w:rPr>
        <w:footnoteReference w:id="104"/>
      </w:r>
      <w:r w:rsidR="00531D8B" w:rsidRPr="00A51748">
        <w:rPr>
          <w:rFonts w:cs="Times New Roman"/>
          <w:lang w:val="en-US"/>
        </w:rPr>
        <w:t xml:space="preserve"> </w:t>
      </w:r>
      <w:r w:rsidR="00763B4E" w:rsidRPr="00A51748">
        <w:rPr>
          <w:rFonts w:cs="Times New Roman"/>
          <w:lang w:val="en-US"/>
        </w:rPr>
        <w:t>determining</w:t>
      </w:r>
      <w:r w:rsidR="00C30634" w:rsidRPr="00A51748">
        <w:rPr>
          <w:rFonts w:cs="Times New Roman"/>
          <w:lang w:val="en-US"/>
        </w:rPr>
        <w:t xml:space="preserve"> that the total area with biodiversity conservation regimes, either protected areas according national legislation or other sites in compliance with IUCN criteria, cover 25% of terrestrial and 3.4% of marine are</w:t>
      </w:r>
      <w:r w:rsidR="00763B4E" w:rsidRPr="00A51748">
        <w:rPr>
          <w:rFonts w:cs="Times New Roman"/>
          <w:lang w:val="en-US"/>
        </w:rPr>
        <w:t>as</w:t>
      </w:r>
      <w:r w:rsidR="00E56A55" w:rsidRPr="00A51748">
        <w:rPr>
          <w:rFonts w:cs="Times New Roman"/>
          <w:lang w:val="en-US"/>
        </w:rPr>
        <w:t>.</w:t>
      </w:r>
      <w:r w:rsidR="00E56A55" w:rsidRPr="00A51748">
        <w:rPr>
          <w:rStyle w:val="FootnoteReference"/>
          <w:rFonts w:cs="Times New Roman"/>
        </w:rPr>
        <w:t xml:space="preserve"> </w:t>
      </w:r>
      <w:r w:rsidR="00E56A55" w:rsidRPr="00A51748">
        <w:rPr>
          <w:rFonts w:cs="Times New Roman"/>
          <w:lang w:val="en-US"/>
        </w:rPr>
        <w:t xml:space="preserve">The </w:t>
      </w:r>
      <w:r w:rsidR="00C30634" w:rsidRPr="00A51748">
        <w:rPr>
          <w:rFonts w:cs="Times New Roman"/>
          <w:lang w:val="en-US"/>
        </w:rPr>
        <w:t xml:space="preserve">sites that </w:t>
      </w:r>
      <w:r w:rsidR="00E56A55" w:rsidRPr="00A51748">
        <w:rPr>
          <w:rFonts w:cs="Times New Roman"/>
          <w:lang w:val="en-US"/>
        </w:rPr>
        <w:t>meet the</w:t>
      </w:r>
      <w:r w:rsidR="00BA7D14" w:rsidRPr="00A51748">
        <w:rPr>
          <w:rFonts w:cs="Times New Roman"/>
          <w:lang w:val="en-US"/>
        </w:rPr>
        <w:t xml:space="preserve"> IUCN criteria </w:t>
      </w:r>
      <w:r w:rsidR="00C30634" w:rsidRPr="00A51748">
        <w:rPr>
          <w:rFonts w:cs="Times New Roman"/>
          <w:lang w:val="en-US"/>
        </w:rPr>
        <w:t>but are not nationally designated could be considered as OECMs, and cover 13.5% of land areas and 1% of Russia’s national waters.</w:t>
      </w:r>
      <w:r w:rsidR="00234446" w:rsidRPr="00A51748">
        <w:rPr>
          <w:rFonts w:cs="Times New Roman"/>
        </w:rPr>
        <w:t xml:space="preserve"> </w:t>
      </w:r>
    </w:p>
    <w:p w14:paraId="5B8FA92E" w14:textId="3B7DF923" w:rsidR="00C911F7" w:rsidRPr="00A51748" w:rsidRDefault="002034AE" w:rsidP="006D6DCD">
      <w:pPr>
        <w:pStyle w:val="Heading2"/>
        <w:spacing w:before="0"/>
        <w:jc w:val="both"/>
        <w:rPr>
          <w:rFonts w:cs="Times New Roman"/>
        </w:rPr>
      </w:pPr>
      <w:bookmarkStart w:id="4" w:name="_conclusion"/>
      <w:bookmarkEnd w:id="4"/>
      <w:r w:rsidRPr="00A51748">
        <w:rPr>
          <w:rFonts w:cs="Times New Roman"/>
        </w:rPr>
        <w:t>6</w:t>
      </w:r>
      <w:r w:rsidR="00631770" w:rsidRPr="00A51748">
        <w:rPr>
          <w:rFonts w:cs="Times New Roman"/>
        </w:rPr>
        <w:t>.4</w:t>
      </w:r>
      <w:r w:rsidR="00953EBD" w:rsidRPr="00A51748">
        <w:rPr>
          <w:rFonts w:cs="Times New Roman"/>
        </w:rPr>
        <w:t xml:space="preserve"> </w:t>
      </w:r>
      <w:r w:rsidR="008D2A81" w:rsidRPr="00A51748">
        <w:rPr>
          <w:rFonts w:cs="Times New Roman"/>
        </w:rPr>
        <w:t>C</w:t>
      </w:r>
      <w:r w:rsidR="00C911F7" w:rsidRPr="00A51748">
        <w:rPr>
          <w:rFonts w:cs="Times New Roman"/>
        </w:rPr>
        <w:t>onclusion</w:t>
      </w:r>
    </w:p>
    <w:p w14:paraId="315A3143" w14:textId="77777777" w:rsidR="00C03E1D" w:rsidRPr="00A51748" w:rsidRDefault="00EB76BD" w:rsidP="006D6DCD">
      <w:pPr>
        <w:pStyle w:val="Para1"/>
        <w:numPr>
          <w:ilvl w:val="0"/>
          <w:numId w:val="14"/>
        </w:numPr>
        <w:spacing w:before="0"/>
        <w:ind w:left="0" w:firstLine="0"/>
        <w:rPr>
          <w:rFonts w:cs="Times New Roman"/>
        </w:rPr>
      </w:pPr>
      <w:r w:rsidRPr="00A51748">
        <w:rPr>
          <w:rStyle w:val="Strong"/>
          <w:rFonts w:cs="Times New Roman"/>
          <w:b w:val="0"/>
          <w:bCs/>
          <w:shd w:val="clear" w:color="auto" w:fill="FFFFFF"/>
        </w:rPr>
        <w:t xml:space="preserve">There is </w:t>
      </w:r>
      <w:r w:rsidR="00C911F7" w:rsidRPr="00A51748">
        <w:rPr>
          <w:rStyle w:val="Strong"/>
          <w:rFonts w:cs="Times New Roman"/>
          <w:b w:val="0"/>
          <w:bCs/>
          <w:shd w:val="clear" w:color="auto" w:fill="FFFFFF"/>
        </w:rPr>
        <w:t>just one year remaining until 2020</w:t>
      </w:r>
      <w:r w:rsidRPr="00A51748">
        <w:rPr>
          <w:rStyle w:val="Strong"/>
          <w:rFonts w:cs="Times New Roman"/>
          <w:b w:val="0"/>
          <w:bCs/>
          <w:shd w:val="clear" w:color="auto" w:fill="FFFFFF"/>
        </w:rPr>
        <w:t xml:space="preserve"> and the close of the current Strategic Plan for Biodiversity and the Aichi Biodiversity Targets. P</w:t>
      </w:r>
      <w:r w:rsidR="003B3232" w:rsidRPr="00A51748">
        <w:rPr>
          <w:rStyle w:val="Strong"/>
          <w:rFonts w:cs="Times New Roman"/>
          <w:b w:val="0"/>
          <w:bCs/>
          <w:shd w:val="clear" w:color="auto" w:fill="FFFFFF"/>
        </w:rPr>
        <w:t xml:space="preserve">rogress is </w:t>
      </w:r>
      <w:r w:rsidR="00120340" w:rsidRPr="00A51748">
        <w:rPr>
          <w:rStyle w:val="Strong"/>
          <w:rFonts w:cs="Times New Roman"/>
          <w:b w:val="0"/>
          <w:bCs/>
          <w:shd w:val="clear" w:color="auto" w:fill="FFFFFF"/>
        </w:rPr>
        <w:t>clear</w:t>
      </w:r>
      <w:r w:rsidR="003B3232" w:rsidRPr="00A51748">
        <w:rPr>
          <w:rStyle w:val="Strong"/>
          <w:rFonts w:cs="Times New Roman"/>
          <w:b w:val="0"/>
          <w:bCs/>
          <w:shd w:val="clear" w:color="auto" w:fill="FFFFFF"/>
        </w:rPr>
        <w:t xml:space="preserve"> for several elements of Target 11, most notably with respect to </w:t>
      </w:r>
      <w:r w:rsidRPr="00A51748">
        <w:rPr>
          <w:rStyle w:val="Strong"/>
          <w:rFonts w:cs="Times New Roman"/>
          <w:b w:val="0"/>
          <w:bCs/>
          <w:shd w:val="clear" w:color="auto" w:fill="FFFFFF"/>
        </w:rPr>
        <w:t xml:space="preserve">the coverage of </w:t>
      </w:r>
      <w:r w:rsidR="003B3232" w:rsidRPr="00A51748">
        <w:rPr>
          <w:rStyle w:val="Strong"/>
          <w:rFonts w:cs="Times New Roman"/>
          <w:b w:val="0"/>
          <w:bCs/>
          <w:shd w:val="clear" w:color="auto" w:fill="FFFFFF"/>
        </w:rPr>
        <w:t>marine areas</w:t>
      </w:r>
      <w:r w:rsidR="00763B4E" w:rsidRPr="00A51748">
        <w:rPr>
          <w:rStyle w:val="Strong"/>
          <w:rFonts w:cs="Times New Roman"/>
          <w:b w:val="0"/>
          <w:bCs/>
          <w:shd w:val="clear" w:color="auto" w:fill="FFFFFF"/>
        </w:rPr>
        <w:t xml:space="preserve"> (Fig. 1)</w:t>
      </w:r>
      <w:r w:rsidR="003B3232" w:rsidRPr="00A51748">
        <w:rPr>
          <w:rStyle w:val="Strong"/>
          <w:rFonts w:cs="Times New Roman"/>
          <w:b w:val="0"/>
          <w:bCs/>
          <w:shd w:val="clear" w:color="auto" w:fill="FFFFFF"/>
        </w:rPr>
        <w:t xml:space="preserve">. Following the </w:t>
      </w:r>
      <w:r w:rsidR="00763B4E" w:rsidRPr="00A51748">
        <w:rPr>
          <w:rStyle w:val="Strong"/>
          <w:rFonts w:cs="Times New Roman"/>
          <w:b w:val="0"/>
          <w:bCs/>
          <w:shd w:val="clear" w:color="auto" w:fill="FFFFFF"/>
        </w:rPr>
        <w:t xml:space="preserve">completion of national </w:t>
      </w:r>
      <w:r w:rsidR="003B3232" w:rsidRPr="00A51748">
        <w:rPr>
          <w:rStyle w:val="Strong"/>
          <w:rFonts w:cs="Times New Roman"/>
          <w:b w:val="0"/>
          <w:bCs/>
          <w:shd w:val="clear" w:color="auto" w:fill="FFFFFF"/>
        </w:rPr>
        <w:t xml:space="preserve">commitments and other opportunities discussed above, </w:t>
      </w:r>
      <w:r w:rsidR="00763B4E" w:rsidRPr="00A51748">
        <w:rPr>
          <w:rFonts w:cs="Times New Roman"/>
        </w:rPr>
        <w:t>especially the recognition and recording of OECMs,</w:t>
      </w:r>
      <w:r w:rsidR="00763B4E" w:rsidRPr="00A51748">
        <w:rPr>
          <w:rStyle w:val="Strong"/>
          <w:rFonts w:cs="Times New Roman"/>
          <w:b w:val="0"/>
          <w:bCs/>
          <w:shd w:val="clear" w:color="auto" w:fill="FFFFFF"/>
        </w:rPr>
        <w:t xml:space="preserve"> </w:t>
      </w:r>
      <w:r w:rsidR="003B3232" w:rsidRPr="00A51748">
        <w:rPr>
          <w:rStyle w:val="Strong"/>
          <w:rFonts w:cs="Times New Roman"/>
          <w:b w:val="0"/>
          <w:bCs/>
          <w:shd w:val="clear" w:color="auto" w:fill="FFFFFF"/>
        </w:rPr>
        <w:t>it</w:t>
      </w:r>
      <w:r w:rsidR="003B3232" w:rsidRPr="00A51748">
        <w:rPr>
          <w:rFonts w:cs="Times New Roman"/>
        </w:rPr>
        <w:t xml:space="preserve"> is likely that at least some elements of Target 11 will be met or exceeded by 2020</w:t>
      </w:r>
      <w:r w:rsidR="003B3232" w:rsidRPr="00A51748">
        <w:rPr>
          <w:rStyle w:val="Strong"/>
          <w:rFonts w:cs="Times New Roman"/>
          <w:b w:val="0"/>
          <w:bCs/>
          <w:shd w:val="clear" w:color="auto" w:fill="FFFFFF"/>
        </w:rPr>
        <w:t xml:space="preserve">. </w:t>
      </w:r>
      <w:r w:rsidR="00C516EF" w:rsidRPr="00A51748">
        <w:rPr>
          <w:rFonts w:cs="Times New Roman"/>
        </w:rPr>
        <w:t xml:space="preserve">For those elements which may not be achieved by 2020, </w:t>
      </w:r>
      <w:r w:rsidRPr="00A51748">
        <w:rPr>
          <w:rFonts w:cs="Times New Roman"/>
        </w:rPr>
        <w:t>sustained capacity-</w:t>
      </w:r>
      <w:r w:rsidR="00C516EF" w:rsidRPr="00A51748">
        <w:rPr>
          <w:rFonts w:cs="Times New Roman"/>
        </w:rPr>
        <w:t xml:space="preserve">building mechanisms </w:t>
      </w:r>
      <w:r w:rsidR="00CF36BE" w:rsidRPr="00A51748">
        <w:rPr>
          <w:rFonts w:cs="Times New Roman"/>
        </w:rPr>
        <w:t xml:space="preserve">through the Global Partnership </w:t>
      </w:r>
      <w:r w:rsidR="00C516EF" w:rsidRPr="00A51748">
        <w:rPr>
          <w:rFonts w:cs="Times New Roman"/>
        </w:rPr>
        <w:t xml:space="preserve">should ensure continued progress. </w:t>
      </w:r>
    </w:p>
    <w:p w14:paraId="6747FC79" w14:textId="5BBD63B0" w:rsidR="00631770" w:rsidRPr="00A51748" w:rsidRDefault="00EB76BD" w:rsidP="006D6DCD">
      <w:pPr>
        <w:pStyle w:val="Para1"/>
        <w:numPr>
          <w:ilvl w:val="0"/>
          <w:numId w:val="14"/>
        </w:numPr>
        <w:spacing w:before="0"/>
        <w:ind w:left="0" w:firstLine="0"/>
        <w:rPr>
          <w:rStyle w:val="Strong"/>
          <w:rFonts w:cs="Times New Roman"/>
          <w:b w:val="0"/>
          <w:bCs/>
          <w:snapToGrid w:val="0"/>
          <w:kern w:val="22"/>
          <w:lang w:val="en-US"/>
        </w:rPr>
      </w:pPr>
      <w:r w:rsidRPr="00A51748">
        <w:rPr>
          <w:rStyle w:val="Strong"/>
          <w:rFonts w:cs="Times New Roman"/>
          <w:b w:val="0"/>
          <w:bCs/>
          <w:shd w:val="clear" w:color="auto" w:fill="FFFFFF"/>
        </w:rPr>
        <w:t xml:space="preserve">For other elements of the </w:t>
      </w:r>
      <w:r w:rsidR="009E221C" w:rsidRPr="00A51748">
        <w:rPr>
          <w:rStyle w:val="Strong"/>
          <w:rFonts w:cs="Times New Roman"/>
          <w:b w:val="0"/>
          <w:bCs/>
          <w:shd w:val="clear" w:color="auto" w:fill="FFFFFF"/>
        </w:rPr>
        <w:t>Target</w:t>
      </w:r>
      <w:r w:rsidRPr="00A51748">
        <w:rPr>
          <w:rStyle w:val="Strong"/>
          <w:rFonts w:cs="Times New Roman"/>
          <w:b w:val="0"/>
          <w:bCs/>
          <w:shd w:val="clear" w:color="auto" w:fill="FFFFFF"/>
        </w:rPr>
        <w:t xml:space="preserve"> </w:t>
      </w:r>
      <w:r w:rsidR="009E221C" w:rsidRPr="00A51748">
        <w:rPr>
          <w:rStyle w:val="Strong"/>
          <w:rFonts w:cs="Times New Roman"/>
          <w:b w:val="0"/>
          <w:bCs/>
          <w:shd w:val="clear" w:color="auto" w:fill="FFFFFF"/>
        </w:rPr>
        <w:t>(</w:t>
      </w:r>
      <w:r w:rsidR="00CF36BE" w:rsidRPr="00A51748">
        <w:rPr>
          <w:rStyle w:val="Strong"/>
          <w:rFonts w:cs="Times New Roman"/>
          <w:b w:val="0"/>
          <w:bCs/>
          <w:shd w:val="clear" w:color="auto" w:fill="FFFFFF"/>
        </w:rPr>
        <w:t>e.g. management effectiveness, equity, and integration into wider landscapes and seascapes), the</w:t>
      </w:r>
      <w:r w:rsidR="009E221C" w:rsidRPr="00A51748">
        <w:rPr>
          <w:rStyle w:val="Strong"/>
          <w:rFonts w:cs="Times New Roman"/>
          <w:b w:val="0"/>
          <w:bCs/>
          <w:shd w:val="clear" w:color="auto" w:fill="FFFFFF"/>
        </w:rPr>
        <w:t>re is</w:t>
      </w:r>
      <w:r w:rsidR="00CF36BE" w:rsidRPr="00A51748">
        <w:rPr>
          <w:rStyle w:val="Strong"/>
          <w:rFonts w:cs="Times New Roman"/>
          <w:b w:val="0"/>
          <w:bCs/>
          <w:shd w:val="clear" w:color="auto" w:fill="FFFFFF"/>
        </w:rPr>
        <w:t xml:space="preserve"> </w:t>
      </w:r>
      <w:r w:rsidRPr="00A51748">
        <w:rPr>
          <w:rStyle w:val="Strong"/>
          <w:rFonts w:cs="Times New Roman"/>
          <w:b w:val="0"/>
          <w:bCs/>
          <w:shd w:val="clear" w:color="auto" w:fill="FFFFFF"/>
        </w:rPr>
        <w:t xml:space="preserve">limited availability of data at the global level to provide an </w:t>
      </w:r>
      <w:r w:rsidR="009E221C" w:rsidRPr="00A51748">
        <w:rPr>
          <w:rStyle w:val="Strong"/>
          <w:rFonts w:cs="Times New Roman"/>
          <w:b w:val="0"/>
          <w:bCs/>
          <w:shd w:val="clear" w:color="auto" w:fill="FFFFFF"/>
        </w:rPr>
        <w:t xml:space="preserve">adequate assessment of progress. </w:t>
      </w:r>
      <w:r w:rsidRPr="00A51748">
        <w:rPr>
          <w:rStyle w:val="Strong"/>
          <w:rFonts w:cs="Times New Roman"/>
          <w:b w:val="0"/>
          <w:bCs/>
          <w:shd w:val="clear" w:color="auto" w:fill="FFFFFF"/>
        </w:rPr>
        <w:t xml:space="preserve">The aim over the next year </w:t>
      </w:r>
      <w:r w:rsidR="009E221C" w:rsidRPr="00A51748">
        <w:rPr>
          <w:rStyle w:val="Strong"/>
          <w:rFonts w:cs="Times New Roman"/>
          <w:b w:val="0"/>
          <w:bCs/>
          <w:shd w:val="clear" w:color="auto" w:fill="FFFFFF"/>
        </w:rPr>
        <w:t xml:space="preserve">should be to </w:t>
      </w:r>
      <w:r w:rsidRPr="00A51748">
        <w:rPr>
          <w:rStyle w:val="Strong"/>
          <w:rFonts w:cs="Times New Roman"/>
          <w:b w:val="0"/>
          <w:bCs/>
          <w:shd w:val="clear" w:color="auto" w:fill="FFFFFF"/>
        </w:rPr>
        <w:t>improve reporting</w:t>
      </w:r>
      <w:r w:rsidR="009E221C" w:rsidRPr="00A51748">
        <w:rPr>
          <w:rStyle w:val="Strong"/>
          <w:rFonts w:cs="Times New Roman"/>
          <w:b w:val="0"/>
          <w:bCs/>
          <w:shd w:val="clear" w:color="auto" w:fill="FFFFFF"/>
        </w:rPr>
        <w:t xml:space="preserve"> on these elements</w:t>
      </w:r>
      <w:r w:rsidRPr="00A51748">
        <w:rPr>
          <w:rStyle w:val="Strong"/>
          <w:rFonts w:cs="Times New Roman"/>
          <w:b w:val="0"/>
          <w:bCs/>
          <w:shd w:val="clear" w:color="auto" w:fill="FFFFFF"/>
        </w:rPr>
        <w:t xml:space="preserve">. For example, scaling up </w:t>
      </w:r>
      <w:r w:rsidR="00C64D69" w:rsidRPr="00A51748">
        <w:rPr>
          <w:rStyle w:val="Strong"/>
          <w:rFonts w:cs="Times New Roman"/>
          <w:b w:val="0"/>
          <w:bCs/>
          <w:shd w:val="clear" w:color="auto" w:fill="FFFFFF"/>
        </w:rPr>
        <w:t>assessments of governance and equity</w:t>
      </w:r>
      <w:r w:rsidR="009E221C" w:rsidRPr="00A51748">
        <w:rPr>
          <w:rStyle w:val="Strong"/>
          <w:rFonts w:cs="Times New Roman"/>
          <w:b w:val="0"/>
          <w:bCs/>
          <w:shd w:val="clear" w:color="auto" w:fill="FFFFFF"/>
        </w:rPr>
        <w:t xml:space="preserve"> in protected areas, and assessing the results of </w:t>
      </w:r>
      <w:r w:rsidR="009E221C" w:rsidRPr="00A51748">
        <w:rPr>
          <w:rFonts w:cs="Times New Roman"/>
        </w:rPr>
        <w:t xml:space="preserve">management effectiveness evaluations. These </w:t>
      </w:r>
      <w:r w:rsidR="002D7776" w:rsidRPr="00A51748">
        <w:rPr>
          <w:rFonts w:cs="Times New Roman"/>
        </w:rPr>
        <w:t>elements,</w:t>
      </w:r>
      <w:r w:rsidR="009E221C" w:rsidRPr="00A51748">
        <w:rPr>
          <w:rFonts w:cs="Times New Roman"/>
        </w:rPr>
        <w:t xml:space="preserve"> and other relating to the quality of protected and conserved areas</w:t>
      </w:r>
      <w:r w:rsidR="002D7776" w:rsidRPr="00A51748">
        <w:rPr>
          <w:rFonts w:cs="Times New Roman"/>
        </w:rPr>
        <w:t>,</w:t>
      </w:r>
      <w:r w:rsidR="009E221C" w:rsidRPr="00A51748">
        <w:rPr>
          <w:rFonts w:cs="Times New Roman"/>
        </w:rPr>
        <w:t xml:space="preserve"> </w:t>
      </w:r>
      <w:r w:rsidR="00264AE3" w:rsidRPr="00A51748">
        <w:rPr>
          <w:rStyle w:val="Strong"/>
          <w:rFonts w:cs="Times New Roman"/>
          <w:b w:val="0"/>
          <w:bCs/>
          <w:shd w:val="clear" w:color="auto" w:fill="FFFFFF"/>
        </w:rPr>
        <w:t xml:space="preserve">should be considered for more attention in </w:t>
      </w:r>
      <w:r w:rsidR="00302C0E" w:rsidRPr="00A51748">
        <w:rPr>
          <w:rStyle w:val="Strong"/>
          <w:rFonts w:cs="Times New Roman"/>
          <w:b w:val="0"/>
          <w:bCs/>
          <w:shd w:val="clear" w:color="auto" w:fill="FFFFFF"/>
        </w:rPr>
        <w:t>the</w:t>
      </w:r>
      <w:r w:rsidR="00264AE3" w:rsidRPr="00A51748">
        <w:rPr>
          <w:rStyle w:val="Strong"/>
          <w:rFonts w:cs="Times New Roman"/>
          <w:b w:val="0"/>
          <w:bCs/>
          <w:shd w:val="clear" w:color="auto" w:fill="FFFFFF"/>
        </w:rPr>
        <w:t xml:space="preserve"> post-2020 </w:t>
      </w:r>
      <w:r w:rsidR="00DE08CE" w:rsidRPr="00A51748">
        <w:rPr>
          <w:rStyle w:val="Strong"/>
          <w:rFonts w:cs="Times New Roman"/>
          <w:b w:val="0"/>
          <w:bCs/>
          <w:shd w:val="clear" w:color="auto" w:fill="FFFFFF"/>
        </w:rPr>
        <w:t>period</w:t>
      </w:r>
      <w:r w:rsidR="00264AE3" w:rsidRPr="00A51748">
        <w:rPr>
          <w:rStyle w:val="Strong"/>
          <w:rFonts w:cs="Times New Roman"/>
          <w:b w:val="0"/>
          <w:bCs/>
          <w:shd w:val="clear" w:color="auto" w:fill="FFFFFF"/>
        </w:rPr>
        <w:t>.</w:t>
      </w:r>
      <w:r w:rsidR="00C03E1D" w:rsidRPr="00A51748">
        <w:rPr>
          <w:rStyle w:val="Strong"/>
          <w:rFonts w:cs="Times New Roman"/>
          <w:b w:val="0"/>
          <w:bCs/>
          <w:shd w:val="clear" w:color="auto" w:fill="FFFFFF"/>
        </w:rPr>
        <w:t xml:space="preserve"> </w:t>
      </w:r>
    </w:p>
    <w:p w14:paraId="14B91786" w14:textId="77777777" w:rsidR="00B51D97" w:rsidRPr="00A51748" w:rsidRDefault="00B51D97" w:rsidP="006D6DCD">
      <w:pPr>
        <w:rPr>
          <w:rStyle w:val="Strong"/>
          <w:rFonts w:cs="Times New Roman"/>
          <w:b w:val="0"/>
          <w:bCs w:val="0"/>
          <w:snapToGrid w:val="0"/>
          <w:kern w:val="22"/>
          <w:lang w:val="en-US"/>
        </w:rPr>
      </w:pPr>
    </w:p>
    <w:p w14:paraId="04C72A8E" w14:textId="77777777" w:rsidR="00B51D97" w:rsidRPr="00A51748" w:rsidRDefault="00B51D97" w:rsidP="006D6DCD">
      <w:pPr>
        <w:rPr>
          <w:rStyle w:val="Strong"/>
          <w:rFonts w:cs="Times New Roman"/>
          <w:b w:val="0"/>
          <w:bCs w:val="0"/>
          <w:snapToGrid w:val="0"/>
          <w:kern w:val="22"/>
          <w:lang w:val="en-US"/>
        </w:rPr>
      </w:pPr>
    </w:p>
    <w:p w14:paraId="237E2FCE" w14:textId="77777777" w:rsidR="00B51D97" w:rsidRPr="00A51748" w:rsidRDefault="00B51D97" w:rsidP="006D6DCD">
      <w:pPr>
        <w:rPr>
          <w:rStyle w:val="Strong"/>
          <w:rFonts w:cs="Times New Roman"/>
          <w:b w:val="0"/>
          <w:bCs w:val="0"/>
          <w:snapToGrid w:val="0"/>
          <w:kern w:val="22"/>
          <w:lang w:val="en-US"/>
        </w:rPr>
      </w:pPr>
    </w:p>
    <w:p w14:paraId="0A1F5713" w14:textId="77777777" w:rsidR="00B51D97" w:rsidRPr="00A51748" w:rsidRDefault="00B51D97" w:rsidP="006D6DCD">
      <w:pPr>
        <w:rPr>
          <w:rStyle w:val="Strong"/>
          <w:rFonts w:cs="Times New Roman"/>
          <w:b w:val="0"/>
          <w:bCs w:val="0"/>
          <w:snapToGrid w:val="0"/>
          <w:kern w:val="22"/>
          <w:lang w:val="en-US"/>
        </w:rPr>
      </w:pPr>
    </w:p>
    <w:p w14:paraId="3C2BF3C0" w14:textId="77777777" w:rsidR="00B51D97" w:rsidRPr="00A51748" w:rsidRDefault="00B51D97" w:rsidP="006D6DCD">
      <w:pPr>
        <w:rPr>
          <w:rStyle w:val="Strong"/>
          <w:rFonts w:cs="Times New Roman"/>
          <w:b w:val="0"/>
          <w:bCs w:val="0"/>
          <w:snapToGrid w:val="0"/>
          <w:kern w:val="22"/>
          <w:lang w:val="en-US"/>
        </w:rPr>
      </w:pPr>
    </w:p>
    <w:p w14:paraId="21CE22AC" w14:textId="77777777" w:rsidR="00B51D97" w:rsidRPr="00A51748" w:rsidRDefault="00B51D97" w:rsidP="006D6DCD">
      <w:pPr>
        <w:rPr>
          <w:rStyle w:val="Strong"/>
          <w:rFonts w:cs="Times New Roman"/>
          <w:b w:val="0"/>
          <w:bCs w:val="0"/>
          <w:snapToGrid w:val="0"/>
          <w:kern w:val="22"/>
          <w:lang w:val="en-US"/>
        </w:rPr>
      </w:pPr>
    </w:p>
    <w:p w14:paraId="4819BEC3" w14:textId="77777777" w:rsidR="00B51D97" w:rsidRPr="00A51748" w:rsidRDefault="00B51D97" w:rsidP="006D6DCD">
      <w:pPr>
        <w:rPr>
          <w:rStyle w:val="Strong"/>
          <w:rFonts w:cs="Times New Roman"/>
          <w:b w:val="0"/>
          <w:bCs w:val="0"/>
          <w:snapToGrid w:val="0"/>
          <w:kern w:val="22"/>
          <w:lang w:val="en-US"/>
        </w:rPr>
      </w:pPr>
    </w:p>
    <w:p w14:paraId="159DB3A6" w14:textId="77777777" w:rsidR="00B51D97" w:rsidRPr="00A51748" w:rsidRDefault="00B51D97" w:rsidP="006D6DCD">
      <w:pPr>
        <w:rPr>
          <w:rStyle w:val="Strong"/>
          <w:rFonts w:cs="Times New Roman"/>
          <w:b w:val="0"/>
          <w:bCs w:val="0"/>
          <w:snapToGrid w:val="0"/>
          <w:kern w:val="22"/>
          <w:lang w:val="en-US"/>
        </w:rPr>
      </w:pPr>
    </w:p>
    <w:p w14:paraId="7E00834F" w14:textId="77777777" w:rsidR="00B51D97" w:rsidRPr="00A51748" w:rsidRDefault="00B51D97" w:rsidP="006D6DCD">
      <w:pPr>
        <w:rPr>
          <w:rStyle w:val="Strong"/>
          <w:rFonts w:cs="Times New Roman"/>
          <w:b w:val="0"/>
          <w:bCs w:val="0"/>
          <w:snapToGrid w:val="0"/>
          <w:kern w:val="22"/>
          <w:lang w:val="en-US"/>
        </w:rPr>
      </w:pPr>
    </w:p>
    <w:p w14:paraId="2DE096A2" w14:textId="77777777" w:rsidR="00B51D97" w:rsidRPr="00A51748" w:rsidRDefault="00B51D97" w:rsidP="006D6DCD">
      <w:pPr>
        <w:rPr>
          <w:rStyle w:val="Strong"/>
          <w:rFonts w:cs="Times New Roman"/>
          <w:b w:val="0"/>
          <w:bCs w:val="0"/>
          <w:snapToGrid w:val="0"/>
          <w:kern w:val="22"/>
          <w:lang w:val="en-US"/>
        </w:rPr>
      </w:pPr>
    </w:p>
    <w:p w14:paraId="372A4CFA" w14:textId="77777777" w:rsidR="00B51D97" w:rsidRPr="00A51748" w:rsidRDefault="00B51D97" w:rsidP="006D6DCD">
      <w:pPr>
        <w:rPr>
          <w:rStyle w:val="Strong"/>
          <w:rFonts w:cs="Times New Roman"/>
          <w:b w:val="0"/>
          <w:bCs w:val="0"/>
          <w:snapToGrid w:val="0"/>
          <w:kern w:val="22"/>
          <w:lang w:val="en-US"/>
        </w:rPr>
      </w:pPr>
    </w:p>
    <w:p w14:paraId="2F74458A" w14:textId="77777777" w:rsidR="00B51D97" w:rsidRPr="00A51748" w:rsidRDefault="00B51D97" w:rsidP="006D6DCD">
      <w:pPr>
        <w:rPr>
          <w:rStyle w:val="Strong"/>
          <w:rFonts w:cs="Times New Roman"/>
          <w:b w:val="0"/>
          <w:bCs w:val="0"/>
          <w:snapToGrid w:val="0"/>
          <w:kern w:val="22"/>
          <w:lang w:val="en-US"/>
        </w:rPr>
      </w:pPr>
    </w:p>
    <w:p w14:paraId="008389BA" w14:textId="77777777" w:rsidR="00B51D97" w:rsidRPr="00A51748" w:rsidRDefault="00B51D97" w:rsidP="006D6DCD">
      <w:pPr>
        <w:rPr>
          <w:rStyle w:val="Strong"/>
          <w:rFonts w:cs="Times New Roman"/>
          <w:b w:val="0"/>
          <w:bCs w:val="0"/>
          <w:snapToGrid w:val="0"/>
          <w:kern w:val="22"/>
          <w:lang w:val="en-US"/>
        </w:rPr>
      </w:pPr>
    </w:p>
    <w:p w14:paraId="364675D9" w14:textId="77777777" w:rsidR="00B51D97" w:rsidRPr="00A51748" w:rsidRDefault="00B51D97" w:rsidP="006D6DCD">
      <w:pPr>
        <w:rPr>
          <w:rStyle w:val="Strong"/>
          <w:rFonts w:cs="Times New Roman"/>
          <w:b w:val="0"/>
          <w:bCs w:val="0"/>
          <w:snapToGrid w:val="0"/>
          <w:kern w:val="22"/>
          <w:lang w:val="en-US"/>
        </w:rPr>
      </w:pPr>
    </w:p>
    <w:p w14:paraId="21A20E2B" w14:textId="77777777" w:rsidR="00B51D97" w:rsidRPr="00A51748" w:rsidRDefault="00B51D97" w:rsidP="006D6DCD">
      <w:pPr>
        <w:rPr>
          <w:rStyle w:val="Strong"/>
          <w:rFonts w:cs="Times New Roman"/>
          <w:b w:val="0"/>
          <w:bCs w:val="0"/>
          <w:snapToGrid w:val="0"/>
          <w:kern w:val="22"/>
          <w:lang w:val="en-US"/>
        </w:rPr>
      </w:pPr>
    </w:p>
    <w:p w14:paraId="4B90EC27" w14:textId="77777777" w:rsidR="00B51D97" w:rsidRPr="00A51748" w:rsidRDefault="00B51D97" w:rsidP="006D6DCD">
      <w:pPr>
        <w:rPr>
          <w:rStyle w:val="Strong"/>
          <w:rFonts w:cs="Times New Roman"/>
          <w:b w:val="0"/>
          <w:bCs w:val="0"/>
          <w:snapToGrid w:val="0"/>
          <w:kern w:val="22"/>
          <w:lang w:val="en-US"/>
        </w:rPr>
      </w:pPr>
    </w:p>
    <w:p w14:paraId="21A8EE41" w14:textId="77777777" w:rsidR="0030342C" w:rsidRPr="00A51748" w:rsidRDefault="0030342C" w:rsidP="006D6DCD">
      <w:pPr>
        <w:rPr>
          <w:rStyle w:val="Strong"/>
          <w:rFonts w:cs="Times New Roman"/>
          <w:b w:val="0"/>
          <w:bCs w:val="0"/>
          <w:snapToGrid w:val="0"/>
          <w:kern w:val="22"/>
          <w:lang w:val="en-US"/>
        </w:rPr>
      </w:pPr>
    </w:p>
    <w:p w14:paraId="00F6D0C5" w14:textId="77777777" w:rsidR="0030342C" w:rsidRPr="00A51748" w:rsidRDefault="0030342C" w:rsidP="006D6DCD">
      <w:pPr>
        <w:rPr>
          <w:rStyle w:val="Strong"/>
          <w:rFonts w:cs="Times New Roman"/>
          <w:b w:val="0"/>
          <w:bCs w:val="0"/>
          <w:snapToGrid w:val="0"/>
          <w:kern w:val="22"/>
          <w:lang w:val="en-US"/>
        </w:rPr>
      </w:pPr>
    </w:p>
    <w:p w14:paraId="665A067F" w14:textId="77777777" w:rsidR="0030342C" w:rsidRPr="00A51748" w:rsidRDefault="0030342C" w:rsidP="006D6DCD">
      <w:pPr>
        <w:rPr>
          <w:rStyle w:val="Strong"/>
          <w:rFonts w:cs="Times New Roman"/>
          <w:b w:val="0"/>
          <w:bCs w:val="0"/>
          <w:snapToGrid w:val="0"/>
          <w:kern w:val="22"/>
          <w:lang w:val="en-US"/>
        </w:rPr>
      </w:pPr>
    </w:p>
    <w:p w14:paraId="7122D25C" w14:textId="422C7D1C" w:rsidR="002F43CC" w:rsidRPr="00A51748" w:rsidRDefault="00284A69" w:rsidP="006D6DCD">
      <w:pPr>
        <w:pStyle w:val="Heading1"/>
        <w:spacing w:before="0"/>
        <w:jc w:val="both"/>
        <w:rPr>
          <w:snapToGrid w:val="0"/>
          <w:kern w:val="22"/>
        </w:rPr>
      </w:pPr>
      <w:r w:rsidRPr="00A51748">
        <w:lastRenderedPageBreak/>
        <w:t xml:space="preserve">Types of </w:t>
      </w:r>
      <w:r w:rsidR="000C3973" w:rsidRPr="00A51748">
        <w:t>Area-b</w:t>
      </w:r>
      <w:r w:rsidR="00B90060" w:rsidRPr="00A51748">
        <w:t>ased Conservation Measures</w:t>
      </w:r>
    </w:p>
    <w:p w14:paraId="67323E0A" w14:textId="16BACADB" w:rsidR="002F43CC" w:rsidRPr="00A51748" w:rsidRDefault="00AC1C46" w:rsidP="006D6DCD">
      <w:pPr>
        <w:pStyle w:val="Para1"/>
        <w:numPr>
          <w:ilvl w:val="0"/>
          <w:numId w:val="0"/>
        </w:numPr>
        <w:spacing w:before="0"/>
        <w:rPr>
          <w:rStyle w:val="Strong"/>
          <w:rFonts w:cs="Times New Roman"/>
          <w:bCs/>
          <w:snapToGrid w:val="0"/>
          <w:kern w:val="22"/>
          <w:sz w:val="24"/>
          <w:szCs w:val="24"/>
        </w:rPr>
      </w:pPr>
      <w:r w:rsidRPr="00A51748">
        <w:rPr>
          <w:rFonts w:cs="Times New Roman"/>
          <w:sz w:val="24"/>
          <w:szCs w:val="24"/>
        </w:rPr>
        <w:t>Here we provide a</w:t>
      </w:r>
      <w:r w:rsidR="00522F76" w:rsidRPr="00A51748">
        <w:rPr>
          <w:rFonts w:cs="Times New Roman"/>
          <w:sz w:val="24"/>
          <w:szCs w:val="24"/>
        </w:rPr>
        <w:t xml:space="preserve">dditional information </w:t>
      </w:r>
      <w:r w:rsidRPr="00A51748">
        <w:rPr>
          <w:rFonts w:cs="Times New Roman"/>
          <w:sz w:val="24"/>
          <w:szCs w:val="24"/>
        </w:rPr>
        <w:t xml:space="preserve">on several types of ABCM, </w:t>
      </w:r>
      <w:r w:rsidR="00522F76" w:rsidRPr="00A51748">
        <w:rPr>
          <w:rFonts w:cs="Times New Roman"/>
          <w:sz w:val="24"/>
          <w:szCs w:val="24"/>
        </w:rPr>
        <w:t>based</w:t>
      </w:r>
      <w:r w:rsidR="002F43CC" w:rsidRPr="00A51748">
        <w:rPr>
          <w:rFonts w:cs="Times New Roman"/>
          <w:sz w:val="24"/>
          <w:szCs w:val="24"/>
        </w:rPr>
        <w:t xml:space="preserve"> on available </w:t>
      </w:r>
      <w:r w:rsidR="00522F76" w:rsidRPr="00A51748">
        <w:rPr>
          <w:rFonts w:cs="Times New Roman"/>
          <w:sz w:val="24"/>
          <w:szCs w:val="24"/>
        </w:rPr>
        <w:t>literature.</w:t>
      </w:r>
    </w:p>
    <w:p w14:paraId="7E111DF7" w14:textId="481667E2" w:rsidR="00631770" w:rsidRPr="00A51748" w:rsidRDefault="0030342C" w:rsidP="006D6DCD">
      <w:pPr>
        <w:pStyle w:val="Heading2"/>
        <w:spacing w:before="0"/>
        <w:jc w:val="both"/>
        <w:rPr>
          <w:rFonts w:cs="Times New Roman"/>
        </w:rPr>
      </w:pPr>
      <w:r w:rsidRPr="00A51748">
        <w:rPr>
          <w:rStyle w:val="Strong"/>
          <w:rFonts w:cs="Times New Roman"/>
          <w:b/>
          <w:bCs/>
          <w:snapToGrid w:val="0"/>
          <w:kern w:val="22"/>
          <w:lang w:val="en-US"/>
        </w:rPr>
        <w:t xml:space="preserve"> </w:t>
      </w:r>
      <w:r w:rsidR="00284A69" w:rsidRPr="00A51748">
        <w:rPr>
          <w:rStyle w:val="Strong"/>
          <w:rFonts w:cs="Times New Roman"/>
          <w:b/>
          <w:bCs/>
          <w:snapToGrid w:val="0"/>
          <w:kern w:val="22"/>
          <w:lang w:val="en-US"/>
        </w:rPr>
        <w:t xml:space="preserve">7.1 </w:t>
      </w:r>
      <w:r w:rsidR="009F5F04" w:rsidRPr="00A51748">
        <w:rPr>
          <w:rFonts w:cs="Times New Roman"/>
        </w:rPr>
        <w:t>ABCM in the</w:t>
      </w:r>
      <w:r w:rsidR="006429D4" w:rsidRPr="00A51748">
        <w:rPr>
          <w:rFonts w:cs="Times New Roman"/>
        </w:rPr>
        <w:t xml:space="preserve"> Terrestrial Realm</w:t>
      </w:r>
    </w:p>
    <w:p w14:paraId="34D2270D" w14:textId="77777777" w:rsidR="00F140FD" w:rsidRPr="00A51748" w:rsidRDefault="00F140FD" w:rsidP="006D6DCD">
      <w:pPr>
        <w:pStyle w:val="ListParagraph"/>
        <w:jc w:val="both"/>
        <w:rPr>
          <w:rFonts w:ascii="Times New Roman" w:hAnsi="Times New Roman" w:cs="Times New Roman"/>
          <w:b/>
          <w:i/>
        </w:rPr>
      </w:pPr>
    </w:p>
    <w:tbl>
      <w:tblPr>
        <w:tblW w:w="9359" w:type="dxa"/>
        <w:tblInd w:w="108" w:type="dxa"/>
        <w:tblCellMar>
          <w:left w:w="0" w:type="dxa"/>
          <w:right w:w="0" w:type="dxa"/>
        </w:tblCellMar>
        <w:tblLook w:val="0440" w:firstRow="0" w:lastRow="1" w:firstColumn="0" w:lastColumn="0" w:noHBand="0" w:noVBand="1"/>
      </w:tblPr>
      <w:tblGrid>
        <w:gridCol w:w="6119"/>
        <w:gridCol w:w="3240"/>
      </w:tblGrid>
      <w:tr w:rsidR="00A51748" w:rsidRPr="00A51748" w14:paraId="373D6315" w14:textId="77777777" w:rsidTr="00AC1C46">
        <w:trPr>
          <w:trHeight w:val="483"/>
        </w:trPr>
        <w:tc>
          <w:tcPr>
            <w:tcW w:w="6119" w:type="dxa"/>
            <w:tcBorders>
              <w:top w:val="single" w:sz="8" w:space="0" w:color="0097A7"/>
              <w:left w:val="single" w:sz="8" w:space="0" w:color="0097A7"/>
              <w:bottom w:val="single" w:sz="8" w:space="0" w:color="0097A7"/>
              <w:right w:val="nil"/>
            </w:tcBorders>
            <w:shd w:val="clear" w:color="auto" w:fill="E7EFF1"/>
            <w:tcMar>
              <w:top w:w="15" w:type="dxa"/>
              <w:left w:w="108" w:type="dxa"/>
              <w:bottom w:w="0" w:type="dxa"/>
              <w:right w:w="108" w:type="dxa"/>
            </w:tcMar>
            <w:vAlign w:val="center"/>
            <w:hideMark/>
          </w:tcPr>
          <w:p w14:paraId="18CB71C5" w14:textId="2EBC45A2" w:rsidR="0030342C" w:rsidRPr="00A51748" w:rsidRDefault="0030342C" w:rsidP="006D6DCD">
            <w:pPr>
              <w:pStyle w:val="Para1"/>
              <w:numPr>
                <w:ilvl w:val="0"/>
                <w:numId w:val="0"/>
              </w:numPr>
              <w:spacing w:before="0"/>
              <w:rPr>
                <w:rFonts w:cs="Times New Roman"/>
                <w:bCs w:val="0"/>
                <w:iCs/>
                <w:snapToGrid w:val="0"/>
                <w:kern w:val="22"/>
                <w:sz w:val="21"/>
                <w:szCs w:val="21"/>
                <w:lang w:val="en-CA"/>
              </w:rPr>
            </w:pPr>
            <w:r w:rsidRPr="00A51748">
              <w:rPr>
                <w:rFonts w:cs="Times New Roman"/>
                <w:bCs w:val="0"/>
                <w:iCs/>
                <w:snapToGrid w:val="0"/>
                <w:kern w:val="22"/>
                <w:sz w:val="21"/>
                <w:szCs w:val="21"/>
                <w:lang w:val="en-CA"/>
              </w:rPr>
              <w:t>Protected areas (per WDPA September 2019)</w:t>
            </w:r>
          </w:p>
        </w:tc>
        <w:tc>
          <w:tcPr>
            <w:tcW w:w="3240" w:type="dxa"/>
            <w:tcBorders>
              <w:top w:val="single" w:sz="8" w:space="0" w:color="0097A7"/>
              <w:left w:val="nil"/>
              <w:bottom w:val="single" w:sz="8" w:space="0" w:color="0097A7"/>
              <w:right w:val="single" w:sz="8" w:space="0" w:color="0097A7"/>
            </w:tcBorders>
            <w:shd w:val="clear" w:color="auto" w:fill="E7EFF1"/>
            <w:tcMar>
              <w:top w:w="15" w:type="dxa"/>
              <w:left w:w="108" w:type="dxa"/>
              <w:bottom w:w="0" w:type="dxa"/>
              <w:right w:w="108" w:type="dxa"/>
            </w:tcMar>
            <w:vAlign w:val="center"/>
            <w:hideMark/>
          </w:tcPr>
          <w:p w14:paraId="4FD8478A" w14:textId="77777777" w:rsidR="0030342C" w:rsidRPr="00A51748" w:rsidRDefault="0030342C" w:rsidP="006D6DCD">
            <w:pPr>
              <w:pStyle w:val="Para1"/>
              <w:numPr>
                <w:ilvl w:val="0"/>
                <w:numId w:val="0"/>
              </w:numPr>
              <w:spacing w:before="0"/>
              <w:rPr>
                <w:rFonts w:cs="Times New Roman"/>
                <w:bCs w:val="0"/>
                <w:iCs/>
                <w:snapToGrid w:val="0"/>
                <w:kern w:val="22"/>
                <w:sz w:val="21"/>
                <w:szCs w:val="21"/>
                <w:lang w:val="en-CA"/>
              </w:rPr>
            </w:pPr>
            <w:r w:rsidRPr="00A51748">
              <w:rPr>
                <w:rFonts w:cs="Times New Roman"/>
                <w:bCs w:val="0"/>
                <w:iCs/>
                <w:snapToGrid w:val="0"/>
                <w:kern w:val="22"/>
                <w:sz w:val="21"/>
                <w:szCs w:val="21"/>
                <w:lang w:val="en-CA"/>
              </w:rPr>
              <w:t>15.0%</w:t>
            </w:r>
          </w:p>
        </w:tc>
      </w:tr>
      <w:tr w:rsidR="00A51748" w:rsidRPr="00A51748" w14:paraId="2A7C1B52" w14:textId="77777777" w:rsidTr="00AC1C46">
        <w:trPr>
          <w:trHeight w:val="532"/>
        </w:trPr>
        <w:tc>
          <w:tcPr>
            <w:tcW w:w="6119" w:type="dxa"/>
            <w:tcBorders>
              <w:top w:val="single" w:sz="8" w:space="0" w:color="0097A7"/>
              <w:left w:val="single" w:sz="8" w:space="0" w:color="0097A7"/>
              <w:bottom w:val="single" w:sz="8" w:space="0" w:color="0097A7"/>
              <w:right w:val="nil"/>
            </w:tcBorders>
            <w:shd w:val="clear" w:color="auto" w:fill="auto"/>
            <w:tcMar>
              <w:top w:w="15" w:type="dxa"/>
              <w:left w:w="108" w:type="dxa"/>
              <w:bottom w:w="0" w:type="dxa"/>
              <w:right w:w="108" w:type="dxa"/>
            </w:tcMar>
            <w:vAlign w:val="center"/>
            <w:hideMark/>
          </w:tcPr>
          <w:p w14:paraId="5D2675DE" w14:textId="3B39C85B" w:rsidR="0030342C" w:rsidRPr="00A51748" w:rsidRDefault="0030342C" w:rsidP="006D6DCD">
            <w:pPr>
              <w:pStyle w:val="Para1"/>
              <w:numPr>
                <w:ilvl w:val="0"/>
                <w:numId w:val="0"/>
              </w:numPr>
              <w:spacing w:before="0"/>
              <w:rPr>
                <w:rFonts w:cs="Times New Roman"/>
                <w:bCs w:val="0"/>
                <w:iCs/>
                <w:snapToGrid w:val="0"/>
                <w:kern w:val="22"/>
                <w:sz w:val="21"/>
                <w:szCs w:val="21"/>
                <w:lang w:val="en-CA"/>
              </w:rPr>
            </w:pPr>
            <w:r w:rsidRPr="00A51748">
              <w:rPr>
                <w:rFonts w:cs="Times New Roman"/>
                <w:bCs w:val="0"/>
                <w:iCs/>
                <w:snapToGrid w:val="0"/>
                <w:kern w:val="22"/>
                <w:sz w:val="21"/>
                <w:szCs w:val="21"/>
                <w:lang w:val="en-CA"/>
              </w:rPr>
              <w:t>National Commitments</w:t>
            </w:r>
            <w:r w:rsidR="00AC1C46" w:rsidRPr="00A51748">
              <w:rPr>
                <w:rFonts w:cs="Times New Roman"/>
                <w:bCs w:val="0"/>
                <w:iCs/>
                <w:snapToGrid w:val="0"/>
                <w:kern w:val="22"/>
                <w:sz w:val="21"/>
                <w:szCs w:val="21"/>
                <w:lang w:val="en-CA"/>
              </w:rPr>
              <w:t xml:space="preserve"> </w:t>
            </w:r>
            <w:r w:rsidRPr="00A51748">
              <w:rPr>
                <w:rFonts w:cs="Times New Roman"/>
                <w:bCs w:val="0"/>
                <w:iCs/>
                <w:snapToGrid w:val="0"/>
                <w:kern w:val="22"/>
                <w:sz w:val="21"/>
                <w:szCs w:val="21"/>
                <w:lang w:val="en-CA"/>
              </w:rPr>
              <w:t>(as of July 2019)</w:t>
            </w:r>
          </w:p>
        </w:tc>
        <w:tc>
          <w:tcPr>
            <w:tcW w:w="3240" w:type="dxa"/>
            <w:tcBorders>
              <w:top w:val="single" w:sz="8" w:space="0" w:color="0097A7"/>
              <w:left w:val="nil"/>
              <w:bottom w:val="single" w:sz="8" w:space="0" w:color="0097A7"/>
              <w:right w:val="single" w:sz="8" w:space="0" w:color="0097A7"/>
            </w:tcBorders>
            <w:shd w:val="clear" w:color="auto" w:fill="auto"/>
            <w:tcMar>
              <w:top w:w="15" w:type="dxa"/>
              <w:left w:w="108" w:type="dxa"/>
              <w:bottom w:w="0" w:type="dxa"/>
              <w:right w:w="108" w:type="dxa"/>
            </w:tcMar>
            <w:vAlign w:val="center"/>
            <w:hideMark/>
          </w:tcPr>
          <w:p w14:paraId="2784BE0F" w14:textId="77777777" w:rsidR="0030342C" w:rsidRPr="00A51748" w:rsidRDefault="0030342C" w:rsidP="006D6DCD">
            <w:pPr>
              <w:pStyle w:val="Para1"/>
              <w:numPr>
                <w:ilvl w:val="0"/>
                <w:numId w:val="0"/>
              </w:numPr>
              <w:spacing w:before="0"/>
              <w:rPr>
                <w:rFonts w:cs="Times New Roman"/>
                <w:bCs w:val="0"/>
                <w:iCs/>
                <w:snapToGrid w:val="0"/>
                <w:kern w:val="22"/>
                <w:sz w:val="21"/>
                <w:szCs w:val="21"/>
                <w:lang w:val="en-CA"/>
              </w:rPr>
            </w:pPr>
            <w:r w:rsidRPr="00A51748">
              <w:rPr>
                <w:rFonts w:cs="Times New Roman"/>
                <w:bCs w:val="0"/>
                <w:iCs/>
                <w:snapToGrid w:val="0"/>
                <w:kern w:val="22"/>
                <w:sz w:val="21"/>
                <w:szCs w:val="21"/>
                <w:lang w:val="en-CA"/>
              </w:rPr>
              <w:t>3.3%</w:t>
            </w:r>
          </w:p>
        </w:tc>
      </w:tr>
      <w:tr w:rsidR="00A51748" w:rsidRPr="00A51748" w14:paraId="5F34098E" w14:textId="77777777" w:rsidTr="00AC1C46">
        <w:trPr>
          <w:trHeight w:val="681"/>
        </w:trPr>
        <w:tc>
          <w:tcPr>
            <w:tcW w:w="6119" w:type="dxa"/>
            <w:tcBorders>
              <w:top w:val="single" w:sz="8" w:space="0" w:color="0097A7"/>
              <w:left w:val="single" w:sz="8" w:space="0" w:color="0097A7"/>
              <w:bottom w:val="single" w:sz="8" w:space="0" w:color="0097A7"/>
              <w:right w:val="nil"/>
            </w:tcBorders>
            <w:shd w:val="clear" w:color="auto" w:fill="E7EFF1"/>
            <w:tcMar>
              <w:top w:w="15" w:type="dxa"/>
              <w:left w:w="108" w:type="dxa"/>
              <w:bottom w:w="0" w:type="dxa"/>
              <w:right w:w="108" w:type="dxa"/>
            </w:tcMar>
            <w:vAlign w:val="center"/>
            <w:hideMark/>
          </w:tcPr>
          <w:p w14:paraId="4A04D3C5" w14:textId="44840E7C" w:rsidR="0030342C" w:rsidRPr="00A51748" w:rsidRDefault="0030342C" w:rsidP="006D6DCD">
            <w:pPr>
              <w:pStyle w:val="Para1"/>
              <w:numPr>
                <w:ilvl w:val="0"/>
                <w:numId w:val="0"/>
              </w:numPr>
              <w:spacing w:before="0"/>
              <w:rPr>
                <w:rFonts w:cs="Times New Roman"/>
                <w:bCs w:val="0"/>
                <w:iCs/>
                <w:snapToGrid w:val="0"/>
                <w:kern w:val="22"/>
                <w:sz w:val="21"/>
                <w:szCs w:val="21"/>
                <w:lang w:val="en-CA"/>
              </w:rPr>
            </w:pPr>
            <w:r w:rsidRPr="00A51748">
              <w:rPr>
                <w:rFonts w:cs="Times New Roman"/>
                <w:bCs w:val="0"/>
                <w:iCs/>
                <w:snapToGrid w:val="0"/>
                <w:kern w:val="22"/>
                <w:sz w:val="21"/>
                <w:szCs w:val="21"/>
                <w:lang w:val="en-CA"/>
              </w:rPr>
              <w:t>Privately Protected Areas (not likely in WDPA)</w:t>
            </w:r>
            <w:r w:rsidR="00AC1C46" w:rsidRPr="00A51748">
              <w:rPr>
                <w:rFonts w:cs="Times New Roman"/>
                <w:bCs w:val="0"/>
                <w:iCs/>
                <w:snapToGrid w:val="0"/>
                <w:kern w:val="22"/>
                <w:sz w:val="21"/>
                <w:szCs w:val="21"/>
                <w:lang w:val="en-CA"/>
              </w:rPr>
              <w:t xml:space="preserve"> </w:t>
            </w:r>
            <w:r w:rsidRPr="00A51748">
              <w:rPr>
                <w:rFonts w:cs="Times New Roman"/>
                <w:bCs w:val="0"/>
                <w:iCs/>
                <w:snapToGrid w:val="0"/>
                <w:kern w:val="22"/>
                <w:sz w:val="21"/>
                <w:szCs w:val="21"/>
                <w:lang w:val="en-CA"/>
              </w:rPr>
              <w:t>from 16 countries (Stolton et al  2014)</w:t>
            </w:r>
          </w:p>
        </w:tc>
        <w:tc>
          <w:tcPr>
            <w:tcW w:w="3240" w:type="dxa"/>
            <w:tcBorders>
              <w:top w:val="single" w:sz="8" w:space="0" w:color="0097A7"/>
              <w:left w:val="nil"/>
              <w:bottom w:val="single" w:sz="8" w:space="0" w:color="0097A7"/>
              <w:right w:val="single" w:sz="8" w:space="0" w:color="0097A7"/>
            </w:tcBorders>
            <w:shd w:val="clear" w:color="auto" w:fill="E7EFF1"/>
            <w:tcMar>
              <w:top w:w="15" w:type="dxa"/>
              <w:left w:w="108" w:type="dxa"/>
              <w:bottom w:w="0" w:type="dxa"/>
              <w:right w:w="108" w:type="dxa"/>
            </w:tcMar>
            <w:vAlign w:val="center"/>
            <w:hideMark/>
          </w:tcPr>
          <w:p w14:paraId="363D0D4D" w14:textId="77777777" w:rsidR="0030342C" w:rsidRPr="00A51748" w:rsidRDefault="0030342C" w:rsidP="006D6DCD">
            <w:pPr>
              <w:pStyle w:val="Para1"/>
              <w:numPr>
                <w:ilvl w:val="0"/>
                <w:numId w:val="0"/>
              </w:numPr>
              <w:spacing w:before="0"/>
              <w:rPr>
                <w:rFonts w:cs="Times New Roman"/>
                <w:bCs w:val="0"/>
                <w:iCs/>
                <w:snapToGrid w:val="0"/>
                <w:kern w:val="22"/>
                <w:sz w:val="21"/>
                <w:szCs w:val="21"/>
                <w:lang w:val="en-CA"/>
              </w:rPr>
            </w:pPr>
            <w:r w:rsidRPr="00A51748">
              <w:rPr>
                <w:rFonts w:cs="Times New Roman"/>
                <w:bCs w:val="0"/>
                <w:iCs/>
                <w:snapToGrid w:val="0"/>
                <w:kern w:val="22"/>
                <w:sz w:val="21"/>
                <w:szCs w:val="21"/>
                <w:lang w:val="en-CA"/>
              </w:rPr>
              <w:t>0.1%</w:t>
            </w:r>
          </w:p>
        </w:tc>
      </w:tr>
      <w:tr w:rsidR="00A51748" w:rsidRPr="00A51748" w14:paraId="2BFF4EAE" w14:textId="77777777" w:rsidTr="00AC1C46">
        <w:trPr>
          <w:trHeight w:val="622"/>
        </w:trPr>
        <w:tc>
          <w:tcPr>
            <w:tcW w:w="6119" w:type="dxa"/>
            <w:tcBorders>
              <w:top w:val="single" w:sz="8" w:space="0" w:color="0097A7"/>
              <w:left w:val="single" w:sz="8" w:space="0" w:color="0097A7"/>
              <w:bottom w:val="single" w:sz="8" w:space="0" w:color="0097A7"/>
              <w:right w:val="nil"/>
            </w:tcBorders>
            <w:shd w:val="clear" w:color="auto" w:fill="auto"/>
            <w:tcMar>
              <w:top w:w="15" w:type="dxa"/>
              <w:left w:w="108" w:type="dxa"/>
              <w:bottom w:w="0" w:type="dxa"/>
              <w:right w:w="108" w:type="dxa"/>
            </w:tcMar>
            <w:vAlign w:val="center"/>
            <w:hideMark/>
          </w:tcPr>
          <w:p w14:paraId="69846E49" w14:textId="3C7A5BAF" w:rsidR="0030342C" w:rsidRPr="00A51748" w:rsidRDefault="0030342C" w:rsidP="006D6DCD">
            <w:pPr>
              <w:pStyle w:val="Para1"/>
              <w:numPr>
                <w:ilvl w:val="0"/>
                <w:numId w:val="0"/>
              </w:numPr>
              <w:spacing w:before="0"/>
              <w:rPr>
                <w:rFonts w:cs="Times New Roman"/>
                <w:bCs w:val="0"/>
                <w:iCs/>
                <w:snapToGrid w:val="0"/>
                <w:kern w:val="22"/>
                <w:sz w:val="21"/>
                <w:szCs w:val="21"/>
                <w:lang w:val="en-CA"/>
              </w:rPr>
            </w:pPr>
            <w:r w:rsidRPr="00A51748">
              <w:rPr>
                <w:rFonts w:cs="Times New Roman"/>
                <w:bCs w:val="0"/>
                <w:iCs/>
                <w:snapToGrid w:val="0"/>
                <w:kern w:val="22"/>
                <w:sz w:val="21"/>
                <w:szCs w:val="21"/>
                <w:lang w:val="en-CA"/>
              </w:rPr>
              <w:t>ICCAs (not likely in WDPA)</w:t>
            </w:r>
            <w:r w:rsidR="00AC1C46" w:rsidRPr="00A51748">
              <w:rPr>
                <w:rFonts w:cs="Times New Roman"/>
                <w:bCs w:val="0"/>
                <w:iCs/>
                <w:snapToGrid w:val="0"/>
                <w:kern w:val="22"/>
                <w:sz w:val="21"/>
                <w:szCs w:val="21"/>
                <w:lang w:val="en-CA"/>
              </w:rPr>
              <w:t xml:space="preserve"> </w:t>
            </w:r>
            <w:r w:rsidRPr="00A51748">
              <w:rPr>
                <w:rFonts w:cs="Times New Roman"/>
                <w:bCs w:val="0"/>
                <w:iCs/>
                <w:snapToGrid w:val="0"/>
                <w:kern w:val="22"/>
                <w:sz w:val="21"/>
                <w:szCs w:val="21"/>
                <w:lang w:val="en-CA"/>
              </w:rPr>
              <w:t>from 37 countries (Kothari et al  2012)</w:t>
            </w:r>
          </w:p>
        </w:tc>
        <w:tc>
          <w:tcPr>
            <w:tcW w:w="3240" w:type="dxa"/>
            <w:tcBorders>
              <w:top w:val="single" w:sz="8" w:space="0" w:color="0097A7"/>
              <w:left w:val="nil"/>
              <w:bottom w:val="single" w:sz="8" w:space="0" w:color="0097A7"/>
              <w:right w:val="single" w:sz="8" w:space="0" w:color="0097A7"/>
            </w:tcBorders>
            <w:shd w:val="clear" w:color="auto" w:fill="auto"/>
            <w:tcMar>
              <w:top w:w="15" w:type="dxa"/>
              <w:left w:w="108" w:type="dxa"/>
              <w:bottom w:w="0" w:type="dxa"/>
              <w:right w:w="108" w:type="dxa"/>
            </w:tcMar>
            <w:vAlign w:val="center"/>
            <w:hideMark/>
          </w:tcPr>
          <w:p w14:paraId="1887C78E" w14:textId="77777777" w:rsidR="0030342C" w:rsidRPr="00A51748" w:rsidRDefault="0030342C" w:rsidP="006D6DCD">
            <w:pPr>
              <w:pStyle w:val="Para1"/>
              <w:numPr>
                <w:ilvl w:val="0"/>
                <w:numId w:val="0"/>
              </w:numPr>
              <w:spacing w:before="0"/>
              <w:rPr>
                <w:rFonts w:cs="Times New Roman"/>
                <w:bCs w:val="0"/>
                <w:iCs/>
                <w:snapToGrid w:val="0"/>
                <w:kern w:val="22"/>
                <w:sz w:val="21"/>
                <w:szCs w:val="21"/>
                <w:lang w:val="en-CA"/>
              </w:rPr>
            </w:pPr>
            <w:r w:rsidRPr="00A51748">
              <w:rPr>
                <w:rFonts w:cs="Times New Roman"/>
                <w:bCs w:val="0"/>
                <w:iCs/>
                <w:snapToGrid w:val="0"/>
                <w:kern w:val="22"/>
                <w:sz w:val="21"/>
                <w:szCs w:val="21"/>
                <w:lang w:val="en-CA"/>
              </w:rPr>
              <w:t>0.2%-0.7%</w:t>
            </w:r>
          </w:p>
        </w:tc>
      </w:tr>
      <w:tr w:rsidR="00A51748" w:rsidRPr="00A51748" w14:paraId="44F67FEE" w14:textId="77777777" w:rsidTr="00AC1C46">
        <w:trPr>
          <w:trHeight w:val="1099"/>
        </w:trPr>
        <w:tc>
          <w:tcPr>
            <w:tcW w:w="6119" w:type="dxa"/>
            <w:tcBorders>
              <w:top w:val="single" w:sz="8" w:space="0" w:color="0097A7"/>
              <w:left w:val="single" w:sz="8" w:space="0" w:color="0097A7"/>
              <w:bottom w:val="single" w:sz="8" w:space="0" w:color="0097A7"/>
              <w:right w:val="nil"/>
            </w:tcBorders>
            <w:shd w:val="clear" w:color="auto" w:fill="E7EFF1"/>
            <w:tcMar>
              <w:top w:w="15" w:type="dxa"/>
              <w:left w:w="108" w:type="dxa"/>
              <w:bottom w:w="0" w:type="dxa"/>
              <w:right w:w="108" w:type="dxa"/>
            </w:tcMar>
            <w:vAlign w:val="center"/>
            <w:hideMark/>
          </w:tcPr>
          <w:p w14:paraId="778DF0DC" w14:textId="5AB5EA0D" w:rsidR="0030342C" w:rsidRPr="00A51748" w:rsidRDefault="0030342C" w:rsidP="006D6DCD">
            <w:pPr>
              <w:pStyle w:val="Para1"/>
              <w:numPr>
                <w:ilvl w:val="0"/>
                <w:numId w:val="0"/>
              </w:numPr>
              <w:spacing w:before="0"/>
              <w:rPr>
                <w:rFonts w:cs="Times New Roman"/>
                <w:bCs w:val="0"/>
                <w:iCs/>
                <w:snapToGrid w:val="0"/>
                <w:kern w:val="22"/>
                <w:sz w:val="21"/>
                <w:szCs w:val="21"/>
                <w:lang w:val="en-CA"/>
              </w:rPr>
            </w:pPr>
            <w:r w:rsidRPr="00A51748">
              <w:rPr>
                <w:rFonts w:cs="Times New Roman"/>
                <w:bCs w:val="0"/>
                <w:iCs/>
                <w:snapToGrid w:val="0"/>
                <w:kern w:val="22"/>
                <w:sz w:val="21"/>
                <w:szCs w:val="21"/>
                <w:lang w:val="en-US"/>
              </w:rPr>
              <w:t xml:space="preserve">Area that Indigenous Peoples manage or have tenure rights over, </w:t>
            </w:r>
            <w:r w:rsidRPr="00A51748">
              <w:rPr>
                <w:rFonts w:cs="Times New Roman"/>
                <w:bCs w:val="0"/>
                <w:iCs/>
                <w:snapToGrid w:val="0"/>
                <w:kern w:val="22"/>
                <w:sz w:val="21"/>
                <w:szCs w:val="21"/>
                <w:lang w:val="en-CA"/>
              </w:rPr>
              <w:t>outside of reported PAs</w:t>
            </w:r>
            <w:r w:rsidR="00AC1C46" w:rsidRPr="00A51748">
              <w:rPr>
                <w:rFonts w:cs="Times New Roman"/>
                <w:bCs w:val="0"/>
                <w:iCs/>
                <w:snapToGrid w:val="0"/>
                <w:kern w:val="22"/>
                <w:sz w:val="21"/>
                <w:szCs w:val="21"/>
                <w:lang w:val="en-CA"/>
              </w:rPr>
              <w:t xml:space="preserve"> </w:t>
            </w:r>
            <w:r w:rsidRPr="00A51748">
              <w:rPr>
                <w:rFonts w:cs="Times New Roman"/>
                <w:bCs w:val="0"/>
                <w:iCs/>
                <w:snapToGrid w:val="0"/>
                <w:kern w:val="22"/>
                <w:sz w:val="21"/>
                <w:szCs w:val="21"/>
                <w:lang w:val="en-CA"/>
              </w:rPr>
              <w:t>(per Garnett et al 2018)</w:t>
            </w:r>
          </w:p>
        </w:tc>
        <w:tc>
          <w:tcPr>
            <w:tcW w:w="3240" w:type="dxa"/>
            <w:tcBorders>
              <w:top w:val="single" w:sz="8" w:space="0" w:color="0097A7"/>
              <w:left w:val="nil"/>
              <w:bottom w:val="single" w:sz="8" w:space="0" w:color="0097A7"/>
              <w:right w:val="single" w:sz="8" w:space="0" w:color="0097A7"/>
            </w:tcBorders>
            <w:shd w:val="clear" w:color="auto" w:fill="E7EFF1"/>
            <w:tcMar>
              <w:top w:w="15" w:type="dxa"/>
              <w:left w:w="108" w:type="dxa"/>
              <w:bottom w:w="0" w:type="dxa"/>
              <w:right w:w="108" w:type="dxa"/>
            </w:tcMar>
            <w:vAlign w:val="center"/>
            <w:hideMark/>
          </w:tcPr>
          <w:p w14:paraId="1B5E213C" w14:textId="43C7BB49" w:rsidR="0030342C" w:rsidRPr="00A51748" w:rsidRDefault="008E5FC2" w:rsidP="006D6DCD">
            <w:pPr>
              <w:pStyle w:val="Para1"/>
              <w:numPr>
                <w:ilvl w:val="0"/>
                <w:numId w:val="0"/>
              </w:numPr>
              <w:spacing w:before="0"/>
              <w:rPr>
                <w:rFonts w:cs="Times New Roman"/>
                <w:bCs w:val="0"/>
                <w:iCs/>
                <w:snapToGrid w:val="0"/>
                <w:kern w:val="22"/>
                <w:sz w:val="21"/>
                <w:szCs w:val="21"/>
                <w:lang w:val="en-CA"/>
              </w:rPr>
            </w:pPr>
            <w:r>
              <w:rPr>
                <w:rFonts w:cs="Times New Roman"/>
                <w:bCs w:val="0"/>
                <w:iCs/>
                <w:snapToGrid w:val="0"/>
                <w:kern w:val="22"/>
                <w:sz w:val="21"/>
                <w:szCs w:val="21"/>
                <w:lang w:val="en-CA"/>
              </w:rPr>
              <w:t>5.6 %</w:t>
            </w:r>
          </w:p>
          <w:p w14:paraId="052DB146" w14:textId="58A0D361" w:rsidR="0030342C" w:rsidRPr="00A51748" w:rsidRDefault="0030342C" w:rsidP="006D6DCD">
            <w:pPr>
              <w:pStyle w:val="Para1"/>
              <w:numPr>
                <w:ilvl w:val="0"/>
                <w:numId w:val="0"/>
              </w:numPr>
              <w:spacing w:before="0"/>
              <w:rPr>
                <w:rFonts w:cs="Times New Roman"/>
                <w:bCs w:val="0"/>
                <w:iCs/>
                <w:snapToGrid w:val="0"/>
                <w:kern w:val="22"/>
                <w:sz w:val="21"/>
                <w:szCs w:val="21"/>
                <w:lang w:val="en-CA"/>
              </w:rPr>
            </w:pPr>
            <w:r w:rsidRPr="00A51748">
              <w:rPr>
                <w:rFonts w:cs="Times New Roman"/>
                <w:bCs w:val="0"/>
                <w:iCs/>
                <w:snapToGrid w:val="0"/>
                <w:kern w:val="22"/>
                <w:sz w:val="21"/>
                <w:szCs w:val="21"/>
                <w:lang w:val="en-CA"/>
              </w:rPr>
              <w:t>(</w:t>
            </w:r>
            <w:r w:rsidR="008E5FC2">
              <w:rPr>
                <w:rFonts w:cs="Times New Roman"/>
                <w:bCs w:val="0"/>
                <w:iCs/>
                <w:snapToGrid w:val="0"/>
                <w:kern w:val="22"/>
                <w:sz w:val="21"/>
                <w:szCs w:val="21"/>
                <w:lang w:val="en-CA"/>
              </w:rPr>
              <w:t>assuming 1</w:t>
            </w:r>
            <w:r w:rsidRPr="00A51748">
              <w:rPr>
                <w:rFonts w:cs="Times New Roman"/>
                <w:bCs w:val="0"/>
                <w:iCs/>
                <w:snapToGrid w:val="0"/>
                <w:kern w:val="22"/>
                <w:sz w:val="21"/>
                <w:szCs w:val="21"/>
                <w:lang w:val="en-CA"/>
              </w:rPr>
              <w:t>/4</w:t>
            </w:r>
            <w:r w:rsidRPr="00A51748">
              <w:rPr>
                <w:rFonts w:cs="Times New Roman"/>
                <w:bCs w:val="0"/>
                <w:iCs/>
                <w:snapToGrid w:val="0"/>
                <w:kern w:val="22"/>
                <w:sz w:val="21"/>
                <w:szCs w:val="21"/>
                <w:vertAlign w:val="superscript"/>
                <w:lang w:val="en-CA"/>
              </w:rPr>
              <w:t>th</w:t>
            </w:r>
            <w:r w:rsidR="008E5FC2">
              <w:rPr>
                <w:rFonts w:cs="Times New Roman"/>
                <w:bCs w:val="0"/>
                <w:iCs/>
                <w:snapToGrid w:val="0"/>
                <w:kern w:val="22"/>
                <w:sz w:val="21"/>
                <w:szCs w:val="21"/>
                <w:lang w:val="en-CA"/>
              </w:rPr>
              <w:t xml:space="preserve"> of t</w:t>
            </w:r>
            <w:r w:rsidRPr="00A51748">
              <w:rPr>
                <w:rFonts w:cs="Times New Roman"/>
                <w:bCs w:val="0"/>
                <w:iCs/>
                <w:snapToGrid w:val="0"/>
                <w:kern w:val="22"/>
                <w:sz w:val="21"/>
                <w:szCs w:val="21"/>
                <w:lang w:val="en-CA"/>
              </w:rPr>
              <w:t xml:space="preserve">his </w:t>
            </w:r>
            <w:r w:rsidR="008E5FC2">
              <w:rPr>
                <w:rFonts w:cs="Times New Roman"/>
                <w:bCs w:val="0"/>
                <w:iCs/>
                <w:snapToGrid w:val="0"/>
                <w:kern w:val="22"/>
                <w:sz w:val="21"/>
                <w:szCs w:val="21"/>
                <w:lang w:val="en-CA"/>
              </w:rPr>
              <w:t>area [22.3% of land area] is</w:t>
            </w:r>
            <w:r w:rsidRPr="00A51748">
              <w:rPr>
                <w:rFonts w:cs="Times New Roman"/>
                <w:bCs w:val="0"/>
                <w:iCs/>
                <w:snapToGrid w:val="0"/>
                <w:kern w:val="22"/>
                <w:sz w:val="21"/>
                <w:szCs w:val="21"/>
                <w:lang w:val="en-CA"/>
              </w:rPr>
              <w:t xml:space="preserve"> considered as ICCAs</w:t>
            </w:r>
            <w:r w:rsidR="00AC1C46" w:rsidRPr="00A51748">
              <w:rPr>
                <w:rFonts w:cs="Times New Roman"/>
                <w:bCs w:val="0"/>
                <w:iCs/>
                <w:snapToGrid w:val="0"/>
                <w:kern w:val="22"/>
                <w:sz w:val="21"/>
                <w:szCs w:val="21"/>
                <w:lang w:val="en-CA"/>
              </w:rPr>
              <w:t>/</w:t>
            </w:r>
            <w:r w:rsidR="008E5FC2">
              <w:rPr>
                <w:rFonts w:cs="Times New Roman"/>
                <w:bCs w:val="0"/>
                <w:iCs/>
                <w:snapToGrid w:val="0"/>
                <w:kern w:val="22"/>
                <w:sz w:val="21"/>
                <w:szCs w:val="21"/>
                <w:lang w:val="en-CA"/>
              </w:rPr>
              <w:t>OECMs</w:t>
            </w:r>
            <w:r w:rsidRPr="00A51748">
              <w:rPr>
                <w:rFonts w:cs="Times New Roman"/>
                <w:bCs w:val="0"/>
                <w:iCs/>
                <w:snapToGrid w:val="0"/>
                <w:kern w:val="22"/>
                <w:sz w:val="21"/>
                <w:szCs w:val="21"/>
                <w:lang w:val="en-CA"/>
              </w:rPr>
              <w:t>)</w:t>
            </w:r>
          </w:p>
        </w:tc>
      </w:tr>
      <w:tr w:rsidR="00A51748" w:rsidRPr="00A51748" w14:paraId="409F669B" w14:textId="77777777" w:rsidTr="00AC1C46">
        <w:trPr>
          <w:trHeight w:val="1175"/>
        </w:trPr>
        <w:tc>
          <w:tcPr>
            <w:tcW w:w="6119" w:type="dxa"/>
            <w:tcBorders>
              <w:top w:val="single" w:sz="8" w:space="0" w:color="0097A7"/>
              <w:left w:val="single" w:sz="8" w:space="0" w:color="0097A7"/>
              <w:bottom w:val="double" w:sz="12" w:space="0" w:color="0097A7"/>
              <w:right w:val="nil"/>
            </w:tcBorders>
            <w:shd w:val="clear" w:color="auto" w:fill="auto"/>
            <w:tcMar>
              <w:top w:w="15" w:type="dxa"/>
              <w:left w:w="108" w:type="dxa"/>
              <w:bottom w:w="0" w:type="dxa"/>
              <w:right w:w="108" w:type="dxa"/>
            </w:tcMar>
            <w:vAlign w:val="center"/>
            <w:hideMark/>
          </w:tcPr>
          <w:p w14:paraId="3F969B76" w14:textId="1E97E475" w:rsidR="0030342C" w:rsidRPr="00A51748" w:rsidRDefault="0030342C" w:rsidP="006D6DCD">
            <w:pPr>
              <w:pStyle w:val="Para1"/>
              <w:numPr>
                <w:ilvl w:val="0"/>
                <w:numId w:val="0"/>
              </w:numPr>
              <w:spacing w:before="0"/>
              <w:rPr>
                <w:rFonts w:cs="Times New Roman"/>
                <w:bCs w:val="0"/>
                <w:iCs/>
                <w:snapToGrid w:val="0"/>
                <w:kern w:val="22"/>
                <w:sz w:val="21"/>
                <w:szCs w:val="21"/>
                <w:lang w:val="en-CA"/>
              </w:rPr>
            </w:pPr>
            <w:r w:rsidRPr="00A51748">
              <w:rPr>
                <w:rFonts w:cs="Times New Roman"/>
                <w:bCs w:val="0"/>
                <w:iCs/>
                <w:snapToGrid w:val="0"/>
                <w:kern w:val="22"/>
                <w:sz w:val="21"/>
                <w:szCs w:val="21"/>
                <w:lang w:val="en-CA"/>
              </w:rPr>
              <w:t>Other ABCM: e.g. OECMs (</w:t>
            </w:r>
            <w:r w:rsidRPr="00A51748">
              <w:rPr>
                <w:rFonts w:cs="Times New Roman"/>
                <w:bCs w:val="0"/>
                <w:i/>
                <w:snapToGrid w:val="0"/>
                <w:kern w:val="22"/>
                <w:sz w:val="21"/>
                <w:szCs w:val="21"/>
                <w:lang w:val="en-CA"/>
              </w:rPr>
              <w:t>inter alia</w:t>
            </w:r>
            <w:r w:rsidRPr="00A51748">
              <w:rPr>
                <w:rFonts w:cs="Times New Roman"/>
                <w:bCs w:val="0"/>
                <w:iCs/>
                <w:snapToGrid w:val="0"/>
                <w:kern w:val="22"/>
                <w:sz w:val="21"/>
                <w:szCs w:val="21"/>
                <w:lang w:val="en-CA"/>
              </w:rPr>
              <w:t xml:space="preserve"> military lands with secondary conservation objectives, watershed protection areas), ecological corridors, conservancies, buffer zones of some Biosphere Reserves, some high value conservation areas or fishery closures, etc.)</w:t>
            </w:r>
          </w:p>
        </w:tc>
        <w:tc>
          <w:tcPr>
            <w:tcW w:w="3240" w:type="dxa"/>
            <w:tcBorders>
              <w:top w:val="single" w:sz="8" w:space="0" w:color="0097A7"/>
              <w:left w:val="nil"/>
              <w:bottom w:val="double" w:sz="12" w:space="0" w:color="0097A7"/>
              <w:right w:val="single" w:sz="8" w:space="0" w:color="0097A7"/>
            </w:tcBorders>
            <w:shd w:val="clear" w:color="auto" w:fill="auto"/>
            <w:tcMar>
              <w:top w:w="15" w:type="dxa"/>
              <w:left w:w="108" w:type="dxa"/>
              <w:bottom w:w="0" w:type="dxa"/>
              <w:right w:w="108" w:type="dxa"/>
            </w:tcMar>
            <w:vAlign w:val="center"/>
            <w:hideMark/>
          </w:tcPr>
          <w:p w14:paraId="0FD6DB15" w14:textId="77777777" w:rsidR="0030342C" w:rsidRPr="00A51748" w:rsidRDefault="0030342C" w:rsidP="006D6DCD">
            <w:pPr>
              <w:pStyle w:val="Para1"/>
              <w:numPr>
                <w:ilvl w:val="0"/>
                <w:numId w:val="0"/>
              </w:numPr>
              <w:spacing w:before="0"/>
              <w:rPr>
                <w:rFonts w:cs="Times New Roman"/>
                <w:bCs w:val="0"/>
                <w:iCs/>
                <w:snapToGrid w:val="0"/>
                <w:kern w:val="22"/>
                <w:sz w:val="21"/>
                <w:szCs w:val="21"/>
                <w:lang w:val="en-CA"/>
              </w:rPr>
            </w:pPr>
            <w:r w:rsidRPr="00A51748">
              <w:rPr>
                <w:rFonts w:cs="Times New Roman"/>
                <w:bCs w:val="0"/>
                <w:iCs/>
                <w:snapToGrid w:val="0"/>
                <w:kern w:val="22"/>
                <w:sz w:val="21"/>
                <w:szCs w:val="21"/>
                <w:lang w:val="en-CA"/>
              </w:rPr>
              <w:t>??</w:t>
            </w:r>
          </w:p>
        </w:tc>
      </w:tr>
      <w:tr w:rsidR="00A51748" w:rsidRPr="00A51748" w14:paraId="72EA1812" w14:textId="77777777" w:rsidTr="00AC1C46">
        <w:trPr>
          <w:trHeight w:val="462"/>
        </w:trPr>
        <w:tc>
          <w:tcPr>
            <w:tcW w:w="6119" w:type="dxa"/>
            <w:tcBorders>
              <w:top w:val="double" w:sz="12" w:space="0" w:color="0097A7"/>
              <w:left w:val="single" w:sz="8" w:space="0" w:color="0097A7"/>
              <w:bottom w:val="single" w:sz="8" w:space="0" w:color="0097A7"/>
              <w:right w:val="nil"/>
            </w:tcBorders>
            <w:shd w:val="clear" w:color="auto" w:fill="8DB3E2" w:themeFill="text2" w:themeFillTint="66"/>
            <w:tcMar>
              <w:top w:w="15" w:type="dxa"/>
              <w:left w:w="108" w:type="dxa"/>
              <w:bottom w:w="0" w:type="dxa"/>
              <w:right w:w="108" w:type="dxa"/>
            </w:tcMar>
            <w:vAlign w:val="center"/>
            <w:hideMark/>
          </w:tcPr>
          <w:p w14:paraId="3E302811" w14:textId="77777777" w:rsidR="0030342C" w:rsidRPr="008E5FC2" w:rsidRDefault="0030342C" w:rsidP="006D6DCD">
            <w:pPr>
              <w:pStyle w:val="Para1"/>
              <w:numPr>
                <w:ilvl w:val="0"/>
                <w:numId w:val="0"/>
              </w:numPr>
              <w:spacing w:before="0"/>
              <w:rPr>
                <w:rFonts w:cs="Times New Roman"/>
                <w:b/>
                <w:i/>
                <w:snapToGrid w:val="0"/>
                <w:kern w:val="22"/>
                <w:szCs w:val="21"/>
                <w:lang w:val="en-CA"/>
              </w:rPr>
            </w:pPr>
            <w:r w:rsidRPr="008E5FC2">
              <w:rPr>
                <w:rFonts w:cs="Times New Roman"/>
                <w:b/>
                <w:i/>
                <w:snapToGrid w:val="0"/>
                <w:kern w:val="22"/>
                <w:szCs w:val="21"/>
                <w:lang w:val="en-CA"/>
              </w:rPr>
              <w:t>Total:</w:t>
            </w:r>
          </w:p>
        </w:tc>
        <w:tc>
          <w:tcPr>
            <w:tcW w:w="3240" w:type="dxa"/>
            <w:tcBorders>
              <w:top w:val="double" w:sz="12" w:space="0" w:color="0097A7"/>
              <w:left w:val="nil"/>
              <w:bottom w:val="single" w:sz="8" w:space="0" w:color="0097A7"/>
              <w:right w:val="single" w:sz="8" w:space="0" w:color="0097A7"/>
            </w:tcBorders>
            <w:shd w:val="clear" w:color="auto" w:fill="8DB3E2" w:themeFill="text2" w:themeFillTint="66"/>
            <w:tcMar>
              <w:top w:w="15" w:type="dxa"/>
              <w:left w:w="108" w:type="dxa"/>
              <w:bottom w:w="0" w:type="dxa"/>
              <w:right w:w="108" w:type="dxa"/>
            </w:tcMar>
            <w:vAlign w:val="center"/>
            <w:hideMark/>
          </w:tcPr>
          <w:p w14:paraId="587DF342" w14:textId="77777777" w:rsidR="0030342C" w:rsidRPr="008E5FC2" w:rsidRDefault="0030342C" w:rsidP="006D6DCD">
            <w:pPr>
              <w:pStyle w:val="Para1"/>
              <w:numPr>
                <w:ilvl w:val="0"/>
                <w:numId w:val="0"/>
              </w:numPr>
              <w:spacing w:before="0"/>
              <w:rPr>
                <w:rFonts w:cs="Times New Roman"/>
                <w:b/>
                <w:i/>
                <w:snapToGrid w:val="0"/>
                <w:kern w:val="22"/>
                <w:szCs w:val="21"/>
                <w:lang w:val="en-CA"/>
              </w:rPr>
            </w:pPr>
            <w:r w:rsidRPr="008E5FC2">
              <w:rPr>
                <w:rFonts w:cs="Times New Roman"/>
                <w:b/>
                <w:i/>
                <w:snapToGrid w:val="0"/>
                <w:kern w:val="22"/>
                <w:szCs w:val="21"/>
                <w:lang w:val="en-CA"/>
              </w:rPr>
              <w:t>24.2%</w:t>
            </w:r>
          </w:p>
        </w:tc>
      </w:tr>
    </w:tbl>
    <w:p w14:paraId="39F4975F" w14:textId="66A985CB" w:rsidR="0030342C" w:rsidRPr="00A51748" w:rsidRDefault="00284A69" w:rsidP="006D6DCD">
      <w:pPr>
        <w:pStyle w:val="Heading3"/>
        <w:numPr>
          <w:ilvl w:val="0"/>
          <w:numId w:val="0"/>
        </w:numPr>
        <w:spacing w:before="0"/>
        <w:ind w:left="720"/>
        <w:jc w:val="both"/>
        <w:rPr>
          <w:rStyle w:val="Strong"/>
          <w:b/>
          <w:iCs w:val="0"/>
          <w:snapToGrid w:val="0"/>
          <w:kern w:val="22"/>
        </w:rPr>
      </w:pPr>
      <w:r w:rsidRPr="00A51748">
        <w:rPr>
          <w:rStyle w:val="Strong"/>
          <w:b/>
          <w:iCs w:val="0"/>
          <w:snapToGrid w:val="0"/>
          <w:kern w:val="22"/>
        </w:rPr>
        <w:t xml:space="preserve">A. </w:t>
      </w:r>
      <w:r w:rsidR="0030342C" w:rsidRPr="00A51748">
        <w:rPr>
          <w:rStyle w:val="Strong"/>
          <w:b/>
          <w:iCs w:val="0"/>
          <w:snapToGrid w:val="0"/>
          <w:kern w:val="22"/>
        </w:rPr>
        <w:t>OECM</w:t>
      </w:r>
      <w:r w:rsidRPr="00A51748">
        <w:rPr>
          <w:rStyle w:val="Strong"/>
          <w:b/>
          <w:iCs w:val="0"/>
          <w:snapToGrid w:val="0"/>
          <w:kern w:val="22"/>
        </w:rPr>
        <w:t>s</w:t>
      </w:r>
    </w:p>
    <w:p w14:paraId="44D63F32" w14:textId="215720B7" w:rsidR="0030342C" w:rsidRPr="00A51748" w:rsidRDefault="00F34806" w:rsidP="006D6DCD">
      <w:pPr>
        <w:pStyle w:val="Para1"/>
        <w:numPr>
          <w:ilvl w:val="0"/>
          <w:numId w:val="0"/>
        </w:numPr>
        <w:spacing w:before="0"/>
        <w:ind w:firstLine="720"/>
        <w:rPr>
          <w:rFonts w:cs="Times New Roman"/>
          <w:snapToGrid w:val="0"/>
          <w:kern w:val="22"/>
          <w:lang w:val="en-CA"/>
        </w:rPr>
      </w:pPr>
      <w:r w:rsidRPr="00A51748">
        <w:rPr>
          <w:rFonts w:cs="Times New Roman"/>
          <w:snapToGrid w:val="0"/>
          <w:kern w:val="22"/>
          <w:lang w:val="en-US"/>
        </w:rPr>
        <w:t>The d</w:t>
      </w:r>
      <w:r w:rsidR="0030342C" w:rsidRPr="00A51748">
        <w:rPr>
          <w:rFonts w:cs="Times New Roman"/>
          <w:snapToGrid w:val="0"/>
          <w:kern w:val="22"/>
          <w:lang w:val="en-US"/>
        </w:rPr>
        <w:t xml:space="preserve">efinition </w:t>
      </w:r>
      <w:r w:rsidRPr="00A51748">
        <w:rPr>
          <w:rFonts w:cs="Times New Roman"/>
          <w:snapToGrid w:val="0"/>
          <w:kern w:val="22"/>
          <w:lang w:val="en-US"/>
        </w:rPr>
        <w:t xml:space="preserve">of an OECM, as adopted in </w:t>
      </w:r>
      <w:r w:rsidR="0030342C" w:rsidRPr="00A51748">
        <w:rPr>
          <w:rFonts w:cs="Times New Roman"/>
          <w:snapToGrid w:val="0"/>
          <w:kern w:val="22"/>
          <w:lang w:val="en-US"/>
        </w:rPr>
        <w:t>COP Decision 14/8</w:t>
      </w:r>
      <w:r w:rsidRPr="00A51748">
        <w:rPr>
          <w:rFonts w:cs="Times New Roman"/>
          <w:snapToGrid w:val="0"/>
          <w:kern w:val="22"/>
          <w:lang w:val="en-US"/>
        </w:rPr>
        <w:t>, is</w:t>
      </w:r>
      <w:r w:rsidR="0030342C" w:rsidRPr="00A51748">
        <w:rPr>
          <w:rFonts w:cs="Times New Roman"/>
          <w:snapToGrid w:val="0"/>
          <w:kern w:val="22"/>
          <w:lang w:val="en-US"/>
        </w:rPr>
        <w:t xml:space="preserve">: </w:t>
      </w:r>
      <w:r w:rsidR="0030342C" w:rsidRPr="00A51748">
        <w:rPr>
          <w:rFonts w:cs="Times New Roman"/>
          <w:iCs/>
          <w:snapToGrid w:val="0"/>
          <w:kern w:val="22"/>
          <w:lang w:val="en-US"/>
        </w:rPr>
        <w:t>a geographically defined area other than a Protected Area, which is governed and managed in ways that achieve positive and sustained long-term outcomes for the in situ conservation of biodiversity, with associated ecosystem functions and services and where applicable, cultural, spiritual, socio–economic, and other locally relevant values</w:t>
      </w:r>
    </w:p>
    <w:p w14:paraId="6A432B57" w14:textId="77777777" w:rsidR="0030342C" w:rsidRPr="00A51748" w:rsidRDefault="0030342C" w:rsidP="006D6DCD">
      <w:pPr>
        <w:pStyle w:val="Para1"/>
        <w:numPr>
          <w:ilvl w:val="0"/>
          <w:numId w:val="0"/>
        </w:numPr>
        <w:spacing w:before="0"/>
        <w:ind w:firstLine="720"/>
        <w:rPr>
          <w:rFonts w:cs="Times New Roman"/>
          <w:snapToGrid w:val="0"/>
          <w:kern w:val="22"/>
          <w:lang w:val="en-CA"/>
        </w:rPr>
      </w:pPr>
      <w:r w:rsidRPr="00A51748">
        <w:rPr>
          <w:rFonts w:cs="Times New Roman"/>
          <w:snapToGrid w:val="0"/>
          <w:kern w:val="22"/>
          <w:lang w:val="en-CA"/>
        </w:rPr>
        <w:t>Potential examples could include:</w:t>
      </w:r>
    </w:p>
    <w:p w14:paraId="2DE2A211" w14:textId="77777777" w:rsidR="0030342C" w:rsidRPr="00A51748" w:rsidRDefault="0030342C" w:rsidP="006D6DCD">
      <w:pPr>
        <w:pStyle w:val="Para1"/>
        <w:numPr>
          <w:ilvl w:val="0"/>
          <w:numId w:val="17"/>
        </w:numPr>
        <w:spacing w:before="0"/>
        <w:rPr>
          <w:rFonts w:cs="Times New Roman"/>
          <w:snapToGrid w:val="0"/>
          <w:kern w:val="22"/>
          <w:lang w:val="en-CA"/>
        </w:rPr>
      </w:pPr>
      <w:r w:rsidRPr="00A51748">
        <w:rPr>
          <w:rFonts w:cs="Times New Roman"/>
          <w:snapToGrid w:val="0"/>
          <w:kern w:val="22"/>
          <w:lang w:val="en-US"/>
        </w:rPr>
        <w:t xml:space="preserve">Some ICCAs or privately conserved areas, not </w:t>
      </w:r>
      <w:r w:rsidRPr="00A51748">
        <w:rPr>
          <w:rFonts w:cs="Times New Roman"/>
          <w:snapToGrid w:val="0"/>
          <w:kern w:val="22"/>
          <w:lang w:val="en-CA"/>
        </w:rPr>
        <w:t>recognised</w:t>
      </w:r>
      <w:r w:rsidRPr="00A51748">
        <w:rPr>
          <w:rFonts w:cs="Times New Roman"/>
          <w:snapToGrid w:val="0"/>
          <w:kern w:val="22"/>
          <w:lang w:val="en-US"/>
        </w:rPr>
        <w:t xml:space="preserve"> as PAs</w:t>
      </w:r>
    </w:p>
    <w:p w14:paraId="6A702A82" w14:textId="77777777" w:rsidR="0030342C" w:rsidRPr="00A51748" w:rsidRDefault="0030342C" w:rsidP="006D6DCD">
      <w:pPr>
        <w:pStyle w:val="Para1"/>
        <w:numPr>
          <w:ilvl w:val="0"/>
          <w:numId w:val="17"/>
        </w:numPr>
        <w:spacing w:before="0"/>
        <w:rPr>
          <w:rFonts w:cs="Times New Roman"/>
          <w:snapToGrid w:val="0"/>
          <w:kern w:val="22"/>
          <w:lang w:val="en-CA"/>
        </w:rPr>
      </w:pPr>
      <w:r w:rsidRPr="00A51748">
        <w:rPr>
          <w:rFonts w:cs="Times New Roman"/>
          <w:snapToGrid w:val="0"/>
          <w:kern w:val="22"/>
          <w:lang w:val="en-US"/>
        </w:rPr>
        <w:t xml:space="preserve">Watersheds or other water resource management areas that also result in the </w:t>
      </w:r>
      <w:r w:rsidRPr="00A51748">
        <w:rPr>
          <w:rFonts w:cs="Times New Roman"/>
          <w:iCs/>
          <w:snapToGrid w:val="0"/>
          <w:kern w:val="22"/>
          <w:lang w:val="en-US"/>
        </w:rPr>
        <w:t xml:space="preserve">in-situ </w:t>
      </w:r>
      <w:r w:rsidRPr="00A51748">
        <w:rPr>
          <w:rFonts w:cs="Times New Roman"/>
          <w:snapToGrid w:val="0"/>
          <w:kern w:val="22"/>
          <w:lang w:val="en-US"/>
        </w:rPr>
        <w:t xml:space="preserve">conservation of biodiversity </w:t>
      </w:r>
    </w:p>
    <w:p w14:paraId="6C1BB03D" w14:textId="77777777" w:rsidR="0030342C" w:rsidRPr="00A51748" w:rsidRDefault="0030342C" w:rsidP="006D6DCD">
      <w:pPr>
        <w:pStyle w:val="Para1"/>
        <w:numPr>
          <w:ilvl w:val="0"/>
          <w:numId w:val="17"/>
        </w:numPr>
        <w:spacing w:before="0"/>
        <w:rPr>
          <w:rFonts w:cs="Times New Roman"/>
          <w:snapToGrid w:val="0"/>
          <w:kern w:val="22"/>
          <w:lang w:val="en-CA"/>
        </w:rPr>
      </w:pPr>
      <w:r w:rsidRPr="00A51748">
        <w:rPr>
          <w:rFonts w:cs="Times New Roman"/>
          <w:snapToGrid w:val="0"/>
          <w:kern w:val="22"/>
          <w:lang w:val="en-US"/>
        </w:rPr>
        <w:t xml:space="preserve">Permanent or long-term fisheries closure areas designed to protect complete </w:t>
      </w:r>
      <w:r w:rsidRPr="00A51748">
        <w:rPr>
          <w:rFonts w:cs="Times New Roman"/>
          <w:snapToGrid w:val="0"/>
          <w:kern w:val="22"/>
          <w:lang w:val="en-CA"/>
        </w:rPr>
        <w:t>ecosystems for stock recruitment</w:t>
      </w:r>
    </w:p>
    <w:p w14:paraId="7D450D64" w14:textId="77777777" w:rsidR="0030342C" w:rsidRPr="00A51748" w:rsidRDefault="0030342C" w:rsidP="006D6DCD">
      <w:pPr>
        <w:pStyle w:val="Para1"/>
        <w:numPr>
          <w:ilvl w:val="0"/>
          <w:numId w:val="17"/>
        </w:numPr>
        <w:spacing w:before="0"/>
        <w:rPr>
          <w:rFonts w:cs="Times New Roman"/>
          <w:snapToGrid w:val="0"/>
          <w:kern w:val="22"/>
          <w:lang w:val="en-CA"/>
        </w:rPr>
      </w:pPr>
      <w:r w:rsidRPr="00A51748">
        <w:rPr>
          <w:rFonts w:cs="Times New Roman"/>
          <w:snapToGrid w:val="0"/>
          <w:kern w:val="22"/>
          <w:lang w:val="en-US"/>
        </w:rPr>
        <w:t xml:space="preserve">Sacred </w:t>
      </w:r>
      <w:r w:rsidRPr="00A51748">
        <w:rPr>
          <w:rFonts w:cs="Times New Roman"/>
          <w:snapToGrid w:val="0"/>
          <w:kern w:val="22"/>
          <w:lang w:val="en-CA"/>
        </w:rPr>
        <w:t xml:space="preserve">natural sites </w:t>
      </w:r>
    </w:p>
    <w:p w14:paraId="5D1FB1A2" w14:textId="77777777" w:rsidR="0030342C" w:rsidRPr="00A51748" w:rsidRDefault="0030342C" w:rsidP="006D6DCD">
      <w:pPr>
        <w:pStyle w:val="Para1"/>
        <w:numPr>
          <w:ilvl w:val="0"/>
          <w:numId w:val="17"/>
        </w:numPr>
        <w:spacing w:before="0"/>
        <w:rPr>
          <w:rFonts w:cs="Times New Roman"/>
          <w:snapToGrid w:val="0"/>
          <w:kern w:val="22"/>
          <w:lang w:val="en-CA"/>
        </w:rPr>
      </w:pPr>
      <w:r w:rsidRPr="00A51748">
        <w:rPr>
          <w:rFonts w:cs="Times New Roman"/>
          <w:snapToGrid w:val="0"/>
          <w:kern w:val="22"/>
          <w:lang w:val="en-US"/>
        </w:rPr>
        <w:t>Military lands/waters, that achieve effective long-term conservation of biodiversity</w:t>
      </w:r>
    </w:p>
    <w:p w14:paraId="23EE7AE1" w14:textId="48DB39DA" w:rsidR="0030342C" w:rsidRPr="00A51748" w:rsidRDefault="00F34806" w:rsidP="006D6DCD">
      <w:pPr>
        <w:pStyle w:val="Para1"/>
        <w:numPr>
          <w:ilvl w:val="0"/>
          <w:numId w:val="0"/>
        </w:numPr>
        <w:spacing w:before="0"/>
        <w:ind w:firstLine="720"/>
        <w:rPr>
          <w:rFonts w:cs="Times New Roman"/>
          <w:snapToGrid w:val="0"/>
          <w:kern w:val="22"/>
          <w:lang w:val="en-CA"/>
        </w:rPr>
      </w:pPr>
      <w:r w:rsidRPr="00A51748">
        <w:rPr>
          <w:rFonts w:cs="Times New Roman"/>
          <w:snapToGrid w:val="0"/>
          <w:kern w:val="22"/>
          <w:lang w:val="en-US"/>
        </w:rPr>
        <w:t>There is currently n</w:t>
      </w:r>
      <w:r w:rsidR="0030342C" w:rsidRPr="00A51748">
        <w:rPr>
          <w:rFonts w:cs="Times New Roman"/>
          <w:snapToGrid w:val="0"/>
          <w:kern w:val="22"/>
          <w:lang w:val="en-US"/>
        </w:rPr>
        <w:t xml:space="preserve">o indication of </w:t>
      </w:r>
      <w:r w:rsidRPr="00A51748">
        <w:rPr>
          <w:rFonts w:cs="Times New Roman"/>
          <w:snapToGrid w:val="0"/>
          <w:kern w:val="22"/>
          <w:lang w:val="en-US"/>
        </w:rPr>
        <w:t xml:space="preserve">the </w:t>
      </w:r>
      <w:r w:rsidR="0030342C" w:rsidRPr="00A51748">
        <w:rPr>
          <w:rFonts w:cs="Times New Roman"/>
          <w:snapToGrid w:val="0"/>
          <w:kern w:val="22"/>
          <w:lang w:val="en-US"/>
        </w:rPr>
        <w:t>global extent</w:t>
      </w:r>
      <w:r w:rsidRPr="00A51748">
        <w:rPr>
          <w:rFonts w:cs="Times New Roman"/>
          <w:snapToGrid w:val="0"/>
          <w:kern w:val="22"/>
          <w:lang w:val="en-US"/>
        </w:rPr>
        <w:t xml:space="preserve"> of OECMs</w:t>
      </w:r>
      <w:r w:rsidR="0030342C" w:rsidRPr="00A51748">
        <w:rPr>
          <w:rFonts w:cs="Times New Roman"/>
          <w:snapToGrid w:val="0"/>
          <w:kern w:val="22"/>
          <w:lang w:val="en-US"/>
        </w:rPr>
        <w:t>, but some</w:t>
      </w:r>
      <w:r w:rsidRPr="00A51748">
        <w:rPr>
          <w:rFonts w:cs="Times New Roman"/>
          <w:snapToGrid w:val="0"/>
          <w:kern w:val="22"/>
          <w:lang w:val="en-US"/>
        </w:rPr>
        <w:t xml:space="preserve"> </w:t>
      </w:r>
      <w:r w:rsidR="0030342C" w:rsidRPr="00A51748">
        <w:rPr>
          <w:rFonts w:cs="Times New Roman"/>
          <w:snapToGrid w:val="0"/>
          <w:kern w:val="22"/>
          <w:lang w:val="en-US"/>
        </w:rPr>
        <w:t>examples include:</w:t>
      </w:r>
    </w:p>
    <w:p w14:paraId="0EECDA37" w14:textId="77777777" w:rsidR="0030342C" w:rsidRPr="00A51748" w:rsidRDefault="0030342C" w:rsidP="006D6DCD">
      <w:pPr>
        <w:pStyle w:val="Para1"/>
        <w:numPr>
          <w:ilvl w:val="0"/>
          <w:numId w:val="30"/>
        </w:numPr>
        <w:spacing w:before="0"/>
        <w:rPr>
          <w:rFonts w:cs="Times New Roman"/>
          <w:snapToGrid w:val="0"/>
          <w:kern w:val="22"/>
          <w:lang w:val="en-CA"/>
        </w:rPr>
      </w:pPr>
      <w:r w:rsidRPr="00A51748">
        <w:rPr>
          <w:rFonts w:cs="Times New Roman"/>
          <w:snapToGrid w:val="0"/>
          <w:kern w:val="22"/>
          <w:lang w:val="en-US"/>
        </w:rPr>
        <w:t>180,000 ha of former military land safeguarded for nature conservation (Germany)</w:t>
      </w:r>
    </w:p>
    <w:p w14:paraId="2F7C269B" w14:textId="77777777" w:rsidR="0030342C" w:rsidRPr="00A51748" w:rsidRDefault="0030342C" w:rsidP="006D6DCD">
      <w:pPr>
        <w:pStyle w:val="Para1"/>
        <w:numPr>
          <w:ilvl w:val="0"/>
          <w:numId w:val="30"/>
        </w:numPr>
        <w:spacing w:before="0"/>
        <w:rPr>
          <w:rFonts w:cs="Times New Roman"/>
          <w:snapToGrid w:val="0"/>
          <w:kern w:val="22"/>
          <w:lang w:val="en-CA"/>
        </w:rPr>
      </w:pPr>
      <w:r w:rsidRPr="00A51748">
        <w:rPr>
          <w:rFonts w:cs="Times New Roman"/>
          <w:snapToGrid w:val="0"/>
          <w:kern w:val="22"/>
          <w:lang w:val="en-US"/>
        </w:rPr>
        <w:t>Sacred groves exist in 19 of 28 states in India, these 100,000–150,000 sites cover ~0.01% of the total geographic area of the country</w:t>
      </w:r>
    </w:p>
    <w:p w14:paraId="34ED802A" w14:textId="0E6CAD2D" w:rsidR="0030342C" w:rsidRPr="00A51748" w:rsidRDefault="00284A69" w:rsidP="006D6DCD">
      <w:pPr>
        <w:pStyle w:val="Heading3"/>
        <w:numPr>
          <w:ilvl w:val="0"/>
          <w:numId w:val="0"/>
        </w:numPr>
        <w:spacing w:before="0"/>
        <w:ind w:left="720"/>
        <w:jc w:val="both"/>
        <w:rPr>
          <w:snapToGrid w:val="0"/>
        </w:rPr>
      </w:pPr>
      <w:r w:rsidRPr="00A51748">
        <w:rPr>
          <w:snapToGrid w:val="0"/>
        </w:rPr>
        <w:t xml:space="preserve">B. </w:t>
      </w:r>
      <w:r w:rsidR="0030342C" w:rsidRPr="00A51748">
        <w:rPr>
          <w:snapToGrid w:val="0"/>
        </w:rPr>
        <w:t>Ecological Corridors</w:t>
      </w:r>
    </w:p>
    <w:p w14:paraId="23F06C03" w14:textId="09CDFBDD" w:rsidR="0030342C" w:rsidRPr="00A51748" w:rsidRDefault="0030342C" w:rsidP="006D6DCD">
      <w:pPr>
        <w:pStyle w:val="Para1"/>
        <w:numPr>
          <w:ilvl w:val="0"/>
          <w:numId w:val="0"/>
        </w:numPr>
        <w:spacing w:before="0"/>
        <w:ind w:firstLine="567"/>
        <w:rPr>
          <w:rFonts w:cs="Times New Roman"/>
          <w:iCs/>
          <w:snapToGrid w:val="0"/>
          <w:kern w:val="22"/>
        </w:rPr>
      </w:pPr>
      <w:r w:rsidRPr="00A51748">
        <w:rPr>
          <w:rFonts w:cs="Times New Roman"/>
          <w:snapToGrid w:val="0"/>
          <w:kern w:val="22"/>
          <w:lang w:val="en-US"/>
        </w:rPr>
        <w:t xml:space="preserve">Draft definition: </w:t>
      </w:r>
      <w:r w:rsidR="00F34806" w:rsidRPr="00A51748">
        <w:rPr>
          <w:rFonts w:cs="Times New Roman"/>
          <w:snapToGrid w:val="0"/>
          <w:kern w:val="22"/>
          <w:lang w:val="en-US"/>
        </w:rPr>
        <w:t>“</w:t>
      </w:r>
      <w:r w:rsidRPr="00A51748">
        <w:rPr>
          <w:rFonts w:cs="Times New Roman"/>
          <w:iCs/>
          <w:snapToGrid w:val="0"/>
          <w:kern w:val="22"/>
          <w:lang w:val="en-US"/>
        </w:rPr>
        <w:t xml:space="preserve">An </w:t>
      </w:r>
      <w:r w:rsidRPr="00A51748">
        <w:rPr>
          <w:rFonts w:cs="Times New Roman"/>
          <w:b/>
          <w:iCs/>
          <w:snapToGrid w:val="0"/>
          <w:kern w:val="22"/>
          <w:lang w:val="en-US"/>
        </w:rPr>
        <w:t xml:space="preserve">Ecological Corridor </w:t>
      </w:r>
      <w:r w:rsidRPr="00A51748">
        <w:rPr>
          <w:rFonts w:cs="Times New Roman"/>
          <w:iCs/>
          <w:snapToGrid w:val="0"/>
          <w:kern w:val="22"/>
          <w:lang w:val="en-US"/>
        </w:rPr>
        <w:t xml:space="preserve">is a clearly defined geographical space, not recognized as a protected area or other effective area-based conservation measure (OECM), that is governed and </w:t>
      </w:r>
      <w:r w:rsidRPr="00A51748">
        <w:rPr>
          <w:rFonts w:cs="Times New Roman"/>
          <w:iCs/>
          <w:snapToGrid w:val="0"/>
          <w:kern w:val="22"/>
          <w:lang w:val="en-US"/>
        </w:rPr>
        <w:lastRenderedPageBreak/>
        <w:t xml:space="preserve">managed over the long-term to conserve or restore effective ecological connectivity, with associated ecosystem services and cultural and </w:t>
      </w:r>
      <w:r w:rsidRPr="00A51748">
        <w:rPr>
          <w:rFonts w:cs="Times New Roman"/>
          <w:iCs/>
          <w:snapToGrid w:val="0"/>
          <w:kern w:val="22"/>
        </w:rPr>
        <w:t>spiritual values</w:t>
      </w:r>
      <w:r w:rsidR="00F34806" w:rsidRPr="00A51748">
        <w:rPr>
          <w:rFonts w:cs="Times New Roman"/>
          <w:iCs/>
          <w:snapToGrid w:val="0"/>
          <w:kern w:val="22"/>
        </w:rPr>
        <w:t>”.</w:t>
      </w:r>
      <w:r w:rsidR="00F34806" w:rsidRPr="00A51748">
        <w:rPr>
          <w:rFonts w:eastAsia="Times New Roman" w:cs="Times New Roman"/>
          <w:bCs w:val="0"/>
          <w:iCs/>
          <w:snapToGrid w:val="0"/>
          <w:kern w:val="22"/>
          <w:sz w:val="18"/>
          <w:szCs w:val="24"/>
          <w:vertAlign w:val="superscript"/>
        </w:rPr>
        <w:t xml:space="preserve"> </w:t>
      </w:r>
      <w:r w:rsidR="00F34806" w:rsidRPr="00A51748">
        <w:rPr>
          <w:rFonts w:cs="Times New Roman"/>
          <w:iCs/>
          <w:snapToGrid w:val="0"/>
          <w:kern w:val="22"/>
          <w:vertAlign w:val="superscript"/>
        </w:rPr>
        <w:footnoteReference w:id="105"/>
      </w:r>
    </w:p>
    <w:p w14:paraId="4029F936" w14:textId="132F6D1A" w:rsidR="0030342C" w:rsidRPr="00A51748" w:rsidRDefault="0030342C" w:rsidP="006D6DCD">
      <w:pPr>
        <w:pStyle w:val="Para1"/>
        <w:numPr>
          <w:ilvl w:val="0"/>
          <w:numId w:val="0"/>
        </w:numPr>
        <w:spacing w:before="0"/>
        <w:rPr>
          <w:rStyle w:val="Strong"/>
          <w:rFonts w:cs="Times New Roman"/>
          <w:b w:val="0"/>
          <w:bCs/>
          <w:i/>
          <w:snapToGrid w:val="0"/>
          <w:kern w:val="22"/>
          <w:lang w:val="en-US"/>
        </w:rPr>
      </w:pPr>
      <w:r w:rsidRPr="00A51748">
        <w:rPr>
          <w:rFonts w:cs="Times New Roman"/>
          <w:i/>
          <w:noProof/>
          <w:snapToGrid w:val="0"/>
          <w:kern w:val="22"/>
          <w:lang w:val="en-CA" w:eastAsia="en-CA"/>
        </w:rPr>
        <w:drawing>
          <wp:inline distT="0" distB="0" distL="0" distR="0" wp14:anchorId="73F14D94" wp14:editId="553CCCF2">
            <wp:extent cx="5857645" cy="2662733"/>
            <wp:effectExtent l="0" t="0" r="0" b="4445"/>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8745" cy="2676870"/>
                    </a:xfrm>
                    <a:prstGeom prst="rect">
                      <a:avLst/>
                    </a:prstGeom>
                    <a:noFill/>
                    <a:ln>
                      <a:noFill/>
                    </a:ln>
                  </pic:spPr>
                </pic:pic>
              </a:graphicData>
            </a:graphic>
          </wp:inline>
        </w:drawing>
      </w:r>
    </w:p>
    <w:p w14:paraId="7680F8D1" w14:textId="3F93A16D" w:rsidR="0030342C" w:rsidRPr="00A51748" w:rsidRDefault="0030342C" w:rsidP="006D6DCD">
      <w:pPr>
        <w:pStyle w:val="Heading3"/>
        <w:numPr>
          <w:ilvl w:val="0"/>
          <w:numId w:val="28"/>
        </w:numPr>
        <w:spacing w:before="0"/>
        <w:jc w:val="both"/>
        <w:rPr>
          <w:snapToGrid w:val="0"/>
        </w:rPr>
      </w:pPr>
      <w:r w:rsidRPr="00A51748">
        <w:rPr>
          <w:snapToGrid w:val="0"/>
        </w:rPr>
        <w:t>Conservancies</w:t>
      </w:r>
    </w:p>
    <w:p w14:paraId="3C3BF29C" w14:textId="2C155AB0" w:rsidR="0030342C" w:rsidRPr="00A51748" w:rsidRDefault="0030342C" w:rsidP="006D6DCD">
      <w:pPr>
        <w:pStyle w:val="Para1"/>
        <w:numPr>
          <w:ilvl w:val="0"/>
          <w:numId w:val="0"/>
        </w:numPr>
        <w:spacing w:before="0"/>
        <w:ind w:left="720"/>
        <w:rPr>
          <w:rFonts w:cs="Times New Roman"/>
          <w:snapToGrid w:val="0"/>
          <w:kern w:val="22"/>
          <w:lang w:val="en-CA"/>
        </w:rPr>
      </w:pPr>
      <w:r w:rsidRPr="00A51748">
        <w:rPr>
          <w:rFonts w:cs="Times New Roman"/>
          <w:snapToGrid w:val="0"/>
          <w:kern w:val="22"/>
          <w:lang w:val="en-US"/>
        </w:rPr>
        <w:t>Co</w:t>
      </w:r>
      <w:r w:rsidR="00F34806" w:rsidRPr="00A51748">
        <w:rPr>
          <w:rFonts w:cs="Times New Roman"/>
          <w:snapToGrid w:val="0"/>
          <w:kern w:val="22"/>
          <w:lang w:val="en-US"/>
        </w:rPr>
        <w:t>nservancies co</w:t>
      </w:r>
      <w:r w:rsidRPr="00A51748">
        <w:rPr>
          <w:rFonts w:cs="Times New Roman"/>
          <w:snapToGrid w:val="0"/>
          <w:kern w:val="22"/>
          <w:lang w:val="en-US"/>
        </w:rPr>
        <w:t>ver large areas in many African countries, for example:</w:t>
      </w:r>
    </w:p>
    <w:p w14:paraId="62D72CFA" w14:textId="77777777" w:rsidR="0030342C" w:rsidRPr="00A51748" w:rsidRDefault="0030342C" w:rsidP="006D6DCD">
      <w:pPr>
        <w:pStyle w:val="Para1"/>
        <w:numPr>
          <w:ilvl w:val="0"/>
          <w:numId w:val="18"/>
        </w:numPr>
        <w:spacing w:before="0"/>
        <w:rPr>
          <w:rFonts w:cs="Times New Roman"/>
          <w:snapToGrid w:val="0"/>
          <w:kern w:val="22"/>
          <w:lang w:val="en-CA"/>
        </w:rPr>
      </w:pPr>
      <w:r w:rsidRPr="00A51748">
        <w:rPr>
          <w:rFonts w:cs="Times New Roman"/>
          <w:snapToGrid w:val="0"/>
          <w:kern w:val="22"/>
          <w:lang w:val="en-US"/>
        </w:rPr>
        <w:t>Kenya (11% of country)</w:t>
      </w:r>
    </w:p>
    <w:p w14:paraId="73E558A5" w14:textId="77777777" w:rsidR="0030342C" w:rsidRPr="00A51748" w:rsidRDefault="0030342C" w:rsidP="006D6DCD">
      <w:pPr>
        <w:pStyle w:val="Para1"/>
        <w:numPr>
          <w:ilvl w:val="0"/>
          <w:numId w:val="18"/>
        </w:numPr>
        <w:spacing w:before="0"/>
        <w:rPr>
          <w:rFonts w:cs="Times New Roman"/>
          <w:snapToGrid w:val="0"/>
          <w:kern w:val="22"/>
          <w:lang w:val="en-CA"/>
        </w:rPr>
      </w:pPr>
      <w:r w:rsidRPr="00A51748">
        <w:rPr>
          <w:rFonts w:cs="Times New Roman"/>
          <w:snapToGrid w:val="0"/>
          <w:kern w:val="22"/>
          <w:lang w:val="en-US"/>
        </w:rPr>
        <w:t>South Africa (2.5% of country)</w:t>
      </w:r>
    </w:p>
    <w:p w14:paraId="4086AC60" w14:textId="77777777" w:rsidR="0030342C" w:rsidRPr="00A51748" w:rsidRDefault="0030342C" w:rsidP="006D6DCD">
      <w:pPr>
        <w:pStyle w:val="Para1"/>
        <w:numPr>
          <w:ilvl w:val="0"/>
          <w:numId w:val="18"/>
        </w:numPr>
        <w:spacing w:before="0"/>
        <w:rPr>
          <w:rFonts w:cs="Times New Roman"/>
          <w:snapToGrid w:val="0"/>
          <w:kern w:val="22"/>
          <w:lang w:val="en-CA"/>
        </w:rPr>
      </w:pPr>
      <w:r w:rsidRPr="00A51748">
        <w:rPr>
          <w:rFonts w:cs="Times New Roman"/>
          <w:snapToGrid w:val="0"/>
          <w:kern w:val="22"/>
          <w:lang w:val="en-US"/>
        </w:rPr>
        <w:t xml:space="preserve">Namibia (19.6% of country) </w:t>
      </w:r>
    </w:p>
    <w:p w14:paraId="4DB7680E" w14:textId="2A9729FE" w:rsidR="00F140FD" w:rsidRPr="00A51748" w:rsidRDefault="000F1995" w:rsidP="006D6DCD">
      <w:pPr>
        <w:pStyle w:val="Para1"/>
        <w:numPr>
          <w:ilvl w:val="0"/>
          <w:numId w:val="0"/>
        </w:numPr>
        <w:spacing w:before="0"/>
        <w:ind w:firstLine="720"/>
        <w:rPr>
          <w:rStyle w:val="Strong"/>
          <w:rFonts w:cs="Times New Roman"/>
          <w:b w:val="0"/>
          <w:bCs/>
          <w:i/>
          <w:snapToGrid w:val="0"/>
          <w:kern w:val="22"/>
          <w:lang w:val="en-US"/>
        </w:rPr>
      </w:pPr>
      <w:r w:rsidRPr="00A51748">
        <w:rPr>
          <w:rFonts w:cs="Times New Roman"/>
          <w:snapToGrid w:val="0"/>
          <w:kern w:val="22"/>
          <w:lang w:val="en-US"/>
        </w:rPr>
        <w:t xml:space="preserve">Some are </w:t>
      </w:r>
      <w:r w:rsidR="0030342C" w:rsidRPr="00A51748">
        <w:rPr>
          <w:rFonts w:cs="Times New Roman"/>
          <w:snapToGrid w:val="0"/>
          <w:kern w:val="22"/>
          <w:lang w:val="en-US"/>
        </w:rPr>
        <w:t>not currently reported in WDPA</w:t>
      </w:r>
      <w:r w:rsidR="00AC1C46" w:rsidRPr="00A51748">
        <w:rPr>
          <w:rFonts w:cs="Times New Roman"/>
          <w:snapToGrid w:val="0"/>
          <w:kern w:val="22"/>
          <w:lang w:val="en-US"/>
        </w:rPr>
        <w:t>.</w:t>
      </w:r>
    </w:p>
    <w:p w14:paraId="6AC0DB0D" w14:textId="10FB9357" w:rsidR="0042790A" w:rsidRPr="00A51748" w:rsidRDefault="0042790A" w:rsidP="006D6DCD">
      <w:pPr>
        <w:pStyle w:val="Heading3"/>
        <w:spacing w:before="0"/>
        <w:jc w:val="both"/>
        <w:rPr>
          <w:snapToGrid w:val="0"/>
        </w:rPr>
      </w:pPr>
      <w:r w:rsidRPr="00A51748">
        <w:rPr>
          <w:snapToGrid w:val="0"/>
        </w:rPr>
        <w:t>Biosphere Reserves</w:t>
      </w:r>
    </w:p>
    <w:p w14:paraId="13A06DB7" w14:textId="77777777" w:rsidR="00F34806" w:rsidRPr="00A51748" w:rsidRDefault="00F34806" w:rsidP="006D6DCD">
      <w:pPr>
        <w:pStyle w:val="Para1"/>
        <w:numPr>
          <w:ilvl w:val="0"/>
          <w:numId w:val="0"/>
        </w:numPr>
        <w:spacing w:before="0"/>
        <w:ind w:firstLine="360"/>
        <w:rPr>
          <w:rFonts w:cs="Times New Roman"/>
          <w:snapToGrid w:val="0"/>
          <w:kern w:val="22"/>
          <w:lang w:val="en-US"/>
        </w:rPr>
      </w:pPr>
      <w:r w:rsidRPr="00A51748">
        <w:rPr>
          <w:rFonts w:cs="Times New Roman"/>
          <w:snapToGrid w:val="0"/>
          <w:kern w:val="22"/>
          <w:lang w:val="en-US"/>
        </w:rPr>
        <w:t xml:space="preserve">Biosphere reserves are internationally recognized, under the UNESCO "Man and the Biosphere" (MAB) Programme. They are </w:t>
      </w:r>
      <w:r w:rsidRPr="00A51748">
        <w:rPr>
          <w:rFonts w:cs="Times New Roman"/>
          <w:snapToGrid w:val="0"/>
          <w:kern w:val="22"/>
        </w:rPr>
        <w:t xml:space="preserve">are nominated by national governments and remain under the sovereign jurisdiction of the states where they are located. These areas aim to reconcile biodiversity conservation with sustainable use. </w:t>
      </w:r>
      <w:r w:rsidRPr="00A51748">
        <w:rPr>
          <w:rFonts w:cs="Times New Roman"/>
          <w:snapToGrid w:val="0"/>
          <w:kern w:val="22"/>
          <w:lang w:val="en-US"/>
        </w:rPr>
        <w:t>As of 2019, there are 701 biosphere reserves in 124 countries (including 21 transboundary sites).</w:t>
      </w:r>
      <w:r w:rsidRPr="00A51748">
        <w:rPr>
          <w:rFonts w:cs="Times New Roman"/>
          <w:snapToGrid w:val="0"/>
          <w:kern w:val="22"/>
        </w:rPr>
        <w:t>While the core areas of biosphere reserves often overlap with other protected areas, some biosphere reserve buffer zones could potentially qualify as OECMs.</w:t>
      </w:r>
    </w:p>
    <w:p w14:paraId="1EEF7C18" w14:textId="2162E527" w:rsidR="000F1995" w:rsidRPr="00A51748" w:rsidRDefault="000C3973" w:rsidP="006D6DCD">
      <w:pPr>
        <w:pStyle w:val="Heading3"/>
        <w:spacing w:before="0"/>
        <w:jc w:val="both"/>
      </w:pPr>
      <w:r w:rsidRPr="00A51748">
        <w:t>Privately Protected Areas</w:t>
      </w:r>
    </w:p>
    <w:p w14:paraId="11D65DB3" w14:textId="2C362910" w:rsidR="000F1995" w:rsidRPr="00A51748" w:rsidRDefault="00FC47B2" w:rsidP="006D6DCD">
      <w:pPr>
        <w:pStyle w:val="Chaptertext"/>
        <w:spacing w:line="240" w:lineRule="auto"/>
        <w:ind w:firstLine="360"/>
        <w:jc w:val="both"/>
        <w:rPr>
          <w:rFonts w:ascii="Times New Roman" w:hAnsi="Times New Roman" w:cs="Times New Roman"/>
          <w:sz w:val="22"/>
        </w:rPr>
      </w:pPr>
      <w:r w:rsidRPr="00A51748">
        <w:rPr>
          <w:rFonts w:ascii="Times New Roman" w:hAnsi="Times New Roman" w:cs="Times New Roman"/>
          <w:sz w:val="22"/>
        </w:rPr>
        <w:t xml:space="preserve">Privately Protected Areas (PPAs) constitute an important and growing part of the conservation landscape worldwide and have enormous potential to contribute to global biodiversity and conservation agenda and goals in particular.  A recent </w:t>
      </w:r>
      <w:hyperlink r:id="rId41" w:history="1">
        <w:r w:rsidRPr="00A51748">
          <w:rPr>
            <w:rStyle w:val="Hyperlink"/>
            <w:rFonts w:ascii="Times New Roman" w:hAnsi="Times New Roman" w:cs="Times New Roman"/>
            <w:color w:val="auto"/>
            <w:sz w:val="22"/>
          </w:rPr>
          <w:t>study</w:t>
        </w:r>
      </w:hyperlink>
      <w:r w:rsidRPr="00A51748">
        <w:rPr>
          <w:rFonts w:ascii="Times New Roman" w:hAnsi="Times New Roman" w:cs="Times New Roman"/>
          <w:sz w:val="22"/>
        </w:rPr>
        <w:t xml:space="preserve"> by UNDP and International Land Conservation Network, Lincoln Institute of Land Policy </w:t>
      </w:r>
      <w:r w:rsidR="00F140FD" w:rsidRPr="00A51748">
        <w:rPr>
          <w:rFonts w:ascii="Times New Roman" w:hAnsi="Times New Roman" w:cs="Times New Roman"/>
          <w:sz w:val="22"/>
        </w:rPr>
        <w:t>p</w:t>
      </w:r>
      <w:r w:rsidRPr="00A51748">
        <w:rPr>
          <w:rFonts w:ascii="Times New Roman" w:hAnsi="Times New Roman" w:cs="Times New Roman"/>
          <w:sz w:val="22"/>
        </w:rPr>
        <w:t xml:space="preserve">rovides an overview of the status of PPAs in 30 countries throughout Latin America, Asia, the Pacific and Sub-Saharan Africa and summarizes the legal, policy and institutional mechanisms used in these countries to establish and incentivize PPAs. Although some PPAs are reported officially to the World Database on Protected Areas, there is still need to encourage countries to promote and report on PPAs.  </w:t>
      </w:r>
    </w:p>
    <w:p w14:paraId="7565C8CF" w14:textId="5366B62D" w:rsidR="000F1995" w:rsidRPr="00A51748" w:rsidRDefault="00AC1C46" w:rsidP="006D6DCD">
      <w:pPr>
        <w:pStyle w:val="Heading2"/>
        <w:spacing w:before="0"/>
        <w:jc w:val="both"/>
        <w:rPr>
          <w:rFonts w:cs="Times New Roman"/>
          <w:i/>
        </w:rPr>
      </w:pPr>
      <w:bookmarkStart w:id="5" w:name="_3.1_Locally_Managed"/>
      <w:bookmarkEnd w:id="5"/>
      <w:r w:rsidRPr="00A51748">
        <w:rPr>
          <w:rFonts w:cs="Times New Roman"/>
        </w:rPr>
        <w:lastRenderedPageBreak/>
        <w:t xml:space="preserve">7.2 </w:t>
      </w:r>
      <w:r w:rsidR="000F1995" w:rsidRPr="00A51748">
        <w:rPr>
          <w:rFonts w:cs="Times New Roman"/>
        </w:rPr>
        <w:t xml:space="preserve">ABCM in </w:t>
      </w:r>
      <w:r w:rsidRPr="00A51748">
        <w:rPr>
          <w:rFonts w:cs="Times New Roman"/>
        </w:rPr>
        <w:t>the</w:t>
      </w:r>
      <w:r w:rsidR="000F1995" w:rsidRPr="00A51748">
        <w:rPr>
          <w:rFonts w:cs="Times New Roman"/>
        </w:rPr>
        <w:t xml:space="preserve"> Marine realm</w:t>
      </w:r>
    </w:p>
    <w:p w14:paraId="49042FA6" w14:textId="65E9CEB9" w:rsidR="006429D4" w:rsidRPr="00A51748" w:rsidRDefault="00AC1C46" w:rsidP="006D6DCD">
      <w:pPr>
        <w:pStyle w:val="Heading3"/>
        <w:numPr>
          <w:ilvl w:val="0"/>
          <w:numId w:val="0"/>
        </w:numPr>
        <w:spacing w:before="0"/>
        <w:ind w:left="720"/>
        <w:jc w:val="both"/>
      </w:pPr>
      <w:r w:rsidRPr="00A51748">
        <w:t xml:space="preserve">A. </w:t>
      </w:r>
      <w:r w:rsidR="006429D4" w:rsidRPr="00A51748">
        <w:t>Locally Managed Marine Areas</w:t>
      </w:r>
    </w:p>
    <w:p w14:paraId="40A4CEF1" w14:textId="77777777" w:rsidR="006429D4" w:rsidRPr="00A51748" w:rsidRDefault="006429D4" w:rsidP="006D6DCD">
      <w:pPr>
        <w:spacing w:after="120"/>
        <w:ind w:firstLine="709"/>
        <w:rPr>
          <w:rFonts w:cs="Times New Roman"/>
          <w:bCs/>
          <w:szCs w:val="22"/>
        </w:rPr>
      </w:pPr>
      <w:r w:rsidRPr="00A51748">
        <w:rPr>
          <w:rFonts w:cs="Times New Roman"/>
          <w:szCs w:val="22"/>
        </w:rPr>
        <w:t xml:space="preserve">Locally Managed Marine Areas (LMMA's) are protected </w:t>
      </w:r>
      <w:r w:rsidRPr="00A51748">
        <w:rPr>
          <w:rFonts w:cs="Times New Roman"/>
          <w:bCs/>
          <w:i/>
          <w:szCs w:val="22"/>
        </w:rPr>
        <w:t xml:space="preserve">or conserved </w:t>
      </w:r>
      <w:r w:rsidRPr="00A51748">
        <w:rPr>
          <w:rFonts w:cs="Times New Roman"/>
          <w:szCs w:val="22"/>
        </w:rPr>
        <w:t>areas that are largely or wholly managed by coastal communities and/or land-owning groups, with the support of government and partner representatives. The communities impose restrictions on areas such as 'no-take zones' and on certain equipment, practices, species or sizes of catches. These zones or restrictions allow resource and habitat recovery in over exploited areas, enabling a return to more sustainable harvest of marine resources for the community.</w:t>
      </w:r>
    </w:p>
    <w:p w14:paraId="0DA3D303" w14:textId="77777777" w:rsidR="006429D4" w:rsidRPr="00A51748" w:rsidRDefault="006429D4" w:rsidP="006D6DCD">
      <w:pPr>
        <w:spacing w:after="120"/>
        <w:ind w:firstLine="720"/>
        <w:rPr>
          <w:rFonts w:cs="Times New Roman"/>
          <w:szCs w:val="22"/>
        </w:rPr>
      </w:pPr>
      <w:r w:rsidRPr="00A51748">
        <w:rPr>
          <w:rFonts w:cs="Times New Roman"/>
          <w:szCs w:val="22"/>
        </w:rPr>
        <w:t>First recognized in Fiji, LMMA's are being replicated across coastal communities world-wide. More than 420 Indo-Pacific sites in the LMMA network involve around 600 villages and LMMAs cover more than 12,000 km2 in 15 Pacific Island States. LMMAs are now in Madagascar and Indian Ocean. The LMMA Network is a global initiative founded in 2000 to advance LMMA practices around the world. It consists of communities, dedicated practitioners and government officials all focused on community-based marine resource management projects, providing capacity building, awareness and monitoring support. The Network is about sharing ideas and experiences to improve the performance of LMMAs while empowering greater numbers of communities to manage their marine resources in a sustainable way.</w:t>
      </w:r>
    </w:p>
    <w:p w14:paraId="7A50AA30" w14:textId="6A10854C" w:rsidR="006429D4" w:rsidRPr="00A51748" w:rsidRDefault="006429D4" w:rsidP="006D6DCD">
      <w:pPr>
        <w:spacing w:after="120"/>
        <w:ind w:firstLine="720"/>
        <w:rPr>
          <w:rFonts w:cs="Times New Roman"/>
          <w:szCs w:val="22"/>
        </w:rPr>
      </w:pPr>
      <w:r w:rsidRPr="00A51748">
        <w:rPr>
          <w:rFonts w:cs="Times New Roman"/>
          <w:szCs w:val="22"/>
        </w:rPr>
        <w:t>MPAs and LMMAs both contribute substantially to social, economic and environmental benefits including through food security, livelihood security, poverty alleviation, disaster risk reduction and climate change mitigation and adaptation. LMMAs may provide a significant contribution to achieving Aichi Biodiversity Target 11 and several targets of SDG 14, but LMMAs are currently under-represented in the global protected area database that is used for assessing progress towards these tar-gets (i.e. the World Database on Protected Areas). Recent studies have recorded nearly 1,000 LMMAs in the Pacific Islands which could amount to 8% of island communities. Their coverage of inshore waters has not yet been estimated but these local management approaches have encouraged many islands to adopt these as national policy approaches to coastal fisheries management and conservation.</w:t>
      </w:r>
    </w:p>
    <w:tbl>
      <w:tblPr>
        <w:tblStyle w:val="TableGrid1"/>
        <w:tblW w:w="9652" w:type="dxa"/>
        <w:tblLayout w:type="fixed"/>
        <w:tblLook w:val="04A0" w:firstRow="1" w:lastRow="0" w:firstColumn="1" w:lastColumn="0" w:noHBand="0" w:noVBand="1"/>
      </w:tblPr>
      <w:tblGrid>
        <w:gridCol w:w="2274"/>
        <w:gridCol w:w="955"/>
        <w:gridCol w:w="868"/>
        <w:gridCol w:w="868"/>
        <w:gridCol w:w="868"/>
        <w:gridCol w:w="868"/>
        <w:gridCol w:w="868"/>
        <w:gridCol w:w="868"/>
        <w:gridCol w:w="1215"/>
      </w:tblGrid>
      <w:tr w:rsidR="006429D4" w:rsidRPr="00A51748" w14:paraId="72A550E0" w14:textId="77777777" w:rsidTr="000F1995">
        <w:trPr>
          <w:cantSplit/>
          <w:trHeight w:val="963"/>
        </w:trPr>
        <w:tc>
          <w:tcPr>
            <w:tcW w:w="2274" w:type="dxa"/>
            <w:tcBorders>
              <w:bottom w:val="single" w:sz="4" w:space="0" w:color="auto"/>
            </w:tcBorders>
            <w:textDirection w:val="btLr"/>
            <w:vAlign w:val="center"/>
          </w:tcPr>
          <w:p w14:paraId="039DDDC4" w14:textId="77777777" w:rsidR="006429D4" w:rsidRPr="00A51748" w:rsidRDefault="006429D4" w:rsidP="006D6DCD">
            <w:pPr>
              <w:autoSpaceDE w:val="0"/>
              <w:autoSpaceDN w:val="0"/>
              <w:adjustRightInd w:val="0"/>
              <w:ind w:left="113" w:right="113"/>
              <w:rPr>
                <w:rFonts w:cs="Times New Roman"/>
                <w:szCs w:val="22"/>
                <w:lang w:val="en-CA"/>
              </w:rPr>
            </w:pPr>
          </w:p>
        </w:tc>
        <w:tc>
          <w:tcPr>
            <w:tcW w:w="955" w:type="dxa"/>
            <w:tcBorders>
              <w:bottom w:val="single" w:sz="4" w:space="0" w:color="auto"/>
            </w:tcBorders>
            <w:shd w:val="clear" w:color="auto" w:fill="D9ECFF"/>
            <w:textDirection w:val="btLr"/>
            <w:vAlign w:val="center"/>
          </w:tcPr>
          <w:p w14:paraId="5A515216" w14:textId="77777777" w:rsidR="006429D4" w:rsidRPr="00A51748" w:rsidRDefault="006429D4" w:rsidP="006D6DCD">
            <w:pPr>
              <w:autoSpaceDE w:val="0"/>
              <w:autoSpaceDN w:val="0"/>
              <w:adjustRightInd w:val="0"/>
              <w:ind w:left="113" w:right="113"/>
              <w:rPr>
                <w:rFonts w:cs="Times New Roman"/>
                <w:szCs w:val="22"/>
                <w:lang w:val="en-CA"/>
              </w:rPr>
            </w:pPr>
            <w:r w:rsidRPr="00A51748">
              <w:rPr>
                <w:rFonts w:cs="Times New Roman"/>
                <w:szCs w:val="22"/>
                <w:lang w:val="en-CA"/>
              </w:rPr>
              <w:t>Fiji</w:t>
            </w:r>
          </w:p>
        </w:tc>
        <w:tc>
          <w:tcPr>
            <w:tcW w:w="868" w:type="dxa"/>
            <w:tcBorders>
              <w:bottom w:val="single" w:sz="4" w:space="0" w:color="auto"/>
            </w:tcBorders>
            <w:shd w:val="clear" w:color="auto" w:fill="E7F3FF"/>
            <w:textDirection w:val="btLr"/>
            <w:vAlign w:val="center"/>
          </w:tcPr>
          <w:p w14:paraId="7CC7046F" w14:textId="77777777" w:rsidR="006429D4" w:rsidRPr="00A51748" w:rsidRDefault="006429D4" w:rsidP="006D6DCD">
            <w:pPr>
              <w:autoSpaceDE w:val="0"/>
              <w:autoSpaceDN w:val="0"/>
              <w:adjustRightInd w:val="0"/>
              <w:ind w:left="113" w:right="113"/>
              <w:rPr>
                <w:rFonts w:cs="Times New Roman"/>
                <w:szCs w:val="22"/>
                <w:lang w:val="en-CA"/>
              </w:rPr>
            </w:pPr>
            <w:r w:rsidRPr="00A51748">
              <w:rPr>
                <w:rFonts w:cs="Times New Roman"/>
                <w:szCs w:val="22"/>
                <w:lang w:val="en-CA"/>
              </w:rPr>
              <w:t>Papua New Guinea</w:t>
            </w:r>
          </w:p>
        </w:tc>
        <w:tc>
          <w:tcPr>
            <w:tcW w:w="868" w:type="dxa"/>
            <w:tcBorders>
              <w:bottom w:val="single" w:sz="4" w:space="0" w:color="auto"/>
            </w:tcBorders>
            <w:shd w:val="clear" w:color="auto" w:fill="D9ECFF"/>
            <w:textDirection w:val="btLr"/>
            <w:vAlign w:val="center"/>
          </w:tcPr>
          <w:p w14:paraId="7A020C7C" w14:textId="77777777" w:rsidR="006429D4" w:rsidRPr="00A51748" w:rsidRDefault="006429D4" w:rsidP="006D6DCD">
            <w:pPr>
              <w:autoSpaceDE w:val="0"/>
              <w:autoSpaceDN w:val="0"/>
              <w:adjustRightInd w:val="0"/>
              <w:ind w:left="113" w:right="113"/>
              <w:rPr>
                <w:rFonts w:cs="Times New Roman"/>
                <w:szCs w:val="22"/>
                <w:lang w:val="en-CA"/>
              </w:rPr>
            </w:pPr>
            <w:r w:rsidRPr="00A51748">
              <w:rPr>
                <w:rFonts w:cs="Times New Roman"/>
                <w:szCs w:val="22"/>
                <w:lang w:val="en-CA"/>
              </w:rPr>
              <w:t>Samoa</w:t>
            </w:r>
          </w:p>
        </w:tc>
        <w:tc>
          <w:tcPr>
            <w:tcW w:w="868" w:type="dxa"/>
            <w:tcBorders>
              <w:bottom w:val="single" w:sz="4" w:space="0" w:color="auto"/>
            </w:tcBorders>
            <w:shd w:val="clear" w:color="auto" w:fill="E7F3FF"/>
            <w:textDirection w:val="btLr"/>
            <w:vAlign w:val="center"/>
          </w:tcPr>
          <w:p w14:paraId="3BA5DC1F" w14:textId="77777777" w:rsidR="006429D4" w:rsidRPr="00A51748" w:rsidRDefault="006429D4" w:rsidP="006D6DCD">
            <w:pPr>
              <w:autoSpaceDE w:val="0"/>
              <w:autoSpaceDN w:val="0"/>
              <w:adjustRightInd w:val="0"/>
              <w:ind w:left="113" w:right="113"/>
              <w:rPr>
                <w:rFonts w:cs="Times New Roman"/>
                <w:szCs w:val="22"/>
                <w:lang w:val="en-CA"/>
              </w:rPr>
            </w:pPr>
            <w:r w:rsidRPr="00A51748">
              <w:rPr>
                <w:rFonts w:cs="Times New Roman"/>
                <w:szCs w:val="22"/>
                <w:lang w:val="en-CA"/>
              </w:rPr>
              <w:t>Solomon Islands</w:t>
            </w:r>
          </w:p>
        </w:tc>
        <w:tc>
          <w:tcPr>
            <w:tcW w:w="868" w:type="dxa"/>
            <w:tcBorders>
              <w:bottom w:val="single" w:sz="4" w:space="0" w:color="auto"/>
            </w:tcBorders>
            <w:shd w:val="clear" w:color="auto" w:fill="D9ECFF"/>
            <w:textDirection w:val="btLr"/>
            <w:vAlign w:val="center"/>
          </w:tcPr>
          <w:p w14:paraId="64FA5A77" w14:textId="77777777" w:rsidR="006429D4" w:rsidRPr="00A51748" w:rsidRDefault="006429D4" w:rsidP="006D6DCD">
            <w:pPr>
              <w:autoSpaceDE w:val="0"/>
              <w:autoSpaceDN w:val="0"/>
              <w:adjustRightInd w:val="0"/>
              <w:ind w:left="113" w:right="113"/>
              <w:rPr>
                <w:rFonts w:cs="Times New Roman"/>
                <w:szCs w:val="22"/>
                <w:lang w:val="en-CA"/>
              </w:rPr>
            </w:pPr>
            <w:r w:rsidRPr="00A51748">
              <w:rPr>
                <w:rFonts w:cs="Times New Roman"/>
                <w:szCs w:val="22"/>
                <w:lang w:val="en-CA"/>
              </w:rPr>
              <w:t>Tonga</w:t>
            </w:r>
          </w:p>
        </w:tc>
        <w:tc>
          <w:tcPr>
            <w:tcW w:w="868" w:type="dxa"/>
            <w:tcBorders>
              <w:bottom w:val="single" w:sz="4" w:space="0" w:color="auto"/>
            </w:tcBorders>
            <w:shd w:val="clear" w:color="auto" w:fill="E7F3FF"/>
            <w:textDirection w:val="btLr"/>
            <w:vAlign w:val="center"/>
          </w:tcPr>
          <w:p w14:paraId="736D72D3" w14:textId="77777777" w:rsidR="006429D4" w:rsidRPr="00A51748" w:rsidRDefault="006429D4" w:rsidP="006D6DCD">
            <w:pPr>
              <w:autoSpaceDE w:val="0"/>
              <w:autoSpaceDN w:val="0"/>
              <w:adjustRightInd w:val="0"/>
              <w:ind w:left="113" w:right="113"/>
              <w:rPr>
                <w:rFonts w:cs="Times New Roman"/>
                <w:szCs w:val="22"/>
                <w:lang w:val="en-CA"/>
              </w:rPr>
            </w:pPr>
            <w:r w:rsidRPr="00A51748">
              <w:rPr>
                <w:rFonts w:cs="Times New Roman"/>
                <w:szCs w:val="22"/>
                <w:lang w:val="en-CA"/>
              </w:rPr>
              <w:t>Tuvalu</w:t>
            </w:r>
          </w:p>
        </w:tc>
        <w:tc>
          <w:tcPr>
            <w:tcW w:w="868" w:type="dxa"/>
            <w:tcBorders>
              <w:bottom w:val="single" w:sz="4" w:space="0" w:color="auto"/>
            </w:tcBorders>
            <w:shd w:val="clear" w:color="auto" w:fill="D9ECFF"/>
            <w:textDirection w:val="btLr"/>
            <w:vAlign w:val="center"/>
          </w:tcPr>
          <w:p w14:paraId="48DB028F" w14:textId="77777777" w:rsidR="006429D4" w:rsidRPr="00A51748" w:rsidRDefault="006429D4" w:rsidP="006D6DCD">
            <w:pPr>
              <w:autoSpaceDE w:val="0"/>
              <w:autoSpaceDN w:val="0"/>
              <w:adjustRightInd w:val="0"/>
              <w:ind w:left="113" w:right="113"/>
              <w:rPr>
                <w:rFonts w:cs="Times New Roman"/>
                <w:szCs w:val="22"/>
                <w:lang w:val="en-CA"/>
              </w:rPr>
            </w:pPr>
            <w:r w:rsidRPr="00A51748">
              <w:rPr>
                <w:rFonts w:cs="Times New Roman"/>
                <w:szCs w:val="22"/>
                <w:lang w:val="en-CA"/>
              </w:rPr>
              <w:t>Vanuatu</w:t>
            </w:r>
          </w:p>
        </w:tc>
        <w:tc>
          <w:tcPr>
            <w:tcW w:w="1215" w:type="dxa"/>
            <w:tcBorders>
              <w:bottom w:val="single" w:sz="4" w:space="0" w:color="auto"/>
            </w:tcBorders>
            <w:textDirection w:val="btLr"/>
            <w:vAlign w:val="center"/>
          </w:tcPr>
          <w:p w14:paraId="14FE162C" w14:textId="77777777" w:rsidR="006429D4" w:rsidRPr="00A51748" w:rsidRDefault="006429D4" w:rsidP="006D6DCD">
            <w:pPr>
              <w:autoSpaceDE w:val="0"/>
              <w:autoSpaceDN w:val="0"/>
              <w:adjustRightInd w:val="0"/>
              <w:ind w:left="113" w:right="113"/>
              <w:rPr>
                <w:rFonts w:cs="Times New Roman"/>
                <w:b/>
                <w:szCs w:val="22"/>
                <w:lang w:val="en-CA"/>
              </w:rPr>
            </w:pPr>
            <w:r w:rsidRPr="00A51748">
              <w:rPr>
                <w:rFonts w:cs="Times New Roman"/>
                <w:b/>
                <w:szCs w:val="22"/>
                <w:lang w:val="en-CA"/>
              </w:rPr>
              <w:t>Totals</w:t>
            </w:r>
          </w:p>
        </w:tc>
      </w:tr>
      <w:tr w:rsidR="006429D4" w:rsidRPr="00A51748" w14:paraId="0071BFA5" w14:textId="77777777" w:rsidTr="000F19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274" w:type="dxa"/>
            <w:tcBorders>
              <w:top w:val="single" w:sz="4" w:space="0" w:color="auto"/>
              <w:left w:val="single" w:sz="4" w:space="0" w:color="auto"/>
              <w:bottom w:val="single" w:sz="4" w:space="0" w:color="auto"/>
              <w:right w:val="single" w:sz="4" w:space="0" w:color="auto"/>
            </w:tcBorders>
            <w:vAlign w:val="center"/>
          </w:tcPr>
          <w:p w14:paraId="4B1C98BC"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Marine Managed Areas (all records)</w:t>
            </w:r>
          </w:p>
        </w:tc>
        <w:tc>
          <w:tcPr>
            <w:tcW w:w="955" w:type="dxa"/>
            <w:tcBorders>
              <w:top w:val="single" w:sz="4" w:space="0" w:color="auto"/>
              <w:left w:val="single" w:sz="4" w:space="0" w:color="auto"/>
              <w:bottom w:val="single" w:sz="4" w:space="0" w:color="auto"/>
              <w:right w:val="single" w:sz="4" w:space="0" w:color="auto"/>
            </w:tcBorders>
            <w:shd w:val="clear" w:color="auto" w:fill="D9ECFF"/>
            <w:vAlign w:val="center"/>
          </w:tcPr>
          <w:p w14:paraId="231C4BC6"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246</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0F93BEDA"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166</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320D7575"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84</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495FCF30"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127</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7B9C3B6D"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18</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33A0C061"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10</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390125C7"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55</w:t>
            </w:r>
          </w:p>
        </w:tc>
        <w:tc>
          <w:tcPr>
            <w:tcW w:w="1215" w:type="dxa"/>
            <w:tcBorders>
              <w:top w:val="single" w:sz="4" w:space="0" w:color="auto"/>
              <w:left w:val="single" w:sz="4" w:space="0" w:color="auto"/>
              <w:bottom w:val="single" w:sz="4" w:space="0" w:color="auto"/>
              <w:right w:val="single" w:sz="4" w:space="0" w:color="auto"/>
            </w:tcBorders>
            <w:vAlign w:val="center"/>
          </w:tcPr>
          <w:p w14:paraId="7C130347" w14:textId="77777777" w:rsidR="006429D4" w:rsidRPr="00A51748" w:rsidRDefault="006429D4" w:rsidP="006D6DCD">
            <w:pPr>
              <w:autoSpaceDE w:val="0"/>
              <w:autoSpaceDN w:val="0"/>
              <w:adjustRightInd w:val="0"/>
              <w:rPr>
                <w:rFonts w:cs="Times New Roman"/>
                <w:b/>
                <w:szCs w:val="22"/>
                <w:lang w:val="en-CA"/>
              </w:rPr>
            </w:pPr>
            <w:r w:rsidRPr="00A51748">
              <w:rPr>
                <w:rFonts w:cs="Times New Roman"/>
                <w:b/>
                <w:szCs w:val="22"/>
                <w:lang w:val="en-CA"/>
              </w:rPr>
              <w:t>745</w:t>
            </w:r>
          </w:p>
        </w:tc>
      </w:tr>
      <w:tr w:rsidR="006429D4" w:rsidRPr="00A51748" w14:paraId="2D2A6865" w14:textId="77777777" w:rsidTr="000F19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274" w:type="dxa"/>
            <w:tcBorders>
              <w:top w:val="single" w:sz="4" w:space="0" w:color="auto"/>
              <w:left w:val="single" w:sz="4" w:space="0" w:color="auto"/>
              <w:bottom w:val="single" w:sz="4" w:space="0" w:color="auto"/>
              <w:right w:val="single" w:sz="4" w:space="0" w:color="auto"/>
            </w:tcBorders>
            <w:vAlign w:val="center"/>
          </w:tcPr>
          <w:p w14:paraId="26D1D25E"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Marine Managed Areas "Active" (est.)</w:t>
            </w:r>
          </w:p>
        </w:tc>
        <w:tc>
          <w:tcPr>
            <w:tcW w:w="955" w:type="dxa"/>
            <w:tcBorders>
              <w:top w:val="single" w:sz="4" w:space="0" w:color="auto"/>
              <w:left w:val="single" w:sz="4" w:space="0" w:color="auto"/>
              <w:bottom w:val="single" w:sz="4" w:space="0" w:color="auto"/>
              <w:right w:val="single" w:sz="4" w:space="0" w:color="auto"/>
            </w:tcBorders>
            <w:shd w:val="clear" w:color="auto" w:fill="D9ECFF"/>
            <w:vAlign w:val="center"/>
          </w:tcPr>
          <w:p w14:paraId="5A80272E"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217</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016BFC8C"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80</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26C44726"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54</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52EA50CD"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113</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022A9F35"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6</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382A5E11"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4</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4C67734A"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20</w:t>
            </w:r>
          </w:p>
        </w:tc>
        <w:tc>
          <w:tcPr>
            <w:tcW w:w="1215" w:type="dxa"/>
            <w:tcBorders>
              <w:top w:val="single" w:sz="4" w:space="0" w:color="auto"/>
              <w:left w:val="single" w:sz="4" w:space="0" w:color="auto"/>
              <w:bottom w:val="single" w:sz="4" w:space="0" w:color="auto"/>
              <w:right w:val="single" w:sz="4" w:space="0" w:color="auto"/>
            </w:tcBorders>
            <w:vAlign w:val="center"/>
          </w:tcPr>
          <w:p w14:paraId="37BEC8CE" w14:textId="77777777" w:rsidR="006429D4" w:rsidRPr="00A51748" w:rsidRDefault="006429D4" w:rsidP="006D6DCD">
            <w:pPr>
              <w:autoSpaceDE w:val="0"/>
              <w:autoSpaceDN w:val="0"/>
              <w:adjustRightInd w:val="0"/>
              <w:rPr>
                <w:rFonts w:cs="Times New Roman"/>
                <w:b/>
                <w:szCs w:val="22"/>
                <w:lang w:val="en-CA"/>
              </w:rPr>
            </w:pPr>
            <w:r w:rsidRPr="00A51748">
              <w:rPr>
                <w:rFonts w:cs="Times New Roman"/>
                <w:b/>
                <w:szCs w:val="22"/>
                <w:lang w:val="en-CA"/>
              </w:rPr>
              <w:t>518</w:t>
            </w:r>
          </w:p>
        </w:tc>
      </w:tr>
      <w:tr w:rsidR="006429D4" w:rsidRPr="00A51748" w14:paraId="37A4FB90" w14:textId="77777777" w:rsidTr="000F19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274" w:type="dxa"/>
            <w:tcBorders>
              <w:top w:val="single" w:sz="4" w:space="0" w:color="auto"/>
              <w:left w:val="single" w:sz="4" w:space="0" w:color="auto"/>
              <w:bottom w:val="single" w:sz="4" w:space="0" w:color="auto"/>
              <w:right w:val="single" w:sz="4" w:space="0" w:color="auto"/>
            </w:tcBorders>
            <w:vAlign w:val="center"/>
          </w:tcPr>
          <w:p w14:paraId="4EF3B133"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Locally managed marine areas</w:t>
            </w:r>
          </w:p>
        </w:tc>
        <w:tc>
          <w:tcPr>
            <w:tcW w:w="955" w:type="dxa"/>
            <w:tcBorders>
              <w:top w:val="single" w:sz="4" w:space="0" w:color="auto"/>
              <w:left w:val="single" w:sz="4" w:space="0" w:color="auto"/>
              <w:bottom w:val="single" w:sz="4" w:space="0" w:color="auto"/>
              <w:right w:val="single" w:sz="4" w:space="0" w:color="auto"/>
            </w:tcBorders>
            <w:shd w:val="clear" w:color="auto" w:fill="D9ECFF"/>
            <w:vAlign w:val="center"/>
          </w:tcPr>
          <w:p w14:paraId="75E1C871"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217</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71D38BDC"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86</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5BA97E04"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59</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10544C7A"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113</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0D06A2D0"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6</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52A0CBC5"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10</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7DB625F8"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44</w:t>
            </w:r>
          </w:p>
        </w:tc>
        <w:tc>
          <w:tcPr>
            <w:tcW w:w="1215" w:type="dxa"/>
            <w:tcBorders>
              <w:top w:val="single" w:sz="4" w:space="0" w:color="auto"/>
              <w:left w:val="single" w:sz="4" w:space="0" w:color="auto"/>
              <w:bottom w:val="single" w:sz="4" w:space="0" w:color="auto"/>
              <w:right w:val="single" w:sz="4" w:space="0" w:color="auto"/>
            </w:tcBorders>
            <w:vAlign w:val="center"/>
          </w:tcPr>
          <w:p w14:paraId="4FDBA064" w14:textId="77777777" w:rsidR="006429D4" w:rsidRPr="00A51748" w:rsidRDefault="006429D4" w:rsidP="006D6DCD">
            <w:pPr>
              <w:autoSpaceDE w:val="0"/>
              <w:autoSpaceDN w:val="0"/>
              <w:adjustRightInd w:val="0"/>
              <w:rPr>
                <w:rFonts w:cs="Times New Roman"/>
                <w:b/>
                <w:szCs w:val="22"/>
                <w:lang w:val="en-CA"/>
              </w:rPr>
            </w:pPr>
            <w:r w:rsidRPr="00A51748">
              <w:rPr>
                <w:rFonts w:cs="Times New Roman"/>
                <w:b/>
                <w:szCs w:val="22"/>
                <w:lang w:val="en-CA"/>
              </w:rPr>
              <w:t>558</w:t>
            </w:r>
          </w:p>
        </w:tc>
      </w:tr>
      <w:tr w:rsidR="006429D4" w:rsidRPr="00A51748" w14:paraId="31F01BEB" w14:textId="77777777" w:rsidTr="000F19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274" w:type="dxa"/>
            <w:tcBorders>
              <w:top w:val="single" w:sz="4" w:space="0" w:color="auto"/>
              <w:left w:val="single" w:sz="4" w:space="0" w:color="auto"/>
              <w:bottom w:val="single" w:sz="4" w:space="0" w:color="auto"/>
              <w:right w:val="single" w:sz="4" w:space="0" w:color="auto"/>
            </w:tcBorders>
            <w:vAlign w:val="center"/>
          </w:tcPr>
          <w:p w14:paraId="4F5397FB"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Community Conserved Areas</w:t>
            </w:r>
          </w:p>
        </w:tc>
        <w:tc>
          <w:tcPr>
            <w:tcW w:w="955" w:type="dxa"/>
            <w:tcBorders>
              <w:top w:val="single" w:sz="4" w:space="0" w:color="auto"/>
              <w:left w:val="single" w:sz="4" w:space="0" w:color="auto"/>
              <w:bottom w:val="single" w:sz="4" w:space="0" w:color="auto"/>
              <w:right w:val="single" w:sz="4" w:space="0" w:color="auto"/>
            </w:tcBorders>
            <w:shd w:val="clear" w:color="auto" w:fill="D9ECFF"/>
            <w:vAlign w:val="center"/>
          </w:tcPr>
          <w:p w14:paraId="54FA5BC3"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217</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239F310B"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79</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2D29275F"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82</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1ED84014"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109</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691F0D90"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0</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67584665"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10</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40917EE9"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44</w:t>
            </w:r>
          </w:p>
        </w:tc>
        <w:tc>
          <w:tcPr>
            <w:tcW w:w="1215" w:type="dxa"/>
            <w:tcBorders>
              <w:top w:val="single" w:sz="4" w:space="0" w:color="auto"/>
              <w:left w:val="single" w:sz="4" w:space="0" w:color="auto"/>
              <w:bottom w:val="single" w:sz="4" w:space="0" w:color="auto"/>
              <w:right w:val="single" w:sz="4" w:space="0" w:color="auto"/>
            </w:tcBorders>
            <w:vAlign w:val="center"/>
          </w:tcPr>
          <w:p w14:paraId="28BE91E7" w14:textId="77777777" w:rsidR="006429D4" w:rsidRPr="00A51748" w:rsidRDefault="006429D4" w:rsidP="006D6DCD">
            <w:pPr>
              <w:autoSpaceDE w:val="0"/>
              <w:autoSpaceDN w:val="0"/>
              <w:adjustRightInd w:val="0"/>
              <w:rPr>
                <w:rFonts w:cs="Times New Roman"/>
                <w:b/>
                <w:szCs w:val="22"/>
                <w:lang w:val="en-CA"/>
              </w:rPr>
            </w:pPr>
            <w:r w:rsidRPr="00A51748">
              <w:rPr>
                <w:rFonts w:cs="Times New Roman"/>
                <w:b/>
                <w:szCs w:val="22"/>
                <w:lang w:val="en-CA"/>
              </w:rPr>
              <w:t>564</w:t>
            </w:r>
          </w:p>
        </w:tc>
      </w:tr>
      <w:tr w:rsidR="006429D4" w:rsidRPr="00A51748" w14:paraId="3A8B7DAF" w14:textId="77777777" w:rsidTr="000F19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274" w:type="dxa"/>
            <w:tcBorders>
              <w:top w:val="single" w:sz="4" w:space="0" w:color="auto"/>
              <w:left w:val="single" w:sz="4" w:space="0" w:color="auto"/>
              <w:bottom w:val="single" w:sz="4" w:space="0" w:color="auto"/>
              <w:right w:val="single" w:sz="4" w:space="0" w:color="auto"/>
            </w:tcBorders>
            <w:vAlign w:val="center"/>
          </w:tcPr>
          <w:p w14:paraId="636BC768"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No-take Zones</w:t>
            </w:r>
          </w:p>
        </w:tc>
        <w:tc>
          <w:tcPr>
            <w:tcW w:w="955" w:type="dxa"/>
            <w:tcBorders>
              <w:top w:val="single" w:sz="4" w:space="0" w:color="auto"/>
              <w:left w:val="single" w:sz="4" w:space="0" w:color="auto"/>
              <w:bottom w:val="single" w:sz="4" w:space="0" w:color="auto"/>
              <w:right w:val="single" w:sz="4" w:space="0" w:color="auto"/>
            </w:tcBorders>
            <w:shd w:val="clear" w:color="auto" w:fill="D9ECFF"/>
            <w:vAlign w:val="center"/>
          </w:tcPr>
          <w:p w14:paraId="38CDD419"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222</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4B4E8B76"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94</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1F49198B"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82</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52659DA5"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115</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1F5DACF8"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9</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67C15A64"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3</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7FB5A649"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44</w:t>
            </w:r>
          </w:p>
        </w:tc>
        <w:tc>
          <w:tcPr>
            <w:tcW w:w="1215" w:type="dxa"/>
            <w:tcBorders>
              <w:top w:val="single" w:sz="4" w:space="0" w:color="auto"/>
              <w:left w:val="single" w:sz="4" w:space="0" w:color="auto"/>
              <w:bottom w:val="single" w:sz="4" w:space="0" w:color="auto"/>
              <w:right w:val="single" w:sz="4" w:space="0" w:color="auto"/>
            </w:tcBorders>
            <w:vAlign w:val="center"/>
          </w:tcPr>
          <w:p w14:paraId="76B9374D" w14:textId="77777777" w:rsidR="006429D4" w:rsidRPr="00A51748" w:rsidRDefault="006429D4" w:rsidP="006D6DCD">
            <w:pPr>
              <w:autoSpaceDE w:val="0"/>
              <w:autoSpaceDN w:val="0"/>
              <w:adjustRightInd w:val="0"/>
              <w:rPr>
                <w:rFonts w:cs="Times New Roman"/>
                <w:b/>
                <w:szCs w:val="22"/>
                <w:lang w:val="en-CA"/>
              </w:rPr>
            </w:pPr>
            <w:r w:rsidRPr="00A51748">
              <w:rPr>
                <w:rFonts w:cs="Times New Roman"/>
                <w:b/>
                <w:szCs w:val="22"/>
                <w:lang w:val="en-CA"/>
              </w:rPr>
              <w:t>593</w:t>
            </w:r>
          </w:p>
        </w:tc>
      </w:tr>
      <w:tr w:rsidR="006429D4" w:rsidRPr="00A51748" w14:paraId="2AE783BC" w14:textId="77777777" w:rsidTr="000F19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274" w:type="dxa"/>
            <w:tcBorders>
              <w:top w:val="single" w:sz="4" w:space="0" w:color="auto"/>
              <w:left w:val="single" w:sz="4" w:space="0" w:color="auto"/>
              <w:bottom w:val="single" w:sz="4" w:space="0" w:color="auto"/>
              <w:right w:val="single" w:sz="4" w:space="0" w:color="auto"/>
            </w:tcBorders>
            <w:vAlign w:val="center"/>
          </w:tcPr>
          <w:p w14:paraId="14616E08"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MMA coverage, all records (Km</w:t>
            </w:r>
            <w:r w:rsidRPr="00A51748">
              <w:rPr>
                <w:rFonts w:cs="Times New Roman"/>
                <w:szCs w:val="22"/>
                <w:vertAlign w:val="superscript"/>
                <w:lang w:val="en-CA"/>
              </w:rPr>
              <w:t>2</w:t>
            </w:r>
            <w:r w:rsidRPr="00A51748">
              <w:rPr>
                <w:rFonts w:cs="Times New Roman"/>
                <w:szCs w:val="22"/>
                <w:lang w:val="en-CA"/>
              </w:rPr>
              <w:t>)</w:t>
            </w:r>
          </w:p>
        </w:tc>
        <w:tc>
          <w:tcPr>
            <w:tcW w:w="955" w:type="dxa"/>
            <w:tcBorders>
              <w:top w:val="single" w:sz="4" w:space="0" w:color="auto"/>
              <w:left w:val="single" w:sz="4" w:space="0" w:color="auto"/>
              <w:bottom w:val="single" w:sz="4" w:space="0" w:color="auto"/>
              <w:right w:val="single" w:sz="4" w:space="0" w:color="auto"/>
            </w:tcBorders>
            <w:shd w:val="clear" w:color="auto" w:fill="D9ECFF"/>
            <w:vAlign w:val="center"/>
          </w:tcPr>
          <w:p w14:paraId="78C6D902"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10,880</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7F801317"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3,764</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6F6952D0"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209.1</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369AE056"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1,381</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6E9D16EF"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10,009</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1B85CAE8"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75.6</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76C5F853"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89.4</w:t>
            </w:r>
          </w:p>
        </w:tc>
        <w:tc>
          <w:tcPr>
            <w:tcW w:w="1215" w:type="dxa"/>
            <w:tcBorders>
              <w:top w:val="single" w:sz="4" w:space="0" w:color="auto"/>
              <w:left w:val="single" w:sz="4" w:space="0" w:color="auto"/>
              <w:bottom w:val="single" w:sz="4" w:space="0" w:color="auto"/>
              <w:right w:val="single" w:sz="4" w:space="0" w:color="auto"/>
            </w:tcBorders>
            <w:vAlign w:val="center"/>
          </w:tcPr>
          <w:p w14:paraId="23D48463" w14:textId="77777777" w:rsidR="006429D4" w:rsidRPr="00A51748" w:rsidRDefault="006429D4" w:rsidP="006D6DCD">
            <w:pPr>
              <w:autoSpaceDE w:val="0"/>
              <w:autoSpaceDN w:val="0"/>
              <w:adjustRightInd w:val="0"/>
              <w:rPr>
                <w:rFonts w:cs="Times New Roman"/>
                <w:b/>
                <w:szCs w:val="22"/>
                <w:lang w:val="en-CA"/>
              </w:rPr>
            </w:pPr>
            <w:r w:rsidRPr="00A51748">
              <w:rPr>
                <w:rFonts w:cs="Times New Roman"/>
                <w:b/>
                <w:szCs w:val="22"/>
                <w:lang w:val="en-CA"/>
              </w:rPr>
              <w:t>26,427</w:t>
            </w:r>
          </w:p>
        </w:tc>
      </w:tr>
      <w:tr w:rsidR="006429D4" w:rsidRPr="00A51748" w14:paraId="5DDAE470" w14:textId="77777777" w:rsidTr="000F19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274" w:type="dxa"/>
            <w:tcBorders>
              <w:top w:val="single" w:sz="4" w:space="0" w:color="auto"/>
              <w:left w:val="single" w:sz="4" w:space="0" w:color="auto"/>
              <w:bottom w:val="single" w:sz="4" w:space="0" w:color="auto"/>
              <w:right w:val="single" w:sz="4" w:space="0" w:color="auto"/>
            </w:tcBorders>
            <w:vAlign w:val="center"/>
          </w:tcPr>
          <w:p w14:paraId="0EB59EDD"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LMMA coverage (Km</w:t>
            </w:r>
            <w:r w:rsidRPr="00A51748">
              <w:rPr>
                <w:rFonts w:cs="Times New Roman"/>
                <w:szCs w:val="22"/>
                <w:vertAlign w:val="superscript"/>
                <w:lang w:val="en-CA"/>
              </w:rPr>
              <w:t>2</w:t>
            </w:r>
            <w:r w:rsidRPr="00A51748">
              <w:rPr>
                <w:rFonts w:cs="Times New Roman"/>
                <w:szCs w:val="22"/>
                <w:lang w:val="en-CA"/>
              </w:rPr>
              <w:t>)</w:t>
            </w:r>
          </w:p>
        </w:tc>
        <w:tc>
          <w:tcPr>
            <w:tcW w:w="955" w:type="dxa"/>
            <w:tcBorders>
              <w:top w:val="single" w:sz="4" w:space="0" w:color="auto"/>
              <w:left w:val="single" w:sz="4" w:space="0" w:color="auto"/>
              <w:bottom w:val="single" w:sz="4" w:space="0" w:color="auto"/>
              <w:right w:val="single" w:sz="4" w:space="0" w:color="auto"/>
            </w:tcBorders>
            <w:shd w:val="clear" w:color="auto" w:fill="D9ECFF"/>
            <w:vAlign w:val="center"/>
          </w:tcPr>
          <w:p w14:paraId="689C3669"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10,816</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4BE047D7"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59.4</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7630D9F2"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119.5</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4B2606C2"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941</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0CDE2569"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92.9</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414DD3F5"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75.6</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61C93B4A"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58.1</w:t>
            </w:r>
          </w:p>
        </w:tc>
        <w:tc>
          <w:tcPr>
            <w:tcW w:w="1215" w:type="dxa"/>
            <w:tcBorders>
              <w:top w:val="single" w:sz="4" w:space="0" w:color="auto"/>
              <w:left w:val="single" w:sz="4" w:space="0" w:color="auto"/>
              <w:bottom w:val="single" w:sz="4" w:space="0" w:color="auto"/>
              <w:right w:val="single" w:sz="4" w:space="0" w:color="auto"/>
            </w:tcBorders>
            <w:vAlign w:val="center"/>
          </w:tcPr>
          <w:p w14:paraId="7FF46530" w14:textId="77777777" w:rsidR="006429D4" w:rsidRPr="00A51748" w:rsidRDefault="006429D4" w:rsidP="006D6DCD">
            <w:pPr>
              <w:autoSpaceDE w:val="0"/>
              <w:autoSpaceDN w:val="0"/>
              <w:adjustRightInd w:val="0"/>
              <w:rPr>
                <w:rFonts w:cs="Times New Roman"/>
                <w:b/>
                <w:szCs w:val="22"/>
                <w:lang w:val="en-CA"/>
              </w:rPr>
            </w:pPr>
            <w:r w:rsidRPr="00A51748">
              <w:rPr>
                <w:rFonts w:cs="Times New Roman"/>
                <w:b/>
                <w:szCs w:val="22"/>
                <w:lang w:val="en-CA"/>
              </w:rPr>
              <w:t>12,180</w:t>
            </w:r>
          </w:p>
        </w:tc>
      </w:tr>
      <w:tr w:rsidR="006429D4" w:rsidRPr="00A51748" w14:paraId="36CBA230" w14:textId="77777777" w:rsidTr="000F19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274" w:type="dxa"/>
            <w:tcBorders>
              <w:top w:val="single" w:sz="4" w:space="0" w:color="auto"/>
              <w:left w:val="single" w:sz="4" w:space="0" w:color="auto"/>
              <w:bottom w:val="single" w:sz="4" w:space="0" w:color="auto"/>
              <w:right w:val="single" w:sz="4" w:space="0" w:color="auto"/>
            </w:tcBorders>
            <w:vAlign w:val="center"/>
          </w:tcPr>
          <w:p w14:paraId="317A7C39"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No-take Zones (Km</w:t>
            </w:r>
            <w:r w:rsidRPr="00A51748">
              <w:rPr>
                <w:rFonts w:cs="Times New Roman"/>
                <w:szCs w:val="22"/>
                <w:vertAlign w:val="superscript"/>
                <w:lang w:val="en-CA"/>
              </w:rPr>
              <w:t>2</w:t>
            </w:r>
            <w:r w:rsidRPr="00A51748">
              <w:rPr>
                <w:rFonts w:cs="Times New Roman"/>
                <w:szCs w:val="22"/>
                <w:lang w:val="en-CA"/>
              </w:rPr>
              <w:t>)</w:t>
            </w:r>
          </w:p>
        </w:tc>
        <w:tc>
          <w:tcPr>
            <w:tcW w:w="955" w:type="dxa"/>
            <w:tcBorders>
              <w:top w:val="single" w:sz="4" w:space="0" w:color="auto"/>
              <w:left w:val="single" w:sz="4" w:space="0" w:color="auto"/>
              <w:bottom w:val="single" w:sz="4" w:space="0" w:color="auto"/>
              <w:right w:val="single" w:sz="4" w:space="0" w:color="auto"/>
            </w:tcBorders>
            <w:shd w:val="clear" w:color="auto" w:fill="D9ECFF"/>
            <w:vAlign w:val="center"/>
          </w:tcPr>
          <w:p w14:paraId="42FC60E3"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593.0</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671DB78F"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18.0</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7A17D3A5"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15.8</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7F1F53F4"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310.5</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6FE4B0F2"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10.1</w:t>
            </w:r>
          </w:p>
        </w:tc>
        <w:tc>
          <w:tcPr>
            <w:tcW w:w="868" w:type="dxa"/>
            <w:tcBorders>
              <w:top w:val="single" w:sz="4" w:space="0" w:color="auto"/>
              <w:left w:val="single" w:sz="4" w:space="0" w:color="auto"/>
              <w:bottom w:val="single" w:sz="4" w:space="0" w:color="auto"/>
              <w:right w:val="single" w:sz="4" w:space="0" w:color="auto"/>
            </w:tcBorders>
            <w:shd w:val="clear" w:color="auto" w:fill="E7F3FF"/>
            <w:vAlign w:val="center"/>
          </w:tcPr>
          <w:p w14:paraId="3365371D"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50.2</w:t>
            </w:r>
          </w:p>
        </w:tc>
        <w:tc>
          <w:tcPr>
            <w:tcW w:w="868" w:type="dxa"/>
            <w:tcBorders>
              <w:top w:val="single" w:sz="4" w:space="0" w:color="auto"/>
              <w:left w:val="single" w:sz="4" w:space="0" w:color="auto"/>
              <w:bottom w:val="single" w:sz="4" w:space="0" w:color="auto"/>
              <w:right w:val="single" w:sz="4" w:space="0" w:color="auto"/>
            </w:tcBorders>
            <w:shd w:val="clear" w:color="auto" w:fill="D9ECFF"/>
            <w:vAlign w:val="center"/>
          </w:tcPr>
          <w:p w14:paraId="4D002F79" w14:textId="77777777" w:rsidR="006429D4" w:rsidRPr="00A51748" w:rsidRDefault="006429D4" w:rsidP="006D6DCD">
            <w:pPr>
              <w:autoSpaceDE w:val="0"/>
              <w:autoSpaceDN w:val="0"/>
              <w:adjustRightInd w:val="0"/>
              <w:rPr>
                <w:rFonts w:cs="Times New Roman"/>
                <w:szCs w:val="22"/>
                <w:lang w:val="en-CA"/>
              </w:rPr>
            </w:pPr>
            <w:r w:rsidRPr="00A51748">
              <w:rPr>
                <w:rFonts w:cs="Times New Roman"/>
                <w:szCs w:val="22"/>
                <w:lang w:val="en-CA"/>
              </w:rPr>
              <w:t>89.4</w:t>
            </w:r>
          </w:p>
        </w:tc>
        <w:tc>
          <w:tcPr>
            <w:tcW w:w="1215" w:type="dxa"/>
            <w:tcBorders>
              <w:top w:val="single" w:sz="4" w:space="0" w:color="auto"/>
              <w:left w:val="single" w:sz="4" w:space="0" w:color="auto"/>
              <w:bottom w:val="single" w:sz="4" w:space="0" w:color="auto"/>
              <w:right w:val="single" w:sz="4" w:space="0" w:color="auto"/>
            </w:tcBorders>
            <w:vAlign w:val="center"/>
          </w:tcPr>
          <w:p w14:paraId="1B2A09EE" w14:textId="77777777" w:rsidR="006429D4" w:rsidRPr="00A51748" w:rsidRDefault="006429D4" w:rsidP="006D6DCD">
            <w:pPr>
              <w:autoSpaceDE w:val="0"/>
              <w:autoSpaceDN w:val="0"/>
              <w:adjustRightInd w:val="0"/>
              <w:rPr>
                <w:rFonts w:cs="Times New Roman"/>
                <w:b/>
                <w:szCs w:val="22"/>
                <w:lang w:val="en-CA"/>
              </w:rPr>
            </w:pPr>
            <w:r w:rsidRPr="00A51748">
              <w:rPr>
                <w:rFonts w:cs="Times New Roman"/>
                <w:b/>
                <w:szCs w:val="22"/>
                <w:lang w:val="en-CA"/>
              </w:rPr>
              <w:t>1,107</w:t>
            </w:r>
          </w:p>
        </w:tc>
      </w:tr>
    </w:tbl>
    <w:p w14:paraId="6A47C842" w14:textId="2BA30627" w:rsidR="006429D4" w:rsidRPr="00A51748" w:rsidRDefault="006429D4" w:rsidP="006D6DCD">
      <w:pPr>
        <w:pStyle w:val="Heading3"/>
        <w:numPr>
          <w:ilvl w:val="0"/>
          <w:numId w:val="29"/>
        </w:numPr>
        <w:spacing w:before="0"/>
        <w:jc w:val="both"/>
      </w:pPr>
      <w:r w:rsidRPr="00A51748">
        <w:t>Marine OECMs</w:t>
      </w:r>
    </w:p>
    <w:p w14:paraId="294FD9F0" w14:textId="579FB90E" w:rsidR="006429D4" w:rsidRPr="00A51748" w:rsidRDefault="006429D4" w:rsidP="006D6DCD">
      <w:pPr>
        <w:ind w:firstLine="709"/>
        <w:rPr>
          <w:rFonts w:cs="Times New Roman"/>
          <w:szCs w:val="22"/>
        </w:rPr>
      </w:pPr>
      <w:r w:rsidRPr="00A51748">
        <w:rPr>
          <w:rFonts w:cs="Times New Roman"/>
        </w:rPr>
        <w:t>To date, there is no data for the global coverage of marine OECMs. However, some countries have already begun to consider marine OECMs within their own national conservation frameworks. One example of such a country is Canada.</w:t>
      </w:r>
      <w:r w:rsidR="00AC1C46" w:rsidRPr="00A51748">
        <w:rPr>
          <w:rFonts w:cs="Times New Roman"/>
        </w:rPr>
        <w:t xml:space="preserve"> </w:t>
      </w:r>
      <w:r w:rsidRPr="00A51748">
        <w:rPr>
          <w:rFonts w:cs="Times New Roman"/>
          <w:szCs w:val="22"/>
        </w:rPr>
        <w:t xml:space="preserve">Fisheries management measures in Canadian waters that qualify as </w:t>
      </w:r>
      <w:r w:rsidRPr="00A51748">
        <w:rPr>
          <w:rFonts w:cs="Times New Roman"/>
          <w:szCs w:val="22"/>
        </w:rPr>
        <w:lastRenderedPageBreak/>
        <w:t xml:space="preserve">other effective area-based conservation measures are considered as “marine refuges”. These measures are designated to help protect important species and their habitats, including unique and significant aggregations of corals and sponges. Canada intends to keep these measures in place for the long-term, creating a lasting contribution to marine conservation. As of April 25, 2019, these </w:t>
      </w:r>
      <w:bookmarkStart w:id="6" w:name="_Hlk23697785"/>
      <w:r w:rsidRPr="00A51748">
        <w:rPr>
          <w:rFonts w:cs="Times New Roman"/>
          <w:szCs w:val="22"/>
        </w:rPr>
        <w:t>marine OECMs cover 283,365 km</w:t>
      </w:r>
      <w:r w:rsidRPr="00A51748">
        <w:rPr>
          <w:rFonts w:cs="Times New Roman"/>
          <w:szCs w:val="22"/>
          <w:vertAlign w:val="superscript"/>
        </w:rPr>
        <w:t>2</w:t>
      </w:r>
      <w:r w:rsidRPr="00A51748">
        <w:rPr>
          <w:rFonts w:cs="Times New Roman"/>
          <w:szCs w:val="22"/>
        </w:rPr>
        <w:t> </w:t>
      </w:r>
      <w:bookmarkEnd w:id="6"/>
      <w:r w:rsidRPr="00A51748">
        <w:rPr>
          <w:rFonts w:cs="Times New Roman"/>
          <w:szCs w:val="22"/>
        </w:rPr>
        <w:t>(4.93% of Canada’s marine territory). Marine refuges make a significant contribution to the achievement of Canada’s marine conservation targets</w:t>
      </w:r>
      <w:r w:rsidRPr="00A51748">
        <w:rPr>
          <w:rStyle w:val="Hyperlink"/>
          <w:rFonts w:cs="Times New Roman"/>
          <w:color w:val="auto"/>
          <w:szCs w:val="22"/>
        </w:rPr>
        <w:t xml:space="preserve"> (protecting 10% by 2020)</w:t>
      </w:r>
      <w:r w:rsidRPr="00A51748">
        <w:rPr>
          <w:rFonts w:cs="Times New Roman"/>
          <w:szCs w:val="22"/>
        </w:rPr>
        <w:t>. In consultation with affected stakeholders, Canada’s Department of Fisheries and Oceans (DFO) is also exploring additional opportunities to identify or establish new measures that have biodiversity conservation benefits, so that their contributions to the marine conservation targets can be recognized.</w:t>
      </w:r>
      <w:r w:rsidRPr="00A51748">
        <w:rPr>
          <w:rStyle w:val="FootnoteReference"/>
          <w:rFonts w:cs="Times New Roman"/>
          <w:sz w:val="22"/>
          <w:szCs w:val="22"/>
        </w:rPr>
        <w:footnoteReference w:id="106"/>
      </w:r>
      <w:r w:rsidRPr="00A51748">
        <w:rPr>
          <w:rFonts w:cs="Times New Roman"/>
          <w:szCs w:val="22"/>
        </w:rPr>
        <w:t xml:space="preserve"> </w:t>
      </w:r>
    </w:p>
    <w:p w14:paraId="0C58365B" w14:textId="54116A91" w:rsidR="00F34806" w:rsidRPr="00A51748" w:rsidRDefault="00F34806" w:rsidP="006D6DCD">
      <w:pPr>
        <w:pStyle w:val="Heading3"/>
        <w:numPr>
          <w:ilvl w:val="0"/>
          <w:numId w:val="29"/>
        </w:numPr>
        <w:spacing w:before="0" w:after="173"/>
        <w:jc w:val="both"/>
      </w:pPr>
      <w:r w:rsidRPr="00A51748">
        <w:t>Fisheries closures</w:t>
      </w:r>
    </w:p>
    <w:p w14:paraId="5AF515A7" w14:textId="2F2A09D1" w:rsidR="00F34806" w:rsidRPr="00A51748" w:rsidRDefault="00F34806" w:rsidP="006D6DCD">
      <w:pPr>
        <w:pStyle w:val="NormalWeb"/>
        <w:spacing w:before="0" w:beforeAutospacing="0" w:after="173" w:afterAutospacing="0"/>
        <w:ind w:firstLine="720"/>
        <w:jc w:val="both"/>
        <w:rPr>
          <w:rFonts w:ascii="Times New Roman" w:hAnsi="Times New Roman" w:cs="Times New Roman"/>
          <w:color w:val="auto"/>
          <w:sz w:val="22"/>
          <w:szCs w:val="22"/>
        </w:rPr>
      </w:pPr>
      <w:r w:rsidRPr="00A51748">
        <w:rPr>
          <w:rFonts w:ascii="Times New Roman" w:hAnsi="Times New Roman" w:cs="Times New Roman"/>
          <w:color w:val="auto"/>
          <w:sz w:val="22"/>
          <w:szCs w:val="22"/>
          <w:lang w:val="en-GB"/>
        </w:rPr>
        <w:t>Fisheries closures, which are “spatially discrete management measures that restrict certain gears or fleets for defined amounts of time to aid with the management of fish stocks,”</w:t>
      </w:r>
      <w:r w:rsidRPr="00A51748">
        <w:rPr>
          <w:rFonts w:ascii="Times New Roman" w:hAnsi="Times New Roman" w:cs="Times New Roman"/>
          <w:color w:val="auto"/>
          <w:sz w:val="22"/>
          <w:szCs w:val="22"/>
          <w:vertAlign w:val="superscript"/>
          <w:lang w:val="en-GB"/>
        </w:rPr>
        <w:footnoteReference w:id="107"/>
      </w:r>
      <w:r w:rsidRPr="00A51748">
        <w:rPr>
          <w:rFonts w:ascii="Times New Roman" w:hAnsi="Times New Roman" w:cs="Times New Roman"/>
          <w:color w:val="auto"/>
          <w:sz w:val="22"/>
          <w:szCs w:val="22"/>
          <w:lang w:val="en-GB"/>
        </w:rPr>
        <w:t xml:space="preserve"> are another form of marine ABCM. Though they would likely not qualify as OECMs, they may still offer conservation value in addition to their role in maintaining fish stocks. Currently, seasonal and permanent or other gear-specific closures cover approximately 7.4% of the ocean (see figure below).</w:t>
      </w:r>
      <w:r w:rsidRPr="00A51748">
        <w:rPr>
          <w:rFonts w:ascii="Times New Roman" w:hAnsi="Times New Roman" w:cs="Times New Roman"/>
          <w:color w:val="auto"/>
          <w:sz w:val="22"/>
          <w:szCs w:val="22"/>
          <w:vertAlign w:val="superscript"/>
          <w:lang w:val="en-GB"/>
        </w:rPr>
        <w:footnoteReference w:id="108"/>
      </w:r>
    </w:p>
    <w:p w14:paraId="1939D919" w14:textId="46523499" w:rsidR="006429D4" w:rsidRPr="00A51748" w:rsidRDefault="00F34806" w:rsidP="006D6DCD">
      <w:pPr>
        <w:pStyle w:val="Para1"/>
        <w:numPr>
          <w:ilvl w:val="0"/>
          <w:numId w:val="0"/>
        </w:numPr>
        <w:spacing w:before="0"/>
        <w:rPr>
          <w:rStyle w:val="Strong"/>
          <w:rFonts w:cs="Times New Roman"/>
          <w:b w:val="0"/>
          <w:bCs/>
          <w:snapToGrid w:val="0"/>
          <w:kern w:val="22"/>
          <w:lang w:val="en-US"/>
        </w:rPr>
      </w:pPr>
      <w:r w:rsidRPr="00A51748">
        <w:rPr>
          <w:rStyle w:val="Strong"/>
          <w:rFonts w:cs="Times New Roman"/>
          <w:b w:val="0"/>
          <w:bCs/>
          <w:noProof/>
          <w:snapToGrid w:val="0"/>
          <w:kern w:val="22"/>
          <w:lang w:val="en-CA" w:eastAsia="en-CA"/>
        </w:rPr>
        <mc:AlternateContent>
          <mc:Choice Requires="wps">
            <w:drawing>
              <wp:anchor distT="0" distB="0" distL="114300" distR="114300" simplePos="0" relativeHeight="251662336" behindDoc="0" locked="0" layoutInCell="1" allowOverlap="1" wp14:anchorId="5AB8BDB4" wp14:editId="0C56FFF7">
                <wp:simplePos x="0" y="0"/>
                <wp:positionH relativeFrom="column">
                  <wp:posOffset>-57150</wp:posOffset>
                </wp:positionH>
                <wp:positionV relativeFrom="paragraph">
                  <wp:posOffset>4442460</wp:posOffset>
                </wp:positionV>
                <wp:extent cx="60007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3985"/>
                        </a:xfrm>
                        <a:prstGeom prst="rect">
                          <a:avLst/>
                        </a:prstGeom>
                        <a:solidFill>
                          <a:srgbClr val="FFFFFF"/>
                        </a:solidFill>
                        <a:ln w="9525">
                          <a:noFill/>
                          <a:miter lim="800000"/>
                          <a:headEnd/>
                          <a:tailEnd/>
                        </a:ln>
                      </wps:spPr>
                      <wps:txbx>
                        <w:txbxContent>
                          <w:p w14:paraId="341A4BDC" w14:textId="7231F79E" w:rsidR="008E5FC2" w:rsidRPr="00F140FD" w:rsidRDefault="008E5FC2" w:rsidP="00F34806">
                            <w:pPr>
                              <w:rPr>
                                <w:bCs/>
                                <w:sz w:val="18"/>
                                <w:szCs w:val="18"/>
                                <w:lang w:val="en-US"/>
                              </w:rPr>
                            </w:pPr>
                            <w:r w:rsidRPr="00F140FD">
                              <w:rPr>
                                <w:bCs/>
                                <w:sz w:val="18"/>
                                <w:szCs w:val="18"/>
                                <w:lang w:val="en-US"/>
                              </w:rPr>
                              <w:t>Fig. 1 (from Boerder et al., 2019). “Locations of MPAs and fishery closures around the world. Marine protected areas (MPAs, solid patterns) are color coded by year of establishment as reported by the World Database on Protected Areas in 2018 (www.protectedplanet.net). Active spatial Conservation and Management Measures (CMMs, hatched patterns) implemented by Regional Fisheries Management Organizations (RFMOs) are typically seasonal or gear specific closures. The temporary closure of the entire IATTC Convention Area in the Eastern Tropical Pacific (IATTC 17-02) is not included; it was classified as a fisheries management measure rather than a closure as it comprises the whole convention area. Marine protected areas shown here cover about 7.6%, and RFMO CMMs cover about 7.4% of total ocean area. (For interpretation of the references to color in this figure legend, the reader is referred to the Web version of this article.)</w:t>
                            </w:r>
                          </w:p>
                          <w:p w14:paraId="5CF64DB9" w14:textId="73071809" w:rsidR="008E5FC2" w:rsidRDefault="008E5F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20000</wp14:pctHeight>
                </wp14:sizeRelV>
              </wp:anchor>
            </w:drawing>
          </mc:Choice>
          <mc:Fallback>
            <w:pict>
              <v:shape w14:anchorId="5AB8BDB4" id="Text Box 2" o:spid="_x0000_s1032" type="#_x0000_t202" style="position:absolute;left:0;text-align:left;margin-left:-4.5pt;margin-top:349.8pt;width:472.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" stroked="f">
                <v:textbox>
                  <w:txbxContent>
                    <w:p w14:paraId="341A4BDC" w14:textId="7231F79E" w:rsidR="008E5FC2" w:rsidRPr="00F140FD" w:rsidRDefault="008E5FC2" w:rsidP="00F34806">
                      <w:pPr>
                        <w:rPr>
                          <w:bCs/>
                          <w:sz w:val="18"/>
                          <w:szCs w:val="18"/>
                          <w:lang w:val="en-US"/>
                        </w:rPr>
                      </w:pPr>
                      <w:r w:rsidRPr="00F140FD">
                        <w:rPr>
                          <w:bCs/>
                          <w:sz w:val="18"/>
                          <w:szCs w:val="18"/>
                          <w:lang w:val="en-US"/>
                        </w:rPr>
                        <w:t>Fig. 1 (from Boerder et al., 2019). “Locations of MPAs and fishery closures around the world. Marine protected areas (MPAs, solid patterns) are color coded by year of establishment as reported by the World Database on Protected Areas in 2018 (www.protectedplanet.net). Active spatial Conservation and Management Measures (CMMs, hatched patterns) implemented by Regional Fisheries Management Organizations (RFMOs) are typically seasonal or gear specific closures. The temporary closure of the entire IATTC Convention Area in the Eastern Tropical Pacific (IATTC 17-02) is not included; it was classified as a fisheries management measure rather than a closure as it comprises the whole convention area. Marine protected areas shown here cover about 7.6%, and RFMO CMMs cover about 7.4% of total ocean area. (For interpretation of the references to color in this figure legend, the reader is referred to the Web version of this article.)</w:t>
                      </w:r>
                    </w:p>
                    <w:p w14:paraId="5CF64DB9" w14:textId="73071809" w:rsidR="008E5FC2" w:rsidRDefault="008E5FC2"/>
                  </w:txbxContent>
                </v:textbox>
              </v:shape>
            </w:pict>
          </mc:Fallback>
        </mc:AlternateContent>
      </w:r>
      <w:r w:rsidR="006429D4" w:rsidRPr="00A51748">
        <w:rPr>
          <w:rFonts w:cs="Times New Roman"/>
          <w:noProof/>
          <w:snapToGrid w:val="0"/>
          <w:kern w:val="22"/>
          <w:lang w:val="en-CA" w:eastAsia="en-CA"/>
        </w:rPr>
        <w:drawing>
          <wp:inline distT="0" distB="0" distL="0" distR="0" wp14:anchorId="5A0A8068" wp14:editId="7F36EE46">
            <wp:extent cx="5708665" cy="4181475"/>
            <wp:effectExtent l="0" t="0" r="635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11199" cy="4183331"/>
                    </a:xfrm>
                    <a:prstGeom prst="rect">
                      <a:avLst/>
                    </a:prstGeom>
                    <a:noFill/>
                    <a:ln>
                      <a:noFill/>
                    </a:ln>
                  </pic:spPr>
                </pic:pic>
              </a:graphicData>
            </a:graphic>
          </wp:inline>
        </w:drawing>
      </w:r>
    </w:p>
    <w:sectPr w:rsidR="006429D4" w:rsidRPr="00A51748" w:rsidSect="009F758F">
      <w:headerReference w:type="even" r:id="rId43"/>
      <w:headerReference w:type="default" r:id="rId44"/>
      <w:pgSz w:w="12240" w:h="15840" w:code="1"/>
      <w:pgMar w:top="1022" w:right="1440" w:bottom="1138" w:left="1440" w:header="46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DE8DEA" w14:textId="77777777" w:rsidR="003D34AF" w:rsidRDefault="003D34AF">
      <w:r>
        <w:separator/>
      </w:r>
    </w:p>
  </w:endnote>
  <w:endnote w:type="continuationSeparator" w:id="0">
    <w:p w14:paraId="1B40CC4C" w14:textId="77777777" w:rsidR="003D34AF" w:rsidRDefault="003D34AF">
      <w:r>
        <w:continuationSeparator/>
      </w:r>
    </w:p>
  </w:endnote>
  <w:endnote w:type="continuationNotice" w:id="1">
    <w:p w14:paraId="782C53D9" w14:textId="77777777" w:rsidR="003D34AF" w:rsidRDefault="003D34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DE"/>
    <w:family w:val="roman"/>
    <w:pitch w:val="variable"/>
    <w:sig w:usb0="01000001" w:usb1="00000000" w:usb2="00000000" w:usb3="00000000" w:csb0="00010000" w:csb1="00000000"/>
  </w:font>
  <w:font w:name="Univers">
    <w:altName w:val="Arial"/>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1002AFF" w:usb1="4000ACF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F1F77" w14:textId="77777777" w:rsidR="003D34AF" w:rsidRDefault="003D34AF">
      <w:r>
        <w:separator/>
      </w:r>
    </w:p>
  </w:footnote>
  <w:footnote w:type="continuationSeparator" w:id="0">
    <w:p w14:paraId="01C8311E" w14:textId="77777777" w:rsidR="003D34AF" w:rsidRDefault="003D34AF">
      <w:r>
        <w:continuationSeparator/>
      </w:r>
    </w:p>
  </w:footnote>
  <w:footnote w:type="continuationNotice" w:id="1">
    <w:p w14:paraId="3E168394" w14:textId="77777777" w:rsidR="003D34AF" w:rsidRDefault="003D34AF"/>
  </w:footnote>
  <w:footnote w:id="2">
    <w:p w14:paraId="33CFC38A" w14:textId="77777777" w:rsidR="008E5FC2" w:rsidRDefault="008E5FC2" w:rsidP="005E2541">
      <w:pPr>
        <w:pStyle w:val="FootnoteText"/>
        <w:rPr>
          <w:rFonts w:cs="Times New Roman"/>
          <w:szCs w:val="18"/>
          <w:lang w:val="en-US"/>
        </w:rPr>
      </w:pPr>
      <w:r>
        <w:rPr>
          <w:rStyle w:val="FootnoteReference"/>
          <w:rFonts w:cs="Times New Roman"/>
          <w:szCs w:val="18"/>
        </w:rPr>
        <w:footnoteRef/>
      </w:r>
      <w:r>
        <w:rPr>
          <w:rFonts w:cs="Times New Roman"/>
          <w:szCs w:val="18"/>
        </w:rPr>
        <w:t xml:space="preserve"> </w:t>
      </w:r>
      <w:r>
        <w:rPr>
          <w:rFonts w:cs="Times New Roman"/>
          <w:szCs w:val="18"/>
          <w:lang w:val="en-US"/>
        </w:rPr>
        <w:t>By 2050, biodiversity is valued, conserved, restored and wisely used, maintaining ecosystem services, sustaining a healthy planet and delivering benefits essential for all people.</w:t>
      </w:r>
    </w:p>
  </w:footnote>
  <w:footnote w:id="3">
    <w:p w14:paraId="448D57A1" w14:textId="77777777" w:rsidR="008E5FC2" w:rsidRDefault="008E5FC2" w:rsidP="005E2541">
      <w:pPr>
        <w:pStyle w:val="FootnoteText"/>
        <w:rPr>
          <w:rFonts w:cs="Times New Roman"/>
          <w:lang w:val="en-CA"/>
        </w:rPr>
      </w:pPr>
      <w:r>
        <w:rPr>
          <w:rStyle w:val="FootnoteReference"/>
          <w:rFonts w:cs="Times New Roman"/>
        </w:rPr>
        <w:footnoteRef/>
      </w:r>
      <w:r>
        <w:rPr>
          <w:rFonts w:cs="Times New Roman"/>
        </w:rPr>
        <w:t xml:space="preserve"> </w:t>
      </w:r>
      <w:r>
        <w:rPr>
          <w:rFonts w:cs="Times New Roman"/>
          <w:lang w:val="en-CA"/>
        </w:rPr>
        <w:t>Dudley et al. (2018). The essential role of other effective area-based conservation measures in achieving big bold conservation targets. </w:t>
      </w:r>
      <w:r>
        <w:rPr>
          <w:rFonts w:cs="Times New Roman"/>
          <w:i/>
          <w:lang w:val="en-CA"/>
        </w:rPr>
        <w:t>Global ecology and conservation</w:t>
      </w:r>
      <w:r>
        <w:rPr>
          <w:rFonts w:cs="Times New Roman"/>
          <w:lang w:val="en-CA"/>
        </w:rPr>
        <w:t>, 15, e00424.</w:t>
      </w:r>
    </w:p>
  </w:footnote>
  <w:footnote w:id="4">
    <w:p w14:paraId="7D6794CD" w14:textId="77777777" w:rsidR="008E5FC2" w:rsidRDefault="008E5FC2" w:rsidP="005E2541">
      <w:pPr>
        <w:pStyle w:val="FootnoteText"/>
        <w:rPr>
          <w:rFonts w:cs="Times New Roman"/>
          <w:szCs w:val="18"/>
        </w:rPr>
      </w:pPr>
      <w:r>
        <w:rPr>
          <w:rStyle w:val="FootnoteReference"/>
          <w:rFonts w:cs="Times New Roman"/>
          <w:szCs w:val="18"/>
        </w:rPr>
        <w:footnoteRef/>
      </w:r>
      <w:r>
        <w:rPr>
          <w:rFonts w:cs="Times New Roman"/>
          <w:szCs w:val="18"/>
        </w:rPr>
        <w:t xml:space="preserve"> Guidelines are still under development, but a proposed definition is: “a clearly defined geographical space, not recognised as a protected area or other effective conservation measure (OECM), that is governed and managed over the long-term to conserve or restore effective ecological connectivity, with associated ecosystem services and cultural and spiritual values” (Hilty et al 2019).</w:t>
      </w:r>
    </w:p>
  </w:footnote>
  <w:footnote w:id="5">
    <w:p w14:paraId="09C46A19" w14:textId="77777777" w:rsidR="008E5FC2" w:rsidRDefault="008E5FC2" w:rsidP="005E2541">
      <w:pPr>
        <w:pStyle w:val="FootnoteText"/>
        <w:rPr>
          <w:rFonts w:cs="Times New Roman"/>
          <w:lang w:val="en-CA"/>
        </w:rPr>
      </w:pPr>
      <w:r>
        <w:rPr>
          <w:rStyle w:val="FootnoteReference"/>
          <w:rFonts w:cs="Times New Roman"/>
        </w:rPr>
        <w:footnoteRef/>
      </w:r>
      <w:r>
        <w:rPr>
          <w:rFonts w:cs="Times New Roman"/>
        </w:rPr>
        <w:t xml:space="preserve"> </w:t>
      </w:r>
      <w:r>
        <w:rPr>
          <w:rFonts w:cs="Times New Roman"/>
          <w:lang w:val="en-CA"/>
        </w:rPr>
        <w:t>Maron et al. (2018). Bold nature retention targets are essential for the global environment agenda. </w:t>
      </w:r>
      <w:r>
        <w:rPr>
          <w:rFonts w:cs="Times New Roman"/>
          <w:i/>
          <w:lang w:val="en-CA"/>
        </w:rPr>
        <w:t>Nature ecology &amp; evolution</w:t>
      </w:r>
      <w:r>
        <w:rPr>
          <w:rFonts w:cs="Times New Roman"/>
          <w:lang w:val="en-CA"/>
        </w:rPr>
        <w:t>, 2(8), 1194.</w:t>
      </w:r>
    </w:p>
  </w:footnote>
  <w:footnote w:id="6">
    <w:p w14:paraId="6FC206BC" w14:textId="152BB76C" w:rsidR="008E5FC2" w:rsidRPr="00F71113" w:rsidRDefault="008E5FC2" w:rsidP="008E5FC2">
      <w:pPr>
        <w:ind w:firstLine="720"/>
      </w:pPr>
      <w:r>
        <w:rPr>
          <w:rStyle w:val="FootnoteReference"/>
        </w:rPr>
        <w:footnoteRef/>
      </w:r>
      <w:r>
        <w:t xml:space="preserve"> De Vos et al., </w:t>
      </w:r>
      <w:r w:rsidRPr="00F71113">
        <w:rPr>
          <w:rFonts w:cs="Times New Roman"/>
          <w:sz w:val="18"/>
          <w:szCs w:val="18"/>
          <w:lang w:val="en-US" w:eastAsia="fr-CA"/>
        </w:rPr>
        <w:t>(</w:t>
      </w:r>
      <w:proofErr w:type="gramStart"/>
      <w:r w:rsidRPr="00F71113">
        <w:rPr>
          <w:rFonts w:cs="Times New Roman"/>
          <w:sz w:val="18"/>
          <w:szCs w:val="18"/>
          <w:lang w:val="en-US" w:eastAsia="fr-CA"/>
        </w:rPr>
        <w:t>2015)</w:t>
      </w:r>
      <w:r w:rsidRPr="00F71113">
        <w:rPr>
          <w:rFonts w:cs="Times New Roman"/>
          <w:bCs/>
          <w:kern w:val="36"/>
          <w:sz w:val="18"/>
          <w:szCs w:val="18"/>
          <w:lang w:val="en-US" w:eastAsia="fr-CA"/>
        </w:rPr>
        <w:t>Estimating</w:t>
      </w:r>
      <w:proofErr w:type="gramEnd"/>
      <w:r w:rsidRPr="00F71113">
        <w:rPr>
          <w:rFonts w:cs="Times New Roman"/>
          <w:bCs/>
          <w:kern w:val="36"/>
          <w:sz w:val="18"/>
          <w:szCs w:val="18"/>
          <w:lang w:val="en-US" w:eastAsia="fr-CA"/>
        </w:rPr>
        <w:t xml:space="preserve"> the normal background rate of species extinction.</w:t>
      </w:r>
      <w:r w:rsidRPr="00F71113">
        <w:rPr>
          <w:rFonts w:cs="Times New Roman"/>
          <w:sz w:val="18"/>
          <w:szCs w:val="18"/>
          <w:lang w:val="en-US" w:eastAsia="fr-CA"/>
        </w:rPr>
        <w:t>.</w:t>
      </w:r>
      <w:r w:rsidRPr="00F71113">
        <w:rPr>
          <w:sz w:val="18"/>
          <w:szCs w:val="18"/>
        </w:rPr>
        <w:t xml:space="preserve"> </w:t>
      </w:r>
      <w:hyperlink r:id="rId1" w:tooltip="Conservation biology : the journal of the Society for Conservation Biology." w:history="1">
        <w:r w:rsidRPr="00F71113">
          <w:rPr>
            <w:color w:val="0000FF"/>
            <w:sz w:val="18"/>
            <w:szCs w:val="18"/>
            <w:u w:val="single"/>
          </w:rPr>
          <w:t>Conserv Biol.</w:t>
        </w:r>
      </w:hyperlink>
      <w:r w:rsidRPr="00F71113">
        <w:rPr>
          <w:sz w:val="18"/>
          <w:szCs w:val="18"/>
        </w:rPr>
        <w:t xml:space="preserve"> 2015 Apr;</w:t>
      </w:r>
      <w:r>
        <w:rPr>
          <w:sz w:val="18"/>
          <w:szCs w:val="18"/>
        </w:rPr>
        <w:t xml:space="preserve"> </w:t>
      </w:r>
      <w:r w:rsidRPr="00F71113">
        <w:rPr>
          <w:sz w:val="18"/>
          <w:szCs w:val="18"/>
        </w:rPr>
        <w:t>29(2):452-62. doi: 10.1111/cobi.12380. Epub 2014 Aug 26.</w:t>
      </w:r>
    </w:p>
  </w:footnote>
  <w:footnote w:id="7">
    <w:p w14:paraId="7CBA21E0" w14:textId="77DC73FE" w:rsidR="008E5FC2" w:rsidRPr="00522F76" w:rsidRDefault="008E5FC2" w:rsidP="00522F76">
      <w:pPr>
        <w:pStyle w:val="FootnoteText"/>
      </w:pPr>
      <w:r>
        <w:rPr>
          <w:rStyle w:val="FootnoteReference"/>
        </w:rPr>
        <w:footnoteRef/>
      </w:r>
      <w:r>
        <w:t xml:space="preserve"> IPBES (2019). Summary for policymakers of the global assessment report on biodiversity and ecosystem services of the Intergovernmental Science-Policy Platform on Biodiversity and Ecosystem Services. S. Díaz et al. (eds.). Bonn, Germany: IPBES secretariat.</w:t>
      </w:r>
    </w:p>
  </w:footnote>
  <w:footnote w:id="8">
    <w:p w14:paraId="1D180AD4" w14:textId="3934F07E" w:rsidR="006D6DCD" w:rsidRPr="006D6DCD" w:rsidRDefault="006D6DCD">
      <w:pPr>
        <w:pStyle w:val="FootnoteText"/>
        <w:rPr>
          <w:lang w:val="en-CA"/>
        </w:rPr>
      </w:pPr>
      <w:r>
        <w:rPr>
          <w:rStyle w:val="FootnoteReference"/>
        </w:rPr>
        <w:footnoteRef/>
      </w:r>
      <w:r>
        <w:t xml:space="preserve"> </w:t>
      </w:r>
      <w:r w:rsidRPr="006D6DCD">
        <w:t xml:space="preserve">IPBES (2019): </w:t>
      </w:r>
      <w:r w:rsidRPr="006D6DCD">
        <w:rPr>
          <w:i/>
        </w:rPr>
        <w:t>Summary for policymakers of the global assessment report on biodiversity and ecosystem services of the Intergovernmental Science-Policy Platform on Biodiversity and Ecosystem Services</w:t>
      </w:r>
      <w:r w:rsidRPr="006D6DCD">
        <w:t xml:space="preserve">. S. Díaz, </w:t>
      </w:r>
      <w:r>
        <w:t xml:space="preserve">et </w:t>
      </w:r>
      <w:proofErr w:type="gramStart"/>
      <w:r>
        <w:t xml:space="preserve">al </w:t>
      </w:r>
      <w:r w:rsidRPr="006D6DCD">
        <w:t xml:space="preserve"> (</w:t>
      </w:r>
      <w:proofErr w:type="gramEnd"/>
      <w:r w:rsidRPr="006D6DCD">
        <w:t>eds.). IPBES secretariat, Bonn, Germany. </w:t>
      </w:r>
    </w:p>
  </w:footnote>
  <w:footnote w:id="9">
    <w:p w14:paraId="332952D7" w14:textId="519F8957" w:rsidR="008E5FC2" w:rsidRPr="001D22A4" w:rsidRDefault="008E5FC2">
      <w:pPr>
        <w:pStyle w:val="FootnoteText"/>
        <w:rPr>
          <w:lang w:val="en-CA"/>
        </w:rPr>
      </w:pPr>
      <w:r>
        <w:rPr>
          <w:rStyle w:val="FootnoteReference"/>
        </w:rPr>
        <w:footnoteRef/>
      </w:r>
      <w:r>
        <w:t xml:space="preserve"> </w:t>
      </w:r>
      <w:r w:rsidRPr="001D22A4">
        <w:rPr>
          <w:lang w:val="en-CA"/>
        </w:rPr>
        <w:t>Noss, R. F., &amp; Cooperrider, A. (1994</w:t>
      </w:r>
      <w:r w:rsidRPr="001D22A4">
        <w:rPr>
          <w:i/>
          <w:iCs/>
          <w:lang w:val="en-CA"/>
        </w:rPr>
        <w:t>). Saving nature's legacy: protecting and restoring biodiversity</w:t>
      </w:r>
      <w:r w:rsidRPr="001D22A4">
        <w:rPr>
          <w:lang w:val="en-CA"/>
        </w:rPr>
        <w:t>. Island Press.</w:t>
      </w:r>
    </w:p>
  </w:footnote>
  <w:footnote w:id="10">
    <w:p w14:paraId="1F6ACC2E" w14:textId="625EBC44" w:rsidR="00D945C0" w:rsidRPr="00D945C0" w:rsidRDefault="00D945C0">
      <w:pPr>
        <w:pStyle w:val="FootnoteText"/>
        <w:rPr>
          <w:lang w:val="en-CA"/>
        </w:rPr>
      </w:pPr>
      <w:r>
        <w:rPr>
          <w:rStyle w:val="FootnoteReference"/>
        </w:rPr>
        <w:footnoteRef/>
      </w:r>
      <w:r>
        <w:t xml:space="preserve"> </w:t>
      </w:r>
      <w:r>
        <w:rPr>
          <w:lang w:val="en-CA"/>
        </w:rPr>
        <w:t>IPBES (2019).</w:t>
      </w:r>
    </w:p>
  </w:footnote>
  <w:footnote w:id="11">
    <w:p w14:paraId="4015D220" w14:textId="5A892DBC" w:rsidR="00D945C0" w:rsidRPr="00D945C0" w:rsidRDefault="00D945C0">
      <w:pPr>
        <w:pStyle w:val="FootnoteText"/>
        <w:rPr>
          <w:lang w:val="en-CA"/>
        </w:rPr>
      </w:pPr>
      <w:r>
        <w:rPr>
          <w:rStyle w:val="FootnoteReference"/>
        </w:rPr>
        <w:footnoteRef/>
      </w:r>
      <w:r>
        <w:t xml:space="preserve"> </w:t>
      </w:r>
      <w:r w:rsidRPr="00D945C0">
        <w:t>For example: Visconti et al. (2019). Protected area targets post-2020. Science, 364(6437), 239-241.</w:t>
      </w:r>
    </w:p>
  </w:footnote>
  <w:footnote w:id="12">
    <w:p w14:paraId="317444CB" w14:textId="6284F040" w:rsidR="008E5FC2" w:rsidRDefault="008E5FC2" w:rsidP="00BE63BC">
      <w:pPr>
        <w:pStyle w:val="FootnoteText"/>
        <w:rPr>
          <w:lang w:val="en-CA"/>
        </w:rPr>
      </w:pPr>
      <w:r>
        <w:rPr>
          <w:rStyle w:val="FootnoteReference"/>
        </w:rPr>
        <w:footnoteRef/>
      </w:r>
      <w:r>
        <w:t xml:space="preserve"> For example: Wiersma and Nudds (2006). Conservation targets for viable species assemblages in Canada: are percentage targets appropriate? Biodiversity &amp; Conservation, 15(14), 4555-4567; Barnes et al. (2018). Prevent perverse outcomes from global protected area policy. </w:t>
      </w:r>
      <w:r>
        <w:rPr>
          <w:i/>
        </w:rPr>
        <w:t>Nature ecology &amp; evolution</w:t>
      </w:r>
      <w:r>
        <w:t xml:space="preserve">, 2(5), 759; Maron et al (2018). Bold nature retention targets are essential for the global environment agenda. Nature ecology &amp; evolution, 2 (8), 1194; Visconti et al. (2019). Protected area targets post-2020. </w:t>
      </w:r>
      <w:r>
        <w:rPr>
          <w:i/>
        </w:rPr>
        <w:t>Science</w:t>
      </w:r>
      <w:r>
        <w:t>, 364(6437), 239-241; among others.</w:t>
      </w:r>
    </w:p>
  </w:footnote>
  <w:footnote w:id="13">
    <w:p w14:paraId="547FF1A4" w14:textId="77777777" w:rsidR="008E5FC2" w:rsidRDefault="008E5FC2" w:rsidP="00BE63BC">
      <w:pPr>
        <w:pStyle w:val="FootnoteText"/>
        <w:rPr>
          <w:lang w:val="en-CA"/>
        </w:rPr>
      </w:pPr>
      <w:r>
        <w:rPr>
          <w:rStyle w:val="FootnoteReference"/>
        </w:rPr>
        <w:footnoteRef/>
      </w:r>
      <w:r>
        <w:t xml:space="preserve"> Büscher et al. (2017). Half-Earth or Whole Earth? Radical ideas for conservation, and their implications. </w:t>
      </w:r>
      <w:r>
        <w:rPr>
          <w:i/>
        </w:rPr>
        <w:t>Oryx</w:t>
      </w:r>
      <w:r>
        <w:t>, 51(3), 407-410.</w:t>
      </w:r>
    </w:p>
  </w:footnote>
  <w:footnote w:id="14">
    <w:p w14:paraId="68D8CFF0" w14:textId="2D6E582F" w:rsidR="008E5FC2" w:rsidRPr="008E5FC2" w:rsidRDefault="008E5FC2" w:rsidP="008E5FC2">
      <w:pPr>
        <w:pStyle w:val="FootnoteText"/>
        <w:rPr>
          <w:lang w:val="en-CA"/>
        </w:rPr>
      </w:pPr>
      <w:r>
        <w:rPr>
          <w:rStyle w:val="FootnoteReference"/>
        </w:rPr>
        <w:footnoteRef/>
      </w:r>
      <w:r>
        <w:t xml:space="preserve"> Potential scope of ABCM to be included in the post-2020 framework (e.g. PA, OECM, ICCA, etc.), considering also other relevant international instruments and processes, and including possible coverage (e.g. % terrestrial and % marine ecosystems with special spatial management regime); Representativeness, especially areas of importance for biodiversity and ecosystem services (areas important for priority conservation and for conservation overall in the long-term); Connectivity (enhancing a coherent well-connected network of areas important for biodiversity and ecosystem services) and the ecosystem approach; Effectiveness (including means to improve and strengthen conservation effectiveness); Equity and good governance, as well as benefit-sharing (including social impacts and ecosystem services); Land-and-sea-scape approaches to enhance conservation outcomes and sustainable use, including spatial planning.</w:t>
      </w:r>
    </w:p>
  </w:footnote>
  <w:footnote w:id="15">
    <w:p w14:paraId="7D1D421A" w14:textId="77777777" w:rsidR="008E5FC2" w:rsidRPr="000A406C" w:rsidRDefault="008E5FC2" w:rsidP="00A010DF">
      <w:pPr>
        <w:pStyle w:val="FootnoteText"/>
        <w:ind w:firstLine="0"/>
        <w:jc w:val="left"/>
        <w:rPr>
          <w:rFonts w:cs="Times New Roman"/>
          <w:szCs w:val="18"/>
          <w:lang w:val="en-US"/>
        </w:rPr>
      </w:pPr>
      <w:r w:rsidRPr="000A406C">
        <w:rPr>
          <w:rStyle w:val="FootnoteReference"/>
          <w:rFonts w:cs="Times New Roman"/>
          <w:szCs w:val="18"/>
        </w:rPr>
        <w:footnoteRef/>
      </w:r>
      <w:r w:rsidRPr="000A406C">
        <w:rPr>
          <w:rFonts w:cs="Times New Roman"/>
          <w:szCs w:val="18"/>
        </w:rPr>
        <w:t xml:space="preserve"> Secretariat of the Convention on Biological Diversity (2014), </w:t>
      </w:r>
      <w:r w:rsidRPr="000A406C">
        <w:rPr>
          <w:rFonts w:cs="Times New Roman"/>
          <w:i/>
          <w:iCs/>
          <w:szCs w:val="18"/>
        </w:rPr>
        <w:t>Global Biodiversity Outlook 4</w:t>
      </w:r>
      <w:r w:rsidRPr="000A406C">
        <w:rPr>
          <w:rFonts w:cs="Times New Roman"/>
          <w:szCs w:val="18"/>
        </w:rPr>
        <w:t>, Montreal, Canada: Secretariat of the Convention on Biological Diversity.</w:t>
      </w:r>
    </w:p>
  </w:footnote>
  <w:footnote w:id="16">
    <w:p w14:paraId="667DE15E" w14:textId="77777777" w:rsidR="008E5FC2" w:rsidRPr="008C0106" w:rsidRDefault="008E5FC2" w:rsidP="00A010DF">
      <w:pPr>
        <w:pStyle w:val="FootnoteText"/>
        <w:jc w:val="left"/>
        <w:rPr>
          <w:lang w:val="en-US"/>
        </w:rPr>
      </w:pPr>
      <w:r>
        <w:rPr>
          <w:rStyle w:val="FootnoteReference"/>
        </w:rPr>
        <w:footnoteRef/>
      </w:r>
      <w:r>
        <w:t xml:space="preserve"> </w:t>
      </w:r>
      <w:r w:rsidRPr="008C0106">
        <w:t>Díaz</w:t>
      </w:r>
      <w:r>
        <w:t xml:space="preserve"> et al (2019), </w:t>
      </w:r>
      <w:r w:rsidRPr="008C0106">
        <w:rPr>
          <w:i/>
        </w:rPr>
        <w:t>Summary for policymakers of the global assessment report on biodiversity and ecosystem services of the Intergovernmental Science-Policy Platform on Biodiversity and Ecosystem Services</w:t>
      </w:r>
      <w:r>
        <w:rPr>
          <w:i/>
        </w:rPr>
        <w:t>.</w:t>
      </w:r>
    </w:p>
  </w:footnote>
  <w:footnote w:id="17">
    <w:p w14:paraId="063BD228" w14:textId="77777777" w:rsidR="008E5FC2" w:rsidRPr="00AF501A" w:rsidRDefault="008E5FC2" w:rsidP="00A010DF">
      <w:pPr>
        <w:pStyle w:val="FootnoteText"/>
        <w:jc w:val="left"/>
        <w:rPr>
          <w:lang w:val="en-US"/>
        </w:rPr>
      </w:pPr>
      <w:r>
        <w:rPr>
          <w:rStyle w:val="FootnoteReference"/>
        </w:rPr>
        <w:footnoteRef/>
      </w:r>
      <w:r>
        <w:t xml:space="preserve"> </w:t>
      </w:r>
      <w:r w:rsidRPr="00AF501A">
        <w:t>UNEP-WCMC (201</w:t>
      </w:r>
      <w:r>
        <w:t>9a</w:t>
      </w:r>
      <w:r w:rsidRPr="00AF501A">
        <w:t>)</w:t>
      </w:r>
      <w:r>
        <w:t>,</w:t>
      </w:r>
      <w:r w:rsidRPr="00AF501A">
        <w:t xml:space="preserve"> Global statistics from the World Database on Protected Areas (WDPA), </w:t>
      </w:r>
      <w:r>
        <w:t>June</w:t>
      </w:r>
      <w:r w:rsidRPr="00AF501A">
        <w:t xml:space="preserve"> 201</w:t>
      </w:r>
      <w:r>
        <w:t>9</w:t>
      </w:r>
      <w:r w:rsidRPr="00AF501A">
        <w:t>. Cambridge, UK: UNEP- WCMC.</w:t>
      </w:r>
    </w:p>
  </w:footnote>
  <w:footnote w:id="18">
    <w:p w14:paraId="3FF9F770" w14:textId="77777777" w:rsidR="008E5FC2" w:rsidRPr="00FA1324" w:rsidRDefault="008E5FC2" w:rsidP="00A010DF">
      <w:pPr>
        <w:pStyle w:val="FootnoteText"/>
        <w:jc w:val="left"/>
        <w:rPr>
          <w:lang w:val="en-US"/>
        </w:rPr>
      </w:pPr>
      <w:r>
        <w:rPr>
          <w:rStyle w:val="FootnoteReference"/>
        </w:rPr>
        <w:footnoteRef/>
      </w:r>
      <w:r>
        <w:t xml:space="preserve"> </w:t>
      </w:r>
      <w:r w:rsidRPr="00FA1324">
        <w:t xml:space="preserve">UNEP-WCMC </w:t>
      </w:r>
      <w:r>
        <w:t>&amp;</w:t>
      </w:r>
      <w:r w:rsidRPr="00FA1324">
        <w:t xml:space="preserve"> IUCN (</w:t>
      </w:r>
      <w:r>
        <w:t>2019a</w:t>
      </w:r>
      <w:r w:rsidRPr="00FA1324">
        <w:t xml:space="preserve">), Protected Planet: The World Database on Protected Areas (WDPA) [On-line], </w:t>
      </w:r>
      <w:r>
        <w:t xml:space="preserve">July, 2019, </w:t>
      </w:r>
      <w:r w:rsidRPr="00FA1324">
        <w:t xml:space="preserve">Cambridge, UK: UNEP-WCMC </w:t>
      </w:r>
      <w:r>
        <w:t>&amp;</w:t>
      </w:r>
      <w:r w:rsidRPr="00FA1324">
        <w:t xml:space="preserve"> IUCN. Available at: </w:t>
      </w:r>
      <w:hyperlink r:id="rId2" w:history="1">
        <w:r w:rsidRPr="001425C4">
          <w:rPr>
            <w:rStyle w:val="Hyperlink"/>
          </w:rPr>
          <w:t>www.protectedplanet.net</w:t>
        </w:r>
      </w:hyperlink>
      <w:r w:rsidRPr="00FA1324">
        <w:t>.</w:t>
      </w:r>
    </w:p>
  </w:footnote>
  <w:footnote w:id="19">
    <w:p w14:paraId="73965249" w14:textId="77777777" w:rsidR="008E5FC2" w:rsidRPr="00A010DF" w:rsidRDefault="008E5FC2" w:rsidP="00A010DF">
      <w:pPr>
        <w:pStyle w:val="FootnoteText"/>
        <w:jc w:val="left"/>
        <w:rPr>
          <w:lang w:val="en-CA"/>
        </w:rPr>
      </w:pPr>
      <w:r>
        <w:rPr>
          <w:rStyle w:val="FootnoteReference"/>
        </w:rPr>
        <w:footnoteRef/>
      </w:r>
      <w:r>
        <w:t xml:space="preserve"> </w:t>
      </w:r>
      <w:r w:rsidRPr="00FA1324">
        <w:t xml:space="preserve">UNEP-WCMC </w:t>
      </w:r>
      <w:r>
        <w:t>&amp;</w:t>
      </w:r>
      <w:r w:rsidRPr="00FA1324">
        <w:t xml:space="preserve"> IUCN (</w:t>
      </w:r>
      <w:r>
        <w:t>2019b</w:t>
      </w:r>
      <w:r w:rsidRPr="00FA1324">
        <w:t xml:space="preserve">), </w:t>
      </w:r>
      <w:r w:rsidRPr="00A010DF">
        <w:rPr>
          <w:lang w:val="en-CA"/>
        </w:rPr>
        <w:t>The lag effect in the World Database on Protected Areas</w:t>
      </w:r>
      <w:r>
        <w:rPr>
          <w:lang w:val="en-CA"/>
        </w:rPr>
        <w:t xml:space="preserve">, </w:t>
      </w:r>
      <w:hyperlink r:id="rId3" w:history="1">
        <w:r w:rsidRPr="00A010DF">
          <w:rPr>
            <w:rStyle w:val="Hyperlink"/>
          </w:rPr>
          <w:t>https://www.protectedplanet.net/c/the-lag-effect-in-the-world-database-on-protected-areas</w:t>
        </w:r>
      </w:hyperlink>
    </w:p>
  </w:footnote>
  <w:footnote w:id="20">
    <w:p w14:paraId="68DFA91D" w14:textId="77777777" w:rsidR="008E5FC2" w:rsidRPr="00E9488C" w:rsidRDefault="008E5FC2" w:rsidP="00A010DF">
      <w:pPr>
        <w:pStyle w:val="FootnoteText"/>
        <w:jc w:val="left"/>
        <w:rPr>
          <w:lang w:val="en-US"/>
        </w:rPr>
      </w:pPr>
      <w:r>
        <w:rPr>
          <w:rStyle w:val="FootnoteReference"/>
        </w:rPr>
        <w:footnoteRef/>
      </w:r>
      <w:r>
        <w:t xml:space="preserve"> </w:t>
      </w:r>
      <w:r w:rsidRPr="00E9488C">
        <w:t xml:space="preserve">Stishov </w:t>
      </w:r>
      <w:r>
        <w:t xml:space="preserve">&amp; </w:t>
      </w:r>
      <w:r w:rsidRPr="00E9488C">
        <w:t>Dudley</w:t>
      </w:r>
      <w:r>
        <w:t xml:space="preserve"> (2018), </w:t>
      </w:r>
      <w:r w:rsidRPr="00E9488C">
        <w:rPr>
          <w:i/>
        </w:rPr>
        <w:t>Protected areas of the Russian Federation and their categories</w:t>
      </w:r>
      <w:r>
        <w:t xml:space="preserve">. </w:t>
      </w:r>
      <w:r w:rsidRPr="00E9488C">
        <w:t>Moscow</w:t>
      </w:r>
      <w:r>
        <w:t xml:space="preserve">: </w:t>
      </w:r>
      <w:r w:rsidRPr="00E9488C">
        <w:t>World Wide Fund for Nature (WWF)</w:t>
      </w:r>
      <w:r>
        <w:t xml:space="preserve"> [In Russian]</w:t>
      </w:r>
    </w:p>
  </w:footnote>
  <w:footnote w:id="21">
    <w:p w14:paraId="67679B45" w14:textId="77777777" w:rsidR="008E5FC2" w:rsidRPr="00406BD6" w:rsidRDefault="008E5FC2" w:rsidP="00A010DF">
      <w:pPr>
        <w:pStyle w:val="FootnoteText"/>
        <w:jc w:val="left"/>
        <w:rPr>
          <w:lang w:val="en-US"/>
        </w:rPr>
      </w:pPr>
      <w:r w:rsidRPr="00406BD6">
        <w:rPr>
          <w:rStyle w:val="FootnoteReference"/>
        </w:rPr>
        <w:footnoteRef/>
      </w:r>
      <w:r w:rsidRPr="00406BD6">
        <w:t xml:space="preserve"> UNEP-WCMC (2019a).</w:t>
      </w:r>
    </w:p>
  </w:footnote>
  <w:footnote w:id="22">
    <w:p w14:paraId="0CBC88D3" w14:textId="77777777" w:rsidR="008E5FC2" w:rsidRPr="00D8274B" w:rsidRDefault="008E5FC2" w:rsidP="00631FAF">
      <w:pPr>
        <w:pStyle w:val="FootnoteText"/>
        <w:rPr>
          <w:lang w:val="fr-CA"/>
        </w:rPr>
      </w:pPr>
      <w:r w:rsidRPr="00406BD6">
        <w:rPr>
          <w:rStyle w:val="FootnoteReference"/>
        </w:rPr>
        <w:footnoteRef/>
      </w:r>
      <w:r w:rsidRPr="00D8274B">
        <w:rPr>
          <w:lang w:val="fr-CA"/>
        </w:rPr>
        <w:t xml:space="preserve"> UNEP-WCMC (2019a).</w:t>
      </w:r>
    </w:p>
  </w:footnote>
  <w:footnote w:id="23">
    <w:p w14:paraId="37D9C990" w14:textId="77777777" w:rsidR="008E5FC2" w:rsidRPr="006D4447" w:rsidRDefault="008E5FC2" w:rsidP="00D30A59">
      <w:pPr>
        <w:pStyle w:val="FootnoteText"/>
        <w:jc w:val="left"/>
        <w:rPr>
          <w:lang w:val="en-US"/>
        </w:rPr>
      </w:pPr>
      <w:r>
        <w:rPr>
          <w:rStyle w:val="FootnoteReference"/>
        </w:rPr>
        <w:footnoteRef/>
      </w:r>
      <w:r w:rsidRPr="00D8274B">
        <w:rPr>
          <w:lang w:val="fr-CA"/>
        </w:rPr>
        <w:t xml:space="preserve"> Jantke et al. </w:t>
      </w:r>
      <w:r w:rsidRPr="006D4447">
        <w:t>(2018). Poor ecological representation by an expensive reserve system: Evaluating 35 years of marine protected area expansion. </w:t>
      </w:r>
      <w:r w:rsidRPr="006D4447">
        <w:rPr>
          <w:i/>
          <w:iCs/>
        </w:rPr>
        <w:t>Conservation Letters</w:t>
      </w:r>
      <w:r w:rsidRPr="006D4447">
        <w:t>, </w:t>
      </w:r>
      <w:r w:rsidRPr="006D4447">
        <w:rPr>
          <w:i/>
          <w:iCs/>
        </w:rPr>
        <w:t>11</w:t>
      </w:r>
      <w:r w:rsidRPr="006D4447">
        <w:t>(6), e12584.</w:t>
      </w:r>
    </w:p>
  </w:footnote>
  <w:footnote w:id="24">
    <w:p w14:paraId="39167B05" w14:textId="77777777" w:rsidR="008E5FC2" w:rsidRPr="006D4447" w:rsidRDefault="008E5FC2" w:rsidP="00D30A59">
      <w:pPr>
        <w:pStyle w:val="FootnoteText"/>
        <w:jc w:val="left"/>
        <w:rPr>
          <w:lang w:val="en-US"/>
        </w:rPr>
      </w:pPr>
      <w:r>
        <w:rPr>
          <w:rStyle w:val="FootnoteReference"/>
        </w:rPr>
        <w:footnoteRef/>
      </w:r>
      <w:r>
        <w:t xml:space="preserve"> </w:t>
      </w:r>
      <w:r w:rsidRPr="006D4447">
        <w:t>Kuempel</w:t>
      </w:r>
      <w:r>
        <w:t xml:space="preserve"> et al</w:t>
      </w:r>
      <w:r w:rsidRPr="006D4447">
        <w:t>. (2019). Quantifying biases in marine</w:t>
      </w:r>
      <w:r w:rsidRPr="006D4447">
        <w:rPr>
          <w:rFonts w:ascii="Cambria Math" w:hAnsi="Cambria Math" w:cs="Cambria Math"/>
        </w:rPr>
        <w:t>‐</w:t>
      </w:r>
      <w:r w:rsidRPr="006D4447">
        <w:t>protected</w:t>
      </w:r>
      <w:r w:rsidRPr="006D4447">
        <w:rPr>
          <w:rFonts w:ascii="Cambria Math" w:hAnsi="Cambria Math" w:cs="Cambria Math"/>
        </w:rPr>
        <w:t>‐</w:t>
      </w:r>
      <w:r w:rsidRPr="006D4447">
        <w:t>area placement relative to abatable threats. </w:t>
      </w:r>
      <w:r w:rsidRPr="006D4447">
        <w:rPr>
          <w:i/>
          <w:iCs/>
        </w:rPr>
        <w:t>Conservation Biology</w:t>
      </w:r>
      <w:r w:rsidRPr="006D4447">
        <w:t>.</w:t>
      </w:r>
    </w:p>
  </w:footnote>
  <w:footnote w:id="25">
    <w:p w14:paraId="2E7A4343"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w:t>
      </w:r>
      <w:r>
        <w:rPr>
          <w:rFonts w:cs="Times New Roman"/>
          <w:szCs w:val="18"/>
        </w:rPr>
        <w:t xml:space="preserve">E.g. </w:t>
      </w:r>
      <w:r w:rsidRPr="000A406C">
        <w:rPr>
          <w:rFonts w:cs="Times New Roman"/>
          <w:szCs w:val="18"/>
          <w:lang w:val="en-CA"/>
        </w:rPr>
        <w:t xml:space="preserve">UNEP-WCMC, IUCN and NGS (2018). </w:t>
      </w:r>
      <w:r w:rsidRPr="000A406C">
        <w:rPr>
          <w:rFonts w:cs="Times New Roman"/>
          <w:i/>
          <w:szCs w:val="18"/>
          <w:lang w:val="en-CA"/>
        </w:rPr>
        <w:t>Protected Planet Report 2018.</w:t>
      </w:r>
      <w:r w:rsidRPr="000A406C">
        <w:rPr>
          <w:rFonts w:cs="Times New Roman"/>
          <w:szCs w:val="18"/>
          <w:lang w:val="en-CA"/>
        </w:rPr>
        <w:t xml:space="preserve"> Cambridge UK; Gland, Switzerland; and Washington, D.C., USA: UNEP-WCMC, IUCN and NGS.</w:t>
      </w:r>
    </w:p>
  </w:footnote>
  <w:footnote w:id="26">
    <w:p w14:paraId="23733004"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Olson et al. (2001), Terrestrial Ecoregions of the World: A New Map of Life on Earth: a new global map of terrestrial ecoregions provides an innovative tool for conserving biodiversity, </w:t>
      </w:r>
      <w:r w:rsidRPr="000A406C">
        <w:rPr>
          <w:rFonts w:cs="Times New Roman"/>
          <w:i/>
          <w:szCs w:val="18"/>
        </w:rPr>
        <w:t>BioScience</w:t>
      </w:r>
      <w:r w:rsidRPr="000A406C">
        <w:rPr>
          <w:rFonts w:cs="Times New Roman"/>
          <w:szCs w:val="18"/>
        </w:rPr>
        <w:t xml:space="preserve">, </w:t>
      </w:r>
      <w:r w:rsidRPr="000A406C">
        <w:rPr>
          <w:rFonts w:cs="Times New Roman"/>
          <w:i/>
          <w:szCs w:val="18"/>
        </w:rPr>
        <w:t>51</w:t>
      </w:r>
      <w:r w:rsidRPr="000A406C">
        <w:rPr>
          <w:rFonts w:cs="Times New Roman"/>
          <w:szCs w:val="18"/>
        </w:rPr>
        <w:t>, 933–938</w:t>
      </w:r>
      <w:r w:rsidRPr="00631FAF">
        <w:rPr>
          <w:rFonts w:cs="Times New Roman"/>
          <w:szCs w:val="18"/>
        </w:rPr>
        <w:t>. In 2017, there was an update to the terrestrial ecoregion map, which now includes 828 non-Antarctic ecoregions; see: Dinerstein et al. (2017</w:t>
      </w:r>
      <w:r>
        <w:rPr>
          <w:rFonts w:cs="Times New Roman"/>
          <w:szCs w:val="18"/>
        </w:rPr>
        <w:t xml:space="preserve">), </w:t>
      </w:r>
      <w:r w:rsidRPr="00631FAF">
        <w:rPr>
          <w:rFonts w:cs="Times New Roman"/>
          <w:szCs w:val="18"/>
        </w:rPr>
        <w:t>An ecoregion-based approach to protecting half the terrestrial realm. </w:t>
      </w:r>
      <w:r w:rsidRPr="00631FAF">
        <w:rPr>
          <w:rFonts w:cs="Times New Roman"/>
          <w:i/>
          <w:iCs/>
          <w:szCs w:val="18"/>
        </w:rPr>
        <w:t>BioScience</w:t>
      </w:r>
      <w:r w:rsidRPr="00631FAF">
        <w:rPr>
          <w:rFonts w:cs="Times New Roman"/>
          <w:szCs w:val="18"/>
        </w:rPr>
        <w:t>, </w:t>
      </w:r>
      <w:r w:rsidRPr="00631FAF">
        <w:rPr>
          <w:rFonts w:cs="Times New Roman"/>
          <w:i/>
          <w:iCs/>
          <w:szCs w:val="18"/>
        </w:rPr>
        <w:t>67</w:t>
      </w:r>
      <w:r w:rsidRPr="00631FAF">
        <w:rPr>
          <w:rFonts w:cs="Times New Roman"/>
          <w:szCs w:val="18"/>
        </w:rPr>
        <w:t>(6), 534-545.</w:t>
      </w:r>
    </w:p>
  </w:footnote>
  <w:footnote w:id="27">
    <w:p w14:paraId="1505D8A8"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Spalding et al. (2007), Marine ecoregions of the world: a bioregionalization of coastal and shelf areas, </w:t>
      </w:r>
      <w:r w:rsidRPr="000A406C">
        <w:rPr>
          <w:rFonts w:cs="Times New Roman"/>
          <w:i/>
          <w:szCs w:val="18"/>
        </w:rPr>
        <w:t>BioScience</w:t>
      </w:r>
      <w:r w:rsidRPr="000A406C">
        <w:rPr>
          <w:rFonts w:cs="Times New Roman"/>
          <w:szCs w:val="18"/>
        </w:rPr>
        <w:t xml:space="preserve">, </w:t>
      </w:r>
      <w:r w:rsidRPr="000A406C">
        <w:rPr>
          <w:rFonts w:cs="Times New Roman"/>
          <w:i/>
          <w:szCs w:val="18"/>
        </w:rPr>
        <w:t>57</w:t>
      </w:r>
      <w:r w:rsidRPr="000A406C">
        <w:rPr>
          <w:rFonts w:cs="Times New Roman"/>
          <w:szCs w:val="18"/>
        </w:rPr>
        <w:t xml:space="preserve">(7), 573-583; Spalding et al. (2012), Pelagic provinces of the world: a biogeographic classification of the world’s surface pelagic waters, </w:t>
      </w:r>
      <w:r w:rsidRPr="000A406C">
        <w:rPr>
          <w:rFonts w:cs="Times New Roman"/>
          <w:i/>
          <w:szCs w:val="18"/>
        </w:rPr>
        <w:t>Ocean &amp; Coastal Management</w:t>
      </w:r>
      <w:r w:rsidRPr="000A406C">
        <w:rPr>
          <w:rFonts w:cs="Times New Roman"/>
          <w:szCs w:val="18"/>
        </w:rPr>
        <w:t xml:space="preserve">, </w:t>
      </w:r>
      <w:r w:rsidRPr="000A406C">
        <w:rPr>
          <w:rFonts w:cs="Times New Roman"/>
          <w:i/>
          <w:szCs w:val="18"/>
        </w:rPr>
        <w:t>60</w:t>
      </w:r>
      <w:r w:rsidRPr="000A406C">
        <w:rPr>
          <w:rFonts w:cs="Times New Roman"/>
          <w:szCs w:val="18"/>
        </w:rPr>
        <w:t>, 19-30.</w:t>
      </w:r>
    </w:p>
  </w:footnote>
  <w:footnote w:id="28">
    <w:p w14:paraId="1C555849" w14:textId="77777777" w:rsidR="008E5FC2" w:rsidRPr="001D3773" w:rsidRDefault="008E5FC2" w:rsidP="00A010DF">
      <w:pPr>
        <w:pStyle w:val="FootnoteText"/>
        <w:jc w:val="left"/>
        <w:rPr>
          <w:lang w:val="en-US"/>
        </w:rPr>
      </w:pPr>
      <w:r>
        <w:rPr>
          <w:rStyle w:val="FootnoteReference"/>
        </w:rPr>
        <w:footnoteRef/>
      </w:r>
      <w:r>
        <w:t xml:space="preserve"> </w:t>
      </w:r>
      <w:r w:rsidRPr="000A406C">
        <w:rPr>
          <w:rFonts w:cs="Times New Roman"/>
          <w:szCs w:val="18"/>
        </w:rPr>
        <w:t xml:space="preserve">European Commission – Joint Research Centre (EC-JRC) (2019), The Digital Observatory for Protected Areas (DOPA), </w:t>
      </w:r>
      <w:hyperlink r:id="rId4" w:history="1">
        <w:r w:rsidRPr="000A406C">
          <w:rPr>
            <w:rStyle w:val="Hyperlink"/>
            <w:rFonts w:cs="Times New Roman"/>
            <w:color w:val="auto"/>
            <w:szCs w:val="18"/>
          </w:rPr>
          <w:t>http://dopa.jrc.ec.europa.eu/</w:t>
        </w:r>
      </w:hyperlink>
      <w:r w:rsidRPr="000A406C">
        <w:rPr>
          <w:rFonts w:cs="Times New Roman"/>
          <w:szCs w:val="18"/>
        </w:rPr>
        <w:t xml:space="preserve"> (see section on maps and datasets).</w:t>
      </w:r>
    </w:p>
  </w:footnote>
  <w:footnote w:id="29">
    <w:p w14:paraId="1128A54A" w14:textId="77777777" w:rsidR="008E5FC2" w:rsidRPr="0050551F" w:rsidRDefault="008E5FC2" w:rsidP="009A19CD">
      <w:pPr>
        <w:pStyle w:val="FootnoteText"/>
        <w:jc w:val="left"/>
        <w:rPr>
          <w:lang w:val="en-US"/>
        </w:rPr>
      </w:pPr>
      <w:r>
        <w:rPr>
          <w:rStyle w:val="FootnoteReference"/>
        </w:rPr>
        <w:footnoteRef/>
      </w:r>
      <w:r>
        <w:t xml:space="preserve"> Data from EC-JRC (2019).</w:t>
      </w:r>
    </w:p>
  </w:footnote>
  <w:footnote w:id="30">
    <w:p w14:paraId="5F59C745"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Jantke et al. (2018), Metrics for evaluating representation target achievement in protected area networks, </w:t>
      </w:r>
      <w:r w:rsidRPr="000A406C">
        <w:rPr>
          <w:rFonts w:cs="Times New Roman"/>
          <w:i/>
          <w:szCs w:val="18"/>
        </w:rPr>
        <w:t xml:space="preserve">Diversity and Distributions, </w:t>
      </w:r>
      <w:r w:rsidRPr="000A406C">
        <w:rPr>
          <w:rFonts w:cs="Times New Roman"/>
          <w:i/>
          <w:iCs/>
          <w:szCs w:val="18"/>
        </w:rPr>
        <w:t>25</w:t>
      </w:r>
      <w:r w:rsidRPr="000A406C">
        <w:rPr>
          <w:rFonts w:cs="Times New Roman"/>
          <w:b/>
          <w:szCs w:val="18"/>
        </w:rPr>
        <w:t>(</w:t>
      </w:r>
      <w:r w:rsidRPr="000A406C">
        <w:rPr>
          <w:rFonts w:cs="Times New Roman"/>
          <w:szCs w:val="18"/>
        </w:rPr>
        <w:t>2), 170-175</w:t>
      </w:r>
      <w:r w:rsidRPr="000A406C">
        <w:rPr>
          <w:rFonts w:cs="Times New Roman"/>
          <w:b/>
          <w:szCs w:val="18"/>
        </w:rPr>
        <w:t>.</w:t>
      </w:r>
    </w:p>
  </w:footnote>
  <w:footnote w:id="31">
    <w:p w14:paraId="123E9589" w14:textId="77777777" w:rsidR="008E5FC2" w:rsidRPr="007006B6" w:rsidRDefault="008E5FC2" w:rsidP="00E26C74">
      <w:pPr>
        <w:pStyle w:val="FootnoteText"/>
        <w:jc w:val="left"/>
        <w:rPr>
          <w:lang w:val="en-US"/>
        </w:rPr>
      </w:pPr>
      <w:r>
        <w:rPr>
          <w:rStyle w:val="FootnoteReference"/>
        </w:rPr>
        <w:footnoteRef/>
      </w:r>
      <w:r>
        <w:t xml:space="preserve"> </w:t>
      </w:r>
      <w:r w:rsidRPr="00E9488C">
        <w:t xml:space="preserve">Stishov </w:t>
      </w:r>
      <w:r>
        <w:t xml:space="preserve">&amp; </w:t>
      </w:r>
      <w:r w:rsidRPr="00E9488C">
        <w:t>Dudley</w:t>
      </w:r>
      <w:r>
        <w:t xml:space="preserve"> (2018).</w:t>
      </w:r>
    </w:p>
  </w:footnote>
  <w:footnote w:id="32">
    <w:p w14:paraId="05FB58BA" w14:textId="77777777" w:rsidR="008E5FC2" w:rsidRPr="003F6EB0" w:rsidRDefault="008E5FC2" w:rsidP="009A19CD">
      <w:pPr>
        <w:pStyle w:val="FootnoteText"/>
        <w:rPr>
          <w:lang w:val="en-US"/>
        </w:rPr>
      </w:pPr>
      <w:r>
        <w:rPr>
          <w:rStyle w:val="FootnoteReference"/>
        </w:rPr>
        <w:footnoteRef/>
      </w:r>
      <w:r>
        <w:t xml:space="preserve"> </w:t>
      </w:r>
      <w:r>
        <w:rPr>
          <w:lang w:val="en-US"/>
        </w:rPr>
        <w:t>The map of pelagic provinces was only developed in 2012, so coverage from 2011 is currently unavailable.</w:t>
      </w:r>
    </w:p>
  </w:footnote>
  <w:footnote w:id="33">
    <w:p w14:paraId="168794A4" w14:textId="77777777" w:rsidR="008E5FC2" w:rsidRPr="00606063" w:rsidRDefault="008E5FC2" w:rsidP="00DF3CCC">
      <w:pPr>
        <w:pStyle w:val="FootnoteText"/>
        <w:jc w:val="left"/>
        <w:rPr>
          <w:lang w:val="en-CA"/>
        </w:rPr>
      </w:pPr>
      <w:r>
        <w:rPr>
          <w:rStyle w:val="FootnoteReference"/>
        </w:rPr>
        <w:footnoteRef/>
      </w:r>
      <w:r>
        <w:t xml:space="preserve"> E.g. Xu et al</w:t>
      </w:r>
      <w:r w:rsidRPr="009512C0">
        <w:t>. (2018). Low ecological representation in the protected area network of China. </w:t>
      </w:r>
      <w:r w:rsidRPr="009512C0">
        <w:rPr>
          <w:i/>
          <w:iCs/>
        </w:rPr>
        <w:t>Ecology and evolution</w:t>
      </w:r>
      <w:r w:rsidRPr="009512C0">
        <w:t>, </w:t>
      </w:r>
      <w:r w:rsidRPr="009512C0">
        <w:rPr>
          <w:i/>
          <w:iCs/>
        </w:rPr>
        <w:t>8</w:t>
      </w:r>
      <w:r>
        <w:t xml:space="preserve">(12), 6290-6298; </w:t>
      </w:r>
      <w:r w:rsidRPr="009512C0">
        <w:t xml:space="preserve">Butchart, </w:t>
      </w:r>
      <w:r>
        <w:t>et al</w:t>
      </w:r>
      <w:r w:rsidRPr="009512C0">
        <w:t>. (2015). Shortfalls and solutions for meeting national and global conservation area targets. </w:t>
      </w:r>
      <w:r w:rsidRPr="00606063">
        <w:rPr>
          <w:i/>
          <w:iCs/>
        </w:rPr>
        <w:t>Conservation Letters</w:t>
      </w:r>
      <w:r w:rsidRPr="00606063">
        <w:t>, </w:t>
      </w:r>
      <w:r w:rsidRPr="00606063">
        <w:rPr>
          <w:i/>
          <w:iCs/>
        </w:rPr>
        <w:t>8</w:t>
      </w:r>
      <w:r w:rsidRPr="00606063">
        <w:t>(5), 329-337.</w:t>
      </w:r>
    </w:p>
  </w:footnote>
  <w:footnote w:id="34">
    <w:p w14:paraId="6A5E0C7A" w14:textId="77777777" w:rsidR="008E5FC2" w:rsidRPr="00013413" w:rsidRDefault="008E5FC2">
      <w:pPr>
        <w:pStyle w:val="FootnoteText"/>
        <w:rPr>
          <w:lang w:val="en-US"/>
        </w:rPr>
      </w:pPr>
      <w:r>
        <w:rPr>
          <w:rStyle w:val="FootnoteReference"/>
        </w:rPr>
        <w:footnoteRef/>
      </w:r>
      <w:r>
        <w:t xml:space="preserve"> Runge et al</w:t>
      </w:r>
      <w:r w:rsidRPr="009512C0">
        <w:t>. (2015). Protected areas and global conservation of migratory birds. </w:t>
      </w:r>
      <w:r w:rsidRPr="009512C0">
        <w:rPr>
          <w:i/>
          <w:iCs/>
        </w:rPr>
        <w:t>Science</w:t>
      </w:r>
      <w:r w:rsidRPr="009512C0">
        <w:t>, </w:t>
      </w:r>
      <w:r w:rsidRPr="009512C0">
        <w:rPr>
          <w:i/>
          <w:iCs/>
        </w:rPr>
        <w:t>350</w:t>
      </w:r>
      <w:r>
        <w:t>(6265), 1255-1258</w:t>
      </w:r>
    </w:p>
  </w:footnote>
  <w:footnote w:id="35">
    <w:p w14:paraId="3511874D" w14:textId="77777777" w:rsidR="008E5FC2" w:rsidRPr="007006B6" w:rsidRDefault="008E5FC2" w:rsidP="00B91E5B">
      <w:pPr>
        <w:pStyle w:val="FootnoteText"/>
        <w:jc w:val="left"/>
        <w:rPr>
          <w:lang w:val="en-US"/>
        </w:rPr>
      </w:pPr>
      <w:r>
        <w:rPr>
          <w:rStyle w:val="FootnoteReference"/>
        </w:rPr>
        <w:footnoteRef/>
      </w:r>
      <w:r>
        <w:t xml:space="preserve"> </w:t>
      </w:r>
      <w:r w:rsidRPr="00E9488C">
        <w:t xml:space="preserve">Stishov </w:t>
      </w:r>
      <w:r>
        <w:t xml:space="preserve">&amp; </w:t>
      </w:r>
      <w:r w:rsidRPr="00E9488C">
        <w:t>Dudley</w:t>
      </w:r>
      <w:r>
        <w:t xml:space="preserve"> (2018).</w:t>
      </w:r>
    </w:p>
  </w:footnote>
  <w:footnote w:id="36">
    <w:p w14:paraId="7C806CC9" w14:textId="77777777" w:rsidR="008E5FC2" w:rsidRPr="00606063" w:rsidRDefault="008E5FC2" w:rsidP="00DF3CCC">
      <w:pPr>
        <w:pStyle w:val="FootnoteText"/>
        <w:jc w:val="left"/>
        <w:rPr>
          <w:lang w:val="en-US"/>
        </w:rPr>
      </w:pPr>
      <w:r w:rsidRPr="00606063">
        <w:rPr>
          <w:rStyle w:val="FootnoteReference"/>
        </w:rPr>
        <w:footnoteRef/>
      </w:r>
      <w:r w:rsidRPr="00606063">
        <w:t xml:space="preserve"> </w:t>
      </w:r>
      <w:r w:rsidRPr="00606063">
        <w:rPr>
          <w:rFonts w:cs="Times New Roman"/>
          <w:szCs w:val="18"/>
        </w:rPr>
        <w:t>CSIRO (Commonwealth Scientific and Industrial Research Organisation) (201</w:t>
      </w:r>
      <w:r>
        <w:rPr>
          <w:rFonts w:cs="Times New Roman"/>
          <w:szCs w:val="18"/>
        </w:rPr>
        <w:t>8</w:t>
      </w:r>
      <w:r w:rsidRPr="00606063">
        <w:rPr>
          <w:rFonts w:cs="Times New Roman"/>
          <w:szCs w:val="18"/>
        </w:rPr>
        <w:t>). Protected Area Representativeness Index (PARC-Representativeness),</w:t>
      </w:r>
      <w:r w:rsidRPr="000A406C">
        <w:rPr>
          <w:rFonts w:cs="Times New Roman"/>
          <w:szCs w:val="18"/>
        </w:rPr>
        <w:t xml:space="preserve"> </w:t>
      </w:r>
      <w:hyperlink r:id="rId5" w:history="1">
        <w:r w:rsidRPr="00682496">
          <w:rPr>
            <w:rStyle w:val="Hyperlink"/>
            <w:rFonts w:cs="Times New Roman"/>
            <w:szCs w:val="18"/>
          </w:rPr>
          <w:t>https://www.bipindicators.net/indicators/protected-area-representativeness-index-parc-representativeness</w:t>
        </w:r>
      </w:hyperlink>
      <w:r>
        <w:rPr>
          <w:rFonts w:cs="Times New Roman"/>
          <w:szCs w:val="18"/>
        </w:rPr>
        <w:t xml:space="preserve"> </w:t>
      </w:r>
    </w:p>
  </w:footnote>
  <w:footnote w:id="37">
    <w:p w14:paraId="65DA56B9"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IUCN (2016) </w:t>
      </w:r>
      <w:r w:rsidRPr="000A406C">
        <w:rPr>
          <w:rFonts w:cs="Times New Roman"/>
          <w:i/>
          <w:szCs w:val="18"/>
        </w:rPr>
        <w:t>A Global Standard for the Identification of Key Biodiversity Areas</w:t>
      </w:r>
      <w:r w:rsidRPr="000A406C">
        <w:rPr>
          <w:rFonts w:cs="Times New Roman"/>
          <w:szCs w:val="18"/>
        </w:rPr>
        <w:t>, v. 1.0. Gland, Switzerland: IUCN.</w:t>
      </w:r>
    </w:p>
  </w:footnote>
  <w:footnote w:id="38">
    <w:p w14:paraId="043DF338"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UNEP-WCMC, in collaboration with BirdLife International and IUCN, Indicator 14.5.1 and Indicator 15.1.2 from SDG Report 2019: Statistical Annex: Global and regional data for Sustainable Development Goal indicators.</w:t>
      </w:r>
    </w:p>
  </w:footnote>
  <w:footnote w:id="39">
    <w:p w14:paraId="57A8500F" w14:textId="77777777" w:rsidR="008E5FC2" w:rsidRPr="000A406C" w:rsidRDefault="008E5FC2" w:rsidP="00456491">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w:t>
      </w:r>
      <w:r w:rsidRPr="00456491">
        <w:rPr>
          <w:rFonts w:cs="Times New Roman"/>
          <w:szCs w:val="18"/>
        </w:rPr>
        <w:t>Donald</w:t>
      </w:r>
      <w:r>
        <w:rPr>
          <w:rFonts w:cs="Times New Roman"/>
          <w:szCs w:val="18"/>
        </w:rPr>
        <w:t xml:space="preserve"> et al.</w:t>
      </w:r>
      <w:r w:rsidRPr="00456491">
        <w:rPr>
          <w:rFonts w:cs="Times New Roman"/>
          <w:szCs w:val="18"/>
        </w:rPr>
        <w:t xml:space="preserve"> (2019). The prevalence, characteristics and effectiveness of Aichi Target 11′ s “other effective area</w:t>
      </w:r>
      <w:r w:rsidRPr="00456491">
        <w:rPr>
          <w:rFonts w:ascii="Cambria Math" w:hAnsi="Cambria Math" w:cs="Cambria Math"/>
          <w:szCs w:val="18"/>
        </w:rPr>
        <w:t>‐</w:t>
      </w:r>
      <w:r w:rsidRPr="00456491">
        <w:rPr>
          <w:rFonts w:cs="Times New Roman"/>
          <w:szCs w:val="18"/>
        </w:rPr>
        <w:t>based conservation measures”</w:t>
      </w:r>
      <w:r>
        <w:rPr>
          <w:rFonts w:cs="Times New Roman"/>
          <w:szCs w:val="18"/>
        </w:rPr>
        <w:t xml:space="preserve"> </w:t>
      </w:r>
      <w:r w:rsidRPr="00456491">
        <w:rPr>
          <w:rFonts w:cs="Times New Roman"/>
          <w:szCs w:val="18"/>
        </w:rPr>
        <w:t>(OECMs) in Key Biodiversity Areas. </w:t>
      </w:r>
      <w:r w:rsidRPr="00456491">
        <w:rPr>
          <w:rFonts w:cs="Times New Roman"/>
          <w:i/>
          <w:iCs/>
          <w:szCs w:val="18"/>
        </w:rPr>
        <w:t>Conservation Letters</w:t>
      </w:r>
      <w:r w:rsidRPr="00456491">
        <w:rPr>
          <w:rFonts w:cs="Times New Roman"/>
          <w:szCs w:val="18"/>
        </w:rPr>
        <w:t>, e12659.</w:t>
      </w:r>
    </w:p>
  </w:footnote>
  <w:footnote w:id="40">
    <w:p w14:paraId="6F142970" w14:textId="77777777" w:rsidR="008E5FC2" w:rsidRPr="00D32FA2" w:rsidRDefault="008E5FC2">
      <w:pPr>
        <w:pStyle w:val="FootnoteText"/>
        <w:rPr>
          <w:lang w:val="en-US"/>
        </w:rPr>
      </w:pPr>
      <w:r>
        <w:rPr>
          <w:rStyle w:val="FootnoteReference"/>
        </w:rPr>
        <w:footnoteRef/>
      </w:r>
      <w:r>
        <w:t xml:space="preserve"> </w:t>
      </w:r>
      <w:r w:rsidRPr="00D32FA2">
        <w:t>Watson</w:t>
      </w:r>
      <w:r>
        <w:t xml:space="preserve"> et al</w:t>
      </w:r>
      <w:r w:rsidRPr="00D32FA2">
        <w:t>. (2018). Protect</w:t>
      </w:r>
      <w:r>
        <w:t xml:space="preserve"> the last of the wild, </w:t>
      </w:r>
      <w:r w:rsidRPr="00D32FA2">
        <w:rPr>
          <w:i/>
          <w:iCs/>
        </w:rPr>
        <w:t>Nature</w:t>
      </w:r>
      <w:r w:rsidRPr="00D32FA2">
        <w:t> </w:t>
      </w:r>
      <w:r w:rsidRPr="00D32FA2">
        <w:rPr>
          <w:bCs/>
        </w:rPr>
        <w:t>563</w:t>
      </w:r>
      <w:r w:rsidRPr="00D32FA2">
        <w:t>, 27-30</w:t>
      </w:r>
      <w:r>
        <w:t>.</w:t>
      </w:r>
    </w:p>
  </w:footnote>
  <w:footnote w:id="41">
    <w:p w14:paraId="73868D4B" w14:textId="77777777" w:rsidR="008E5FC2" w:rsidRPr="00D32FA2" w:rsidRDefault="008E5FC2">
      <w:pPr>
        <w:pStyle w:val="FootnoteText"/>
        <w:rPr>
          <w:lang w:val="en-US"/>
        </w:rPr>
      </w:pPr>
      <w:r>
        <w:rPr>
          <w:rStyle w:val="FootnoteReference"/>
        </w:rPr>
        <w:footnoteRef/>
      </w:r>
      <w:r>
        <w:t xml:space="preserve"> </w:t>
      </w:r>
      <w:r w:rsidRPr="00D32FA2">
        <w:t>Jones</w:t>
      </w:r>
      <w:r>
        <w:t xml:space="preserve"> et al</w:t>
      </w:r>
      <w:r w:rsidRPr="00D32FA2">
        <w:t>. (2018). The location and protection status of Earth’s diminishing marine wilderness. </w:t>
      </w:r>
      <w:r w:rsidRPr="00D32FA2">
        <w:rPr>
          <w:i/>
          <w:iCs/>
        </w:rPr>
        <w:t>Current Biology</w:t>
      </w:r>
      <w:r w:rsidRPr="00D32FA2">
        <w:t>, </w:t>
      </w:r>
      <w:r w:rsidRPr="00D32FA2">
        <w:rPr>
          <w:i/>
          <w:iCs/>
        </w:rPr>
        <w:t>28</w:t>
      </w:r>
      <w:r w:rsidRPr="00D32FA2">
        <w:t>(15), 2506-2512.</w:t>
      </w:r>
    </w:p>
  </w:footnote>
  <w:footnote w:id="42">
    <w:p w14:paraId="0BE76DC3"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Harrison et al. (2016). Protected areas and freshwater provisioning: a global assessment of freshwater provision, threats and management strategies to support human water security. </w:t>
      </w:r>
      <w:r w:rsidRPr="000A406C">
        <w:rPr>
          <w:rFonts w:cs="Times New Roman"/>
          <w:i/>
          <w:iCs/>
          <w:szCs w:val="18"/>
        </w:rPr>
        <w:t>Aquatic Conservation: Marine and Freshwater Ecosystems</w:t>
      </w:r>
      <w:r w:rsidRPr="000A406C">
        <w:rPr>
          <w:rFonts w:cs="Times New Roman"/>
          <w:szCs w:val="18"/>
        </w:rPr>
        <w:t>, </w:t>
      </w:r>
      <w:r w:rsidRPr="000A406C">
        <w:rPr>
          <w:rFonts w:cs="Times New Roman"/>
          <w:i/>
          <w:iCs/>
          <w:szCs w:val="18"/>
        </w:rPr>
        <w:t>26</w:t>
      </w:r>
      <w:r w:rsidRPr="000A406C">
        <w:rPr>
          <w:rFonts w:cs="Times New Roman"/>
          <w:szCs w:val="18"/>
        </w:rPr>
        <w:t>, 103-120.</w:t>
      </w:r>
    </w:p>
  </w:footnote>
  <w:footnote w:id="43">
    <w:p w14:paraId="486A7A87" w14:textId="77777777" w:rsidR="008E5FC2" w:rsidRPr="00D8274B" w:rsidRDefault="008E5FC2" w:rsidP="00A010DF">
      <w:pPr>
        <w:pStyle w:val="FootnoteText"/>
        <w:jc w:val="left"/>
        <w:rPr>
          <w:rFonts w:cs="Times New Roman"/>
          <w:szCs w:val="18"/>
          <w:lang w:val="fr-CA"/>
        </w:rPr>
      </w:pPr>
      <w:r w:rsidRPr="000A406C">
        <w:rPr>
          <w:rStyle w:val="FootnoteReference"/>
          <w:rFonts w:cs="Times New Roman"/>
          <w:szCs w:val="18"/>
        </w:rPr>
        <w:footnoteRef/>
      </w:r>
      <w:r w:rsidRPr="000A406C">
        <w:rPr>
          <w:rFonts w:cs="Times New Roman"/>
          <w:szCs w:val="18"/>
        </w:rPr>
        <w:t xml:space="preserve"> Burkhard &amp; Maes (eds.) (2017), </w:t>
      </w:r>
      <w:r w:rsidRPr="000A406C">
        <w:rPr>
          <w:rFonts w:cs="Times New Roman"/>
          <w:i/>
          <w:szCs w:val="18"/>
        </w:rPr>
        <w:t>Mapping Ecosystem Services</w:t>
      </w:r>
      <w:r w:rsidRPr="000A406C">
        <w:rPr>
          <w:rFonts w:cs="Times New Roman"/>
          <w:szCs w:val="18"/>
        </w:rPr>
        <w:t xml:space="preserve">. </w:t>
      </w:r>
      <w:r w:rsidRPr="00D8274B">
        <w:rPr>
          <w:rFonts w:cs="Times New Roman"/>
          <w:szCs w:val="18"/>
          <w:lang w:val="fr-CA"/>
        </w:rPr>
        <w:t>Sofia: Pensoft Publishers.</w:t>
      </w:r>
    </w:p>
  </w:footnote>
  <w:footnote w:id="44">
    <w:p w14:paraId="37EB58B9" w14:textId="77777777" w:rsidR="008E5FC2" w:rsidRPr="000F4DAF" w:rsidRDefault="008E5FC2">
      <w:pPr>
        <w:pStyle w:val="FootnoteText"/>
        <w:rPr>
          <w:lang w:val="en-US"/>
        </w:rPr>
      </w:pPr>
      <w:r>
        <w:rPr>
          <w:rStyle w:val="FootnoteReference"/>
        </w:rPr>
        <w:footnoteRef/>
      </w:r>
      <w:r w:rsidRPr="00D8274B">
        <w:rPr>
          <w:lang w:val="fr-CA"/>
        </w:rPr>
        <w:t xml:space="preserve"> Xu et al. </w:t>
      </w:r>
      <w:r w:rsidRPr="000F4DAF">
        <w:t>(2017). Strengthening protected areas for biodiversity and ecosystem services in China. </w:t>
      </w:r>
      <w:r w:rsidRPr="000F4DAF">
        <w:rPr>
          <w:i/>
          <w:iCs/>
        </w:rPr>
        <w:t>Proceedings of the National Academy of Sciences</w:t>
      </w:r>
      <w:r w:rsidRPr="000F4DAF">
        <w:t>, </w:t>
      </w:r>
      <w:r w:rsidRPr="000F4DAF">
        <w:rPr>
          <w:i/>
          <w:iCs/>
        </w:rPr>
        <w:t>114</w:t>
      </w:r>
      <w:r w:rsidRPr="000F4DAF">
        <w:t>(7), 1601-1606.</w:t>
      </w:r>
    </w:p>
  </w:footnote>
  <w:footnote w:id="45">
    <w:p w14:paraId="5AB77637" w14:textId="77777777" w:rsidR="008E5FC2" w:rsidRPr="00D32FA2" w:rsidRDefault="008E5FC2">
      <w:pPr>
        <w:pStyle w:val="FootnoteText"/>
        <w:rPr>
          <w:lang w:val="en-US"/>
        </w:rPr>
      </w:pPr>
      <w:r>
        <w:rPr>
          <w:rStyle w:val="FootnoteReference"/>
        </w:rPr>
        <w:footnoteRef/>
      </w:r>
      <w:r>
        <w:t xml:space="preserve"> </w:t>
      </w:r>
      <w:r>
        <w:rPr>
          <w:lang w:val="en-US"/>
        </w:rPr>
        <w:t>For example, hotspots could be defined as the 20% or 25% of sites with the highest value for a specific service.</w:t>
      </w:r>
    </w:p>
  </w:footnote>
  <w:footnote w:id="46">
    <w:p w14:paraId="4B3F00FC" w14:textId="77777777" w:rsidR="008E5FC2" w:rsidRPr="00B90060" w:rsidRDefault="008E5FC2" w:rsidP="00D32FA2">
      <w:pPr>
        <w:pStyle w:val="FootnoteText"/>
        <w:jc w:val="left"/>
        <w:rPr>
          <w:lang w:val="fr-CA"/>
        </w:rPr>
      </w:pPr>
      <w:r>
        <w:rPr>
          <w:rStyle w:val="FootnoteReference"/>
        </w:rPr>
        <w:footnoteRef/>
      </w:r>
      <w:r>
        <w:t xml:space="preserve"> </w:t>
      </w:r>
      <w:r w:rsidRPr="00B31788">
        <w:t>Mandle</w:t>
      </w:r>
      <w:r>
        <w:t xml:space="preserve"> et al.</w:t>
      </w:r>
      <w:r w:rsidRPr="00B31788">
        <w:t xml:space="preserve"> (2017). Assessing ecosystem service provision under climate change to support conservation and development planning in Myanmar. </w:t>
      </w:r>
      <w:r w:rsidRPr="00B90060">
        <w:rPr>
          <w:i/>
          <w:iCs/>
          <w:lang w:val="fr-CA"/>
        </w:rPr>
        <w:t>PloS one</w:t>
      </w:r>
      <w:r w:rsidRPr="00B90060">
        <w:rPr>
          <w:lang w:val="fr-CA"/>
        </w:rPr>
        <w:t>, </w:t>
      </w:r>
      <w:r w:rsidRPr="00B90060">
        <w:rPr>
          <w:i/>
          <w:iCs/>
          <w:lang w:val="fr-CA"/>
        </w:rPr>
        <w:t>12</w:t>
      </w:r>
      <w:r w:rsidRPr="00B90060">
        <w:rPr>
          <w:lang w:val="fr-CA"/>
        </w:rPr>
        <w:t>(9), e0184951.</w:t>
      </w:r>
    </w:p>
  </w:footnote>
  <w:footnote w:id="47">
    <w:p w14:paraId="4B1597B1" w14:textId="77777777" w:rsidR="008E5FC2" w:rsidRPr="00B90060" w:rsidRDefault="008E5FC2" w:rsidP="00B91E5B">
      <w:pPr>
        <w:pStyle w:val="FootnoteText"/>
        <w:jc w:val="left"/>
        <w:rPr>
          <w:rFonts w:cs="Times New Roman"/>
          <w:szCs w:val="18"/>
          <w:lang w:val="fr-CA"/>
        </w:rPr>
      </w:pPr>
      <w:r w:rsidRPr="000A406C">
        <w:rPr>
          <w:rStyle w:val="FootnoteReference"/>
          <w:rFonts w:cs="Times New Roman"/>
          <w:szCs w:val="18"/>
        </w:rPr>
        <w:footnoteRef/>
      </w:r>
      <w:r w:rsidRPr="00B90060">
        <w:rPr>
          <w:rFonts w:cs="Times New Roman"/>
          <w:szCs w:val="18"/>
          <w:lang w:val="fr-CA"/>
        </w:rPr>
        <w:t xml:space="preserve"> Donald, P. F., et al. (2019).</w:t>
      </w:r>
    </w:p>
  </w:footnote>
  <w:footnote w:id="48">
    <w:p w14:paraId="16693A78" w14:textId="77777777" w:rsidR="008E5FC2" w:rsidRPr="00942F79" w:rsidRDefault="008E5FC2">
      <w:pPr>
        <w:pStyle w:val="FootnoteText"/>
        <w:rPr>
          <w:lang w:val="en-US"/>
        </w:rPr>
      </w:pPr>
      <w:r>
        <w:rPr>
          <w:rStyle w:val="FootnoteReference"/>
        </w:rPr>
        <w:footnoteRef/>
      </w:r>
      <w:r w:rsidRPr="00B90060">
        <w:rPr>
          <w:lang w:val="fr-CA"/>
        </w:rPr>
        <w:t xml:space="preserve"> Vačkář, D. et al. </w:t>
      </w:r>
      <w:r w:rsidRPr="00942F79">
        <w:t xml:space="preserve">(2016). Human transformation of ecosystems: Comparing protected and unprotected areas with natural baselines. </w:t>
      </w:r>
      <w:r w:rsidRPr="00942F79">
        <w:rPr>
          <w:i/>
        </w:rPr>
        <w:t>Ecological Indicators</w:t>
      </w:r>
      <w:r w:rsidRPr="00942F79">
        <w:t>, 66:321–328.</w:t>
      </w:r>
    </w:p>
  </w:footnote>
  <w:footnote w:id="49">
    <w:p w14:paraId="5DF4C6EA" w14:textId="77777777" w:rsidR="008E5FC2" w:rsidRPr="00B90060" w:rsidRDefault="008E5FC2" w:rsidP="00A010DF">
      <w:pPr>
        <w:pStyle w:val="FootnoteText"/>
        <w:jc w:val="left"/>
        <w:rPr>
          <w:lang w:val="fr-CA"/>
        </w:rPr>
      </w:pPr>
      <w:r>
        <w:rPr>
          <w:rStyle w:val="FootnoteReference"/>
        </w:rPr>
        <w:footnoteRef/>
      </w:r>
      <w:r>
        <w:t xml:space="preserve"> </w:t>
      </w:r>
      <w:r w:rsidRPr="006E0FD9">
        <w:rPr>
          <w:lang w:val="en-US"/>
        </w:rPr>
        <w:t>Joint Research Centre of the European Commission (</w:t>
      </w:r>
      <w:r>
        <w:rPr>
          <w:lang w:val="en-US"/>
        </w:rPr>
        <w:t>2019</w:t>
      </w:r>
      <w:r w:rsidRPr="006E0FD9">
        <w:rPr>
          <w:lang w:val="en-US"/>
        </w:rPr>
        <w:t>), The Digital Observatory for Protected Areas (DOPA) Explorer 4 [On-line],</w:t>
      </w:r>
      <w:r>
        <w:rPr>
          <w:lang w:val="en-US"/>
        </w:rPr>
        <w:t xml:space="preserve"> September, 2019</w:t>
      </w:r>
      <w:r w:rsidRPr="006E0FD9">
        <w:rPr>
          <w:lang w:val="en-US"/>
        </w:rPr>
        <w:t>, Ispra, Italy.</w:t>
      </w:r>
      <w:r w:rsidRPr="005E2415">
        <w:rPr>
          <w:lang w:val="en-CA"/>
        </w:rPr>
        <w:t xml:space="preserve"> </w:t>
      </w:r>
      <w:r w:rsidRPr="00B90060">
        <w:rPr>
          <w:lang w:val="fr-CA"/>
        </w:rPr>
        <w:t xml:space="preserve">Available at: </w:t>
      </w:r>
      <w:hyperlink r:id="rId6" w:history="1">
        <w:r w:rsidRPr="00B90060">
          <w:rPr>
            <w:rStyle w:val="Hyperlink"/>
            <w:lang w:val="fr-CA"/>
          </w:rPr>
          <w:t>http://dopa-explorer.jrc.ec.europa.eu</w:t>
        </w:r>
      </w:hyperlink>
      <w:r w:rsidRPr="00B90060">
        <w:rPr>
          <w:lang w:val="fr-CA"/>
        </w:rPr>
        <w:t xml:space="preserve">. </w:t>
      </w:r>
    </w:p>
  </w:footnote>
  <w:footnote w:id="50">
    <w:p w14:paraId="127FD720"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BA3312">
        <w:rPr>
          <w:rFonts w:cs="Times New Roman"/>
          <w:szCs w:val="18"/>
          <w:lang w:val="en-CA"/>
        </w:rPr>
        <w:t xml:space="preserve"> Saura et al. </w:t>
      </w:r>
      <w:r w:rsidRPr="005E2415">
        <w:rPr>
          <w:rFonts w:cs="Times New Roman"/>
          <w:szCs w:val="18"/>
          <w:lang w:val="en-CA"/>
        </w:rPr>
        <w:t xml:space="preserve">(2017). </w:t>
      </w:r>
      <w:r w:rsidRPr="000A406C">
        <w:rPr>
          <w:rFonts w:cs="Times New Roman"/>
          <w:szCs w:val="18"/>
          <w:lang w:val="en-CA"/>
        </w:rPr>
        <w:t xml:space="preserve">Protected areas in the world’s ecoregions: How well connected are they? </w:t>
      </w:r>
      <w:r w:rsidRPr="000A406C">
        <w:rPr>
          <w:rFonts w:cs="Times New Roman"/>
          <w:i/>
          <w:iCs/>
          <w:szCs w:val="18"/>
          <w:lang w:val="en-CA"/>
        </w:rPr>
        <w:t>Ecological Indicators</w:t>
      </w:r>
      <w:r w:rsidRPr="000A406C">
        <w:rPr>
          <w:rFonts w:cs="Times New Roman"/>
          <w:szCs w:val="18"/>
          <w:lang w:val="en-CA"/>
        </w:rPr>
        <w:t xml:space="preserve">, </w:t>
      </w:r>
      <w:r w:rsidRPr="000A406C">
        <w:rPr>
          <w:rFonts w:cs="Times New Roman"/>
          <w:i/>
          <w:iCs/>
          <w:szCs w:val="18"/>
          <w:lang w:val="en-CA"/>
        </w:rPr>
        <w:t>76</w:t>
      </w:r>
      <w:r w:rsidRPr="000A406C">
        <w:rPr>
          <w:rFonts w:cs="Times New Roman"/>
          <w:szCs w:val="18"/>
          <w:lang w:val="en-CA"/>
        </w:rPr>
        <w:t xml:space="preserve">, 144–158; Saura et al. (2018). Protected area connectivity: Shortfalls in global targets and country-level priorities. </w:t>
      </w:r>
      <w:r w:rsidRPr="000A406C">
        <w:rPr>
          <w:rFonts w:cs="Times New Roman"/>
          <w:i/>
          <w:iCs/>
          <w:szCs w:val="18"/>
          <w:lang w:val="en-CA"/>
        </w:rPr>
        <w:t>Biological Conservation</w:t>
      </w:r>
      <w:r w:rsidRPr="000A406C">
        <w:rPr>
          <w:rFonts w:cs="Times New Roman"/>
          <w:szCs w:val="18"/>
          <w:lang w:val="en-CA"/>
        </w:rPr>
        <w:t xml:space="preserve">, </w:t>
      </w:r>
      <w:r w:rsidRPr="000A406C">
        <w:rPr>
          <w:rFonts w:cs="Times New Roman"/>
          <w:i/>
          <w:iCs/>
          <w:szCs w:val="18"/>
          <w:lang w:val="en-CA"/>
        </w:rPr>
        <w:t>219</w:t>
      </w:r>
      <w:r w:rsidRPr="000A406C">
        <w:rPr>
          <w:rFonts w:cs="Times New Roman"/>
          <w:szCs w:val="18"/>
          <w:lang w:val="en-CA"/>
        </w:rPr>
        <w:t>, 53–67.</w:t>
      </w:r>
    </w:p>
  </w:footnote>
  <w:footnote w:id="51">
    <w:p w14:paraId="4D6CB17A" w14:textId="77777777" w:rsidR="008E5FC2" w:rsidRPr="00456491" w:rsidRDefault="008E5FC2" w:rsidP="00456491">
      <w:pPr>
        <w:pStyle w:val="FootnoteText"/>
        <w:rPr>
          <w:lang w:val="en-US"/>
        </w:rPr>
      </w:pPr>
      <w:r>
        <w:rPr>
          <w:rStyle w:val="FootnoteReference"/>
        </w:rPr>
        <w:footnoteRef/>
      </w:r>
      <w:r>
        <w:t xml:space="preserve"> Calculated as the area-weighted average of the ProtConn value for all countries (Saura et al., 2018).</w:t>
      </w:r>
    </w:p>
  </w:footnote>
  <w:footnote w:id="52">
    <w:p w14:paraId="5DE180C4" w14:textId="77777777" w:rsidR="008E5FC2" w:rsidRPr="00B90060" w:rsidRDefault="008E5FC2" w:rsidP="00A010DF">
      <w:pPr>
        <w:pStyle w:val="FootnoteText"/>
        <w:jc w:val="left"/>
        <w:rPr>
          <w:rFonts w:cs="Times New Roman"/>
          <w:szCs w:val="18"/>
          <w:lang w:val="fr-CA"/>
        </w:rPr>
      </w:pPr>
      <w:r w:rsidRPr="000A406C">
        <w:rPr>
          <w:rStyle w:val="FootnoteReference"/>
          <w:rFonts w:cs="Times New Roman"/>
          <w:szCs w:val="18"/>
        </w:rPr>
        <w:footnoteRef/>
      </w:r>
      <w:r w:rsidRPr="000A406C">
        <w:rPr>
          <w:rFonts w:cs="Times New Roman"/>
          <w:szCs w:val="18"/>
        </w:rPr>
        <w:t xml:space="preserve"> </w:t>
      </w:r>
      <w:r w:rsidRPr="000A406C">
        <w:rPr>
          <w:rFonts w:cs="Times New Roman"/>
          <w:szCs w:val="18"/>
          <w:lang w:val="en-CA"/>
        </w:rPr>
        <w:t>Saura et al. (2019). Global trends in protected area connectivity from 2010 to 2018.</w:t>
      </w:r>
      <w:r w:rsidRPr="000A406C">
        <w:rPr>
          <w:rFonts w:cs="Times New Roman"/>
          <w:i/>
          <w:iCs/>
          <w:szCs w:val="18"/>
          <w:lang w:val="en-CA"/>
        </w:rPr>
        <w:t xml:space="preserve"> </w:t>
      </w:r>
      <w:r w:rsidRPr="00B90060">
        <w:rPr>
          <w:rFonts w:cs="Times New Roman"/>
          <w:i/>
          <w:iCs/>
          <w:szCs w:val="18"/>
          <w:lang w:val="fr-CA"/>
        </w:rPr>
        <w:t>Biological conservation</w:t>
      </w:r>
      <w:r w:rsidRPr="00B90060">
        <w:rPr>
          <w:rFonts w:cs="Times New Roman"/>
          <w:szCs w:val="18"/>
          <w:lang w:val="fr-CA"/>
        </w:rPr>
        <w:t>, </w:t>
      </w:r>
      <w:r w:rsidRPr="00B90060">
        <w:rPr>
          <w:rFonts w:cs="Times New Roman"/>
          <w:i/>
          <w:iCs/>
          <w:szCs w:val="18"/>
          <w:lang w:val="fr-CA"/>
        </w:rPr>
        <w:t>238</w:t>
      </w:r>
      <w:r w:rsidRPr="00B90060">
        <w:rPr>
          <w:rFonts w:cs="Times New Roman"/>
          <w:szCs w:val="18"/>
          <w:lang w:val="fr-CA"/>
        </w:rPr>
        <w:t>.</w:t>
      </w:r>
    </w:p>
  </w:footnote>
  <w:footnote w:id="53">
    <w:p w14:paraId="2F15CB2D" w14:textId="77777777" w:rsidR="008E5FC2" w:rsidRPr="00B90060" w:rsidRDefault="008E5FC2" w:rsidP="00A010DF">
      <w:pPr>
        <w:pStyle w:val="FootnoteText"/>
        <w:jc w:val="left"/>
        <w:rPr>
          <w:rFonts w:cs="Times New Roman"/>
          <w:szCs w:val="18"/>
          <w:lang w:val="fr-CA"/>
        </w:rPr>
      </w:pPr>
      <w:r w:rsidRPr="000A406C">
        <w:rPr>
          <w:rStyle w:val="FootnoteReference"/>
          <w:rFonts w:cs="Times New Roman"/>
          <w:szCs w:val="18"/>
        </w:rPr>
        <w:footnoteRef/>
      </w:r>
      <w:r w:rsidRPr="00B90060">
        <w:rPr>
          <w:rFonts w:cs="Times New Roman"/>
          <w:szCs w:val="18"/>
          <w:lang w:val="fr-CA"/>
        </w:rPr>
        <w:t xml:space="preserve"> Saura et al. (2019).</w:t>
      </w:r>
    </w:p>
  </w:footnote>
  <w:footnote w:id="54">
    <w:p w14:paraId="72204D5E" w14:textId="77777777" w:rsidR="008E5FC2" w:rsidRPr="00B90060" w:rsidRDefault="008E5FC2" w:rsidP="00A010DF">
      <w:pPr>
        <w:pStyle w:val="FootnoteText"/>
        <w:jc w:val="left"/>
        <w:rPr>
          <w:rFonts w:cs="Times New Roman"/>
          <w:szCs w:val="18"/>
          <w:lang w:val="fr-CA"/>
        </w:rPr>
      </w:pPr>
      <w:r w:rsidRPr="000A406C">
        <w:rPr>
          <w:rStyle w:val="FootnoteReference"/>
          <w:rFonts w:cs="Times New Roman"/>
          <w:szCs w:val="18"/>
        </w:rPr>
        <w:footnoteRef/>
      </w:r>
      <w:r w:rsidRPr="00B90060">
        <w:rPr>
          <w:rFonts w:cs="Times New Roman"/>
          <w:szCs w:val="18"/>
          <w:lang w:val="fr-CA"/>
        </w:rPr>
        <w:t xml:space="preserve"> EC-JRC (2019).</w:t>
      </w:r>
    </w:p>
  </w:footnote>
  <w:footnote w:id="55">
    <w:p w14:paraId="5C450F0D" w14:textId="77777777" w:rsidR="008E5FC2" w:rsidRPr="00EF730B" w:rsidRDefault="008E5FC2" w:rsidP="00A010DF">
      <w:pPr>
        <w:pStyle w:val="FootnoteText"/>
        <w:jc w:val="left"/>
        <w:rPr>
          <w:lang w:val="en-US"/>
        </w:rPr>
      </w:pPr>
      <w:r>
        <w:rPr>
          <w:rStyle w:val="FootnoteReference"/>
        </w:rPr>
        <w:footnoteRef/>
      </w:r>
      <w:r w:rsidRPr="00B90060">
        <w:rPr>
          <w:lang w:val="fr-CA"/>
        </w:rPr>
        <w:t xml:space="preserve"> </w:t>
      </w:r>
      <w:r w:rsidRPr="00B90060">
        <w:rPr>
          <w:rFonts w:cs="Times New Roman"/>
          <w:szCs w:val="18"/>
          <w:lang w:val="fr-CA"/>
        </w:rPr>
        <w:t xml:space="preserve">Saura et al. </w:t>
      </w:r>
      <w:r w:rsidRPr="000A406C">
        <w:rPr>
          <w:rFonts w:cs="Times New Roman"/>
          <w:szCs w:val="18"/>
          <w:lang w:val="en-CA"/>
        </w:rPr>
        <w:t>(2019).</w:t>
      </w:r>
    </w:p>
  </w:footnote>
  <w:footnote w:id="56">
    <w:p w14:paraId="605F41F5" w14:textId="77777777" w:rsidR="008E5FC2" w:rsidRPr="000E7829" w:rsidRDefault="008E5FC2" w:rsidP="00A010DF">
      <w:pPr>
        <w:pStyle w:val="FootnoteText"/>
        <w:jc w:val="left"/>
        <w:rPr>
          <w:lang w:val="en-US"/>
        </w:rPr>
      </w:pPr>
      <w:r>
        <w:rPr>
          <w:rStyle w:val="FootnoteReference"/>
        </w:rPr>
        <w:footnoteRef/>
      </w:r>
      <w:r>
        <w:t xml:space="preserve"> </w:t>
      </w:r>
      <w:r w:rsidRPr="000E7829">
        <w:rPr>
          <w:lang w:val="en-CA"/>
        </w:rPr>
        <w:t>Vasilijević</w:t>
      </w:r>
      <w:r>
        <w:rPr>
          <w:lang w:val="en-CA"/>
        </w:rPr>
        <w:t xml:space="preserve"> et al. (2015). </w:t>
      </w:r>
      <w:r w:rsidRPr="000E7829">
        <w:rPr>
          <w:i/>
          <w:lang w:val="en-CA"/>
        </w:rPr>
        <w:t>Transboundary Conservation: A Systematic and Integrated Approach.</w:t>
      </w:r>
      <w:r w:rsidRPr="000E7829">
        <w:rPr>
          <w:lang w:val="en-CA"/>
        </w:rPr>
        <w:t xml:space="preserve"> IUCN, Gland,</w:t>
      </w:r>
      <w:r>
        <w:rPr>
          <w:lang w:val="en-CA"/>
        </w:rPr>
        <w:t xml:space="preserve"> </w:t>
      </w:r>
      <w:r w:rsidRPr="000E7829">
        <w:rPr>
          <w:lang w:val="en-CA"/>
        </w:rPr>
        <w:t>Switzerland.</w:t>
      </w:r>
    </w:p>
  </w:footnote>
  <w:footnote w:id="57">
    <w:p w14:paraId="417244D9" w14:textId="77777777" w:rsidR="008E5FC2" w:rsidRPr="009242FE" w:rsidRDefault="008E5FC2" w:rsidP="00A010DF">
      <w:pPr>
        <w:pStyle w:val="FootnoteText"/>
        <w:jc w:val="left"/>
        <w:rPr>
          <w:lang w:val="en-US"/>
        </w:rPr>
      </w:pPr>
      <w:r>
        <w:rPr>
          <w:rStyle w:val="FootnoteReference"/>
        </w:rPr>
        <w:footnoteRef/>
      </w:r>
      <w:r>
        <w:t xml:space="preserve"> </w:t>
      </w:r>
      <w:r w:rsidRPr="009242FE">
        <w:t>Melià</w:t>
      </w:r>
      <w:r>
        <w:t xml:space="preserve"> et al</w:t>
      </w:r>
      <w:r w:rsidRPr="009242FE">
        <w:t>. (2016). Looking for hotspots of marine metacommunity connectivity: a methodological framework. </w:t>
      </w:r>
      <w:r w:rsidRPr="009242FE">
        <w:rPr>
          <w:i/>
          <w:iCs/>
        </w:rPr>
        <w:t>Scientific Reports</w:t>
      </w:r>
      <w:r w:rsidRPr="009242FE">
        <w:t>, </w:t>
      </w:r>
      <w:r w:rsidRPr="009242FE">
        <w:rPr>
          <w:i/>
          <w:iCs/>
        </w:rPr>
        <w:t>6</w:t>
      </w:r>
      <w:r w:rsidRPr="009242FE">
        <w:t>, 23705.</w:t>
      </w:r>
    </w:p>
  </w:footnote>
  <w:footnote w:id="58">
    <w:p w14:paraId="57C80170" w14:textId="77777777" w:rsidR="008E5FC2" w:rsidRPr="0050551F" w:rsidRDefault="008E5FC2" w:rsidP="00A010DF">
      <w:pPr>
        <w:pStyle w:val="FootnoteText"/>
        <w:jc w:val="left"/>
        <w:rPr>
          <w:lang w:val="en-US"/>
        </w:rPr>
      </w:pPr>
      <w:r>
        <w:rPr>
          <w:rStyle w:val="FootnoteReference"/>
        </w:rPr>
        <w:footnoteRef/>
      </w:r>
      <w:r>
        <w:t xml:space="preserve"> </w:t>
      </w:r>
      <w:r>
        <w:rPr>
          <w:rFonts w:cs="Times New Roman"/>
          <w:szCs w:val="18"/>
        </w:rPr>
        <w:t xml:space="preserve">EC-JRC </w:t>
      </w:r>
      <w:r w:rsidRPr="000A406C">
        <w:rPr>
          <w:rFonts w:cs="Times New Roman"/>
          <w:szCs w:val="18"/>
        </w:rPr>
        <w:t>(2019</w:t>
      </w:r>
      <w:r>
        <w:rPr>
          <w:rFonts w:cs="Times New Roman"/>
          <w:szCs w:val="18"/>
        </w:rPr>
        <w:t>), DOPA</w:t>
      </w:r>
      <w:r w:rsidRPr="000A406C">
        <w:rPr>
          <w:rFonts w:cs="Times New Roman"/>
          <w:szCs w:val="18"/>
        </w:rPr>
        <w:t xml:space="preserve">, </w:t>
      </w:r>
      <w:hyperlink r:id="rId7" w:history="1">
        <w:r w:rsidRPr="000A406C">
          <w:rPr>
            <w:rStyle w:val="Hyperlink"/>
            <w:rFonts w:cs="Times New Roman"/>
            <w:color w:val="auto"/>
            <w:szCs w:val="18"/>
          </w:rPr>
          <w:t>http://dopa.jrc.ec.europa.eu/</w:t>
        </w:r>
      </w:hyperlink>
      <w:r w:rsidRPr="000A406C">
        <w:rPr>
          <w:rFonts w:cs="Times New Roman"/>
          <w:szCs w:val="18"/>
        </w:rPr>
        <w:t xml:space="preserve"> (see section on maps and datasets).</w:t>
      </w:r>
    </w:p>
  </w:footnote>
  <w:footnote w:id="59">
    <w:p w14:paraId="2EEBFFE7" w14:textId="77777777" w:rsidR="008E5FC2" w:rsidRPr="00EF3CD5" w:rsidRDefault="008E5FC2" w:rsidP="00A010DF">
      <w:pPr>
        <w:pStyle w:val="FootnoteText"/>
        <w:jc w:val="left"/>
        <w:rPr>
          <w:lang w:val="en-US"/>
        </w:rPr>
      </w:pPr>
      <w:r>
        <w:rPr>
          <w:rStyle w:val="FootnoteReference"/>
        </w:rPr>
        <w:footnoteRef/>
      </w:r>
      <w:r>
        <w:t xml:space="preserve"> </w:t>
      </w:r>
      <w:r w:rsidRPr="000A406C">
        <w:rPr>
          <w:rFonts w:cs="Times New Roman"/>
          <w:szCs w:val="18"/>
          <w:lang w:val="en-CA"/>
        </w:rPr>
        <w:t xml:space="preserve">Ervin et al. (2010), </w:t>
      </w:r>
      <w:r w:rsidRPr="000A406C">
        <w:rPr>
          <w:rFonts w:cs="Times New Roman"/>
          <w:i/>
          <w:szCs w:val="18"/>
        </w:rPr>
        <w:t xml:space="preserve">Making Protected Areas Relevant: A guide to integrating protected areas into wider landscapes, seascapes and sectoral plans and strategies. </w:t>
      </w:r>
      <w:r w:rsidRPr="000A406C">
        <w:rPr>
          <w:rFonts w:cs="Times New Roman"/>
          <w:szCs w:val="18"/>
        </w:rPr>
        <w:t>CBD Technical Series No. 44. Montreal, Canada: Convention on Biological Diversity.</w:t>
      </w:r>
    </w:p>
  </w:footnote>
  <w:footnote w:id="60">
    <w:p w14:paraId="2EC50F12"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CS</w:t>
      </w:r>
      <w:r w:rsidRPr="00606063">
        <w:rPr>
          <w:rFonts w:cs="Times New Roman"/>
          <w:szCs w:val="18"/>
        </w:rPr>
        <w:t>IRO</w:t>
      </w:r>
      <w:r>
        <w:rPr>
          <w:rFonts w:cs="Times New Roman"/>
          <w:szCs w:val="18"/>
        </w:rPr>
        <w:t xml:space="preserve"> </w:t>
      </w:r>
      <w:r w:rsidRPr="00606063">
        <w:rPr>
          <w:rFonts w:cs="Times New Roman"/>
          <w:szCs w:val="18"/>
        </w:rPr>
        <w:t>(2019</w:t>
      </w:r>
      <w:r>
        <w:rPr>
          <w:rFonts w:cs="Times New Roman"/>
          <w:szCs w:val="18"/>
        </w:rPr>
        <w:t>),</w:t>
      </w:r>
      <w:r w:rsidRPr="00606063">
        <w:rPr>
          <w:rFonts w:cs="Times New Roman"/>
          <w:szCs w:val="18"/>
        </w:rPr>
        <w:t xml:space="preserve"> Protected Area Connectedness Index (PARC-Connectedness),</w:t>
      </w:r>
      <w:r w:rsidRPr="000A406C">
        <w:rPr>
          <w:rFonts w:cs="Times New Roman"/>
          <w:szCs w:val="18"/>
        </w:rPr>
        <w:t xml:space="preserve"> </w:t>
      </w:r>
      <w:hyperlink r:id="rId8" w:history="1">
        <w:r w:rsidRPr="000A406C">
          <w:rPr>
            <w:rStyle w:val="Hyperlink"/>
            <w:rFonts w:cs="Times New Roman"/>
            <w:color w:val="auto"/>
            <w:szCs w:val="18"/>
          </w:rPr>
          <w:t>https://www.bipindicators.net/indicators/protected-area-connectedness-index-parc-connectedness</w:t>
        </w:r>
      </w:hyperlink>
    </w:p>
  </w:footnote>
  <w:footnote w:id="61">
    <w:p w14:paraId="58DFEA52" w14:textId="77777777" w:rsidR="008E5FC2" w:rsidRPr="00E02327" w:rsidRDefault="008E5FC2" w:rsidP="00A010DF">
      <w:pPr>
        <w:pStyle w:val="FootnoteText"/>
        <w:jc w:val="left"/>
        <w:rPr>
          <w:lang w:val="en-CA"/>
        </w:rPr>
      </w:pPr>
      <w:r>
        <w:rPr>
          <w:rStyle w:val="FootnoteReference"/>
        </w:rPr>
        <w:footnoteRef/>
      </w:r>
      <w:r>
        <w:t xml:space="preserve"> </w:t>
      </w:r>
      <w:r>
        <w:rPr>
          <w:lang w:val="en-CA"/>
        </w:rPr>
        <w:t>CSIRO (2019).</w:t>
      </w:r>
    </w:p>
  </w:footnote>
  <w:footnote w:id="62">
    <w:p w14:paraId="212D4241" w14:textId="77777777" w:rsidR="008E5FC2" w:rsidRPr="008D41B4" w:rsidRDefault="008E5FC2">
      <w:pPr>
        <w:pStyle w:val="FootnoteText"/>
        <w:rPr>
          <w:lang w:val="en-US"/>
        </w:rPr>
      </w:pPr>
      <w:r>
        <w:rPr>
          <w:rStyle w:val="FootnoteReference"/>
        </w:rPr>
        <w:footnoteRef/>
      </w:r>
      <w:r>
        <w:t xml:space="preserve"> </w:t>
      </w:r>
      <w:r w:rsidRPr="000A406C">
        <w:rPr>
          <w:rFonts w:cs="Times New Roman"/>
          <w:szCs w:val="18"/>
        </w:rPr>
        <w:t>UNEP-</w:t>
      </w:r>
      <w:r w:rsidRPr="00AC3950">
        <w:rPr>
          <w:rFonts w:cs="Times New Roman"/>
          <w:szCs w:val="18"/>
        </w:rPr>
        <w:t>WCMC (</w:t>
      </w:r>
      <w:r w:rsidRPr="00EA110B">
        <w:rPr>
          <w:rFonts w:cs="Times New Roman"/>
          <w:szCs w:val="18"/>
        </w:rPr>
        <w:t>2019b</w:t>
      </w:r>
      <w:r w:rsidRPr="00AC3950">
        <w:rPr>
          <w:rFonts w:cs="Times New Roman"/>
          <w:szCs w:val="18"/>
        </w:rPr>
        <w:t>),</w:t>
      </w:r>
      <w:r w:rsidRPr="000A406C">
        <w:rPr>
          <w:rFonts w:cs="Times New Roman"/>
          <w:szCs w:val="18"/>
        </w:rPr>
        <w:t xml:space="preserve"> Global statistics from the Global Database on Protected Areas Management Effectiveness (GD</w:t>
      </w:r>
      <w:r>
        <w:rPr>
          <w:rFonts w:cs="Times New Roman"/>
          <w:szCs w:val="18"/>
        </w:rPr>
        <w:t>-</w:t>
      </w:r>
      <w:r w:rsidRPr="000A406C">
        <w:rPr>
          <w:rFonts w:cs="Times New Roman"/>
          <w:szCs w:val="18"/>
        </w:rPr>
        <w:t>PAME), June 2019, Cambridge, UK: UNEP- WCMC.</w:t>
      </w:r>
    </w:p>
  </w:footnote>
  <w:footnote w:id="63">
    <w:p w14:paraId="605371C2" w14:textId="77777777" w:rsidR="008E5FC2" w:rsidRPr="00AB1604" w:rsidRDefault="008E5FC2" w:rsidP="00060FE7">
      <w:pPr>
        <w:pStyle w:val="FootnoteText"/>
        <w:jc w:val="left"/>
        <w:rPr>
          <w:lang w:val="en-US"/>
        </w:rPr>
      </w:pPr>
      <w:r>
        <w:rPr>
          <w:rStyle w:val="FootnoteReference"/>
        </w:rPr>
        <w:footnoteRef/>
      </w:r>
      <w:r>
        <w:t xml:space="preserve"> Leverington et al. (2010), </w:t>
      </w:r>
      <w:r w:rsidRPr="00060FE7">
        <w:rPr>
          <w:i/>
        </w:rPr>
        <w:t>Management effectiveness evaluation in protected areas – a global study</w:t>
      </w:r>
      <w:r>
        <w:t>. Second edition. Brisbane, Australia: The University of Queensland</w:t>
      </w:r>
    </w:p>
  </w:footnote>
  <w:footnote w:id="64">
    <w:p w14:paraId="7C3FF784" w14:textId="77777777" w:rsidR="008E5FC2" w:rsidRPr="00EA110B" w:rsidRDefault="008E5FC2" w:rsidP="00060FE7">
      <w:pPr>
        <w:pStyle w:val="FootnoteText"/>
        <w:rPr>
          <w:lang w:val="en-US"/>
        </w:rPr>
      </w:pPr>
      <w:r>
        <w:rPr>
          <w:rStyle w:val="FootnoteReference"/>
        </w:rPr>
        <w:footnoteRef/>
      </w:r>
      <w:r>
        <w:t xml:space="preserve"> </w:t>
      </w:r>
      <w:r>
        <w:rPr>
          <w:lang w:val="en-US"/>
        </w:rPr>
        <w:t>This accounts for only 6% of the &gt;100,000 sites in the WDPA at the time (Leverington et al., 2010).</w:t>
      </w:r>
    </w:p>
  </w:footnote>
  <w:footnote w:id="65">
    <w:p w14:paraId="3D076D34" w14:textId="77777777" w:rsidR="008E5FC2" w:rsidRPr="000A406C" w:rsidRDefault="008E5FC2" w:rsidP="00456491">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Geldmann et al. (2018), A global analysis of management capacity and ecological outcomes in terrestrial protected areas, </w:t>
      </w:r>
      <w:r w:rsidRPr="000A406C">
        <w:rPr>
          <w:rFonts w:cs="Times New Roman"/>
          <w:i/>
          <w:szCs w:val="18"/>
        </w:rPr>
        <w:t>Conservation Letters</w:t>
      </w:r>
      <w:r w:rsidRPr="000A406C">
        <w:rPr>
          <w:rFonts w:cs="Times New Roman"/>
          <w:szCs w:val="18"/>
        </w:rPr>
        <w:t xml:space="preserve">, </w:t>
      </w:r>
      <w:r w:rsidRPr="000A406C">
        <w:rPr>
          <w:rFonts w:cs="Times New Roman"/>
          <w:i/>
          <w:szCs w:val="18"/>
        </w:rPr>
        <w:t>11</w:t>
      </w:r>
      <w:r w:rsidRPr="000A406C">
        <w:rPr>
          <w:rFonts w:cs="Times New Roman"/>
          <w:szCs w:val="18"/>
        </w:rPr>
        <w:t>, e12434.</w:t>
      </w:r>
    </w:p>
  </w:footnote>
  <w:footnote w:id="66">
    <w:p w14:paraId="60F52D3E" w14:textId="77777777" w:rsidR="008E5FC2" w:rsidRPr="000A406C" w:rsidRDefault="008E5FC2" w:rsidP="00456491">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Gill et al. (2017), Capacity shortfalls hinder the performance of marine protected areas globally, </w:t>
      </w:r>
      <w:r w:rsidRPr="000A406C">
        <w:rPr>
          <w:rFonts w:cs="Times New Roman"/>
          <w:i/>
          <w:szCs w:val="18"/>
        </w:rPr>
        <w:t>Nature</w:t>
      </w:r>
      <w:r w:rsidRPr="000A406C">
        <w:rPr>
          <w:rFonts w:cs="Times New Roman"/>
          <w:szCs w:val="18"/>
        </w:rPr>
        <w:t xml:space="preserve">, </w:t>
      </w:r>
      <w:r w:rsidRPr="000A406C">
        <w:rPr>
          <w:rFonts w:cs="Times New Roman"/>
          <w:i/>
          <w:szCs w:val="18"/>
        </w:rPr>
        <w:t>543</w:t>
      </w:r>
      <w:r w:rsidRPr="000A406C">
        <w:rPr>
          <w:rFonts w:cs="Times New Roman"/>
          <w:szCs w:val="18"/>
        </w:rPr>
        <w:t xml:space="preserve"> (7647)</w:t>
      </w:r>
    </w:p>
  </w:footnote>
  <w:footnote w:id="67">
    <w:p w14:paraId="38D59D0F" w14:textId="77777777" w:rsidR="008E5FC2" w:rsidRPr="000A406C" w:rsidRDefault="008E5FC2" w:rsidP="00456491">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lang w:val="en-CA"/>
        </w:rPr>
        <w:t xml:space="preserve"> Coad et al. (2019), Widespread shortfalls in protected area resourcing undermine efforts to conserve biodiversity. </w:t>
      </w:r>
      <w:r w:rsidRPr="000A406C">
        <w:rPr>
          <w:rFonts w:cs="Times New Roman"/>
          <w:i/>
          <w:iCs/>
          <w:szCs w:val="18"/>
          <w:lang w:val="en-CA"/>
        </w:rPr>
        <w:t>Frontiers in Ecology and the Environment</w:t>
      </w:r>
      <w:r w:rsidRPr="000A406C">
        <w:rPr>
          <w:rFonts w:cs="Times New Roman"/>
          <w:szCs w:val="18"/>
          <w:lang w:val="en-CA"/>
        </w:rPr>
        <w:t>.</w:t>
      </w:r>
    </w:p>
  </w:footnote>
  <w:footnote w:id="68">
    <w:p w14:paraId="75F713C0" w14:textId="77777777" w:rsidR="008E5FC2" w:rsidRPr="005E2415" w:rsidRDefault="008E5FC2" w:rsidP="00456491">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w:t>
      </w:r>
      <w:r w:rsidRPr="000A406C">
        <w:rPr>
          <w:rFonts w:cs="Times New Roman"/>
          <w:szCs w:val="18"/>
          <w:lang w:val="en-CA"/>
        </w:rPr>
        <w:t xml:space="preserve">Gill et al. </w:t>
      </w:r>
      <w:r w:rsidRPr="005E2415">
        <w:rPr>
          <w:rFonts w:cs="Times New Roman"/>
          <w:szCs w:val="18"/>
          <w:lang w:val="en-CA"/>
        </w:rPr>
        <w:t>(2017).</w:t>
      </w:r>
    </w:p>
  </w:footnote>
  <w:footnote w:id="69">
    <w:p w14:paraId="22BD9BA5" w14:textId="77777777" w:rsidR="008E5FC2" w:rsidRPr="00B90060" w:rsidRDefault="008E5FC2" w:rsidP="00456491">
      <w:pPr>
        <w:pStyle w:val="FootnoteText"/>
        <w:jc w:val="left"/>
        <w:rPr>
          <w:rFonts w:cs="Times New Roman"/>
          <w:szCs w:val="18"/>
          <w:lang w:val="fr-CA"/>
        </w:rPr>
      </w:pPr>
      <w:r w:rsidRPr="000A406C">
        <w:rPr>
          <w:rStyle w:val="FootnoteReference"/>
          <w:rFonts w:cs="Times New Roman"/>
          <w:szCs w:val="18"/>
        </w:rPr>
        <w:footnoteRef/>
      </w:r>
      <w:r w:rsidRPr="005E2415">
        <w:rPr>
          <w:rFonts w:cs="Times New Roman"/>
          <w:szCs w:val="18"/>
        </w:rPr>
        <w:t xml:space="preserve"> </w:t>
      </w:r>
      <w:r w:rsidRPr="005E2415">
        <w:rPr>
          <w:rFonts w:cs="Times New Roman"/>
          <w:szCs w:val="18"/>
          <w:lang w:val="en-CA"/>
        </w:rPr>
        <w:t xml:space="preserve">Geldmann et al. </w:t>
      </w:r>
      <w:r w:rsidRPr="00B90060">
        <w:rPr>
          <w:rFonts w:cs="Times New Roman"/>
          <w:szCs w:val="18"/>
          <w:lang w:val="fr-CA"/>
        </w:rPr>
        <w:t>(2018).</w:t>
      </w:r>
    </w:p>
  </w:footnote>
  <w:footnote w:id="70">
    <w:p w14:paraId="5F08DC2F" w14:textId="77777777" w:rsidR="008E5FC2" w:rsidRPr="00B90060" w:rsidRDefault="008E5FC2" w:rsidP="00456491">
      <w:pPr>
        <w:pStyle w:val="FootnoteText"/>
        <w:jc w:val="left"/>
        <w:rPr>
          <w:rFonts w:cs="Times New Roman"/>
          <w:szCs w:val="18"/>
          <w:lang w:val="fr-CA"/>
        </w:rPr>
      </w:pPr>
      <w:r w:rsidRPr="000A406C">
        <w:rPr>
          <w:rStyle w:val="FootnoteReference"/>
          <w:rFonts w:cs="Times New Roman"/>
          <w:szCs w:val="18"/>
        </w:rPr>
        <w:footnoteRef/>
      </w:r>
      <w:r w:rsidRPr="00B90060">
        <w:rPr>
          <w:rFonts w:cs="Times New Roman"/>
          <w:szCs w:val="18"/>
          <w:lang w:val="fr-CA"/>
        </w:rPr>
        <w:t xml:space="preserve"> Coad et al. (2019).</w:t>
      </w:r>
    </w:p>
  </w:footnote>
  <w:footnote w:id="71">
    <w:p w14:paraId="71F3EFB5" w14:textId="77777777" w:rsidR="008E5FC2" w:rsidRPr="00B90060" w:rsidRDefault="008E5FC2" w:rsidP="00A010DF">
      <w:pPr>
        <w:pStyle w:val="FootnoteText"/>
        <w:jc w:val="left"/>
        <w:rPr>
          <w:rFonts w:cs="Times New Roman"/>
          <w:szCs w:val="18"/>
          <w:lang w:val="fr-CA"/>
        </w:rPr>
      </w:pPr>
      <w:r w:rsidRPr="000A406C">
        <w:rPr>
          <w:rStyle w:val="FootnoteReference"/>
          <w:rFonts w:cs="Times New Roman"/>
          <w:szCs w:val="18"/>
        </w:rPr>
        <w:footnoteRef/>
      </w:r>
      <w:r w:rsidRPr="00B90060">
        <w:rPr>
          <w:rFonts w:cs="Times New Roman"/>
          <w:szCs w:val="18"/>
          <w:lang w:val="fr-CA"/>
        </w:rPr>
        <w:t xml:space="preserve"> UNEP-WCMC (2019b).</w:t>
      </w:r>
    </w:p>
  </w:footnote>
  <w:footnote w:id="72">
    <w:p w14:paraId="363FDD87"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w:t>
      </w:r>
      <w:r w:rsidRPr="000A406C">
        <w:rPr>
          <w:rFonts w:cs="Times New Roman"/>
          <w:szCs w:val="18"/>
          <w:lang w:val="en-CA"/>
        </w:rPr>
        <w:t xml:space="preserve">Franks, P et al. (2018) </w:t>
      </w:r>
      <w:r w:rsidRPr="000A406C">
        <w:rPr>
          <w:rFonts w:cs="Times New Roman"/>
          <w:i/>
          <w:szCs w:val="18"/>
          <w:lang w:val="en-CA"/>
        </w:rPr>
        <w:t>Understanding and assessing equity in protected area conservation: a matter of governance, rights, social impacts and human wellbeing</w:t>
      </w:r>
      <w:r w:rsidRPr="000A406C">
        <w:rPr>
          <w:rFonts w:cs="Times New Roman"/>
          <w:szCs w:val="18"/>
          <w:lang w:val="en-CA"/>
        </w:rPr>
        <w:t>. IIED Issue Paper. IIED, London.</w:t>
      </w:r>
    </w:p>
  </w:footnote>
  <w:footnote w:id="73">
    <w:p w14:paraId="4B2257BD"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w:t>
      </w:r>
      <w:r w:rsidRPr="000A406C">
        <w:rPr>
          <w:rFonts w:cs="Times New Roman"/>
          <w:szCs w:val="18"/>
          <w:lang w:val="en-CA"/>
        </w:rPr>
        <w:t xml:space="preserve">Schreckenberg et al. (2016) </w:t>
      </w:r>
      <w:r w:rsidRPr="000A406C">
        <w:rPr>
          <w:rFonts w:cs="Times New Roman"/>
          <w:szCs w:val="18"/>
        </w:rPr>
        <w:t xml:space="preserve">Unpacking equity for protected area conservation, </w:t>
      </w:r>
      <w:r w:rsidRPr="000A406C">
        <w:rPr>
          <w:rFonts w:cs="Times New Roman"/>
          <w:i/>
          <w:iCs/>
          <w:szCs w:val="18"/>
        </w:rPr>
        <w:t>Parks</w:t>
      </w:r>
      <w:r w:rsidRPr="000A406C">
        <w:rPr>
          <w:rFonts w:cs="Times New Roman"/>
          <w:szCs w:val="18"/>
        </w:rPr>
        <w:t xml:space="preserve">, </w:t>
      </w:r>
      <w:r w:rsidRPr="000A406C">
        <w:rPr>
          <w:rFonts w:cs="Times New Roman"/>
          <w:i/>
          <w:iCs/>
          <w:szCs w:val="18"/>
        </w:rPr>
        <w:t>22</w:t>
      </w:r>
      <w:r w:rsidRPr="000A406C">
        <w:rPr>
          <w:rFonts w:cs="Times New Roman"/>
          <w:szCs w:val="18"/>
        </w:rPr>
        <w:t>(2), 11–26.</w:t>
      </w:r>
    </w:p>
  </w:footnote>
  <w:footnote w:id="74">
    <w:p w14:paraId="7F8CC360" w14:textId="77777777" w:rsidR="008E5FC2" w:rsidRPr="000A406C" w:rsidRDefault="008E5FC2" w:rsidP="00A010DF">
      <w:pPr>
        <w:pStyle w:val="FootnoteText"/>
        <w:jc w:val="left"/>
        <w:rPr>
          <w:rFonts w:cs="Times New Roman"/>
          <w:szCs w:val="18"/>
          <w:lang w:val="en-US"/>
        </w:rPr>
      </w:pPr>
      <w:r w:rsidRPr="000A406C">
        <w:rPr>
          <w:rStyle w:val="FootnoteReference"/>
          <w:rFonts w:cs="Times New Roman"/>
          <w:szCs w:val="18"/>
        </w:rPr>
        <w:footnoteRef/>
      </w:r>
      <w:r w:rsidRPr="000A406C">
        <w:rPr>
          <w:rFonts w:cs="Times New Roman"/>
          <w:szCs w:val="18"/>
        </w:rPr>
        <w:t xml:space="preserve"> UNEP-WCMC, IUCN and NGS (2019). </w:t>
      </w:r>
      <w:r w:rsidRPr="000A406C">
        <w:rPr>
          <w:rFonts w:cs="Times New Roman"/>
          <w:i/>
          <w:szCs w:val="18"/>
        </w:rPr>
        <w:t>Protected Planet Live Report 2019</w:t>
      </w:r>
      <w:r w:rsidRPr="000A406C">
        <w:rPr>
          <w:rFonts w:cs="Times New Roman"/>
          <w:szCs w:val="18"/>
        </w:rPr>
        <w:t>. UNEP-WCMC, IUCN and NGS: Cambridge UK; Gland, Switzerland; and Washington, D.C., USA</w:t>
      </w:r>
    </w:p>
  </w:footnote>
  <w:footnote w:id="75">
    <w:p w14:paraId="56303249"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Franks &amp; Booker (2018), </w:t>
      </w:r>
      <w:r w:rsidRPr="000A406C">
        <w:rPr>
          <w:rFonts w:cs="Times New Roman"/>
          <w:i/>
          <w:iCs/>
          <w:szCs w:val="18"/>
        </w:rPr>
        <w:t>Governance Assessment for Protected and Conserved Areas (GAPA): Early experience of a multi-stakeholder methodology for enhancing equity and effectiveness</w:t>
      </w:r>
      <w:r w:rsidRPr="000A406C">
        <w:rPr>
          <w:rFonts w:cs="Times New Roman"/>
          <w:szCs w:val="18"/>
        </w:rPr>
        <w:t>. London: IIED.</w:t>
      </w:r>
    </w:p>
  </w:footnote>
  <w:footnote w:id="76">
    <w:p w14:paraId="1205F077"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w:t>
      </w:r>
      <w:r w:rsidRPr="000A406C">
        <w:rPr>
          <w:rFonts w:cs="Times New Roman"/>
          <w:szCs w:val="18"/>
          <w:lang w:val="en-CA"/>
        </w:rPr>
        <w:t xml:space="preserve">Zafra-Calvo et al. (2017), Towards an indicator system to assess equitable management in protected areas, </w:t>
      </w:r>
      <w:r w:rsidRPr="000A406C">
        <w:rPr>
          <w:rFonts w:cs="Times New Roman"/>
          <w:i/>
          <w:iCs/>
          <w:szCs w:val="18"/>
          <w:lang w:val="en-CA"/>
        </w:rPr>
        <w:t>Biological Conservation</w:t>
      </w:r>
      <w:r w:rsidRPr="000A406C">
        <w:rPr>
          <w:rFonts w:cs="Times New Roman"/>
          <w:szCs w:val="18"/>
          <w:lang w:val="en-CA"/>
        </w:rPr>
        <w:t xml:space="preserve">, </w:t>
      </w:r>
      <w:r w:rsidRPr="000A406C">
        <w:rPr>
          <w:rFonts w:cs="Times New Roman"/>
          <w:i/>
          <w:iCs/>
          <w:szCs w:val="18"/>
          <w:lang w:val="en-CA"/>
        </w:rPr>
        <w:t>211</w:t>
      </w:r>
      <w:r w:rsidRPr="000A406C">
        <w:rPr>
          <w:rFonts w:cs="Times New Roman"/>
          <w:szCs w:val="18"/>
          <w:lang w:val="en-CA"/>
        </w:rPr>
        <w:t xml:space="preserve">, 134–141. </w:t>
      </w:r>
    </w:p>
  </w:footnote>
  <w:footnote w:id="77">
    <w:p w14:paraId="08E6C5D3"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w:t>
      </w:r>
      <w:r w:rsidRPr="000A406C">
        <w:rPr>
          <w:rFonts w:cs="Times New Roman"/>
          <w:szCs w:val="18"/>
          <w:lang w:val="en-CA"/>
        </w:rPr>
        <w:t xml:space="preserve">Zafra-Calvo et al. (2019), Progress toward Equitably Managed Protected Areas in Aichi Target 11: A Global Survey. </w:t>
      </w:r>
      <w:r w:rsidRPr="000A406C">
        <w:rPr>
          <w:rFonts w:cs="Times New Roman"/>
          <w:i/>
          <w:szCs w:val="18"/>
          <w:lang w:val="en-CA"/>
        </w:rPr>
        <w:t>BioScience</w:t>
      </w:r>
      <w:r w:rsidRPr="000A406C">
        <w:rPr>
          <w:rFonts w:cs="Times New Roman"/>
          <w:szCs w:val="18"/>
          <w:lang w:val="en-CA"/>
        </w:rPr>
        <w:t>, 69(3), 191-197.</w:t>
      </w:r>
    </w:p>
  </w:footnote>
  <w:footnote w:id="78">
    <w:p w14:paraId="183FD2CC" w14:textId="77777777" w:rsidR="008E5FC2" w:rsidRPr="000A406C" w:rsidRDefault="008E5FC2" w:rsidP="00A010DF">
      <w:pPr>
        <w:pStyle w:val="FootnoteText"/>
        <w:jc w:val="left"/>
        <w:rPr>
          <w:rFonts w:cs="Times New Roman"/>
          <w:szCs w:val="18"/>
          <w:lang w:val="en-US"/>
        </w:rPr>
      </w:pPr>
      <w:r w:rsidRPr="000A406C">
        <w:rPr>
          <w:rStyle w:val="FootnoteReference"/>
          <w:rFonts w:cs="Times New Roman"/>
          <w:szCs w:val="18"/>
        </w:rPr>
        <w:footnoteRef/>
      </w:r>
      <w:r w:rsidRPr="000A406C">
        <w:rPr>
          <w:rFonts w:cs="Times New Roman"/>
          <w:szCs w:val="18"/>
        </w:rPr>
        <w:t xml:space="preserve"> </w:t>
      </w:r>
      <w:r w:rsidRPr="000A406C">
        <w:rPr>
          <w:rFonts w:cs="Times New Roman"/>
          <w:szCs w:val="18"/>
          <w:lang w:val="en-CA"/>
        </w:rPr>
        <w:t>Zafra-Calvo et al. (2019)</w:t>
      </w:r>
      <w:r w:rsidRPr="000A406C">
        <w:rPr>
          <w:rFonts w:cs="Times New Roman"/>
          <w:szCs w:val="18"/>
          <w:lang w:val="en-US"/>
        </w:rPr>
        <w:t>.</w:t>
      </w:r>
    </w:p>
  </w:footnote>
  <w:footnote w:id="79">
    <w:p w14:paraId="638696DA" w14:textId="77777777" w:rsidR="008E5FC2" w:rsidRPr="00B90060" w:rsidRDefault="008E5FC2" w:rsidP="00A010DF">
      <w:pPr>
        <w:pStyle w:val="NoSpacing"/>
        <w:ind w:firstLine="720"/>
        <w:rPr>
          <w:rFonts w:ascii="Times New Roman" w:hAnsi="Times New Roman"/>
          <w:sz w:val="18"/>
          <w:szCs w:val="18"/>
          <w:lang w:val="de-DE"/>
        </w:rPr>
      </w:pPr>
      <w:r w:rsidRPr="000A406C">
        <w:rPr>
          <w:rStyle w:val="FootnoteReference"/>
          <w:rFonts w:ascii="Times New Roman" w:hAnsi="Times New Roman"/>
          <w:szCs w:val="18"/>
        </w:rPr>
        <w:footnoteRef/>
      </w:r>
      <w:r w:rsidRPr="000A406C">
        <w:rPr>
          <w:rFonts w:ascii="Times New Roman" w:hAnsi="Times New Roman"/>
          <w:sz w:val="18"/>
          <w:szCs w:val="18"/>
        </w:rPr>
        <w:t xml:space="preserve"> </w:t>
      </w:r>
      <w:r w:rsidRPr="000A406C">
        <w:rPr>
          <w:rFonts w:ascii="Times New Roman" w:hAnsi="Times New Roman"/>
          <w:sz w:val="18"/>
          <w:szCs w:val="18"/>
          <w:lang w:val="en-CA"/>
        </w:rPr>
        <w:t xml:space="preserve">IUCN and World Commission on Protected Areas (WCPA) (2017). </w:t>
      </w:r>
      <w:r w:rsidRPr="000A406C">
        <w:rPr>
          <w:rFonts w:ascii="Times New Roman" w:hAnsi="Times New Roman"/>
          <w:i/>
          <w:sz w:val="18"/>
          <w:szCs w:val="18"/>
          <w:lang w:val="en-CA"/>
        </w:rPr>
        <w:t>IUCN Green List of Protected and Conserved Areas: Standard,</w:t>
      </w:r>
      <w:r w:rsidRPr="000A406C">
        <w:rPr>
          <w:rFonts w:ascii="Times New Roman" w:hAnsi="Times New Roman"/>
          <w:sz w:val="18"/>
          <w:szCs w:val="18"/>
          <w:lang w:val="en-CA"/>
        </w:rPr>
        <w:t xml:space="preserve"> Version 1.1. </w:t>
      </w:r>
      <w:r w:rsidRPr="00B90060">
        <w:rPr>
          <w:rFonts w:ascii="Times New Roman" w:hAnsi="Times New Roman"/>
          <w:sz w:val="18"/>
          <w:szCs w:val="18"/>
          <w:lang w:val="de-DE"/>
        </w:rPr>
        <w:t>Gland, Switzerland: IUCN.</w:t>
      </w:r>
    </w:p>
  </w:footnote>
  <w:footnote w:id="80">
    <w:p w14:paraId="3D56129F" w14:textId="77777777" w:rsidR="008E5FC2" w:rsidRPr="00B90060" w:rsidRDefault="008E5FC2" w:rsidP="00A010DF">
      <w:pPr>
        <w:pStyle w:val="FootnoteText"/>
        <w:jc w:val="left"/>
        <w:rPr>
          <w:rFonts w:cs="Times New Roman"/>
          <w:szCs w:val="18"/>
          <w:lang w:val="de-DE"/>
        </w:rPr>
      </w:pPr>
      <w:r w:rsidRPr="000A406C">
        <w:rPr>
          <w:rStyle w:val="FootnoteReference"/>
          <w:rFonts w:cs="Times New Roman"/>
          <w:szCs w:val="18"/>
        </w:rPr>
        <w:footnoteRef/>
      </w:r>
      <w:r w:rsidRPr="00B90060">
        <w:rPr>
          <w:rFonts w:cs="Times New Roman"/>
          <w:szCs w:val="18"/>
          <w:lang w:val="de-DE"/>
        </w:rPr>
        <w:t xml:space="preserve"> </w:t>
      </w:r>
      <w:hyperlink r:id="rId9" w:history="1">
        <w:r w:rsidRPr="00B90060">
          <w:rPr>
            <w:rStyle w:val="Hyperlink"/>
            <w:rFonts w:cs="Times New Roman"/>
            <w:szCs w:val="18"/>
            <w:lang w:val="de-DE"/>
          </w:rPr>
          <w:t>https://www.iucn.org/theme/protected-areas/our-work/iucn-green-list-protected-and-conserved-areas</w:t>
        </w:r>
      </w:hyperlink>
    </w:p>
  </w:footnote>
  <w:footnote w:id="81">
    <w:p w14:paraId="2A15270B"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w:t>
      </w:r>
      <w:r>
        <w:rPr>
          <w:rFonts w:cs="Times New Roman"/>
          <w:szCs w:val="18"/>
        </w:rPr>
        <w:t>IUCN &amp; WCPA (2017).</w:t>
      </w:r>
    </w:p>
  </w:footnote>
  <w:footnote w:id="82">
    <w:p w14:paraId="08879D34" w14:textId="77777777" w:rsidR="008E5FC2" w:rsidRPr="000A406C" w:rsidRDefault="008E5FC2" w:rsidP="00A010DF">
      <w:pPr>
        <w:pStyle w:val="FootnoteText"/>
        <w:jc w:val="left"/>
        <w:rPr>
          <w:lang w:val="en-CA"/>
        </w:rPr>
      </w:pPr>
      <w:r>
        <w:rPr>
          <w:rStyle w:val="FootnoteReference"/>
        </w:rPr>
        <w:footnoteRef/>
      </w:r>
      <w:r>
        <w:t xml:space="preserve"> </w:t>
      </w:r>
      <w:r w:rsidRPr="000A406C">
        <w:rPr>
          <w:lang w:val="en-CA"/>
        </w:rPr>
        <w:t>Hockings</w:t>
      </w:r>
      <w:r>
        <w:rPr>
          <w:lang w:val="en-CA"/>
        </w:rPr>
        <w:t xml:space="preserve"> et al. </w:t>
      </w:r>
      <w:r w:rsidRPr="000A406C">
        <w:rPr>
          <w:lang w:val="en-CA"/>
        </w:rPr>
        <w:t>(2006). </w:t>
      </w:r>
      <w:r w:rsidRPr="000A406C">
        <w:rPr>
          <w:i/>
          <w:lang w:val="en-CA"/>
        </w:rPr>
        <w:t>Evaluating effectiveness: a framework for assessing the management of protected areas</w:t>
      </w:r>
      <w:r w:rsidRPr="000A406C">
        <w:rPr>
          <w:lang w:val="en-CA"/>
        </w:rPr>
        <w:t>, 2nd edition. Gland, Switzerland and Cambridge, UK:  IUCN.</w:t>
      </w:r>
    </w:p>
  </w:footnote>
  <w:footnote w:id="83">
    <w:p w14:paraId="55A67CF3" w14:textId="77777777" w:rsidR="008E5FC2" w:rsidRPr="000A406C" w:rsidRDefault="008E5FC2" w:rsidP="00A010DF">
      <w:pPr>
        <w:pStyle w:val="FootnoteText"/>
        <w:jc w:val="left"/>
        <w:rPr>
          <w:lang w:val="en-CA"/>
        </w:rPr>
      </w:pPr>
      <w:r>
        <w:rPr>
          <w:rStyle w:val="FootnoteReference"/>
        </w:rPr>
        <w:footnoteRef/>
      </w:r>
      <w:r>
        <w:rPr>
          <w:lang w:val="en-CA"/>
        </w:rPr>
        <w:t>Franks</w:t>
      </w:r>
      <w:r w:rsidRPr="000F296D">
        <w:rPr>
          <w:lang w:val="en-CA"/>
        </w:rPr>
        <w:t xml:space="preserve"> &amp; Booker</w:t>
      </w:r>
      <w:r>
        <w:rPr>
          <w:lang w:val="en-CA"/>
        </w:rPr>
        <w:t xml:space="preserve"> (2018).</w:t>
      </w:r>
    </w:p>
  </w:footnote>
  <w:footnote w:id="84">
    <w:p w14:paraId="6F1464CB" w14:textId="77777777" w:rsidR="008E5FC2" w:rsidRPr="000A406C" w:rsidRDefault="008E5FC2" w:rsidP="00A010DF">
      <w:pPr>
        <w:pStyle w:val="FootnoteText"/>
        <w:jc w:val="left"/>
        <w:rPr>
          <w:lang w:val="en-CA"/>
        </w:rPr>
      </w:pPr>
      <w:r>
        <w:rPr>
          <w:rStyle w:val="FootnoteReference"/>
        </w:rPr>
        <w:footnoteRef/>
      </w:r>
      <w:r>
        <w:t xml:space="preserve"> </w:t>
      </w:r>
      <w:r w:rsidRPr="000A406C">
        <w:rPr>
          <w:rFonts w:eastAsia="MS Mincho"/>
          <w:bCs/>
          <w:szCs w:val="22"/>
          <w:lang w:val="en-AU"/>
        </w:rPr>
        <w:t xml:space="preserve">Franks et al </w:t>
      </w:r>
      <w:r w:rsidRPr="000F296D">
        <w:rPr>
          <w:rFonts w:eastAsia="MS Mincho"/>
          <w:bCs/>
          <w:lang w:val="en-CA"/>
        </w:rPr>
        <w:t xml:space="preserve">(2018) </w:t>
      </w:r>
      <w:r w:rsidRPr="000F296D">
        <w:rPr>
          <w:rFonts w:eastAsia="MS Mincho"/>
          <w:bCs/>
          <w:i/>
          <w:lang w:val="en-CA"/>
        </w:rPr>
        <w:t>Social Assessment for Protected and Conserved Areas (SAPA). Methodology manual for SAPA facilitators.</w:t>
      </w:r>
      <w:r w:rsidRPr="000F296D">
        <w:rPr>
          <w:rFonts w:eastAsia="MS Mincho"/>
          <w:bCs/>
          <w:lang w:val="en-CA"/>
        </w:rPr>
        <w:t xml:space="preserve"> Second edition. IIED, London.</w:t>
      </w:r>
    </w:p>
  </w:footnote>
  <w:footnote w:id="85">
    <w:p w14:paraId="7C6BBCDF" w14:textId="77777777" w:rsidR="008E5FC2" w:rsidRPr="00B90060" w:rsidRDefault="008E5FC2" w:rsidP="00A010DF">
      <w:pPr>
        <w:pStyle w:val="FootnoteText"/>
        <w:jc w:val="left"/>
        <w:rPr>
          <w:rFonts w:cs="Times New Roman"/>
          <w:szCs w:val="18"/>
          <w:lang w:val="fr-CA"/>
        </w:rPr>
      </w:pPr>
      <w:r w:rsidRPr="000E30C2">
        <w:rPr>
          <w:rStyle w:val="FootnoteReference"/>
          <w:rFonts w:cs="Times New Roman"/>
          <w:szCs w:val="18"/>
        </w:rPr>
        <w:footnoteRef/>
      </w:r>
      <w:r w:rsidRPr="000E30C2">
        <w:rPr>
          <w:rFonts w:cs="Times New Roman"/>
          <w:szCs w:val="18"/>
        </w:rPr>
        <w:t xml:space="preserve"> </w:t>
      </w:r>
      <w:r w:rsidRPr="000E30C2">
        <w:rPr>
          <w:rFonts w:cs="Times New Roman"/>
          <w:szCs w:val="18"/>
          <w:lang w:val="en-CA"/>
        </w:rPr>
        <w:t xml:space="preserve">Ervin et al. </w:t>
      </w:r>
      <w:r w:rsidRPr="00B90060">
        <w:rPr>
          <w:rFonts w:cs="Times New Roman"/>
          <w:szCs w:val="18"/>
          <w:lang w:val="fr-CA"/>
        </w:rPr>
        <w:t>(2010).</w:t>
      </w:r>
    </w:p>
  </w:footnote>
  <w:footnote w:id="86">
    <w:p w14:paraId="4C39C467" w14:textId="77777777" w:rsidR="008E5FC2" w:rsidRPr="00B90060" w:rsidRDefault="008E5FC2" w:rsidP="00A010DF">
      <w:pPr>
        <w:pStyle w:val="FootnoteText"/>
        <w:jc w:val="left"/>
        <w:rPr>
          <w:rFonts w:cs="Times New Roman"/>
          <w:szCs w:val="18"/>
          <w:lang w:val="fr-CA"/>
        </w:rPr>
      </w:pPr>
      <w:r w:rsidRPr="000A406C">
        <w:rPr>
          <w:rStyle w:val="FootnoteReference"/>
          <w:rFonts w:cs="Times New Roman"/>
          <w:szCs w:val="18"/>
        </w:rPr>
        <w:footnoteRef/>
      </w:r>
      <w:r w:rsidRPr="00B90060">
        <w:rPr>
          <w:rFonts w:cs="Times New Roman"/>
          <w:szCs w:val="18"/>
          <w:lang w:val="fr-CA"/>
        </w:rPr>
        <w:t xml:space="preserve"> Ervin et al. (2010).</w:t>
      </w:r>
    </w:p>
  </w:footnote>
  <w:footnote w:id="87">
    <w:p w14:paraId="5F3073F7"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BA3312">
        <w:rPr>
          <w:rFonts w:cs="Times New Roman"/>
          <w:szCs w:val="18"/>
          <w:lang w:val="en-CA"/>
        </w:rPr>
        <w:t xml:space="preserve"> Gannon et al. </w:t>
      </w:r>
      <w:r w:rsidRPr="005E2415">
        <w:rPr>
          <w:rFonts w:cs="Times New Roman"/>
          <w:szCs w:val="18"/>
        </w:rPr>
        <w:t xml:space="preserve">(2017). </w:t>
      </w:r>
      <w:r w:rsidRPr="000A406C">
        <w:rPr>
          <w:rFonts w:cs="Times New Roman"/>
          <w:szCs w:val="18"/>
        </w:rPr>
        <w:t>Status and prospects for achieving Aichi Biodiversity Target 11: implications of national commitments and priority actions. </w:t>
      </w:r>
      <w:r w:rsidRPr="000A406C">
        <w:rPr>
          <w:rFonts w:cs="Times New Roman"/>
          <w:i/>
          <w:iCs/>
          <w:szCs w:val="18"/>
        </w:rPr>
        <w:t>Parks</w:t>
      </w:r>
      <w:r w:rsidRPr="000A406C">
        <w:rPr>
          <w:rFonts w:cs="Times New Roman"/>
          <w:szCs w:val="18"/>
        </w:rPr>
        <w:t>, 23(2).</w:t>
      </w:r>
    </w:p>
  </w:footnote>
  <w:footnote w:id="88">
    <w:p w14:paraId="60DDAEAF" w14:textId="77777777" w:rsidR="008E5FC2" w:rsidRPr="000A406C" w:rsidRDefault="008E5FC2" w:rsidP="00A010DF">
      <w:pPr>
        <w:pStyle w:val="FootnoteText"/>
        <w:jc w:val="left"/>
        <w:rPr>
          <w:rFonts w:cs="Times New Roman"/>
          <w:szCs w:val="18"/>
          <w:lang w:val="en-US"/>
        </w:rPr>
      </w:pPr>
      <w:r w:rsidRPr="000A406C">
        <w:rPr>
          <w:rStyle w:val="FootnoteReference"/>
          <w:rFonts w:cs="Times New Roman"/>
          <w:szCs w:val="18"/>
        </w:rPr>
        <w:footnoteRef/>
      </w:r>
      <w:r w:rsidRPr="000A406C">
        <w:rPr>
          <w:rFonts w:cs="Times New Roman"/>
          <w:szCs w:val="18"/>
        </w:rPr>
        <w:t xml:space="preserve"> UNDP (2016), National Biodiversity Strategies and Action Plans: Natural Catalysts for Accelerating Action on Sustainable Development Goals. Interim Report. United Nations Development Programme. December 2016. New York, United States of America: UNDP, </w:t>
      </w:r>
      <w:hyperlink r:id="rId10" w:history="1">
        <w:r w:rsidRPr="000A406C">
          <w:rPr>
            <w:rStyle w:val="Hyperlink"/>
            <w:rFonts w:cs="Times New Roman"/>
            <w:szCs w:val="18"/>
          </w:rPr>
          <w:t>https://www.cbd.int/doc/nbsap/NBSAPs-catalysts-SDGs.pdf</w:t>
        </w:r>
      </w:hyperlink>
      <w:r w:rsidRPr="000A406C">
        <w:rPr>
          <w:rFonts w:cs="Times New Roman"/>
          <w:szCs w:val="18"/>
        </w:rPr>
        <w:t xml:space="preserve">. </w:t>
      </w:r>
    </w:p>
  </w:footnote>
  <w:footnote w:id="89">
    <w:p w14:paraId="33835541"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w:t>
      </w:r>
      <w:hyperlink r:id="rId11" w:history="1">
        <w:r w:rsidRPr="000A406C">
          <w:rPr>
            <w:rStyle w:val="Hyperlink"/>
            <w:rFonts w:cs="Times New Roman"/>
            <w:szCs w:val="18"/>
          </w:rPr>
          <w:t>https://www.cbd.int/sp/targets/rationale/target-11/</w:t>
        </w:r>
      </w:hyperlink>
    </w:p>
  </w:footnote>
  <w:footnote w:id="90">
    <w:p w14:paraId="506A64BF" w14:textId="77777777" w:rsidR="008E5FC2" w:rsidRPr="000A406C" w:rsidRDefault="008E5FC2" w:rsidP="00A010DF">
      <w:pPr>
        <w:pStyle w:val="FootnoteText"/>
        <w:jc w:val="left"/>
        <w:rPr>
          <w:rFonts w:cs="Times New Roman"/>
          <w:szCs w:val="18"/>
          <w:lang w:val="en-US"/>
        </w:rPr>
      </w:pPr>
      <w:r w:rsidRPr="000A406C">
        <w:rPr>
          <w:rStyle w:val="FootnoteReference"/>
          <w:rFonts w:cs="Times New Roman"/>
          <w:szCs w:val="18"/>
        </w:rPr>
        <w:footnoteRef/>
      </w:r>
      <w:r w:rsidRPr="000A406C">
        <w:rPr>
          <w:rFonts w:cs="Times New Roman"/>
          <w:szCs w:val="18"/>
        </w:rPr>
        <w:t xml:space="preserve"> </w:t>
      </w:r>
      <w:r w:rsidRPr="000A406C">
        <w:rPr>
          <w:rFonts w:cs="Times New Roman"/>
          <w:szCs w:val="18"/>
          <w:lang w:val="en-US"/>
        </w:rPr>
        <w:t xml:space="preserve">Fuller et al. (2019), </w:t>
      </w:r>
      <w:r w:rsidRPr="000A406C">
        <w:rPr>
          <w:rFonts w:cs="Times New Roman"/>
          <w:szCs w:val="18"/>
        </w:rPr>
        <w:t>First, do no harm: A systematic review of deforestation spillovers from protected areas, </w:t>
      </w:r>
      <w:r w:rsidRPr="000A406C">
        <w:rPr>
          <w:rFonts w:cs="Times New Roman"/>
          <w:i/>
          <w:iCs/>
          <w:szCs w:val="18"/>
        </w:rPr>
        <w:t>Global Ecology and Conservation</w:t>
      </w:r>
      <w:r w:rsidRPr="000A406C">
        <w:rPr>
          <w:rFonts w:cs="Times New Roman"/>
          <w:szCs w:val="18"/>
        </w:rPr>
        <w:t>, e00591.</w:t>
      </w:r>
    </w:p>
  </w:footnote>
  <w:footnote w:id="91">
    <w:p w14:paraId="1CA7CDD4"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w:t>
      </w:r>
      <w:r w:rsidRPr="000A406C">
        <w:rPr>
          <w:rFonts w:cs="Times New Roman"/>
          <w:szCs w:val="18"/>
          <w:lang w:val="en-CA"/>
        </w:rPr>
        <w:t>Another 823 protected areas (~24%) did not restrict deforestation (Fuller et al 2019).</w:t>
      </w:r>
    </w:p>
  </w:footnote>
  <w:footnote w:id="92">
    <w:p w14:paraId="6C8FFAB5" w14:textId="27897079"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Hellwig et al. (2019). Climatic and socioeconomic effects on land cover changes across Europe: Does prot</w:t>
      </w:r>
      <w:r>
        <w:rPr>
          <w:rFonts w:cs="Times New Roman"/>
          <w:szCs w:val="18"/>
        </w:rPr>
        <w:t xml:space="preserve">ected area designation matter? </w:t>
      </w:r>
      <w:r w:rsidRPr="000A406C">
        <w:rPr>
          <w:rFonts w:cs="Times New Roman"/>
          <w:i/>
          <w:iCs/>
          <w:szCs w:val="18"/>
        </w:rPr>
        <w:t>PloS one</w:t>
      </w:r>
      <w:r w:rsidRPr="000A406C">
        <w:rPr>
          <w:rFonts w:cs="Times New Roman"/>
          <w:szCs w:val="18"/>
        </w:rPr>
        <w:t>, </w:t>
      </w:r>
      <w:r w:rsidRPr="000A406C">
        <w:rPr>
          <w:rFonts w:cs="Times New Roman"/>
          <w:i/>
          <w:iCs/>
          <w:szCs w:val="18"/>
        </w:rPr>
        <w:t>14</w:t>
      </w:r>
      <w:r w:rsidRPr="000A406C">
        <w:rPr>
          <w:rFonts w:cs="Times New Roman"/>
          <w:szCs w:val="18"/>
        </w:rPr>
        <w:t>(7), e0219374</w:t>
      </w:r>
    </w:p>
  </w:footnote>
  <w:footnote w:id="93">
    <w:p w14:paraId="6A91D089" w14:textId="77777777" w:rsidR="008E5FC2" w:rsidRPr="00621683" w:rsidRDefault="008E5FC2">
      <w:pPr>
        <w:pStyle w:val="FootnoteText"/>
        <w:rPr>
          <w:lang w:val="en-US"/>
        </w:rPr>
      </w:pPr>
      <w:r>
        <w:rPr>
          <w:rStyle w:val="FootnoteReference"/>
        </w:rPr>
        <w:footnoteRef/>
      </w:r>
      <w:r>
        <w:t xml:space="preserve"> </w:t>
      </w:r>
      <w:r w:rsidRPr="00621683">
        <w:t xml:space="preserve">Secretariat of the Convention on Biological Diversity and the Scientific and Technical Advisory Panel —GEF (2012). </w:t>
      </w:r>
      <w:r w:rsidRPr="00621683">
        <w:rPr>
          <w:i/>
        </w:rPr>
        <w:t>Marine Spatial Planning in the Context of the Convention on Biological Diversity: A study carried out in response to CBD COP 10 decision X/29</w:t>
      </w:r>
      <w:r w:rsidRPr="00621683">
        <w:t>, Montreal, Technical Series No. 68, 44 pages.</w:t>
      </w:r>
    </w:p>
  </w:footnote>
  <w:footnote w:id="94">
    <w:p w14:paraId="76FA0F6D" w14:textId="77777777" w:rsidR="008E5FC2" w:rsidRPr="00621683" w:rsidRDefault="008E5FC2">
      <w:pPr>
        <w:pStyle w:val="FootnoteText"/>
        <w:rPr>
          <w:lang w:val="en-US"/>
        </w:rPr>
      </w:pPr>
      <w:r>
        <w:rPr>
          <w:rStyle w:val="FootnoteReference"/>
        </w:rPr>
        <w:footnoteRef/>
      </w:r>
      <w:r>
        <w:t xml:space="preserve"> </w:t>
      </w:r>
      <w:r w:rsidRPr="00621683">
        <w:rPr>
          <w:lang w:val="en-CA"/>
        </w:rPr>
        <w:t xml:space="preserve">Santos et al. (2019). </w:t>
      </w:r>
      <w:r>
        <w:rPr>
          <w:lang w:val="en-CA"/>
        </w:rPr>
        <w:t xml:space="preserve">Chapter 30: </w:t>
      </w:r>
      <w:r w:rsidRPr="00621683">
        <w:rPr>
          <w:lang w:val="en-CA"/>
        </w:rPr>
        <w:t xml:space="preserve">Marine spatial planning, In </w:t>
      </w:r>
      <w:r w:rsidRPr="00621683">
        <w:rPr>
          <w:i/>
          <w:lang w:val="en-CA"/>
        </w:rPr>
        <w:t>World Seas: An Environmental Evaluation</w:t>
      </w:r>
      <w:r w:rsidRPr="00621683">
        <w:rPr>
          <w:lang w:val="en-CA"/>
        </w:rPr>
        <w:t xml:space="preserve"> (p. 571-592). Academic Press.</w:t>
      </w:r>
    </w:p>
  </w:footnote>
  <w:footnote w:id="95">
    <w:p w14:paraId="722ECBDF" w14:textId="77777777" w:rsidR="008E5FC2" w:rsidRPr="00930EE2" w:rsidRDefault="008E5FC2" w:rsidP="00E70D24">
      <w:pPr>
        <w:pStyle w:val="FootnoteText"/>
        <w:jc w:val="left"/>
        <w:rPr>
          <w:lang w:val="en-US"/>
        </w:rPr>
      </w:pPr>
      <w:r>
        <w:rPr>
          <w:rStyle w:val="FootnoteReference"/>
        </w:rPr>
        <w:footnoteRef/>
      </w:r>
      <w:r>
        <w:t xml:space="preserve"> </w:t>
      </w:r>
      <w:r>
        <w:rPr>
          <w:rFonts w:cs="Times New Roman"/>
        </w:rPr>
        <w:t xml:space="preserve">Gaps remaining at the global level: </w:t>
      </w:r>
      <w:r w:rsidRPr="00B20155">
        <w:rPr>
          <w:rFonts w:cs="Times New Roman"/>
        </w:rPr>
        <w:t xml:space="preserve">2.0% </w:t>
      </w:r>
      <w:r w:rsidRPr="00224134">
        <w:rPr>
          <w:rFonts w:cs="Times New Roman"/>
        </w:rPr>
        <w:t>for terrestrial areas</w:t>
      </w:r>
      <w:r>
        <w:rPr>
          <w:rFonts w:cs="Times New Roman"/>
        </w:rPr>
        <w:t>, and 2.4% for the global ocean (target is already surpassed for marine areas under national jurisdiction).</w:t>
      </w:r>
    </w:p>
  </w:footnote>
  <w:footnote w:id="96">
    <w:p w14:paraId="08500CD9" w14:textId="77777777" w:rsidR="008E5FC2" w:rsidRPr="00E6435F" w:rsidRDefault="008E5FC2">
      <w:pPr>
        <w:pStyle w:val="FootnoteText"/>
        <w:rPr>
          <w:lang w:val="en-US"/>
        </w:rPr>
      </w:pPr>
      <w:r>
        <w:rPr>
          <w:rStyle w:val="FootnoteReference"/>
        </w:rPr>
        <w:footnoteRef/>
      </w:r>
      <w:r>
        <w:t xml:space="preserve"> </w:t>
      </w:r>
      <w:r w:rsidRPr="00E6435F">
        <w:t>There areas have been defined as the areas representing the top quartile (25%) of carbon values nationally</w:t>
      </w:r>
    </w:p>
  </w:footnote>
  <w:footnote w:id="97">
    <w:p w14:paraId="0209846D" w14:textId="77777777" w:rsidR="008E5FC2" w:rsidRPr="000A406C" w:rsidRDefault="008E5FC2" w:rsidP="00A010DF">
      <w:pPr>
        <w:pStyle w:val="FootnoteText"/>
        <w:jc w:val="left"/>
        <w:rPr>
          <w:rFonts w:cs="Times New Roman"/>
          <w:szCs w:val="18"/>
          <w:lang w:val="en-US"/>
        </w:rPr>
      </w:pPr>
      <w:r w:rsidRPr="000A406C">
        <w:rPr>
          <w:rStyle w:val="FootnoteReference"/>
          <w:rFonts w:cs="Times New Roman"/>
          <w:szCs w:val="18"/>
        </w:rPr>
        <w:footnoteRef/>
      </w:r>
      <w:r w:rsidRPr="000A406C">
        <w:rPr>
          <w:rFonts w:cs="Times New Roman"/>
          <w:szCs w:val="18"/>
        </w:rPr>
        <w:t xml:space="preserve"> Garnett et al. (2018). A spatial overview of the global importance of Indigenous lands for conservation. </w:t>
      </w:r>
      <w:r w:rsidRPr="000A406C">
        <w:rPr>
          <w:rFonts w:cs="Times New Roman"/>
          <w:i/>
          <w:iCs/>
          <w:szCs w:val="18"/>
        </w:rPr>
        <w:t>Nature Sustainability</w:t>
      </w:r>
      <w:r w:rsidRPr="000A406C">
        <w:rPr>
          <w:rFonts w:cs="Times New Roman"/>
          <w:szCs w:val="18"/>
        </w:rPr>
        <w:t xml:space="preserve">, </w:t>
      </w:r>
      <w:r w:rsidRPr="000A406C">
        <w:rPr>
          <w:rFonts w:cs="Times New Roman"/>
          <w:i/>
          <w:iCs/>
          <w:szCs w:val="18"/>
        </w:rPr>
        <w:t>1</w:t>
      </w:r>
      <w:r w:rsidRPr="000A406C">
        <w:rPr>
          <w:rFonts w:cs="Times New Roman"/>
          <w:szCs w:val="18"/>
        </w:rPr>
        <w:t>(7), 369–374.</w:t>
      </w:r>
    </w:p>
  </w:footnote>
  <w:footnote w:id="98">
    <w:p w14:paraId="422A07CA"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Bingham et al (2019). Sixty years of tracking conservation progress using the World Database on Protected Areas. </w:t>
      </w:r>
      <w:r w:rsidRPr="000A406C">
        <w:rPr>
          <w:rFonts w:cs="Times New Roman"/>
          <w:i/>
          <w:iCs/>
          <w:szCs w:val="18"/>
        </w:rPr>
        <w:t>Nature ecology &amp; evolution</w:t>
      </w:r>
      <w:r w:rsidRPr="000A406C">
        <w:rPr>
          <w:rFonts w:cs="Times New Roman"/>
          <w:szCs w:val="18"/>
        </w:rPr>
        <w:t>, 1.</w:t>
      </w:r>
    </w:p>
  </w:footnote>
  <w:footnote w:id="99">
    <w:p w14:paraId="6179A115"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Jonas et al. (2017). Will ‘Other Effective Area-Based Conservation Measures’ Increase Recognition and Support for </w:t>
      </w:r>
      <w:proofErr w:type="gramStart"/>
      <w:r w:rsidRPr="000A406C">
        <w:rPr>
          <w:rFonts w:cs="Times New Roman"/>
          <w:szCs w:val="18"/>
        </w:rPr>
        <w:t>ICCA</w:t>
      </w:r>
      <w:r>
        <w:rPr>
          <w:rFonts w:cs="Times New Roman"/>
          <w:szCs w:val="18"/>
        </w:rPr>
        <w:t>s</w:t>
      </w:r>
      <w:r w:rsidRPr="000A406C">
        <w:rPr>
          <w:rFonts w:cs="Times New Roman"/>
          <w:szCs w:val="18"/>
        </w:rPr>
        <w:t>?.</w:t>
      </w:r>
      <w:proofErr w:type="gramEnd"/>
      <w:r w:rsidRPr="000A406C">
        <w:rPr>
          <w:rFonts w:cs="Times New Roman"/>
          <w:szCs w:val="18"/>
        </w:rPr>
        <w:t> </w:t>
      </w:r>
      <w:r w:rsidRPr="000A406C">
        <w:rPr>
          <w:rFonts w:cs="Times New Roman"/>
          <w:i/>
          <w:iCs/>
          <w:szCs w:val="18"/>
        </w:rPr>
        <w:t>Parks</w:t>
      </w:r>
      <w:r w:rsidRPr="000A406C">
        <w:rPr>
          <w:rFonts w:cs="Times New Roman"/>
          <w:szCs w:val="18"/>
        </w:rPr>
        <w:t>, </w:t>
      </w:r>
      <w:r w:rsidRPr="000A406C">
        <w:rPr>
          <w:rFonts w:cs="Times New Roman"/>
          <w:i/>
          <w:iCs/>
          <w:szCs w:val="18"/>
        </w:rPr>
        <w:t>23</w:t>
      </w:r>
      <w:r w:rsidRPr="000A406C">
        <w:rPr>
          <w:rFonts w:cs="Times New Roman"/>
          <w:szCs w:val="18"/>
        </w:rPr>
        <w:t>(2), 63-78.</w:t>
      </w:r>
    </w:p>
  </w:footnote>
  <w:footnote w:id="100">
    <w:p w14:paraId="1225852A"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w:t>
      </w:r>
      <w:r w:rsidRPr="000A406C">
        <w:rPr>
          <w:rFonts w:cs="Times New Roman"/>
          <w:szCs w:val="18"/>
          <w:shd w:val="clear" w:color="auto" w:fill="FFFFFF"/>
        </w:rPr>
        <w:t>Argentina, Belize, Benin, Brazil, Colombia, Ecuador, Georgia, Guatemala, Indonesia, Iran, Jordan, Kenya, Kyrgyzstan, Madagascar, Malaysia, Maldives, Morocco, Namibia, Paraguay, Peru, Philippines, Senegal, Suriname, Tanzania, Viet Nam and Zambia.</w:t>
      </w:r>
    </w:p>
  </w:footnote>
  <w:footnote w:id="101">
    <w:p w14:paraId="33B9B46A" w14:textId="749958E8" w:rsidR="008E5FC2" w:rsidRPr="00EA610A" w:rsidRDefault="008E5FC2">
      <w:pPr>
        <w:pStyle w:val="FootnoteText"/>
        <w:rPr>
          <w:lang w:val="en-US"/>
        </w:rPr>
      </w:pPr>
      <w:r>
        <w:rPr>
          <w:rStyle w:val="FootnoteReference"/>
        </w:rPr>
        <w:footnoteRef/>
      </w:r>
      <w:r>
        <w:t xml:space="preserve"> </w:t>
      </w:r>
      <w:r w:rsidRPr="00EA610A">
        <w:t>UNDP Ecosystems &amp; Biodiversity</w:t>
      </w:r>
      <w:r>
        <w:t xml:space="preserve"> (2019), Women, Culture, and Territory: Safeguarding biodiversity by protecting ancestral culture in Colombia, </w:t>
      </w:r>
      <w:hyperlink r:id="rId12" w:history="1">
        <w:r>
          <w:rPr>
            <w:rStyle w:val="Hyperlink"/>
          </w:rPr>
          <w:t>https://undp-biodiversity.exposure.co/women-culture-and-territory</w:t>
        </w:r>
      </w:hyperlink>
      <w:r>
        <w:rPr>
          <w:rStyle w:val="Hyperlink"/>
        </w:rPr>
        <w:t>.</w:t>
      </w:r>
    </w:p>
  </w:footnote>
  <w:footnote w:id="102">
    <w:p w14:paraId="44724A44" w14:textId="77777777" w:rsidR="008E5FC2" w:rsidRPr="000A406C" w:rsidRDefault="008E5FC2" w:rsidP="00A010DF">
      <w:pPr>
        <w:pStyle w:val="FootnoteText"/>
        <w:jc w:val="left"/>
        <w:rPr>
          <w:rFonts w:cs="Times New Roman"/>
          <w:szCs w:val="18"/>
          <w:lang w:val="en-CA"/>
        </w:rPr>
      </w:pPr>
      <w:r w:rsidRPr="000A406C">
        <w:rPr>
          <w:rStyle w:val="FootnoteReference"/>
          <w:rFonts w:cs="Times New Roman"/>
          <w:szCs w:val="18"/>
        </w:rPr>
        <w:footnoteRef/>
      </w:r>
      <w:r w:rsidRPr="000A406C">
        <w:rPr>
          <w:rFonts w:cs="Times New Roman"/>
          <w:szCs w:val="18"/>
        </w:rPr>
        <w:t xml:space="preserve"> </w:t>
      </w:r>
      <w:r w:rsidRPr="000A406C">
        <w:rPr>
          <w:rFonts w:cs="Times New Roman"/>
          <w:szCs w:val="18"/>
          <w:lang w:val="en-CA"/>
        </w:rPr>
        <w:t xml:space="preserve">See examples in </w:t>
      </w:r>
      <w:r w:rsidRPr="000A406C">
        <w:rPr>
          <w:rFonts w:cs="Times New Roman"/>
          <w:i/>
          <w:szCs w:val="18"/>
          <w:lang w:val="en-CA"/>
        </w:rPr>
        <w:t xml:space="preserve">Parks </w:t>
      </w:r>
      <w:r w:rsidRPr="000A406C">
        <w:rPr>
          <w:rFonts w:cs="Times New Roman"/>
          <w:szCs w:val="18"/>
          <w:lang w:val="en-CA"/>
        </w:rPr>
        <w:t>Journal 24, Special Issue on OECMs (June 2018),</w:t>
      </w:r>
      <w:r>
        <w:rPr>
          <w:rFonts w:cs="Times New Roman"/>
          <w:szCs w:val="18"/>
          <w:lang w:val="en-CA"/>
        </w:rPr>
        <w:t xml:space="preserve"> </w:t>
      </w:r>
      <w:hyperlink r:id="rId13" w:history="1">
        <w:r w:rsidRPr="000A406C">
          <w:rPr>
            <w:rStyle w:val="Hyperlink"/>
            <w:rFonts w:cs="Times New Roman"/>
            <w:color w:val="auto"/>
            <w:szCs w:val="18"/>
          </w:rPr>
          <w:t>https://parksjournal.com/list-of-papers/</w:t>
        </w:r>
      </w:hyperlink>
      <w:r>
        <w:rPr>
          <w:rFonts w:cs="Times New Roman"/>
          <w:szCs w:val="18"/>
        </w:rPr>
        <w:t xml:space="preserve">; as well as the </w:t>
      </w:r>
      <w:r w:rsidRPr="00E70D24">
        <w:rPr>
          <w:rFonts w:cs="Times New Roman"/>
          <w:szCs w:val="18"/>
        </w:rPr>
        <w:t>collation of case studies submitted to the IUCN-WCPA Task Force</w:t>
      </w:r>
      <w:r>
        <w:rPr>
          <w:rFonts w:cs="Times New Roman"/>
          <w:szCs w:val="18"/>
        </w:rPr>
        <w:t xml:space="preserve"> on OECMs, </w:t>
      </w:r>
      <w:hyperlink r:id="rId14" w:history="1">
        <w:r w:rsidRPr="00E70D24">
          <w:rPr>
            <w:rStyle w:val="Hyperlink"/>
            <w:rFonts w:cs="Times New Roman"/>
            <w:szCs w:val="18"/>
          </w:rPr>
          <w:t>https://www.iucn.org/commissions/world-commission-protected-areas/our-work/oecms/oecm-reports</w:t>
        </w:r>
      </w:hyperlink>
    </w:p>
  </w:footnote>
  <w:footnote w:id="103">
    <w:p w14:paraId="6F97DA68" w14:textId="77777777" w:rsidR="008E5FC2" w:rsidRPr="000A406C" w:rsidRDefault="008E5FC2" w:rsidP="00A010DF">
      <w:pPr>
        <w:pStyle w:val="FootnoteText"/>
        <w:jc w:val="left"/>
        <w:rPr>
          <w:rFonts w:cs="Times New Roman"/>
          <w:b/>
          <w:bCs/>
          <w:szCs w:val="18"/>
          <w:lang w:val="en-CA"/>
        </w:rPr>
      </w:pPr>
      <w:r w:rsidRPr="000A406C">
        <w:rPr>
          <w:rStyle w:val="FootnoteReference"/>
          <w:rFonts w:cs="Times New Roman"/>
          <w:szCs w:val="18"/>
        </w:rPr>
        <w:footnoteRef/>
      </w:r>
      <w:r w:rsidRPr="000A406C">
        <w:rPr>
          <w:rFonts w:cs="Times New Roman"/>
          <w:szCs w:val="18"/>
        </w:rPr>
        <w:t xml:space="preserve"> Environment and Climate Change Canada (2018), </w:t>
      </w:r>
      <w:r w:rsidRPr="000A406C">
        <w:rPr>
          <w:rFonts w:cs="Times New Roman"/>
          <w:bCs/>
          <w:szCs w:val="18"/>
          <w:lang w:val="en-CA"/>
        </w:rPr>
        <w:t xml:space="preserve">Canada's conserved areas, </w:t>
      </w:r>
      <w:hyperlink r:id="rId15" w:history="1">
        <w:r w:rsidRPr="000A406C">
          <w:rPr>
            <w:rStyle w:val="Hyperlink"/>
            <w:rFonts w:cs="Times New Roman"/>
            <w:szCs w:val="18"/>
          </w:rPr>
          <w:t>https://www.canada.ca/en/environment-climate-change/services/environmental-indicators/conserved-areas.html</w:t>
        </w:r>
      </w:hyperlink>
    </w:p>
  </w:footnote>
  <w:footnote w:id="104">
    <w:p w14:paraId="2FA2C177" w14:textId="77777777" w:rsidR="008E5FC2" w:rsidRPr="00A624AB" w:rsidRDefault="008E5FC2" w:rsidP="00531D8B">
      <w:pPr>
        <w:pStyle w:val="FootnoteText"/>
        <w:rPr>
          <w:lang w:val="en-US"/>
        </w:rPr>
      </w:pPr>
      <w:r>
        <w:rPr>
          <w:rStyle w:val="FootnoteReference"/>
        </w:rPr>
        <w:footnoteRef/>
      </w:r>
      <w:r>
        <w:t xml:space="preserve"> </w:t>
      </w:r>
      <w:r w:rsidRPr="00E9488C">
        <w:t xml:space="preserve">Stishov </w:t>
      </w:r>
      <w:r>
        <w:t xml:space="preserve">&amp; </w:t>
      </w:r>
      <w:r w:rsidRPr="00E9488C">
        <w:t>Dudley</w:t>
      </w:r>
      <w:r>
        <w:t xml:space="preserve"> (2018).</w:t>
      </w:r>
    </w:p>
  </w:footnote>
  <w:footnote w:id="105">
    <w:p w14:paraId="170083D3" w14:textId="77777777" w:rsidR="008E5FC2" w:rsidRPr="00F140FD" w:rsidRDefault="008E5FC2" w:rsidP="00F34806">
      <w:pPr>
        <w:pStyle w:val="FootnoteText"/>
        <w:rPr>
          <w:lang w:val="de-DE"/>
        </w:rPr>
      </w:pPr>
      <w:r>
        <w:rPr>
          <w:rStyle w:val="FootnoteReference"/>
        </w:rPr>
        <w:footnoteRef/>
      </w:r>
      <w:r>
        <w:t xml:space="preserve"> </w:t>
      </w:r>
      <w:r w:rsidRPr="00F829DB">
        <w:t xml:space="preserve">Hilty, J., Worboys, G., Keeley, A., Woodley, S., Lausche, B., Locke, H., Carr, M., Pulsford I., Pittock, J., White, W., Theobald, D., Levine, J., Reuling, M., Ament, R., and Tabor, G. (May 2019). (Draft) Guidance on safeguarding ecological corridors in the context of ecological networks for conservation. </w:t>
      </w:r>
      <w:r w:rsidRPr="00F140FD">
        <w:rPr>
          <w:lang w:val="de-DE"/>
        </w:rPr>
        <w:t>Gland, Switzerland: IUCN.</w:t>
      </w:r>
    </w:p>
  </w:footnote>
  <w:footnote w:id="106">
    <w:p w14:paraId="7768A340" w14:textId="108B3E21" w:rsidR="008E5FC2" w:rsidRPr="00F140FD" w:rsidRDefault="008E5FC2" w:rsidP="00F140FD">
      <w:pPr>
        <w:pStyle w:val="NormalWeb"/>
        <w:spacing w:before="0" w:beforeAutospacing="0" w:after="0" w:afterAutospacing="0"/>
        <w:ind w:firstLine="720"/>
        <w:jc w:val="both"/>
        <w:rPr>
          <w:rFonts w:ascii="Times New Roman" w:hAnsi="Times New Roman" w:cs="Times New Roman"/>
          <w:lang w:val="de-DE"/>
        </w:rPr>
      </w:pPr>
      <w:r w:rsidRPr="00F140FD">
        <w:rPr>
          <w:rStyle w:val="FootnoteReference"/>
          <w:rFonts w:ascii="Times New Roman" w:hAnsi="Times New Roman" w:cs="Times New Roman"/>
        </w:rPr>
        <w:footnoteRef/>
      </w:r>
      <w:r w:rsidRPr="00F140FD">
        <w:rPr>
          <w:rFonts w:ascii="Times New Roman" w:hAnsi="Times New Roman" w:cs="Times New Roman"/>
          <w:lang w:val="de-DE"/>
        </w:rPr>
        <w:t xml:space="preserve"> </w:t>
      </w:r>
      <w:hyperlink r:id="rId16" w:history="1">
        <w:r w:rsidRPr="00FC2A49">
          <w:rPr>
            <w:rStyle w:val="Hyperlink"/>
            <w:rFonts w:ascii="Times New Roman" w:hAnsi="Times New Roman" w:cs="Times New Roman"/>
            <w:lang w:val="de-DE"/>
          </w:rPr>
          <w:t>http://www.dfo-mpo.gc.ca/oceans/oeabcm-amcepz/refues/index-eng.htm</w:t>
        </w:r>
      </w:hyperlink>
    </w:p>
  </w:footnote>
  <w:footnote w:id="107">
    <w:p w14:paraId="7AC758B6" w14:textId="77777777" w:rsidR="008E5FC2" w:rsidRPr="00F140FD" w:rsidRDefault="008E5FC2" w:rsidP="00F34806">
      <w:pPr>
        <w:pStyle w:val="FootnoteText"/>
        <w:rPr>
          <w:rFonts w:cs="Times New Roman"/>
          <w:lang w:val="en-US"/>
        </w:rPr>
      </w:pPr>
      <w:r w:rsidRPr="00F140FD">
        <w:rPr>
          <w:rStyle w:val="FootnoteReference"/>
          <w:rFonts w:cs="Times New Roman"/>
        </w:rPr>
        <w:footnoteRef/>
      </w:r>
      <w:r w:rsidRPr="00F140FD">
        <w:rPr>
          <w:rFonts w:cs="Times New Roman"/>
          <w:lang w:val="de-DE"/>
        </w:rPr>
        <w:t xml:space="preserve"> Boerder, K., Schiller, L., &amp; Worm, B. (2019). </w:t>
      </w:r>
      <w:r w:rsidRPr="00F140FD">
        <w:rPr>
          <w:rFonts w:cs="Times New Roman"/>
        </w:rPr>
        <w:t>Not all who wander are lost: Improving spatial protection for large pelagic fishes. Marine Policy, 105, 80-90.</w:t>
      </w:r>
    </w:p>
  </w:footnote>
  <w:footnote w:id="108">
    <w:p w14:paraId="4CA32A63" w14:textId="77777777" w:rsidR="008E5FC2" w:rsidRPr="00BC18B7" w:rsidRDefault="008E5FC2" w:rsidP="00F34806">
      <w:pPr>
        <w:pStyle w:val="FootnoteText"/>
        <w:rPr>
          <w:lang w:val="en-US"/>
        </w:rPr>
      </w:pPr>
      <w:r>
        <w:rPr>
          <w:rStyle w:val="FootnoteReference"/>
        </w:rPr>
        <w:footnoteRef/>
      </w:r>
      <w:r>
        <w:t xml:space="preserve"> </w:t>
      </w:r>
      <w:r>
        <w:rPr>
          <w:lang w:val="en-US"/>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BCAAD" w14:textId="77777777" w:rsidR="008E5FC2" w:rsidRDefault="008E5FC2" w:rsidP="00ED68DF">
    <w:pPr>
      <w:pStyle w:val="Header"/>
      <w:spacing w:after="120"/>
      <w:rPr>
        <w:noProof/>
        <w:snapToGrid w:val="0"/>
        <w:kern w:val="22"/>
        <w:szCs w:val="22"/>
      </w:rPr>
    </w:pPr>
    <w:r>
      <w:rPr>
        <w:snapToGrid w:val="0"/>
        <w:kern w:val="22"/>
        <w:szCs w:val="22"/>
      </w:rPr>
      <w:t xml:space="preserve">Page </w:t>
    </w:r>
    <w:r w:rsidRPr="0084538E">
      <w:rPr>
        <w:snapToGrid w:val="0"/>
        <w:kern w:val="22"/>
        <w:szCs w:val="22"/>
      </w:rPr>
      <w:fldChar w:fldCharType="begin"/>
    </w:r>
    <w:r w:rsidRPr="0084538E">
      <w:rPr>
        <w:snapToGrid w:val="0"/>
        <w:kern w:val="22"/>
        <w:szCs w:val="22"/>
      </w:rPr>
      <w:instrText xml:space="preserve"> PAGE   \* MERGEFORMAT </w:instrText>
    </w:r>
    <w:r w:rsidRPr="0084538E">
      <w:rPr>
        <w:snapToGrid w:val="0"/>
        <w:kern w:val="22"/>
        <w:szCs w:val="22"/>
      </w:rPr>
      <w:fldChar w:fldCharType="separate"/>
    </w:r>
    <w:r w:rsidR="006D6DCD">
      <w:rPr>
        <w:noProof/>
        <w:snapToGrid w:val="0"/>
        <w:kern w:val="22"/>
        <w:szCs w:val="22"/>
      </w:rPr>
      <w:t>12</w:t>
    </w:r>
    <w:r w:rsidRPr="0084538E">
      <w:rPr>
        <w:noProof/>
        <w:snapToGrid w:val="0"/>
        <w:kern w:val="22"/>
        <w:szCs w:val="22"/>
      </w:rPr>
      <w:fldChar w:fldCharType="end"/>
    </w:r>
  </w:p>
  <w:p w14:paraId="707B09F7" w14:textId="77777777" w:rsidR="008E5FC2" w:rsidRDefault="008E5FC2" w:rsidP="00ED68DF">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D7E4" w14:textId="77777777" w:rsidR="008E5FC2" w:rsidRDefault="008E5FC2" w:rsidP="00ED68DF">
    <w:pPr>
      <w:pStyle w:val="Header"/>
      <w:spacing w:after="120"/>
      <w:ind w:right="4"/>
      <w:jc w:val="right"/>
      <w:rPr>
        <w:noProof/>
        <w:snapToGrid w:val="0"/>
        <w:kern w:val="22"/>
        <w:szCs w:val="22"/>
      </w:rPr>
    </w:pPr>
    <w:r w:rsidRPr="0084538E">
      <w:rPr>
        <w:snapToGrid w:val="0"/>
        <w:kern w:val="22"/>
        <w:szCs w:val="22"/>
        <w:lang w:val="fr-FR"/>
      </w:rPr>
      <w:t xml:space="preserve">Page </w:t>
    </w:r>
    <w:r w:rsidRPr="0084538E">
      <w:rPr>
        <w:snapToGrid w:val="0"/>
        <w:kern w:val="22"/>
        <w:szCs w:val="22"/>
      </w:rPr>
      <w:fldChar w:fldCharType="begin"/>
    </w:r>
    <w:r w:rsidRPr="0084538E">
      <w:rPr>
        <w:snapToGrid w:val="0"/>
        <w:kern w:val="22"/>
        <w:szCs w:val="22"/>
        <w:lang w:val="fr-FR"/>
      </w:rPr>
      <w:instrText xml:space="preserve"> PAGE   \* MERGEFORMAT </w:instrText>
    </w:r>
    <w:r w:rsidRPr="0084538E">
      <w:rPr>
        <w:snapToGrid w:val="0"/>
        <w:kern w:val="22"/>
        <w:szCs w:val="22"/>
      </w:rPr>
      <w:fldChar w:fldCharType="separate"/>
    </w:r>
    <w:r w:rsidR="006D6DCD">
      <w:rPr>
        <w:noProof/>
        <w:snapToGrid w:val="0"/>
        <w:kern w:val="22"/>
        <w:szCs w:val="22"/>
        <w:lang w:val="fr-FR"/>
      </w:rPr>
      <w:t>11</w:t>
    </w:r>
    <w:r w:rsidRPr="0084538E">
      <w:rPr>
        <w:noProof/>
        <w:snapToGrid w:val="0"/>
        <w:kern w:val="22"/>
        <w:szCs w:val="22"/>
      </w:rPr>
      <w:fldChar w:fldCharType="end"/>
    </w:r>
  </w:p>
  <w:p w14:paraId="413613E7" w14:textId="77777777" w:rsidR="008E5FC2" w:rsidRPr="0084538E" w:rsidRDefault="008E5FC2" w:rsidP="00ED68DF">
    <w:pPr>
      <w:pStyle w:val="Header"/>
      <w:spacing w:after="120"/>
      <w:ind w:right="4"/>
      <w:jc w:val="right"/>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40F20"/>
    <w:multiLevelType w:val="hybridMultilevel"/>
    <w:tmpl w:val="E33E6B9E"/>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8EC7825"/>
    <w:multiLevelType w:val="hybridMultilevel"/>
    <w:tmpl w:val="1BA6051C"/>
    <w:lvl w:ilvl="0" w:tplc="75DE2E70">
      <w:start w:val="1"/>
      <w:numFmt w:val="upperLetter"/>
      <w:pStyle w:val="Heading3"/>
      <w:lvlText w:val="%1."/>
      <w:lvlJc w:val="left"/>
      <w:pPr>
        <w:ind w:left="720" w:hanging="360"/>
      </w:pPr>
      <w:rPr>
        <w:rFonts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3863541"/>
    <w:multiLevelType w:val="hybridMultilevel"/>
    <w:tmpl w:val="5C1E5250"/>
    <w:lvl w:ilvl="0" w:tplc="1009000D">
      <w:start w:val="1"/>
      <w:numFmt w:val="bullet"/>
      <w:lvlText w:val=""/>
      <w:lvlJc w:val="left"/>
      <w:pPr>
        <w:tabs>
          <w:tab w:val="num" w:pos="720"/>
        </w:tabs>
        <w:ind w:left="720" w:hanging="360"/>
      </w:pPr>
      <w:rPr>
        <w:rFonts w:ascii="Wingdings" w:hAnsi="Wingdings" w:hint="default"/>
      </w:rPr>
    </w:lvl>
    <w:lvl w:ilvl="1" w:tplc="081695EC" w:tentative="1">
      <w:start w:val="1"/>
      <w:numFmt w:val="bullet"/>
      <w:lvlText w:val=""/>
      <w:lvlJc w:val="left"/>
      <w:pPr>
        <w:tabs>
          <w:tab w:val="num" w:pos="1440"/>
        </w:tabs>
        <w:ind w:left="1440" w:hanging="360"/>
      </w:pPr>
      <w:rPr>
        <w:rFonts w:ascii="Wingdings" w:hAnsi="Wingdings" w:hint="default"/>
      </w:rPr>
    </w:lvl>
    <w:lvl w:ilvl="2" w:tplc="F9723C14" w:tentative="1">
      <w:start w:val="1"/>
      <w:numFmt w:val="bullet"/>
      <w:lvlText w:val=""/>
      <w:lvlJc w:val="left"/>
      <w:pPr>
        <w:tabs>
          <w:tab w:val="num" w:pos="2160"/>
        </w:tabs>
        <w:ind w:left="2160" w:hanging="360"/>
      </w:pPr>
      <w:rPr>
        <w:rFonts w:ascii="Wingdings" w:hAnsi="Wingdings" w:hint="default"/>
      </w:rPr>
    </w:lvl>
    <w:lvl w:ilvl="3" w:tplc="32A6567E" w:tentative="1">
      <w:start w:val="1"/>
      <w:numFmt w:val="bullet"/>
      <w:lvlText w:val=""/>
      <w:lvlJc w:val="left"/>
      <w:pPr>
        <w:tabs>
          <w:tab w:val="num" w:pos="2880"/>
        </w:tabs>
        <w:ind w:left="2880" w:hanging="360"/>
      </w:pPr>
      <w:rPr>
        <w:rFonts w:ascii="Wingdings" w:hAnsi="Wingdings" w:hint="default"/>
      </w:rPr>
    </w:lvl>
    <w:lvl w:ilvl="4" w:tplc="7F1CD1F6" w:tentative="1">
      <w:start w:val="1"/>
      <w:numFmt w:val="bullet"/>
      <w:lvlText w:val=""/>
      <w:lvlJc w:val="left"/>
      <w:pPr>
        <w:tabs>
          <w:tab w:val="num" w:pos="3600"/>
        </w:tabs>
        <w:ind w:left="3600" w:hanging="360"/>
      </w:pPr>
      <w:rPr>
        <w:rFonts w:ascii="Wingdings" w:hAnsi="Wingdings" w:hint="default"/>
      </w:rPr>
    </w:lvl>
    <w:lvl w:ilvl="5" w:tplc="4AD650EA" w:tentative="1">
      <w:start w:val="1"/>
      <w:numFmt w:val="bullet"/>
      <w:lvlText w:val=""/>
      <w:lvlJc w:val="left"/>
      <w:pPr>
        <w:tabs>
          <w:tab w:val="num" w:pos="4320"/>
        </w:tabs>
        <w:ind w:left="4320" w:hanging="360"/>
      </w:pPr>
      <w:rPr>
        <w:rFonts w:ascii="Wingdings" w:hAnsi="Wingdings" w:hint="default"/>
      </w:rPr>
    </w:lvl>
    <w:lvl w:ilvl="6" w:tplc="7C461B88" w:tentative="1">
      <w:start w:val="1"/>
      <w:numFmt w:val="bullet"/>
      <w:lvlText w:val=""/>
      <w:lvlJc w:val="left"/>
      <w:pPr>
        <w:tabs>
          <w:tab w:val="num" w:pos="5040"/>
        </w:tabs>
        <w:ind w:left="5040" w:hanging="360"/>
      </w:pPr>
      <w:rPr>
        <w:rFonts w:ascii="Wingdings" w:hAnsi="Wingdings" w:hint="default"/>
      </w:rPr>
    </w:lvl>
    <w:lvl w:ilvl="7" w:tplc="786C37F2" w:tentative="1">
      <w:start w:val="1"/>
      <w:numFmt w:val="bullet"/>
      <w:lvlText w:val=""/>
      <w:lvlJc w:val="left"/>
      <w:pPr>
        <w:tabs>
          <w:tab w:val="num" w:pos="5760"/>
        </w:tabs>
        <w:ind w:left="5760" w:hanging="360"/>
      </w:pPr>
      <w:rPr>
        <w:rFonts w:ascii="Wingdings" w:hAnsi="Wingdings" w:hint="default"/>
      </w:rPr>
    </w:lvl>
    <w:lvl w:ilvl="8" w:tplc="A20E672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6E089E"/>
    <w:multiLevelType w:val="hybridMultilevel"/>
    <w:tmpl w:val="D3CE40D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CC27666"/>
    <w:multiLevelType w:val="hybridMultilevel"/>
    <w:tmpl w:val="2C16AE72"/>
    <w:lvl w:ilvl="0" w:tplc="483EF7A6">
      <w:start w:val="1"/>
      <w:numFmt w:val="upperLetter"/>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5" w15:restartNumberingAfterBreak="0">
    <w:nsid w:val="1E154591"/>
    <w:multiLevelType w:val="hybridMultilevel"/>
    <w:tmpl w:val="2BB87EC0"/>
    <w:lvl w:ilvl="0" w:tplc="176A9A8E">
      <w:start w:val="1"/>
      <w:numFmt w:val="bullet"/>
      <w:lvlText w:val=""/>
      <w:lvlJc w:val="left"/>
      <w:pPr>
        <w:tabs>
          <w:tab w:val="num" w:pos="720"/>
        </w:tabs>
        <w:ind w:left="720" w:hanging="360"/>
      </w:pPr>
      <w:rPr>
        <w:rFonts w:ascii="Wingdings" w:hAnsi="Wingdings" w:hint="default"/>
      </w:rPr>
    </w:lvl>
    <w:lvl w:ilvl="1" w:tplc="D06C49BA" w:tentative="1">
      <w:start w:val="1"/>
      <w:numFmt w:val="bullet"/>
      <w:lvlText w:val=""/>
      <w:lvlJc w:val="left"/>
      <w:pPr>
        <w:tabs>
          <w:tab w:val="num" w:pos="1440"/>
        </w:tabs>
        <w:ind w:left="1440" w:hanging="360"/>
      </w:pPr>
      <w:rPr>
        <w:rFonts w:ascii="Wingdings" w:hAnsi="Wingdings" w:hint="default"/>
      </w:rPr>
    </w:lvl>
    <w:lvl w:ilvl="2" w:tplc="D938E2D8" w:tentative="1">
      <w:start w:val="1"/>
      <w:numFmt w:val="bullet"/>
      <w:lvlText w:val=""/>
      <w:lvlJc w:val="left"/>
      <w:pPr>
        <w:tabs>
          <w:tab w:val="num" w:pos="2160"/>
        </w:tabs>
        <w:ind w:left="2160" w:hanging="360"/>
      </w:pPr>
      <w:rPr>
        <w:rFonts w:ascii="Wingdings" w:hAnsi="Wingdings" w:hint="default"/>
      </w:rPr>
    </w:lvl>
    <w:lvl w:ilvl="3" w:tplc="3A72AD46" w:tentative="1">
      <w:start w:val="1"/>
      <w:numFmt w:val="bullet"/>
      <w:lvlText w:val=""/>
      <w:lvlJc w:val="left"/>
      <w:pPr>
        <w:tabs>
          <w:tab w:val="num" w:pos="2880"/>
        </w:tabs>
        <w:ind w:left="2880" w:hanging="360"/>
      </w:pPr>
      <w:rPr>
        <w:rFonts w:ascii="Wingdings" w:hAnsi="Wingdings" w:hint="default"/>
      </w:rPr>
    </w:lvl>
    <w:lvl w:ilvl="4" w:tplc="F3FE1B3C" w:tentative="1">
      <w:start w:val="1"/>
      <w:numFmt w:val="bullet"/>
      <w:lvlText w:val=""/>
      <w:lvlJc w:val="left"/>
      <w:pPr>
        <w:tabs>
          <w:tab w:val="num" w:pos="3600"/>
        </w:tabs>
        <w:ind w:left="3600" w:hanging="360"/>
      </w:pPr>
      <w:rPr>
        <w:rFonts w:ascii="Wingdings" w:hAnsi="Wingdings" w:hint="default"/>
      </w:rPr>
    </w:lvl>
    <w:lvl w:ilvl="5" w:tplc="4B10F70C" w:tentative="1">
      <w:start w:val="1"/>
      <w:numFmt w:val="bullet"/>
      <w:lvlText w:val=""/>
      <w:lvlJc w:val="left"/>
      <w:pPr>
        <w:tabs>
          <w:tab w:val="num" w:pos="4320"/>
        </w:tabs>
        <w:ind w:left="4320" w:hanging="360"/>
      </w:pPr>
      <w:rPr>
        <w:rFonts w:ascii="Wingdings" w:hAnsi="Wingdings" w:hint="default"/>
      </w:rPr>
    </w:lvl>
    <w:lvl w:ilvl="6" w:tplc="2D8E1C46" w:tentative="1">
      <w:start w:val="1"/>
      <w:numFmt w:val="bullet"/>
      <w:lvlText w:val=""/>
      <w:lvlJc w:val="left"/>
      <w:pPr>
        <w:tabs>
          <w:tab w:val="num" w:pos="5040"/>
        </w:tabs>
        <w:ind w:left="5040" w:hanging="360"/>
      </w:pPr>
      <w:rPr>
        <w:rFonts w:ascii="Wingdings" w:hAnsi="Wingdings" w:hint="default"/>
      </w:rPr>
    </w:lvl>
    <w:lvl w:ilvl="7" w:tplc="1688CA14" w:tentative="1">
      <w:start w:val="1"/>
      <w:numFmt w:val="bullet"/>
      <w:lvlText w:val=""/>
      <w:lvlJc w:val="left"/>
      <w:pPr>
        <w:tabs>
          <w:tab w:val="num" w:pos="5760"/>
        </w:tabs>
        <w:ind w:left="5760" w:hanging="360"/>
      </w:pPr>
      <w:rPr>
        <w:rFonts w:ascii="Wingdings" w:hAnsi="Wingdings" w:hint="default"/>
      </w:rPr>
    </w:lvl>
    <w:lvl w:ilvl="8" w:tplc="D498756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752A73"/>
    <w:multiLevelType w:val="hybridMultilevel"/>
    <w:tmpl w:val="7348299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3E12E32"/>
    <w:multiLevelType w:val="hybridMultilevel"/>
    <w:tmpl w:val="56B6F5EA"/>
    <w:lvl w:ilvl="0" w:tplc="9ADE9B5E">
      <w:start w:val="1"/>
      <w:numFmt w:val="decimal"/>
      <w:pStyle w:val="Para1"/>
      <w:lvlText w:val="%1."/>
      <w:lvlJc w:val="left"/>
      <w:pPr>
        <w:ind w:left="720" w:hanging="360"/>
      </w:pPr>
      <w:rPr>
        <w:b w:val="0"/>
        <w:i w:val="0"/>
        <w:strike w:val="0"/>
        <w:color w:val="auto"/>
      </w:rPr>
    </w:lvl>
    <w:lvl w:ilvl="1" w:tplc="3FD687B6">
      <w:start w:val="1"/>
      <w:numFmt w:val="lowerRoman"/>
      <w:lvlText w:val="(%2)"/>
      <w:lvlJc w:val="left"/>
      <w:pPr>
        <w:ind w:left="1800" w:hanging="720"/>
      </w:pPr>
      <w:rPr>
        <w:rFonts w:hint="default"/>
      </w:rPr>
    </w:lvl>
    <w:lvl w:ilvl="2" w:tplc="A7A4D53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B562AF"/>
    <w:multiLevelType w:val="hybridMultilevel"/>
    <w:tmpl w:val="39F003DC"/>
    <w:lvl w:ilvl="0" w:tplc="1009000D">
      <w:start w:val="1"/>
      <w:numFmt w:val="bullet"/>
      <w:lvlText w:val=""/>
      <w:lvlJc w:val="left"/>
      <w:pPr>
        <w:tabs>
          <w:tab w:val="num" w:pos="720"/>
        </w:tabs>
        <w:ind w:left="720" w:hanging="360"/>
      </w:pPr>
      <w:rPr>
        <w:rFonts w:ascii="Wingdings" w:hAnsi="Wingdings" w:hint="default"/>
      </w:rPr>
    </w:lvl>
    <w:lvl w:ilvl="1" w:tplc="D06C49BA" w:tentative="1">
      <w:start w:val="1"/>
      <w:numFmt w:val="bullet"/>
      <w:lvlText w:val=""/>
      <w:lvlJc w:val="left"/>
      <w:pPr>
        <w:tabs>
          <w:tab w:val="num" w:pos="1440"/>
        </w:tabs>
        <w:ind w:left="1440" w:hanging="360"/>
      </w:pPr>
      <w:rPr>
        <w:rFonts w:ascii="Wingdings" w:hAnsi="Wingdings" w:hint="default"/>
      </w:rPr>
    </w:lvl>
    <w:lvl w:ilvl="2" w:tplc="D938E2D8" w:tentative="1">
      <w:start w:val="1"/>
      <w:numFmt w:val="bullet"/>
      <w:lvlText w:val=""/>
      <w:lvlJc w:val="left"/>
      <w:pPr>
        <w:tabs>
          <w:tab w:val="num" w:pos="2160"/>
        </w:tabs>
        <w:ind w:left="2160" w:hanging="360"/>
      </w:pPr>
      <w:rPr>
        <w:rFonts w:ascii="Wingdings" w:hAnsi="Wingdings" w:hint="default"/>
      </w:rPr>
    </w:lvl>
    <w:lvl w:ilvl="3" w:tplc="3A72AD46" w:tentative="1">
      <w:start w:val="1"/>
      <w:numFmt w:val="bullet"/>
      <w:lvlText w:val=""/>
      <w:lvlJc w:val="left"/>
      <w:pPr>
        <w:tabs>
          <w:tab w:val="num" w:pos="2880"/>
        </w:tabs>
        <w:ind w:left="2880" w:hanging="360"/>
      </w:pPr>
      <w:rPr>
        <w:rFonts w:ascii="Wingdings" w:hAnsi="Wingdings" w:hint="default"/>
      </w:rPr>
    </w:lvl>
    <w:lvl w:ilvl="4" w:tplc="F3FE1B3C" w:tentative="1">
      <w:start w:val="1"/>
      <w:numFmt w:val="bullet"/>
      <w:lvlText w:val=""/>
      <w:lvlJc w:val="left"/>
      <w:pPr>
        <w:tabs>
          <w:tab w:val="num" w:pos="3600"/>
        </w:tabs>
        <w:ind w:left="3600" w:hanging="360"/>
      </w:pPr>
      <w:rPr>
        <w:rFonts w:ascii="Wingdings" w:hAnsi="Wingdings" w:hint="default"/>
      </w:rPr>
    </w:lvl>
    <w:lvl w:ilvl="5" w:tplc="4B10F70C" w:tentative="1">
      <w:start w:val="1"/>
      <w:numFmt w:val="bullet"/>
      <w:lvlText w:val=""/>
      <w:lvlJc w:val="left"/>
      <w:pPr>
        <w:tabs>
          <w:tab w:val="num" w:pos="4320"/>
        </w:tabs>
        <w:ind w:left="4320" w:hanging="360"/>
      </w:pPr>
      <w:rPr>
        <w:rFonts w:ascii="Wingdings" w:hAnsi="Wingdings" w:hint="default"/>
      </w:rPr>
    </w:lvl>
    <w:lvl w:ilvl="6" w:tplc="2D8E1C46" w:tentative="1">
      <w:start w:val="1"/>
      <w:numFmt w:val="bullet"/>
      <w:lvlText w:val=""/>
      <w:lvlJc w:val="left"/>
      <w:pPr>
        <w:tabs>
          <w:tab w:val="num" w:pos="5040"/>
        </w:tabs>
        <w:ind w:left="5040" w:hanging="360"/>
      </w:pPr>
      <w:rPr>
        <w:rFonts w:ascii="Wingdings" w:hAnsi="Wingdings" w:hint="default"/>
      </w:rPr>
    </w:lvl>
    <w:lvl w:ilvl="7" w:tplc="1688CA14" w:tentative="1">
      <w:start w:val="1"/>
      <w:numFmt w:val="bullet"/>
      <w:lvlText w:val=""/>
      <w:lvlJc w:val="left"/>
      <w:pPr>
        <w:tabs>
          <w:tab w:val="num" w:pos="5760"/>
        </w:tabs>
        <w:ind w:left="5760" w:hanging="360"/>
      </w:pPr>
      <w:rPr>
        <w:rFonts w:ascii="Wingdings" w:hAnsi="Wingdings" w:hint="default"/>
      </w:rPr>
    </w:lvl>
    <w:lvl w:ilvl="8" w:tplc="D498756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292925"/>
    <w:multiLevelType w:val="multilevel"/>
    <w:tmpl w:val="3566D8F4"/>
    <w:lvl w:ilvl="0">
      <w:start w:val="3"/>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0" w15:restartNumberingAfterBreak="0">
    <w:nsid w:val="2BED5193"/>
    <w:multiLevelType w:val="hybridMultilevel"/>
    <w:tmpl w:val="78E4236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F0336B8"/>
    <w:multiLevelType w:val="multilevel"/>
    <w:tmpl w:val="A644F2E6"/>
    <w:lvl w:ilvl="0">
      <w:start w:val="1"/>
      <w:numFmt w:val="upperRoman"/>
      <w:lvlText w:val="%1."/>
      <w:lvlJc w:val="left"/>
      <w:pPr>
        <w:tabs>
          <w:tab w:val="num" w:pos="72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360"/>
        </w:tabs>
        <w:ind w:left="0" w:firstLine="0"/>
      </w:pPr>
      <w:rPr>
        <w:rFonts w:hint="default"/>
      </w:rPr>
    </w:lvl>
    <w:lvl w:ilvl="3">
      <w:start w:val="1"/>
      <w:numFmt w:val="decimal"/>
      <w:lvlText w:val="1.%4"/>
      <w:lvlJc w:val="left"/>
      <w:pPr>
        <w:tabs>
          <w:tab w:val="num" w:pos="360"/>
        </w:tabs>
        <w:ind w:left="0" w:firstLine="0"/>
      </w:pPr>
      <w:rPr>
        <w:rFonts w:hint="default"/>
      </w:rPr>
    </w:lvl>
    <w:lvl w:ilvl="4">
      <w:start w:val="1"/>
      <w:numFmt w:val="lowerRoman"/>
      <w:pStyle w:val="Heading5"/>
      <w:lvlText w:val="(%5)"/>
      <w:lvlJc w:val="left"/>
      <w:pPr>
        <w:tabs>
          <w:tab w:val="num" w:pos="720"/>
        </w:tabs>
        <w:ind w:left="0" w:firstLine="0"/>
      </w:pPr>
      <w:rPr>
        <w:rFonts w:hint="default"/>
      </w:rPr>
    </w:lvl>
    <w:lvl w:ilvl="5">
      <w:start w:val="1"/>
      <w:numFmt w:val="lowerLetter"/>
      <w:lvlText w:val="(%6)"/>
      <w:lvlJc w:val="left"/>
      <w:pPr>
        <w:tabs>
          <w:tab w:val="num" w:pos="1080"/>
        </w:tabs>
        <w:ind w:left="72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360"/>
        </w:tabs>
        <w:ind w:left="-72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37D64B7B"/>
    <w:multiLevelType w:val="hybridMultilevel"/>
    <w:tmpl w:val="E2764996"/>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AEB0B1E"/>
    <w:multiLevelType w:val="multilevel"/>
    <w:tmpl w:val="77A69C62"/>
    <w:lvl w:ilvl="0">
      <w:start w:val="1"/>
      <w:numFmt w:val="lowerLetter"/>
      <w:pStyle w:val="para2a"/>
      <w:lvlText w:val="(%1)"/>
      <w:lvlJc w:val="left"/>
      <w:pPr>
        <w:ind w:left="360" w:hanging="360"/>
      </w:pPr>
      <w:rPr>
        <w:rFonts w:hint="default"/>
        <w:b w:val="0"/>
      </w:rPr>
    </w:lvl>
    <w:lvl w:ilvl="1">
      <w:start w:val="1"/>
      <w:numFmt w:val="lowerLetter"/>
      <w:lvlText w:val="(%2)"/>
      <w:lvlJc w:val="left"/>
      <w:pPr>
        <w:tabs>
          <w:tab w:val="num" w:pos="1080"/>
        </w:tabs>
        <w:ind w:left="0" w:firstLine="720"/>
      </w:pPr>
      <w:rPr>
        <w:rFonts w:hint="default"/>
      </w:rPr>
    </w:lvl>
    <w:lvl w:ilvl="2">
      <w:start w:val="1"/>
      <w:numFmt w:val="lowerRoman"/>
      <w:lvlText w:val="(%3)"/>
      <w:lvlJc w:val="right"/>
      <w:pPr>
        <w:tabs>
          <w:tab w:val="num" w:pos="2736"/>
        </w:tabs>
        <w:ind w:left="2736" w:hanging="432"/>
      </w:pPr>
      <w:rPr>
        <w:rFonts w:hint="default"/>
      </w:rPr>
    </w:lvl>
    <w:lvl w:ilvl="3">
      <w:start w:val="1"/>
      <w:numFmt w:val="decimal"/>
      <w:lvlText w:val="a."/>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4" w15:restartNumberingAfterBreak="0">
    <w:nsid w:val="3B673192"/>
    <w:multiLevelType w:val="hybridMultilevel"/>
    <w:tmpl w:val="FC10A384"/>
    <w:lvl w:ilvl="0" w:tplc="1009000D">
      <w:start w:val="1"/>
      <w:numFmt w:val="bullet"/>
      <w:lvlText w:val=""/>
      <w:lvlJc w:val="left"/>
      <w:pPr>
        <w:tabs>
          <w:tab w:val="num" w:pos="720"/>
        </w:tabs>
        <w:ind w:left="720" w:hanging="360"/>
      </w:pPr>
      <w:rPr>
        <w:rFonts w:ascii="Wingdings" w:hAnsi="Wingdings" w:hint="default"/>
      </w:rPr>
    </w:lvl>
    <w:lvl w:ilvl="1" w:tplc="8D824EE0" w:tentative="1">
      <w:start w:val="1"/>
      <w:numFmt w:val="bullet"/>
      <w:lvlText w:val=""/>
      <w:lvlJc w:val="left"/>
      <w:pPr>
        <w:tabs>
          <w:tab w:val="num" w:pos="1440"/>
        </w:tabs>
        <w:ind w:left="1440" w:hanging="360"/>
      </w:pPr>
      <w:rPr>
        <w:rFonts w:ascii="Wingdings" w:hAnsi="Wingdings" w:hint="default"/>
      </w:rPr>
    </w:lvl>
    <w:lvl w:ilvl="2" w:tplc="5D249D66" w:tentative="1">
      <w:start w:val="1"/>
      <w:numFmt w:val="bullet"/>
      <w:lvlText w:val=""/>
      <w:lvlJc w:val="left"/>
      <w:pPr>
        <w:tabs>
          <w:tab w:val="num" w:pos="2160"/>
        </w:tabs>
        <w:ind w:left="2160" w:hanging="360"/>
      </w:pPr>
      <w:rPr>
        <w:rFonts w:ascii="Wingdings" w:hAnsi="Wingdings" w:hint="default"/>
      </w:rPr>
    </w:lvl>
    <w:lvl w:ilvl="3" w:tplc="F69A332C" w:tentative="1">
      <w:start w:val="1"/>
      <w:numFmt w:val="bullet"/>
      <w:lvlText w:val=""/>
      <w:lvlJc w:val="left"/>
      <w:pPr>
        <w:tabs>
          <w:tab w:val="num" w:pos="2880"/>
        </w:tabs>
        <w:ind w:left="2880" w:hanging="360"/>
      </w:pPr>
      <w:rPr>
        <w:rFonts w:ascii="Wingdings" w:hAnsi="Wingdings" w:hint="default"/>
      </w:rPr>
    </w:lvl>
    <w:lvl w:ilvl="4" w:tplc="A880ACD6" w:tentative="1">
      <w:start w:val="1"/>
      <w:numFmt w:val="bullet"/>
      <w:lvlText w:val=""/>
      <w:lvlJc w:val="left"/>
      <w:pPr>
        <w:tabs>
          <w:tab w:val="num" w:pos="3600"/>
        </w:tabs>
        <w:ind w:left="3600" w:hanging="360"/>
      </w:pPr>
      <w:rPr>
        <w:rFonts w:ascii="Wingdings" w:hAnsi="Wingdings" w:hint="default"/>
      </w:rPr>
    </w:lvl>
    <w:lvl w:ilvl="5" w:tplc="211ED8D2" w:tentative="1">
      <w:start w:val="1"/>
      <w:numFmt w:val="bullet"/>
      <w:lvlText w:val=""/>
      <w:lvlJc w:val="left"/>
      <w:pPr>
        <w:tabs>
          <w:tab w:val="num" w:pos="4320"/>
        </w:tabs>
        <w:ind w:left="4320" w:hanging="360"/>
      </w:pPr>
      <w:rPr>
        <w:rFonts w:ascii="Wingdings" w:hAnsi="Wingdings" w:hint="default"/>
      </w:rPr>
    </w:lvl>
    <w:lvl w:ilvl="6" w:tplc="8C88AAB2" w:tentative="1">
      <w:start w:val="1"/>
      <w:numFmt w:val="bullet"/>
      <w:lvlText w:val=""/>
      <w:lvlJc w:val="left"/>
      <w:pPr>
        <w:tabs>
          <w:tab w:val="num" w:pos="5040"/>
        </w:tabs>
        <w:ind w:left="5040" w:hanging="360"/>
      </w:pPr>
      <w:rPr>
        <w:rFonts w:ascii="Wingdings" w:hAnsi="Wingdings" w:hint="default"/>
      </w:rPr>
    </w:lvl>
    <w:lvl w:ilvl="7" w:tplc="DB249A14" w:tentative="1">
      <w:start w:val="1"/>
      <w:numFmt w:val="bullet"/>
      <w:lvlText w:val=""/>
      <w:lvlJc w:val="left"/>
      <w:pPr>
        <w:tabs>
          <w:tab w:val="num" w:pos="5760"/>
        </w:tabs>
        <w:ind w:left="5760" w:hanging="360"/>
      </w:pPr>
      <w:rPr>
        <w:rFonts w:ascii="Wingdings" w:hAnsi="Wingdings" w:hint="default"/>
      </w:rPr>
    </w:lvl>
    <w:lvl w:ilvl="8" w:tplc="8A92953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E43C91"/>
    <w:multiLevelType w:val="singleLevel"/>
    <w:tmpl w:val="B36A8C58"/>
    <w:lvl w:ilvl="0">
      <w:start w:val="1"/>
      <w:numFmt w:val="decimal"/>
      <w:pStyle w:val="Paranum"/>
      <w:lvlText w:val="%1."/>
      <w:lvlJc w:val="left"/>
      <w:pPr>
        <w:tabs>
          <w:tab w:val="num" w:pos="360"/>
        </w:tabs>
        <w:ind w:left="0" w:firstLine="0"/>
      </w:pPr>
    </w:lvl>
  </w:abstractNum>
  <w:abstractNum w:abstractNumId="16" w15:restartNumberingAfterBreak="0">
    <w:nsid w:val="3D495197"/>
    <w:multiLevelType w:val="multilevel"/>
    <w:tmpl w:val="4D9856EC"/>
    <w:lvl w:ilvl="0">
      <w:start w:val="1"/>
      <w:numFmt w:val="decimal"/>
      <w:pStyle w:val="Heading1"/>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7" w15:restartNumberingAfterBreak="0">
    <w:nsid w:val="48E4287B"/>
    <w:multiLevelType w:val="multilevel"/>
    <w:tmpl w:val="DA489A90"/>
    <w:lvl w:ilvl="0">
      <w:start w:val="1"/>
      <w:numFmt w:val="decimal"/>
      <w:lvlText w:val="%1."/>
      <w:lvlJc w:val="left"/>
      <w:pPr>
        <w:tabs>
          <w:tab w:val="num" w:pos="360"/>
        </w:tabs>
        <w:ind w:left="0" w:firstLine="0"/>
      </w:pPr>
    </w:lvl>
    <w:lvl w:ilvl="1">
      <w:start w:val="1"/>
      <w:numFmt w:val="lowerLetter"/>
      <w:lvlText w:val="(%2)"/>
      <w:lvlJc w:val="left"/>
      <w:pPr>
        <w:tabs>
          <w:tab w:val="num" w:pos="1440"/>
        </w:tabs>
        <w:ind w:left="0" w:firstLine="720"/>
      </w:pPr>
    </w:lvl>
    <w:lvl w:ilvl="2">
      <w:start w:val="1"/>
      <w:numFmt w:val="lowerRoman"/>
      <w:lvlText w:val="(%3)"/>
      <w:lvlJc w:val="right"/>
      <w:pPr>
        <w:tabs>
          <w:tab w:val="num" w:pos="1800"/>
        </w:tabs>
        <w:ind w:left="1800" w:hanging="720"/>
      </w:pPr>
    </w:lvl>
    <w:lvl w:ilvl="3">
      <w:start w:val="1"/>
      <w:numFmt w:val="decimal"/>
      <w:pStyle w:val="para4"/>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B2E6A4F"/>
    <w:multiLevelType w:val="hybridMultilevel"/>
    <w:tmpl w:val="BF48BD58"/>
    <w:lvl w:ilvl="0" w:tplc="9502F10A">
      <w:start w:val="1"/>
      <w:numFmt w:val="upp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9" w15:restartNumberingAfterBreak="0">
    <w:nsid w:val="4E0442B4"/>
    <w:multiLevelType w:val="multilevel"/>
    <w:tmpl w:val="56B24F16"/>
    <w:lvl w:ilvl="0">
      <w:start w:val="1"/>
      <w:numFmt w:val="decimal"/>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pStyle w:val="Para3"/>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52FA0D9A"/>
    <w:multiLevelType w:val="multilevel"/>
    <w:tmpl w:val="187822A4"/>
    <w:lvl w:ilvl="0">
      <w:start w:val="1"/>
      <w:numFmt w:val="decimal"/>
      <w:pStyle w:val="Para1-Annex"/>
      <w:lvlText w:val="%1."/>
      <w:lvlJc w:val="left"/>
      <w:pPr>
        <w:tabs>
          <w:tab w:val="num" w:pos="360"/>
        </w:tabs>
        <w:ind w:left="0" w:firstLine="0"/>
      </w:pPr>
      <w:rPr>
        <w:rFonts w:ascii="Times New Roman" w:hAnsi="Times New Roman" w:hint="default"/>
        <w:b w:val="0"/>
        <w:i w:val="0"/>
        <w:sz w:val="22"/>
      </w:rPr>
    </w:lvl>
    <w:lvl w:ilvl="1">
      <w:start w:val="1"/>
      <w:numFmt w:val="lowerLetter"/>
      <w:lvlText w:val="(%2)"/>
      <w:lvlJc w:val="left"/>
      <w:pPr>
        <w:tabs>
          <w:tab w:val="num" w:pos="1440"/>
        </w:tabs>
        <w:ind w:left="0" w:firstLine="720"/>
      </w:pPr>
      <w:rPr>
        <w:rFonts w:hint="default"/>
        <w:b w:val="0"/>
        <w:i w:val="0"/>
      </w:rPr>
    </w:lvl>
    <w:lvl w:ilvl="2">
      <w:start w:val="1"/>
      <w:numFmt w:val="lowerRoman"/>
      <w:lvlText w:val="(%3)"/>
      <w:lvlJc w:val="right"/>
      <w:pPr>
        <w:tabs>
          <w:tab w:val="num" w:pos="1440"/>
        </w:tabs>
        <w:ind w:left="1440" w:hanging="360"/>
      </w:pPr>
      <w:rPr>
        <w:rFonts w:hint="default"/>
      </w:rPr>
    </w:lvl>
    <w:lvl w:ilvl="3">
      <w:start w:val="1"/>
      <w:numFmt w:val="bullet"/>
      <w:lvlText w:val=""/>
      <w:lvlJc w:val="left"/>
      <w:pPr>
        <w:tabs>
          <w:tab w:val="num" w:pos="2160"/>
        </w:tabs>
        <w:ind w:left="2160" w:hanging="720"/>
      </w:pPr>
      <w:rPr>
        <w:rFonts w:ascii="Symbol" w:hAnsi="Symbol" w:hint="default"/>
        <w:color w:val="auto"/>
        <w:sz w:val="28"/>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60CF37AA"/>
    <w:multiLevelType w:val="hybridMultilevel"/>
    <w:tmpl w:val="4700618E"/>
    <w:lvl w:ilvl="0" w:tplc="1009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2" w15:restartNumberingAfterBreak="0">
    <w:nsid w:val="61AF3D02"/>
    <w:multiLevelType w:val="hybridMultilevel"/>
    <w:tmpl w:val="661229D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1CB058F"/>
    <w:multiLevelType w:val="hybridMultilevel"/>
    <w:tmpl w:val="8E8C1276"/>
    <w:lvl w:ilvl="0" w:tplc="F0E06DE6">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4" w15:restartNumberingAfterBreak="0">
    <w:nsid w:val="65357F78"/>
    <w:multiLevelType w:val="hybridMultilevel"/>
    <w:tmpl w:val="E59652FE"/>
    <w:lvl w:ilvl="0" w:tplc="FFFFFFFF">
      <w:start w:val="1"/>
      <w:numFmt w:val="decimal"/>
      <w:pStyle w:val="Paraofficial"/>
      <w:lvlText w:val="%1."/>
      <w:lvlJc w:val="left"/>
      <w:pPr>
        <w:tabs>
          <w:tab w:val="num" w:pos="1080"/>
        </w:tabs>
        <w:ind w:left="0" w:firstLine="720"/>
      </w:pPr>
      <w:rPr>
        <w:rFonts w:hint="default"/>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5" w15:restartNumberingAfterBreak="0">
    <w:nsid w:val="6B6431F3"/>
    <w:multiLevelType w:val="hybridMultilevel"/>
    <w:tmpl w:val="FF086112"/>
    <w:lvl w:ilvl="0" w:tplc="6C1AC242">
      <w:start w:val="1"/>
      <w:numFmt w:val="lowerRoman"/>
      <w:lvlText w:val="(%1)"/>
      <w:lvlJc w:val="left"/>
      <w:pPr>
        <w:ind w:left="2880" w:hanging="720"/>
      </w:pPr>
      <w:rPr>
        <w:rFonts w:hint="default"/>
        <w:b w:val="0"/>
        <w:i w:val="0"/>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26" w15:restartNumberingAfterBreak="0">
    <w:nsid w:val="6DDA2449"/>
    <w:multiLevelType w:val="hybridMultilevel"/>
    <w:tmpl w:val="77C41D40"/>
    <w:lvl w:ilvl="0" w:tplc="04090019">
      <w:start w:val="1"/>
      <w:numFmt w:val="low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3683E7E"/>
    <w:multiLevelType w:val="multilevel"/>
    <w:tmpl w:val="3B3E1E1A"/>
    <w:lvl w:ilvl="0">
      <w:start w:val="1"/>
      <w:numFmt w:val="decimal"/>
      <w:lvlText w:val="%1."/>
      <w:lvlJc w:val="left"/>
      <w:pPr>
        <w:ind w:left="720" w:hanging="360"/>
      </w:pPr>
      <w:rPr>
        <w:rFonts w:hint="default"/>
      </w:rPr>
    </w:lvl>
    <w:lvl w:ilvl="1">
      <w:start w:val="3"/>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num w:numId="1">
    <w:abstractNumId w:val="11"/>
  </w:num>
  <w:num w:numId="2">
    <w:abstractNumId w:val="24"/>
  </w:num>
  <w:num w:numId="3">
    <w:abstractNumId w:val="20"/>
  </w:num>
  <w:num w:numId="4">
    <w:abstractNumId w:val="13"/>
  </w:num>
  <w:num w:numId="5">
    <w:abstractNumId w:val="19"/>
  </w:num>
  <w:num w:numId="6">
    <w:abstractNumId w:val="17"/>
  </w:num>
  <w:num w:numId="7">
    <w:abstractNumId w:val="15"/>
  </w:num>
  <w:num w:numId="8">
    <w:abstractNumId w:val="7"/>
  </w:num>
  <w:num w:numId="9">
    <w:abstractNumId w:val="1"/>
  </w:num>
  <w:num w:numId="10">
    <w:abstractNumId w:val="4"/>
  </w:num>
  <w:num w:numId="11">
    <w:abstractNumId w:val="27"/>
  </w:num>
  <w:num w:numId="12">
    <w:abstractNumId w:val="18"/>
  </w:num>
  <w:num w:numId="13">
    <w:abstractNumId w:val="25"/>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4"/>
  </w:num>
  <w:num w:numId="18">
    <w:abstractNumId w:val="2"/>
  </w:num>
  <w:num w:numId="19">
    <w:abstractNumId w:val="16"/>
  </w:num>
  <w:num w:numId="20">
    <w:abstractNumId w:val="3"/>
  </w:num>
  <w:num w:numId="21">
    <w:abstractNumId w:val="21"/>
  </w:num>
  <w:num w:numId="22">
    <w:abstractNumId w:val="10"/>
  </w:num>
  <w:num w:numId="23">
    <w:abstractNumId w:val="22"/>
  </w:num>
  <w:num w:numId="24">
    <w:abstractNumId w:val="0"/>
  </w:num>
  <w:num w:numId="25">
    <w:abstractNumId w:val="12"/>
  </w:num>
  <w:num w:numId="26">
    <w:abstractNumId w:val="9"/>
  </w:num>
  <w:num w:numId="27">
    <w:abstractNumId w:val="6"/>
  </w:num>
  <w:num w:numId="28">
    <w:abstractNumId w:val="23"/>
  </w:num>
  <w:num w:numId="29">
    <w:abstractNumId w:val="1"/>
    <w:lvlOverride w:ilvl="0">
      <w:startOverride w:val="2"/>
    </w:lvlOverride>
  </w:num>
  <w:num w:numId="30">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characterSpacingControl w:val="doNotCompress"/>
  <w:hdrShapeDefaults>
    <o:shapedefaults v:ext="edit" spidmax="2049"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F6E"/>
    <w:rsid w:val="000002B0"/>
    <w:rsid w:val="00000746"/>
    <w:rsid w:val="00000C06"/>
    <w:rsid w:val="00000D7F"/>
    <w:rsid w:val="0000182B"/>
    <w:rsid w:val="00002581"/>
    <w:rsid w:val="00002B7B"/>
    <w:rsid w:val="00002FB7"/>
    <w:rsid w:val="00003DE6"/>
    <w:rsid w:val="000059C6"/>
    <w:rsid w:val="00005C98"/>
    <w:rsid w:val="00007AA0"/>
    <w:rsid w:val="00010EFF"/>
    <w:rsid w:val="0001188E"/>
    <w:rsid w:val="0001272F"/>
    <w:rsid w:val="00013413"/>
    <w:rsid w:val="00013833"/>
    <w:rsid w:val="00013ED1"/>
    <w:rsid w:val="000154FB"/>
    <w:rsid w:val="0001577B"/>
    <w:rsid w:val="000166B5"/>
    <w:rsid w:val="000166C4"/>
    <w:rsid w:val="00016D0B"/>
    <w:rsid w:val="000170AE"/>
    <w:rsid w:val="00017CDB"/>
    <w:rsid w:val="00021F5B"/>
    <w:rsid w:val="00024F91"/>
    <w:rsid w:val="00026EEB"/>
    <w:rsid w:val="00026FAC"/>
    <w:rsid w:val="00033AE8"/>
    <w:rsid w:val="000343B1"/>
    <w:rsid w:val="00034475"/>
    <w:rsid w:val="00034C2A"/>
    <w:rsid w:val="000366F9"/>
    <w:rsid w:val="00037640"/>
    <w:rsid w:val="000410F3"/>
    <w:rsid w:val="00041602"/>
    <w:rsid w:val="00041DB9"/>
    <w:rsid w:val="0004373A"/>
    <w:rsid w:val="000441D8"/>
    <w:rsid w:val="00044D48"/>
    <w:rsid w:val="00044EC3"/>
    <w:rsid w:val="000458FB"/>
    <w:rsid w:val="00047A6A"/>
    <w:rsid w:val="00047E94"/>
    <w:rsid w:val="00050BD1"/>
    <w:rsid w:val="000516B5"/>
    <w:rsid w:val="00052C33"/>
    <w:rsid w:val="0005616A"/>
    <w:rsid w:val="00057254"/>
    <w:rsid w:val="00060F59"/>
    <w:rsid w:val="00060FBD"/>
    <w:rsid w:val="00060FE7"/>
    <w:rsid w:val="00061A42"/>
    <w:rsid w:val="00064973"/>
    <w:rsid w:val="00064A40"/>
    <w:rsid w:val="000673BC"/>
    <w:rsid w:val="00070367"/>
    <w:rsid w:val="00070B1C"/>
    <w:rsid w:val="00072FBC"/>
    <w:rsid w:val="00073960"/>
    <w:rsid w:val="00073B12"/>
    <w:rsid w:val="00073DAF"/>
    <w:rsid w:val="00073F91"/>
    <w:rsid w:val="00074E3B"/>
    <w:rsid w:val="00077488"/>
    <w:rsid w:val="00081286"/>
    <w:rsid w:val="0008177A"/>
    <w:rsid w:val="00081AA2"/>
    <w:rsid w:val="000839C1"/>
    <w:rsid w:val="00084976"/>
    <w:rsid w:val="000857CA"/>
    <w:rsid w:val="0008651D"/>
    <w:rsid w:val="000879C1"/>
    <w:rsid w:val="00087CC9"/>
    <w:rsid w:val="0009084D"/>
    <w:rsid w:val="00090D5E"/>
    <w:rsid w:val="000921FE"/>
    <w:rsid w:val="000924F0"/>
    <w:rsid w:val="000957E8"/>
    <w:rsid w:val="00096AF8"/>
    <w:rsid w:val="00097051"/>
    <w:rsid w:val="0009764C"/>
    <w:rsid w:val="000A116E"/>
    <w:rsid w:val="000A1499"/>
    <w:rsid w:val="000A1CE5"/>
    <w:rsid w:val="000A3001"/>
    <w:rsid w:val="000A406C"/>
    <w:rsid w:val="000A4D5F"/>
    <w:rsid w:val="000A6318"/>
    <w:rsid w:val="000A6FBF"/>
    <w:rsid w:val="000A74E8"/>
    <w:rsid w:val="000B01F6"/>
    <w:rsid w:val="000B2687"/>
    <w:rsid w:val="000B2F43"/>
    <w:rsid w:val="000B37DF"/>
    <w:rsid w:val="000B41E2"/>
    <w:rsid w:val="000B46AA"/>
    <w:rsid w:val="000B5252"/>
    <w:rsid w:val="000B69D8"/>
    <w:rsid w:val="000B77F5"/>
    <w:rsid w:val="000B7ABB"/>
    <w:rsid w:val="000C017E"/>
    <w:rsid w:val="000C04DA"/>
    <w:rsid w:val="000C0624"/>
    <w:rsid w:val="000C2352"/>
    <w:rsid w:val="000C3973"/>
    <w:rsid w:val="000C39A2"/>
    <w:rsid w:val="000C54C7"/>
    <w:rsid w:val="000D3A3B"/>
    <w:rsid w:val="000D4E64"/>
    <w:rsid w:val="000D4F26"/>
    <w:rsid w:val="000D5271"/>
    <w:rsid w:val="000D559E"/>
    <w:rsid w:val="000D65B0"/>
    <w:rsid w:val="000D7019"/>
    <w:rsid w:val="000E094B"/>
    <w:rsid w:val="000E13F1"/>
    <w:rsid w:val="000E1AF1"/>
    <w:rsid w:val="000E2402"/>
    <w:rsid w:val="000E2ACA"/>
    <w:rsid w:val="000E2DDE"/>
    <w:rsid w:val="000E3095"/>
    <w:rsid w:val="000E30C2"/>
    <w:rsid w:val="000E33CE"/>
    <w:rsid w:val="000E3A01"/>
    <w:rsid w:val="000E50DB"/>
    <w:rsid w:val="000E56DD"/>
    <w:rsid w:val="000E60AC"/>
    <w:rsid w:val="000E70F1"/>
    <w:rsid w:val="000E7829"/>
    <w:rsid w:val="000E7A47"/>
    <w:rsid w:val="000F13A4"/>
    <w:rsid w:val="000F156E"/>
    <w:rsid w:val="000F1995"/>
    <w:rsid w:val="000F296D"/>
    <w:rsid w:val="000F304C"/>
    <w:rsid w:val="000F31AC"/>
    <w:rsid w:val="000F3DBD"/>
    <w:rsid w:val="000F4DAF"/>
    <w:rsid w:val="000F4FFF"/>
    <w:rsid w:val="000F50BC"/>
    <w:rsid w:val="000F5BFF"/>
    <w:rsid w:val="000F7F0F"/>
    <w:rsid w:val="001007BE"/>
    <w:rsid w:val="00100B67"/>
    <w:rsid w:val="00100F49"/>
    <w:rsid w:val="001021C9"/>
    <w:rsid w:val="00102A9A"/>
    <w:rsid w:val="00104E48"/>
    <w:rsid w:val="001068A4"/>
    <w:rsid w:val="00106BAB"/>
    <w:rsid w:val="00110F1D"/>
    <w:rsid w:val="0011256D"/>
    <w:rsid w:val="00112972"/>
    <w:rsid w:val="00113DF0"/>
    <w:rsid w:val="00115E5B"/>
    <w:rsid w:val="00120340"/>
    <w:rsid w:val="0012196F"/>
    <w:rsid w:val="00121E27"/>
    <w:rsid w:val="001229DA"/>
    <w:rsid w:val="00122BB5"/>
    <w:rsid w:val="00123D31"/>
    <w:rsid w:val="00123D4D"/>
    <w:rsid w:val="0012414F"/>
    <w:rsid w:val="00124D20"/>
    <w:rsid w:val="00125DE7"/>
    <w:rsid w:val="00125F11"/>
    <w:rsid w:val="001264C4"/>
    <w:rsid w:val="00126EF8"/>
    <w:rsid w:val="001272B1"/>
    <w:rsid w:val="00130502"/>
    <w:rsid w:val="001316E8"/>
    <w:rsid w:val="0013296D"/>
    <w:rsid w:val="001330F9"/>
    <w:rsid w:val="00134763"/>
    <w:rsid w:val="00137511"/>
    <w:rsid w:val="00140B56"/>
    <w:rsid w:val="00142912"/>
    <w:rsid w:val="00143A4D"/>
    <w:rsid w:val="00143D58"/>
    <w:rsid w:val="00145DC0"/>
    <w:rsid w:val="0014624C"/>
    <w:rsid w:val="0014640E"/>
    <w:rsid w:val="001472C9"/>
    <w:rsid w:val="00147AF5"/>
    <w:rsid w:val="00150A3F"/>
    <w:rsid w:val="00151AF9"/>
    <w:rsid w:val="00152603"/>
    <w:rsid w:val="00153356"/>
    <w:rsid w:val="00153C5D"/>
    <w:rsid w:val="00154359"/>
    <w:rsid w:val="001553DA"/>
    <w:rsid w:val="00155860"/>
    <w:rsid w:val="0015662E"/>
    <w:rsid w:val="00157055"/>
    <w:rsid w:val="00157679"/>
    <w:rsid w:val="00161FFA"/>
    <w:rsid w:val="00162C69"/>
    <w:rsid w:val="00163633"/>
    <w:rsid w:val="00165195"/>
    <w:rsid w:val="00167E11"/>
    <w:rsid w:val="001733E3"/>
    <w:rsid w:val="00173C02"/>
    <w:rsid w:val="001761D3"/>
    <w:rsid w:val="0017683F"/>
    <w:rsid w:val="001779BC"/>
    <w:rsid w:val="00177C93"/>
    <w:rsid w:val="00180050"/>
    <w:rsid w:val="00180157"/>
    <w:rsid w:val="001809D4"/>
    <w:rsid w:val="00181A63"/>
    <w:rsid w:val="00182050"/>
    <w:rsid w:val="0018245A"/>
    <w:rsid w:val="00182B42"/>
    <w:rsid w:val="00183EF0"/>
    <w:rsid w:val="001848DE"/>
    <w:rsid w:val="0018621B"/>
    <w:rsid w:val="001863ED"/>
    <w:rsid w:val="00187756"/>
    <w:rsid w:val="001909EC"/>
    <w:rsid w:val="001931E7"/>
    <w:rsid w:val="0019361E"/>
    <w:rsid w:val="00193732"/>
    <w:rsid w:val="00194C95"/>
    <w:rsid w:val="00196CF6"/>
    <w:rsid w:val="00197685"/>
    <w:rsid w:val="001A11F7"/>
    <w:rsid w:val="001A2258"/>
    <w:rsid w:val="001A3325"/>
    <w:rsid w:val="001A3AAE"/>
    <w:rsid w:val="001A4212"/>
    <w:rsid w:val="001A491D"/>
    <w:rsid w:val="001A4ED0"/>
    <w:rsid w:val="001A4F31"/>
    <w:rsid w:val="001A4FCC"/>
    <w:rsid w:val="001A69C9"/>
    <w:rsid w:val="001A7E47"/>
    <w:rsid w:val="001B0C64"/>
    <w:rsid w:val="001B1029"/>
    <w:rsid w:val="001B12AC"/>
    <w:rsid w:val="001B608B"/>
    <w:rsid w:val="001B78C5"/>
    <w:rsid w:val="001C06A3"/>
    <w:rsid w:val="001C153A"/>
    <w:rsid w:val="001C229C"/>
    <w:rsid w:val="001C27D1"/>
    <w:rsid w:val="001C5580"/>
    <w:rsid w:val="001C5B9D"/>
    <w:rsid w:val="001C5E3A"/>
    <w:rsid w:val="001D19E1"/>
    <w:rsid w:val="001D218E"/>
    <w:rsid w:val="001D22A4"/>
    <w:rsid w:val="001D3773"/>
    <w:rsid w:val="001D3A18"/>
    <w:rsid w:val="001D4E91"/>
    <w:rsid w:val="001D527E"/>
    <w:rsid w:val="001D6A47"/>
    <w:rsid w:val="001E0031"/>
    <w:rsid w:val="001E0858"/>
    <w:rsid w:val="001E0B38"/>
    <w:rsid w:val="001E0D64"/>
    <w:rsid w:val="001E1190"/>
    <w:rsid w:val="001E26A2"/>
    <w:rsid w:val="001E27FC"/>
    <w:rsid w:val="001E3639"/>
    <w:rsid w:val="001E3D3A"/>
    <w:rsid w:val="001E4710"/>
    <w:rsid w:val="001E4D61"/>
    <w:rsid w:val="001E7350"/>
    <w:rsid w:val="001E7BC5"/>
    <w:rsid w:val="001E7E68"/>
    <w:rsid w:val="001F329D"/>
    <w:rsid w:val="001F4D30"/>
    <w:rsid w:val="001F5E8E"/>
    <w:rsid w:val="002000B5"/>
    <w:rsid w:val="00201520"/>
    <w:rsid w:val="00201667"/>
    <w:rsid w:val="00201DAA"/>
    <w:rsid w:val="002029E1"/>
    <w:rsid w:val="002031C4"/>
    <w:rsid w:val="002034AE"/>
    <w:rsid w:val="002037F0"/>
    <w:rsid w:val="00204F18"/>
    <w:rsid w:val="00206222"/>
    <w:rsid w:val="00206C0B"/>
    <w:rsid w:val="00207BF8"/>
    <w:rsid w:val="0021123B"/>
    <w:rsid w:val="00211A06"/>
    <w:rsid w:val="00211BE0"/>
    <w:rsid w:val="002122AD"/>
    <w:rsid w:val="00215EE9"/>
    <w:rsid w:val="00216449"/>
    <w:rsid w:val="00217B8C"/>
    <w:rsid w:val="002215EE"/>
    <w:rsid w:val="0022260F"/>
    <w:rsid w:val="00224134"/>
    <w:rsid w:val="0022549E"/>
    <w:rsid w:val="00226440"/>
    <w:rsid w:val="00226BE6"/>
    <w:rsid w:val="00227644"/>
    <w:rsid w:val="00230776"/>
    <w:rsid w:val="00230E6C"/>
    <w:rsid w:val="002317B4"/>
    <w:rsid w:val="00232A4F"/>
    <w:rsid w:val="002337DB"/>
    <w:rsid w:val="00234446"/>
    <w:rsid w:val="002349D4"/>
    <w:rsid w:val="002351AC"/>
    <w:rsid w:val="0023526B"/>
    <w:rsid w:val="00235D30"/>
    <w:rsid w:val="002365D8"/>
    <w:rsid w:val="00237162"/>
    <w:rsid w:val="00240E09"/>
    <w:rsid w:val="00242E7D"/>
    <w:rsid w:val="002446A2"/>
    <w:rsid w:val="00246BBE"/>
    <w:rsid w:val="00246CA5"/>
    <w:rsid w:val="00247F00"/>
    <w:rsid w:val="00250553"/>
    <w:rsid w:val="00250884"/>
    <w:rsid w:val="002516A7"/>
    <w:rsid w:val="002521B6"/>
    <w:rsid w:val="00256D62"/>
    <w:rsid w:val="00256FBC"/>
    <w:rsid w:val="002614DE"/>
    <w:rsid w:val="00262095"/>
    <w:rsid w:val="002623D3"/>
    <w:rsid w:val="00262923"/>
    <w:rsid w:val="00264426"/>
    <w:rsid w:val="00264AE3"/>
    <w:rsid w:val="00264BC8"/>
    <w:rsid w:val="00264E4D"/>
    <w:rsid w:val="0026535F"/>
    <w:rsid w:val="00266A35"/>
    <w:rsid w:val="002712C8"/>
    <w:rsid w:val="00273910"/>
    <w:rsid w:val="002759F8"/>
    <w:rsid w:val="00275B3E"/>
    <w:rsid w:val="0027617A"/>
    <w:rsid w:val="00276AB5"/>
    <w:rsid w:val="002779C5"/>
    <w:rsid w:val="00283A60"/>
    <w:rsid w:val="0028499B"/>
    <w:rsid w:val="00284A52"/>
    <w:rsid w:val="00284A69"/>
    <w:rsid w:val="002855EA"/>
    <w:rsid w:val="0028587A"/>
    <w:rsid w:val="00285965"/>
    <w:rsid w:val="0028604F"/>
    <w:rsid w:val="002868C3"/>
    <w:rsid w:val="002877E1"/>
    <w:rsid w:val="00291515"/>
    <w:rsid w:val="00294E88"/>
    <w:rsid w:val="002956BE"/>
    <w:rsid w:val="002967E1"/>
    <w:rsid w:val="00296C27"/>
    <w:rsid w:val="002A1C95"/>
    <w:rsid w:val="002A30D3"/>
    <w:rsid w:val="002A3D85"/>
    <w:rsid w:val="002B0653"/>
    <w:rsid w:val="002B0CBB"/>
    <w:rsid w:val="002B16B5"/>
    <w:rsid w:val="002B2F66"/>
    <w:rsid w:val="002B2F91"/>
    <w:rsid w:val="002B3407"/>
    <w:rsid w:val="002B6259"/>
    <w:rsid w:val="002B62A4"/>
    <w:rsid w:val="002B6831"/>
    <w:rsid w:val="002B6D66"/>
    <w:rsid w:val="002B71E1"/>
    <w:rsid w:val="002C02AE"/>
    <w:rsid w:val="002C0E7C"/>
    <w:rsid w:val="002C0F0D"/>
    <w:rsid w:val="002C1000"/>
    <w:rsid w:val="002C356B"/>
    <w:rsid w:val="002C5561"/>
    <w:rsid w:val="002C6900"/>
    <w:rsid w:val="002C7E90"/>
    <w:rsid w:val="002D0036"/>
    <w:rsid w:val="002D11EC"/>
    <w:rsid w:val="002D198A"/>
    <w:rsid w:val="002D275E"/>
    <w:rsid w:val="002D2F23"/>
    <w:rsid w:val="002D5598"/>
    <w:rsid w:val="002D5ABB"/>
    <w:rsid w:val="002D697E"/>
    <w:rsid w:val="002D76A7"/>
    <w:rsid w:val="002D7776"/>
    <w:rsid w:val="002E0D04"/>
    <w:rsid w:val="002E0D9C"/>
    <w:rsid w:val="002E2C9B"/>
    <w:rsid w:val="002E3049"/>
    <w:rsid w:val="002E3CD9"/>
    <w:rsid w:val="002E467C"/>
    <w:rsid w:val="002E4C3E"/>
    <w:rsid w:val="002E5430"/>
    <w:rsid w:val="002E5647"/>
    <w:rsid w:val="002F02A2"/>
    <w:rsid w:val="002F43CC"/>
    <w:rsid w:val="002F54FE"/>
    <w:rsid w:val="002F5C1D"/>
    <w:rsid w:val="002F7A26"/>
    <w:rsid w:val="00300CCC"/>
    <w:rsid w:val="00302C0E"/>
    <w:rsid w:val="0030342C"/>
    <w:rsid w:val="00304559"/>
    <w:rsid w:val="00304818"/>
    <w:rsid w:val="00304D7D"/>
    <w:rsid w:val="0031139F"/>
    <w:rsid w:val="00311AA4"/>
    <w:rsid w:val="00312922"/>
    <w:rsid w:val="0031554C"/>
    <w:rsid w:val="00315854"/>
    <w:rsid w:val="00316C01"/>
    <w:rsid w:val="003176D6"/>
    <w:rsid w:val="00320B70"/>
    <w:rsid w:val="00320C29"/>
    <w:rsid w:val="00323722"/>
    <w:rsid w:val="003241A6"/>
    <w:rsid w:val="00324E6F"/>
    <w:rsid w:val="003263D2"/>
    <w:rsid w:val="003301C4"/>
    <w:rsid w:val="003302DF"/>
    <w:rsid w:val="0033082D"/>
    <w:rsid w:val="00331D63"/>
    <w:rsid w:val="00332C9F"/>
    <w:rsid w:val="00333EDB"/>
    <w:rsid w:val="00334982"/>
    <w:rsid w:val="00335697"/>
    <w:rsid w:val="00336222"/>
    <w:rsid w:val="0033627D"/>
    <w:rsid w:val="00336529"/>
    <w:rsid w:val="0033662C"/>
    <w:rsid w:val="00337294"/>
    <w:rsid w:val="00337536"/>
    <w:rsid w:val="0033787D"/>
    <w:rsid w:val="003400D7"/>
    <w:rsid w:val="00341636"/>
    <w:rsid w:val="00341D34"/>
    <w:rsid w:val="00344458"/>
    <w:rsid w:val="0034499E"/>
    <w:rsid w:val="003450E7"/>
    <w:rsid w:val="003477D4"/>
    <w:rsid w:val="00352F20"/>
    <w:rsid w:val="0035471D"/>
    <w:rsid w:val="003577A7"/>
    <w:rsid w:val="00362279"/>
    <w:rsid w:val="00362A9A"/>
    <w:rsid w:val="003661C6"/>
    <w:rsid w:val="003665F6"/>
    <w:rsid w:val="0036740E"/>
    <w:rsid w:val="00367CB5"/>
    <w:rsid w:val="00367CCB"/>
    <w:rsid w:val="003701A3"/>
    <w:rsid w:val="003710D7"/>
    <w:rsid w:val="0037184B"/>
    <w:rsid w:val="0037476A"/>
    <w:rsid w:val="00374C1B"/>
    <w:rsid w:val="00374E71"/>
    <w:rsid w:val="003757EB"/>
    <w:rsid w:val="00377050"/>
    <w:rsid w:val="00377256"/>
    <w:rsid w:val="00380E6C"/>
    <w:rsid w:val="00381DEE"/>
    <w:rsid w:val="00385191"/>
    <w:rsid w:val="00385B9A"/>
    <w:rsid w:val="00385DFB"/>
    <w:rsid w:val="00385FFE"/>
    <w:rsid w:val="003915F2"/>
    <w:rsid w:val="00391930"/>
    <w:rsid w:val="00391CF6"/>
    <w:rsid w:val="00392867"/>
    <w:rsid w:val="003930DB"/>
    <w:rsid w:val="003934AF"/>
    <w:rsid w:val="00393808"/>
    <w:rsid w:val="0039509B"/>
    <w:rsid w:val="00395F17"/>
    <w:rsid w:val="00397FA0"/>
    <w:rsid w:val="003A0032"/>
    <w:rsid w:val="003A3585"/>
    <w:rsid w:val="003A380E"/>
    <w:rsid w:val="003A3E6B"/>
    <w:rsid w:val="003A51CA"/>
    <w:rsid w:val="003A53C4"/>
    <w:rsid w:val="003A6D39"/>
    <w:rsid w:val="003A785B"/>
    <w:rsid w:val="003B10D3"/>
    <w:rsid w:val="003B164C"/>
    <w:rsid w:val="003B1D28"/>
    <w:rsid w:val="003B2F2A"/>
    <w:rsid w:val="003B3232"/>
    <w:rsid w:val="003B3F35"/>
    <w:rsid w:val="003B71EC"/>
    <w:rsid w:val="003B7888"/>
    <w:rsid w:val="003C023A"/>
    <w:rsid w:val="003C0491"/>
    <w:rsid w:val="003C0BF7"/>
    <w:rsid w:val="003C1039"/>
    <w:rsid w:val="003C176F"/>
    <w:rsid w:val="003C467A"/>
    <w:rsid w:val="003C5032"/>
    <w:rsid w:val="003C6325"/>
    <w:rsid w:val="003C73FE"/>
    <w:rsid w:val="003C781A"/>
    <w:rsid w:val="003D111A"/>
    <w:rsid w:val="003D15F7"/>
    <w:rsid w:val="003D17B0"/>
    <w:rsid w:val="003D2DCC"/>
    <w:rsid w:val="003D34AF"/>
    <w:rsid w:val="003D42E0"/>
    <w:rsid w:val="003D5BDC"/>
    <w:rsid w:val="003D6AC0"/>
    <w:rsid w:val="003D73C2"/>
    <w:rsid w:val="003E1ACC"/>
    <w:rsid w:val="003E5ACE"/>
    <w:rsid w:val="003E5D4F"/>
    <w:rsid w:val="003F0392"/>
    <w:rsid w:val="003F0F5B"/>
    <w:rsid w:val="003F1B61"/>
    <w:rsid w:val="003F3680"/>
    <w:rsid w:val="003F3A4B"/>
    <w:rsid w:val="003F4E1A"/>
    <w:rsid w:val="003F53C0"/>
    <w:rsid w:val="00401136"/>
    <w:rsid w:val="00402789"/>
    <w:rsid w:val="00402B38"/>
    <w:rsid w:val="004033F3"/>
    <w:rsid w:val="004036D5"/>
    <w:rsid w:val="004038F1"/>
    <w:rsid w:val="0040685E"/>
    <w:rsid w:val="00406BD6"/>
    <w:rsid w:val="00406E7D"/>
    <w:rsid w:val="0040746F"/>
    <w:rsid w:val="00410769"/>
    <w:rsid w:val="004108C9"/>
    <w:rsid w:val="00410F4B"/>
    <w:rsid w:val="00411146"/>
    <w:rsid w:val="004114AF"/>
    <w:rsid w:val="00412EAA"/>
    <w:rsid w:val="004136BA"/>
    <w:rsid w:val="00413AA7"/>
    <w:rsid w:val="00417C86"/>
    <w:rsid w:val="00420935"/>
    <w:rsid w:val="00421361"/>
    <w:rsid w:val="0042237A"/>
    <w:rsid w:val="00423B08"/>
    <w:rsid w:val="00423F07"/>
    <w:rsid w:val="0042514E"/>
    <w:rsid w:val="00426EC2"/>
    <w:rsid w:val="0042785F"/>
    <w:rsid w:val="0042790A"/>
    <w:rsid w:val="00427AB9"/>
    <w:rsid w:val="00431B80"/>
    <w:rsid w:val="00432C97"/>
    <w:rsid w:val="004341D3"/>
    <w:rsid w:val="00434D11"/>
    <w:rsid w:val="00436E72"/>
    <w:rsid w:val="00437119"/>
    <w:rsid w:val="004371C1"/>
    <w:rsid w:val="00437D3B"/>
    <w:rsid w:val="0044506A"/>
    <w:rsid w:val="004452D0"/>
    <w:rsid w:val="0044583B"/>
    <w:rsid w:val="004464C8"/>
    <w:rsid w:val="00447AE2"/>
    <w:rsid w:val="00447E9A"/>
    <w:rsid w:val="0045132C"/>
    <w:rsid w:val="00451D16"/>
    <w:rsid w:val="004520B2"/>
    <w:rsid w:val="0045273E"/>
    <w:rsid w:val="004527C8"/>
    <w:rsid w:val="00452A08"/>
    <w:rsid w:val="00453FD2"/>
    <w:rsid w:val="00456491"/>
    <w:rsid w:val="004617C2"/>
    <w:rsid w:val="00462F46"/>
    <w:rsid w:val="00463BC8"/>
    <w:rsid w:val="0046588A"/>
    <w:rsid w:val="00465B99"/>
    <w:rsid w:val="00466656"/>
    <w:rsid w:val="00467353"/>
    <w:rsid w:val="004673D4"/>
    <w:rsid w:val="00467459"/>
    <w:rsid w:val="0046780B"/>
    <w:rsid w:val="00470DF6"/>
    <w:rsid w:val="00471C03"/>
    <w:rsid w:val="0047381A"/>
    <w:rsid w:val="00474413"/>
    <w:rsid w:val="00474C9B"/>
    <w:rsid w:val="0047530C"/>
    <w:rsid w:val="004760BA"/>
    <w:rsid w:val="00476645"/>
    <w:rsid w:val="00476A0E"/>
    <w:rsid w:val="00477B47"/>
    <w:rsid w:val="00477F0C"/>
    <w:rsid w:val="00481042"/>
    <w:rsid w:val="004828A7"/>
    <w:rsid w:val="00482CA3"/>
    <w:rsid w:val="004845FB"/>
    <w:rsid w:val="00484DF1"/>
    <w:rsid w:val="00485A2F"/>
    <w:rsid w:val="004906F7"/>
    <w:rsid w:val="00490AFB"/>
    <w:rsid w:val="004925D9"/>
    <w:rsid w:val="004953F9"/>
    <w:rsid w:val="0049552E"/>
    <w:rsid w:val="004A1978"/>
    <w:rsid w:val="004A2A1B"/>
    <w:rsid w:val="004A4A7D"/>
    <w:rsid w:val="004A4B04"/>
    <w:rsid w:val="004A6594"/>
    <w:rsid w:val="004A6867"/>
    <w:rsid w:val="004A6FFB"/>
    <w:rsid w:val="004A7B4A"/>
    <w:rsid w:val="004B2A4F"/>
    <w:rsid w:val="004B2C84"/>
    <w:rsid w:val="004B437A"/>
    <w:rsid w:val="004B549B"/>
    <w:rsid w:val="004B5C2C"/>
    <w:rsid w:val="004B610E"/>
    <w:rsid w:val="004B66A6"/>
    <w:rsid w:val="004C117B"/>
    <w:rsid w:val="004C3C4F"/>
    <w:rsid w:val="004C47F0"/>
    <w:rsid w:val="004C628C"/>
    <w:rsid w:val="004C6B3E"/>
    <w:rsid w:val="004D08AF"/>
    <w:rsid w:val="004D0D56"/>
    <w:rsid w:val="004D10BE"/>
    <w:rsid w:val="004D1E95"/>
    <w:rsid w:val="004D2936"/>
    <w:rsid w:val="004D335A"/>
    <w:rsid w:val="004D3AB5"/>
    <w:rsid w:val="004D4B39"/>
    <w:rsid w:val="004D54F9"/>
    <w:rsid w:val="004D5D39"/>
    <w:rsid w:val="004D5D5D"/>
    <w:rsid w:val="004D5E90"/>
    <w:rsid w:val="004D63C0"/>
    <w:rsid w:val="004D6B0C"/>
    <w:rsid w:val="004E1BF6"/>
    <w:rsid w:val="004E2E8D"/>
    <w:rsid w:val="004E65E7"/>
    <w:rsid w:val="004E7998"/>
    <w:rsid w:val="004E7A9B"/>
    <w:rsid w:val="004F08AB"/>
    <w:rsid w:val="004F0A74"/>
    <w:rsid w:val="004F45C3"/>
    <w:rsid w:val="004F5393"/>
    <w:rsid w:val="004F5AF7"/>
    <w:rsid w:val="004F5C8C"/>
    <w:rsid w:val="004F741D"/>
    <w:rsid w:val="005000BC"/>
    <w:rsid w:val="0050090A"/>
    <w:rsid w:val="00503428"/>
    <w:rsid w:val="00504088"/>
    <w:rsid w:val="0050551F"/>
    <w:rsid w:val="005060CE"/>
    <w:rsid w:val="00506A57"/>
    <w:rsid w:val="005076D3"/>
    <w:rsid w:val="00510485"/>
    <w:rsid w:val="00510498"/>
    <w:rsid w:val="00511A08"/>
    <w:rsid w:val="00511C1B"/>
    <w:rsid w:val="005137A9"/>
    <w:rsid w:val="00514080"/>
    <w:rsid w:val="005145FE"/>
    <w:rsid w:val="005154C0"/>
    <w:rsid w:val="0051557F"/>
    <w:rsid w:val="00515AC1"/>
    <w:rsid w:val="00516909"/>
    <w:rsid w:val="00520952"/>
    <w:rsid w:val="00521291"/>
    <w:rsid w:val="0052168B"/>
    <w:rsid w:val="00521731"/>
    <w:rsid w:val="005219D0"/>
    <w:rsid w:val="005224AA"/>
    <w:rsid w:val="00522CFA"/>
    <w:rsid w:val="00522F76"/>
    <w:rsid w:val="00523DF7"/>
    <w:rsid w:val="00527B39"/>
    <w:rsid w:val="005304F7"/>
    <w:rsid w:val="00530D60"/>
    <w:rsid w:val="005311AD"/>
    <w:rsid w:val="005315F6"/>
    <w:rsid w:val="00531D8B"/>
    <w:rsid w:val="00531FA9"/>
    <w:rsid w:val="0053212C"/>
    <w:rsid w:val="005323A4"/>
    <w:rsid w:val="005323CE"/>
    <w:rsid w:val="005324BF"/>
    <w:rsid w:val="00533E27"/>
    <w:rsid w:val="00534BB5"/>
    <w:rsid w:val="00534BF1"/>
    <w:rsid w:val="005365D2"/>
    <w:rsid w:val="00537554"/>
    <w:rsid w:val="0054057A"/>
    <w:rsid w:val="00540BA9"/>
    <w:rsid w:val="00540C74"/>
    <w:rsid w:val="00541156"/>
    <w:rsid w:val="00541932"/>
    <w:rsid w:val="0054271B"/>
    <w:rsid w:val="00542D79"/>
    <w:rsid w:val="005431BB"/>
    <w:rsid w:val="00543C4E"/>
    <w:rsid w:val="005463DA"/>
    <w:rsid w:val="00551DD8"/>
    <w:rsid w:val="00552D24"/>
    <w:rsid w:val="00553B6F"/>
    <w:rsid w:val="00553DC3"/>
    <w:rsid w:val="00554C75"/>
    <w:rsid w:val="00556312"/>
    <w:rsid w:val="00556702"/>
    <w:rsid w:val="00557368"/>
    <w:rsid w:val="005603DA"/>
    <w:rsid w:val="00560B29"/>
    <w:rsid w:val="0056127F"/>
    <w:rsid w:val="00561DCD"/>
    <w:rsid w:val="0056494B"/>
    <w:rsid w:val="0056580A"/>
    <w:rsid w:val="00565856"/>
    <w:rsid w:val="00567A5A"/>
    <w:rsid w:val="00567E52"/>
    <w:rsid w:val="005706E7"/>
    <w:rsid w:val="00570BCC"/>
    <w:rsid w:val="005725D2"/>
    <w:rsid w:val="0057478A"/>
    <w:rsid w:val="00575E7D"/>
    <w:rsid w:val="00576654"/>
    <w:rsid w:val="005774E2"/>
    <w:rsid w:val="00577A9D"/>
    <w:rsid w:val="005801E7"/>
    <w:rsid w:val="005839DD"/>
    <w:rsid w:val="00584A38"/>
    <w:rsid w:val="0058717F"/>
    <w:rsid w:val="005873E7"/>
    <w:rsid w:val="00587B93"/>
    <w:rsid w:val="00587BAC"/>
    <w:rsid w:val="00590DF3"/>
    <w:rsid w:val="005911D3"/>
    <w:rsid w:val="00591331"/>
    <w:rsid w:val="005913D5"/>
    <w:rsid w:val="00591A12"/>
    <w:rsid w:val="00591D91"/>
    <w:rsid w:val="00592D9E"/>
    <w:rsid w:val="00593214"/>
    <w:rsid w:val="005943A8"/>
    <w:rsid w:val="00595AA9"/>
    <w:rsid w:val="00595DD3"/>
    <w:rsid w:val="00595EDB"/>
    <w:rsid w:val="00596FFC"/>
    <w:rsid w:val="005A0DC0"/>
    <w:rsid w:val="005A20AA"/>
    <w:rsid w:val="005A3332"/>
    <w:rsid w:val="005A62A1"/>
    <w:rsid w:val="005A6A2F"/>
    <w:rsid w:val="005A6A60"/>
    <w:rsid w:val="005B07F7"/>
    <w:rsid w:val="005B132D"/>
    <w:rsid w:val="005B14B1"/>
    <w:rsid w:val="005B44EB"/>
    <w:rsid w:val="005B6468"/>
    <w:rsid w:val="005B64AB"/>
    <w:rsid w:val="005B6EEC"/>
    <w:rsid w:val="005C142A"/>
    <w:rsid w:val="005C1778"/>
    <w:rsid w:val="005C1CEB"/>
    <w:rsid w:val="005C27A9"/>
    <w:rsid w:val="005C2843"/>
    <w:rsid w:val="005C2B2F"/>
    <w:rsid w:val="005C6E0A"/>
    <w:rsid w:val="005C6EDD"/>
    <w:rsid w:val="005C72C5"/>
    <w:rsid w:val="005D1A7B"/>
    <w:rsid w:val="005D2273"/>
    <w:rsid w:val="005D25C2"/>
    <w:rsid w:val="005D3D5D"/>
    <w:rsid w:val="005D42D0"/>
    <w:rsid w:val="005D467D"/>
    <w:rsid w:val="005D494B"/>
    <w:rsid w:val="005D6C61"/>
    <w:rsid w:val="005D720C"/>
    <w:rsid w:val="005E065B"/>
    <w:rsid w:val="005E1250"/>
    <w:rsid w:val="005E2073"/>
    <w:rsid w:val="005E2415"/>
    <w:rsid w:val="005E2541"/>
    <w:rsid w:val="005E33F8"/>
    <w:rsid w:val="005E5EF5"/>
    <w:rsid w:val="005E6BF9"/>
    <w:rsid w:val="005F076C"/>
    <w:rsid w:val="005F0D2C"/>
    <w:rsid w:val="005F190D"/>
    <w:rsid w:val="005F2A8B"/>
    <w:rsid w:val="005F2AC7"/>
    <w:rsid w:val="005F5040"/>
    <w:rsid w:val="005F6A39"/>
    <w:rsid w:val="005F7CC8"/>
    <w:rsid w:val="006038C5"/>
    <w:rsid w:val="006049AA"/>
    <w:rsid w:val="00605F0D"/>
    <w:rsid w:val="00606063"/>
    <w:rsid w:val="00606EF5"/>
    <w:rsid w:val="006079CF"/>
    <w:rsid w:val="00607F23"/>
    <w:rsid w:val="00610187"/>
    <w:rsid w:val="00612215"/>
    <w:rsid w:val="00612DDF"/>
    <w:rsid w:val="00613EEB"/>
    <w:rsid w:val="00613FF4"/>
    <w:rsid w:val="0061483B"/>
    <w:rsid w:val="00614C8E"/>
    <w:rsid w:val="00616B91"/>
    <w:rsid w:val="006176C4"/>
    <w:rsid w:val="00617707"/>
    <w:rsid w:val="006207D4"/>
    <w:rsid w:val="00621683"/>
    <w:rsid w:val="00621CF2"/>
    <w:rsid w:val="00625D34"/>
    <w:rsid w:val="00627D60"/>
    <w:rsid w:val="00630370"/>
    <w:rsid w:val="006307FE"/>
    <w:rsid w:val="00630EB5"/>
    <w:rsid w:val="00631770"/>
    <w:rsid w:val="00631FAF"/>
    <w:rsid w:val="006359C9"/>
    <w:rsid w:val="00640D58"/>
    <w:rsid w:val="0064293B"/>
    <w:rsid w:val="006429D4"/>
    <w:rsid w:val="00644EC6"/>
    <w:rsid w:val="00645CE9"/>
    <w:rsid w:val="00645E2B"/>
    <w:rsid w:val="006470B7"/>
    <w:rsid w:val="0064773E"/>
    <w:rsid w:val="00650866"/>
    <w:rsid w:val="00651D18"/>
    <w:rsid w:val="006523FC"/>
    <w:rsid w:val="006531D3"/>
    <w:rsid w:val="0065703A"/>
    <w:rsid w:val="00657E4D"/>
    <w:rsid w:val="00660E05"/>
    <w:rsid w:val="00664AD9"/>
    <w:rsid w:val="00664AED"/>
    <w:rsid w:val="00665264"/>
    <w:rsid w:val="00665B8B"/>
    <w:rsid w:val="0067091F"/>
    <w:rsid w:val="006730F4"/>
    <w:rsid w:val="00675889"/>
    <w:rsid w:val="00675DA3"/>
    <w:rsid w:val="00676450"/>
    <w:rsid w:val="00677676"/>
    <w:rsid w:val="00677AB4"/>
    <w:rsid w:val="00680029"/>
    <w:rsid w:val="00680AB8"/>
    <w:rsid w:val="00680D7B"/>
    <w:rsid w:val="00681F7F"/>
    <w:rsid w:val="00682022"/>
    <w:rsid w:val="0068226F"/>
    <w:rsid w:val="006822CC"/>
    <w:rsid w:val="006823EC"/>
    <w:rsid w:val="006834D3"/>
    <w:rsid w:val="00686469"/>
    <w:rsid w:val="0069023D"/>
    <w:rsid w:val="006933EF"/>
    <w:rsid w:val="006942E2"/>
    <w:rsid w:val="00694703"/>
    <w:rsid w:val="00696B9E"/>
    <w:rsid w:val="006A0370"/>
    <w:rsid w:val="006A2453"/>
    <w:rsid w:val="006A2728"/>
    <w:rsid w:val="006A3444"/>
    <w:rsid w:val="006A3528"/>
    <w:rsid w:val="006A5E65"/>
    <w:rsid w:val="006A77BE"/>
    <w:rsid w:val="006A7BFD"/>
    <w:rsid w:val="006B0B82"/>
    <w:rsid w:val="006B245C"/>
    <w:rsid w:val="006B2B22"/>
    <w:rsid w:val="006B2E37"/>
    <w:rsid w:val="006B56A0"/>
    <w:rsid w:val="006B611F"/>
    <w:rsid w:val="006B6506"/>
    <w:rsid w:val="006B7804"/>
    <w:rsid w:val="006C22BA"/>
    <w:rsid w:val="006C2A33"/>
    <w:rsid w:val="006C3D45"/>
    <w:rsid w:val="006C3D47"/>
    <w:rsid w:val="006C4228"/>
    <w:rsid w:val="006C4C1F"/>
    <w:rsid w:val="006C53E0"/>
    <w:rsid w:val="006D0DF3"/>
    <w:rsid w:val="006D13C6"/>
    <w:rsid w:val="006D226B"/>
    <w:rsid w:val="006D29E9"/>
    <w:rsid w:val="006D4200"/>
    <w:rsid w:val="006D4C1B"/>
    <w:rsid w:val="006D6DCD"/>
    <w:rsid w:val="006E04AA"/>
    <w:rsid w:val="006E0FD9"/>
    <w:rsid w:val="006E1F2B"/>
    <w:rsid w:val="006E2308"/>
    <w:rsid w:val="006E241A"/>
    <w:rsid w:val="006E3B5D"/>
    <w:rsid w:val="006E49F8"/>
    <w:rsid w:val="006E5D06"/>
    <w:rsid w:val="006E6336"/>
    <w:rsid w:val="006E7D47"/>
    <w:rsid w:val="006F3A40"/>
    <w:rsid w:val="006F435A"/>
    <w:rsid w:val="006F4450"/>
    <w:rsid w:val="006F66D8"/>
    <w:rsid w:val="006F70E2"/>
    <w:rsid w:val="006F7879"/>
    <w:rsid w:val="007006B6"/>
    <w:rsid w:val="007028DA"/>
    <w:rsid w:val="0070344E"/>
    <w:rsid w:val="00703D3D"/>
    <w:rsid w:val="007043AE"/>
    <w:rsid w:val="007066A0"/>
    <w:rsid w:val="0070685C"/>
    <w:rsid w:val="00710299"/>
    <w:rsid w:val="0071054C"/>
    <w:rsid w:val="007126A5"/>
    <w:rsid w:val="007130D7"/>
    <w:rsid w:val="00714CB5"/>
    <w:rsid w:val="0072029D"/>
    <w:rsid w:val="0072096B"/>
    <w:rsid w:val="00721A0C"/>
    <w:rsid w:val="00722209"/>
    <w:rsid w:val="007224F5"/>
    <w:rsid w:val="00723CAE"/>
    <w:rsid w:val="007250F1"/>
    <w:rsid w:val="0073019C"/>
    <w:rsid w:val="00730869"/>
    <w:rsid w:val="00730AB2"/>
    <w:rsid w:val="0073270B"/>
    <w:rsid w:val="0073489A"/>
    <w:rsid w:val="0073523B"/>
    <w:rsid w:val="007372B6"/>
    <w:rsid w:val="007378B8"/>
    <w:rsid w:val="007379F0"/>
    <w:rsid w:val="00737C12"/>
    <w:rsid w:val="007412B3"/>
    <w:rsid w:val="007427F9"/>
    <w:rsid w:val="007448F7"/>
    <w:rsid w:val="00745366"/>
    <w:rsid w:val="007462DE"/>
    <w:rsid w:val="0074774F"/>
    <w:rsid w:val="00750665"/>
    <w:rsid w:val="0075144C"/>
    <w:rsid w:val="00751BA6"/>
    <w:rsid w:val="00751BF0"/>
    <w:rsid w:val="00751DEE"/>
    <w:rsid w:val="00753561"/>
    <w:rsid w:val="00756872"/>
    <w:rsid w:val="0075698F"/>
    <w:rsid w:val="00757679"/>
    <w:rsid w:val="00760041"/>
    <w:rsid w:val="00761069"/>
    <w:rsid w:val="00762DA7"/>
    <w:rsid w:val="00763B4E"/>
    <w:rsid w:val="007657A5"/>
    <w:rsid w:val="0076594C"/>
    <w:rsid w:val="00765BBD"/>
    <w:rsid w:val="00767AF4"/>
    <w:rsid w:val="00770159"/>
    <w:rsid w:val="0077068E"/>
    <w:rsid w:val="00770FD0"/>
    <w:rsid w:val="007755CA"/>
    <w:rsid w:val="00777596"/>
    <w:rsid w:val="00777B2C"/>
    <w:rsid w:val="00777BC2"/>
    <w:rsid w:val="0078000F"/>
    <w:rsid w:val="00780CCD"/>
    <w:rsid w:val="007815C3"/>
    <w:rsid w:val="00781AC0"/>
    <w:rsid w:val="0078250A"/>
    <w:rsid w:val="00782A8E"/>
    <w:rsid w:val="00784A02"/>
    <w:rsid w:val="00785E0C"/>
    <w:rsid w:val="007860AF"/>
    <w:rsid w:val="00791ED4"/>
    <w:rsid w:val="007933A9"/>
    <w:rsid w:val="00794275"/>
    <w:rsid w:val="00794AC9"/>
    <w:rsid w:val="007A0358"/>
    <w:rsid w:val="007A1D8A"/>
    <w:rsid w:val="007A3753"/>
    <w:rsid w:val="007A5DD5"/>
    <w:rsid w:val="007A5EB3"/>
    <w:rsid w:val="007A6EF7"/>
    <w:rsid w:val="007B2197"/>
    <w:rsid w:val="007B30B1"/>
    <w:rsid w:val="007B33EE"/>
    <w:rsid w:val="007B41AA"/>
    <w:rsid w:val="007B49FB"/>
    <w:rsid w:val="007B69FA"/>
    <w:rsid w:val="007C0A58"/>
    <w:rsid w:val="007C2985"/>
    <w:rsid w:val="007C30D1"/>
    <w:rsid w:val="007C4F76"/>
    <w:rsid w:val="007C56F6"/>
    <w:rsid w:val="007C601C"/>
    <w:rsid w:val="007C6108"/>
    <w:rsid w:val="007C61DC"/>
    <w:rsid w:val="007D0389"/>
    <w:rsid w:val="007D12A9"/>
    <w:rsid w:val="007D22C8"/>
    <w:rsid w:val="007D4625"/>
    <w:rsid w:val="007D4C50"/>
    <w:rsid w:val="007D4EF7"/>
    <w:rsid w:val="007E0551"/>
    <w:rsid w:val="007E3021"/>
    <w:rsid w:val="007E305A"/>
    <w:rsid w:val="007E4413"/>
    <w:rsid w:val="007E68EB"/>
    <w:rsid w:val="007F0228"/>
    <w:rsid w:val="007F24E2"/>
    <w:rsid w:val="007F2B3A"/>
    <w:rsid w:val="007F410A"/>
    <w:rsid w:val="007F5C56"/>
    <w:rsid w:val="00801CE5"/>
    <w:rsid w:val="008022F8"/>
    <w:rsid w:val="0080297B"/>
    <w:rsid w:val="00803558"/>
    <w:rsid w:val="00803F6E"/>
    <w:rsid w:val="00805ACE"/>
    <w:rsid w:val="00807974"/>
    <w:rsid w:val="00807990"/>
    <w:rsid w:val="00810297"/>
    <w:rsid w:val="00811891"/>
    <w:rsid w:val="00812FAE"/>
    <w:rsid w:val="008132CA"/>
    <w:rsid w:val="00813F95"/>
    <w:rsid w:val="00814D20"/>
    <w:rsid w:val="00815352"/>
    <w:rsid w:val="00815424"/>
    <w:rsid w:val="008161BD"/>
    <w:rsid w:val="00816EB8"/>
    <w:rsid w:val="00817B70"/>
    <w:rsid w:val="008207CD"/>
    <w:rsid w:val="00821A00"/>
    <w:rsid w:val="00821CE3"/>
    <w:rsid w:val="00822A20"/>
    <w:rsid w:val="008236D6"/>
    <w:rsid w:val="0082384F"/>
    <w:rsid w:val="008239FB"/>
    <w:rsid w:val="00826FC9"/>
    <w:rsid w:val="00827484"/>
    <w:rsid w:val="00827902"/>
    <w:rsid w:val="00827B35"/>
    <w:rsid w:val="00827E5A"/>
    <w:rsid w:val="00832EC3"/>
    <w:rsid w:val="0083481E"/>
    <w:rsid w:val="0083616D"/>
    <w:rsid w:val="00837820"/>
    <w:rsid w:val="00840508"/>
    <w:rsid w:val="00841161"/>
    <w:rsid w:val="00842088"/>
    <w:rsid w:val="0084269C"/>
    <w:rsid w:val="0084372D"/>
    <w:rsid w:val="00843D6A"/>
    <w:rsid w:val="0084538E"/>
    <w:rsid w:val="008471D0"/>
    <w:rsid w:val="00847905"/>
    <w:rsid w:val="00847DC2"/>
    <w:rsid w:val="00847EA4"/>
    <w:rsid w:val="00847F87"/>
    <w:rsid w:val="00850CFF"/>
    <w:rsid w:val="008511F8"/>
    <w:rsid w:val="008513FA"/>
    <w:rsid w:val="00851844"/>
    <w:rsid w:val="00854CCC"/>
    <w:rsid w:val="00861B00"/>
    <w:rsid w:val="00862C9D"/>
    <w:rsid w:val="00864F29"/>
    <w:rsid w:val="008660C1"/>
    <w:rsid w:val="008724E5"/>
    <w:rsid w:val="00872EAE"/>
    <w:rsid w:val="008736F0"/>
    <w:rsid w:val="00875044"/>
    <w:rsid w:val="008764FB"/>
    <w:rsid w:val="0087656B"/>
    <w:rsid w:val="00877916"/>
    <w:rsid w:val="00881858"/>
    <w:rsid w:val="00881C4D"/>
    <w:rsid w:val="00885A82"/>
    <w:rsid w:val="00886A93"/>
    <w:rsid w:val="008902B3"/>
    <w:rsid w:val="0089086B"/>
    <w:rsid w:val="008919AF"/>
    <w:rsid w:val="00892018"/>
    <w:rsid w:val="008938E6"/>
    <w:rsid w:val="00897C77"/>
    <w:rsid w:val="008A0578"/>
    <w:rsid w:val="008A0AC7"/>
    <w:rsid w:val="008A232F"/>
    <w:rsid w:val="008A24A6"/>
    <w:rsid w:val="008A34F5"/>
    <w:rsid w:val="008A47A6"/>
    <w:rsid w:val="008A5A70"/>
    <w:rsid w:val="008A6E6E"/>
    <w:rsid w:val="008A7872"/>
    <w:rsid w:val="008B172E"/>
    <w:rsid w:val="008B26BD"/>
    <w:rsid w:val="008B27B7"/>
    <w:rsid w:val="008B37FA"/>
    <w:rsid w:val="008B3E21"/>
    <w:rsid w:val="008B4736"/>
    <w:rsid w:val="008B6F50"/>
    <w:rsid w:val="008B72DC"/>
    <w:rsid w:val="008C0022"/>
    <w:rsid w:val="008C0106"/>
    <w:rsid w:val="008C0EF3"/>
    <w:rsid w:val="008C1439"/>
    <w:rsid w:val="008C1728"/>
    <w:rsid w:val="008C2149"/>
    <w:rsid w:val="008C2EA4"/>
    <w:rsid w:val="008C2F17"/>
    <w:rsid w:val="008C484A"/>
    <w:rsid w:val="008C5CD9"/>
    <w:rsid w:val="008C5DB6"/>
    <w:rsid w:val="008C5F47"/>
    <w:rsid w:val="008C6985"/>
    <w:rsid w:val="008D2771"/>
    <w:rsid w:val="008D29B7"/>
    <w:rsid w:val="008D2A81"/>
    <w:rsid w:val="008D2CBA"/>
    <w:rsid w:val="008D31E7"/>
    <w:rsid w:val="008D3292"/>
    <w:rsid w:val="008D41B4"/>
    <w:rsid w:val="008D5A9C"/>
    <w:rsid w:val="008D787C"/>
    <w:rsid w:val="008E07E3"/>
    <w:rsid w:val="008E0CBE"/>
    <w:rsid w:val="008E2FB0"/>
    <w:rsid w:val="008E456B"/>
    <w:rsid w:val="008E5374"/>
    <w:rsid w:val="008E5FC2"/>
    <w:rsid w:val="008F38A0"/>
    <w:rsid w:val="008F5272"/>
    <w:rsid w:val="008F6800"/>
    <w:rsid w:val="008F6D53"/>
    <w:rsid w:val="0090054F"/>
    <w:rsid w:val="009014EE"/>
    <w:rsid w:val="009023D2"/>
    <w:rsid w:val="009042D8"/>
    <w:rsid w:val="00904684"/>
    <w:rsid w:val="00904CC7"/>
    <w:rsid w:val="0090515B"/>
    <w:rsid w:val="00905C70"/>
    <w:rsid w:val="0090638B"/>
    <w:rsid w:val="00907C42"/>
    <w:rsid w:val="00912AFA"/>
    <w:rsid w:val="00913649"/>
    <w:rsid w:val="00914C54"/>
    <w:rsid w:val="009154A1"/>
    <w:rsid w:val="00915597"/>
    <w:rsid w:val="00915B94"/>
    <w:rsid w:val="00916B3B"/>
    <w:rsid w:val="00916F6B"/>
    <w:rsid w:val="00917439"/>
    <w:rsid w:val="00917AB0"/>
    <w:rsid w:val="00920CC7"/>
    <w:rsid w:val="00921064"/>
    <w:rsid w:val="009242FE"/>
    <w:rsid w:val="00924D1F"/>
    <w:rsid w:val="00926712"/>
    <w:rsid w:val="00927737"/>
    <w:rsid w:val="00930343"/>
    <w:rsid w:val="00930EE2"/>
    <w:rsid w:val="009316A2"/>
    <w:rsid w:val="00931F79"/>
    <w:rsid w:val="00933078"/>
    <w:rsid w:val="00934AD5"/>
    <w:rsid w:val="00936D06"/>
    <w:rsid w:val="00937533"/>
    <w:rsid w:val="00937732"/>
    <w:rsid w:val="00937FD6"/>
    <w:rsid w:val="009407E5"/>
    <w:rsid w:val="00941051"/>
    <w:rsid w:val="00941E51"/>
    <w:rsid w:val="00942F79"/>
    <w:rsid w:val="00944CB1"/>
    <w:rsid w:val="00945314"/>
    <w:rsid w:val="00947A22"/>
    <w:rsid w:val="00950336"/>
    <w:rsid w:val="009512C0"/>
    <w:rsid w:val="00951567"/>
    <w:rsid w:val="0095156E"/>
    <w:rsid w:val="00951700"/>
    <w:rsid w:val="00953EBD"/>
    <w:rsid w:val="00954B3D"/>
    <w:rsid w:val="00954C16"/>
    <w:rsid w:val="009557C9"/>
    <w:rsid w:val="00956183"/>
    <w:rsid w:val="00956525"/>
    <w:rsid w:val="00961B95"/>
    <w:rsid w:val="0096348A"/>
    <w:rsid w:val="0096442F"/>
    <w:rsid w:val="00966230"/>
    <w:rsid w:val="009715E2"/>
    <w:rsid w:val="0097356C"/>
    <w:rsid w:val="00973D45"/>
    <w:rsid w:val="00975A04"/>
    <w:rsid w:val="00975DE1"/>
    <w:rsid w:val="00977CC0"/>
    <w:rsid w:val="00977F95"/>
    <w:rsid w:val="0098003F"/>
    <w:rsid w:val="0098017B"/>
    <w:rsid w:val="009810D2"/>
    <w:rsid w:val="009814CA"/>
    <w:rsid w:val="00981F1B"/>
    <w:rsid w:val="00983896"/>
    <w:rsid w:val="00983F57"/>
    <w:rsid w:val="0098462C"/>
    <w:rsid w:val="00984636"/>
    <w:rsid w:val="009859A9"/>
    <w:rsid w:val="00986CD2"/>
    <w:rsid w:val="009873CA"/>
    <w:rsid w:val="00987DDE"/>
    <w:rsid w:val="00990465"/>
    <w:rsid w:val="0099061C"/>
    <w:rsid w:val="00990A75"/>
    <w:rsid w:val="00991A63"/>
    <w:rsid w:val="00991E7B"/>
    <w:rsid w:val="00992CCD"/>
    <w:rsid w:val="0099440F"/>
    <w:rsid w:val="00994A4D"/>
    <w:rsid w:val="00994A9E"/>
    <w:rsid w:val="009955D7"/>
    <w:rsid w:val="0099588F"/>
    <w:rsid w:val="009958D9"/>
    <w:rsid w:val="009964B8"/>
    <w:rsid w:val="00997F59"/>
    <w:rsid w:val="009A17A5"/>
    <w:rsid w:val="009A1889"/>
    <w:rsid w:val="009A19CD"/>
    <w:rsid w:val="009A32CE"/>
    <w:rsid w:val="009A3FEE"/>
    <w:rsid w:val="009A60E0"/>
    <w:rsid w:val="009A64FF"/>
    <w:rsid w:val="009A7522"/>
    <w:rsid w:val="009B09E4"/>
    <w:rsid w:val="009B20C6"/>
    <w:rsid w:val="009B37F7"/>
    <w:rsid w:val="009B45F4"/>
    <w:rsid w:val="009B4B17"/>
    <w:rsid w:val="009B54D0"/>
    <w:rsid w:val="009B637D"/>
    <w:rsid w:val="009B7319"/>
    <w:rsid w:val="009C0070"/>
    <w:rsid w:val="009C1731"/>
    <w:rsid w:val="009C6048"/>
    <w:rsid w:val="009C6DD7"/>
    <w:rsid w:val="009C7723"/>
    <w:rsid w:val="009C789B"/>
    <w:rsid w:val="009D0727"/>
    <w:rsid w:val="009D086C"/>
    <w:rsid w:val="009D0F76"/>
    <w:rsid w:val="009D17C6"/>
    <w:rsid w:val="009D20A0"/>
    <w:rsid w:val="009D2DCF"/>
    <w:rsid w:val="009D450A"/>
    <w:rsid w:val="009D579D"/>
    <w:rsid w:val="009D698C"/>
    <w:rsid w:val="009D6FA4"/>
    <w:rsid w:val="009D782B"/>
    <w:rsid w:val="009D7B72"/>
    <w:rsid w:val="009D7BCF"/>
    <w:rsid w:val="009E0614"/>
    <w:rsid w:val="009E221C"/>
    <w:rsid w:val="009E35EF"/>
    <w:rsid w:val="009E5C65"/>
    <w:rsid w:val="009E5C6F"/>
    <w:rsid w:val="009E6C39"/>
    <w:rsid w:val="009E6DA6"/>
    <w:rsid w:val="009E70ED"/>
    <w:rsid w:val="009E78D5"/>
    <w:rsid w:val="009E7CDD"/>
    <w:rsid w:val="009E7F07"/>
    <w:rsid w:val="009F230B"/>
    <w:rsid w:val="009F32E5"/>
    <w:rsid w:val="009F41C5"/>
    <w:rsid w:val="009F4273"/>
    <w:rsid w:val="009F4E47"/>
    <w:rsid w:val="009F5517"/>
    <w:rsid w:val="009F5CC2"/>
    <w:rsid w:val="009F5F04"/>
    <w:rsid w:val="009F640E"/>
    <w:rsid w:val="009F758F"/>
    <w:rsid w:val="009F7DA9"/>
    <w:rsid w:val="00A010DF"/>
    <w:rsid w:val="00A0112C"/>
    <w:rsid w:val="00A04B83"/>
    <w:rsid w:val="00A04DA9"/>
    <w:rsid w:val="00A04F5A"/>
    <w:rsid w:val="00A05606"/>
    <w:rsid w:val="00A05A40"/>
    <w:rsid w:val="00A1247D"/>
    <w:rsid w:val="00A14A3F"/>
    <w:rsid w:val="00A1572D"/>
    <w:rsid w:val="00A15A1C"/>
    <w:rsid w:val="00A208AF"/>
    <w:rsid w:val="00A2418A"/>
    <w:rsid w:val="00A24494"/>
    <w:rsid w:val="00A2538C"/>
    <w:rsid w:val="00A2696E"/>
    <w:rsid w:val="00A3157E"/>
    <w:rsid w:val="00A31CD2"/>
    <w:rsid w:val="00A36DF8"/>
    <w:rsid w:val="00A37689"/>
    <w:rsid w:val="00A401DF"/>
    <w:rsid w:val="00A40DAA"/>
    <w:rsid w:val="00A411E0"/>
    <w:rsid w:val="00A43E06"/>
    <w:rsid w:val="00A4475A"/>
    <w:rsid w:val="00A44DB9"/>
    <w:rsid w:val="00A45C93"/>
    <w:rsid w:val="00A46687"/>
    <w:rsid w:val="00A508BD"/>
    <w:rsid w:val="00A512BF"/>
    <w:rsid w:val="00A51748"/>
    <w:rsid w:val="00A51B68"/>
    <w:rsid w:val="00A5291F"/>
    <w:rsid w:val="00A5339F"/>
    <w:rsid w:val="00A538A1"/>
    <w:rsid w:val="00A53AD0"/>
    <w:rsid w:val="00A567DD"/>
    <w:rsid w:val="00A56904"/>
    <w:rsid w:val="00A60BC6"/>
    <w:rsid w:val="00A60CC4"/>
    <w:rsid w:val="00A610C4"/>
    <w:rsid w:val="00A6161A"/>
    <w:rsid w:val="00A6197D"/>
    <w:rsid w:val="00A624AB"/>
    <w:rsid w:val="00A63C94"/>
    <w:rsid w:val="00A6522C"/>
    <w:rsid w:val="00A66AD6"/>
    <w:rsid w:val="00A67740"/>
    <w:rsid w:val="00A6787D"/>
    <w:rsid w:val="00A70F1C"/>
    <w:rsid w:val="00A7313D"/>
    <w:rsid w:val="00A73FAB"/>
    <w:rsid w:val="00A74B04"/>
    <w:rsid w:val="00A7550B"/>
    <w:rsid w:val="00A7712F"/>
    <w:rsid w:val="00A77E34"/>
    <w:rsid w:val="00A804F3"/>
    <w:rsid w:val="00A80C3F"/>
    <w:rsid w:val="00A818BD"/>
    <w:rsid w:val="00A81AD9"/>
    <w:rsid w:val="00A82548"/>
    <w:rsid w:val="00A827F4"/>
    <w:rsid w:val="00A8331B"/>
    <w:rsid w:val="00A848EC"/>
    <w:rsid w:val="00A86DA0"/>
    <w:rsid w:val="00A872BB"/>
    <w:rsid w:val="00A87D1F"/>
    <w:rsid w:val="00A917AA"/>
    <w:rsid w:val="00A919BC"/>
    <w:rsid w:val="00A95F3F"/>
    <w:rsid w:val="00A963E8"/>
    <w:rsid w:val="00A96EF7"/>
    <w:rsid w:val="00AA0A59"/>
    <w:rsid w:val="00AA21A8"/>
    <w:rsid w:val="00AA4398"/>
    <w:rsid w:val="00AA4868"/>
    <w:rsid w:val="00AA4F22"/>
    <w:rsid w:val="00AA6181"/>
    <w:rsid w:val="00AA6DF2"/>
    <w:rsid w:val="00AA74B4"/>
    <w:rsid w:val="00AA76C1"/>
    <w:rsid w:val="00AA7AFB"/>
    <w:rsid w:val="00AB02E2"/>
    <w:rsid w:val="00AB0B42"/>
    <w:rsid w:val="00AB1604"/>
    <w:rsid w:val="00AB229D"/>
    <w:rsid w:val="00AB2D4B"/>
    <w:rsid w:val="00AB57B8"/>
    <w:rsid w:val="00AB5836"/>
    <w:rsid w:val="00AB5D33"/>
    <w:rsid w:val="00AB7DEA"/>
    <w:rsid w:val="00AC02B6"/>
    <w:rsid w:val="00AC071D"/>
    <w:rsid w:val="00AC09E3"/>
    <w:rsid w:val="00AC1C46"/>
    <w:rsid w:val="00AC1D11"/>
    <w:rsid w:val="00AC22CF"/>
    <w:rsid w:val="00AC3950"/>
    <w:rsid w:val="00AC5370"/>
    <w:rsid w:val="00AC5FA9"/>
    <w:rsid w:val="00AC5FB7"/>
    <w:rsid w:val="00AC648D"/>
    <w:rsid w:val="00AC755B"/>
    <w:rsid w:val="00AC7F87"/>
    <w:rsid w:val="00AD1819"/>
    <w:rsid w:val="00AD1CDE"/>
    <w:rsid w:val="00AD1D5E"/>
    <w:rsid w:val="00AD28E7"/>
    <w:rsid w:val="00AD3628"/>
    <w:rsid w:val="00AD5240"/>
    <w:rsid w:val="00AD5770"/>
    <w:rsid w:val="00AD7C0C"/>
    <w:rsid w:val="00AE0928"/>
    <w:rsid w:val="00AE1325"/>
    <w:rsid w:val="00AE2718"/>
    <w:rsid w:val="00AE7151"/>
    <w:rsid w:val="00AF07A5"/>
    <w:rsid w:val="00AF0E97"/>
    <w:rsid w:val="00AF2395"/>
    <w:rsid w:val="00AF28EF"/>
    <w:rsid w:val="00AF426F"/>
    <w:rsid w:val="00AF4732"/>
    <w:rsid w:val="00AF4971"/>
    <w:rsid w:val="00AF4EF2"/>
    <w:rsid w:val="00AF501A"/>
    <w:rsid w:val="00AF669F"/>
    <w:rsid w:val="00AF6788"/>
    <w:rsid w:val="00AF682B"/>
    <w:rsid w:val="00AF6A88"/>
    <w:rsid w:val="00AF726D"/>
    <w:rsid w:val="00AF7B0A"/>
    <w:rsid w:val="00B00903"/>
    <w:rsid w:val="00B037B5"/>
    <w:rsid w:val="00B03A27"/>
    <w:rsid w:val="00B04FA0"/>
    <w:rsid w:val="00B05D4F"/>
    <w:rsid w:val="00B06B18"/>
    <w:rsid w:val="00B1005E"/>
    <w:rsid w:val="00B10060"/>
    <w:rsid w:val="00B10C6C"/>
    <w:rsid w:val="00B1238F"/>
    <w:rsid w:val="00B12474"/>
    <w:rsid w:val="00B12CEF"/>
    <w:rsid w:val="00B13214"/>
    <w:rsid w:val="00B15229"/>
    <w:rsid w:val="00B154EF"/>
    <w:rsid w:val="00B161FF"/>
    <w:rsid w:val="00B16DE8"/>
    <w:rsid w:val="00B17A7B"/>
    <w:rsid w:val="00B17DE7"/>
    <w:rsid w:val="00B20155"/>
    <w:rsid w:val="00B20ED4"/>
    <w:rsid w:val="00B21D18"/>
    <w:rsid w:val="00B22261"/>
    <w:rsid w:val="00B23057"/>
    <w:rsid w:val="00B2402B"/>
    <w:rsid w:val="00B2580F"/>
    <w:rsid w:val="00B2675C"/>
    <w:rsid w:val="00B31788"/>
    <w:rsid w:val="00B32153"/>
    <w:rsid w:val="00B321F1"/>
    <w:rsid w:val="00B34D1A"/>
    <w:rsid w:val="00B424D0"/>
    <w:rsid w:val="00B51C43"/>
    <w:rsid w:val="00B51D97"/>
    <w:rsid w:val="00B52294"/>
    <w:rsid w:val="00B5245A"/>
    <w:rsid w:val="00B52D8D"/>
    <w:rsid w:val="00B52FD0"/>
    <w:rsid w:val="00B5556D"/>
    <w:rsid w:val="00B56B25"/>
    <w:rsid w:val="00B570D9"/>
    <w:rsid w:val="00B5798D"/>
    <w:rsid w:val="00B61AA7"/>
    <w:rsid w:val="00B624B3"/>
    <w:rsid w:val="00B62E1E"/>
    <w:rsid w:val="00B63150"/>
    <w:rsid w:val="00B63C74"/>
    <w:rsid w:val="00B65C52"/>
    <w:rsid w:val="00B66338"/>
    <w:rsid w:val="00B70620"/>
    <w:rsid w:val="00B7189D"/>
    <w:rsid w:val="00B72962"/>
    <w:rsid w:val="00B74BAE"/>
    <w:rsid w:val="00B7523D"/>
    <w:rsid w:val="00B758C2"/>
    <w:rsid w:val="00B758DD"/>
    <w:rsid w:val="00B76E43"/>
    <w:rsid w:val="00B77633"/>
    <w:rsid w:val="00B800E0"/>
    <w:rsid w:val="00B80F64"/>
    <w:rsid w:val="00B81BCD"/>
    <w:rsid w:val="00B81EE5"/>
    <w:rsid w:val="00B83EE8"/>
    <w:rsid w:val="00B90003"/>
    <w:rsid w:val="00B90060"/>
    <w:rsid w:val="00B910AB"/>
    <w:rsid w:val="00B916A8"/>
    <w:rsid w:val="00B91E5B"/>
    <w:rsid w:val="00B921B6"/>
    <w:rsid w:val="00B934B3"/>
    <w:rsid w:val="00B93D4D"/>
    <w:rsid w:val="00B94553"/>
    <w:rsid w:val="00B95952"/>
    <w:rsid w:val="00B96192"/>
    <w:rsid w:val="00B9634D"/>
    <w:rsid w:val="00B97D25"/>
    <w:rsid w:val="00BA1906"/>
    <w:rsid w:val="00BA1EE1"/>
    <w:rsid w:val="00BA2463"/>
    <w:rsid w:val="00BA2F2B"/>
    <w:rsid w:val="00BA3312"/>
    <w:rsid w:val="00BA369D"/>
    <w:rsid w:val="00BA4E5E"/>
    <w:rsid w:val="00BA5068"/>
    <w:rsid w:val="00BA5E6A"/>
    <w:rsid w:val="00BA7D14"/>
    <w:rsid w:val="00BB0F05"/>
    <w:rsid w:val="00BB1CEE"/>
    <w:rsid w:val="00BB3D17"/>
    <w:rsid w:val="00BB44F0"/>
    <w:rsid w:val="00BB558A"/>
    <w:rsid w:val="00BB5F77"/>
    <w:rsid w:val="00BB7839"/>
    <w:rsid w:val="00BB7864"/>
    <w:rsid w:val="00BB7887"/>
    <w:rsid w:val="00BC0C41"/>
    <w:rsid w:val="00BC100F"/>
    <w:rsid w:val="00BC12C6"/>
    <w:rsid w:val="00BC2003"/>
    <w:rsid w:val="00BC21AA"/>
    <w:rsid w:val="00BC36E8"/>
    <w:rsid w:val="00BC4444"/>
    <w:rsid w:val="00BC4BB8"/>
    <w:rsid w:val="00BC4F6B"/>
    <w:rsid w:val="00BC60DA"/>
    <w:rsid w:val="00BD0226"/>
    <w:rsid w:val="00BD28CC"/>
    <w:rsid w:val="00BD531A"/>
    <w:rsid w:val="00BD5C7D"/>
    <w:rsid w:val="00BD7EF8"/>
    <w:rsid w:val="00BE22CF"/>
    <w:rsid w:val="00BE2606"/>
    <w:rsid w:val="00BE2D8C"/>
    <w:rsid w:val="00BE31EC"/>
    <w:rsid w:val="00BE437F"/>
    <w:rsid w:val="00BE4918"/>
    <w:rsid w:val="00BE5D1D"/>
    <w:rsid w:val="00BE63BC"/>
    <w:rsid w:val="00BE67FE"/>
    <w:rsid w:val="00BE6BFC"/>
    <w:rsid w:val="00BF0700"/>
    <w:rsid w:val="00BF07AA"/>
    <w:rsid w:val="00BF08E2"/>
    <w:rsid w:val="00BF097F"/>
    <w:rsid w:val="00BF102E"/>
    <w:rsid w:val="00BF1737"/>
    <w:rsid w:val="00BF3831"/>
    <w:rsid w:val="00BF3CB9"/>
    <w:rsid w:val="00BF45FE"/>
    <w:rsid w:val="00BF4D13"/>
    <w:rsid w:val="00BF577D"/>
    <w:rsid w:val="00BF6E14"/>
    <w:rsid w:val="00C00387"/>
    <w:rsid w:val="00C006F2"/>
    <w:rsid w:val="00C0171D"/>
    <w:rsid w:val="00C0291D"/>
    <w:rsid w:val="00C0327E"/>
    <w:rsid w:val="00C0336F"/>
    <w:rsid w:val="00C03558"/>
    <w:rsid w:val="00C03E1D"/>
    <w:rsid w:val="00C0510A"/>
    <w:rsid w:val="00C05C21"/>
    <w:rsid w:val="00C06781"/>
    <w:rsid w:val="00C10C0C"/>
    <w:rsid w:val="00C11023"/>
    <w:rsid w:val="00C116CB"/>
    <w:rsid w:val="00C205CC"/>
    <w:rsid w:val="00C220D5"/>
    <w:rsid w:val="00C22AC1"/>
    <w:rsid w:val="00C23C96"/>
    <w:rsid w:val="00C2513E"/>
    <w:rsid w:val="00C25580"/>
    <w:rsid w:val="00C27349"/>
    <w:rsid w:val="00C27CEF"/>
    <w:rsid w:val="00C30063"/>
    <w:rsid w:val="00C30634"/>
    <w:rsid w:val="00C31DCB"/>
    <w:rsid w:val="00C363AE"/>
    <w:rsid w:val="00C3658C"/>
    <w:rsid w:val="00C37BB8"/>
    <w:rsid w:val="00C37FCA"/>
    <w:rsid w:val="00C400E3"/>
    <w:rsid w:val="00C40304"/>
    <w:rsid w:val="00C427BB"/>
    <w:rsid w:val="00C42C6F"/>
    <w:rsid w:val="00C430C3"/>
    <w:rsid w:val="00C441BF"/>
    <w:rsid w:val="00C44266"/>
    <w:rsid w:val="00C501B6"/>
    <w:rsid w:val="00C502E3"/>
    <w:rsid w:val="00C503AC"/>
    <w:rsid w:val="00C50BF2"/>
    <w:rsid w:val="00C516EF"/>
    <w:rsid w:val="00C53BD0"/>
    <w:rsid w:val="00C5506B"/>
    <w:rsid w:val="00C55596"/>
    <w:rsid w:val="00C55B88"/>
    <w:rsid w:val="00C55BBD"/>
    <w:rsid w:val="00C55D7C"/>
    <w:rsid w:val="00C5674D"/>
    <w:rsid w:val="00C60944"/>
    <w:rsid w:val="00C61177"/>
    <w:rsid w:val="00C61C29"/>
    <w:rsid w:val="00C64C6C"/>
    <w:rsid w:val="00C64D69"/>
    <w:rsid w:val="00C6509A"/>
    <w:rsid w:val="00C659E3"/>
    <w:rsid w:val="00C6649D"/>
    <w:rsid w:val="00C70AC1"/>
    <w:rsid w:val="00C71E69"/>
    <w:rsid w:val="00C75007"/>
    <w:rsid w:val="00C764A0"/>
    <w:rsid w:val="00C76DEE"/>
    <w:rsid w:val="00C80B15"/>
    <w:rsid w:val="00C80E29"/>
    <w:rsid w:val="00C82BEF"/>
    <w:rsid w:val="00C837F5"/>
    <w:rsid w:val="00C83A1A"/>
    <w:rsid w:val="00C83C75"/>
    <w:rsid w:val="00C85DED"/>
    <w:rsid w:val="00C911F7"/>
    <w:rsid w:val="00C92459"/>
    <w:rsid w:val="00C94376"/>
    <w:rsid w:val="00C94410"/>
    <w:rsid w:val="00C94F0E"/>
    <w:rsid w:val="00C95A41"/>
    <w:rsid w:val="00C9744C"/>
    <w:rsid w:val="00CA057E"/>
    <w:rsid w:val="00CA0B56"/>
    <w:rsid w:val="00CA1013"/>
    <w:rsid w:val="00CA1B33"/>
    <w:rsid w:val="00CA1FC7"/>
    <w:rsid w:val="00CA4AF9"/>
    <w:rsid w:val="00CA6D70"/>
    <w:rsid w:val="00CA737C"/>
    <w:rsid w:val="00CA76FF"/>
    <w:rsid w:val="00CA7D64"/>
    <w:rsid w:val="00CB2105"/>
    <w:rsid w:val="00CB239B"/>
    <w:rsid w:val="00CB2C52"/>
    <w:rsid w:val="00CB3E97"/>
    <w:rsid w:val="00CB4B2F"/>
    <w:rsid w:val="00CC0CDE"/>
    <w:rsid w:val="00CC112C"/>
    <w:rsid w:val="00CC3BAF"/>
    <w:rsid w:val="00CC3CDE"/>
    <w:rsid w:val="00CC5385"/>
    <w:rsid w:val="00CD0327"/>
    <w:rsid w:val="00CD1104"/>
    <w:rsid w:val="00CD1859"/>
    <w:rsid w:val="00CD1A29"/>
    <w:rsid w:val="00CD2715"/>
    <w:rsid w:val="00CD2C12"/>
    <w:rsid w:val="00CD3B28"/>
    <w:rsid w:val="00CD440E"/>
    <w:rsid w:val="00CD4834"/>
    <w:rsid w:val="00CD5CDE"/>
    <w:rsid w:val="00CD6DB7"/>
    <w:rsid w:val="00CD6E4C"/>
    <w:rsid w:val="00CD7DA0"/>
    <w:rsid w:val="00CE0547"/>
    <w:rsid w:val="00CE0813"/>
    <w:rsid w:val="00CE29DE"/>
    <w:rsid w:val="00CE2A0B"/>
    <w:rsid w:val="00CE333F"/>
    <w:rsid w:val="00CE3507"/>
    <w:rsid w:val="00CE508B"/>
    <w:rsid w:val="00CE5B57"/>
    <w:rsid w:val="00CE7249"/>
    <w:rsid w:val="00CE7888"/>
    <w:rsid w:val="00CF00B6"/>
    <w:rsid w:val="00CF0F29"/>
    <w:rsid w:val="00CF36BE"/>
    <w:rsid w:val="00CF3C94"/>
    <w:rsid w:val="00CF6098"/>
    <w:rsid w:val="00CF6D47"/>
    <w:rsid w:val="00CF7363"/>
    <w:rsid w:val="00CF75D1"/>
    <w:rsid w:val="00CF7954"/>
    <w:rsid w:val="00D006DF"/>
    <w:rsid w:val="00D00CFD"/>
    <w:rsid w:val="00D012E7"/>
    <w:rsid w:val="00D01BA4"/>
    <w:rsid w:val="00D0252D"/>
    <w:rsid w:val="00D0389B"/>
    <w:rsid w:val="00D04346"/>
    <w:rsid w:val="00D04BEC"/>
    <w:rsid w:val="00D055DD"/>
    <w:rsid w:val="00D05A8B"/>
    <w:rsid w:val="00D13AB3"/>
    <w:rsid w:val="00D13E5A"/>
    <w:rsid w:val="00D141D7"/>
    <w:rsid w:val="00D14F20"/>
    <w:rsid w:val="00D166D4"/>
    <w:rsid w:val="00D16A73"/>
    <w:rsid w:val="00D17FE3"/>
    <w:rsid w:val="00D20195"/>
    <w:rsid w:val="00D2179C"/>
    <w:rsid w:val="00D217C3"/>
    <w:rsid w:val="00D22898"/>
    <w:rsid w:val="00D24223"/>
    <w:rsid w:val="00D243E9"/>
    <w:rsid w:val="00D249EF"/>
    <w:rsid w:val="00D3026D"/>
    <w:rsid w:val="00D30A59"/>
    <w:rsid w:val="00D30E1B"/>
    <w:rsid w:val="00D30E24"/>
    <w:rsid w:val="00D312D6"/>
    <w:rsid w:val="00D322F4"/>
    <w:rsid w:val="00D323E1"/>
    <w:rsid w:val="00D325A3"/>
    <w:rsid w:val="00D32621"/>
    <w:rsid w:val="00D32FA2"/>
    <w:rsid w:val="00D367ED"/>
    <w:rsid w:val="00D37281"/>
    <w:rsid w:val="00D37564"/>
    <w:rsid w:val="00D42077"/>
    <w:rsid w:val="00D4221E"/>
    <w:rsid w:val="00D42B38"/>
    <w:rsid w:val="00D45023"/>
    <w:rsid w:val="00D4642B"/>
    <w:rsid w:val="00D46E8E"/>
    <w:rsid w:val="00D477BC"/>
    <w:rsid w:val="00D5005D"/>
    <w:rsid w:val="00D51BC8"/>
    <w:rsid w:val="00D52C2B"/>
    <w:rsid w:val="00D52FC3"/>
    <w:rsid w:val="00D5328C"/>
    <w:rsid w:val="00D53BBE"/>
    <w:rsid w:val="00D55BC1"/>
    <w:rsid w:val="00D6135E"/>
    <w:rsid w:val="00D619CA"/>
    <w:rsid w:val="00D61B10"/>
    <w:rsid w:val="00D61D84"/>
    <w:rsid w:val="00D6299E"/>
    <w:rsid w:val="00D641F5"/>
    <w:rsid w:val="00D643E3"/>
    <w:rsid w:val="00D6459B"/>
    <w:rsid w:val="00D64C99"/>
    <w:rsid w:val="00D650C5"/>
    <w:rsid w:val="00D65371"/>
    <w:rsid w:val="00D655DA"/>
    <w:rsid w:val="00D7123B"/>
    <w:rsid w:val="00D71B7C"/>
    <w:rsid w:val="00D732EE"/>
    <w:rsid w:val="00D733CF"/>
    <w:rsid w:val="00D740F4"/>
    <w:rsid w:val="00D75241"/>
    <w:rsid w:val="00D755C8"/>
    <w:rsid w:val="00D755CB"/>
    <w:rsid w:val="00D75634"/>
    <w:rsid w:val="00D76385"/>
    <w:rsid w:val="00D76B11"/>
    <w:rsid w:val="00D8001A"/>
    <w:rsid w:val="00D80741"/>
    <w:rsid w:val="00D81E07"/>
    <w:rsid w:val="00D8274B"/>
    <w:rsid w:val="00D8449A"/>
    <w:rsid w:val="00D87887"/>
    <w:rsid w:val="00D879B9"/>
    <w:rsid w:val="00D90A53"/>
    <w:rsid w:val="00D9215C"/>
    <w:rsid w:val="00D9221E"/>
    <w:rsid w:val="00D92641"/>
    <w:rsid w:val="00D935C2"/>
    <w:rsid w:val="00D93793"/>
    <w:rsid w:val="00D93A2E"/>
    <w:rsid w:val="00D945C0"/>
    <w:rsid w:val="00D95C0B"/>
    <w:rsid w:val="00D95DBE"/>
    <w:rsid w:val="00D95DDF"/>
    <w:rsid w:val="00D96159"/>
    <w:rsid w:val="00D976E5"/>
    <w:rsid w:val="00DA0A9E"/>
    <w:rsid w:val="00DA12EE"/>
    <w:rsid w:val="00DA2507"/>
    <w:rsid w:val="00DA3855"/>
    <w:rsid w:val="00DA3F7D"/>
    <w:rsid w:val="00DA434B"/>
    <w:rsid w:val="00DA5804"/>
    <w:rsid w:val="00DA7244"/>
    <w:rsid w:val="00DB0088"/>
    <w:rsid w:val="00DB296F"/>
    <w:rsid w:val="00DB3B8B"/>
    <w:rsid w:val="00DB688D"/>
    <w:rsid w:val="00DC035B"/>
    <w:rsid w:val="00DC150F"/>
    <w:rsid w:val="00DC4198"/>
    <w:rsid w:val="00DC47EE"/>
    <w:rsid w:val="00DC6889"/>
    <w:rsid w:val="00DC7B48"/>
    <w:rsid w:val="00DD066B"/>
    <w:rsid w:val="00DD1BC8"/>
    <w:rsid w:val="00DD3B59"/>
    <w:rsid w:val="00DD3F89"/>
    <w:rsid w:val="00DD49F4"/>
    <w:rsid w:val="00DD4D56"/>
    <w:rsid w:val="00DD4D87"/>
    <w:rsid w:val="00DD5713"/>
    <w:rsid w:val="00DD69AE"/>
    <w:rsid w:val="00DD6F64"/>
    <w:rsid w:val="00DD71A8"/>
    <w:rsid w:val="00DE08CE"/>
    <w:rsid w:val="00DE3020"/>
    <w:rsid w:val="00DE3CAF"/>
    <w:rsid w:val="00DE5946"/>
    <w:rsid w:val="00DE5EEC"/>
    <w:rsid w:val="00DE624E"/>
    <w:rsid w:val="00DE6CC7"/>
    <w:rsid w:val="00DE6E82"/>
    <w:rsid w:val="00DF014D"/>
    <w:rsid w:val="00DF05A6"/>
    <w:rsid w:val="00DF1719"/>
    <w:rsid w:val="00DF3034"/>
    <w:rsid w:val="00DF3156"/>
    <w:rsid w:val="00DF325A"/>
    <w:rsid w:val="00DF3C0E"/>
    <w:rsid w:val="00DF3CCC"/>
    <w:rsid w:val="00DF4426"/>
    <w:rsid w:val="00DF4453"/>
    <w:rsid w:val="00DF52AE"/>
    <w:rsid w:val="00DF574D"/>
    <w:rsid w:val="00DF75F3"/>
    <w:rsid w:val="00E02327"/>
    <w:rsid w:val="00E0244C"/>
    <w:rsid w:val="00E04D9B"/>
    <w:rsid w:val="00E057FA"/>
    <w:rsid w:val="00E06ADB"/>
    <w:rsid w:val="00E07945"/>
    <w:rsid w:val="00E11CC8"/>
    <w:rsid w:val="00E12986"/>
    <w:rsid w:val="00E133F2"/>
    <w:rsid w:val="00E16BAE"/>
    <w:rsid w:val="00E16BDF"/>
    <w:rsid w:val="00E1737A"/>
    <w:rsid w:val="00E174D7"/>
    <w:rsid w:val="00E177BD"/>
    <w:rsid w:val="00E20454"/>
    <w:rsid w:val="00E2147C"/>
    <w:rsid w:val="00E22F89"/>
    <w:rsid w:val="00E23DFD"/>
    <w:rsid w:val="00E2668E"/>
    <w:rsid w:val="00E26AA1"/>
    <w:rsid w:val="00E26C74"/>
    <w:rsid w:val="00E3082A"/>
    <w:rsid w:val="00E323D4"/>
    <w:rsid w:val="00E33590"/>
    <w:rsid w:val="00E36B9C"/>
    <w:rsid w:val="00E40184"/>
    <w:rsid w:val="00E40259"/>
    <w:rsid w:val="00E40774"/>
    <w:rsid w:val="00E42743"/>
    <w:rsid w:val="00E42768"/>
    <w:rsid w:val="00E4410B"/>
    <w:rsid w:val="00E44664"/>
    <w:rsid w:val="00E44B7C"/>
    <w:rsid w:val="00E4639A"/>
    <w:rsid w:val="00E4655B"/>
    <w:rsid w:val="00E47C39"/>
    <w:rsid w:val="00E47F54"/>
    <w:rsid w:val="00E52115"/>
    <w:rsid w:val="00E52470"/>
    <w:rsid w:val="00E53520"/>
    <w:rsid w:val="00E5475A"/>
    <w:rsid w:val="00E561D8"/>
    <w:rsid w:val="00E56A55"/>
    <w:rsid w:val="00E572E9"/>
    <w:rsid w:val="00E605A4"/>
    <w:rsid w:val="00E60B95"/>
    <w:rsid w:val="00E6384B"/>
    <w:rsid w:val="00E6435F"/>
    <w:rsid w:val="00E6500F"/>
    <w:rsid w:val="00E65912"/>
    <w:rsid w:val="00E66531"/>
    <w:rsid w:val="00E6710B"/>
    <w:rsid w:val="00E70D24"/>
    <w:rsid w:val="00E711FE"/>
    <w:rsid w:val="00E72386"/>
    <w:rsid w:val="00E7493F"/>
    <w:rsid w:val="00E74EAC"/>
    <w:rsid w:val="00E7554F"/>
    <w:rsid w:val="00E7592C"/>
    <w:rsid w:val="00E8047E"/>
    <w:rsid w:val="00E813F6"/>
    <w:rsid w:val="00E8183F"/>
    <w:rsid w:val="00E82429"/>
    <w:rsid w:val="00E827BE"/>
    <w:rsid w:val="00E83317"/>
    <w:rsid w:val="00E83C9C"/>
    <w:rsid w:val="00E84AE9"/>
    <w:rsid w:val="00E85BA4"/>
    <w:rsid w:val="00E8649D"/>
    <w:rsid w:val="00E90967"/>
    <w:rsid w:val="00E917D4"/>
    <w:rsid w:val="00E91D03"/>
    <w:rsid w:val="00E91EF5"/>
    <w:rsid w:val="00E92386"/>
    <w:rsid w:val="00E92D1A"/>
    <w:rsid w:val="00E92F6E"/>
    <w:rsid w:val="00E93C03"/>
    <w:rsid w:val="00E93D06"/>
    <w:rsid w:val="00E9488C"/>
    <w:rsid w:val="00E972D6"/>
    <w:rsid w:val="00EA0278"/>
    <w:rsid w:val="00EA0803"/>
    <w:rsid w:val="00EA0964"/>
    <w:rsid w:val="00EA110B"/>
    <w:rsid w:val="00EA45C1"/>
    <w:rsid w:val="00EA610A"/>
    <w:rsid w:val="00EA77EF"/>
    <w:rsid w:val="00EB0A1E"/>
    <w:rsid w:val="00EB0E7C"/>
    <w:rsid w:val="00EB73BE"/>
    <w:rsid w:val="00EB76BD"/>
    <w:rsid w:val="00EB7F86"/>
    <w:rsid w:val="00EC08CC"/>
    <w:rsid w:val="00EC0CB1"/>
    <w:rsid w:val="00EC2333"/>
    <w:rsid w:val="00EC34C3"/>
    <w:rsid w:val="00EC457C"/>
    <w:rsid w:val="00EC629D"/>
    <w:rsid w:val="00EC6E6E"/>
    <w:rsid w:val="00EC6F94"/>
    <w:rsid w:val="00ED0089"/>
    <w:rsid w:val="00ED0408"/>
    <w:rsid w:val="00ED0CD0"/>
    <w:rsid w:val="00ED1218"/>
    <w:rsid w:val="00ED2688"/>
    <w:rsid w:val="00ED3086"/>
    <w:rsid w:val="00ED3F0E"/>
    <w:rsid w:val="00ED55D0"/>
    <w:rsid w:val="00ED65D5"/>
    <w:rsid w:val="00ED6619"/>
    <w:rsid w:val="00ED68DF"/>
    <w:rsid w:val="00EE0458"/>
    <w:rsid w:val="00EE09D9"/>
    <w:rsid w:val="00EE5636"/>
    <w:rsid w:val="00EE7CCA"/>
    <w:rsid w:val="00EF00E2"/>
    <w:rsid w:val="00EF0796"/>
    <w:rsid w:val="00EF07DF"/>
    <w:rsid w:val="00EF0AF3"/>
    <w:rsid w:val="00EF1A6E"/>
    <w:rsid w:val="00EF30CC"/>
    <w:rsid w:val="00EF3CD5"/>
    <w:rsid w:val="00EF428A"/>
    <w:rsid w:val="00EF730B"/>
    <w:rsid w:val="00EF74D8"/>
    <w:rsid w:val="00F00202"/>
    <w:rsid w:val="00F015EB"/>
    <w:rsid w:val="00F0289A"/>
    <w:rsid w:val="00F02C69"/>
    <w:rsid w:val="00F02D2C"/>
    <w:rsid w:val="00F03259"/>
    <w:rsid w:val="00F04C27"/>
    <w:rsid w:val="00F0570E"/>
    <w:rsid w:val="00F0641D"/>
    <w:rsid w:val="00F06AEA"/>
    <w:rsid w:val="00F07A0E"/>
    <w:rsid w:val="00F07B78"/>
    <w:rsid w:val="00F07C85"/>
    <w:rsid w:val="00F122F9"/>
    <w:rsid w:val="00F1308A"/>
    <w:rsid w:val="00F133FE"/>
    <w:rsid w:val="00F140FD"/>
    <w:rsid w:val="00F1515A"/>
    <w:rsid w:val="00F15577"/>
    <w:rsid w:val="00F15F98"/>
    <w:rsid w:val="00F16DEC"/>
    <w:rsid w:val="00F17B57"/>
    <w:rsid w:val="00F17EBE"/>
    <w:rsid w:val="00F215C6"/>
    <w:rsid w:val="00F22857"/>
    <w:rsid w:val="00F23192"/>
    <w:rsid w:val="00F23786"/>
    <w:rsid w:val="00F23BB7"/>
    <w:rsid w:val="00F25B75"/>
    <w:rsid w:val="00F26F19"/>
    <w:rsid w:val="00F27547"/>
    <w:rsid w:val="00F302BC"/>
    <w:rsid w:val="00F3129E"/>
    <w:rsid w:val="00F32B53"/>
    <w:rsid w:val="00F32FC4"/>
    <w:rsid w:val="00F33C2D"/>
    <w:rsid w:val="00F34806"/>
    <w:rsid w:val="00F35468"/>
    <w:rsid w:val="00F409A2"/>
    <w:rsid w:val="00F41CC6"/>
    <w:rsid w:val="00F424D2"/>
    <w:rsid w:val="00F42E9D"/>
    <w:rsid w:val="00F43A3F"/>
    <w:rsid w:val="00F440CF"/>
    <w:rsid w:val="00F44E90"/>
    <w:rsid w:val="00F452B7"/>
    <w:rsid w:val="00F46570"/>
    <w:rsid w:val="00F46B3B"/>
    <w:rsid w:val="00F50D89"/>
    <w:rsid w:val="00F51DE4"/>
    <w:rsid w:val="00F52D22"/>
    <w:rsid w:val="00F532D6"/>
    <w:rsid w:val="00F5354A"/>
    <w:rsid w:val="00F549D6"/>
    <w:rsid w:val="00F54F50"/>
    <w:rsid w:val="00F55BA8"/>
    <w:rsid w:val="00F55CFD"/>
    <w:rsid w:val="00F56B05"/>
    <w:rsid w:val="00F57116"/>
    <w:rsid w:val="00F571F1"/>
    <w:rsid w:val="00F60ED0"/>
    <w:rsid w:val="00F65E4A"/>
    <w:rsid w:val="00F660B9"/>
    <w:rsid w:val="00F66351"/>
    <w:rsid w:val="00F669F4"/>
    <w:rsid w:val="00F6735A"/>
    <w:rsid w:val="00F67CDB"/>
    <w:rsid w:val="00F71113"/>
    <w:rsid w:val="00F7116C"/>
    <w:rsid w:val="00F73233"/>
    <w:rsid w:val="00F74C37"/>
    <w:rsid w:val="00F75655"/>
    <w:rsid w:val="00F76BC2"/>
    <w:rsid w:val="00F774C7"/>
    <w:rsid w:val="00F8009B"/>
    <w:rsid w:val="00F80EEF"/>
    <w:rsid w:val="00F819BB"/>
    <w:rsid w:val="00F81B0D"/>
    <w:rsid w:val="00F827CA"/>
    <w:rsid w:val="00F84AE5"/>
    <w:rsid w:val="00F86B3A"/>
    <w:rsid w:val="00F903DE"/>
    <w:rsid w:val="00F9138E"/>
    <w:rsid w:val="00F9183F"/>
    <w:rsid w:val="00F94B89"/>
    <w:rsid w:val="00F95302"/>
    <w:rsid w:val="00F97DDF"/>
    <w:rsid w:val="00F97F70"/>
    <w:rsid w:val="00FA00FD"/>
    <w:rsid w:val="00FA0277"/>
    <w:rsid w:val="00FA0304"/>
    <w:rsid w:val="00FA04C4"/>
    <w:rsid w:val="00FA08A2"/>
    <w:rsid w:val="00FA109D"/>
    <w:rsid w:val="00FA1324"/>
    <w:rsid w:val="00FA1B0F"/>
    <w:rsid w:val="00FA2945"/>
    <w:rsid w:val="00FA2A42"/>
    <w:rsid w:val="00FA2D33"/>
    <w:rsid w:val="00FA371A"/>
    <w:rsid w:val="00FA3FCD"/>
    <w:rsid w:val="00FA4AB7"/>
    <w:rsid w:val="00FA502E"/>
    <w:rsid w:val="00FA60CB"/>
    <w:rsid w:val="00FA628B"/>
    <w:rsid w:val="00FA660B"/>
    <w:rsid w:val="00FA6755"/>
    <w:rsid w:val="00FB1C6B"/>
    <w:rsid w:val="00FB2176"/>
    <w:rsid w:val="00FB385A"/>
    <w:rsid w:val="00FB559C"/>
    <w:rsid w:val="00FB5D2E"/>
    <w:rsid w:val="00FB665B"/>
    <w:rsid w:val="00FB7A2F"/>
    <w:rsid w:val="00FC0067"/>
    <w:rsid w:val="00FC0204"/>
    <w:rsid w:val="00FC16A7"/>
    <w:rsid w:val="00FC2841"/>
    <w:rsid w:val="00FC2EAC"/>
    <w:rsid w:val="00FC308A"/>
    <w:rsid w:val="00FC36B5"/>
    <w:rsid w:val="00FC3B95"/>
    <w:rsid w:val="00FC47B2"/>
    <w:rsid w:val="00FC47CC"/>
    <w:rsid w:val="00FC4FFD"/>
    <w:rsid w:val="00FC7377"/>
    <w:rsid w:val="00FC7691"/>
    <w:rsid w:val="00FD0794"/>
    <w:rsid w:val="00FD0890"/>
    <w:rsid w:val="00FD0A7D"/>
    <w:rsid w:val="00FD13D9"/>
    <w:rsid w:val="00FD1FC1"/>
    <w:rsid w:val="00FD45F4"/>
    <w:rsid w:val="00FD4CA8"/>
    <w:rsid w:val="00FD4DDE"/>
    <w:rsid w:val="00FD5CEC"/>
    <w:rsid w:val="00FD71E6"/>
    <w:rsid w:val="00FE04B2"/>
    <w:rsid w:val="00FE2514"/>
    <w:rsid w:val="00FE29F6"/>
    <w:rsid w:val="00FE40AF"/>
    <w:rsid w:val="00FE4594"/>
    <w:rsid w:val="00FE49B3"/>
    <w:rsid w:val="00FE6006"/>
    <w:rsid w:val="00FE721B"/>
    <w:rsid w:val="00FE72F3"/>
    <w:rsid w:val="00FF04EB"/>
    <w:rsid w:val="00FF3266"/>
    <w:rsid w:val="00FF3CAF"/>
    <w:rsid w:val="00FF3D22"/>
    <w:rsid w:val="00FF4BB7"/>
    <w:rsid w:val="00FF5DA5"/>
    <w:rsid w:val="00FF6A1D"/>
    <w:rsid w:val="00FF7C2B"/>
    <w:rsid w:val="00FF7C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F2A0565"/>
  <w15:docId w15:val="{889D6CA5-7621-46C2-A57B-63072FD94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967E1"/>
    <w:pPr>
      <w:jc w:val="both"/>
    </w:pPr>
    <w:rPr>
      <w:rFonts w:cs="Angsana New"/>
      <w:sz w:val="22"/>
      <w:szCs w:val="24"/>
      <w:lang w:eastAsia="en-US"/>
    </w:rPr>
  </w:style>
  <w:style w:type="paragraph" w:styleId="Heading1">
    <w:name w:val="heading 1"/>
    <w:basedOn w:val="Heading2"/>
    <w:next w:val="Heading2"/>
    <w:link w:val="Heading1Char"/>
    <w:qFormat/>
    <w:rsid w:val="00284A69"/>
    <w:pPr>
      <w:numPr>
        <w:numId w:val="19"/>
      </w:numPr>
      <w:tabs>
        <w:tab w:val="clear" w:pos="720"/>
      </w:tabs>
      <w:ind w:left="284"/>
      <w:jc w:val="left"/>
      <w:outlineLvl w:val="0"/>
    </w:pPr>
    <w:rPr>
      <w:rFonts w:cs="Times New Roman"/>
      <w:sz w:val="24"/>
    </w:rPr>
  </w:style>
  <w:style w:type="paragraph" w:styleId="Heading2">
    <w:name w:val="heading 2"/>
    <w:basedOn w:val="Normal"/>
    <w:next w:val="Normal"/>
    <w:link w:val="Heading2Char"/>
    <w:qFormat/>
    <w:rsid w:val="000921FE"/>
    <w:pPr>
      <w:keepNext/>
      <w:tabs>
        <w:tab w:val="left" w:pos="720"/>
      </w:tabs>
      <w:spacing w:before="120" w:after="120"/>
      <w:jc w:val="center"/>
      <w:outlineLvl w:val="1"/>
    </w:pPr>
    <w:rPr>
      <w:b/>
      <w:bCs/>
      <w:iCs/>
    </w:rPr>
  </w:style>
  <w:style w:type="paragraph" w:styleId="Heading3">
    <w:name w:val="heading 3"/>
    <w:basedOn w:val="Heading2"/>
    <w:next w:val="Normal"/>
    <w:qFormat/>
    <w:rsid w:val="00284A69"/>
    <w:pPr>
      <w:numPr>
        <w:numId w:val="9"/>
      </w:numPr>
      <w:outlineLvl w:val="2"/>
    </w:pPr>
    <w:rPr>
      <w:rFonts w:cs="Times New Roman"/>
      <w:szCs w:val="22"/>
      <w:lang w:val="en-US"/>
    </w:rPr>
  </w:style>
  <w:style w:type="paragraph" w:styleId="Heading4">
    <w:name w:val="heading 4"/>
    <w:basedOn w:val="Heading3"/>
    <w:qFormat/>
    <w:rsid w:val="00284A69"/>
    <w:pPr>
      <w:numPr>
        <w:numId w:val="0"/>
      </w:numPr>
      <w:ind w:left="720"/>
      <w:outlineLvl w:val="3"/>
    </w:pPr>
    <w:rPr>
      <w:b w:val="0"/>
      <w:bCs w:val="0"/>
      <w:i/>
      <w:iCs w:val="0"/>
    </w:rPr>
  </w:style>
  <w:style w:type="paragraph" w:styleId="Heading5">
    <w:name w:val="heading 5"/>
    <w:aliases w:val="Heading 5 - GTI"/>
    <w:basedOn w:val="Normal"/>
    <w:next w:val="Normal"/>
    <w:qFormat/>
    <w:rsid w:val="00943468"/>
    <w:pPr>
      <w:keepNext/>
      <w:numPr>
        <w:ilvl w:val="4"/>
        <w:numId w:val="1"/>
      </w:numPr>
      <w:spacing w:before="120" w:after="120"/>
      <w:jc w:val="left"/>
      <w:outlineLvl w:val="4"/>
    </w:pPr>
    <w:rPr>
      <w:bCs/>
      <w:i/>
      <w:szCs w:val="26"/>
      <w:lang w:val="en-CA"/>
    </w:rPr>
  </w:style>
  <w:style w:type="paragraph" w:styleId="Heading6">
    <w:name w:val="heading 6"/>
    <w:basedOn w:val="Normal"/>
    <w:next w:val="Normal"/>
    <w:qFormat/>
    <w:rsid w:val="00943468"/>
    <w:pPr>
      <w:keepNext/>
      <w:spacing w:after="240" w:line="240" w:lineRule="exact"/>
      <w:ind w:left="720"/>
      <w:outlineLvl w:val="5"/>
    </w:pPr>
    <w:rPr>
      <w:u w:val="single"/>
    </w:rPr>
  </w:style>
  <w:style w:type="paragraph" w:styleId="Heading7">
    <w:name w:val="heading 7"/>
    <w:basedOn w:val="Normal"/>
    <w:next w:val="Normal"/>
    <w:qFormat/>
    <w:rsid w:val="00943468"/>
    <w:pPr>
      <w:keepNext/>
      <w:jc w:val="right"/>
      <w:outlineLvl w:val="6"/>
    </w:pPr>
    <w:rPr>
      <w:rFonts w:ascii="Univers" w:hAnsi="Univers"/>
      <w:b/>
      <w:sz w:val="28"/>
    </w:rPr>
  </w:style>
  <w:style w:type="paragraph" w:styleId="Heading8">
    <w:name w:val="heading 8"/>
    <w:basedOn w:val="Normal"/>
    <w:next w:val="Normal"/>
    <w:qFormat/>
    <w:rsid w:val="00943468"/>
    <w:pPr>
      <w:keepNext/>
      <w:jc w:val="right"/>
      <w:outlineLvl w:val="7"/>
    </w:pPr>
    <w:rPr>
      <w:rFonts w:ascii="Univers" w:hAnsi="Univers"/>
      <w:b/>
      <w:sz w:val="32"/>
    </w:rPr>
  </w:style>
  <w:style w:type="paragraph" w:styleId="Heading9">
    <w:name w:val="heading 9"/>
    <w:basedOn w:val="Normal"/>
    <w:next w:val="Normal"/>
    <w:qFormat/>
    <w:rsid w:val="00943468"/>
    <w:pPr>
      <w:keepNext/>
      <w:spacing w:before="100" w:beforeAutospacing="1" w:after="12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autoRedefine/>
    <w:rsid w:val="008B26EC"/>
    <w:rPr>
      <w:rFonts w:ascii="Lucida Sans Unicode" w:hAnsi="Lucida Sans Unicode"/>
      <w:noProof/>
      <w:color w:val="0000FF"/>
      <w:lang w:val="en-US"/>
    </w:rPr>
  </w:style>
  <w:style w:type="character" w:styleId="CommentReference">
    <w:name w:val="annotation reference"/>
    <w:uiPriority w:val="99"/>
    <w:rsid w:val="002B1589"/>
    <w:rPr>
      <w:sz w:val="16"/>
      <w:szCs w:val="16"/>
    </w:rPr>
  </w:style>
  <w:style w:type="paragraph" w:styleId="CommentText">
    <w:name w:val="annotation text"/>
    <w:basedOn w:val="Normal"/>
    <w:link w:val="CommentTextChar"/>
    <w:uiPriority w:val="99"/>
    <w:rsid w:val="002B1589"/>
    <w:rPr>
      <w:rFonts w:cs="Times New Roman"/>
      <w:sz w:val="20"/>
      <w:szCs w:val="20"/>
    </w:rPr>
  </w:style>
  <w:style w:type="character" w:customStyle="1" w:styleId="CommentTextChar">
    <w:name w:val="Comment Text Char"/>
    <w:link w:val="CommentText"/>
    <w:uiPriority w:val="99"/>
    <w:rsid w:val="002B1589"/>
    <w:rPr>
      <w:rFonts w:cs="Angsana New"/>
      <w:lang w:val="en-GB"/>
    </w:rPr>
  </w:style>
  <w:style w:type="paragraph" w:styleId="CommentSubject">
    <w:name w:val="annotation subject"/>
    <w:basedOn w:val="CommentText"/>
    <w:next w:val="CommentText"/>
    <w:link w:val="CommentSubjectChar"/>
    <w:rsid w:val="002B1589"/>
    <w:rPr>
      <w:b/>
      <w:bCs/>
    </w:rPr>
  </w:style>
  <w:style w:type="character" w:customStyle="1" w:styleId="CommentSubjectChar">
    <w:name w:val="Comment Subject Char"/>
    <w:link w:val="CommentSubject"/>
    <w:rsid w:val="002B1589"/>
    <w:rPr>
      <w:rFonts w:cs="Angsana New"/>
      <w:b/>
      <w:bCs/>
      <w:lang w:val="en-GB"/>
    </w:rPr>
  </w:style>
  <w:style w:type="paragraph" w:styleId="BalloonText">
    <w:name w:val="Balloon Text"/>
    <w:basedOn w:val="Normal"/>
    <w:link w:val="BalloonTextChar"/>
    <w:semiHidden/>
    <w:rsid w:val="00943468"/>
    <w:rPr>
      <w:rFonts w:ascii="Tahoma" w:hAnsi="Tahoma" w:cs="Tahoma"/>
      <w:sz w:val="16"/>
      <w:szCs w:val="16"/>
    </w:rPr>
  </w:style>
  <w:style w:type="character" w:customStyle="1" w:styleId="BalloonTextChar">
    <w:name w:val="Balloon Text Char"/>
    <w:link w:val="BalloonText"/>
    <w:rsid w:val="002B1589"/>
    <w:rPr>
      <w:rFonts w:ascii="Tahoma" w:hAnsi="Tahoma" w:cs="Tahoma"/>
      <w:sz w:val="16"/>
      <w:szCs w:val="16"/>
      <w:lang w:val="en-GB" w:eastAsia="en-US" w:bidi="ar-SA"/>
    </w:rPr>
  </w:style>
  <w:style w:type="paragraph" w:styleId="Header">
    <w:name w:val="header"/>
    <w:basedOn w:val="Normal"/>
    <w:link w:val="HeaderChar"/>
    <w:uiPriority w:val="99"/>
    <w:rsid w:val="00943468"/>
    <w:pPr>
      <w:tabs>
        <w:tab w:val="center" w:pos="4320"/>
        <w:tab w:val="right" w:pos="8640"/>
      </w:tabs>
    </w:pPr>
    <w:rPr>
      <w:rFonts w:cs="Times New Roman"/>
    </w:rPr>
  </w:style>
  <w:style w:type="paragraph" w:styleId="Footer">
    <w:name w:val="footer"/>
    <w:basedOn w:val="Normal"/>
    <w:link w:val="FooterChar"/>
    <w:uiPriority w:val="99"/>
    <w:rsid w:val="00943468"/>
    <w:pPr>
      <w:tabs>
        <w:tab w:val="center" w:pos="4320"/>
        <w:tab w:val="right" w:pos="8640"/>
      </w:tabs>
      <w:ind w:firstLine="720"/>
      <w:jc w:val="right"/>
    </w:pPr>
  </w:style>
  <w:style w:type="character" w:styleId="PageNumber">
    <w:name w:val="page number"/>
    <w:rsid w:val="00943468"/>
    <w:rPr>
      <w:rFonts w:ascii="Times New Roman" w:hAnsi="Times New Roman"/>
      <w:sz w:val="22"/>
    </w:rPr>
  </w:style>
  <w:style w:type="paragraph" w:customStyle="1" w:styleId="Cornernotation">
    <w:name w:val="Corner notation"/>
    <w:basedOn w:val="Normal"/>
    <w:rsid w:val="00943468"/>
    <w:pPr>
      <w:ind w:left="284" w:right="4398" w:hanging="284"/>
      <w:jc w:val="left"/>
    </w:pPr>
  </w:style>
  <w:style w:type="paragraph" w:styleId="BodyText">
    <w:name w:val="Body Text"/>
    <w:basedOn w:val="Normal"/>
    <w:rsid w:val="00943468"/>
    <w:pPr>
      <w:spacing w:before="120" w:after="120"/>
      <w:ind w:firstLine="720"/>
    </w:pPr>
    <w:rPr>
      <w:iCs/>
    </w:rPr>
  </w:style>
  <w:style w:type="paragraph" w:customStyle="1" w:styleId="bodytextnoindent">
    <w:name w:val="body text (no indent)"/>
    <w:basedOn w:val="Normal"/>
    <w:rsid w:val="00943468"/>
    <w:pPr>
      <w:widowControl w:val="0"/>
      <w:overflowPunct w:val="0"/>
      <w:autoSpaceDE w:val="0"/>
      <w:autoSpaceDN w:val="0"/>
      <w:adjustRightInd w:val="0"/>
      <w:spacing w:before="120" w:after="120"/>
      <w:textAlignment w:val="baseline"/>
    </w:pPr>
    <w:rPr>
      <w:szCs w:val="20"/>
      <w:lang w:eastAsia="de-DE"/>
    </w:rPr>
  </w:style>
  <w:style w:type="paragraph" w:styleId="BodyText2">
    <w:name w:val="Body Text 2"/>
    <w:basedOn w:val="Normal"/>
    <w:rsid w:val="00943468"/>
    <w:rPr>
      <w:i/>
      <w:iCs/>
    </w:rPr>
  </w:style>
  <w:style w:type="paragraph" w:styleId="BodyText3">
    <w:name w:val="Body Text 3"/>
    <w:basedOn w:val="Normal"/>
    <w:rsid w:val="00943468"/>
    <w:pPr>
      <w:jc w:val="center"/>
    </w:pPr>
    <w:rPr>
      <w:sz w:val="28"/>
    </w:rPr>
  </w:style>
  <w:style w:type="character" w:customStyle="1" w:styleId="BodyTextChar">
    <w:name w:val="Body Text Char"/>
    <w:rsid w:val="00943468"/>
    <w:rPr>
      <w:iCs/>
      <w:sz w:val="22"/>
      <w:szCs w:val="24"/>
      <w:lang w:val="en-GB" w:eastAsia="en-US" w:bidi="ar-SA"/>
    </w:rPr>
  </w:style>
  <w:style w:type="paragraph" w:styleId="BodyTextIndent">
    <w:name w:val="Body Text Indent"/>
    <w:basedOn w:val="Normal"/>
    <w:rsid w:val="00943468"/>
    <w:pPr>
      <w:spacing w:before="120" w:after="120"/>
      <w:ind w:left="1440" w:hanging="720"/>
      <w:jc w:val="left"/>
    </w:pPr>
  </w:style>
  <w:style w:type="paragraph" w:styleId="BodyTextIndent2">
    <w:name w:val="Body Text Indent 2"/>
    <w:basedOn w:val="Normal"/>
    <w:rsid w:val="00943468"/>
    <w:pPr>
      <w:ind w:firstLine="720"/>
    </w:pPr>
  </w:style>
  <w:style w:type="paragraph" w:customStyle="1" w:styleId="Bodytextitalic">
    <w:name w:val="Body text italic"/>
    <w:basedOn w:val="BodyText"/>
    <w:rsid w:val="00943468"/>
    <w:rPr>
      <w:i/>
      <w:iCs w:val="0"/>
    </w:rPr>
  </w:style>
  <w:style w:type="paragraph" w:customStyle="1" w:styleId="boxbody">
    <w:name w:val="boxbody"/>
    <w:basedOn w:val="Normal"/>
    <w:rsid w:val="00943468"/>
    <w:pPr>
      <w:spacing w:before="100" w:beforeAutospacing="1" w:after="100" w:afterAutospacing="1"/>
      <w:ind w:left="612" w:right="612"/>
    </w:pPr>
    <w:rPr>
      <w:rFonts w:ascii="Helvetica" w:eastAsia="Arial Unicode MS" w:hAnsi="Helvetica" w:cs="Arial Unicode MS"/>
      <w:sz w:val="18"/>
      <w:szCs w:val="18"/>
    </w:rPr>
  </w:style>
  <w:style w:type="character" w:styleId="EndnoteReference">
    <w:name w:val="endnote reference"/>
    <w:semiHidden/>
    <w:rsid w:val="00943468"/>
    <w:rPr>
      <w:vertAlign w:val="superscript"/>
    </w:rPr>
  </w:style>
  <w:style w:type="paragraph" w:styleId="EndnoteText">
    <w:name w:val="endnote text"/>
    <w:basedOn w:val="Normal"/>
    <w:semiHidden/>
    <w:rsid w:val="00943468"/>
    <w:pPr>
      <w:widowControl w:val="0"/>
      <w:tabs>
        <w:tab w:val="left" w:pos="-720"/>
      </w:tabs>
      <w:suppressAutoHyphens/>
    </w:pPr>
    <w:rPr>
      <w:rFonts w:ascii="Courier New" w:hAnsi="Courier New"/>
    </w:rPr>
  </w:style>
  <w:style w:type="character" w:styleId="FollowedHyperlink">
    <w:name w:val="FollowedHyperlink"/>
    <w:rsid w:val="00943468"/>
    <w:rPr>
      <w:color w:val="800080"/>
      <w:u w:val="single"/>
    </w:rPr>
  </w:style>
  <w:style w:type="character" w:styleId="FootnoteReference">
    <w:name w:val="footnote reference"/>
    <w:aliases w:val="number,Footnote Reference Superscript,-E Fußnotenzeichen,(Diplomarbeit FZ),(Diplomarbeit FZ)1,(Diplomarbeit FZ)2,(Diplomarbeit FZ)3,(Diplomarbeit FZ)4,(Diplomarbeit FZ)5,(Diplomarbeit FZ)6,(Diplomarbeit FZ)7,(Diplomarbeit FZ)8,16 Poin"/>
    <w:uiPriority w:val="99"/>
    <w:qFormat/>
    <w:rsid w:val="00587BAC"/>
    <w:rPr>
      <w:sz w:val="18"/>
      <w:vertAlign w:val="superscript"/>
    </w:rPr>
  </w:style>
  <w:style w:type="paragraph" w:styleId="FootnoteText">
    <w:name w:val="footnote text"/>
    <w:aliases w:val="fn,Geneva 9,Font: Geneva 9,Boston 10,f,ft,Fotnotstext Char,ft Char,single space,FOOTNOTES,ADB,single space1,footnote text1,FOOTNOTES1,fn1,ADB1,single space2,footnote text2,FOOTNOTES2,fn2,ADB2,single space3,footnote text3,fn3,footnote text"/>
    <w:basedOn w:val="Normal"/>
    <w:link w:val="FootnoteTextChar"/>
    <w:uiPriority w:val="99"/>
    <w:qFormat/>
    <w:rsid w:val="00943468"/>
    <w:pPr>
      <w:keepLines/>
      <w:spacing w:after="60"/>
      <w:ind w:firstLine="720"/>
    </w:pPr>
    <w:rPr>
      <w:sz w:val="18"/>
    </w:rPr>
  </w:style>
  <w:style w:type="paragraph" w:customStyle="1" w:styleId="HEADING">
    <w:name w:val="HEADING"/>
    <w:basedOn w:val="Normal"/>
    <w:rsid w:val="00943468"/>
    <w:pPr>
      <w:keepNext/>
      <w:tabs>
        <w:tab w:val="left" w:pos="426"/>
      </w:tabs>
      <w:spacing w:before="120" w:after="120"/>
      <w:jc w:val="center"/>
    </w:pPr>
    <w:rPr>
      <w:rFonts w:ascii="Times New Roman Bold" w:hAnsi="Times New Roman Bold" w:cs="Times New Roman"/>
      <w:b/>
      <w:bCs/>
      <w:caps/>
    </w:rPr>
  </w:style>
  <w:style w:type="paragraph" w:customStyle="1" w:styleId="Heading-plain">
    <w:name w:val="Heading - plain"/>
    <w:basedOn w:val="Heading2"/>
    <w:next w:val="BodyText"/>
    <w:rsid w:val="00943468"/>
    <w:pPr>
      <w:tabs>
        <w:tab w:val="clear" w:pos="720"/>
        <w:tab w:val="left" w:pos="900"/>
      </w:tabs>
    </w:pPr>
    <w:rPr>
      <w:rFonts w:eastAsia="Batang" w:cs="Times New Roman"/>
      <w:b w:val="0"/>
      <w:bCs w:val="0"/>
      <w:szCs w:val="20"/>
    </w:rPr>
  </w:style>
  <w:style w:type="paragraph" w:customStyle="1" w:styleId="HEADINGNOTFORTOC">
    <w:name w:val="HEADING (NOT FOR TOC)"/>
    <w:basedOn w:val="Heading1"/>
    <w:next w:val="Heading2"/>
    <w:rsid w:val="00943468"/>
  </w:style>
  <w:style w:type="paragraph" w:customStyle="1" w:styleId="Heading1longmultiline">
    <w:name w:val="Heading 1 (long multiline)"/>
    <w:basedOn w:val="Heading1"/>
    <w:rsid w:val="00943468"/>
    <w:pPr>
      <w:ind w:left="1843" w:hanging="1134"/>
    </w:pPr>
  </w:style>
  <w:style w:type="paragraph" w:customStyle="1" w:styleId="Heading1multiline">
    <w:name w:val="Heading 1 (multiline)"/>
    <w:basedOn w:val="Heading1"/>
    <w:rsid w:val="00943468"/>
    <w:pPr>
      <w:ind w:left="1843" w:right="996" w:hanging="567"/>
    </w:pPr>
  </w:style>
  <w:style w:type="paragraph" w:customStyle="1" w:styleId="Heading2multiline">
    <w:name w:val="Heading 2 (multiline)"/>
    <w:basedOn w:val="Heading1"/>
    <w:next w:val="Normal"/>
    <w:rsid w:val="00943468"/>
    <w:pPr>
      <w:ind w:left="1843" w:right="998" w:hanging="567"/>
    </w:pPr>
    <w:rPr>
      <w:i/>
      <w:iCs w:val="0"/>
      <w:caps/>
    </w:rPr>
  </w:style>
  <w:style w:type="paragraph" w:customStyle="1" w:styleId="Heading2longmultiline">
    <w:name w:val="Heading 2 (long multiline)"/>
    <w:basedOn w:val="Heading2multiline"/>
    <w:rsid w:val="00943468"/>
    <w:pPr>
      <w:ind w:left="2127" w:hanging="1276"/>
    </w:pPr>
  </w:style>
  <w:style w:type="paragraph" w:customStyle="1" w:styleId="Heading2noletter">
    <w:name w:val="Heading 2 (no letter)"/>
    <w:basedOn w:val="Heading2"/>
    <w:rsid w:val="00943468"/>
    <w:pPr>
      <w:tabs>
        <w:tab w:val="clear" w:pos="720"/>
      </w:tabs>
    </w:pPr>
    <w:rPr>
      <w:rFonts w:cs="Times New Roman"/>
    </w:rPr>
  </w:style>
  <w:style w:type="character" w:customStyle="1" w:styleId="Heading2CharChar">
    <w:name w:val="Heading 2 Char Char"/>
    <w:rsid w:val="00943468"/>
    <w:rPr>
      <w:rFonts w:ascii="Arial" w:hAnsi="Arial" w:cs="Arial"/>
      <w:b/>
      <w:bCs/>
      <w:i/>
      <w:iCs/>
      <w:noProof w:val="0"/>
      <w:sz w:val="28"/>
      <w:szCs w:val="28"/>
      <w:lang w:val="en-US" w:eastAsia="en-US" w:bidi="ar-SA"/>
    </w:rPr>
  </w:style>
  <w:style w:type="paragraph" w:customStyle="1" w:styleId="Heading3multiline">
    <w:name w:val="Heading 3 (multiline)"/>
    <w:basedOn w:val="Heading3"/>
    <w:next w:val="Normal"/>
    <w:rsid w:val="00943468"/>
    <w:pPr>
      <w:ind w:left="1418" w:hanging="425"/>
      <w:jc w:val="left"/>
    </w:pPr>
  </w:style>
  <w:style w:type="paragraph" w:customStyle="1" w:styleId="Heading-plain0">
    <w:name w:val="Heading-plain"/>
    <w:basedOn w:val="Normal"/>
    <w:rsid w:val="00943468"/>
    <w:pPr>
      <w:spacing w:before="120" w:after="120"/>
      <w:jc w:val="center"/>
      <w:outlineLvl w:val="0"/>
    </w:pPr>
    <w:rPr>
      <w:i/>
      <w:szCs w:val="20"/>
    </w:rPr>
  </w:style>
  <w:style w:type="paragraph" w:customStyle="1" w:styleId="Heading-plainbold">
    <w:name w:val="Heading-plain bold"/>
    <w:basedOn w:val="BodyText"/>
    <w:rsid w:val="00943468"/>
    <w:pPr>
      <w:ind w:firstLine="0"/>
      <w:jc w:val="center"/>
    </w:pPr>
    <w:rPr>
      <w:b/>
      <w:bCs/>
      <w:i/>
      <w:iCs w:val="0"/>
    </w:rPr>
  </w:style>
  <w:style w:type="paragraph" w:customStyle="1" w:styleId="Heading-plainitalic">
    <w:name w:val="Heading-plain italic"/>
    <w:basedOn w:val="Heading-plainbold"/>
    <w:rsid w:val="00943468"/>
    <w:rPr>
      <w:b w:val="0"/>
      <w:bCs w:val="0"/>
    </w:rPr>
  </w:style>
  <w:style w:type="character" w:styleId="Hyperlink">
    <w:name w:val="Hyperlink"/>
    <w:uiPriority w:val="99"/>
    <w:rsid w:val="00943468"/>
    <w:rPr>
      <w:color w:val="0000FF"/>
      <w:u w:val="single"/>
    </w:rPr>
  </w:style>
  <w:style w:type="paragraph" w:styleId="NormalWeb">
    <w:name w:val="Normal (Web)"/>
    <w:basedOn w:val="Normal"/>
    <w:uiPriority w:val="99"/>
    <w:rsid w:val="00943468"/>
    <w:pPr>
      <w:spacing w:before="100" w:beforeAutospacing="1" w:after="100" w:afterAutospacing="1"/>
      <w:jc w:val="left"/>
    </w:pPr>
    <w:rPr>
      <w:rFonts w:ascii="Verdana" w:hAnsi="Verdana"/>
      <w:color w:val="000000"/>
      <w:sz w:val="18"/>
      <w:szCs w:val="18"/>
      <w:lang w:val="en-US"/>
    </w:rPr>
  </w:style>
  <w:style w:type="paragraph" w:customStyle="1" w:styleId="Para1">
    <w:name w:val="Para 1"/>
    <w:basedOn w:val="BodyText"/>
    <w:rsid w:val="00FB385A"/>
    <w:pPr>
      <w:numPr>
        <w:numId w:val="8"/>
      </w:numPr>
      <w:ind w:left="0" w:firstLine="0"/>
    </w:pPr>
    <w:rPr>
      <w:rFonts w:eastAsia="MS Mincho"/>
      <w:bCs/>
      <w:iCs w:val="0"/>
      <w:szCs w:val="22"/>
    </w:rPr>
  </w:style>
  <w:style w:type="character" w:customStyle="1" w:styleId="Para1Char">
    <w:name w:val="Para 1 Char"/>
    <w:rsid w:val="00943468"/>
    <w:rPr>
      <w:rFonts w:eastAsia="MS Mincho"/>
      <w:bCs/>
      <w:iCs/>
      <w:sz w:val="22"/>
      <w:szCs w:val="22"/>
      <w:lang w:val="en-GB" w:eastAsia="en-US" w:bidi="ar-SA"/>
    </w:rPr>
  </w:style>
  <w:style w:type="paragraph" w:styleId="ListParagraph">
    <w:name w:val="List Paragraph"/>
    <w:basedOn w:val="Normal"/>
    <w:uiPriority w:val="34"/>
    <w:qFormat/>
    <w:rsid w:val="000E7A47"/>
    <w:pPr>
      <w:ind w:left="720"/>
      <w:jc w:val="left"/>
    </w:pPr>
    <w:rPr>
      <w:rFonts w:ascii="Calibri" w:eastAsia="Calibri" w:hAnsi="Calibri" w:cs="Calibri"/>
      <w:szCs w:val="22"/>
      <w:lang w:val="en-US"/>
    </w:rPr>
  </w:style>
  <w:style w:type="paragraph" w:customStyle="1" w:styleId="Paraofficial">
    <w:name w:val="Para official"/>
    <w:basedOn w:val="Normal"/>
    <w:rsid w:val="00943468"/>
    <w:pPr>
      <w:framePr w:hSpace="187" w:vSpace="187" w:wrap="notBeside" w:vAnchor="text" w:hAnchor="text" w:y="1"/>
      <w:numPr>
        <w:numId w:val="2"/>
      </w:numPr>
      <w:spacing w:before="240" w:after="240"/>
      <w:jc w:val="left"/>
    </w:pPr>
    <w:rPr>
      <w:szCs w:val="20"/>
    </w:rPr>
  </w:style>
  <w:style w:type="character" w:customStyle="1" w:styleId="HeaderChar">
    <w:name w:val="Header Char"/>
    <w:link w:val="Header"/>
    <w:uiPriority w:val="99"/>
    <w:rsid w:val="000E7A47"/>
    <w:rPr>
      <w:rFonts w:cs="Angsana New"/>
      <w:sz w:val="22"/>
      <w:szCs w:val="24"/>
      <w:lang w:val="en-GB"/>
    </w:rPr>
  </w:style>
  <w:style w:type="paragraph" w:customStyle="1" w:styleId="Para1Char0">
    <w:name w:val="Para1 Char"/>
    <w:basedOn w:val="Normal"/>
    <w:rsid w:val="00943468"/>
    <w:pPr>
      <w:tabs>
        <w:tab w:val="num" w:pos="720"/>
      </w:tabs>
      <w:spacing w:before="120" w:after="120"/>
      <w:ind w:left="360"/>
    </w:pPr>
    <w:rPr>
      <w:snapToGrid w:val="0"/>
      <w:szCs w:val="18"/>
    </w:rPr>
  </w:style>
  <w:style w:type="paragraph" w:customStyle="1" w:styleId="Para1-Annex">
    <w:name w:val="Para1-Annex"/>
    <w:basedOn w:val="Normal"/>
    <w:rsid w:val="00943468"/>
    <w:pPr>
      <w:numPr>
        <w:numId w:val="3"/>
      </w:numPr>
      <w:spacing w:after="120"/>
    </w:pPr>
    <w:rPr>
      <w:rFonts w:cs="Times New Roman"/>
      <w:szCs w:val="22"/>
      <w:lang w:val="en-US"/>
    </w:rPr>
  </w:style>
  <w:style w:type="paragraph" w:customStyle="1" w:styleId="Para2">
    <w:name w:val="Para2"/>
    <w:basedOn w:val="Normal"/>
    <w:rsid w:val="00FB385A"/>
    <w:pPr>
      <w:autoSpaceDE w:val="0"/>
      <w:autoSpaceDN w:val="0"/>
      <w:spacing w:after="120"/>
    </w:pPr>
    <w:rPr>
      <w:snapToGrid w:val="0"/>
      <w:szCs w:val="18"/>
    </w:rPr>
  </w:style>
  <w:style w:type="paragraph" w:customStyle="1" w:styleId="para20">
    <w:name w:val="para2"/>
    <w:basedOn w:val="para2a"/>
    <w:rsid w:val="00FB385A"/>
  </w:style>
  <w:style w:type="paragraph" w:customStyle="1" w:styleId="Para3">
    <w:name w:val="Para3"/>
    <w:basedOn w:val="Normal"/>
    <w:rsid w:val="00943468"/>
    <w:pPr>
      <w:numPr>
        <w:ilvl w:val="2"/>
        <w:numId w:val="5"/>
      </w:numPr>
      <w:tabs>
        <w:tab w:val="left" w:pos="1980"/>
      </w:tabs>
      <w:spacing w:before="80" w:after="80"/>
    </w:pPr>
    <w:rPr>
      <w:szCs w:val="20"/>
    </w:rPr>
  </w:style>
  <w:style w:type="paragraph" w:customStyle="1" w:styleId="Para40">
    <w:name w:val="Para4"/>
    <w:basedOn w:val="Para3"/>
    <w:rsid w:val="00943468"/>
    <w:pPr>
      <w:numPr>
        <w:ilvl w:val="0"/>
        <w:numId w:val="0"/>
      </w:numPr>
      <w:tabs>
        <w:tab w:val="clear" w:pos="1980"/>
        <w:tab w:val="left" w:pos="2552"/>
        <w:tab w:val="num" w:pos="3540"/>
      </w:tabs>
      <w:ind w:left="2552" w:hanging="567"/>
    </w:pPr>
    <w:rPr>
      <w:lang w:val="en-US"/>
    </w:rPr>
  </w:style>
  <w:style w:type="paragraph" w:customStyle="1" w:styleId="para4">
    <w:name w:val="para4"/>
    <w:basedOn w:val="Normal"/>
    <w:rsid w:val="00943468"/>
    <w:pPr>
      <w:numPr>
        <w:ilvl w:val="3"/>
        <w:numId w:val="6"/>
      </w:numPr>
      <w:overflowPunct w:val="0"/>
      <w:autoSpaceDE w:val="0"/>
      <w:autoSpaceDN w:val="0"/>
      <w:adjustRightInd w:val="0"/>
      <w:spacing w:after="120" w:line="240" w:lineRule="atLeast"/>
      <w:textAlignment w:val="baseline"/>
    </w:pPr>
    <w:rPr>
      <w:rFonts w:ascii="Courier" w:hAnsi="Courier"/>
      <w:color w:val="000000"/>
      <w:sz w:val="20"/>
      <w:szCs w:val="20"/>
    </w:rPr>
  </w:style>
  <w:style w:type="paragraph" w:customStyle="1" w:styleId="Paranum">
    <w:name w:val="Paranum"/>
    <w:basedOn w:val="Normal"/>
    <w:rsid w:val="00FB385A"/>
    <w:pPr>
      <w:numPr>
        <w:numId w:val="7"/>
      </w:numPr>
      <w:spacing w:after="120" w:line="240" w:lineRule="exact"/>
    </w:pPr>
    <w:rPr>
      <w:szCs w:val="20"/>
      <w:lang w:val="en-US"/>
    </w:rPr>
  </w:style>
  <w:style w:type="character" w:styleId="Strong">
    <w:name w:val="Strong"/>
    <w:uiPriority w:val="22"/>
    <w:qFormat/>
    <w:rsid w:val="00943468"/>
    <w:rPr>
      <w:b/>
      <w:bCs/>
    </w:rPr>
  </w:style>
  <w:style w:type="paragraph" w:customStyle="1" w:styleId="StyleBodyTextTimesNewRoman11ptCharChar">
    <w:name w:val="Style Body Text + Times New Roman 11 pt Char Char"/>
    <w:basedOn w:val="BodyText"/>
    <w:rsid w:val="00943468"/>
    <w:rPr>
      <w:iCs w:val="0"/>
      <w:snapToGrid w:val="0"/>
      <w:color w:val="000000"/>
      <w:szCs w:val="22"/>
      <w:lang w:val="en-US"/>
    </w:rPr>
  </w:style>
  <w:style w:type="character" w:customStyle="1" w:styleId="StyleBodyTextTimesNewRoman11ptCharCharChar">
    <w:name w:val="Style Body Text + Times New Roman 11 pt Char Char Char"/>
    <w:rsid w:val="00943468"/>
    <w:rPr>
      <w:rFonts w:cs="Angsana New"/>
      <w:iCs/>
      <w:snapToGrid/>
      <w:color w:val="000000"/>
      <w:sz w:val="22"/>
      <w:szCs w:val="22"/>
      <w:lang w:val="en-US" w:eastAsia="en-US" w:bidi="ar-SA"/>
    </w:rPr>
  </w:style>
  <w:style w:type="paragraph" w:customStyle="1" w:styleId="StylePara1Firstline127cm">
    <w:name w:val="Style Para1 + First line:  1.27 cm"/>
    <w:basedOn w:val="Normal"/>
    <w:rsid w:val="00FB385A"/>
    <w:pPr>
      <w:tabs>
        <w:tab w:val="num" w:pos="360"/>
      </w:tabs>
      <w:spacing w:after="120"/>
    </w:pPr>
    <w:rPr>
      <w:snapToGrid w:val="0"/>
      <w:szCs w:val="20"/>
    </w:rPr>
  </w:style>
  <w:style w:type="paragraph" w:customStyle="1" w:styleId="StylePara1Italic">
    <w:name w:val="Style Para1 + Italic"/>
    <w:basedOn w:val="Normal"/>
    <w:rsid w:val="00FB385A"/>
    <w:pPr>
      <w:spacing w:before="120" w:after="120"/>
    </w:pPr>
    <w:rPr>
      <w:rFonts w:cs="Times New Roman"/>
      <w:i/>
      <w:iCs/>
      <w:snapToGrid w:val="0"/>
      <w:szCs w:val="18"/>
    </w:rPr>
  </w:style>
  <w:style w:type="paragraph" w:styleId="Title">
    <w:name w:val="Title"/>
    <w:basedOn w:val="Normal"/>
    <w:qFormat/>
    <w:rsid w:val="00943468"/>
    <w:pPr>
      <w:jc w:val="center"/>
    </w:pPr>
    <w:rPr>
      <w:i/>
      <w:iCs/>
    </w:rPr>
  </w:style>
  <w:style w:type="paragraph" w:styleId="TOC1">
    <w:name w:val="toc 1"/>
    <w:basedOn w:val="Normal"/>
    <w:next w:val="Normal"/>
    <w:autoRedefine/>
    <w:semiHidden/>
    <w:rsid w:val="00943468"/>
    <w:pPr>
      <w:tabs>
        <w:tab w:val="left" w:pos="1440"/>
        <w:tab w:val="right" w:leader="dot" w:pos="9360"/>
      </w:tabs>
      <w:spacing w:after="120"/>
      <w:ind w:left="1440" w:right="540" w:hanging="1440"/>
      <w:jc w:val="left"/>
    </w:pPr>
    <w:rPr>
      <w:noProof/>
      <w:szCs w:val="22"/>
    </w:rPr>
  </w:style>
  <w:style w:type="paragraph" w:styleId="TOC2">
    <w:name w:val="toc 2"/>
    <w:basedOn w:val="Normal"/>
    <w:next w:val="Normal"/>
    <w:autoRedefine/>
    <w:semiHidden/>
    <w:rsid w:val="00943468"/>
    <w:pPr>
      <w:tabs>
        <w:tab w:val="left" w:pos="2700"/>
        <w:tab w:val="right" w:leader="dot" w:pos="9360"/>
      </w:tabs>
      <w:ind w:left="2160" w:right="720" w:hanging="1260"/>
    </w:pPr>
    <w:rPr>
      <w:noProof/>
      <w:szCs w:val="22"/>
    </w:rPr>
  </w:style>
  <w:style w:type="paragraph" w:styleId="TOC3">
    <w:name w:val="toc 3"/>
    <w:basedOn w:val="Normal"/>
    <w:next w:val="Normal"/>
    <w:autoRedefine/>
    <w:semiHidden/>
    <w:rsid w:val="00943468"/>
    <w:pPr>
      <w:ind w:left="2160" w:hanging="720"/>
    </w:pPr>
  </w:style>
  <w:style w:type="paragraph" w:styleId="TOC5">
    <w:name w:val="toc 5"/>
    <w:basedOn w:val="Normal"/>
    <w:next w:val="Normal"/>
    <w:autoRedefine/>
    <w:semiHidden/>
    <w:rsid w:val="00943468"/>
    <w:pPr>
      <w:ind w:left="880"/>
    </w:pPr>
  </w:style>
  <w:style w:type="paragraph" w:customStyle="1" w:styleId="MediumGrid1-Accent21">
    <w:name w:val="Medium Grid 1 - Accent 21"/>
    <w:basedOn w:val="Normal"/>
    <w:uiPriority w:val="34"/>
    <w:qFormat/>
    <w:rsid w:val="00F03479"/>
    <w:pPr>
      <w:ind w:left="720"/>
      <w:contextualSpacing/>
    </w:pPr>
  </w:style>
  <w:style w:type="paragraph" w:customStyle="1" w:styleId="para2a">
    <w:name w:val="para 2 (a)"/>
    <w:basedOn w:val="Normal"/>
    <w:qFormat/>
    <w:rsid w:val="00FB385A"/>
    <w:pPr>
      <w:numPr>
        <w:numId w:val="4"/>
      </w:numPr>
      <w:spacing w:after="120"/>
      <w:ind w:left="0" w:firstLine="763"/>
    </w:pPr>
    <w:rPr>
      <w:rFonts w:eastAsia="MS Mincho"/>
      <w:snapToGrid w:val="0"/>
      <w:szCs w:val="18"/>
    </w:rPr>
  </w:style>
  <w:style w:type="character" w:customStyle="1" w:styleId="FooterChar">
    <w:name w:val="Footer Char"/>
    <w:link w:val="Footer"/>
    <w:uiPriority w:val="99"/>
    <w:rsid w:val="00A24494"/>
    <w:rPr>
      <w:rFonts w:cs="Angsana New"/>
      <w:sz w:val="22"/>
      <w:szCs w:val="24"/>
      <w:lang w:val="en-GB"/>
    </w:rPr>
  </w:style>
  <w:style w:type="character" w:customStyle="1" w:styleId="FootnoteTextChar">
    <w:name w:val="Footnote Text Char"/>
    <w:aliases w:val="fn Char,Geneva 9 Char,Font: Geneva 9 Char,Boston 10 Char,f Char,ft Char1,Fotnotstext Char Char,ft Char Char,single space Char,FOOTNOTES Char,ADB Char,single space1 Char,footnote text1 Char,FOOTNOTES1 Char,fn1 Char,ADB1 Char,fn2 Char"/>
    <w:link w:val="FootnoteText"/>
    <w:uiPriority w:val="99"/>
    <w:rsid w:val="00C3658C"/>
    <w:rPr>
      <w:rFonts w:cs="Angsana New"/>
      <w:sz w:val="18"/>
      <w:szCs w:val="24"/>
      <w:lang w:val="en-GB"/>
    </w:rPr>
  </w:style>
  <w:style w:type="character" w:customStyle="1" w:styleId="Heading2Char">
    <w:name w:val="Heading 2 Char"/>
    <w:link w:val="Heading2"/>
    <w:rsid w:val="00D7123B"/>
    <w:rPr>
      <w:rFonts w:cs="Angsana New"/>
      <w:b/>
      <w:bCs/>
      <w:iCs/>
      <w:sz w:val="22"/>
      <w:szCs w:val="24"/>
      <w:lang w:val="en-GB"/>
    </w:rPr>
  </w:style>
  <w:style w:type="table" w:styleId="TableGrid">
    <w:name w:val="Table Grid"/>
    <w:basedOn w:val="TableNormal"/>
    <w:uiPriority w:val="59"/>
    <w:rsid w:val="00540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E5352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Default">
    <w:name w:val="Default"/>
    <w:rsid w:val="00837820"/>
    <w:pPr>
      <w:autoSpaceDE w:val="0"/>
      <w:autoSpaceDN w:val="0"/>
      <w:adjustRightInd w:val="0"/>
    </w:pPr>
    <w:rPr>
      <w:rFonts w:eastAsia="Calibri"/>
      <w:color w:val="000000"/>
      <w:sz w:val="24"/>
      <w:szCs w:val="24"/>
      <w:lang w:val="en-US" w:eastAsia="en-US"/>
    </w:rPr>
  </w:style>
  <w:style w:type="paragraph" w:styleId="PlainText">
    <w:name w:val="Plain Text"/>
    <w:basedOn w:val="Normal"/>
    <w:link w:val="PlainTextChar"/>
    <w:uiPriority w:val="99"/>
    <w:unhideWhenUsed/>
    <w:rsid w:val="008022F8"/>
    <w:pPr>
      <w:jc w:val="left"/>
    </w:pPr>
    <w:rPr>
      <w:rFonts w:ascii="Calibri" w:eastAsia="Calibri" w:hAnsi="Calibri" w:cs="Times New Roman"/>
      <w:szCs w:val="21"/>
    </w:rPr>
  </w:style>
  <w:style w:type="character" w:customStyle="1" w:styleId="PlainTextChar">
    <w:name w:val="Plain Text Char"/>
    <w:link w:val="PlainText"/>
    <w:uiPriority w:val="99"/>
    <w:rsid w:val="008022F8"/>
    <w:rPr>
      <w:rFonts w:ascii="Calibri" w:eastAsia="Calibri" w:hAnsi="Calibri"/>
      <w:sz w:val="22"/>
      <w:szCs w:val="21"/>
    </w:rPr>
  </w:style>
  <w:style w:type="character" w:customStyle="1" w:styleId="Heading1Char">
    <w:name w:val="Heading 1 Char"/>
    <w:link w:val="Heading1"/>
    <w:rsid w:val="00284A69"/>
    <w:rPr>
      <w:b/>
      <w:bCs/>
      <w:iCs/>
      <w:sz w:val="24"/>
      <w:szCs w:val="24"/>
      <w:lang w:eastAsia="en-US"/>
    </w:rPr>
  </w:style>
  <w:style w:type="paragraph" w:customStyle="1" w:styleId="Para10">
    <w:name w:val="Para1"/>
    <w:basedOn w:val="Normal"/>
    <w:rsid w:val="00561DCD"/>
    <w:pPr>
      <w:tabs>
        <w:tab w:val="num" w:pos="360"/>
      </w:tabs>
      <w:spacing w:before="120" w:after="120"/>
    </w:pPr>
    <w:rPr>
      <w:rFonts w:cs="Times New Roman"/>
      <w:snapToGrid w:val="0"/>
      <w:szCs w:val="18"/>
    </w:rPr>
  </w:style>
  <w:style w:type="paragraph" w:customStyle="1" w:styleId="Chaptertext">
    <w:name w:val="Chapter text"/>
    <w:basedOn w:val="Normal"/>
    <w:qFormat/>
    <w:rsid w:val="00B1238F"/>
    <w:pPr>
      <w:spacing w:after="200" w:line="270" w:lineRule="atLeast"/>
      <w:jc w:val="left"/>
    </w:pPr>
    <w:rPr>
      <w:rFonts w:ascii="Constantia" w:eastAsiaTheme="minorHAnsi" w:hAnsi="Constantia" w:cstheme="minorBidi"/>
      <w:sz w:val="20"/>
      <w:szCs w:val="22"/>
    </w:rPr>
  </w:style>
  <w:style w:type="character" w:customStyle="1" w:styleId="A4">
    <w:name w:val="A4"/>
    <w:uiPriority w:val="99"/>
    <w:rsid w:val="005E065B"/>
    <w:rPr>
      <w:rFonts w:cs="Adobe Garamond Pro"/>
      <w:color w:val="000000"/>
      <w:sz w:val="19"/>
      <w:szCs w:val="19"/>
    </w:rPr>
  </w:style>
  <w:style w:type="paragraph" w:styleId="NoSpacing">
    <w:name w:val="No Spacing"/>
    <w:link w:val="NoSpacingChar"/>
    <w:uiPriority w:val="1"/>
    <w:qFormat/>
    <w:rsid w:val="00021F5B"/>
    <w:rPr>
      <w:rFonts w:ascii="Calibri" w:eastAsia="Calibri" w:hAnsi="Calibri"/>
      <w:sz w:val="22"/>
      <w:szCs w:val="22"/>
      <w:lang w:eastAsia="en-US"/>
    </w:rPr>
  </w:style>
  <w:style w:type="paragraph" w:styleId="Revision">
    <w:name w:val="Revision"/>
    <w:hidden/>
    <w:uiPriority w:val="99"/>
    <w:semiHidden/>
    <w:rsid w:val="00432C97"/>
    <w:rPr>
      <w:rFonts w:cs="Angsana New"/>
      <w:sz w:val="22"/>
      <w:szCs w:val="24"/>
      <w:lang w:eastAsia="en-US"/>
    </w:rPr>
  </w:style>
  <w:style w:type="character" w:customStyle="1" w:styleId="apple-converted-space">
    <w:name w:val="apple-converted-space"/>
    <w:basedOn w:val="DefaultParagraphFont"/>
    <w:rsid w:val="000B41E2"/>
  </w:style>
  <w:style w:type="character" w:styleId="Emphasis">
    <w:name w:val="Emphasis"/>
    <w:basedOn w:val="DefaultParagraphFont"/>
    <w:uiPriority w:val="20"/>
    <w:qFormat/>
    <w:rsid w:val="000B41E2"/>
    <w:rPr>
      <w:i/>
      <w:iCs/>
    </w:rPr>
  </w:style>
  <w:style w:type="table" w:customStyle="1" w:styleId="TableGrid1">
    <w:name w:val="Table Grid1"/>
    <w:basedOn w:val="TableNormal"/>
    <w:next w:val="TableGrid"/>
    <w:uiPriority w:val="59"/>
    <w:rsid w:val="006429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9D0F76"/>
    <w:rPr>
      <w:rFonts w:ascii="Calibri" w:eastAsia="Calibri" w:hAnsi="Calibri"/>
      <w:sz w:val="22"/>
      <w:szCs w:val="22"/>
      <w:lang w:eastAsia="en-US"/>
    </w:rPr>
  </w:style>
  <w:style w:type="character" w:customStyle="1" w:styleId="UnresolvedMention1">
    <w:name w:val="Unresolved Mention1"/>
    <w:basedOn w:val="DefaultParagraphFont"/>
    <w:uiPriority w:val="99"/>
    <w:semiHidden/>
    <w:unhideWhenUsed/>
    <w:rsid w:val="00AC1C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78620">
      <w:bodyDiv w:val="1"/>
      <w:marLeft w:val="0"/>
      <w:marRight w:val="0"/>
      <w:marTop w:val="0"/>
      <w:marBottom w:val="0"/>
      <w:divBdr>
        <w:top w:val="none" w:sz="0" w:space="0" w:color="auto"/>
        <w:left w:val="none" w:sz="0" w:space="0" w:color="auto"/>
        <w:bottom w:val="none" w:sz="0" w:space="0" w:color="auto"/>
        <w:right w:val="none" w:sz="0" w:space="0" w:color="auto"/>
      </w:divBdr>
    </w:div>
    <w:div w:id="43988704">
      <w:bodyDiv w:val="1"/>
      <w:marLeft w:val="0"/>
      <w:marRight w:val="0"/>
      <w:marTop w:val="0"/>
      <w:marBottom w:val="0"/>
      <w:divBdr>
        <w:top w:val="none" w:sz="0" w:space="0" w:color="auto"/>
        <w:left w:val="none" w:sz="0" w:space="0" w:color="auto"/>
        <w:bottom w:val="none" w:sz="0" w:space="0" w:color="auto"/>
        <w:right w:val="none" w:sz="0" w:space="0" w:color="auto"/>
      </w:divBdr>
    </w:div>
    <w:div w:id="44112991">
      <w:bodyDiv w:val="1"/>
      <w:marLeft w:val="0"/>
      <w:marRight w:val="0"/>
      <w:marTop w:val="0"/>
      <w:marBottom w:val="0"/>
      <w:divBdr>
        <w:top w:val="none" w:sz="0" w:space="0" w:color="auto"/>
        <w:left w:val="none" w:sz="0" w:space="0" w:color="auto"/>
        <w:bottom w:val="none" w:sz="0" w:space="0" w:color="auto"/>
        <w:right w:val="none" w:sz="0" w:space="0" w:color="auto"/>
      </w:divBdr>
    </w:div>
    <w:div w:id="61762445">
      <w:bodyDiv w:val="1"/>
      <w:marLeft w:val="0"/>
      <w:marRight w:val="0"/>
      <w:marTop w:val="0"/>
      <w:marBottom w:val="0"/>
      <w:divBdr>
        <w:top w:val="none" w:sz="0" w:space="0" w:color="auto"/>
        <w:left w:val="none" w:sz="0" w:space="0" w:color="auto"/>
        <w:bottom w:val="none" w:sz="0" w:space="0" w:color="auto"/>
        <w:right w:val="none" w:sz="0" w:space="0" w:color="auto"/>
      </w:divBdr>
    </w:div>
    <w:div w:id="71441018">
      <w:bodyDiv w:val="1"/>
      <w:marLeft w:val="0"/>
      <w:marRight w:val="0"/>
      <w:marTop w:val="0"/>
      <w:marBottom w:val="0"/>
      <w:divBdr>
        <w:top w:val="none" w:sz="0" w:space="0" w:color="auto"/>
        <w:left w:val="none" w:sz="0" w:space="0" w:color="auto"/>
        <w:bottom w:val="none" w:sz="0" w:space="0" w:color="auto"/>
        <w:right w:val="none" w:sz="0" w:space="0" w:color="auto"/>
      </w:divBdr>
    </w:div>
    <w:div w:id="75134114">
      <w:bodyDiv w:val="1"/>
      <w:marLeft w:val="0"/>
      <w:marRight w:val="0"/>
      <w:marTop w:val="0"/>
      <w:marBottom w:val="0"/>
      <w:divBdr>
        <w:top w:val="none" w:sz="0" w:space="0" w:color="auto"/>
        <w:left w:val="none" w:sz="0" w:space="0" w:color="auto"/>
        <w:bottom w:val="none" w:sz="0" w:space="0" w:color="auto"/>
        <w:right w:val="none" w:sz="0" w:space="0" w:color="auto"/>
      </w:divBdr>
    </w:div>
    <w:div w:id="78062667">
      <w:bodyDiv w:val="1"/>
      <w:marLeft w:val="0"/>
      <w:marRight w:val="0"/>
      <w:marTop w:val="0"/>
      <w:marBottom w:val="0"/>
      <w:divBdr>
        <w:top w:val="none" w:sz="0" w:space="0" w:color="auto"/>
        <w:left w:val="none" w:sz="0" w:space="0" w:color="auto"/>
        <w:bottom w:val="none" w:sz="0" w:space="0" w:color="auto"/>
        <w:right w:val="none" w:sz="0" w:space="0" w:color="auto"/>
      </w:divBdr>
    </w:div>
    <w:div w:id="98455318">
      <w:bodyDiv w:val="1"/>
      <w:marLeft w:val="0"/>
      <w:marRight w:val="0"/>
      <w:marTop w:val="0"/>
      <w:marBottom w:val="0"/>
      <w:divBdr>
        <w:top w:val="none" w:sz="0" w:space="0" w:color="auto"/>
        <w:left w:val="none" w:sz="0" w:space="0" w:color="auto"/>
        <w:bottom w:val="none" w:sz="0" w:space="0" w:color="auto"/>
        <w:right w:val="none" w:sz="0" w:space="0" w:color="auto"/>
      </w:divBdr>
    </w:div>
    <w:div w:id="121272055">
      <w:bodyDiv w:val="1"/>
      <w:marLeft w:val="0"/>
      <w:marRight w:val="0"/>
      <w:marTop w:val="0"/>
      <w:marBottom w:val="0"/>
      <w:divBdr>
        <w:top w:val="none" w:sz="0" w:space="0" w:color="auto"/>
        <w:left w:val="none" w:sz="0" w:space="0" w:color="auto"/>
        <w:bottom w:val="none" w:sz="0" w:space="0" w:color="auto"/>
        <w:right w:val="none" w:sz="0" w:space="0" w:color="auto"/>
      </w:divBdr>
    </w:div>
    <w:div w:id="135268752">
      <w:bodyDiv w:val="1"/>
      <w:marLeft w:val="0"/>
      <w:marRight w:val="0"/>
      <w:marTop w:val="0"/>
      <w:marBottom w:val="0"/>
      <w:divBdr>
        <w:top w:val="none" w:sz="0" w:space="0" w:color="auto"/>
        <w:left w:val="none" w:sz="0" w:space="0" w:color="auto"/>
        <w:bottom w:val="none" w:sz="0" w:space="0" w:color="auto"/>
        <w:right w:val="none" w:sz="0" w:space="0" w:color="auto"/>
      </w:divBdr>
    </w:div>
    <w:div w:id="150685234">
      <w:bodyDiv w:val="1"/>
      <w:marLeft w:val="0"/>
      <w:marRight w:val="0"/>
      <w:marTop w:val="0"/>
      <w:marBottom w:val="0"/>
      <w:divBdr>
        <w:top w:val="none" w:sz="0" w:space="0" w:color="auto"/>
        <w:left w:val="none" w:sz="0" w:space="0" w:color="auto"/>
        <w:bottom w:val="none" w:sz="0" w:space="0" w:color="auto"/>
        <w:right w:val="none" w:sz="0" w:space="0" w:color="auto"/>
      </w:divBdr>
    </w:div>
    <w:div w:id="169612471">
      <w:bodyDiv w:val="1"/>
      <w:marLeft w:val="0"/>
      <w:marRight w:val="0"/>
      <w:marTop w:val="0"/>
      <w:marBottom w:val="0"/>
      <w:divBdr>
        <w:top w:val="none" w:sz="0" w:space="0" w:color="auto"/>
        <w:left w:val="none" w:sz="0" w:space="0" w:color="auto"/>
        <w:bottom w:val="none" w:sz="0" w:space="0" w:color="auto"/>
        <w:right w:val="none" w:sz="0" w:space="0" w:color="auto"/>
      </w:divBdr>
    </w:div>
    <w:div w:id="184948137">
      <w:bodyDiv w:val="1"/>
      <w:marLeft w:val="0"/>
      <w:marRight w:val="0"/>
      <w:marTop w:val="0"/>
      <w:marBottom w:val="0"/>
      <w:divBdr>
        <w:top w:val="none" w:sz="0" w:space="0" w:color="auto"/>
        <w:left w:val="none" w:sz="0" w:space="0" w:color="auto"/>
        <w:bottom w:val="none" w:sz="0" w:space="0" w:color="auto"/>
        <w:right w:val="none" w:sz="0" w:space="0" w:color="auto"/>
      </w:divBdr>
    </w:div>
    <w:div w:id="217015726">
      <w:bodyDiv w:val="1"/>
      <w:marLeft w:val="0"/>
      <w:marRight w:val="0"/>
      <w:marTop w:val="0"/>
      <w:marBottom w:val="0"/>
      <w:divBdr>
        <w:top w:val="none" w:sz="0" w:space="0" w:color="auto"/>
        <w:left w:val="none" w:sz="0" w:space="0" w:color="auto"/>
        <w:bottom w:val="none" w:sz="0" w:space="0" w:color="auto"/>
        <w:right w:val="none" w:sz="0" w:space="0" w:color="auto"/>
      </w:divBdr>
    </w:div>
    <w:div w:id="219440933">
      <w:bodyDiv w:val="1"/>
      <w:marLeft w:val="0"/>
      <w:marRight w:val="0"/>
      <w:marTop w:val="0"/>
      <w:marBottom w:val="0"/>
      <w:divBdr>
        <w:top w:val="none" w:sz="0" w:space="0" w:color="auto"/>
        <w:left w:val="none" w:sz="0" w:space="0" w:color="auto"/>
        <w:bottom w:val="none" w:sz="0" w:space="0" w:color="auto"/>
        <w:right w:val="none" w:sz="0" w:space="0" w:color="auto"/>
      </w:divBdr>
    </w:div>
    <w:div w:id="226110418">
      <w:bodyDiv w:val="1"/>
      <w:marLeft w:val="0"/>
      <w:marRight w:val="0"/>
      <w:marTop w:val="0"/>
      <w:marBottom w:val="0"/>
      <w:divBdr>
        <w:top w:val="none" w:sz="0" w:space="0" w:color="auto"/>
        <w:left w:val="none" w:sz="0" w:space="0" w:color="auto"/>
        <w:bottom w:val="none" w:sz="0" w:space="0" w:color="auto"/>
        <w:right w:val="none" w:sz="0" w:space="0" w:color="auto"/>
      </w:divBdr>
    </w:div>
    <w:div w:id="250504110">
      <w:bodyDiv w:val="1"/>
      <w:marLeft w:val="0"/>
      <w:marRight w:val="0"/>
      <w:marTop w:val="0"/>
      <w:marBottom w:val="0"/>
      <w:divBdr>
        <w:top w:val="none" w:sz="0" w:space="0" w:color="auto"/>
        <w:left w:val="none" w:sz="0" w:space="0" w:color="auto"/>
        <w:bottom w:val="none" w:sz="0" w:space="0" w:color="auto"/>
        <w:right w:val="none" w:sz="0" w:space="0" w:color="auto"/>
      </w:divBdr>
    </w:div>
    <w:div w:id="273900645">
      <w:bodyDiv w:val="1"/>
      <w:marLeft w:val="0"/>
      <w:marRight w:val="0"/>
      <w:marTop w:val="0"/>
      <w:marBottom w:val="0"/>
      <w:divBdr>
        <w:top w:val="none" w:sz="0" w:space="0" w:color="auto"/>
        <w:left w:val="none" w:sz="0" w:space="0" w:color="auto"/>
        <w:bottom w:val="none" w:sz="0" w:space="0" w:color="auto"/>
        <w:right w:val="none" w:sz="0" w:space="0" w:color="auto"/>
      </w:divBdr>
    </w:div>
    <w:div w:id="286854531">
      <w:bodyDiv w:val="1"/>
      <w:marLeft w:val="0"/>
      <w:marRight w:val="0"/>
      <w:marTop w:val="0"/>
      <w:marBottom w:val="0"/>
      <w:divBdr>
        <w:top w:val="none" w:sz="0" w:space="0" w:color="auto"/>
        <w:left w:val="none" w:sz="0" w:space="0" w:color="auto"/>
        <w:bottom w:val="none" w:sz="0" w:space="0" w:color="auto"/>
        <w:right w:val="none" w:sz="0" w:space="0" w:color="auto"/>
      </w:divBdr>
    </w:div>
    <w:div w:id="305864634">
      <w:bodyDiv w:val="1"/>
      <w:marLeft w:val="0"/>
      <w:marRight w:val="0"/>
      <w:marTop w:val="0"/>
      <w:marBottom w:val="0"/>
      <w:divBdr>
        <w:top w:val="none" w:sz="0" w:space="0" w:color="auto"/>
        <w:left w:val="none" w:sz="0" w:space="0" w:color="auto"/>
        <w:bottom w:val="none" w:sz="0" w:space="0" w:color="auto"/>
        <w:right w:val="none" w:sz="0" w:space="0" w:color="auto"/>
      </w:divBdr>
    </w:div>
    <w:div w:id="308675166">
      <w:bodyDiv w:val="1"/>
      <w:marLeft w:val="0"/>
      <w:marRight w:val="0"/>
      <w:marTop w:val="0"/>
      <w:marBottom w:val="0"/>
      <w:divBdr>
        <w:top w:val="none" w:sz="0" w:space="0" w:color="auto"/>
        <w:left w:val="none" w:sz="0" w:space="0" w:color="auto"/>
        <w:bottom w:val="none" w:sz="0" w:space="0" w:color="auto"/>
        <w:right w:val="none" w:sz="0" w:space="0" w:color="auto"/>
      </w:divBdr>
    </w:div>
    <w:div w:id="319500414">
      <w:bodyDiv w:val="1"/>
      <w:marLeft w:val="0"/>
      <w:marRight w:val="0"/>
      <w:marTop w:val="0"/>
      <w:marBottom w:val="0"/>
      <w:divBdr>
        <w:top w:val="none" w:sz="0" w:space="0" w:color="auto"/>
        <w:left w:val="none" w:sz="0" w:space="0" w:color="auto"/>
        <w:bottom w:val="none" w:sz="0" w:space="0" w:color="auto"/>
        <w:right w:val="none" w:sz="0" w:space="0" w:color="auto"/>
      </w:divBdr>
    </w:div>
    <w:div w:id="328868854">
      <w:bodyDiv w:val="1"/>
      <w:marLeft w:val="0"/>
      <w:marRight w:val="0"/>
      <w:marTop w:val="0"/>
      <w:marBottom w:val="0"/>
      <w:divBdr>
        <w:top w:val="none" w:sz="0" w:space="0" w:color="auto"/>
        <w:left w:val="none" w:sz="0" w:space="0" w:color="auto"/>
        <w:bottom w:val="none" w:sz="0" w:space="0" w:color="auto"/>
        <w:right w:val="none" w:sz="0" w:space="0" w:color="auto"/>
      </w:divBdr>
    </w:div>
    <w:div w:id="332993484">
      <w:bodyDiv w:val="1"/>
      <w:marLeft w:val="0"/>
      <w:marRight w:val="0"/>
      <w:marTop w:val="0"/>
      <w:marBottom w:val="0"/>
      <w:divBdr>
        <w:top w:val="none" w:sz="0" w:space="0" w:color="auto"/>
        <w:left w:val="none" w:sz="0" w:space="0" w:color="auto"/>
        <w:bottom w:val="none" w:sz="0" w:space="0" w:color="auto"/>
        <w:right w:val="none" w:sz="0" w:space="0" w:color="auto"/>
      </w:divBdr>
    </w:div>
    <w:div w:id="392969169">
      <w:bodyDiv w:val="1"/>
      <w:marLeft w:val="0"/>
      <w:marRight w:val="0"/>
      <w:marTop w:val="0"/>
      <w:marBottom w:val="0"/>
      <w:divBdr>
        <w:top w:val="none" w:sz="0" w:space="0" w:color="auto"/>
        <w:left w:val="none" w:sz="0" w:space="0" w:color="auto"/>
        <w:bottom w:val="none" w:sz="0" w:space="0" w:color="auto"/>
        <w:right w:val="none" w:sz="0" w:space="0" w:color="auto"/>
      </w:divBdr>
    </w:div>
    <w:div w:id="395905260">
      <w:bodyDiv w:val="1"/>
      <w:marLeft w:val="0"/>
      <w:marRight w:val="0"/>
      <w:marTop w:val="0"/>
      <w:marBottom w:val="0"/>
      <w:divBdr>
        <w:top w:val="none" w:sz="0" w:space="0" w:color="auto"/>
        <w:left w:val="none" w:sz="0" w:space="0" w:color="auto"/>
        <w:bottom w:val="none" w:sz="0" w:space="0" w:color="auto"/>
        <w:right w:val="none" w:sz="0" w:space="0" w:color="auto"/>
      </w:divBdr>
    </w:div>
    <w:div w:id="424765573">
      <w:bodyDiv w:val="1"/>
      <w:marLeft w:val="0"/>
      <w:marRight w:val="0"/>
      <w:marTop w:val="0"/>
      <w:marBottom w:val="0"/>
      <w:divBdr>
        <w:top w:val="none" w:sz="0" w:space="0" w:color="auto"/>
        <w:left w:val="none" w:sz="0" w:space="0" w:color="auto"/>
        <w:bottom w:val="none" w:sz="0" w:space="0" w:color="auto"/>
        <w:right w:val="none" w:sz="0" w:space="0" w:color="auto"/>
      </w:divBdr>
    </w:div>
    <w:div w:id="432168631">
      <w:bodyDiv w:val="1"/>
      <w:marLeft w:val="0"/>
      <w:marRight w:val="0"/>
      <w:marTop w:val="0"/>
      <w:marBottom w:val="0"/>
      <w:divBdr>
        <w:top w:val="none" w:sz="0" w:space="0" w:color="auto"/>
        <w:left w:val="none" w:sz="0" w:space="0" w:color="auto"/>
        <w:bottom w:val="none" w:sz="0" w:space="0" w:color="auto"/>
        <w:right w:val="none" w:sz="0" w:space="0" w:color="auto"/>
      </w:divBdr>
    </w:div>
    <w:div w:id="464782971">
      <w:bodyDiv w:val="1"/>
      <w:marLeft w:val="0"/>
      <w:marRight w:val="0"/>
      <w:marTop w:val="0"/>
      <w:marBottom w:val="0"/>
      <w:divBdr>
        <w:top w:val="none" w:sz="0" w:space="0" w:color="auto"/>
        <w:left w:val="none" w:sz="0" w:space="0" w:color="auto"/>
        <w:bottom w:val="none" w:sz="0" w:space="0" w:color="auto"/>
        <w:right w:val="none" w:sz="0" w:space="0" w:color="auto"/>
      </w:divBdr>
    </w:div>
    <w:div w:id="487602098">
      <w:bodyDiv w:val="1"/>
      <w:marLeft w:val="0"/>
      <w:marRight w:val="0"/>
      <w:marTop w:val="0"/>
      <w:marBottom w:val="0"/>
      <w:divBdr>
        <w:top w:val="none" w:sz="0" w:space="0" w:color="auto"/>
        <w:left w:val="none" w:sz="0" w:space="0" w:color="auto"/>
        <w:bottom w:val="none" w:sz="0" w:space="0" w:color="auto"/>
        <w:right w:val="none" w:sz="0" w:space="0" w:color="auto"/>
      </w:divBdr>
    </w:div>
    <w:div w:id="489979219">
      <w:bodyDiv w:val="1"/>
      <w:marLeft w:val="0"/>
      <w:marRight w:val="0"/>
      <w:marTop w:val="0"/>
      <w:marBottom w:val="0"/>
      <w:divBdr>
        <w:top w:val="none" w:sz="0" w:space="0" w:color="auto"/>
        <w:left w:val="none" w:sz="0" w:space="0" w:color="auto"/>
        <w:bottom w:val="none" w:sz="0" w:space="0" w:color="auto"/>
        <w:right w:val="none" w:sz="0" w:space="0" w:color="auto"/>
      </w:divBdr>
    </w:div>
    <w:div w:id="501353486">
      <w:bodyDiv w:val="1"/>
      <w:marLeft w:val="0"/>
      <w:marRight w:val="0"/>
      <w:marTop w:val="0"/>
      <w:marBottom w:val="0"/>
      <w:divBdr>
        <w:top w:val="none" w:sz="0" w:space="0" w:color="auto"/>
        <w:left w:val="none" w:sz="0" w:space="0" w:color="auto"/>
        <w:bottom w:val="none" w:sz="0" w:space="0" w:color="auto"/>
        <w:right w:val="none" w:sz="0" w:space="0" w:color="auto"/>
      </w:divBdr>
    </w:div>
    <w:div w:id="519969971">
      <w:bodyDiv w:val="1"/>
      <w:marLeft w:val="0"/>
      <w:marRight w:val="0"/>
      <w:marTop w:val="0"/>
      <w:marBottom w:val="0"/>
      <w:divBdr>
        <w:top w:val="none" w:sz="0" w:space="0" w:color="auto"/>
        <w:left w:val="none" w:sz="0" w:space="0" w:color="auto"/>
        <w:bottom w:val="none" w:sz="0" w:space="0" w:color="auto"/>
        <w:right w:val="none" w:sz="0" w:space="0" w:color="auto"/>
      </w:divBdr>
    </w:div>
    <w:div w:id="537620050">
      <w:bodyDiv w:val="1"/>
      <w:marLeft w:val="0"/>
      <w:marRight w:val="0"/>
      <w:marTop w:val="0"/>
      <w:marBottom w:val="0"/>
      <w:divBdr>
        <w:top w:val="none" w:sz="0" w:space="0" w:color="auto"/>
        <w:left w:val="none" w:sz="0" w:space="0" w:color="auto"/>
        <w:bottom w:val="none" w:sz="0" w:space="0" w:color="auto"/>
        <w:right w:val="none" w:sz="0" w:space="0" w:color="auto"/>
      </w:divBdr>
    </w:div>
    <w:div w:id="585844214">
      <w:bodyDiv w:val="1"/>
      <w:marLeft w:val="0"/>
      <w:marRight w:val="0"/>
      <w:marTop w:val="0"/>
      <w:marBottom w:val="0"/>
      <w:divBdr>
        <w:top w:val="none" w:sz="0" w:space="0" w:color="auto"/>
        <w:left w:val="none" w:sz="0" w:space="0" w:color="auto"/>
        <w:bottom w:val="none" w:sz="0" w:space="0" w:color="auto"/>
        <w:right w:val="none" w:sz="0" w:space="0" w:color="auto"/>
      </w:divBdr>
    </w:div>
    <w:div w:id="587733328">
      <w:bodyDiv w:val="1"/>
      <w:marLeft w:val="0"/>
      <w:marRight w:val="0"/>
      <w:marTop w:val="0"/>
      <w:marBottom w:val="0"/>
      <w:divBdr>
        <w:top w:val="none" w:sz="0" w:space="0" w:color="auto"/>
        <w:left w:val="none" w:sz="0" w:space="0" w:color="auto"/>
        <w:bottom w:val="none" w:sz="0" w:space="0" w:color="auto"/>
        <w:right w:val="none" w:sz="0" w:space="0" w:color="auto"/>
      </w:divBdr>
    </w:div>
    <w:div w:id="618688567">
      <w:bodyDiv w:val="1"/>
      <w:marLeft w:val="0"/>
      <w:marRight w:val="0"/>
      <w:marTop w:val="0"/>
      <w:marBottom w:val="0"/>
      <w:divBdr>
        <w:top w:val="none" w:sz="0" w:space="0" w:color="auto"/>
        <w:left w:val="none" w:sz="0" w:space="0" w:color="auto"/>
        <w:bottom w:val="none" w:sz="0" w:space="0" w:color="auto"/>
        <w:right w:val="none" w:sz="0" w:space="0" w:color="auto"/>
      </w:divBdr>
    </w:div>
    <w:div w:id="635719664">
      <w:bodyDiv w:val="1"/>
      <w:marLeft w:val="0"/>
      <w:marRight w:val="0"/>
      <w:marTop w:val="0"/>
      <w:marBottom w:val="0"/>
      <w:divBdr>
        <w:top w:val="none" w:sz="0" w:space="0" w:color="auto"/>
        <w:left w:val="none" w:sz="0" w:space="0" w:color="auto"/>
        <w:bottom w:val="none" w:sz="0" w:space="0" w:color="auto"/>
        <w:right w:val="none" w:sz="0" w:space="0" w:color="auto"/>
      </w:divBdr>
    </w:div>
    <w:div w:id="636379835">
      <w:bodyDiv w:val="1"/>
      <w:marLeft w:val="0"/>
      <w:marRight w:val="0"/>
      <w:marTop w:val="0"/>
      <w:marBottom w:val="0"/>
      <w:divBdr>
        <w:top w:val="none" w:sz="0" w:space="0" w:color="auto"/>
        <w:left w:val="none" w:sz="0" w:space="0" w:color="auto"/>
        <w:bottom w:val="none" w:sz="0" w:space="0" w:color="auto"/>
        <w:right w:val="none" w:sz="0" w:space="0" w:color="auto"/>
      </w:divBdr>
      <w:divsChild>
        <w:div w:id="1532764017">
          <w:marLeft w:val="446"/>
          <w:marRight w:val="0"/>
          <w:marTop w:val="0"/>
          <w:marBottom w:val="0"/>
          <w:divBdr>
            <w:top w:val="none" w:sz="0" w:space="0" w:color="auto"/>
            <w:left w:val="none" w:sz="0" w:space="0" w:color="auto"/>
            <w:bottom w:val="none" w:sz="0" w:space="0" w:color="auto"/>
            <w:right w:val="none" w:sz="0" w:space="0" w:color="auto"/>
          </w:divBdr>
        </w:div>
        <w:div w:id="762142678">
          <w:marLeft w:val="446"/>
          <w:marRight w:val="0"/>
          <w:marTop w:val="0"/>
          <w:marBottom w:val="0"/>
          <w:divBdr>
            <w:top w:val="none" w:sz="0" w:space="0" w:color="auto"/>
            <w:left w:val="none" w:sz="0" w:space="0" w:color="auto"/>
            <w:bottom w:val="none" w:sz="0" w:space="0" w:color="auto"/>
            <w:right w:val="none" w:sz="0" w:space="0" w:color="auto"/>
          </w:divBdr>
        </w:div>
        <w:div w:id="1857231051">
          <w:marLeft w:val="446"/>
          <w:marRight w:val="0"/>
          <w:marTop w:val="0"/>
          <w:marBottom w:val="0"/>
          <w:divBdr>
            <w:top w:val="none" w:sz="0" w:space="0" w:color="auto"/>
            <w:left w:val="none" w:sz="0" w:space="0" w:color="auto"/>
            <w:bottom w:val="none" w:sz="0" w:space="0" w:color="auto"/>
            <w:right w:val="none" w:sz="0" w:space="0" w:color="auto"/>
          </w:divBdr>
        </w:div>
        <w:div w:id="1993293537">
          <w:marLeft w:val="446"/>
          <w:marRight w:val="0"/>
          <w:marTop w:val="0"/>
          <w:marBottom w:val="0"/>
          <w:divBdr>
            <w:top w:val="none" w:sz="0" w:space="0" w:color="auto"/>
            <w:left w:val="none" w:sz="0" w:space="0" w:color="auto"/>
            <w:bottom w:val="none" w:sz="0" w:space="0" w:color="auto"/>
            <w:right w:val="none" w:sz="0" w:space="0" w:color="auto"/>
          </w:divBdr>
        </w:div>
        <w:div w:id="1667710527">
          <w:marLeft w:val="446"/>
          <w:marRight w:val="0"/>
          <w:marTop w:val="0"/>
          <w:marBottom w:val="0"/>
          <w:divBdr>
            <w:top w:val="none" w:sz="0" w:space="0" w:color="auto"/>
            <w:left w:val="none" w:sz="0" w:space="0" w:color="auto"/>
            <w:bottom w:val="none" w:sz="0" w:space="0" w:color="auto"/>
            <w:right w:val="none" w:sz="0" w:space="0" w:color="auto"/>
          </w:divBdr>
        </w:div>
        <w:div w:id="46153774">
          <w:marLeft w:val="446"/>
          <w:marRight w:val="0"/>
          <w:marTop w:val="0"/>
          <w:marBottom w:val="0"/>
          <w:divBdr>
            <w:top w:val="none" w:sz="0" w:space="0" w:color="auto"/>
            <w:left w:val="none" w:sz="0" w:space="0" w:color="auto"/>
            <w:bottom w:val="none" w:sz="0" w:space="0" w:color="auto"/>
            <w:right w:val="none" w:sz="0" w:space="0" w:color="auto"/>
          </w:divBdr>
        </w:div>
        <w:div w:id="670333301">
          <w:marLeft w:val="446"/>
          <w:marRight w:val="0"/>
          <w:marTop w:val="0"/>
          <w:marBottom w:val="0"/>
          <w:divBdr>
            <w:top w:val="none" w:sz="0" w:space="0" w:color="auto"/>
            <w:left w:val="none" w:sz="0" w:space="0" w:color="auto"/>
            <w:bottom w:val="none" w:sz="0" w:space="0" w:color="auto"/>
            <w:right w:val="none" w:sz="0" w:space="0" w:color="auto"/>
          </w:divBdr>
        </w:div>
      </w:divsChild>
    </w:div>
    <w:div w:id="642581636">
      <w:bodyDiv w:val="1"/>
      <w:marLeft w:val="0"/>
      <w:marRight w:val="0"/>
      <w:marTop w:val="0"/>
      <w:marBottom w:val="0"/>
      <w:divBdr>
        <w:top w:val="none" w:sz="0" w:space="0" w:color="auto"/>
        <w:left w:val="none" w:sz="0" w:space="0" w:color="auto"/>
        <w:bottom w:val="none" w:sz="0" w:space="0" w:color="auto"/>
        <w:right w:val="none" w:sz="0" w:space="0" w:color="auto"/>
      </w:divBdr>
    </w:div>
    <w:div w:id="651982770">
      <w:bodyDiv w:val="1"/>
      <w:marLeft w:val="0"/>
      <w:marRight w:val="0"/>
      <w:marTop w:val="0"/>
      <w:marBottom w:val="0"/>
      <w:divBdr>
        <w:top w:val="none" w:sz="0" w:space="0" w:color="auto"/>
        <w:left w:val="none" w:sz="0" w:space="0" w:color="auto"/>
        <w:bottom w:val="none" w:sz="0" w:space="0" w:color="auto"/>
        <w:right w:val="none" w:sz="0" w:space="0" w:color="auto"/>
      </w:divBdr>
    </w:div>
    <w:div w:id="659505474">
      <w:bodyDiv w:val="1"/>
      <w:marLeft w:val="0"/>
      <w:marRight w:val="0"/>
      <w:marTop w:val="0"/>
      <w:marBottom w:val="0"/>
      <w:divBdr>
        <w:top w:val="none" w:sz="0" w:space="0" w:color="auto"/>
        <w:left w:val="none" w:sz="0" w:space="0" w:color="auto"/>
        <w:bottom w:val="none" w:sz="0" w:space="0" w:color="auto"/>
        <w:right w:val="none" w:sz="0" w:space="0" w:color="auto"/>
      </w:divBdr>
    </w:div>
    <w:div w:id="662709320">
      <w:bodyDiv w:val="1"/>
      <w:marLeft w:val="0"/>
      <w:marRight w:val="0"/>
      <w:marTop w:val="0"/>
      <w:marBottom w:val="0"/>
      <w:divBdr>
        <w:top w:val="none" w:sz="0" w:space="0" w:color="auto"/>
        <w:left w:val="none" w:sz="0" w:space="0" w:color="auto"/>
        <w:bottom w:val="none" w:sz="0" w:space="0" w:color="auto"/>
        <w:right w:val="none" w:sz="0" w:space="0" w:color="auto"/>
      </w:divBdr>
    </w:div>
    <w:div w:id="668557650">
      <w:bodyDiv w:val="1"/>
      <w:marLeft w:val="0"/>
      <w:marRight w:val="0"/>
      <w:marTop w:val="0"/>
      <w:marBottom w:val="0"/>
      <w:divBdr>
        <w:top w:val="none" w:sz="0" w:space="0" w:color="auto"/>
        <w:left w:val="none" w:sz="0" w:space="0" w:color="auto"/>
        <w:bottom w:val="none" w:sz="0" w:space="0" w:color="auto"/>
        <w:right w:val="none" w:sz="0" w:space="0" w:color="auto"/>
      </w:divBdr>
    </w:div>
    <w:div w:id="719204087">
      <w:bodyDiv w:val="1"/>
      <w:marLeft w:val="0"/>
      <w:marRight w:val="0"/>
      <w:marTop w:val="0"/>
      <w:marBottom w:val="0"/>
      <w:divBdr>
        <w:top w:val="none" w:sz="0" w:space="0" w:color="auto"/>
        <w:left w:val="none" w:sz="0" w:space="0" w:color="auto"/>
        <w:bottom w:val="none" w:sz="0" w:space="0" w:color="auto"/>
        <w:right w:val="none" w:sz="0" w:space="0" w:color="auto"/>
      </w:divBdr>
    </w:div>
    <w:div w:id="735475961">
      <w:bodyDiv w:val="1"/>
      <w:marLeft w:val="0"/>
      <w:marRight w:val="0"/>
      <w:marTop w:val="0"/>
      <w:marBottom w:val="0"/>
      <w:divBdr>
        <w:top w:val="none" w:sz="0" w:space="0" w:color="auto"/>
        <w:left w:val="none" w:sz="0" w:space="0" w:color="auto"/>
        <w:bottom w:val="none" w:sz="0" w:space="0" w:color="auto"/>
        <w:right w:val="none" w:sz="0" w:space="0" w:color="auto"/>
      </w:divBdr>
    </w:div>
    <w:div w:id="754129906">
      <w:bodyDiv w:val="1"/>
      <w:marLeft w:val="0"/>
      <w:marRight w:val="0"/>
      <w:marTop w:val="0"/>
      <w:marBottom w:val="0"/>
      <w:divBdr>
        <w:top w:val="none" w:sz="0" w:space="0" w:color="auto"/>
        <w:left w:val="none" w:sz="0" w:space="0" w:color="auto"/>
        <w:bottom w:val="none" w:sz="0" w:space="0" w:color="auto"/>
        <w:right w:val="none" w:sz="0" w:space="0" w:color="auto"/>
      </w:divBdr>
    </w:div>
    <w:div w:id="771507863">
      <w:bodyDiv w:val="1"/>
      <w:marLeft w:val="0"/>
      <w:marRight w:val="0"/>
      <w:marTop w:val="0"/>
      <w:marBottom w:val="0"/>
      <w:divBdr>
        <w:top w:val="none" w:sz="0" w:space="0" w:color="auto"/>
        <w:left w:val="none" w:sz="0" w:space="0" w:color="auto"/>
        <w:bottom w:val="none" w:sz="0" w:space="0" w:color="auto"/>
        <w:right w:val="none" w:sz="0" w:space="0" w:color="auto"/>
      </w:divBdr>
    </w:div>
    <w:div w:id="773325255">
      <w:bodyDiv w:val="1"/>
      <w:marLeft w:val="0"/>
      <w:marRight w:val="0"/>
      <w:marTop w:val="0"/>
      <w:marBottom w:val="0"/>
      <w:divBdr>
        <w:top w:val="none" w:sz="0" w:space="0" w:color="auto"/>
        <w:left w:val="none" w:sz="0" w:space="0" w:color="auto"/>
        <w:bottom w:val="none" w:sz="0" w:space="0" w:color="auto"/>
        <w:right w:val="none" w:sz="0" w:space="0" w:color="auto"/>
      </w:divBdr>
    </w:div>
    <w:div w:id="823162311">
      <w:bodyDiv w:val="1"/>
      <w:marLeft w:val="0"/>
      <w:marRight w:val="0"/>
      <w:marTop w:val="0"/>
      <w:marBottom w:val="0"/>
      <w:divBdr>
        <w:top w:val="none" w:sz="0" w:space="0" w:color="auto"/>
        <w:left w:val="none" w:sz="0" w:space="0" w:color="auto"/>
        <w:bottom w:val="none" w:sz="0" w:space="0" w:color="auto"/>
        <w:right w:val="none" w:sz="0" w:space="0" w:color="auto"/>
      </w:divBdr>
    </w:div>
    <w:div w:id="826097585">
      <w:bodyDiv w:val="1"/>
      <w:marLeft w:val="0"/>
      <w:marRight w:val="0"/>
      <w:marTop w:val="0"/>
      <w:marBottom w:val="0"/>
      <w:divBdr>
        <w:top w:val="none" w:sz="0" w:space="0" w:color="auto"/>
        <w:left w:val="none" w:sz="0" w:space="0" w:color="auto"/>
        <w:bottom w:val="none" w:sz="0" w:space="0" w:color="auto"/>
        <w:right w:val="none" w:sz="0" w:space="0" w:color="auto"/>
      </w:divBdr>
    </w:div>
    <w:div w:id="847789820">
      <w:bodyDiv w:val="1"/>
      <w:marLeft w:val="0"/>
      <w:marRight w:val="0"/>
      <w:marTop w:val="0"/>
      <w:marBottom w:val="0"/>
      <w:divBdr>
        <w:top w:val="none" w:sz="0" w:space="0" w:color="auto"/>
        <w:left w:val="none" w:sz="0" w:space="0" w:color="auto"/>
        <w:bottom w:val="none" w:sz="0" w:space="0" w:color="auto"/>
        <w:right w:val="none" w:sz="0" w:space="0" w:color="auto"/>
      </w:divBdr>
    </w:div>
    <w:div w:id="905728230">
      <w:bodyDiv w:val="1"/>
      <w:marLeft w:val="0"/>
      <w:marRight w:val="0"/>
      <w:marTop w:val="0"/>
      <w:marBottom w:val="0"/>
      <w:divBdr>
        <w:top w:val="none" w:sz="0" w:space="0" w:color="auto"/>
        <w:left w:val="none" w:sz="0" w:space="0" w:color="auto"/>
        <w:bottom w:val="none" w:sz="0" w:space="0" w:color="auto"/>
        <w:right w:val="none" w:sz="0" w:space="0" w:color="auto"/>
      </w:divBdr>
    </w:div>
    <w:div w:id="970746060">
      <w:bodyDiv w:val="1"/>
      <w:marLeft w:val="0"/>
      <w:marRight w:val="0"/>
      <w:marTop w:val="0"/>
      <w:marBottom w:val="0"/>
      <w:divBdr>
        <w:top w:val="none" w:sz="0" w:space="0" w:color="auto"/>
        <w:left w:val="none" w:sz="0" w:space="0" w:color="auto"/>
        <w:bottom w:val="none" w:sz="0" w:space="0" w:color="auto"/>
        <w:right w:val="none" w:sz="0" w:space="0" w:color="auto"/>
      </w:divBdr>
      <w:divsChild>
        <w:div w:id="1107458762">
          <w:marLeft w:val="0"/>
          <w:marRight w:val="0"/>
          <w:marTop w:val="0"/>
          <w:marBottom w:val="0"/>
          <w:divBdr>
            <w:top w:val="none" w:sz="0" w:space="0" w:color="auto"/>
            <w:left w:val="none" w:sz="0" w:space="0" w:color="auto"/>
            <w:bottom w:val="none" w:sz="0" w:space="0" w:color="auto"/>
            <w:right w:val="none" w:sz="0" w:space="0" w:color="auto"/>
          </w:divBdr>
        </w:div>
      </w:divsChild>
    </w:div>
    <w:div w:id="979581650">
      <w:bodyDiv w:val="1"/>
      <w:marLeft w:val="0"/>
      <w:marRight w:val="0"/>
      <w:marTop w:val="0"/>
      <w:marBottom w:val="0"/>
      <w:divBdr>
        <w:top w:val="none" w:sz="0" w:space="0" w:color="auto"/>
        <w:left w:val="none" w:sz="0" w:space="0" w:color="auto"/>
        <w:bottom w:val="none" w:sz="0" w:space="0" w:color="auto"/>
        <w:right w:val="none" w:sz="0" w:space="0" w:color="auto"/>
      </w:divBdr>
    </w:div>
    <w:div w:id="989216308">
      <w:bodyDiv w:val="1"/>
      <w:marLeft w:val="0"/>
      <w:marRight w:val="0"/>
      <w:marTop w:val="0"/>
      <w:marBottom w:val="0"/>
      <w:divBdr>
        <w:top w:val="none" w:sz="0" w:space="0" w:color="auto"/>
        <w:left w:val="none" w:sz="0" w:space="0" w:color="auto"/>
        <w:bottom w:val="none" w:sz="0" w:space="0" w:color="auto"/>
        <w:right w:val="none" w:sz="0" w:space="0" w:color="auto"/>
      </w:divBdr>
    </w:div>
    <w:div w:id="989669748">
      <w:bodyDiv w:val="1"/>
      <w:marLeft w:val="0"/>
      <w:marRight w:val="0"/>
      <w:marTop w:val="0"/>
      <w:marBottom w:val="0"/>
      <w:divBdr>
        <w:top w:val="none" w:sz="0" w:space="0" w:color="auto"/>
        <w:left w:val="none" w:sz="0" w:space="0" w:color="auto"/>
        <w:bottom w:val="none" w:sz="0" w:space="0" w:color="auto"/>
        <w:right w:val="none" w:sz="0" w:space="0" w:color="auto"/>
      </w:divBdr>
    </w:div>
    <w:div w:id="1007633879">
      <w:bodyDiv w:val="1"/>
      <w:marLeft w:val="0"/>
      <w:marRight w:val="0"/>
      <w:marTop w:val="0"/>
      <w:marBottom w:val="0"/>
      <w:divBdr>
        <w:top w:val="none" w:sz="0" w:space="0" w:color="auto"/>
        <w:left w:val="none" w:sz="0" w:space="0" w:color="auto"/>
        <w:bottom w:val="none" w:sz="0" w:space="0" w:color="auto"/>
        <w:right w:val="none" w:sz="0" w:space="0" w:color="auto"/>
      </w:divBdr>
    </w:div>
    <w:div w:id="1027875736">
      <w:bodyDiv w:val="1"/>
      <w:marLeft w:val="0"/>
      <w:marRight w:val="0"/>
      <w:marTop w:val="0"/>
      <w:marBottom w:val="0"/>
      <w:divBdr>
        <w:top w:val="none" w:sz="0" w:space="0" w:color="auto"/>
        <w:left w:val="none" w:sz="0" w:space="0" w:color="auto"/>
        <w:bottom w:val="none" w:sz="0" w:space="0" w:color="auto"/>
        <w:right w:val="none" w:sz="0" w:space="0" w:color="auto"/>
      </w:divBdr>
    </w:div>
    <w:div w:id="1051807977">
      <w:bodyDiv w:val="1"/>
      <w:marLeft w:val="0"/>
      <w:marRight w:val="0"/>
      <w:marTop w:val="0"/>
      <w:marBottom w:val="0"/>
      <w:divBdr>
        <w:top w:val="none" w:sz="0" w:space="0" w:color="auto"/>
        <w:left w:val="none" w:sz="0" w:space="0" w:color="auto"/>
        <w:bottom w:val="none" w:sz="0" w:space="0" w:color="auto"/>
        <w:right w:val="none" w:sz="0" w:space="0" w:color="auto"/>
      </w:divBdr>
    </w:div>
    <w:div w:id="1054550560">
      <w:bodyDiv w:val="1"/>
      <w:marLeft w:val="0"/>
      <w:marRight w:val="0"/>
      <w:marTop w:val="0"/>
      <w:marBottom w:val="0"/>
      <w:divBdr>
        <w:top w:val="none" w:sz="0" w:space="0" w:color="auto"/>
        <w:left w:val="none" w:sz="0" w:space="0" w:color="auto"/>
        <w:bottom w:val="none" w:sz="0" w:space="0" w:color="auto"/>
        <w:right w:val="none" w:sz="0" w:space="0" w:color="auto"/>
      </w:divBdr>
    </w:div>
    <w:div w:id="1088231757">
      <w:bodyDiv w:val="1"/>
      <w:marLeft w:val="0"/>
      <w:marRight w:val="0"/>
      <w:marTop w:val="0"/>
      <w:marBottom w:val="0"/>
      <w:divBdr>
        <w:top w:val="none" w:sz="0" w:space="0" w:color="auto"/>
        <w:left w:val="none" w:sz="0" w:space="0" w:color="auto"/>
        <w:bottom w:val="none" w:sz="0" w:space="0" w:color="auto"/>
        <w:right w:val="none" w:sz="0" w:space="0" w:color="auto"/>
      </w:divBdr>
    </w:div>
    <w:div w:id="1100637186">
      <w:bodyDiv w:val="1"/>
      <w:marLeft w:val="0"/>
      <w:marRight w:val="0"/>
      <w:marTop w:val="0"/>
      <w:marBottom w:val="0"/>
      <w:divBdr>
        <w:top w:val="none" w:sz="0" w:space="0" w:color="auto"/>
        <w:left w:val="none" w:sz="0" w:space="0" w:color="auto"/>
        <w:bottom w:val="none" w:sz="0" w:space="0" w:color="auto"/>
        <w:right w:val="none" w:sz="0" w:space="0" w:color="auto"/>
      </w:divBdr>
    </w:div>
    <w:div w:id="1101725945">
      <w:bodyDiv w:val="1"/>
      <w:marLeft w:val="0"/>
      <w:marRight w:val="0"/>
      <w:marTop w:val="0"/>
      <w:marBottom w:val="0"/>
      <w:divBdr>
        <w:top w:val="none" w:sz="0" w:space="0" w:color="auto"/>
        <w:left w:val="none" w:sz="0" w:space="0" w:color="auto"/>
        <w:bottom w:val="none" w:sz="0" w:space="0" w:color="auto"/>
        <w:right w:val="none" w:sz="0" w:space="0" w:color="auto"/>
      </w:divBdr>
    </w:div>
    <w:div w:id="1123890926">
      <w:bodyDiv w:val="1"/>
      <w:marLeft w:val="0"/>
      <w:marRight w:val="0"/>
      <w:marTop w:val="0"/>
      <w:marBottom w:val="0"/>
      <w:divBdr>
        <w:top w:val="none" w:sz="0" w:space="0" w:color="auto"/>
        <w:left w:val="none" w:sz="0" w:space="0" w:color="auto"/>
        <w:bottom w:val="none" w:sz="0" w:space="0" w:color="auto"/>
        <w:right w:val="none" w:sz="0" w:space="0" w:color="auto"/>
      </w:divBdr>
    </w:div>
    <w:div w:id="1131093679">
      <w:bodyDiv w:val="1"/>
      <w:marLeft w:val="0"/>
      <w:marRight w:val="0"/>
      <w:marTop w:val="0"/>
      <w:marBottom w:val="0"/>
      <w:divBdr>
        <w:top w:val="none" w:sz="0" w:space="0" w:color="auto"/>
        <w:left w:val="none" w:sz="0" w:space="0" w:color="auto"/>
        <w:bottom w:val="none" w:sz="0" w:space="0" w:color="auto"/>
        <w:right w:val="none" w:sz="0" w:space="0" w:color="auto"/>
      </w:divBdr>
    </w:div>
    <w:div w:id="1145004357">
      <w:bodyDiv w:val="1"/>
      <w:marLeft w:val="0"/>
      <w:marRight w:val="0"/>
      <w:marTop w:val="0"/>
      <w:marBottom w:val="0"/>
      <w:divBdr>
        <w:top w:val="none" w:sz="0" w:space="0" w:color="auto"/>
        <w:left w:val="none" w:sz="0" w:space="0" w:color="auto"/>
        <w:bottom w:val="none" w:sz="0" w:space="0" w:color="auto"/>
        <w:right w:val="none" w:sz="0" w:space="0" w:color="auto"/>
      </w:divBdr>
    </w:div>
    <w:div w:id="1148087596">
      <w:bodyDiv w:val="1"/>
      <w:marLeft w:val="0"/>
      <w:marRight w:val="0"/>
      <w:marTop w:val="0"/>
      <w:marBottom w:val="0"/>
      <w:divBdr>
        <w:top w:val="none" w:sz="0" w:space="0" w:color="auto"/>
        <w:left w:val="none" w:sz="0" w:space="0" w:color="auto"/>
        <w:bottom w:val="none" w:sz="0" w:space="0" w:color="auto"/>
        <w:right w:val="none" w:sz="0" w:space="0" w:color="auto"/>
      </w:divBdr>
    </w:div>
    <w:div w:id="1151554100">
      <w:bodyDiv w:val="1"/>
      <w:marLeft w:val="0"/>
      <w:marRight w:val="0"/>
      <w:marTop w:val="0"/>
      <w:marBottom w:val="0"/>
      <w:divBdr>
        <w:top w:val="none" w:sz="0" w:space="0" w:color="auto"/>
        <w:left w:val="none" w:sz="0" w:space="0" w:color="auto"/>
        <w:bottom w:val="none" w:sz="0" w:space="0" w:color="auto"/>
        <w:right w:val="none" w:sz="0" w:space="0" w:color="auto"/>
      </w:divBdr>
    </w:div>
    <w:div w:id="1151874716">
      <w:bodyDiv w:val="1"/>
      <w:marLeft w:val="0"/>
      <w:marRight w:val="0"/>
      <w:marTop w:val="0"/>
      <w:marBottom w:val="0"/>
      <w:divBdr>
        <w:top w:val="none" w:sz="0" w:space="0" w:color="auto"/>
        <w:left w:val="none" w:sz="0" w:space="0" w:color="auto"/>
        <w:bottom w:val="none" w:sz="0" w:space="0" w:color="auto"/>
        <w:right w:val="none" w:sz="0" w:space="0" w:color="auto"/>
      </w:divBdr>
    </w:div>
    <w:div w:id="1161769922">
      <w:bodyDiv w:val="1"/>
      <w:marLeft w:val="0"/>
      <w:marRight w:val="0"/>
      <w:marTop w:val="0"/>
      <w:marBottom w:val="0"/>
      <w:divBdr>
        <w:top w:val="none" w:sz="0" w:space="0" w:color="auto"/>
        <w:left w:val="none" w:sz="0" w:space="0" w:color="auto"/>
        <w:bottom w:val="none" w:sz="0" w:space="0" w:color="auto"/>
        <w:right w:val="none" w:sz="0" w:space="0" w:color="auto"/>
      </w:divBdr>
    </w:div>
    <w:div w:id="1165173020">
      <w:bodyDiv w:val="1"/>
      <w:marLeft w:val="0"/>
      <w:marRight w:val="0"/>
      <w:marTop w:val="0"/>
      <w:marBottom w:val="0"/>
      <w:divBdr>
        <w:top w:val="none" w:sz="0" w:space="0" w:color="auto"/>
        <w:left w:val="none" w:sz="0" w:space="0" w:color="auto"/>
        <w:bottom w:val="none" w:sz="0" w:space="0" w:color="auto"/>
        <w:right w:val="none" w:sz="0" w:space="0" w:color="auto"/>
      </w:divBdr>
    </w:div>
    <w:div w:id="1179468366">
      <w:bodyDiv w:val="1"/>
      <w:marLeft w:val="0"/>
      <w:marRight w:val="0"/>
      <w:marTop w:val="0"/>
      <w:marBottom w:val="0"/>
      <w:divBdr>
        <w:top w:val="none" w:sz="0" w:space="0" w:color="auto"/>
        <w:left w:val="none" w:sz="0" w:space="0" w:color="auto"/>
        <w:bottom w:val="none" w:sz="0" w:space="0" w:color="auto"/>
        <w:right w:val="none" w:sz="0" w:space="0" w:color="auto"/>
      </w:divBdr>
    </w:div>
    <w:div w:id="1203320545">
      <w:bodyDiv w:val="1"/>
      <w:marLeft w:val="0"/>
      <w:marRight w:val="0"/>
      <w:marTop w:val="0"/>
      <w:marBottom w:val="0"/>
      <w:divBdr>
        <w:top w:val="none" w:sz="0" w:space="0" w:color="auto"/>
        <w:left w:val="none" w:sz="0" w:space="0" w:color="auto"/>
        <w:bottom w:val="none" w:sz="0" w:space="0" w:color="auto"/>
        <w:right w:val="none" w:sz="0" w:space="0" w:color="auto"/>
      </w:divBdr>
    </w:div>
    <w:div w:id="1246841245">
      <w:bodyDiv w:val="1"/>
      <w:marLeft w:val="0"/>
      <w:marRight w:val="0"/>
      <w:marTop w:val="0"/>
      <w:marBottom w:val="0"/>
      <w:divBdr>
        <w:top w:val="none" w:sz="0" w:space="0" w:color="auto"/>
        <w:left w:val="none" w:sz="0" w:space="0" w:color="auto"/>
        <w:bottom w:val="none" w:sz="0" w:space="0" w:color="auto"/>
        <w:right w:val="none" w:sz="0" w:space="0" w:color="auto"/>
      </w:divBdr>
      <w:divsChild>
        <w:div w:id="286469308">
          <w:marLeft w:val="0"/>
          <w:marRight w:val="0"/>
          <w:marTop w:val="0"/>
          <w:marBottom w:val="0"/>
          <w:divBdr>
            <w:top w:val="none" w:sz="0" w:space="0" w:color="auto"/>
            <w:left w:val="none" w:sz="0" w:space="0" w:color="auto"/>
            <w:bottom w:val="none" w:sz="0" w:space="0" w:color="auto"/>
            <w:right w:val="none" w:sz="0" w:space="0" w:color="auto"/>
          </w:divBdr>
        </w:div>
        <w:div w:id="510072376">
          <w:marLeft w:val="0"/>
          <w:marRight w:val="0"/>
          <w:marTop w:val="0"/>
          <w:marBottom w:val="0"/>
          <w:divBdr>
            <w:top w:val="none" w:sz="0" w:space="0" w:color="auto"/>
            <w:left w:val="none" w:sz="0" w:space="0" w:color="auto"/>
            <w:bottom w:val="none" w:sz="0" w:space="0" w:color="auto"/>
            <w:right w:val="none" w:sz="0" w:space="0" w:color="auto"/>
          </w:divBdr>
        </w:div>
        <w:div w:id="1277757994">
          <w:marLeft w:val="0"/>
          <w:marRight w:val="0"/>
          <w:marTop w:val="0"/>
          <w:marBottom w:val="0"/>
          <w:divBdr>
            <w:top w:val="none" w:sz="0" w:space="0" w:color="auto"/>
            <w:left w:val="none" w:sz="0" w:space="0" w:color="auto"/>
            <w:bottom w:val="none" w:sz="0" w:space="0" w:color="auto"/>
            <w:right w:val="none" w:sz="0" w:space="0" w:color="auto"/>
          </w:divBdr>
        </w:div>
        <w:div w:id="1556426882">
          <w:marLeft w:val="0"/>
          <w:marRight w:val="0"/>
          <w:marTop w:val="0"/>
          <w:marBottom w:val="0"/>
          <w:divBdr>
            <w:top w:val="none" w:sz="0" w:space="0" w:color="auto"/>
            <w:left w:val="none" w:sz="0" w:space="0" w:color="auto"/>
            <w:bottom w:val="none" w:sz="0" w:space="0" w:color="auto"/>
            <w:right w:val="none" w:sz="0" w:space="0" w:color="auto"/>
          </w:divBdr>
        </w:div>
        <w:div w:id="1836534258">
          <w:marLeft w:val="0"/>
          <w:marRight w:val="0"/>
          <w:marTop w:val="0"/>
          <w:marBottom w:val="0"/>
          <w:divBdr>
            <w:top w:val="none" w:sz="0" w:space="0" w:color="auto"/>
            <w:left w:val="none" w:sz="0" w:space="0" w:color="auto"/>
            <w:bottom w:val="none" w:sz="0" w:space="0" w:color="auto"/>
            <w:right w:val="none" w:sz="0" w:space="0" w:color="auto"/>
          </w:divBdr>
        </w:div>
        <w:div w:id="1888832858">
          <w:marLeft w:val="0"/>
          <w:marRight w:val="0"/>
          <w:marTop w:val="0"/>
          <w:marBottom w:val="0"/>
          <w:divBdr>
            <w:top w:val="none" w:sz="0" w:space="0" w:color="auto"/>
            <w:left w:val="none" w:sz="0" w:space="0" w:color="auto"/>
            <w:bottom w:val="none" w:sz="0" w:space="0" w:color="auto"/>
            <w:right w:val="none" w:sz="0" w:space="0" w:color="auto"/>
          </w:divBdr>
        </w:div>
      </w:divsChild>
    </w:div>
    <w:div w:id="1251696734">
      <w:bodyDiv w:val="1"/>
      <w:marLeft w:val="0"/>
      <w:marRight w:val="0"/>
      <w:marTop w:val="0"/>
      <w:marBottom w:val="0"/>
      <w:divBdr>
        <w:top w:val="none" w:sz="0" w:space="0" w:color="auto"/>
        <w:left w:val="none" w:sz="0" w:space="0" w:color="auto"/>
        <w:bottom w:val="none" w:sz="0" w:space="0" w:color="auto"/>
        <w:right w:val="none" w:sz="0" w:space="0" w:color="auto"/>
      </w:divBdr>
    </w:div>
    <w:div w:id="1257985408">
      <w:bodyDiv w:val="1"/>
      <w:marLeft w:val="0"/>
      <w:marRight w:val="0"/>
      <w:marTop w:val="0"/>
      <w:marBottom w:val="0"/>
      <w:divBdr>
        <w:top w:val="none" w:sz="0" w:space="0" w:color="auto"/>
        <w:left w:val="none" w:sz="0" w:space="0" w:color="auto"/>
        <w:bottom w:val="none" w:sz="0" w:space="0" w:color="auto"/>
        <w:right w:val="none" w:sz="0" w:space="0" w:color="auto"/>
      </w:divBdr>
    </w:div>
    <w:div w:id="1302425106">
      <w:bodyDiv w:val="1"/>
      <w:marLeft w:val="0"/>
      <w:marRight w:val="0"/>
      <w:marTop w:val="0"/>
      <w:marBottom w:val="0"/>
      <w:divBdr>
        <w:top w:val="none" w:sz="0" w:space="0" w:color="auto"/>
        <w:left w:val="none" w:sz="0" w:space="0" w:color="auto"/>
        <w:bottom w:val="none" w:sz="0" w:space="0" w:color="auto"/>
        <w:right w:val="none" w:sz="0" w:space="0" w:color="auto"/>
      </w:divBdr>
    </w:div>
    <w:div w:id="1328092996">
      <w:bodyDiv w:val="1"/>
      <w:marLeft w:val="0"/>
      <w:marRight w:val="0"/>
      <w:marTop w:val="0"/>
      <w:marBottom w:val="0"/>
      <w:divBdr>
        <w:top w:val="none" w:sz="0" w:space="0" w:color="auto"/>
        <w:left w:val="none" w:sz="0" w:space="0" w:color="auto"/>
        <w:bottom w:val="none" w:sz="0" w:space="0" w:color="auto"/>
        <w:right w:val="none" w:sz="0" w:space="0" w:color="auto"/>
      </w:divBdr>
    </w:div>
    <w:div w:id="1337416124">
      <w:bodyDiv w:val="1"/>
      <w:marLeft w:val="0"/>
      <w:marRight w:val="0"/>
      <w:marTop w:val="0"/>
      <w:marBottom w:val="0"/>
      <w:divBdr>
        <w:top w:val="none" w:sz="0" w:space="0" w:color="auto"/>
        <w:left w:val="none" w:sz="0" w:space="0" w:color="auto"/>
        <w:bottom w:val="none" w:sz="0" w:space="0" w:color="auto"/>
        <w:right w:val="none" w:sz="0" w:space="0" w:color="auto"/>
      </w:divBdr>
    </w:div>
    <w:div w:id="1356544275">
      <w:bodyDiv w:val="1"/>
      <w:marLeft w:val="0"/>
      <w:marRight w:val="0"/>
      <w:marTop w:val="0"/>
      <w:marBottom w:val="0"/>
      <w:divBdr>
        <w:top w:val="none" w:sz="0" w:space="0" w:color="auto"/>
        <w:left w:val="none" w:sz="0" w:space="0" w:color="auto"/>
        <w:bottom w:val="none" w:sz="0" w:space="0" w:color="auto"/>
        <w:right w:val="none" w:sz="0" w:space="0" w:color="auto"/>
      </w:divBdr>
    </w:div>
    <w:div w:id="1360206594">
      <w:bodyDiv w:val="1"/>
      <w:marLeft w:val="0"/>
      <w:marRight w:val="0"/>
      <w:marTop w:val="0"/>
      <w:marBottom w:val="0"/>
      <w:divBdr>
        <w:top w:val="none" w:sz="0" w:space="0" w:color="auto"/>
        <w:left w:val="none" w:sz="0" w:space="0" w:color="auto"/>
        <w:bottom w:val="none" w:sz="0" w:space="0" w:color="auto"/>
        <w:right w:val="none" w:sz="0" w:space="0" w:color="auto"/>
      </w:divBdr>
    </w:div>
    <w:div w:id="1375736932">
      <w:bodyDiv w:val="1"/>
      <w:marLeft w:val="0"/>
      <w:marRight w:val="0"/>
      <w:marTop w:val="0"/>
      <w:marBottom w:val="0"/>
      <w:divBdr>
        <w:top w:val="none" w:sz="0" w:space="0" w:color="auto"/>
        <w:left w:val="none" w:sz="0" w:space="0" w:color="auto"/>
        <w:bottom w:val="none" w:sz="0" w:space="0" w:color="auto"/>
        <w:right w:val="none" w:sz="0" w:space="0" w:color="auto"/>
      </w:divBdr>
    </w:div>
    <w:div w:id="1415853284">
      <w:bodyDiv w:val="1"/>
      <w:marLeft w:val="0"/>
      <w:marRight w:val="0"/>
      <w:marTop w:val="0"/>
      <w:marBottom w:val="0"/>
      <w:divBdr>
        <w:top w:val="none" w:sz="0" w:space="0" w:color="auto"/>
        <w:left w:val="none" w:sz="0" w:space="0" w:color="auto"/>
        <w:bottom w:val="none" w:sz="0" w:space="0" w:color="auto"/>
        <w:right w:val="none" w:sz="0" w:space="0" w:color="auto"/>
      </w:divBdr>
    </w:div>
    <w:div w:id="1432820004">
      <w:bodyDiv w:val="1"/>
      <w:marLeft w:val="0"/>
      <w:marRight w:val="0"/>
      <w:marTop w:val="0"/>
      <w:marBottom w:val="0"/>
      <w:divBdr>
        <w:top w:val="none" w:sz="0" w:space="0" w:color="auto"/>
        <w:left w:val="none" w:sz="0" w:space="0" w:color="auto"/>
        <w:bottom w:val="none" w:sz="0" w:space="0" w:color="auto"/>
        <w:right w:val="none" w:sz="0" w:space="0" w:color="auto"/>
      </w:divBdr>
    </w:div>
    <w:div w:id="1448619923">
      <w:bodyDiv w:val="1"/>
      <w:marLeft w:val="0"/>
      <w:marRight w:val="0"/>
      <w:marTop w:val="0"/>
      <w:marBottom w:val="0"/>
      <w:divBdr>
        <w:top w:val="none" w:sz="0" w:space="0" w:color="auto"/>
        <w:left w:val="none" w:sz="0" w:space="0" w:color="auto"/>
        <w:bottom w:val="none" w:sz="0" w:space="0" w:color="auto"/>
        <w:right w:val="none" w:sz="0" w:space="0" w:color="auto"/>
      </w:divBdr>
    </w:div>
    <w:div w:id="1499032628">
      <w:bodyDiv w:val="1"/>
      <w:marLeft w:val="0"/>
      <w:marRight w:val="0"/>
      <w:marTop w:val="0"/>
      <w:marBottom w:val="0"/>
      <w:divBdr>
        <w:top w:val="none" w:sz="0" w:space="0" w:color="auto"/>
        <w:left w:val="none" w:sz="0" w:space="0" w:color="auto"/>
        <w:bottom w:val="none" w:sz="0" w:space="0" w:color="auto"/>
        <w:right w:val="none" w:sz="0" w:space="0" w:color="auto"/>
      </w:divBdr>
    </w:div>
    <w:div w:id="1512797243">
      <w:bodyDiv w:val="1"/>
      <w:marLeft w:val="0"/>
      <w:marRight w:val="0"/>
      <w:marTop w:val="0"/>
      <w:marBottom w:val="0"/>
      <w:divBdr>
        <w:top w:val="none" w:sz="0" w:space="0" w:color="auto"/>
        <w:left w:val="none" w:sz="0" w:space="0" w:color="auto"/>
        <w:bottom w:val="none" w:sz="0" w:space="0" w:color="auto"/>
        <w:right w:val="none" w:sz="0" w:space="0" w:color="auto"/>
      </w:divBdr>
    </w:div>
    <w:div w:id="1540583129">
      <w:bodyDiv w:val="1"/>
      <w:marLeft w:val="0"/>
      <w:marRight w:val="0"/>
      <w:marTop w:val="0"/>
      <w:marBottom w:val="0"/>
      <w:divBdr>
        <w:top w:val="none" w:sz="0" w:space="0" w:color="auto"/>
        <w:left w:val="none" w:sz="0" w:space="0" w:color="auto"/>
        <w:bottom w:val="none" w:sz="0" w:space="0" w:color="auto"/>
        <w:right w:val="none" w:sz="0" w:space="0" w:color="auto"/>
      </w:divBdr>
    </w:div>
    <w:div w:id="1604536894">
      <w:bodyDiv w:val="1"/>
      <w:marLeft w:val="0"/>
      <w:marRight w:val="0"/>
      <w:marTop w:val="0"/>
      <w:marBottom w:val="0"/>
      <w:divBdr>
        <w:top w:val="none" w:sz="0" w:space="0" w:color="auto"/>
        <w:left w:val="none" w:sz="0" w:space="0" w:color="auto"/>
        <w:bottom w:val="none" w:sz="0" w:space="0" w:color="auto"/>
        <w:right w:val="none" w:sz="0" w:space="0" w:color="auto"/>
      </w:divBdr>
    </w:div>
    <w:div w:id="1628314454">
      <w:bodyDiv w:val="1"/>
      <w:marLeft w:val="0"/>
      <w:marRight w:val="0"/>
      <w:marTop w:val="0"/>
      <w:marBottom w:val="0"/>
      <w:divBdr>
        <w:top w:val="none" w:sz="0" w:space="0" w:color="auto"/>
        <w:left w:val="none" w:sz="0" w:space="0" w:color="auto"/>
        <w:bottom w:val="none" w:sz="0" w:space="0" w:color="auto"/>
        <w:right w:val="none" w:sz="0" w:space="0" w:color="auto"/>
      </w:divBdr>
    </w:div>
    <w:div w:id="1655911334">
      <w:bodyDiv w:val="1"/>
      <w:marLeft w:val="0"/>
      <w:marRight w:val="0"/>
      <w:marTop w:val="0"/>
      <w:marBottom w:val="0"/>
      <w:divBdr>
        <w:top w:val="none" w:sz="0" w:space="0" w:color="auto"/>
        <w:left w:val="none" w:sz="0" w:space="0" w:color="auto"/>
        <w:bottom w:val="none" w:sz="0" w:space="0" w:color="auto"/>
        <w:right w:val="none" w:sz="0" w:space="0" w:color="auto"/>
      </w:divBdr>
    </w:div>
    <w:div w:id="1656495522">
      <w:bodyDiv w:val="1"/>
      <w:marLeft w:val="0"/>
      <w:marRight w:val="0"/>
      <w:marTop w:val="0"/>
      <w:marBottom w:val="0"/>
      <w:divBdr>
        <w:top w:val="none" w:sz="0" w:space="0" w:color="auto"/>
        <w:left w:val="none" w:sz="0" w:space="0" w:color="auto"/>
        <w:bottom w:val="none" w:sz="0" w:space="0" w:color="auto"/>
        <w:right w:val="none" w:sz="0" w:space="0" w:color="auto"/>
      </w:divBdr>
    </w:div>
    <w:div w:id="1659113597">
      <w:bodyDiv w:val="1"/>
      <w:marLeft w:val="0"/>
      <w:marRight w:val="0"/>
      <w:marTop w:val="0"/>
      <w:marBottom w:val="0"/>
      <w:divBdr>
        <w:top w:val="none" w:sz="0" w:space="0" w:color="auto"/>
        <w:left w:val="none" w:sz="0" w:space="0" w:color="auto"/>
        <w:bottom w:val="none" w:sz="0" w:space="0" w:color="auto"/>
        <w:right w:val="none" w:sz="0" w:space="0" w:color="auto"/>
      </w:divBdr>
    </w:div>
    <w:div w:id="1665430517">
      <w:bodyDiv w:val="1"/>
      <w:marLeft w:val="0"/>
      <w:marRight w:val="0"/>
      <w:marTop w:val="0"/>
      <w:marBottom w:val="0"/>
      <w:divBdr>
        <w:top w:val="none" w:sz="0" w:space="0" w:color="auto"/>
        <w:left w:val="none" w:sz="0" w:space="0" w:color="auto"/>
        <w:bottom w:val="none" w:sz="0" w:space="0" w:color="auto"/>
        <w:right w:val="none" w:sz="0" w:space="0" w:color="auto"/>
      </w:divBdr>
    </w:div>
    <w:div w:id="1733697044">
      <w:bodyDiv w:val="1"/>
      <w:marLeft w:val="0"/>
      <w:marRight w:val="0"/>
      <w:marTop w:val="0"/>
      <w:marBottom w:val="0"/>
      <w:divBdr>
        <w:top w:val="none" w:sz="0" w:space="0" w:color="auto"/>
        <w:left w:val="none" w:sz="0" w:space="0" w:color="auto"/>
        <w:bottom w:val="none" w:sz="0" w:space="0" w:color="auto"/>
        <w:right w:val="none" w:sz="0" w:space="0" w:color="auto"/>
      </w:divBdr>
    </w:div>
    <w:div w:id="1734963511">
      <w:bodyDiv w:val="1"/>
      <w:marLeft w:val="0"/>
      <w:marRight w:val="0"/>
      <w:marTop w:val="0"/>
      <w:marBottom w:val="0"/>
      <w:divBdr>
        <w:top w:val="none" w:sz="0" w:space="0" w:color="auto"/>
        <w:left w:val="none" w:sz="0" w:space="0" w:color="auto"/>
        <w:bottom w:val="none" w:sz="0" w:space="0" w:color="auto"/>
        <w:right w:val="none" w:sz="0" w:space="0" w:color="auto"/>
      </w:divBdr>
    </w:div>
    <w:div w:id="1741631844">
      <w:bodyDiv w:val="1"/>
      <w:marLeft w:val="0"/>
      <w:marRight w:val="0"/>
      <w:marTop w:val="0"/>
      <w:marBottom w:val="0"/>
      <w:divBdr>
        <w:top w:val="none" w:sz="0" w:space="0" w:color="auto"/>
        <w:left w:val="none" w:sz="0" w:space="0" w:color="auto"/>
        <w:bottom w:val="none" w:sz="0" w:space="0" w:color="auto"/>
        <w:right w:val="none" w:sz="0" w:space="0" w:color="auto"/>
      </w:divBdr>
    </w:div>
    <w:div w:id="1750075588">
      <w:bodyDiv w:val="1"/>
      <w:marLeft w:val="0"/>
      <w:marRight w:val="0"/>
      <w:marTop w:val="0"/>
      <w:marBottom w:val="0"/>
      <w:divBdr>
        <w:top w:val="none" w:sz="0" w:space="0" w:color="auto"/>
        <w:left w:val="none" w:sz="0" w:space="0" w:color="auto"/>
        <w:bottom w:val="none" w:sz="0" w:space="0" w:color="auto"/>
        <w:right w:val="none" w:sz="0" w:space="0" w:color="auto"/>
      </w:divBdr>
    </w:div>
    <w:div w:id="1763716616">
      <w:bodyDiv w:val="1"/>
      <w:marLeft w:val="0"/>
      <w:marRight w:val="0"/>
      <w:marTop w:val="0"/>
      <w:marBottom w:val="0"/>
      <w:divBdr>
        <w:top w:val="none" w:sz="0" w:space="0" w:color="auto"/>
        <w:left w:val="none" w:sz="0" w:space="0" w:color="auto"/>
        <w:bottom w:val="none" w:sz="0" w:space="0" w:color="auto"/>
        <w:right w:val="none" w:sz="0" w:space="0" w:color="auto"/>
      </w:divBdr>
    </w:div>
    <w:div w:id="1772358676">
      <w:bodyDiv w:val="1"/>
      <w:marLeft w:val="0"/>
      <w:marRight w:val="0"/>
      <w:marTop w:val="0"/>
      <w:marBottom w:val="0"/>
      <w:divBdr>
        <w:top w:val="none" w:sz="0" w:space="0" w:color="auto"/>
        <w:left w:val="none" w:sz="0" w:space="0" w:color="auto"/>
        <w:bottom w:val="none" w:sz="0" w:space="0" w:color="auto"/>
        <w:right w:val="none" w:sz="0" w:space="0" w:color="auto"/>
      </w:divBdr>
      <w:divsChild>
        <w:div w:id="1871260856">
          <w:marLeft w:val="446"/>
          <w:marRight w:val="0"/>
          <w:marTop w:val="0"/>
          <w:marBottom w:val="0"/>
          <w:divBdr>
            <w:top w:val="none" w:sz="0" w:space="0" w:color="auto"/>
            <w:left w:val="none" w:sz="0" w:space="0" w:color="auto"/>
            <w:bottom w:val="none" w:sz="0" w:space="0" w:color="auto"/>
            <w:right w:val="none" w:sz="0" w:space="0" w:color="auto"/>
          </w:divBdr>
        </w:div>
        <w:div w:id="37510808">
          <w:marLeft w:val="446"/>
          <w:marRight w:val="0"/>
          <w:marTop w:val="0"/>
          <w:marBottom w:val="0"/>
          <w:divBdr>
            <w:top w:val="none" w:sz="0" w:space="0" w:color="auto"/>
            <w:left w:val="none" w:sz="0" w:space="0" w:color="auto"/>
            <w:bottom w:val="none" w:sz="0" w:space="0" w:color="auto"/>
            <w:right w:val="none" w:sz="0" w:space="0" w:color="auto"/>
          </w:divBdr>
        </w:div>
        <w:div w:id="162598635">
          <w:marLeft w:val="446"/>
          <w:marRight w:val="0"/>
          <w:marTop w:val="0"/>
          <w:marBottom w:val="0"/>
          <w:divBdr>
            <w:top w:val="none" w:sz="0" w:space="0" w:color="auto"/>
            <w:left w:val="none" w:sz="0" w:space="0" w:color="auto"/>
            <w:bottom w:val="none" w:sz="0" w:space="0" w:color="auto"/>
            <w:right w:val="none" w:sz="0" w:space="0" w:color="auto"/>
          </w:divBdr>
        </w:div>
      </w:divsChild>
    </w:div>
    <w:div w:id="1780559578">
      <w:bodyDiv w:val="1"/>
      <w:marLeft w:val="0"/>
      <w:marRight w:val="0"/>
      <w:marTop w:val="0"/>
      <w:marBottom w:val="0"/>
      <w:divBdr>
        <w:top w:val="none" w:sz="0" w:space="0" w:color="auto"/>
        <w:left w:val="none" w:sz="0" w:space="0" w:color="auto"/>
        <w:bottom w:val="none" w:sz="0" w:space="0" w:color="auto"/>
        <w:right w:val="none" w:sz="0" w:space="0" w:color="auto"/>
      </w:divBdr>
    </w:div>
    <w:div w:id="1796825343">
      <w:bodyDiv w:val="1"/>
      <w:marLeft w:val="0"/>
      <w:marRight w:val="0"/>
      <w:marTop w:val="0"/>
      <w:marBottom w:val="0"/>
      <w:divBdr>
        <w:top w:val="none" w:sz="0" w:space="0" w:color="auto"/>
        <w:left w:val="none" w:sz="0" w:space="0" w:color="auto"/>
        <w:bottom w:val="none" w:sz="0" w:space="0" w:color="auto"/>
        <w:right w:val="none" w:sz="0" w:space="0" w:color="auto"/>
      </w:divBdr>
    </w:div>
    <w:div w:id="1805346960">
      <w:bodyDiv w:val="1"/>
      <w:marLeft w:val="0"/>
      <w:marRight w:val="0"/>
      <w:marTop w:val="0"/>
      <w:marBottom w:val="0"/>
      <w:divBdr>
        <w:top w:val="none" w:sz="0" w:space="0" w:color="auto"/>
        <w:left w:val="none" w:sz="0" w:space="0" w:color="auto"/>
        <w:bottom w:val="none" w:sz="0" w:space="0" w:color="auto"/>
        <w:right w:val="none" w:sz="0" w:space="0" w:color="auto"/>
      </w:divBdr>
    </w:div>
    <w:div w:id="1816069441">
      <w:bodyDiv w:val="1"/>
      <w:marLeft w:val="0"/>
      <w:marRight w:val="0"/>
      <w:marTop w:val="0"/>
      <w:marBottom w:val="0"/>
      <w:divBdr>
        <w:top w:val="none" w:sz="0" w:space="0" w:color="auto"/>
        <w:left w:val="none" w:sz="0" w:space="0" w:color="auto"/>
        <w:bottom w:val="none" w:sz="0" w:space="0" w:color="auto"/>
        <w:right w:val="none" w:sz="0" w:space="0" w:color="auto"/>
      </w:divBdr>
    </w:div>
    <w:div w:id="1828747545">
      <w:bodyDiv w:val="1"/>
      <w:marLeft w:val="0"/>
      <w:marRight w:val="0"/>
      <w:marTop w:val="0"/>
      <w:marBottom w:val="0"/>
      <w:divBdr>
        <w:top w:val="none" w:sz="0" w:space="0" w:color="auto"/>
        <w:left w:val="none" w:sz="0" w:space="0" w:color="auto"/>
        <w:bottom w:val="none" w:sz="0" w:space="0" w:color="auto"/>
        <w:right w:val="none" w:sz="0" w:space="0" w:color="auto"/>
      </w:divBdr>
    </w:div>
    <w:div w:id="1888494807">
      <w:bodyDiv w:val="1"/>
      <w:marLeft w:val="0"/>
      <w:marRight w:val="0"/>
      <w:marTop w:val="0"/>
      <w:marBottom w:val="0"/>
      <w:divBdr>
        <w:top w:val="none" w:sz="0" w:space="0" w:color="auto"/>
        <w:left w:val="none" w:sz="0" w:space="0" w:color="auto"/>
        <w:bottom w:val="none" w:sz="0" w:space="0" w:color="auto"/>
        <w:right w:val="none" w:sz="0" w:space="0" w:color="auto"/>
      </w:divBdr>
    </w:div>
    <w:div w:id="1924416159">
      <w:bodyDiv w:val="1"/>
      <w:marLeft w:val="0"/>
      <w:marRight w:val="0"/>
      <w:marTop w:val="0"/>
      <w:marBottom w:val="0"/>
      <w:divBdr>
        <w:top w:val="none" w:sz="0" w:space="0" w:color="auto"/>
        <w:left w:val="none" w:sz="0" w:space="0" w:color="auto"/>
        <w:bottom w:val="none" w:sz="0" w:space="0" w:color="auto"/>
        <w:right w:val="none" w:sz="0" w:space="0" w:color="auto"/>
      </w:divBdr>
    </w:div>
    <w:div w:id="1944805365">
      <w:bodyDiv w:val="1"/>
      <w:marLeft w:val="0"/>
      <w:marRight w:val="0"/>
      <w:marTop w:val="0"/>
      <w:marBottom w:val="0"/>
      <w:divBdr>
        <w:top w:val="none" w:sz="0" w:space="0" w:color="auto"/>
        <w:left w:val="none" w:sz="0" w:space="0" w:color="auto"/>
        <w:bottom w:val="none" w:sz="0" w:space="0" w:color="auto"/>
        <w:right w:val="none" w:sz="0" w:space="0" w:color="auto"/>
      </w:divBdr>
    </w:div>
    <w:div w:id="1966957815">
      <w:bodyDiv w:val="1"/>
      <w:marLeft w:val="0"/>
      <w:marRight w:val="0"/>
      <w:marTop w:val="0"/>
      <w:marBottom w:val="0"/>
      <w:divBdr>
        <w:top w:val="none" w:sz="0" w:space="0" w:color="auto"/>
        <w:left w:val="none" w:sz="0" w:space="0" w:color="auto"/>
        <w:bottom w:val="none" w:sz="0" w:space="0" w:color="auto"/>
        <w:right w:val="none" w:sz="0" w:space="0" w:color="auto"/>
      </w:divBdr>
    </w:div>
    <w:div w:id="2030332607">
      <w:bodyDiv w:val="1"/>
      <w:marLeft w:val="0"/>
      <w:marRight w:val="0"/>
      <w:marTop w:val="0"/>
      <w:marBottom w:val="0"/>
      <w:divBdr>
        <w:top w:val="none" w:sz="0" w:space="0" w:color="auto"/>
        <w:left w:val="none" w:sz="0" w:space="0" w:color="auto"/>
        <w:bottom w:val="none" w:sz="0" w:space="0" w:color="auto"/>
        <w:right w:val="none" w:sz="0" w:space="0" w:color="auto"/>
      </w:divBdr>
    </w:div>
    <w:div w:id="2043705301">
      <w:bodyDiv w:val="1"/>
      <w:marLeft w:val="0"/>
      <w:marRight w:val="0"/>
      <w:marTop w:val="0"/>
      <w:marBottom w:val="0"/>
      <w:divBdr>
        <w:top w:val="none" w:sz="0" w:space="0" w:color="auto"/>
        <w:left w:val="none" w:sz="0" w:space="0" w:color="auto"/>
        <w:bottom w:val="none" w:sz="0" w:space="0" w:color="auto"/>
        <w:right w:val="none" w:sz="0" w:space="0" w:color="auto"/>
      </w:divBdr>
    </w:div>
    <w:div w:id="2045714531">
      <w:bodyDiv w:val="1"/>
      <w:marLeft w:val="0"/>
      <w:marRight w:val="0"/>
      <w:marTop w:val="0"/>
      <w:marBottom w:val="0"/>
      <w:divBdr>
        <w:top w:val="none" w:sz="0" w:space="0" w:color="auto"/>
        <w:left w:val="none" w:sz="0" w:space="0" w:color="auto"/>
        <w:bottom w:val="none" w:sz="0" w:space="0" w:color="auto"/>
        <w:right w:val="none" w:sz="0" w:space="0" w:color="auto"/>
      </w:divBdr>
    </w:div>
    <w:div w:id="2047825427">
      <w:bodyDiv w:val="1"/>
      <w:marLeft w:val="0"/>
      <w:marRight w:val="0"/>
      <w:marTop w:val="0"/>
      <w:marBottom w:val="0"/>
      <w:divBdr>
        <w:top w:val="none" w:sz="0" w:space="0" w:color="auto"/>
        <w:left w:val="none" w:sz="0" w:space="0" w:color="auto"/>
        <w:bottom w:val="none" w:sz="0" w:space="0" w:color="auto"/>
        <w:right w:val="none" w:sz="0" w:space="0" w:color="auto"/>
      </w:divBdr>
    </w:div>
    <w:div w:id="2050060852">
      <w:bodyDiv w:val="1"/>
      <w:marLeft w:val="0"/>
      <w:marRight w:val="0"/>
      <w:marTop w:val="0"/>
      <w:marBottom w:val="0"/>
      <w:divBdr>
        <w:top w:val="none" w:sz="0" w:space="0" w:color="auto"/>
        <w:left w:val="none" w:sz="0" w:space="0" w:color="auto"/>
        <w:bottom w:val="none" w:sz="0" w:space="0" w:color="auto"/>
        <w:right w:val="none" w:sz="0" w:space="0" w:color="auto"/>
      </w:divBdr>
    </w:div>
    <w:div w:id="2060081435">
      <w:bodyDiv w:val="1"/>
      <w:marLeft w:val="0"/>
      <w:marRight w:val="0"/>
      <w:marTop w:val="0"/>
      <w:marBottom w:val="0"/>
      <w:divBdr>
        <w:top w:val="none" w:sz="0" w:space="0" w:color="auto"/>
        <w:left w:val="none" w:sz="0" w:space="0" w:color="auto"/>
        <w:bottom w:val="none" w:sz="0" w:space="0" w:color="auto"/>
        <w:right w:val="none" w:sz="0" w:space="0" w:color="auto"/>
      </w:divBdr>
    </w:div>
    <w:div w:id="2079591002">
      <w:bodyDiv w:val="1"/>
      <w:marLeft w:val="0"/>
      <w:marRight w:val="0"/>
      <w:marTop w:val="0"/>
      <w:marBottom w:val="0"/>
      <w:divBdr>
        <w:top w:val="none" w:sz="0" w:space="0" w:color="auto"/>
        <w:left w:val="none" w:sz="0" w:space="0" w:color="auto"/>
        <w:bottom w:val="none" w:sz="0" w:space="0" w:color="auto"/>
        <w:right w:val="none" w:sz="0" w:space="0" w:color="auto"/>
      </w:divBdr>
    </w:div>
    <w:div w:id="2084525511">
      <w:bodyDiv w:val="1"/>
      <w:marLeft w:val="0"/>
      <w:marRight w:val="0"/>
      <w:marTop w:val="0"/>
      <w:marBottom w:val="0"/>
      <w:divBdr>
        <w:top w:val="none" w:sz="0" w:space="0" w:color="auto"/>
        <w:left w:val="none" w:sz="0" w:space="0" w:color="auto"/>
        <w:bottom w:val="none" w:sz="0" w:space="0" w:color="auto"/>
        <w:right w:val="none" w:sz="0" w:space="0" w:color="auto"/>
      </w:divBdr>
    </w:div>
    <w:div w:id="2084714529">
      <w:bodyDiv w:val="1"/>
      <w:marLeft w:val="0"/>
      <w:marRight w:val="0"/>
      <w:marTop w:val="0"/>
      <w:marBottom w:val="0"/>
      <w:divBdr>
        <w:top w:val="none" w:sz="0" w:space="0" w:color="auto"/>
        <w:left w:val="none" w:sz="0" w:space="0" w:color="auto"/>
        <w:bottom w:val="none" w:sz="0" w:space="0" w:color="auto"/>
        <w:right w:val="none" w:sz="0" w:space="0" w:color="auto"/>
      </w:divBdr>
    </w:div>
    <w:div w:id="2094082199">
      <w:bodyDiv w:val="1"/>
      <w:marLeft w:val="0"/>
      <w:marRight w:val="0"/>
      <w:marTop w:val="0"/>
      <w:marBottom w:val="0"/>
      <w:divBdr>
        <w:top w:val="none" w:sz="0" w:space="0" w:color="auto"/>
        <w:left w:val="none" w:sz="0" w:space="0" w:color="auto"/>
        <w:bottom w:val="none" w:sz="0" w:space="0" w:color="auto"/>
        <w:right w:val="none" w:sz="0" w:space="0" w:color="auto"/>
      </w:divBdr>
    </w:div>
    <w:div w:id="2096239067">
      <w:bodyDiv w:val="1"/>
      <w:marLeft w:val="0"/>
      <w:marRight w:val="0"/>
      <w:marTop w:val="0"/>
      <w:marBottom w:val="0"/>
      <w:divBdr>
        <w:top w:val="none" w:sz="0" w:space="0" w:color="auto"/>
        <w:left w:val="none" w:sz="0" w:space="0" w:color="auto"/>
        <w:bottom w:val="none" w:sz="0" w:space="0" w:color="auto"/>
        <w:right w:val="none" w:sz="0" w:space="0" w:color="auto"/>
      </w:divBdr>
    </w:div>
    <w:div w:id="2099984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bd.int/doc/meetings/sbi/sbi-01/information/sbi-01-inf-41-en.pdf" TargetMode="External"/><Relationship Id="rId18" Type="http://schemas.openxmlformats.org/officeDocument/2006/relationships/chart" Target="charts/chart1.xml"/><Relationship Id="rId26" Type="http://schemas.openxmlformats.org/officeDocument/2006/relationships/chart" Target="charts/chart7.xml"/><Relationship Id="rId39" Type="http://schemas.openxmlformats.org/officeDocument/2006/relationships/hyperlink" Target="https://www.cbd.int/doc/decisions/cop-10/cop-10-dec-31-en.pdf" TargetMode="Externa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image" Target="media/image4.emf"/><Relationship Id="rId42"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www.cbd.int/doc/meetings/sbstta/sbstta-20/information/sbstta-20-inf-43-en.pdf" TargetMode="External"/><Relationship Id="rId17" Type="http://schemas.openxmlformats.org/officeDocument/2006/relationships/hyperlink" Target="https://www.cbd.int/doc/decisions/cop-14/cop-14-dec-08-en.pdf" TargetMode="External"/><Relationship Id="rId25" Type="http://schemas.openxmlformats.org/officeDocument/2006/relationships/image" Target="media/image1.jpeg"/><Relationship Id="rId33" Type="http://schemas.openxmlformats.org/officeDocument/2006/relationships/hyperlink" Target="https://www.cbd.int/doc/decisions/cop-14/cop-14-dec-08-en.pdf" TargetMode="External"/><Relationship Id="rId38" Type="http://schemas.openxmlformats.org/officeDocument/2006/relationships/hyperlink" Target="https://www.cbd.int/doc/decisions/cop-09/cop-09-dec-18-en.pdf"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cbd.int/protected/partnership/about/default.shtml" TargetMode="External"/><Relationship Id="rId20" Type="http://schemas.openxmlformats.org/officeDocument/2006/relationships/chart" Target="charts/chart3.xml"/><Relationship Id="rId29" Type="http://schemas.openxmlformats.org/officeDocument/2006/relationships/chart" Target="charts/chart9.xml"/><Relationship Id="rId41" Type="http://schemas.openxmlformats.org/officeDocument/2006/relationships/hyperlink" Target="http://intllandconservstg.prod.acquia-sites.com/summary-repor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bd.int/undb/goals/undb-unresolution.pdf" TargetMode="External"/><Relationship Id="rId24" Type="http://schemas.openxmlformats.org/officeDocument/2006/relationships/chart" Target="charts/chart6.xml"/><Relationship Id="rId32" Type="http://schemas.openxmlformats.org/officeDocument/2006/relationships/image" Target="media/image3.png"/><Relationship Id="rId37"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cbd.int/doc/c/5a93/21ba/d085c6e64dcb8a505f6d49af/sbstta-22-inf-30-en.pdf" TargetMode="External"/><Relationship Id="rId23" Type="http://schemas.openxmlformats.org/officeDocument/2006/relationships/chart" Target="charts/chart5.xml"/><Relationship Id="rId28" Type="http://schemas.openxmlformats.org/officeDocument/2006/relationships/hyperlink" Target="https://www.cbd.int/doc/decisions/cop-10/cop-10-dec-31-en.pdf" TargetMode="External"/><Relationship Id="rId36" Type="http://schemas.openxmlformats.org/officeDocument/2006/relationships/hyperlink" Target="https://www.cbd.int/doc/decisions/cop-14/cop-14-dec-08-en.pdf" TargetMode="Externa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2.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bd.int/doc/decisions/cop-13/cop-13-dec-02-en.pdf" TargetMode="External"/><Relationship Id="rId22" Type="http://schemas.openxmlformats.org/officeDocument/2006/relationships/hyperlink" Target="https://www.cbd.int/doc/decisions/cop-07/cop-07-dec-30-en.pdf" TargetMode="External"/><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hyperlink" Target="https://www.cbd.int/doc/decisions/cop-13/cop-13-dec-02-en.pdf" TargetMode="External"/><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bipindicators.net/indicators/protected-area-connectedness-index-parc-connectedness" TargetMode="External"/><Relationship Id="rId13" Type="http://schemas.openxmlformats.org/officeDocument/2006/relationships/hyperlink" Target="https://parksjournal.com/list-of-papers/" TargetMode="External"/><Relationship Id="rId3" Type="http://schemas.openxmlformats.org/officeDocument/2006/relationships/hyperlink" Target="https://www.protectedplanet.net/c/the-lag-effect-in-the-world-database-on-protected-areas" TargetMode="External"/><Relationship Id="rId7" Type="http://schemas.openxmlformats.org/officeDocument/2006/relationships/hyperlink" Target="http://dopa.jrc.ec.europa.eu/" TargetMode="External"/><Relationship Id="rId12" Type="http://schemas.openxmlformats.org/officeDocument/2006/relationships/hyperlink" Target="https://undp-biodiversity.exposure.co/women-culture-and-territory" TargetMode="External"/><Relationship Id="rId2" Type="http://schemas.openxmlformats.org/officeDocument/2006/relationships/hyperlink" Target="http://www.protectedplanet.net" TargetMode="External"/><Relationship Id="rId16" Type="http://schemas.openxmlformats.org/officeDocument/2006/relationships/hyperlink" Target="http://www.dfo-mpo.gc.ca/oceans/oeabcm-amcepz/refues/index-eng.htm" TargetMode="External"/><Relationship Id="rId1" Type="http://schemas.openxmlformats.org/officeDocument/2006/relationships/hyperlink" Target="https://www.ncbi.nlm.nih.gov/pubmed/25159086" TargetMode="External"/><Relationship Id="rId6" Type="http://schemas.openxmlformats.org/officeDocument/2006/relationships/hyperlink" Target="http://dopa-explorer.jrc.ec.europa.eu" TargetMode="External"/><Relationship Id="rId11" Type="http://schemas.openxmlformats.org/officeDocument/2006/relationships/hyperlink" Target="https://www.cbd.int/sp/targets/rationale/target-11/" TargetMode="External"/><Relationship Id="rId5" Type="http://schemas.openxmlformats.org/officeDocument/2006/relationships/hyperlink" Target="https://www.bipindicators.net/indicators/protected-area-representativeness-index-parc-representativeness" TargetMode="External"/><Relationship Id="rId15" Type="http://schemas.openxmlformats.org/officeDocument/2006/relationships/hyperlink" Target="https://www.canada.ca/en/environment-climate-change/services/environmental-indicators/conserved-areas.html" TargetMode="External"/><Relationship Id="rId10" Type="http://schemas.openxmlformats.org/officeDocument/2006/relationships/hyperlink" Target="https://www.cbd.int/doc/nbsap/NBSAPs-catalysts-SDGs.pdf" TargetMode="External"/><Relationship Id="rId4" Type="http://schemas.openxmlformats.org/officeDocument/2006/relationships/hyperlink" Target="http://dopa.jrc.ec.europa.eu/" TargetMode="External"/><Relationship Id="rId9" Type="http://schemas.openxmlformats.org/officeDocument/2006/relationships/hyperlink" Target="https://www.iucn.org/theme/protected-areas/our-work/iucn-green-list-protected-and-conserved-areas" TargetMode="External"/><Relationship Id="rId14" Type="http://schemas.openxmlformats.org/officeDocument/2006/relationships/hyperlink" Target="https://www.iucn.org/commissions/world-commission-protected-areas/our-work/oecms/oecm-reports"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Biodiv.org\shares\UserDoc\Working%20Folders\40-00-STTM\Protected%20areas\2019%20Target%2011\PA_coverage_time-series_PPR2018_w_June1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Biodiv.org\shares\UserDoc\Working%20Folders\40-00-STTM\Protected%20areas\2019%20Target%2011\GD-PAME%20summary%20stats%20-%20Jan-June%202019.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patrick.gannon\Documents\Target%2011_PA_data\PA%20commitments\June_2019_Marine_National_commitment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atrick.gannon\Documents\Target%2011_PA_data\Ecoregions\Ecoregion_protection_201807_201901%20(2).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atrick.gannon\Documents\Target%2011_PA_data\Ecoregions\Ecoregion_protection_201807_201901%20(2).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Biodiv.org\shares\UserDoc\Working%20Folders\40-00-STTM\Protected%20areas\2019%20Target%2011\GD-PAME%20summary%20stats%20-%20Jan-June%202019.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208854185080619E-2"/>
          <c:y val="3.9740557030695338E-2"/>
          <c:w val="0.89643368007174151"/>
          <c:h val="0.87058910735237793"/>
        </c:manualLayout>
      </c:layout>
      <c:scatterChart>
        <c:scatterStyle val="lineMarker"/>
        <c:varyColors val="0"/>
        <c:ser>
          <c:idx val="0"/>
          <c:order val="0"/>
          <c:tx>
            <c:strRef>
              <c:f>Sheet2!$B$1</c:f>
              <c:strCache>
                <c:ptCount val="1"/>
                <c:pt idx="0">
                  <c:v>Terrestrial</c:v>
                </c:pt>
              </c:strCache>
            </c:strRef>
          </c:tx>
          <c:spPr>
            <a:ln>
              <a:solidFill>
                <a:srgbClr val="00B050"/>
              </a:solidFill>
            </a:ln>
          </c:spPr>
          <c:marker>
            <c:symbol val="none"/>
          </c:marker>
          <c:xVal>
            <c:numRef>
              <c:f>Sheet2!$A$3:$A$12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xVal>
          <c:yVal>
            <c:numRef>
              <c:f>Sheet2!$B$3:$B$12</c:f>
              <c:numCache>
                <c:formatCode>0.0%</c:formatCode>
                <c:ptCount val="10"/>
                <c:pt idx="0">
                  <c:v>0.13627573672158252</c:v>
                </c:pt>
                <c:pt idx="1">
                  <c:v>0.13813460973520786</c:v>
                </c:pt>
                <c:pt idx="2">
                  <c:v>0.1420259119472895</c:v>
                </c:pt>
                <c:pt idx="3">
                  <c:v>0.14436134551848556</c:v>
                </c:pt>
                <c:pt idx="4">
                  <c:v>0.14560979231626242</c:v>
                </c:pt>
                <c:pt idx="5">
                  <c:v>0.14710039950312354</c:v>
                </c:pt>
                <c:pt idx="6">
                  <c:v>0.14813310920353639</c:v>
                </c:pt>
                <c:pt idx="7">
                  <c:v>0.14863296524662659</c:v>
                </c:pt>
                <c:pt idx="8">
                  <c:v>0.14870155462715381</c:v>
                </c:pt>
                <c:pt idx="9">
                  <c:v>0.14973996405024073</c:v>
                </c:pt>
              </c:numCache>
            </c:numRef>
          </c:yVal>
          <c:smooth val="0"/>
          <c:extLst>
            <c:ext xmlns:c16="http://schemas.microsoft.com/office/drawing/2014/chart" uri="{C3380CC4-5D6E-409C-BE32-E72D297353CC}">
              <c16:uniqueId val="{00000000-E2A2-428A-9772-5B39AEF1B71F}"/>
            </c:ext>
          </c:extLst>
        </c:ser>
        <c:ser>
          <c:idx val="4"/>
          <c:order val="1"/>
          <c:tx>
            <c:strRef>
              <c:f>Sheet2!$F$1</c:f>
              <c:strCache>
                <c:ptCount val="1"/>
                <c:pt idx="0">
                  <c:v>Terrestrial target</c:v>
                </c:pt>
              </c:strCache>
            </c:strRef>
          </c:tx>
          <c:spPr>
            <a:ln w="12700">
              <a:solidFill>
                <a:srgbClr val="00B050"/>
              </a:solidFill>
              <a:prstDash val="dash"/>
            </a:ln>
          </c:spPr>
          <c:marker>
            <c:symbol val="none"/>
          </c:marker>
          <c:xVal>
            <c:numRef>
              <c:f>Sheet2!$A$3:$A$13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xVal>
          <c:yVal>
            <c:numRef>
              <c:f>Sheet2!$F$3:$F$13</c:f>
              <c:numCache>
                <c:formatCode>0%</c:formatCode>
                <c:ptCount val="11"/>
                <c:pt idx="0">
                  <c:v>0.17</c:v>
                </c:pt>
                <c:pt idx="1">
                  <c:v>0.17</c:v>
                </c:pt>
                <c:pt idx="2">
                  <c:v>0.17</c:v>
                </c:pt>
                <c:pt idx="3">
                  <c:v>0.17</c:v>
                </c:pt>
                <c:pt idx="4">
                  <c:v>0.17</c:v>
                </c:pt>
                <c:pt idx="5">
                  <c:v>0.17</c:v>
                </c:pt>
                <c:pt idx="6">
                  <c:v>0.17</c:v>
                </c:pt>
                <c:pt idx="7">
                  <c:v>0.17</c:v>
                </c:pt>
                <c:pt idx="8">
                  <c:v>0.17</c:v>
                </c:pt>
                <c:pt idx="9">
                  <c:v>0.17</c:v>
                </c:pt>
                <c:pt idx="10">
                  <c:v>0.17</c:v>
                </c:pt>
              </c:numCache>
            </c:numRef>
          </c:yVal>
          <c:smooth val="0"/>
          <c:extLst>
            <c:ext xmlns:c16="http://schemas.microsoft.com/office/drawing/2014/chart" uri="{C3380CC4-5D6E-409C-BE32-E72D297353CC}">
              <c16:uniqueId val="{00000001-E2A2-428A-9772-5B39AEF1B71F}"/>
            </c:ext>
          </c:extLst>
        </c:ser>
        <c:ser>
          <c:idx val="2"/>
          <c:order val="2"/>
          <c:tx>
            <c:strRef>
              <c:f>Sheet2!$D$1</c:f>
              <c:strCache>
                <c:ptCount val="1"/>
                <c:pt idx="0">
                  <c:v>National Waters</c:v>
                </c:pt>
              </c:strCache>
            </c:strRef>
          </c:tx>
          <c:spPr>
            <a:ln>
              <a:solidFill>
                <a:srgbClr val="00B0F0"/>
              </a:solidFill>
            </a:ln>
          </c:spPr>
          <c:marker>
            <c:symbol val="none"/>
          </c:marker>
          <c:xVal>
            <c:numRef>
              <c:f>Sheet2!$A$3:$A$12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xVal>
          <c:yVal>
            <c:numRef>
              <c:f>Sheet2!$D$3:$D$12</c:f>
              <c:numCache>
                <c:formatCode>0.0%</c:formatCode>
                <c:ptCount val="10"/>
                <c:pt idx="0">
                  <c:v>7.230941515067188E-2</c:v>
                </c:pt>
                <c:pt idx="1">
                  <c:v>7.2725808096090236E-2</c:v>
                </c:pt>
                <c:pt idx="2">
                  <c:v>0.10079476355540948</c:v>
                </c:pt>
                <c:pt idx="3">
                  <c:v>0.10277943796067361</c:v>
                </c:pt>
                <c:pt idx="4">
                  <c:v>0.11310212737254316</c:v>
                </c:pt>
                <c:pt idx="5">
                  <c:v>0.12051510172146856</c:v>
                </c:pt>
                <c:pt idx="6">
                  <c:v>0.13906206350555819</c:v>
                </c:pt>
                <c:pt idx="7">
                  <c:v>0.16164579104517696</c:v>
                </c:pt>
                <c:pt idx="8">
                  <c:v>0.16814998582537308</c:v>
                </c:pt>
                <c:pt idx="9">
                  <c:v>0.17863978342269235</c:v>
                </c:pt>
              </c:numCache>
            </c:numRef>
          </c:yVal>
          <c:smooth val="0"/>
          <c:extLst>
            <c:ext xmlns:c16="http://schemas.microsoft.com/office/drawing/2014/chart" uri="{C3380CC4-5D6E-409C-BE32-E72D297353CC}">
              <c16:uniqueId val="{00000002-E2A2-428A-9772-5B39AEF1B71F}"/>
            </c:ext>
          </c:extLst>
        </c:ser>
        <c:ser>
          <c:idx val="5"/>
          <c:order val="3"/>
          <c:tx>
            <c:strRef>
              <c:f>Sheet2!$G$1</c:f>
              <c:strCache>
                <c:ptCount val="1"/>
                <c:pt idx="0">
                  <c:v>Marine target</c:v>
                </c:pt>
              </c:strCache>
            </c:strRef>
          </c:tx>
          <c:spPr>
            <a:ln w="12700">
              <a:solidFill>
                <a:srgbClr val="0070C0"/>
              </a:solidFill>
              <a:prstDash val="dash"/>
            </a:ln>
          </c:spPr>
          <c:marker>
            <c:symbol val="none"/>
          </c:marker>
          <c:xVal>
            <c:numRef>
              <c:f>Sheet2!$A$3:$A$13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xVal>
          <c:yVal>
            <c:numRef>
              <c:f>Sheet2!$G$3:$G$13</c:f>
              <c:numCache>
                <c:formatCode>0%</c:formatCode>
                <c:ptCount val="11"/>
                <c:pt idx="0">
                  <c:v>0.1</c:v>
                </c:pt>
                <c:pt idx="1">
                  <c:v>0.1</c:v>
                </c:pt>
                <c:pt idx="2">
                  <c:v>0.1</c:v>
                </c:pt>
                <c:pt idx="3">
                  <c:v>0.1</c:v>
                </c:pt>
                <c:pt idx="4">
                  <c:v>0.1</c:v>
                </c:pt>
                <c:pt idx="5">
                  <c:v>0.1</c:v>
                </c:pt>
                <c:pt idx="6">
                  <c:v>0.1</c:v>
                </c:pt>
                <c:pt idx="7">
                  <c:v>0.1</c:v>
                </c:pt>
                <c:pt idx="8">
                  <c:v>0.1</c:v>
                </c:pt>
                <c:pt idx="9">
                  <c:v>0.1</c:v>
                </c:pt>
                <c:pt idx="10">
                  <c:v>0.1</c:v>
                </c:pt>
              </c:numCache>
            </c:numRef>
          </c:yVal>
          <c:smooth val="0"/>
          <c:extLst>
            <c:ext xmlns:c16="http://schemas.microsoft.com/office/drawing/2014/chart" uri="{C3380CC4-5D6E-409C-BE32-E72D297353CC}">
              <c16:uniqueId val="{00000003-E2A2-428A-9772-5B39AEF1B71F}"/>
            </c:ext>
          </c:extLst>
        </c:ser>
        <c:ser>
          <c:idx val="1"/>
          <c:order val="4"/>
          <c:tx>
            <c:strRef>
              <c:f>Sheet2!$C$1</c:f>
              <c:strCache>
                <c:ptCount val="1"/>
                <c:pt idx="0">
                  <c:v>Global Ocean</c:v>
                </c:pt>
              </c:strCache>
            </c:strRef>
          </c:tx>
          <c:spPr>
            <a:ln>
              <a:solidFill>
                <a:srgbClr val="002060"/>
              </a:solidFill>
            </a:ln>
          </c:spPr>
          <c:marker>
            <c:symbol val="none"/>
          </c:marker>
          <c:xVal>
            <c:numRef>
              <c:f>Sheet2!$A$3:$A$12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xVal>
          <c:yVal>
            <c:numRef>
              <c:f>Sheet2!$C$3:$C$12</c:f>
              <c:numCache>
                <c:formatCode>0.0%</c:formatCode>
                <c:ptCount val="10"/>
                <c:pt idx="0">
                  <c:v>2.9229152029076215E-2</c:v>
                </c:pt>
                <c:pt idx="1">
                  <c:v>2.9391415476242307E-2</c:v>
                </c:pt>
                <c:pt idx="2">
                  <c:v>4.0818887671691478E-2</c:v>
                </c:pt>
                <c:pt idx="3">
                  <c:v>4.1592292010174961E-2</c:v>
                </c:pt>
                <c:pt idx="4">
                  <c:v>4.5614923004348031E-2</c:v>
                </c:pt>
                <c:pt idx="5">
                  <c:v>4.8503672165076346E-2</c:v>
                </c:pt>
                <c:pt idx="6">
                  <c:v>5.5731205644349177E-2</c:v>
                </c:pt>
                <c:pt idx="7">
                  <c:v>7.021733816106164E-2</c:v>
                </c:pt>
                <c:pt idx="8">
                  <c:v>7.2751946582474664E-2</c:v>
                </c:pt>
                <c:pt idx="9">
                  <c:v>7.683969767658963E-2</c:v>
                </c:pt>
              </c:numCache>
            </c:numRef>
          </c:yVal>
          <c:smooth val="0"/>
          <c:extLst>
            <c:ext xmlns:c16="http://schemas.microsoft.com/office/drawing/2014/chart" uri="{C3380CC4-5D6E-409C-BE32-E72D297353CC}">
              <c16:uniqueId val="{00000004-E2A2-428A-9772-5B39AEF1B71F}"/>
            </c:ext>
          </c:extLst>
        </c:ser>
        <c:ser>
          <c:idx val="6"/>
          <c:order val="5"/>
          <c:tx>
            <c:strRef>
              <c:f>Sheet2!$H$1</c:f>
              <c:strCache>
                <c:ptCount val="1"/>
              </c:strCache>
            </c:strRef>
          </c:tx>
          <c:spPr>
            <a:ln>
              <a:noFill/>
            </a:ln>
          </c:spPr>
          <c:marker>
            <c:symbol val="none"/>
          </c:marker>
          <c:xVal>
            <c:numRef>
              <c:f>Sheet2!$A$3:$A$13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xVal>
          <c:yVal>
            <c:numRef>
              <c:f>Sheet2!$H$3:$H$13</c:f>
              <c:numCache>
                <c:formatCode>0%</c:formatCode>
                <c:ptCount val="11"/>
                <c:pt idx="0">
                  <c:v>0.15</c:v>
                </c:pt>
                <c:pt idx="1">
                  <c:v>0.15</c:v>
                </c:pt>
                <c:pt idx="2">
                  <c:v>0.15</c:v>
                </c:pt>
              </c:numCache>
            </c:numRef>
          </c:yVal>
          <c:smooth val="0"/>
          <c:extLst>
            <c:ext xmlns:c16="http://schemas.microsoft.com/office/drawing/2014/chart" uri="{C3380CC4-5D6E-409C-BE32-E72D297353CC}">
              <c16:uniqueId val="{00000005-E2A2-428A-9772-5B39AEF1B71F}"/>
            </c:ext>
          </c:extLst>
        </c:ser>
        <c:ser>
          <c:idx val="3"/>
          <c:order val="6"/>
          <c:tx>
            <c:strRef>
              <c:f>Sheet2!$E$1</c:f>
              <c:strCache>
                <c:ptCount val="1"/>
                <c:pt idx="0">
                  <c:v>ABNJ</c:v>
                </c:pt>
              </c:strCache>
            </c:strRef>
          </c:tx>
          <c:spPr>
            <a:ln>
              <a:solidFill>
                <a:srgbClr val="7030A0"/>
              </a:solidFill>
            </a:ln>
          </c:spPr>
          <c:marker>
            <c:symbol val="none"/>
          </c:marker>
          <c:xVal>
            <c:numRef>
              <c:f>Sheet2!$A$3:$A$12</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xVal>
          <c:yVal>
            <c:numRef>
              <c:f>Sheet2!$E$3:$E$12</c:f>
              <c:numCache>
                <c:formatCode>0.0%</c:formatCode>
                <c:ptCount val="10"/>
                <c:pt idx="0">
                  <c:v>1.7221052399093693E-3</c:v>
                </c:pt>
                <c:pt idx="1">
                  <c:v>1.7221052399093693E-3</c:v>
                </c:pt>
                <c:pt idx="2">
                  <c:v>2.5238749532643175E-3</c:v>
                </c:pt>
                <c:pt idx="3">
                  <c:v>2.5238749532643175E-3</c:v>
                </c:pt>
                <c:pt idx="4">
                  <c:v>2.5238749532643175E-3</c:v>
                </c:pt>
                <c:pt idx="5">
                  <c:v>2.5238749532643175E-3</c:v>
                </c:pt>
                <c:pt idx="6">
                  <c:v>2.5238749532643175E-3</c:v>
                </c:pt>
                <c:pt idx="7">
                  <c:v>1.1839636886442661E-2</c:v>
                </c:pt>
                <c:pt idx="8">
                  <c:v>1.1839636886442661E-2</c:v>
                </c:pt>
                <c:pt idx="9">
                  <c:v>1.1839636886442661E-2</c:v>
                </c:pt>
              </c:numCache>
            </c:numRef>
          </c:yVal>
          <c:smooth val="0"/>
          <c:extLst>
            <c:ext xmlns:c16="http://schemas.microsoft.com/office/drawing/2014/chart" uri="{C3380CC4-5D6E-409C-BE32-E72D297353CC}">
              <c16:uniqueId val="{00000006-E2A2-428A-9772-5B39AEF1B71F}"/>
            </c:ext>
          </c:extLst>
        </c:ser>
        <c:dLbls>
          <c:showLegendKey val="0"/>
          <c:showVal val="0"/>
          <c:showCatName val="0"/>
          <c:showSerName val="0"/>
          <c:showPercent val="0"/>
          <c:showBubbleSize val="0"/>
        </c:dLbls>
        <c:axId val="293670912"/>
        <c:axId val="293672448"/>
      </c:scatterChart>
      <c:valAx>
        <c:axId val="293670912"/>
        <c:scaling>
          <c:orientation val="minMax"/>
          <c:max val="2020"/>
          <c:min val="2010"/>
        </c:scaling>
        <c:delete val="0"/>
        <c:axPos val="b"/>
        <c:numFmt formatCode="General" sourceLinked="1"/>
        <c:majorTickMark val="out"/>
        <c:minorTickMark val="none"/>
        <c:tickLblPos val="nextTo"/>
        <c:txPr>
          <a:bodyPr/>
          <a:lstStyle/>
          <a:p>
            <a:pPr>
              <a:defRPr sz="800"/>
            </a:pPr>
            <a:endParaRPr lang="en-US"/>
          </a:p>
        </c:txPr>
        <c:crossAx val="293672448"/>
        <c:crosses val="autoZero"/>
        <c:crossBetween val="midCat"/>
      </c:valAx>
      <c:valAx>
        <c:axId val="293672448"/>
        <c:scaling>
          <c:orientation val="minMax"/>
          <c:max val="0.25"/>
          <c:min val="0"/>
        </c:scaling>
        <c:delete val="0"/>
        <c:axPos val="l"/>
        <c:numFmt formatCode="0%" sourceLinked="0"/>
        <c:majorTickMark val="out"/>
        <c:minorTickMark val="none"/>
        <c:tickLblPos val="nextTo"/>
        <c:txPr>
          <a:bodyPr/>
          <a:lstStyle/>
          <a:p>
            <a:pPr>
              <a:defRPr sz="800"/>
            </a:pPr>
            <a:endParaRPr lang="en-US"/>
          </a:p>
        </c:txPr>
        <c:crossAx val="293670912"/>
        <c:crosses val="autoZero"/>
        <c:crossBetween val="midCat"/>
        <c:majorUnit val="5.000000000000001E-2"/>
      </c:valAx>
    </c:plotArea>
    <c:legend>
      <c:legendPos val="r"/>
      <c:layout>
        <c:manualLayout>
          <c:xMode val="edge"/>
          <c:yMode val="edge"/>
          <c:x val="0.13009954897395362"/>
          <c:y val="5.1495035807030437E-2"/>
          <c:w val="0.40933852035272134"/>
          <c:h val="0.19150527025139902"/>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CA" sz="1100"/>
              <a:t>Marine</a:t>
            </a:r>
          </a:p>
        </c:rich>
      </c:tx>
      <c:layout>
        <c:manualLayout>
          <c:xMode val="edge"/>
          <c:yMode val="edge"/>
          <c:x val="0.33146903735052391"/>
          <c:y val="0"/>
        </c:manualLayout>
      </c:layout>
      <c:overlay val="1"/>
    </c:title>
    <c:autoTitleDeleted val="0"/>
    <c:plotArea>
      <c:layout>
        <c:manualLayout>
          <c:layoutTarget val="inner"/>
          <c:xMode val="edge"/>
          <c:yMode val="edge"/>
          <c:x val="0.25849635864213882"/>
          <c:y val="2.2716783043628976E-2"/>
          <c:w val="0.73017225305853162"/>
          <c:h val="0.93934303665647922"/>
        </c:manualLayout>
      </c:layout>
      <c:pieChart>
        <c:varyColors val="1"/>
        <c:ser>
          <c:idx val="0"/>
          <c:order val="0"/>
          <c:dPt>
            <c:idx val="0"/>
            <c:bubble3D val="0"/>
            <c:spPr>
              <a:solidFill>
                <a:schemeClr val="accent3">
                  <a:lumMod val="75000"/>
                </a:schemeClr>
              </a:solidFill>
            </c:spPr>
            <c:extLst>
              <c:ext xmlns:c16="http://schemas.microsoft.com/office/drawing/2014/chart" uri="{C3380CC4-5D6E-409C-BE32-E72D297353CC}">
                <c16:uniqueId val="{00000001-91CD-493F-9C07-284B64715FC0}"/>
              </c:ext>
            </c:extLst>
          </c:dPt>
          <c:dPt>
            <c:idx val="1"/>
            <c:bubble3D val="0"/>
            <c:spPr>
              <a:solidFill>
                <a:schemeClr val="accent4">
                  <a:lumMod val="60000"/>
                  <a:lumOff val="40000"/>
                </a:schemeClr>
              </a:solidFill>
            </c:spPr>
            <c:extLst>
              <c:ext xmlns:c16="http://schemas.microsoft.com/office/drawing/2014/chart" uri="{C3380CC4-5D6E-409C-BE32-E72D297353CC}">
                <c16:uniqueId val="{00000003-91CD-493F-9C07-284B64715FC0}"/>
              </c:ext>
            </c:extLst>
          </c:dPt>
          <c:dPt>
            <c:idx val="2"/>
            <c:bubble3D val="0"/>
            <c:spPr>
              <a:solidFill>
                <a:schemeClr val="accent1">
                  <a:lumMod val="40000"/>
                  <a:lumOff val="60000"/>
                </a:schemeClr>
              </a:solidFill>
            </c:spPr>
            <c:extLst>
              <c:ext xmlns:c16="http://schemas.microsoft.com/office/drawing/2014/chart" uri="{C3380CC4-5D6E-409C-BE32-E72D297353CC}">
                <c16:uniqueId val="{00000005-91CD-493F-9C07-284B64715FC0}"/>
              </c:ext>
            </c:extLst>
          </c:dPt>
          <c:dPt>
            <c:idx val="3"/>
            <c:bubble3D val="0"/>
            <c:spPr>
              <a:solidFill>
                <a:schemeClr val="accent6">
                  <a:lumMod val="60000"/>
                  <a:lumOff val="40000"/>
                </a:schemeClr>
              </a:solidFill>
            </c:spPr>
            <c:extLst>
              <c:ext xmlns:c16="http://schemas.microsoft.com/office/drawing/2014/chart" uri="{C3380CC4-5D6E-409C-BE32-E72D297353CC}">
                <c16:uniqueId val="{00000007-91CD-493F-9C07-284B64715FC0}"/>
              </c:ext>
            </c:extLst>
          </c:dPt>
          <c:dPt>
            <c:idx val="4"/>
            <c:bubble3D val="0"/>
            <c:spPr>
              <a:solidFill>
                <a:srgbClr val="FF3333"/>
              </a:solidFill>
            </c:spPr>
            <c:extLst>
              <c:ext xmlns:c16="http://schemas.microsoft.com/office/drawing/2014/chart" uri="{C3380CC4-5D6E-409C-BE32-E72D297353CC}">
                <c16:uniqueId val="{00000009-91CD-493F-9C07-284B64715FC0}"/>
              </c:ext>
            </c:extLst>
          </c:dPt>
          <c:dLbls>
            <c:spPr>
              <a:noFill/>
              <a:ln>
                <a:noFill/>
              </a:ln>
              <a:effectLst/>
            </c:spPr>
            <c:txPr>
              <a:bodyPr/>
              <a:lstStyle/>
              <a:p>
                <a:pPr>
                  <a:defRPr b="1">
                    <a:solidFill>
                      <a:sysClr val="windowText" lastClr="000000"/>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Sheet2!$A$2:$A$6</c:f>
              <c:strCache>
                <c:ptCount val="5"/>
                <c:pt idx="0">
                  <c:v>&gt;60%</c:v>
                </c:pt>
                <c:pt idx="1">
                  <c:v>30-60%</c:v>
                </c:pt>
                <c:pt idx="2">
                  <c:v>15-30%</c:v>
                </c:pt>
                <c:pt idx="3">
                  <c:v>0-15%</c:v>
                </c:pt>
                <c:pt idx="4">
                  <c:v>0%</c:v>
                </c:pt>
              </c:strCache>
            </c:strRef>
          </c:cat>
          <c:val>
            <c:numRef>
              <c:f>Sheet2!$C$2:$C$6</c:f>
              <c:numCache>
                <c:formatCode>General</c:formatCode>
                <c:ptCount val="5"/>
                <c:pt idx="0">
                  <c:v>31</c:v>
                </c:pt>
                <c:pt idx="1">
                  <c:v>10</c:v>
                </c:pt>
                <c:pt idx="2">
                  <c:v>11</c:v>
                </c:pt>
                <c:pt idx="3">
                  <c:v>52</c:v>
                </c:pt>
                <c:pt idx="4">
                  <c:v>48</c:v>
                </c:pt>
              </c:numCache>
            </c:numRef>
          </c:val>
          <c:extLst>
            <c:ext xmlns:c16="http://schemas.microsoft.com/office/drawing/2014/chart" uri="{C3380CC4-5D6E-409C-BE32-E72D297353CC}">
              <c16:uniqueId val="{0000000A-91CD-493F-9C07-284B64715FC0}"/>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
          <c:y val="0.30497221809537961"/>
          <c:w val="0.18469322913583169"/>
          <c:h val="0.41858595800524934"/>
        </c:manualLayout>
      </c:layout>
      <c:overlay val="0"/>
      <c:txPr>
        <a:bodyPr/>
        <a:lstStyle/>
        <a:p>
          <a:pPr>
            <a:defRPr sz="900"/>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00901955600874"/>
          <c:y val="3.8344221317246144E-2"/>
          <c:w val="0.83052575262624551"/>
          <c:h val="0.8743297652438865"/>
        </c:manualLayout>
      </c:layout>
      <c:barChart>
        <c:barDir val="bar"/>
        <c:grouping val="clustered"/>
        <c:varyColors val="0"/>
        <c:ser>
          <c:idx val="1"/>
          <c:order val="0"/>
          <c:tx>
            <c:strRef>
              <c:f>Summary!$M$14</c:f>
              <c:strCache>
                <c:ptCount val="1"/>
                <c:pt idx="0">
                  <c:v>Status in 2020 if actions completed</c:v>
                </c:pt>
              </c:strCache>
            </c:strRef>
          </c:tx>
          <c:spPr>
            <a:pattFill prst="dkUpDiag">
              <a:fgClr>
                <a:schemeClr val="bg1">
                  <a:lumMod val="75000"/>
                </a:schemeClr>
              </a:fgClr>
              <a:bgClr>
                <a:schemeClr val="bg1"/>
              </a:bgClr>
            </a:pattFill>
          </c:spPr>
          <c:invertIfNegative val="0"/>
          <c:dPt>
            <c:idx val="0"/>
            <c:invertIfNegative val="0"/>
            <c:bubble3D val="0"/>
            <c:spPr>
              <a:pattFill prst="dkUpDiag">
                <a:fgClr>
                  <a:schemeClr val="accent5">
                    <a:lumMod val="60000"/>
                    <a:lumOff val="40000"/>
                  </a:schemeClr>
                </a:fgClr>
                <a:bgClr>
                  <a:schemeClr val="bg1"/>
                </a:bgClr>
              </a:pattFill>
            </c:spPr>
            <c:extLst>
              <c:ext xmlns:c16="http://schemas.microsoft.com/office/drawing/2014/chart" uri="{C3380CC4-5D6E-409C-BE32-E72D297353CC}">
                <c16:uniqueId val="{00000001-9077-4909-A85A-9500F8186F68}"/>
              </c:ext>
            </c:extLst>
          </c:dPt>
          <c:dPt>
            <c:idx val="1"/>
            <c:invertIfNegative val="0"/>
            <c:bubble3D val="0"/>
            <c:spPr>
              <a:pattFill prst="dkUpDiag">
                <a:fgClr>
                  <a:schemeClr val="accent5">
                    <a:lumMod val="60000"/>
                    <a:lumOff val="40000"/>
                  </a:schemeClr>
                </a:fgClr>
                <a:bgClr>
                  <a:schemeClr val="bg1"/>
                </a:bgClr>
              </a:pattFill>
            </c:spPr>
            <c:extLst>
              <c:ext xmlns:c16="http://schemas.microsoft.com/office/drawing/2014/chart" uri="{C3380CC4-5D6E-409C-BE32-E72D297353CC}">
                <c16:uniqueId val="{00000003-9077-4909-A85A-9500F8186F68}"/>
              </c:ext>
            </c:extLst>
          </c:dPt>
          <c:dPt>
            <c:idx val="2"/>
            <c:invertIfNegative val="0"/>
            <c:bubble3D val="0"/>
            <c:spPr>
              <a:pattFill prst="dkUpDiag">
                <a:fgClr>
                  <a:schemeClr val="accent5">
                    <a:lumMod val="60000"/>
                    <a:lumOff val="40000"/>
                  </a:schemeClr>
                </a:fgClr>
                <a:bgClr>
                  <a:schemeClr val="bg1"/>
                </a:bgClr>
              </a:pattFill>
            </c:spPr>
            <c:extLst>
              <c:ext xmlns:c16="http://schemas.microsoft.com/office/drawing/2014/chart" uri="{C3380CC4-5D6E-409C-BE32-E72D297353CC}">
                <c16:uniqueId val="{00000005-9077-4909-A85A-9500F8186F68}"/>
              </c:ext>
            </c:extLst>
          </c:dPt>
          <c:dPt>
            <c:idx val="3"/>
            <c:invertIfNegative val="0"/>
            <c:bubble3D val="0"/>
            <c:spPr>
              <a:pattFill prst="dkUpDiag">
                <a:fgClr>
                  <a:schemeClr val="accent3">
                    <a:lumMod val="60000"/>
                    <a:lumOff val="40000"/>
                  </a:schemeClr>
                </a:fgClr>
                <a:bgClr>
                  <a:schemeClr val="bg1"/>
                </a:bgClr>
              </a:pattFill>
            </c:spPr>
            <c:extLst>
              <c:ext xmlns:c16="http://schemas.microsoft.com/office/drawing/2014/chart" uri="{C3380CC4-5D6E-409C-BE32-E72D297353CC}">
                <c16:uniqueId val="{00000007-9077-4909-A85A-9500F8186F68}"/>
              </c:ext>
            </c:extLst>
          </c:dPt>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Summary!$K$16:$K$19</c:f>
              <c:strCache>
                <c:ptCount val="4"/>
                <c:pt idx="0">
                  <c:v>National Waters</c:v>
                </c:pt>
                <c:pt idx="1">
                  <c:v>ABNJ</c:v>
                </c:pt>
                <c:pt idx="2">
                  <c:v>Global Ocean</c:v>
                </c:pt>
                <c:pt idx="3">
                  <c:v>Terrestrial</c:v>
                </c:pt>
              </c:strCache>
            </c:strRef>
          </c:cat>
          <c:val>
            <c:numRef>
              <c:f>Summary!$M$16:$M$19</c:f>
              <c:numCache>
                <c:formatCode>0.0%</c:formatCode>
                <c:ptCount val="4"/>
                <c:pt idx="0">
                  <c:v>0.24400224871312626</c:v>
                </c:pt>
                <c:pt idx="1">
                  <c:v>2.6604402136691706E-2</c:v>
                </c:pt>
                <c:pt idx="2">
                  <c:v>0.11003843458455406</c:v>
                </c:pt>
                <c:pt idx="3">
                  <c:v>0.17966907471921703</c:v>
                </c:pt>
              </c:numCache>
            </c:numRef>
          </c:val>
          <c:extLst>
            <c:ext xmlns:c16="http://schemas.microsoft.com/office/drawing/2014/chart" uri="{C3380CC4-5D6E-409C-BE32-E72D297353CC}">
              <c16:uniqueId val="{00000008-9077-4909-A85A-9500F8186F68}"/>
            </c:ext>
          </c:extLst>
        </c:ser>
        <c:ser>
          <c:idx val="0"/>
          <c:order val="1"/>
          <c:tx>
            <c:strRef>
              <c:f>Summary!$L$14</c:f>
              <c:strCache>
                <c:ptCount val="1"/>
                <c:pt idx="0">
                  <c:v>Current status (June 2019)</c:v>
                </c:pt>
              </c:strCache>
            </c:strRef>
          </c:tx>
          <c:spPr>
            <a:solidFill>
              <a:schemeClr val="bg1">
                <a:lumMod val="75000"/>
              </a:schemeClr>
            </a:solidFill>
          </c:spPr>
          <c:invertIfNegative val="0"/>
          <c:dPt>
            <c:idx val="0"/>
            <c:invertIfNegative val="0"/>
            <c:bubble3D val="0"/>
            <c:spPr>
              <a:solidFill>
                <a:schemeClr val="accent5">
                  <a:lumMod val="60000"/>
                  <a:lumOff val="40000"/>
                </a:schemeClr>
              </a:solidFill>
            </c:spPr>
            <c:extLst>
              <c:ext xmlns:c16="http://schemas.microsoft.com/office/drawing/2014/chart" uri="{C3380CC4-5D6E-409C-BE32-E72D297353CC}">
                <c16:uniqueId val="{0000000A-9077-4909-A85A-9500F8186F68}"/>
              </c:ext>
            </c:extLst>
          </c:dPt>
          <c:dPt>
            <c:idx val="1"/>
            <c:invertIfNegative val="0"/>
            <c:bubble3D val="0"/>
            <c:spPr>
              <a:solidFill>
                <a:schemeClr val="accent5">
                  <a:lumMod val="60000"/>
                  <a:lumOff val="40000"/>
                </a:schemeClr>
              </a:solidFill>
            </c:spPr>
            <c:extLst>
              <c:ext xmlns:c16="http://schemas.microsoft.com/office/drawing/2014/chart" uri="{C3380CC4-5D6E-409C-BE32-E72D297353CC}">
                <c16:uniqueId val="{0000000C-9077-4909-A85A-9500F8186F68}"/>
              </c:ext>
            </c:extLst>
          </c:dPt>
          <c:dPt>
            <c:idx val="2"/>
            <c:invertIfNegative val="0"/>
            <c:bubble3D val="0"/>
            <c:spPr>
              <a:solidFill>
                <a:schemeClr val="accent5">
                  <a:lumMod val="60000"/>
                  <a:lumOff val="40000"/>
                </a:schemeClr>
              </a:solidFill>
            </c:spPr>
            <c:extLst>
              <c:ext xmlns:c16="http://schemas.microsoft.com/office/drawing/2014/chart" uri="{C3380CC4-5D6E-409C-BE32-E72D297353CC}">
                <c16:uniqueId val="{0000000E-9077-4909-A85A-9500F8186F68}"/>
              </c:ext>
            </c:extLst>
          </c:dPt>
          <c:dPt>
            <c:idx val="3"/>
            <c:invertIfNegative val="0"/>
            <c:bubble3D val="0"/>
            <c:spPr>
              <a:solidFill>
                <a:schemeClr val="accent3">
                  <a:lumMod val="60000"/>
                  <a:lumOff val="40000"/>
                </a:schemeClr>
              </a:solidFill>
            </c:spPr>
            <c:extLst>
              <c:ext xmlns:c16="http://schemas.microsoft.com/office/drawing/2014/chart" uri="{C3380CC4-5D6E-409C-BE32-E72D297353CC}">
                <c16:uniqueId val="{00000010-9077-4909-A85A-9500F8186F68}"/>
              </c:ext>
            </c:extLst>
          </c:dPt>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Summary!$K$16:$K$19</c:f>
              <c:strCache>
                <c:ptCount val="4"/>
                <c:pt idx="0">
                  <c:v>National Waters</c:v>
                </c:pt>
                <c:pt idx="1">
                  <c:v>ABNJ</c:v>
                </c:pt>
                <c:pt idx="2">
                  <c:v>Global Ocean</c:v>
                </c:pt>
                <c:pt idx="3">
                  <c:v>Terrestrial</c:v>
                </c:pt>
              </c:strCache>
            </c:strRef>
          </c:cat>
          <c:val>
            <c:numRef>
              <c:f>Summary!$L$16:$L$19</c:f>
              <c:numCache>
                <c:formatCode>0.0%</c:formatCode>
                <c:ptCount val="4"/>
                <c:pt idx="0">
                  <c:v>0.17648249784151041</c:v>
                </c:pt>
                <c:pt idx="1">
                  <c:v>1.1839636886442661E-2</c:v>
                </c:pt>
                <c:pt idx="2">
                  <c:v>7.5999028787320635E-2</c:v>
                </c:pt>
                <c:pt idx="3">
                  <c:v>0.1497900237731801</c:v>
                </c:pt>
              </c:numCache>
            </c:numRef>
          </c:val>
          <c:extLst>
            <c:ext xmlns:c16="http://schemas.microsoft.com/office/drawing/2014/chart" uri="{C3380CC4-5D6E-409C-BE32-E72D297353CC}">
              <c16:uniqueId val="{00000011-9077-4909-A85A-9500F8186F68}"/>
            </c:ext>
          </c:extLst>
        </c:ser>
        <c:dLbls>
          <c:showLegendKey val="0"/>
          <c:showVal val="0"/>
          <c:showCatName val="0"/>
          <c:showSerName val="0"/>
          <c:showPercent val="0"/>
          <c:showBubbleSize val="0"/>
        </c:dLbls>
        <c:gapWidth val="73"/>
        <c:axId val="295434112"/>
        <c:axId val="295435648"/>
      </c:barChart>
      <c:catAx>
        <c:axId val="295434112"/>
        <c:scaling>
          <c:orientation val="minMax"/>
        </c:scaling>
        <c:delete val="0"/>
        <c:axPos val="l"/>
        <c:numFmt formatCode="General" sourceLinked="0"/>
        <c:majorTickMark val="out"/>
        <c:minorTickMark val="none"/>
        <c:tickLblPos val="nextTo"/>
        <c:txPr>
          <a:bodyPr/>
          <a:lstStyle/>
          <a:p>
            <a:pPr>
              <a:defRPr sz="800" b="1"/>
            </a:pPr>
            <a:endParaRPr lang="en-US"/>
          </a:p>
        </c:txPr>
        <c:crossAx val="295435648"/>
        <c:crosses val="autoZero"/>
        <c:auto val="1"/>
        <c:lblAlgn val="ctr"/>
        <c:lblOffset val="100"/>
        <c:noMultiLvlLbl val="0"/>
      </c:catAx>
      <c:valAx>
        <c:axId val="295435648"/>
        <c:scaling>
          <c:orientation val="minMax"/>
          <c:max val="0.25"/>
          <c:min val="0"/>
        </c:scaling>
        <c:delete val="0"/>
        <c:axPos val="b"/>
        <c:majorGridlines/>
        <c:numFmt formatCode="0%" sourceLinked="0"/>
        <c:majorTickMark val="out"/>
        <c:minorTickMark val="none"/>
        <c:tickLblPos val="nextTo"/>
        <c:txPr>
          <a:bodyPr/>
          <a:lstStyle/>
          <a:p>
            <a:pPr>
              <a:defRPr sz="800"/>
            </a:pPr>
            <a:endParaRPr lang="en-US"/>
          </a:p>
        </c:txPr>
        <c:crossAx val="295434112"/>
        <c:crosses val="autoZero"/>
        <c:crossBetween val="between"/>
        <c:majorUnit val="0.1"/>
      </c:valAx>
    </c:plotArea>
    <c:legend>
      <c:legendPos val="r"/>
      <c:layout>
        <c:manualLayout>
          <c:xMode val="edge"/>
          <c:yMode val="edge"/>
          <c:x val="0.4753599032962445"/>
          <c:y val="0.50082854023129919"/>
          <c:w val="0.34679295170055346"/>
          <c:h val="0.15405342872252908"/>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sz="1000"/>
              <a:t>Terrestrial</a:t>
            </a:r>
          </a:p>
        </c:rich>
      </c:tx>
      <c:layout>
        <c:manualLayout>
          <c:xMode val="edge"/>
          <c:yMode val="edge"/>
          <c:x val="0.18338480472306537"/>
          <c:y val="3.1338138514572234E-2"/>
        </c:manualLayout>
      </c:layout>
      <c:overlay val="1"/>
    </c:title>
    <c:autoTitleDeleted val="0"/>
    <c:plotArea>
      <c:layout>
        <c:manualLayout>
          <c:layoutTarget val="inner"/>
          <c:xMode val="edge"/>
          <c:yMode val="edge"/>
          <c:x val="6.4964710757233091E-2"/>
          <c:y val="4.0117517051125491E-2"/>
          <c:w val="0.92242181965702008"/>
          <c:h val="0.86936157718216278"/>
        </c:manualLayout>
      </c:layout>
      <c:barChart>
        <c:barDir val="col"/>
        <c:grouping val="clustered"/>
        <c:varyColors val="0"/>
        <c:ser>
          <c:idx val="1"/>
          <c:order val="0"/>
          <c:tx>
            <c:strRef>
              <c:f>Sheet1!$C$2</c:f>
              <c:strCache>
                <c:ptCount val="1"/>
                <c:pt idx="0">
                  <c:v>Jan 2011</c:v>
                </c:pt>
              </c:strCache>
            </c:strRef>
          </c:tx>
          <c:spPr>
            <a:solidFill>
              <a:schemeClr val="accent6">
                <a:lumMod val="40000"/>
                <a:lumOff val="60000"/>
              </a:schemeClr>
            </a:solidFill>
          </c:spPr>
          <c:invertIfNegative val="0"/>
          <c:cat>
            <c:strRef>
              <c:f>Sheet1!$A$3:$A$8</c:f>
              <c:strCache>
                <c:ptCount val="6"/>
                <c:pt idx="0">
                  <c:v>&lt;2%</c:v>
                </c:pt>
                <c:pt idx="1">
                  <c:v>2-5%</c:v>
                </c:pt>
                <c:pt idx="2">
                  <c:v>5-10%</c:v>
                </c:pt>
                <c:pt idx="3">
                  <c:v>10-17%</c:v>
                </c:pt>
                <c:pt idx="4">
                  <c:v>17-30%</c:v>
                </c:pt>
                <c:pt idx="5">
                  <c:v>&gt;30%</c:v>
                </c:pt>
              </c:strCache>
            </c:strRef>
          </c:cat>
          <c:val>
            <c:numRef>
              <c:f>Sheet1!$C$3:$C$8</c:f>
              <c:numCache>
                <c:formatCode>General</c:formatCode>
                <c:ptCount val="6"/>
                <c:pt idx="0">
                  <c:v>130</c:v>
                </c:pt>
                <c:pt idx="1">
                  <c:v>130</c:v>
                </c:pt>
                <c:pt idx="2">
                  <c:v>149</c:v>
                </c:pt>
                <c:pt idx="3">
                  <c:v>141</c:v>
                </c:pt>
                <c:pt idx="4">
                  <c:v>129</c:v>
                </c:pt>
                <c:pt idx="5">
                  <c:v>144</c:v>
                </c:pt>
              </c:numCache>
            </c:numRef>
          </c:val>
          <c:extLst>
            <c:ext xmlns:c16="http://schemas.microsoft.com/office/drawing/2014/chart" uri="{C3380CC4-5D6E-409C-BE32-E72D297353CC}">
              <c16:uniqueId val="{00000000-ECFB-422E-BB2F-C848C58184EF}"/>
            </c:ext>
          </c:extLst>
        </c:ser>
        <c:ser>
          <c:idx val="0"/>
          <c:order val="1"/>
          <c:tx>
            <c:strRef>
              <c:f>Sheet1!$B$2</c:f>
              <c:strCache>
                <c:ptCount val="1"/>
                <c:pt idx="0">
                  <c:v>Jan 2019</c:v>
                </c:pt>
              </c:strCache>
            </c:strRef>
          </c:tx>
          <c:spPr>
            <a:solidFill>
              <a:srgbClr val="00B050"/>
            </a:solidFill>
          </c:spPr>
          <c:invertIfNegative val="0"/>
          <c:cat>
            <c:strRef>
              <c:f>Sheet1!$A$3:$A$8</c:f>
              <c:strCache>
                <c:ptCount val="6"/>
                <c:pt idx="0">
                  <c:v>&lt;2%</c:v>
                </c:pt>
                <c:pt idx="1">
                  <c:v>2-5%</c:v>
                </c:pt>
                <c:pt idx="2">
                  <c:v>5-10%</c:v>
                </c:pt>
                <c:pt idx="3">
                  <c:v>10-17%</c:v>
                </c:pt>
                <c:pt idx="4">
                  <c:v>17-30%</c:v>
                </c:pt>
                <c:pt idx="5">
                  <c:v>&gt;30%</c:v>
                </c:pt>
              </c:strCache>
            </c:strRef>
          </c:cat>
          <c:val>
            <c:numRef>
              <c:f>Sheet1!$B$3:$B$8</c:f>
              <c:numCache>
                <c:formatCode>General</c:formatCode>
                <c:ptCount val="6"/>
                <c:pt idx="0">
                  <c:v>102</c:v>
                </c:pt>
                <c:pt idx="1">
                  <c:v>105</c:v>
                </c:pt>
                <c:pt idx="2">
                  <c:v>144</c:v>
                </c:pt>
                <c:pt idx="3">
                  <c:v>128</c:v>
                </c:pt>
                <c:pt idx="4">
                  <c:v>137</c:v>
                </c:pt>
                <c:pt idx="5">
                  <c:v>207</c:v>
                </c:pt>
              </c:numCache>
            </c:numRef>
          </c:val>
          <c:extLst>
            <c:ext xmlns:c16="http://schemas.microsoft.com/office/drawing/2014/chart" uri="{C3380CC4-5D6E-409C-BE32-E72D297353CC}">
              <c16:uniqueId val="{00000001-ECFB-422E-BB2F-C848C58184EF}"/>
            </c:ext>
          </c:extLst>
        </c:ser>
        <c:dLbls>
          <c:showLegendKey val="0"/>
          <c:showVal val="0"/>
          <c:showCatName val="0"/>
          <c:showSerName val="0"/>
          <c:showPercent val="0"/>
          <c:showBubbleSize val="0"/>
        </c:dLbls>
        <c:gapWidth val="84"/>
        <c:axId val="295494400"/>
        <c:axId val="295495936"/>
      </c:barChart>
      <c:catAx>
        <c:axId val="295494400"/>
        <c:scaling>
          <c:orientation val="minMax"/>
        </c:scaling>
        <c:delete val="0"/>
        <c:axPos val="b"/>
        <c:numFmt formatCode="General" sourceLinked="0"/>
        <c:majorTickMark val="out"/>
        <c:minorTickMark val="none"/>
        <c:tickLblPos val="nextTo"/>
        <c:txPr>
          <a:bodyPr/>
          <a:lstStyle/>
          <a:p>
            <a:pPr>
              <a:defRPr sz="800"/>
            </a:pPr>
            <a:endParaRPr lang="en-US"/>
          </a:p>
        </c:txPr>
        <c:crossAx val="295495936"/>
        <c:crosses val="autoZero"/>
        <c:auto val="1"/>
        <c:lblAlgn val="ctr"/>
        <c:lblOffset val="100"/>
        <c:noMultiLvlLbl val="0"/>
      </c:catAx>
      <c:valAx>
        <c:axId val="295495936"/>
        <c:scaling>
          <c:orientation val="minMax"/>
        </c:scaling>
        <c:delete val="0"/>
        <c:axPos val="l"/>
        <c:numFmt formatCode="General" sourceLinked="1"/>
        <c:majorTickMark val="out"/>
        <c:minorTickMark val="none"/>
        <c:tickLblPos val="nextTo"/>
        <c:txPr>
          <a:bodyPr/>
          <a:lstStyle/>
          <a:p>
            <a:pPr>
              <a:defRPr sz="800"/>
            </a:pPr>
            <a:endParaRPr lang="en-US"/>
          </a:p>
        </c:txPr>
        <c:crossAx val="295494400"/>
        <c:crosses val="autoZero"/>
        <c:crossBetween val="between"/>
      </c:valAx>
    </c:plotArea>
    <c:legend>
      <c:legendPos val="r"/>
      <c:layout>
        <c:manualLayout>
          <c:xMode val="edge"/>
          <c:yMode val="edge"/>
          <c:x val="0.16632631323280583"/>
          <c:y val="0.16461257917815114"/>
          <c:w val="0.20311881405885718"/>
          <c:h val="0.16360875292588797"/>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CA" sz="1000"/>
              <a:t>Marine</a:t>
            </a:r>
          </a:p>
        </c:rich>
      </c:tx>
      <c:layout>
        <c:manualLayout>
          <c:xMode val="edge"/>
          <c:yMode val="edge"/>
          <c:x val="0.40503799972590804"/>
          <c:y val="3.7735849056603772E-2"/>
        </c:manualLayout>
      </c:layout>
      <c:overlay val="1"/>
    </c:title>
    <c:autoTitleDeleted val="0"/>
    <c:plotArea>
      <c:layout>
        <c:manualLayout>
          <c:layoutTarget val="inner"/>
          <c:xMode val="edge"/>
          <c:yMode val="edge"/>
          <c:x val="6.1025763814538253E-2"/>
          <c:y val="4.0117517051125491E-2"/>
          <c:w val="0.93817760742779943"/>
          <c:h val="0.86936157718216278"/>
        </c:manualLayout>
      </c:layout>
      <c:barChart>
        <c:barDir val="col"/>
        <c:grouping val="clustered"/>
        <c:varyColors val="0"/>
        <c:ser>
          <c:idx val="1"/>
          <c:order val="0"/>
          <c:tx>
            <c:strRef>
              <c:f>Sheet1!$C$2</c:f>
              <c:strCache>
                <c:ptCount val="1"/>
                <c:pt idx="0">
                  <c:v>Jan 2011</c:v>
                </c:pt>
              </c:strCache>
            </c:strRef>
          </c:tx>
          <c:spPr>
            <a:solidFill>
              <a:schemeClr val="accent1">
                <a:lumMod val="40000"/>
                <a:lumOff val="60000"/>
              </a:schemeClr>
            </a:solidFill>
          </c:spPr>
          <c:invertIfNegative val="0"/>
          <c:cat>
            <c:strRef>
              <c:f>Sheet1!$F$3:$F$7</c:f>
              <c:strCache>
                <c:ptCount val="5"/>
                <c:pt idx="0">
                  <c:v>&lt;2%</c:v>
                </c:pt>
                <c:pt idx="1">
                  <c:v>2-5%</c:v>
                </c:pt>
                <c:pt idx="2">
                  <c:v>5-10%</c:v>
                </c:pt>
                <c:pt idx="3">
                  <c:v>10-30%</c:v>
                </c:pt>
                <c:pt idx="4">
                  <c:v>&gt;30%</c:v>
                </c:pt>
              </c:strCache>
            </c:strRef>
          </c:cat>
          <c:val>
            <c:numRef>
              <c:f>Sheet1!$E$3:$E$7</c:f>
              <c:numCache>
                <c:formatCode>General</c:formatCode>
                <c:ptCount val="5"/>
                <c:pt idx="0">
                  <c:v>163</c:v>
                </c:pt>
                <c:pt idx="1">
                  <c:v>27</c:v>
                </c:pt>
                <c:pt idx="2">
                  <c:v>12</c:v>
                </c:pt>
                <c:pt idx="3">
                  <c:v>22</c:v>
                </c:pt>
                <c:pt idx="4">
                  <c:v>8</c:v>
                </c:pt>
              </c:numCache>
            </c:numRef>
          </c:val>
          <c:extLst>
            <c:ext xmlns:c16="http://schemas.microsoft.com/office/drawing/2014/chart" uri="{C3380CC4-5D6E-409C-BE32-E72D297353CC}">
              <c16:uniqueId val="{00000000-6459-4192-AF13-D2A5304DBB03}"/>
            </c:ext>
          </c:extLst>
        </c:ser>
        <c:ser>
          <c:idx val="0"/>
          <c:order val="1"/>
          <c:tx>
            <c:strRef>
              <c:f>Sheet1!$B$2</c:f>
              <c:strCache>
                <c:ptCount val="1"/>
                <c:pt idx="0">
                  <c:v>Jan 2019</c:v>
                </c:pt>
              </c:strCache>
            </c:strRef>
          </c:tx>
          <c:spPr>
            <a:solidFill>
              <a:srgbClr val="0070C0"/>
            </a:solidFill>
          </c:spPr>
          <c:invertIfNegative val="0"/>
          <c:cat>
            <c:strRef>
              <c:f>Sheet1!$F$3:$F$7</c:f>
              <c:strCache>
                <c:ptCount val="5"/>
                <c:pt idx="0">
                  <c:v>&lt;2%</c:v>
                </c:pt>
                <c:pt idx="1">
                  <c:v>2-5%</c:v>
                </c:pt>
                <c:pt idx="2">
                  <c:v>5-10%</c:v>
                </c:pt>
                <c:pt idx="3">
                  <c:v>10-30%</c:v>
                </c:pt>
                <c:pt idx="4">
                  <c:v>&gt;30%</c:v>
                </c:pt>
              </c:strCache>
            </c:strRef>
          </c:cat>
          <c:val>
            <c:numRef>
              <c:f>Sheet1!$D$3:$D$7</c:f>
              <c:numCache>
                <c:formatCode>General</c:formatCode>
                <c:ptCount val="5"/>
                <c:pt idx="0">
                  <c:v>66</c:v>
                </c:pt>
                <c:pt idx="1">
                  <c:v>33</c:v>
                </c:pt>
                <c:pt idx="2">
                  <c:v>24</c:v>
                </c:pt>
                <c:pt idx="3">
                  <c:v>54</c:v>
                </c:pt>
                <c:pt idx="4">
                  <c:v>55</c:v>
                </c:pt>
              </c:numCache>
            </c:numRef>
          </c:val>
          <c:extLst>
            <c:ext xmlns:c16="http://schemas.microsoft.com/office/drawing/2014/chart" uri="{C3380CC4-5D6E-409C-BE32-E72D297353CC}">
              <c16:uniqueId val="{00000001-6459-4192-AF13-D2A5304DBB03}"/>
            </c:ext>
          </c:extLst>
        </c:ser>
        <c:dLbls>
          <c:showLegendKey val="0"/>
          <c:showVal val="0"/>
          <c:showCatName val="0"/>
          <c:showSerName val="0"/>
          <c:showPercent val="0"/>
          <c:showBubbleSize val="0"/>
        </c:dLbls>
        <c:gapWidth val="84"/>
        <c:axId val="295948288"/>
        <c:axId val="295949824"/>
      </c:barChart>
      <c:catAx>
        <c:axId val="295948288"/>
        <c:scaling>
          <c:orientation val="minMax"/>
        </c:scaling>
        <c:delete val="0"/>
        <c:axPos val="b"/>
        <c:numFmt formatCode="General" sourceLinked="1"/>
        <c:majorTickMark val="out"/>
        <c:minorTickMark val="none"/>
        <c:tickLblPos val="nextTo"/>
        <c:txPr>
          <a:bodyPr/>
          <a:lstStyle/>
          <a:p>
            <a:pPr>
              <a:defRPr sz="800"/>
            </a:pPr>
            <a:endParaRPr lang="en-US"/>
          </a:p>
        </c:txPr>
        <c:crossAx val="295949824"/>
        <c:crosses val="autoZero"/>
        <c:auto val="1"/>
        <c:lblAlgn val="ctr"/>
        <c:lblOffset val="100"/>
        <c:noMultiLvlLbl val="0"/>
      </c:catAx>
      <c:valAx>
        <c:axId val="295949824"/>
        <c:scaling>
          <c:orientation val="minMax"/>
          <c:max val="160"/>
        </c:scaling>
        <c:delete val="0"/>
        <c:axPos val="l"/>
        <c:numFmt formatCode="General" sourceLinked="1"/>
        <c:majorTickMark val="out"/>
        <c:minorTickMark val="none"/>
        <c:tickLblPos val="nextTo"/>
        <c:txPr>
          <a:bodyPr/>
          <a:lstStyle/>
          <a:p>
            <a:pPr>
              <a:defRPr sz="800"/>
            </a:pPr>
            <a:endParaRPr lang="en-US"/>
          </a:p>
        </c:txPr>
        <c:crossAx val="295948288"/>
        <c:crosses val="autoZero"/>
        <c:crossBetween val="between"/>
        <c:majorUnit val="40"/>
      </c:valAx>
    </c:plotArea>
    <c:legend>
      <c:legendPos val="r"/>
      <c:layout>
        <c:manualLayout>
          <c:xMode val="edge"/>
          <c:yMode val="edge"/>
          <c:x val="0.39360212434818359"/>
          <c:y val="0.15213935522210667"/>
          <c:w val="0.2364259128335483"/>
          <c:h val="0.17487224608287599"/>
        </c:manualLayout>
      </c:layout>
      <c:overlay val="0"/>
      <c:txPr>
        <a:bodyPr/>
        <a:lstStyle/>
        <a:p>
          <a:pPr>
            <a:defRPr sz="800"/>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5645086698258"/>
          <c:y val="4.5618974377059092E-2"/>
          <c:w val="0.62868871221513767"/>
          <c:h val="0.84549446944131978"/>
        </c:manualLayout>
      </c:layout>
      <c:barChart>
        <c:barDir val="col"/>
        <c:grouping val="percentStacked"/>
        <c:varyColors val="0"/>
        <c:ser>
          <c:idx val="2"/>
          <c:order val="0"/>
          <c:tx>
            <c:strRef>
              <c:f>Sheet2!$G$1</c:f>
              <c:strCache>
                <c:ptCount val="1"/>
                <c:pt idx="0">
                  <c:v>No coverage</c:v>
                </c:pt>
              </c:strCache>
            </c:strRef>
          </c:tx>
          <c:spPr>
            <a:solidFill>
              <a:srgbClr val="C0504D">
                <a:lumMod val="60000"/>
                <a:lumOff val="40000"/>
              </a:srgbClr>
            </a:solidFill>
          </c:spPr>
          <c:invertIfNegative val="0"/>
          <c:dLbls>
            <c:numFmt formatCode="#,##0" sourceLinked="0"/>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Sheet2!$A$3:$A$4</c:f>
              <c:strCache>
                <c:ptCount val="2"/>
                <c:pt idx="0">
                  <c:v>Marine</c:v>
                </c:pt>
                <c:pt idx="1">
                  <c:v>Terrestrial</c:v>
                </c:pt>
              </c:strCache>
            </c:strRef>
          </c:cat>
          <c:val>
            <c:numRef>
              <c:f>Sheet2!$G$3:$G$4</c:f>
              <c:numCache>
                <c:formatCode>General</c:formatCode>
                <c:ptCount val="2"/>
                <c:pt idx="0">
                  <c:v>1456</c:v>
                </c:pt>
                <c:pt idx="1">
                  <c:v>4792</c:v>
                </c:pt>
              </c:numCache>
            </c:numRef>
          </c:val>
          <c:extLst>
            <c:ext xmlns:c16="http://schemas.microsoft.com/office/drawing/2014/chart" uri="{C3380CC4-5D6E-409C-BE32-E72D297353CC}">
              <c16:uniqueId val="{00000000-9124-4942-A7B0-5D32457DD169}"/>
            </c:ext>
          </c:extLst>
        </c:ser>
        <c:ser>
          <c:idx val="1"/>
          <c:order val="1"/>
          <c:tx>
            <c:strRef>
              <c:f>Sheet2!$F$1</c:f>
              <c:strCache>
                <c:ptCount val="1"/>
                <c:pt idx="0">
                  <c:v>Partial</c:v>
                </c:pt>
              </c:strCache>
            </c:strRef>
          </c:tx>
          <c:spPr>
            <a:solidFill>
              <a:schemeClr val="accent1">
                <a:lumMod val="40000"/>
                <a:lumOff val="60000"/>
              </a:schemeClr>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Sheet2!$A$3:$A$4</c:f>
              <c:strCache>
                <c:ptCount val="2"/>
                <c:pt idx="0">
                  <c:v>Marine</c:v>
                </c:pt>
                <c:pt idx="1">
                  <c:v>Terrestrial</c:v>
                </c:pt>
              </c:strCache>
            </c:strRef>
          </c:cat>
          <c:val>
            <c:numRef>
              <c:f>Sheet2!$F$3:$F$4</c:f>
              <c:numCache>
                <c:formatCode>#,##0</c:formatCode>
                <c:ptCount val="2"/>
                <c:pt idx="0">
                  <c:v>1589</c:v>
                </c:pt>
                <c:pt idx="1">
                  <c:v>6580</c:v>
                </c:pt>
              </c:numCache>
            </c:numRef>
          </c:val>
          <c:extLst>
            <c:ext xmlns:c16="http://schemas.microsoft.com/office/drawing/2014/chart" uri="{C3380CC4-5D6E-409C-BE32-E72D297353CC}">
              <c16:uniqueId val="{00000001-9124-4942-A7B0-5D32457DD169}"/>
            </c:ext>
          </c:extLst>
        </c:ser>
        <c:ser>
          <c:idx val="0"/>
          <c:order val="2"/>
          <c:tx>
            <c:strRef>
              <c:f>Sheet2!$E$1</c:f>
              <c:strCache>
                <c:ptCount val="1"/>
                <c:pt idx="0">
                  <c:v>Fully covered</c:v>
                </c:pt>
              </c:strCache>
            </c:strRef>
          </c:tx>
          <c:spPr>
            <a:solidFill>
              <a:srgbClr val="9BBB59">
                <a:lumMod val="60000"/>
                <a:lumOff val="40000"/>
              </a:srgbClr>
            </a:solidFill>
          </c:spPr>
          <c:invertIfNegative val="0"/>
          <c:dLbls>
            <c:numFmt formatCode="#,##0" sourceLinked="0"/>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Sheet2!$A$3:$A$4</c:f>
              <c:strCache>
                <c:ptCount val="2"/>
                <c:pt idx="0">
                  <c:v>Marine</c:v>
                </c:pt>
                <c:pt idx="1">
                  <c:v>Terrestrial</c:v>
                </c:pt>
              </c:strCache>
            </c:strRef>
          </c:cat>
          <c:val>
            <c:numRef>
              <c:f>Sheet2!$E$3:$E$4</c:f>
              <c:numCache>
                <c:formatCode>General</c:formatCode>
                <c:ptCount val="2"/>
                <c:pt idx="0">
                  <c:v>945</c:v>
                </c:pt>
                <c:pt idx="1">
                  <c:v>2731</c:v>
                </c:pt>
              </c:numCache>
            </c:numRef>
          </c:val>
          <c:extLst>
            <c:ext xmlns:c16="http://schemas.microsoft.com/office/drawing/2014/chart" uri="{C3380CC4-5D6E-409C-BE32-E72D297353CC}">
              <c16:uniqueId val="{00000002-9124-4942-A7B0-5D32457DD169}"/>
            </c:ext>
          </c:extLst>
        </c:ser>
        <c:dLbls>
          <c:showLegendKey val="0"/>
          <c:showVal val="0"/>
          <c:showCatName val="0"/>
          <c:showSerName val="0"/>
          <c:showPercent val="0"/>
          <c:showBubbleSize val="0"/>
        </c:dLbls>
        <c:gapWidth val="70"/>
        <c:overlap val="100"/>
        <c:axId val="147383808"/>
        <c:axId val="147385344"/>
      </c:barChart>
      <c:catAx>
        <c:axId val="147383808"/>
        <c:scaling>
          <c:orientation val="minMax"/>
        </c:scaling>
        <c:delete val="0"/>
        <c:axPos val="b"/>
        <c:numFmt formatCode="General" sourceLinked="0"/>
        <c:majorTickMark val="out"/>
        <c:minorTickMark val="none"/>
        <c:tickLblPos val="nextTo"/>
        <c:txPr>
          <a:bodyPr/>
          <a:lstStyle/>
          <a:p>
            <a:pPr>
              <a:defRPr sz="800" b="1"/>
            </a:pPr>
            <a:endParaRPr lang="en-US"/>
          </a:p>
        </c:txPr>
        <c:crossAx val="147385344"/>
        <c:crosses val="autoZero"/>
        <c:auto val="1"/>
        <c:lblAlgn val="ctr"/>
        <c:lblOffset val="100"/>
        <c:noMultiLvlLbl val="0"/>
      </c:catAx>
      <c:valAx>
        <c:axId val="147385344"/>
        <c:scaling>
          <c:orientation val="minMax"/>
        </c:scaling>
        <c:delete val="0"/>
        <c:axPos val="l"/>
        <c:numFmt formatCode="0%" sourceLinked="1"/>
        <c:majorTickMark val="out"/>
        <c:minorTickMark val="none"/>
        <c:tickLblPos val="nextTo"/>
        <c:txPr>
          <a:bodyPr/>
          <a:lstStyle/>
          <a:p>
            <a:pPr>
              <a:defRPr sz="800"/>
            </a:pPr>
            <a:endParaRPr lang="en-US"/>
          </a:p>
        </c:txPr>
        <c:crossAx val="147383808"/>
        <c:crosses val="autoZero"/>
        <c:crossBetween val="between"/>
        <c:majorUnit val="0.2"/>
      </c:valAx>
    </c:plotArea>
    <c:legend>
      <c:legendPos val="r"/>
      <c:layout>
        <c:manualLayout>
          <c:xMode val="edge"/>
          <c:yMode val="edge"/>
          <c:x val="0.73309674405385417"/>
          <c:y val="0.20756177631629127"/>
          <c:w val="0.26690339065628144"/>
          <c:h val="0.51731958641496989"/>
        </c:manualLayout>
      </c:layout>
      <c:overlay val="0"/>
      <c:txPr>
        <a:bodyPr/>
        <a:lstStyle/>
        <a:p>
          <a:pPr>
            <a:defRPr sz="800"/>
          </a:pPr>
          <a:endParaRPr lang="en-US"/>
        </a:p>
      </c:txPr>
    </c:legend>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07174103237096E-2"/>
          <c:y val="5.1400554097404488E-2"/>
          <c:w val="0.88787335958005265"/>
          <c:h val="0.85224485160508778"/>
        </c:manualLayout>
      </c:layout>
      <c:barChart>
        <c:barDir val="col"/>
        <c:grouping val="clustered"/>
        <c:varyColors val="0"/>
        <c:ser>
          <c:idx val="0"/>
          <c:order val="0"/>
          <c:tx>
            <c:strRef>
              <c:f>Sheet1!$A$2</c:f>
              <c:strCache>
                <c:ptCount val="1"/>
                <c:pt idx="0">
                  <c:v>marine</c:v>
                </c:pt>
              </c:strCache>
            </c:strRef>
          </c:tx>
          <c:spPr>
            <a:solidFill>
              <a:schemeClr val="accent5">
                <a:lumMod val="60000"/>
                <a:lumOff val="40000"/>
              </a:schemeClr>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Sheet1!$D$1:$F$1</c:f>
              <c:numCache>
                <c:formatCode>General</c:formatCode>
                <c:ptCount val="3"/>
                <c:pt idx="0">
                  <c:v>2010</c:v>
                </c:pt>
                <c:pt idx="1">
                  <c:v>2015</c:v>
                </c:pt>
                <c:pt idx="2">
                  <c:v>2018</c:v>
                </c:pt>
              </c:numCache>
            </c:numRef>
          </c:cat>
          <c:val>
            <c:numRef>
              <c:f>Sheet1!$D$2:$F$2</c:f>
              <c:numCache>
                <c:formatCode>General</c:formatCode>
                <c:ptCount val="3"/>
                <c:pt idx="0">
                  <c:v>41.1</c:v>
                </c:pt>
                <c:pt idx="1">
                  <c:v>44.8</c:v>
                </c:pt>
                <c:pt idx="2">
                  <c:v>45.7</c:v>
                </c:pt>
              </c:numCache>
            </c:numRef>
          </c:val>
          <c:extLst>
            <c:ext xmlns:c16="http://schemas.microsoft.com/office/drawing/2014/chart" uri="{C3380CC4-5D6E-409C-BE32-E72D297353CC}">
              <c16:uniqueId val="{00000000-9359-456D-BE52-121C3418A2D2}"/>
            </c:ext>
          </c:extLst>
        </c:ser>
        <c:ser>
          <c:idx val="1"/>
          <c:order val="1"/>
          <c:tx>
            <c:strRef>
              <c:f>Sheet1!$A$3</c:f>
              <c:strCache>
                <c:ptCount val="1"/>
                <c:pt idx="0">
                  <c:v>terrestrial</c:v>
                </c:pt>
              </c:strCache>
            </c:strRef>
          </c:tx>
          <c:spPr>
            <a:solidFill>
              <a:srgbClr val="92D050"/>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Sheet1!$D$1:$F$1</c:f>
              <c:numCache>
                <c:formatCode>General</c:formatCode>
                <c:ptCount val="3"/>
                <c:pt idx="0">
                  <c:v>2010</c:v>
                </c:pt>
                <c:pt idx="1">
                  <c:v>2015</c:v>
                </c:pt>
                <c:pt idx="2">
                  <c:v>2018</c:v>
                </c:pt>
              </c:numCache>
            </c:numRef>
          </c:cat>
          <c:val>
            <c:numRef>
              <c:f>Sheet1!$D$3:$F$3</c:f>
              <c:numCache>
                <c:formatCode>General</c:formatCode>
                <c:ptCount val="3"/>
                <c:pt idx="0">
                  <c:v>43.6</c:v>
                </c:pt>
                <c:pt idx="1">
                  <c:v>45.8</c:v>
                </c:pt>
                <c:pt idx="2">
                  <c:v>46.1</c:v>
                </c:pt>
              </c:numCache>
            </c:numRef>
          </c:val>
          <c:extLst>
            <c:ext xmlns:c16="http://schemas.microsoft.com/office/drawing/2014/chart" uri="{C3380CC4-5D6E-409C-BE32-E72D297353CC}">
              <c16:uniqueId val="{00000001-9359-456D-BE52-121C3418A2D2}"/>
            </c:ext>
          </c:extLst>
        </c:ser>
        <c:dLbls>
          <c:showLegendKey val="0"/>
          <c:showVal val="0"/>
          <c:showCatName val="0"/>
          <c:showSerName val="0"/>
          <c:showPercent val="0"/>
          <c:showBubbleSize val="0"/>
        </c:dLbls>
        <c:gapWidth val="85"/>
        <c:axId val="160819072"/>
        <c:axId val="160820608"/>
      </c:barChart>
      <c:catAx>
        <c:axId val="160819072"/>
        <c:scaling>
          <c:orientation val="minMax"/>
        </c:scaling>
        <c:delete val="0"/>
        <c:axPos val="b"/>
        <c:numFmt formatCode="General" sourceLinked="1"/>
        <c:majorTickMark val="out"/>
        <c:minorTickMark val="none"/>
        <c:tickLblPos val="nextTo"/>
        <c:txPr>
          <a:bodyPr/>
          <a:lstStyle/>
          <a:p>
            <a:pPr>
              <a:defRPr sz="800" b="1"/>
            </a:pPr>
            <a:endParaRPr lang="en-US"/>
          </a:p>
        </c:txPr>
        <c:crossAx val="160820608"/>
        <c:crosses val="autoZero"/>
        <c:auto val="1"/>
        <c:lblAlgn val="ctr"/>
        <c:lblOffset val="100"/>
        <c:noMultiLvlLbl val="0"/>
      </c:catAx>
      <c:valAx>
        <c:axId val="160820608"/>
        <c:scaling>
          <c:orientation val="minMax"/>
          <c:max val="75"/>
          <c:min val="0"/>
        </c:scaling>
        <c:delete val="0"/>
        <c:axPos val="l"/>
        <c:numFmt formatCode="General" sourceLinked="1"/>
        <c:majorTickMark val="out"/>
        <c:minorTickMark val="none"/>
        <c:tickLblPos val="nextTo"/>
        <c:txPr>
          <a:bodyPr/>
          <a:lstStyle/>
          <a:p>
            <a:pPr>
              <a:defRPr sz="800"/>
            </a:pPr>
            <a:endParaRPr lang="en-US"/>
          </a:p>
        </c:txPr>
        <c:crossAx val="160819072"/>
        <c:crosses val="autoZero"/>
        <c:crossBetween val="between"/>
        <c:majorUnit val="25"/>
      </c:valAx>
    </c:plotArea>
    <c:legend>
      <c:legendPos val="r"/>
      <c:layout>
        <c:manualLayout>
          <c:xMode val="edge"/>
          <c:yMode val="edge"/>
          <c:x val="0.31769274633411287"/>
          <c:y val="8.4240845703586642E-2"/>
          <c:w val="0.17607903904037414"/>
          <c:h val="0.17009204032976613"/>
        </c:manualLayout>
      </c:layout>
      <c:overlay val="0"/>
      <c:txPr>
        <a:bodyPr/>
        <a:lstStyle/>
        <a:p>
          <a:pPr>
            <a:defRPr sz="800"/>
          </a:pPr>
          <a:endParaRPr lang="en-US"/>
        </a:p>
      </c:txPr>
    </c:legend>
    <c:plotVisOnly val="1"/>
    <c:dispBlanksAs val="gap"/>
    <c:showDLblsOverMax val="0"/>
  </c:chart>
  <c:spPr>
    <a:ln>
      <a:noFill/>
    </a:ln>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1149123401269"/>
          <c:y val="7.1128354348528933E-2"/>
          <c:w val="0.83160335700559607"/>
          <c:h val="0.75854237664348922"/>
        </c:manualLayout>
      </c:layout>
      <c:scatterChart>
        <c:scatterStyle val="lineMarker"/>
        <c:varyColors val="0"/>
        <c:ser>
          <c:idx val="0"/>
          <c:order val="0"/>
          <c:tx>
            <c:strRef>
              <c:f>'BIP Regions'!$B$4</c:f>
              <c:strCache>
                <c:ptCount val="1"/>
                <c:pt idx="0">
                  <c:v>GLOBAL</c:v>
                </c:pt>
              </c:strCache>
            </c:strRef>
          </c:tx>
          <c:xVal>
            <c:numRef>
              <c:f>'BIP Regions'!$E$3:$H$3</c:f>
              <c:numCache>
                <c:formatCode>General</c:formatCode>
                <c:ptCount val="4"/>
                <c:pt idx="0">
                  <c:v>2005</c:v>
                </c:pt>
                <c:pt idx="1">
                  <c:v>2010</c:v>
                </c:pt>
                <c:pt idx="2">
                  <c:v>2015</c:v>
                </c:pt>
                <c:pt idx="3">
                  <c:v>2019</c:v>
                </c:pt>
              </c:numCache>
            </c:numRef>
          </c:xVal>
          <c:yVal>
            <c:numRef>
              <c:f>'BIP Regions'!$E$4:$H$4</c:f>
              <c:numCache>
                <c:formatCode>0.000</c:formatCode>
                <c:ptCount val="4"/>
                <c:pt idx="0">
                  <c:v>0.51082399999999994</c:v>
                </c:pt>
                <c:pt idx="1">
                  <c:v>0.52309499999999998</c:v>
                </c:pt>
                <c:pt idx="2">
                  <c:v>0.51838399999999996</c:v>
                </c:pt>
                <c:pt idx="3">
                  <c:v>0.51888500000000004</c:v>
                </c:pt>
              </c:numCache>
            </c:numRef>
          </c:yVal>
          <c:smooth val="0"/>
          <c:extLst>
            <c:ext xmlns:c16="http://schemas.microsoft.com/office/drawing/2014/chart" uri="{C3380CC4-5D6E-409C-BE32-E72D297353CC}">
              <c16:uniqueId val="{00000000-CA58-41DC-BFA0-3CB54F71466A}"/>
            </c:ext>
          </c:extLst>
        </c:ser>
        <c:ser>
          <c:idx val="11"/>
          <c:order val="1"/>
          <c:tx>
            <c:strRef>
              <c:f>'BIP Regions'!$B$15</c:f>
              <c:strCache>
                <c:ptCount val="1"/>
              </c:strCache>
            </c:strRef>
          </c:tx>
          <c:spPr>
            <a:ln>
              <a:noFill/>
            </a:ln>
          </c:spPr>
          <c:marker>
            <c:symbol val="none"/>
          </c:marker>
          <c:xVal>
            <c:numRef>
              <c:f>'BIP Regions'!$E$3:$H$3</c:f>
              <c:numCache>
                <c:formatCode>General</c:formatCode>
                <c:ptCount val="4"/>
                <c:pt idx="0">
                  <c:v>2005</c:v>
                </c:pt>
                <c:pt idx="1">
                  <c:v>2010</c:v>
                </c:pt>
                <c:pt idx="2">
                  <c:v>2015</c:v>
                </c:pt>
                <c:pt idx="3">
                  <c:v>2019</c:v>
                </c:pt>
              </c:numCache>
            </c:numRef>
          </c:xVal>
          <c:yVal>
            <c:numRef>
              <c:f>'BIP Regions'!$E$15:$H$15</c:f>
              <c:numCache>
                <c:formatCode>General</c:formatCode>
                <c:ptCount val="4"/>
              </c:numCache>
            </c:numRef>
          </c:yVal>
          <c:smooth val="0"/>
          <c:extLst>
            <c:ext xmlns:c16="http://schemas.microsoft.com/office/drawing/2014/chart" uri="{C3380CC4-5D6E-409C-BE32-E72D297353CC}">
              <c16:uniqueId val="{00000001-CA58-41DC-BFA0-3CB54F71466A}"/>
            </c:ext>
          </c:extLst>
        </c:ser>
        <c:dLbls>
          <c:showLegendKey val="0"/>
          <c:showVal val="0"/>
          <c:showCatName val="0"/>
          <c:showSerName val="0"/>
          <c:showPercent val="0"/>
          <c:showBubbleSize val="0"/>
        </c:dLbls>
        <c:axId val="268878976"/>
        <c:axId val="268880512"/>
      </c:scatterChart>
      <c:valAx>
        <c:axId val="268878976"/>
        <c:scaling>
          <c:orientation val="minMax"/>
          <c:min val="2005"/>
        </c:scaling>
        <c:delete val="0"/>
        <c:axPos val="b"/>
        <c:numFmt formatCode="General" sourceLinked="1"/>
        <c:majorTickMark val="out"/>
        <c:minorTickMark val="none"/>
        <c:tickLblPos val="nextTo"/>
        <c:txPr>
          <a:bodyPr/>
          <a:lstStyle/>
          <a:p>
            <a:pPr>
              <a:defRPr sz="800"/>
            </a:pPr>
            <a:endParaRPr lang="en-US"/>
          </a:p>
        </c:txPr>
        <c:crossAx val="268880512"/>
        <c:crosses val="autoZero"/>
        <c:crossBetween val="midCat"/>
        <c:majorUnit val="5"/>
      </c:valAx>
      <c:valAx>
        <c:axId val="268880512"/>
        <c:scaling>
          <c:orientation val="minMax"/>
          <c:max val="0.70000000000000007"/>
          <c:min val="0"/>
        </c:scaling>
        <c:delete val="0"/>
        <c:axPos val="l"/>
        <c:numFmt formatCode="0.0" sourceLinked="0"/>
        <c:majorTickMark val="out"/>
        <c:minorTickMark val="none"/>
        <c:tickLblPos val="nextTo"/>
        <c:txPr>
          <a:bodyPr/>
          <a:lstStyle/>
          <a:p>
            <a:pPr>
              <a:defRPr sz="800"/>
            </a:pPr>
            <a:endParaRPr lang="en-US"/>
          </a:p>
        </c:txPr>
        <c:crossAx val="268878976"/>
        <c:crosses val="autoZero"/>
        <c:crossBetween val="midCat"/>
        <c:majorUnit val="0.1"/>
      </c:valAx>
      <c:spPr>
        <a:noFill/>
        <a:ln w="25400">
          <a:noFill/>
        </a:ln>
      </c:spPr>
    </c:plotArea>
    <c:plotVisOnly val="1"/>
    <c:dispBlanksAs val="gap"/>
    <c:showDLblsOverMax val="0"/>
  </c:chart>
  <c:spPr>
    <a:ln>
      <a:noFill/>
    </a:ln>
  </c:spPr>
  <c:txPr>
    <a:bodyPr/>
    <a:lstStyle/>
    <a:p>
      <a:pPr algn="just">
        <a:defRPr sz="900"/>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988407699037624E-2"/>
          <c:y val="5.1400554097404488E-2"/>
          <c:w val="0.91061023622047244"/>
          <c:h val="0.77781267913816154"/>
        </c:manualLayout>
      </c:layout>
      <c:barChart>
        <c:barDir val="col"/>
        <c:grouping val="clustered"/>
        <c:varyColors val="0"/>
        <c:ser>
          <c:idx val="0"/>
          <c:order val="0"/>
          <c:tx>
            <c:strRef>
              <c:f>'BIP Countries'!$E$3</c:f>
              <c:strCache>
                <c:ptCount val="1"/>
                <c:pt idx="0">
                  <c:v>2005</c:v>
                </c:pt>
              </c:strCache>
            </c:strRef>
          </c:tx>
          <c:invertIfNegative val="0"/>
          <c:cat>
            <c:strRef>
              <c:f>'BIP Countries'!$R$13:$R$22</c:f>
              <c:strCache>
                <c:ptCount val="10"/>
                <c:pt idx="1">
                  <c:v>0.1-0.2</c:v>
                </c:pt>
                <c:pt idx="3">
                  <c:v>0.3-0.4</c:v>
                </c:pt>
                <c:pt idx="5">
                  <c:v>0.5-0.6</c:v>
                </c:pt>
                <c:pt idx="7">
                  <c:v>0.7-0.8</c:v>
                </c:pt>
                <c:pt idx="9">
                  <c:v>0.9-1.0</c:v>
                </c:pt>
              </c:strCache>
            </c:strRef>
          </c:cat>
          <c:val>
            <c:numRef>
              <c:f>'BIP Countries'!$P$13:$P$22</c:f>
              <c:numCache>
                <c:formatCode>General</c:formatCode>
                <c:ptCount val="10"/>
                <c:pt idx="0">
                  <c:v>6</c:v>
                </c:pt>
                <c:pt idx="1">
                  <c:v>20</c:v>
                </c:pt>
                <c:pt idx="2">
                  <c:v>46</c:v>
                </c:pt>
                <c:pt idx="3">
                  <c:v>57</c:v>
                </c:pt>
                <c:pt idx="4">
                  <c:v>55</c:v>
                </c:pt>
                <c:pt idx="5">
                  <c:v>27</c:v>
                </c:pt>
                <c:pt idx="6">
                  <c:v>8</c:v>
                </c:pt>
                <c:pt idx="7">
                  <c:v>0</c:v>
                </c:pt>
                <c:pt idx="8">
                  <c:v>0</c:v>
                </c:pt>
                <c:pt idx="9">
                  <c:v>3</c:v>
                </c:pt>
              </c:numCache>
            </c:numRef>
          </c:val>
          <c:extLst>
            <c:ext xmlns:c16="http://schemas.microsoft.com/office/drawing/2014/chart" uri="{C3380CC4-5D6E-409C-BE32-E72D297353CC}">
              <c16:uniqueId val="{00000000-4F7C-4A0B-A72E-9B7F8229244E}"/>
            </c:ext>
          </c:extLst>
        </c:ser>
        <c:ser>
          <c:idx val="1"/>
          <c:order val="1"/>
          <c:tx>
            <c:strRef>
              <c:f>'BIP Countries'!$H$3</c:f>
              <c:strCache>
                <c:ptCount val="1"/>
                <c:pt idx="0">
                  <c:v>2019</c:v>
                </c:pt>
              </c:strCache>
            </c:strRef>
          </c:tx>
          <c:invertIfNegative val="0"/>
          <c:cat>
            <c:strRef>
              <c:f>'BIP Countries'!$R$13:$R$22</c:f>
              <c:strCache>
                <c:ptCount val="10"/>
                <c:pt idx="1">
                  <c:v>0.1-0.2</c:v>
                </c:pt>
                <c:pt idx="3">
                  <c:v>0.3-0.4</c:v>
                </c:pt>
                <c:pt idx="5">
                  <c:v>0.5-0.6</c:v>
                </c:pt>
                <c:pt idx="7">
                  <c:v>0.7-0.8</c:v>
                </c:pt>
                <c:pt idx="9">
                  <c:v>0.9-1.0</c:v>
                </c:pt>
              </c:strCache>
            </c:strRef>
          </c:cat>
          <c:val>
            <c:numRef>
              <c:f>'BIP Countries'!$S$13:$S$22</c:f>
              <c:numCache>
                <c:formatCode>General</c:formatCode>
                <c:ptCount val="10"/>
                <c:pt idx="0">
                  <c:v>6</c:v>
                </c:pt>
                <c:pt idx="1">
                  <c:v>14</c:v>
                </c:pt>
                <c:pt idx="2">
                  <c:v>38</c:v>
                </c:pt>
                <c:pt idx="3">
                  <c:v>47</c:v>
                </c:pt>
                <c:pt idx="4">
                  <c:v>68</c:v>
                </c:pt>
                <c:pt idx="5">
                  <c:v>36</c:v>
                </c:pt>
                <c:pt idx="6">
                  <c:v>12</c:v>
                </c:pt>
                <c:pt idx="7">
                  <c:v>3</c:v>
                </c:pt>
                <c:pt idx="8">
                  <c:v>0</c:v>
                </c:pt>
                <c:pt idx="9">
                  <c:v>4</c:v>
                </c:pt>
              </c:numCache>
            </c:numRef>
          </c:val>
          <c:extLst>
            <c:ext xmlns:c16="http://schemas.microsoft.com/office/drawing/2014/chart" uri="{C3380CC4-5D6E-409C-BE32-E72D297353CC}">
              <c16:uniqueId val="{00000001-4F7C-4A0B-A72E-9B7F8229244E}"/>
            </c:ext>
          </c:extLst>
        </c:ser>
        <c:dLbls>
          <c:showLegendKey val="0"/>
          <c:showVal val="0"/>
          <c:showCatName val="0"/>
          <c:showSerName val="0"/>
          <c:showPercent val="0"/>
          <c:showBubbleSize val="0"/>
        </c:dLbls>
        <c:gapWidth val="24"/>
        <c:axId val="268926976"/>
        <c:axId val="268928896"/>
      </c:barChart>
      <c:catAx>
        <c:axId val="268926976"/>
        <c:scaling>
          <c:orientation val="minMax"/>
        </c:scaling>
        <c:delete val="0"/>
        <c:axPos val="b"/>
        <c:title>
          <c:tx>
            <c:rich>
              <a:bodyPr/>
              <a:lstStyle/>
              <a:p>
                <a:pPr>
                  <a:defRPr/>
                </a:pPr>
                <a:r>
                  <a:rPr lang="en-CA" sz="800" b="0"/>
                  <a:t>PARC-Connectedness Index</a:t>
                </a:r>
              </a:p>
            </c:rich>
          </c:tx>
          <c:overlay val="0"/>
        </c:title>
        <c:numFmt formatCode="General" sourceLinked="1"/>
        <c:majorTickMark val="out"/>
        <c:minorTickMark val="none"/>
        <c:tickLblPos val="nextTo"/>
        <c:txPr>
          <a:bodyPr/>
          <a:lstStyle/>
          <a:p>
            <a:pPr>
              <a:defRPr sz="750"/>
            </a:pPr>
            <a:endParaRPr lang="en-US"/>
          </a:p>
        </c:txPr>
        <c:crossAx val="268928896"/>
        <c:crosses val="autoZero"/>
        <c:auto val="1"/>
        <c:lblAlgn val="ctr"/>
        <c:lblOffset val="100"/>
        <c:noMultiLvlLbl val="0"/>
      </c:catAx>
      <c:valAx>
        <c:axId val="268928896"/>
        <c:scaling>
          <c:orientation val="minMax"/>
        </c:scaling>
        <c:delete val="0"/>
        <c:axPos val="l"/>
        <c:numFmt formatCode="General" sourceLinked="1"/>
        <c:majorTickMark val="out"/>
        <c:minorTickMark val="none"/>
        <c:tickLblPos val="nextTo"/>
        <c:txPr>
          <a:bodyPr/>
          <a:lstStyle/>
          <a:p>
            <a:pPr>
              <a:defRPr sz="800"/>
            </a:pPr>
            <a:endParaRPr lang="en-US"/>
          </a:p>
        </c:txPr>
        <c:crossAx val="268926976"/>
        <c:crosses val="autoZero"/>
        <c:crossBetween val="between"/>
        <c:majorUnit val="20"/>
      </c:valAx>
    </c:plotArea>
    <c:legend>
      <c:legendPos val="r"/>
      <c:layout>
        <c:manualLayout>
          <c:xMode val="edge"/>
          <c:yMode val="edge"/>
          <c:x val="0.80159637579549137"/>
          <c:y val="0.35280351335159194"/>
          <c:w val="0.14645145023417505"/>
          <c:h val="0.21287123416638137"/>
        </c:manualLayout>
      </c:layout>
      <c:overlay val="0"/>
      <c:txPr>
        <a:bodyPr/>
        <a:lstStyle/>
        <a:p>
          <a:pPr>
            <a:defRPr sz="800"/>
          </a:pPr>
          <a:endParaRPr lang="en-US"/>
        </a:p>
      </c:txPr>
    </c:legend>
    <c:plotVisOnly val="1"/>
    <c:dispBlanksAs val="gap"/>
    <c:showDLblsOverMax val="0"/>
  </c:chart>
  <c:spPr>
    <a:ln>
      <a:no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en-CA" sz="1100"/>
              <a:t>Terrestrial</a:t>
            </a:r>
          </a:p>
        </c:rich>
      </c:tx>
      <c:layout>
        <c:manualLayout>
          <c:xMode val="edge"/>
          <c:yMode val="edge"/>
          <c:x val="1.9728862164825858E-3"/>
          <c:y val="0"/>
        </c:manualLayout>
      </c:layout>
      <c:overlay val="1"/>
    </c:title>
    <c:autoTitleDeleted val="0"/>
    <c:plotArea>
      <c:layout>
        <c:manualLayout>
          <c:layoutTarget val="inner"/>
          <c:xMode val="edge"/>
          <c:yMode val="edge"/>
          <c:x val="3.6634894322420193E-3"/>
          <c:y val="2.7748310441321086E-2"/>
          <c:w val="0.73017225305853162"/>
          <c:h val="0.93934303665647922"/>
        </c:manualLayout>
      </c:layout>
      <c:pieChart>
        <c:varyColors val="1"/>
        <c:ser>
          <c:idx val="0"/>
          <c:order val="0"/>
          <c:dPt>
            <c:idx val="0"/>
            <c:bubble3D val="0"/>
            <c:spPr>
              <a:solidFill>
                <a:schemeClr val="accent3">
                  <a:lumMod val="75000"/>
                </a:schemeClr>
              </a:solidFill>
            </c:spPr>
            <c:extLst>
              <c:ext xmlns:c16="http://schemas.microsoft.com/office/drawing/2014/chart" uri="{C3380CC4-5D6E-409C-BE32-E72D297353CC}">
                <c16:uniqueId val="{00000001-03D5-4EB7-887E-9CF47A76C13E}"/>
              </c:ext>
            </c:extLst>
          </c:dPt>
          <c:dPt>
            <c:idx val="1"/>
            <c:bubble3D val="0"/>
            <c:spPr>
              <a:solidFill>
                <a:schemeClr val="accent4">
                  <a:lumMod val="60000"/>
                  <a:lumOff val="40000"/>
                </a:schemeClr>
              </a:solidFill>
            </c:spPr>
            <c:extLst>
              <c:ext xmlns:c16="http://schemas.microsoft.com/office/drawing/2014/chart" uri="{C3380CC4-5D6E-409C-BE32-E72D297353CC}">
                <c16:uniqueId val="{00000003-03D5-4EB7-887E-9CF47A76C13E}"/>
              </c:ext>
            </c:extLst>
          </c:dPt>
          <c:dPt>
            <c:idx val="2"/>
            <c:bubble3D val="0"/>
            <c:spPr>
              <a:solidFill>
                <a:schemeClr val="accent1">
                  <a:lumMod val="40000"/>
                  <a:lumOff val="60000"/>
                </a:schemeClr>
              </a:solidFill>
            </c:spPr>
            <c:extLst>
              <c:ext xmlns:c16="http://schemas.microsoft.com/office/drawing/2014/chart" uri="{C3380CC4-5D6E-409C-BE32-E72D297353CC}">
                <c16:uniqueId val="{00000005-03D5-4EB7-887E-9CF47A76C13E}"/>
              </c:ext>
            </c:extLst>
          </c:dPt>
          <c:dPt>
            <c:idx val="3"/>
            <c:bubble3D val="0"/>
            <c:spPr>
              <a:solidFill>
                <a:schemeClr val="accent6">
                  <a:lumMod val="60000"/>
                  <a:lumOff val="40000"/>
                </a:schemeClr>
              </a:solidFill>
            </c:spPr>
            <c:extLst>
              <c:ext xmlns:c16="http://schemas.microsoft.com/office/drawing/2014/chart" uri="{C3380CC4-5D6E-409C-BE32-E72D297353CC}">
                <c16:uniqueId val="{00000007-03D5-4EB7-887E-9CF47A76C13E}"/>
              </c:ext>
            </c:extLst>
          </c:dPt>
          <c:dPt>
            <c:idx val="4"/>
            <c:bubble3D val="0"/>
            <c:spPr>
              <a:solidFill>
                <a:srgbClr val="FF3333"/>
              </a:solidFill>
            </c:spPr>
            <c:extLst>
              <c:ext xmlns:c16="http://schemas.microsoft.com/office/drawing/2014/chart" uri="{C3380CC4-5D6E-409C-BE32-E72D297353CC}">
                <c16:uniqueId val="{00000009-03D5-4EB7-887E-9CF47A76C13E}"/>
              </c:ext>
            </c:extLst>
          </c:dPt>
          <c:dLbls>
            <c:spPr>
              <a:noFill/>
              <a:ln>
                <a:noFill/>
              </a:ln>
              <a:effectLst/>
            </c:spPr>
            <c:txPr>
              <a:bodyPr/>
              <a:lstStyle/>
              <a:p>
                <a:pPr>
                  <a:defRPr sz="900" b="1">
                    <a:solidFill>
                      <a:sysClr val="windowText" lastClr="000000"/>
                    </a:solidFill>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Sheet2!$A$2:$A$6</c:f>
              <c:strCache>
                <c:ptCount val="5"/>
                <c:pt idx="0">
                  <c:v>&gt;60%</c:v>
                </c:pt>
                <c:pt idx="1">
                  <c:v>30-60%</c:v>
                </c:pt>
                <c:pt idx="2">
                  <c:v>15-30%</c:v>
                </c:pt>
                <c:pt idx="3">
                  <c:v>0-15%</c:v>
                </c:pt>
                <c:pt idx="4">
                  <c:v>0%</c:v>
                </c:pt>
              </c:strCache>
            </c:strRef>
          </c:cat>
          <c:val>
            <c:numRef>
              <c:f>Sheet2!$B$2:$B$6</c:f>
              <c:numCache>
                <c:formatCode>General</c:formatCode>
                <c:ptCount val="5"/>
                <c:pt idx="0">
                  <c:v>43</c:v>
                </c:pt>
                <c:pt idx="1">
                  <c:v>52</c:v>
                </c:pt>
                <c:pt idx="2">
                  <c:v>29</c:v>
                </c:pt>
                <c:pt idx="3">
                  <c:v>38</c:v>
                </c:pt>
                <c:pt idx="4">
                  <c:v>33</c:v>
                </c:pt>
              </c:numCache>
            </c:numRef>
          </c:val>
          <c:extLst>
            <c:ext xmlns:c16="http://schemas.microsoft.com/office/drawing/2014/chart" uri="{C3380CC4-5D6E-409C-BE32-E72D297353CC}">
              <c16:uniqueId val="{0000000A-03D5-4EB7-887E-9CF47A76C13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6471436972017837"/>
          <c:y val="0.29994073498945706"/>
          <c:w val="0.18469322913583169"/>
          <c:h val="0.41858595800524934"/>
        </c:manualLayout>
      </c:layout>
      <c:overlay val="0"/>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0.79537</cdr:x>
      <cdr:y>0.03137</cdr:y>
    </cdr:from>
    <cdr:to>
      <cdr:x>0.93083</cdr:x>
      <cdr:y>0.16794</cdr:y>
    </cdr:to>
    <cdr:sp macro="" textlink="">
      <cdr:nvSpPr>
        <cdr:cNvPr id="2" name="Text Box 1"/>
        <cdr:cNvSpPr txBox="1"/>
      </cdr:nvSpPr>
      <cdr:spPr>
        <a:xfrm xmlns:a="http://schemas.openxmlformats.org/drawingml/2006/main">
          <a:off x="1869229" y="57573"/>
          <a:ext cx="318346" cy="250613"/>
        </a:xfrm>
        <a:prstGeom xmlns:a="http://schemas.openxmlformats.org/drawingml/2006/main" prst="rect">
          <a:avLst/>
        </a:prstGeom>
      </cdr:spPr>
    </cdr:sp>
  </cdr:relSizeAnchor>
  <cdr:relSizeAnchor xmlns:cdr="http://schemas.openxmlformats.org/drawingml/2006/chartDrawing">
    <cdr:from>
      <cdr:x>0.80402</cdr:x>
      <cdr:y>0.03506</cdr:y>
    </cdr:from>
    <cdr:to>
      <cdr:x>0.93948</cdr:x>
      <cdr:y>0.17163</cdr:y>
    </cdr:to>
    <cdr:sp macro="" textlink="">
      <cdr:nvSpPr>
        <cdr:cNvPr id="3" name="Text Box 1"/>
        <cdr:cNvSpPr txBox="1"/>
      </cdr:nvSpPr>
      <cdr:spPr>
        <a:xfrm xmlns:a="http://schemas.openxmlformats.org/drawingml/2006/main">
          <a:off x="1889549" y="64346"/>
          <a:ext cx="318346" cy="25061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CA" sz="900" b="1"/>
            <a:t>A</a:t>
          </a:r>
        </a:p>
      </cdr:txBody>
    </cdr:sp>
  </cdr:relSizeAnchor>
</c:userShapes>
</file>

<file path=word/drawings/drawing2.xml><?xml version="1.0" encoding="utf-8"?>
<c:userShapes xmlns:c="http://schemas.openxmlformats.org/drawingml/2006/chart">
  <cdr:relSizeAnchor xmlns:cdr="http://schemas.openxmlformats.org/drawingml/2006/chartDrawing">
    <cdr:from>
      <cdr:x>0.82261</cdr:x>
      <cdr:y>0.01761</cdr:y>
    </cdr:from>
    <cdr:to>
      <cdr:x>0.91423</cdr:x>
      <cdr:y>0.1479</cdr:y>
    </cdr:to>
    <cdr:sp macro="" textlink="">
      <cdr:nvSpPr>
        <cdr:cNvPr id="2" name="Text Box 1"/>
        <cdr:cNvSpPr txBox="1"/>
      </cdr:nvSpPr>
      <cdr:spPr>
        <a:xfrm xmlns:a="http://schemas.openxmlformats.org/drawingml/2006/main">
          <a:off x="2858347" y="33866"/>
          <a:ext cx="318346" cy="2506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CA" sz="900" b="1"/>
            <a:t>B</a:t>
          </a:r>
        </a:p>
      </cdr:txBody>
    </cdr:sp>
  </cdr:relSizeAnchor>
</c:userShapes>
</file>

<file path=word/drawings/drawing3.xml><?xml version="1.0" encoding="utf-8"?>
<c:userShapes xmlns:c="http://schemas.openxmlformats.org/drawingml/2006/chart">
  <cdr:relSizeAnchor xmlns:cdr="http://schemas.openxmlformats.org/drawingml/2006/chartDrawing">
    <cdr:from>
      <cdr:x>0.78234</cdr:x>
      <cdr:y>0.04138</cdr:y>
    </cdr:from>
    <cdr:to>
      <cdr:x>0.89294</cdr:x>
      <cdr:y>0.17513</cdr:y>
    </cdr:to>
    <cdr:sp macro="" textlink="">
      <cdr:nvSpPr>
        <cdr:cNvPr id="2" name="Text Box 1"/>
        <cdr:cNvSpPr txBox="1"/>
      </cdr:nvSpPr>
      <cdr:spPr>
        <a:xfrm xmlns:a="http://schemas.openxmlformats.org/drawingml/2006/main">
          <a:off x="2251929" y="81280"/>
          <a:ext cx="318349" cy="2626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CA" sz="900" b="1"/>
            <a:t>A</a:t>
          </a:r>
        </a:p>
      </cdr:txBody>
    </cdr:sp>
  </cdr:relSizeAnchor>
</c:userShapes>
</file>

<file path=word/drawings/drawing4.xml><?xml version="1.0" encoding="utf-8"?>
<c:userShapes xmlns:c="http://schemas.openxmlformats.org/drawingml/2006/chart">
  <cdr:relSizeAnchor xmlns:cdr="http://schemas.openxmlformats.org/drawingml/2006/chartDrawing">
    <cdr:from>
      <cdr:x>0.69273</cdr:x>
      <cdr:y>0</cdr:y>
    </cdr:from>
    <cdr:to>
      <cdr:x>0.81114</cdr:x>
      <cdr:y>0.14051</cdr:y>
    </cdr:to>
    <cdr:sp macro="" textlink="">
      <cdr:nvSpPr>
        <cdr:cNvPr id="2" name="Text Box 1"/>
        <cdr:cNvSpPr txBox="1"/>
      </cdr:nvSpPr>
      <cdr:spPr>
        <a:xfrm xmlns:a="http://schemas.openxmlformats.org/drawingml/2006/main">
          <a:off x="1862463" y="0"/>
          <a:ext cx="318349" cy="262681"/>
        </a:xfrm>
        <a:prstGeom xmlns:a="http://schemas.openxmlformats.org/drawingml/2006/main" prst="rect">
          <a:avLst/>
        </a:prstGeom>
      </cdr:spPr>
    </cdr:sp>
  </cdr:relSizeAnchor>
  <cdr:relSizeAnchor xmlns:cdr="http://schemas.openxmlformats.org/drawingml/2006/chartDrawing">
    <cdr:from>
      <cdr:x>0.85648</cdr:x>
      <cdr:y>0.07065</cdr:y>
    </cdr:from>
    <cdr:to>
      <cdr:x>0.97489</cdr:x>
      <cdr:y>0.21117</cdr:y>
    </cdr:to>
    <cdr:sp macro="" textlink="">
      <cdr:nvSpPr>
        <cdr:cNvPr id="3" name="Text Box 1"/>
        <cdr:cNvSpPr txBox="1"/>
      </cdr:nvSpPr>
      <cdr:spPr>
        <a:xfrm xmlns:a="http://schemas.openxmlformats.org/drawingml/2006/main">
          <a:off x="2302729" y="132080"/>
          <a:ext cx="318349" cy="262681"/>
        </a:xfrm>
        <a:prstGeom xmlns:a="http://schemas.openxmlformats.org/drawingml/2006/main" prst="rect">
          <a:avLst/>
        </a:prstGeom>
      </cdr:spPr>
    </cdr:sp>
  </cdr:relSizeAnchor>
  <cdr:relSizeAnchor xmlns:cdr="http://schemas.openxmlformats.org/drawingml/2006/chartDrawing">
    <cdr:from>
      <cdr:x>0.85144</cdr:x>
      <cdr:y>0</cdr:y>
    </cdr:from>
    <cdr:to>
      <cdr:x>0.96985</cdr:x>
      <cdr:y>0.14051</cdr:y>
    </cdr:to>
    <cdr:sp macro="" textlink="">
      <cdr:nvSpPr>
        <cdr:cNvPr id="4" name="Text Box 1"/>
        <cdr:cNvSpPr txBox="1"/>
      </cdr:nvSpPr>
      <cdr:spPr>
        <a:xfrm xmlns:a="http://schemas.openxmlformats.org/drawingml/2006/main">
          <a:off x="2289182" y="0"/>
          <a:ext cx="318349" cy="2626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CA" sz="900" b="1"/>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44AD69E4966E34F99BC929C6415BC94" ma:contentTypeVersion="8" ma:contentTypeDescription="Create a new document." ma:contentTypeScope="" ma:versionID="d7b68b7d3df5752a0ccc85dc07ea1fc8">
  <xsd:schema xmlns:xsd="http://www.w3.org/2001/XMLSchema" xmlns:xs="http://www.w3.org/2001/XMLSchema" xmlns:p="http://schemas.microsoft.com/office/2006/metadata/properties" xmlns:ns3="618b3525-e9c7-4e90-a3c8-9e229f57c6b7" targetNamespace="http://schemas.microsoft.com/office/2006/metadata/properties" ma:root="true" ma:fieldsID="beaaf8ab7172fef9cce0a175b00b529d" ns3:_="">
    <xsd:import namespace="618b3525-e9c7-4e90-a3c8-9e229f57c6b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8b3525-e9c7-4e90-a3c8-9e229f57c6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46BD91-FE23-4157-8517-B09B6142E2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8b3525-e9c7-4e90-a3c8-9e229f57c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14665F-E1C2-418B-80EC-7DB4CE38D61E}">
  <ds:schemaRefs>
    <ds:schemaRef ds:uri="http://schemas.microsoft.com/sharepoint/v3/contenttype/forms"/>
  </ds:schemaRefs>
</ds:datastoreItem>
</file>

<file path=customXml/itemProps3.xml><?xml version="1.0" encoding="utf-8"?>
<ds:datastoreItem xmlns:ds="http://schemas.openxmlformats.org/officeDocument/2006/customXml" ds:itemID="{F521264F-178D-4815-8B4A-484AAE15B3E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0FB9F4F-B979-4795-A128-DF1615D6F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10654</Words>
  <Characters>60728</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SCBD</Company>
  <LinksUpToDate>false</LinksUpToDate>
  <CharactersWithSpaces>71240</CharactersWithSpaces>
  <SharedDoc>false</SharedDoc>
  <HLinks>
    <vt:vector size="42" baseType="variant">
      <vt:variant>
        <vt:i4>3407911</vt:i4>
      </vt:variant>
      <vt:variant>
        <vt:i4>3</vt:i4>
      </vt:variant>
      <vt:variant>
        <vt:i4>0</vt:i4>
      </vt:variant>
      <vt:variant>
        <vt:i4>5</vt:i4>
      </vt:variant>
      <vt:variant>
        <vt:lpwstr>http://www.zeroextinction.org/</vt:lpwstr>
      </vt:variant>
      <vt:variant>
        <vt:lpwstr/>
      </vt:variant>
      <vt:variant>
        <vt:i4>5439489</vt:i4>
      </vt:variant>
      <vt:variant>
        <vt:i4>0</vt:i4>
      </vt:variant>
      <vt:variant>
        <vt:i4>0</vt:i4>
      </vt:variant>
      <vt:variant>
        <vt:i4>5</vt:i4>
      </vt:variant>
      <vt:variant>
        <vt:lpwstr>http://www.birdlife.org/datazone/country</vt:lpwstr>
      </vt:variant>
      <vt:variant>
        <vt:lpwstr/>
      </vt:variant>
      <vt:variant>
        <vt:i4>2883621</vt:i4>
      </vt:variant>
      <vt:variant>
        <vt:i4>9</vt:i4>
      </vt:variant>
      <vt:variant>
        <vt:i4>0</vt:i4>
      </vt:variant>
      <vt:variant>
        <vt:i4>5</vt:i4>
      </vt:variant>
      <vt:variant>
        <vt:lpwstr>http://pubs.iied.org/17344IIED.html</vt:lpwstr>
      </vt:variant>
      <vt:variant>
        <vt:lpwstr/>
      </vt:variant>
      <vt:variant>
        <vt:i4>7077986</vt:i4>
      </vt:variant>
      <vt:variant>
        <vt:i4>6</vt:i4>
      </vt:variant>
      <vt:variant>
        <vt:i4>0</vt:i4>
      </vt:variant>
      <vt:variant>
        <vt:i4>5</vt:i4>
      </vt:variant>
      <vt:variant>
        <vt:lpwstr>https://www.thegef.org/gef/sites/thegef.org/files/documents/EN_GEF.ME_C.49.inf_02_Biodiversity_Impact_Eval_Report_2015.pdf</vt:lpwstr>
      </vt:variant>
      <vt:variant>
        <vt:lpwstr/>
      </vt:variant>
      <vt:variant>
        <vt:i4>4653056</vt:i4>
      </vt:variant>
      <vt:variant>
        <vt:i4>3</vt:i4>
      </vt:variant>
      <vt:variant>
        <vt:i4>0</vt:i4>
      </vt:variant>
      <vt:variant>
        <vt:i4>5</vt:i4>
      </vt:variant>
      <vt:variant>
        <vt:lpwstr>http://www.biodiversitya-z.org/content/key-biodiversity-areas-kba</vt:lpwstr>
      </vt:variant>
      <vt:variant>
        <vt:lpwstr/>
      </vt:variant>
      <vt:variant>
        <vt:i4>6291516</vt:i4>
      </vt:variant>
      <vt:variant>
        <vt:i4>0</vt:i4>
      </vt:variant>
      <vt:variant>
        <vt:i4>0</vt:i4>
      </vt:variant>
      <vt:variant>
        <vt:i4>5</vt:i4>
      </vt:variant>
      <vt:variant>
        <vt:lpwstr>https://www.cbd.int/protected/dossiers/</vt:lpwstr>
      </vt:variant>
      <vt:variant>
        <vt:lpwstr/>
      </vt:variant>
      <vt:variant>
        <vt:i4>7077986</vt:i4>
      </vt:variant>
      <vt:variant>
        <vt:i4>0</vt:i4>
      </vt:variant>
      <vt:variant>
        <vt:i4>0</vt:i4>
      </vt:variant>
      <vt:variant>
        <vt:i4>5</vt:i4>
      </vt:variant>
      <vt:variant>
        <vt:lpwstr>https://www.thegef.org/gef/sites/thegef.org/files/documents/EN_GEF.ME_C.49.inf_02_Biodiversity_Impact_Eval_Report_2015.pdf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SCBD</dc:creator>
  <cp:lastModifiedBy>Veronique Lefebvre</cp:lastModifiedBy>
  <cp:revision>2</cp:revision>
  <cp:lastPrinted>2018-06-06T15:58:00Z</cp:lastPrinted>
  <dcterms:created xsi:type="dcterms:W3CDTF">2019-11-30T01:34:00Z</dcterms:created>
  <dcterms:modified xsi:type="dcterms:W3CDTF">2019-11-30T01:34:00Z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0x010100244AD69E4966E34F99BC929C6415BC94</vt:lpwstr>
  </property>
</Properties>
</file>