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389E4" w14:textId="77777777" w:rsidR="008772AB" w:rsidRDefault="008772A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rFonts w:ascii="Arial" w:eastAsia="Arial" w:hAnsi="Arial" w:cs="Arial"/>
          <w:color w:val="000000"/>
        </w:rPr>
      </w:pPr>
    </w:p>
    <w:tbl>
      <w:tblPr>
        <w:tblStyle w:val="a5"/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772AB" w14:paraId="38B8B3BC" w14:textId="77777777">
        <w:trPr>
          <w:trHeight w:val="850"/>
        </w:trPr>
        <w:tc>
          <w:tcPr>
            <w:tcW w:w="975" w:type="dxa"/>
            <w:vAlign w:val="bottom"/>
          </w:tcPr>
          <w:p w14:paraId="704DC2FF" w14:textId="77777777" w:rsidR="008772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jc w:val="left"/>
              <w:rPr>
                <w:color w:val="000000"/>
                <w:sz w:val="4"/>
                <w:szCs w:val="4"/>
              </w:rPr>
            </w:pPr>
            <w:r>
              <w:rPr>
                <w:noProof/>
                <w:color w:val="000000"/>
                <w:sz w:val="4"/>
                <w:szCs w:val="4"/>
              </w:rPr>
              <w:drawing>
                <wp:inline distT="0" distB="0" distL="0" distR="0" wp14:anchorId="54BDF723" wp14:editId="16BEE7CA">
                  <wp:extent cx="474727" cy="402337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  <w:sz w:val="4"/>
                <w:szCs w:val="4"/>
              </w:rPr>
              <w:t xml:space="preserve"> </w:t>
            </w:r>
          </w:p>
          <w:p w14:paraId="723EA24D" w14:textId="77777777" w:rsidR="008772AB" w:rsidRDefault="008772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jc w:val="left"/>
              <w:rPr>
                <w:color w:val="000000"/>
                <w:sz w:val="4"/>
                <w:szCs w:val="4"/>
              </w:rPr>
            </w:pPr>
          </w:p>
        </w:tc>
        <w:tc>
          <w:tcPr>
            <w:tcW w:w="1434" w:type="dxa"/>
            <w:vAlign w:val="bottom"/>
          </w:tcPr>
          <w:p w14:paraId="67E552F0" w14:textId="77777777" w:rsidR="008772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jc w:val="left"/>
              <w:rPr>
                <w:color w:val="000000"/>
                <w:sz w:val="4"/>
                <w:szCs w:val="4"/>
              </w:rPr>
            </w:pPr>
            <w:r>
              <w:rPr>
                <w:noProof/>
                <w:color w:val="000000"/>
                <w:sz w:val="4"/>
                <w:szCs w:val="4"/>
              </w:rPr>
              <w:drawing>
                <wp:inline distT="0" distB="0" distL="0" distR="0" wp14:anchorId="34CEDD57" wp14:editId="7F0E2BD7">
                  <wp:extent cx="814917" cy="349250"/>
                  <wp:effectExtent l="0" t="0" r="0" b="0"/>
                  <wp:docPr id="3" name="image3.png" descr="unep-2017-ru-blk-sm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 descr="unep-2017-ru-blk-sm2"/>
                          <pic:cNvPicPr preferRelativeResize="0"/>
                        </pic:nvPicPr>
                        <pic:blipFill>
                          <a:blip r:embed="rId8"/>
                          <a:srcRect b="410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4917" cy="3492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  <w:sz w:val="4"/>
                <w:szCs w:val="4"/>
              </w:rPr>
              <w:t xml:space="preserve"> </w:t>
            </w:r>
          </w:p>
          <w:p w14:paraId="63ABC1D6" w14:textId="77777777" w:rsidR="008772AB" w:rsidRDefault="008772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jc w:val="left"/>
              <w:rPr>
                <w:color w:val="000000"/>
                <w:sz w:val="4"/>
                <w:szCs w:val="4"/>
              </w:rPr>
            </w:pPr>
          </w:p>
        </w:tc>
        <w:tc>
          <w:tcPr>
            <w:tcW w:w="8073" w:type="dxa"/>
            <w:vAlign w:val="bottom"/>
          </w:tcPr>
          <w:p w14:paraId="4F382A39" w14:textId="77777777" w:rsidR="008772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71"/>
                <w:tab w:val="left" w:pos="2495"/>
                <w:tab w:val="right" w:pos="2920"/>
                <w:tab w:val="left" w:pos="3119"/>
                <w:tab w:val="left" w:pos="3742"/>
                <w:tab w:val="left" w:pos="4366"/>
                <w:tab w:val="left" w:pos="4990"/>
              </w:tabs>
              <w:spacing w:after="120"/>
              <w:ind w:left="20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40"/>
                <w:szCs w:val="40"/>
              </w:rPr>
              <w:t>CBD</w:t>
            </w:r>
            <w:r>
              <w:rPr>
                <w:color w:val="000000"/>
                <w:sz w:val="20"/>
                <w:szCs w:val="20"/>
              </w:rPr>
              <w:t>/SBSTTA/27/5</w:t>
            </w:r>
          </w:p>
        </w:tc>
      </w:tr>
    </w:tbl>
    <w:p w14:paraId="20D403C6" w14:textId="77777777" w:rsidR="008772AB" w:rsidRDefault="008772AB">
      <w:p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  <w:sz w:val="2"/>
          <w:szCs w:val="2"/>
        </w:rPr>
      </w:pPr>
    </w:p>
    <w:tbl>
      <w:tblPr>
        <w:tblStyle w:val="a6"/>
        <w:tblW w:w="10482" w:type="dxa"/>
        <w:tblInd w:w="-283" w:type="dxa"/>
        <w:tblBorders>
          <w:top w:val="single" w:sz="8" w:space="0" w:color="000000"/>
          <w:bottom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772AB" w:rsidRPr="00E1275B" w14:paraId="000DAE8E" w14:textId="77777777">
        <w:trPr>
          <w:trHeight w:val="1814"/>
        </w:trPr>
        <w:tc>
          <w:tcPr>
            <w:tcW w:w="7370" w:type="dxa"/>
          </w:tcPr>
          <w:p w14:paraId="00A1798E" w14:textId="77777777" w:rsidR="008772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left"/>
              <w:rPr>
                <w:color w:val="000000"/>
                <w:sz w:val="8"/>
                <w:szCs w:val="8"/>
              </w:rPr>
            </w:pPr>
            <w:r>
              <w:rPr>
                <w:b/>
                <w:noProof/>
                <w:color w:val="000000"/>
                <w:sz w:val="8"/>
                <w:szCs w:val="8"/>
              </w:rPr>
              <w:drawing>
                <wp:inline distT="0" distB="0" distL="0" distR="0" wp14:anchorId="5DB4E41E" wp14:editId="7FA04D67">
                  <wp:extent cx="2545690" cy="1055304"/>
                  <wp:effectExtent l="0" t="0" r="0" b="0"/>
                  <wp:docPr id="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5690" cy="105530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  <w:sz w:val="8"/>
                <w:szCs w:val="8"/>
              </w:rPr>
              <w:t xml:space="preserve"> </w:t>
            </w:r>
          </w:p>
          <w:p w14:paraId="4DC10005" w14:textId="77777777" w:rsidR="008772AB" w:rsidRDefault="008772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8"/>
                <w:szCs w:val="8"/>
              </w:rPr>
            </w:pPr>
          </w:p>
        </w:tc>
        <w:tc>
          <w:tcPr>
            <w:tcW w:w="3112" w:type="dxa"/>
          </w:tcPr>
          <w:p w14:paraId="002AABF1" w14:textId="77777777" w:rsidR="008772AB" w:rsidRPr="00E1275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lang w:val="en-US"/>
              </w:rPr>
            </w:pPr>
            <w:r w:rsidRPr="00E1275B">
              <w:rPr>
                <w:color w:val="000000"/>
                <w:lang w:val="en-US"/>
              </w:rPr>
              <w:t>Distr.: General</w:t>
            </w:r>
          </w:p>
          <w:p w14:paraId="0012FF9E" w14:textId="77777777" w:rsidR="008772AB" w:rsidRPr="00E1275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lang w:val="en-US"/>
              </w:rPr>
            </w:pPr>
            <w:r w:rsidRPr="00E1275B">
              <w:rPr>
                <w:color w:val="000000"/>
                <w:lang w:val="en-US"/>
              </w:rPr>
              <w:t>11 August 2025</w:t>
            </w:r>
          </w:p>
          <w:p w14:paraId="73E4F350" w14:textId="77777777" w:rsidR="008772AB" w:rsidRPr="00E1275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lang w:val="en-US"/>
              </w:rPr>
            </w:pPr>
            <w:r w:rsidRPr="00E1275B">
              <w:rPr>
                <w:color w:val="000000"/>
                <w:lang w:val="en-US"/>
              </w:rPr>
              <w:t>Russian</w:t>
            </w:r>
          </w:p>
          <w:p w14:paraId="31574501" w14:textId="77777777" w:rsidR="008772AB" w:rsidRPr="00E1275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lang w:val="en-US"/>
              </w:rPr>
            </w:pPr>
            <w:r w:rsidRPr="00E1275B">
              <w:rPr>
                <w:color w:val="000000"/>
                <w:lang w:val="en-US"/>
              </w:rPr>
              <w:t xml:space="preserve">Original: English </w:t>
            </w:r>
          </w:p>
          <w:p w14:paraId="7BFEFBC5" w14:textId="77777777" w:rsidR="008772AB" w:rsidRPr="00E1275B" w:rsidRDefault="008772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left"/>
              <w:rPr>
                <w:color w:val="000000"/>
                <w:lang w:val="en-US"/>
              </w:rPr>
            </w:pPr>
          </w:p>
        </w:tc>
      </w:tr>
    </w:tbl>
    <w:p w14:paraId="27EE25F9" w14:textId="77777777" w:rsidR="008772AB" w:rsidRPr="00E1275B" w:rsidRDefault="008772AB">
      <w:p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  <w:sz w:val="2"/>
          <w:szCs w:val="2"/>
          <w:lang w:val="en-US"/>
        </w:rPr>
      </w:pPr>
    </w:p>
    <w:tbl>
      <w:tblPr>
        <w:tblStyle w:val="a7"/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6094"/>
        <w:gridCol w:w="4388"/>
      </w:tblGrid>
      <w:tr w:rsidR="008772AB" w14:paraId="306F6739" w14:textId="77777777">
        <w:trPr>
          <w:trHeight w:val="57"/>
        </w:trPr>
        <w:tc>
          <w:tcPr>
            <w:tcW w:w="6094" w:type="dxa"/>
          </w:tcPr>
          <w:p w14:paraId="7633979F" w14:textId="77777777" w:rsidR="008772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Вспомогательный орган по научным, техническим и технологическим консультациям</w:t>
            </w:r>
          </w:p>
          <w:p w14:paraId="344CB842" w14:textId="77777777" w:rsidR="008772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Двадцать седьмое совещание </w:t>
            </w:r>
          </w:p>
          <w:p w14:paraId="7E457B70" w14:textId="77777777" w:rsidR="008772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Панама, 20-24 октября 2025 года </w:t>
            </w:r>
          </w:p>
          <w:p w14:paraId="4A9D721F" w14:textId="77777777" w:rsidR="008772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</w:rPr>
            </w:pPr>
            <w:r>
              <w:rPr>
                <w:color w:val="000000"/>
              </w:rPr>
              <w:t>Пункт 6 предварительной повестки дня</w:t>
            </w:r>
            <w:r>
              <w:rPr>
                <w:color w:val="000000"/>
                <w:vertAlign w:val="superscript"/>
              </w:rPr>
              <w:footnoteReference w:id="1"/>
            </w:r>
            <w:r>
              <w:rPr>
                <w:color w:val="000000"/>
                <w:vertAlign w:val="superscript"/>
              </w:rPr>
              <w:t>*</w:t>
            </w:r>
          </w:p>
          <w:p w14:paraId="152FE19C" w14:textId="77777777" w:rsidR="008772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lef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Научно-технические потребности для поддержки осуществления Куньминско-Монреальской глобальной рамочной программы в области биоразнообразия</w:t>
            </w:r>
          </w:p>
        </w:tc>
        <w:tc>
          <w:tcPr>
            <w:tcW w:w="4388" w:type="dxa"/>
          </w:tcPr>
          <w:p w14:paraId="68EEE90C" w14:textId="77777777" w:rsidR="008772AB" w:rsidRDefault="008772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5"/>
                <w:tab w:val="left" w:pos="3402"/>
              </w:tabs>
              <w:jc w:val="left"/>
              <w:rPr>
                <w:color w:val="000000"/>
              </w:rPr>
            </w:pPr>
          </w:p>
        </w:tc>
      </w:tr>
    </w:tbl>
    <w:p w14:paraId="3CD7C4D5" w14:textId="77777777" w:rsidR="008772AB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2835"/>
          <w:tab w:val="left" w:pos="3402"/>
        </w:tabs>
        <w:spacing w:before="240" w:after="240"/>
        <w:ind w:left="567"/>
        <w:jc w:val="lef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Научно-технические потребности для поддержки осуществления Куньминско-Монреальской глобальной рамочной программы в области биоразнообразия</w:t>
      </w:r>
    </w:p>
    <w:p w14:paraId="3CA6F206" w14:textId="77777777" w:rsidR="008772AB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2835"/>
          <w:tab w:val="left" w:pos="3402"/>
        </w:tabs>
        <w:spacing w:before="240" w:after="240"/>
        <w:ind w:left="567"/>
        <w:jc w:val="left"/>
        <w:rPr>
          <w:b/>
          <w:color w:val="000000"/>
        </w:rPr>
      </w:pPr>
      <w:r>
        <w:rPr>
          <w:b/>
          <w:color w:val="000000"/>
        </w:rPr>
        <w:t>Записка секретариата</w:t>
      </w:r>
    </w:p>
    <w:p w14:paraId="6B9FB76E" w14:textId="77777777" w:rsidR="008772A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before="120" w:after="120"/>
      </w:pPr>
      <w:r>
        <w:rPr>
          <w:color w:val="000000"/>
        </w:rPr>
        <w:t xml:space="preserve">В пункте 8 своего решения </w:t>
      </w:r>
      <w:hyperlink r:id="rId10">
        <w:r>
          <w:rPr>
            <w:color w:val="467886"/>
            <w:u w:val="single"/>
          </w:rPr>
          <w:t>15/4</w:t>
        </w:r>
      </w:hyperlink>
      <w:r>
        <w:rPr>
          <w:color w:val="000000"/>
        </w:rPr>
        <w:t>, посвященного Куньминско-Монреальской глобальной рамочной программе в области биоразнообразия, Конференция Сторон Конвенции о биологическом разнообразии постановила, что Рамочная программа должна использоваться в качестве стратегического плана для осуществления Конвенции и протоколов к ней, ее органов и секретариата в период 2022-2030 годов, и что в этой связи Рамочная программа должна использоваться для более эффективного согласования и регулирования работы различных органов Конвенции и протоколов к ней, ее секретариата и ее бюджета в соответствии с целями и задачами Рамочной программы.</w:t>
      </w:r>
    </w:p>
    <w:p w14:paraId="694CDC56" w14:textId="77777777" w:rsidR="008772A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before="120" w:after="120"/>
      </w:pPr>
      <w:r>
        <w:rPr>
          <w:color w:val="000000"/>
        </w:rPr>
        <w:t xml:space="preserve">Ссылаясь на пункт 9 того же решения,  в подпункте 4 (е) решения </w:t>
      </w:r>
      <w:hyperlink r:id="rId11">
        <w:r>
          <w:rPr>
            <w:color w:val="467886"/>
            <w:u w:val="single"/>
          </w:rPr>
          <w:t>16/12</w:t>
        </w:r>
      </w:hyperlink>
      <w:r>
        <w:rPr>
          <w:color w:val="000000"/>
        </w:rPr>
        <w:t xml:space="preserve"> Конференция Сторон поручила Исполнительному секретарю провести стратегический обзор и анализ программ работы Конвенции в контексте Рамочной программы в целях содействия ее осуществлению, на основе этого анализа подготовить проекты обновлений для этих программ работы и представить их на рассмотрение Вспомогательному органу по научным, техническим и технологическим консультациям.</w:t>
      </w:r>
    </w:p>
    <w:p w14:paraId="44ADC64E" w14:textId="77777777" w:rsidR="008772A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before="120" w:after="120"/>
      </w:pPr>
      <w:r>
        <w:rPr>
          <w:color w:val="000000"/>
        </w:rPr>
        <w:t xml:space="preserve">В пункте 2 решения </w:t>
      </w:r>
      <w:hyperlink r:id="rId12">
        <w:r>
          <w:rPr>
            <w:color w:val="467886"/>
            <w:u w:val="single"/>
          </w:rPr>
          <w:t>16/12</w:t>
        </w:r>
      </w:hyperlink>
      <w:r>
        <w:rPr>
          <w:color w:val="467886"/>
          <w:u w:val="single"/>
        </w:rPr>
        <w:t xml:space="preserve"> </w:t>
      </w:r>
      <w:r>
        <w:rPr>
          <w:color w:val="000000"/>
        </w:rPr>
        <w:t>Конференция Сторон постановила, что работа может быть активизирована в пяти новых областях</w:t>
      </w:r>
      <w:r>
        <w:rPr>
          <w:color w:val="000000"/>
          <w:vertAlign w:val="superscript"/>
        </w:rPr>
        <w:footnoteReference w:id="2"/>
      </w:r>
      <w:r>
        <w:rPr>
          <w:color w:val="000000"/>
        </w:rPr>
        <w:t xml:space="preserve">, избегая дублирования существующих </w:t>
      </w:r>
      <w:r>
        <w:rPr>
          <w:color w:val="000000"/>
        </w:rPr>
        <w:lastRenderedPageBreak/>
        <w:t>многосторонних процессов и при соблюдении их мандатов. В подпункте 4 (d) того же решения Конференция Сторон поручила Исполнительному секретарю по каждой из областей: (a) предложить Сторонам, правительствам других стран, соответствующим многосторонним природоохранным соглашениям и другим соглашениям, межправительственным процессам, международным организациям и инициативам, коренным народам и местным общинам, женским и молодежным организациям, а также другим соответствующим субъектам деятельности представить свои мнения и соответствующий опыт в отношении этих областей работы; и (b) предоставить обобщенную информацию из представленных материалов и, принимая во внимание рабочую нагрузку на будущих совещаниях Конференции Сторон, представить предложения о потенциальной будущей работе на рассмотрение Вспомогательному органу.</w:t>
      </w:r>
    </w:p>
    <w:p w14:paraId="599D69DD" w14:textId="77777777" w:rsidR="008772A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before="120" w:after="120"/>
      </w:pPr>
      <w:r>
        <w:rPr>
          <w:color w:val="000000"/>
        </w:rPr>
        <w:t>Во исполнение вышеупомянутых поручений Конференции Сторон были подготовлены три добавления к настоящему документу, а именно:</w:t>
      </w:r>
    </w:p>
    <w:p w14:paraId="06F320B9" w14:textId="77777777" w:rsidR="008772AB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before="120" w:after="120"/>
        <w:rPr>
          <w:color w:val="000000"/>
        </w:rPr>
      </w:pPr>
      <w:r>
        <w:rPr>
          <w:color w:val="000000"/>
        </w:rPr>
        <w:t>стратегический обзор и анализ программ работы в рамках Конвенции в контексте Рамочной программы (</w:t>
      </w:r>
      <w:hyperlink r:id="rId13">
        <w:r>
          <w:rPr>
            <w:color w:val="467886"/>
            <w:u w:val="single"/>
          </w:rPr>
          <w:t>CBD/SBSTTA/27/5/Add.1</w:t>
        </w:r>
      </w:hyperlink>
      <w:r>
        <w:rPr>
          <w:color w:val="000000"/>
        </w:rPr>
        <w:t>);</w:t>
      </w:r>
    </w:p>
    <w:p w14:paraId="383B2017" w14:textId="77777777" w:rsidR="008772AB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before="120" w:after="120"/>
        <w:rPr>
          <w:color w:val="000000"/>
        </w:rPr>
      </w:pPr>
      <w:r>
        <w:rPr>
          <w:color w:val="000000"/>
        </w:rPr>
        <w:t>стратегический обзор и обновления для расширенной программы работы по биологическому разнообразию лесов (</w:t>
      </w:r>
      <w:hyperlink r:id="rId14">
        <w:r>
          <w:rPr>
            <w:color w:val="467886"/>
            <w:u w:val="single"/>
          </w:rPr>
          <w:t>CBD/SBSTTA/27/5/Add.2</w:t>
        </w:r>
      </w:hyperlink>
      <w:r>
        <w:rPr>
          <w:color w:val="000000"/>
        </w:rPr>
        <w:t xml:space="preserve">); </w:t>
      </w:r>
    </w:p>
    <w:p w14:paraId="4F4AE5C0" w14:textId="77777777" w:rsidR="008772AB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before="120" w:after="120"/>
        <w:rPr>
          <w:color w:val="000000"/>
        </w:rPr>
      </w:pPr>
      <w:r>
        <w:rPr>
          <w:color w:val="000000"/>
        </w:rPr>
        <w:t>области потенциальной будущей работы (</w:t>
      </w:r>
      <w:hyperlink r:id="rId15">
        <w:r>
          <w:rPr>
            <w:color w:val="467886"/>
            <w:u w:val="single"/>
          </w:rPr>
          <w:t>CBD/SBSTTA/27/5/Add.3</w:t>
        </w:r>
      </w:hyperlink>
      <w:r>
        <w:rPr>
          <w:color w:val="000000"/>
        </w:rPr>
        <w:t>).</w:t>
      </w:r>
    </w:p>
    <w:p w14:paraId="075CD6F6" w14:textId="77777777" w:rsidR="008772A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before="120" w:after="120"/>
      </w:pPr>
      <w:r>
        <w:rPr>
          <w:color w:val="000000"/>
        </w:rPr>
        <w:t>Подробная информация о стратегическом обзоре и анализе, а также предложения по областям потенциальной будущей работы содержится в соответствующих добавлениях наряду с проектом рекомендаций для рассмотрения Вспомогательным органом.</w:t>
      </w:r>
    </w:p>
    <w:p w14:paraId="0FAF578A" w14:textId="77777777" w:rsidR="008772AB" w:rsidRDefault="00000000">
      <w:pPr>
        <w:jc w:val="center"/>
      </w:pPr>
      <w:r>
        <w:t>__________</w:t>
      </w:r>
    </w:p>
    <w:sectPr w:rsidR="008772AB">
      <w:headerReference w:type="even" r:id="rId16"/>
      <w:footerReference w:type="even" r:id="rId17"/>
      <w:footerReference w:type="default" r:id="rId18"/>
      <w:headerReference w:type="first" r:id="rId19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C21BA6" w14:textId="77777777" w:rsidR="002C46FF" w:rsidRDefault="002C46FF">
      <w:r>
        <w:separator/>
      </w:r>
    </w:p>
  </w:endnote>
  <w:endnote w:type="continuationSeparator" w:id="0">
    <w:p w14:paraId="5DCE4644" w14:textId="77777777" w:rsidR="002C46FF" w:rsidRDefault="002C4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Play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498F3" w14:textId="77777777" w:rsidR="008772A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E1275B">
      <w:rPr>
        <w:noProof/>
        <w:color w:val="000000"/>
        <w:sz w:val="20"/>
        <w:szCs w:val="20"/>
      </w:rPr>
      <w:t>2</w:t>
    </w:r>
    <w:r>
      <w:rPr>
        <w:color w:val="000000"/>
        <w:sz w:val="20"/>
        <w:szCs w:val="20"/>
      </w:rPr>
      <w:fldChar w:fldCharType="end"/>
    </w:r>
    <w:r>
      <w:rPr>
        <w:color w:val="000000"/>
        <w:sz w:val="20"/>
        <w:szCs w:val="20"/>
      </w:rPr>
      <w:t>/</w:t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NUMPAGES</w:instrText>
    </w:r>
    <w:r>
      <w:rPr>
        <w:color w:val="000000"/>
        <w:sz w:val="20"/>
        <w:szCs w:val="20"/>
      </w:rPr>
      <w:fldChar w:fldCharType="separate"/>
    </w:r>
    <w:r w:rsidR="00E1275B">
      <w:rPr>
        <w:noProof/>
        <w:color w:val="000000"/>
        <w:sz w:val="20"/>
        <w:szCs w:val="20"/>
      </w:rPr>
      <w:t>2</w:t>
    </w:r>
    <w:r>
      <w:rPr>
        <w:color w:val="000000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E43A0" w14:textId="77777777" w:rsidR="008772AB" w:rsidRDefault="008772A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08E646" w14:textId="77777777" w:rsidR="002C46FF" w:rsidRDefault="002C46FF">
      <w:r>
        <w:separator/>
      </w:r>
    </w:p>
  </w:footnote>
  <w:footnote w:type="continuationSeparator" w:id="0">
    <w:p w14:paraId="5A5973C6" w14:textId="77777777" w:rsidR="002C46FF" w:rsidRDefault="002C46FF">
      <w:r>
        <w:continuationSeparator/>
      </w:r>
    </w:p>
  </w:footnote>
  <w:footnote w:id="1">
    <w:p w14:paraId="687ED887" w14:textId="77777777" w:rsidR="008772AB" w:rsidRDefault="00000000">
      <w:p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color w:val="000000"/>
          <w:sz w:val="18"/>
          <w:szCs w:val="18"/>
          <w:vertAlign w:val="superscript"/>
        </w:rPr>
        <w:t>*</w:t>
      </w:r>
      <w:r>
        <w:rPr>
          <w:color w:val="000000"/>
          <w:sz w:val="18"/>
          <w:szCs w:val="18"/>
        </w:rPr>
        <w:t xml:space="preserve"> </w:t>
      </w:r>
      <w:hyperlink r:id="rId1">
        <w:r>
          <w:rPr>
            <w:color w:val="467886"/>
            <w:sz w:val="18"/>
            <w:szCs w:val="18"/>
            <w:u w:val="single"/>
          </w:rPr>
          <w:t>CBD/SBSTTA/27/1</w:t>
        </w:r>
      </w:hyperlink>
      <w:r>
        <w:rPr>
          <w:color w:val="000000"/>
          <w:sz w:val="18"/>
          <w:szCs w:val="18"/>
        </w:rPr>
        <w:t>.</w:t>
      </w:r>
    </w:p>
  </w:footnote>
  <w:footnote w:id="2">
    <w:p w14:paraId="65459F16" w14:textId="77777777" w:rsidR="008772A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Пространственное планирование в интересах биоразнообразия; биоразнообразие и загрязнение; устойчивая деятельность, продукты и услуги, основанные на биоразнообразии и способствующие улучшению состояния биоразнообразия; справедливость, гендерное равенство и подход на основе прав человека применительно к сохранению и устойчивому использованию биоразнообразия и совместному использованию на справедливой и равной основе выгод от применения генетических ресурсов; а также различные системы ценностей, как указано в пункте 7 (b) раздела C Рамочной программы;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AFE16" w14:textId="77777777" w:rsidR="008772AB" w:rsidRDefault="00000000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680"/>
        <w:tab w:val="right" w:pos="9360"/>
      </w:tabs>
      <w:jc w:val="left"/>
      <w:rPr>
        <w:color w:val="000000"/>
        <w:sz w:val="20"/>
        <w:szCs w:val="20"/>
      </w:rPr>
    </w:pPr>
    <w:r>
      <w:rPr>
        <w:color w:val="000000"/>
        <w:sz w:val="20"/>
        <w:szCs w:val="20"/>
      </w:rPr>
      <w:t>CBD/SBSTTA/27/5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67AF4" w14:textId="77777777" w:rsidR="008772AB" w:rsidRDefault="008772AB">
    <w:pPr>
      <w:pBdr>
        <w:top w:val="nil"/>
        <w:left w:val="nil"/>
        <w:bottom w:val="none" w:sz="0" w:space="0" w:color="000000"/>
        <w:right w:val="nil"/>
        <w:between w:val="nil"/>
      </w:pBdr>
      <w:tabs>
        <w:tab w:val="center" w:pos="4680"/>
        <w:tab w:val="right" w:pos="9360"/>
      </w:tabs>
      <w:jc w:val="left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F17F16"/>
    <w:multiLevelType w:val="multilevel"/>
    <w:tmpl w:val="8BB8BC96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eastAsia="Times New Roman" w:hAnsi="Times New Roman" w:cs="Times New Roman"/>
        <w:b w:val="0"/>
        <w:i w:val="0"/>
        <w:color w:val="000000"/>
        <w:sz w:val="22"/>
        <w:szCs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(%3)"/>
      <w:lvlJc w:val="left"/>
      <w:pPr>
        <w:ind w:left="2268" w:hanging="566"/>
      </w:pPr>
      <w:rPr>
        <w:rFonts w:ascii="Times New Roman" w:eastAsia="Times New Roman" w:hAnsi="Times New Roman" w:cs="Times New Roman"/>
        <w:sz w:val="22"/>
        <w:szCs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eastAsia="Times New Roman" w:hAnsi="Times New Roman" w:cs="Times New Roman"/>
        <w:sz w:val="22"/>
        <w:szCs w:val="22"/>
      </w:rPr>
    </w:lvl>
    <w:lvl w:ilvl="4">
      <w:start w:val="1"/>
      <w:numFmt w:val="lowerLetter"/>
      <w:lvlText w:val="(%5)"/>
      <w:lvlJc w:val="left"/>
      <w:pPr>
        <w:ind w:left="3402" w:hanging="567"/>
      </w:pPr>
    </w:lvl>
    <w:lvl w:ilvl="5">
      <w:start w:val="1"/>
      <w:numFmt w:val="lowerRoman"/>
      <w:lvlText w:val="(%6)"/>
      <w:lvlJc w:val="left"/>
      <w:pPr>
        <w:ind w:left="2826" w:hanging="360"/>
      </w:pPr>
    </w:lvl>
    <w:lvl w:ilvl="6">
      <w:start w:val="1"/>
      <w:numFmt w:val="decimal"/>
      <w:lvlText w:val="%7."/>
      <w:lvlJc w:val="left"/>
      <w:pPr>
        <w:ind w:left="3186" w:hanging="360"/>
      </w:pPr>
    </w:lvl>
    <w:lvl w:ilvl="7">
      <w:start w:val="1"/>
      <w:numFmt w:val="lowerLetter"/>
      <w:lvlText w:val="%8."/>
      <w:lvlJc w:val="left"/>
      <w:pPr>
        <w:ind w:left="3546" w:hanging="360"/>
      </w:pPr>
    </w:lvl>
    <w:lvl w:ilvl="8">
      <w:start w:val="1"/>
      <w:numFmt w:val="lowerRoman"/>
      <w:lvlText w:val="%9."/>
      <w:lvlJc w:val="left"/>
      <w:pPr>
        <w:ind w:left="3906" w:hanging="360"/>
      </w:pPr>
    </w:lvl>
  </w:abstractNum>
  <w:num w:numId="1" w16cid:durableId="1241057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2AB"/>
    <w:rsid w:val="002C46FF"/>
    <w:rsid w:val="008772AB"/>
    <w:rsid w:val="00E12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FAD48"/>
  <w15:docId w15:val="{4581C2BA-62CC-473A-ADDF-41DD54B3A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" w:eastAsia="ru-RU" w:bidi="ar-SA"/>
      </w:rPr>
    </w:rPrDefault>
    <w:pPrDefault>
      <w:pPr>
        <w:tabs>
          <w:tab w:val="left" w:pos="567"/>
          <w:tab w:val="left" w:pos="1134"/>
          <w:tab w:val="left" w:pos="1701"/>
          <w:tab w:val="left" w:pos="2268"/>
        </w:tabs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240" w:after="120"/>
      <w:ind w:left="567" w:hanging="567"/>
      <w:jc w:val="left"/>
      <w:outlineLvl w:val="0"/>
    </w:pPr>
    <w:rPr>
      <w:b/>
      <w:sz w:val="28"/>
      <w:szCs w:val="2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20" w:after="120"/>
      <w:ind w:left="567" w:hanging="567"/>
      <w:jc w:val="left"/>
      <w:outlineLvl w:val="1"/>
    </w:pPr>
    <w:rPr>
      <w:b/>
      <w:sz w:val="24"/>
      <w:szCs w:val="24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20" w:after="120"/>
      <w:ind w:left="567" w:hanging="567"/>
      <w:jc w:val="left"/>
      <w:outlineLvl w:val="2"/>
    </w:pPr>
    <w:rPr>
      <w:b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spacing w:before="120" w:after="120"/>
      <w:ind w:left="567" w:hanging="567"/>
      <w:jc w:val="left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spacing w:before="120" w:after="120"/>
      <w:ind w:left="567" w:hanging="567"/>
      <w:jc w:val="left"/>
      <w:outlineLvl w:val="4"/>
    </w:pPr>
    <w:rPr>
      <w:i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pacing w:after="120"/>
      <w:ind w:left="1152" w:right="624" w:hanging="432"/>
      <w:jc w:val="left"/>
      <w:outlineLvl w:val="5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paragraph" w:styleId="a4">
    <w:name w:val="Subtitle"/>
    <w:basedOn w:val="a"/>
    <w:next w:val="a"/>
    <w:uiPriority w:val="11"/>
    <w:qFormat/>
    <w:rPr>
      <w:color w:val="595959"/>
      <w:sz w:val="28"/>
      <w:szCs w:val="2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283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cbd.int/documents/CBD/SBSTTA/27/5/ADD1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www.cbd.int/decisions/cop/?m=cop-16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bd.int/decisions/cop/?m=cop-16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cbd.int/documents/CBD/SBSTTA/27/5/ADD3" TargetMode="External"/><Relationship Id="rId10" Type="http://schemas.openxmlformats.org/officeDocument/2006/relationships/hyperlink" Target="https://www.cbd.int/decisions/cop/?m=cop-15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www.cbd.int/documents/CBD/SBSTTA/27/5/ADD2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bd.int/documents/CBD/SBSTTA/27/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553</Words>
  <Characters>3156</Characters>
  <Application>Microsoft Office Word</Application>
  <DocSecurity>0</DocSecurity>
  <Lines>26</Lines>
  <Paragraphs>7</Paragraphs>
  <ScaleCrop>false</ScaleCrop>
  <Company/>
  <LinksUpToDate>false</LinksUpToDate>
  <CharactersWithSpaces>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Evgeniia</dc:creator>
  <cp:lastModifiedBy>JK</cp:lastModifiedBy>
  <cp:revision>2</cp:revision>
  <dcterms:created xsi:type="dcterms:W3CDTF">2025-08-21T13:34:00Z</dcterms:created>
  <dcterms:modified xsi:type="dcterms:W3CDTF">2025-08-21T13:34:00Z</dcterms:modified>
</cp:coreProperties>
</file>