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B118E" w14:paraId="5340A41A" w14:textId="77777777" w:rsidTr="008A1499">
        <w:trPr>
          <w:trHeight w:val="850"/>
        </w:trPr>
        <w:tc>
          <w:tcPr>
            <w:tcW w:w="975" w:type="dxa"/>
            <w:vAlign w:val="bottom"/>
          </w:tcPr>
          <w:p w14:paraId="64F5FB15" w14:textId="77777777" w:rsidR="008A1499" w:rsidRPr="006B118E" w:rsidRDefault="008A1499" w:rsidP="008A1499">
            <w:pPr>
              <w:pStyle w:val="AASmallLogo"/>
            </w:pPr>
            <w:r w:rsidRPr="006B118E">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B118E">
              <w:t xml:space="preserve"> </w:t>
            </w:r>
          </w:p>
          <w:p w14:paraId="4BAE3A28" w14:textId="77777777" w:rsidR="008A1499" w:rsidRPr="006B118E" w:rsidRDefault="008A1499" w:rsidP="008A1499">
            <w:pPr>
              <w:pStyle w:val="AASmallLogo"/>
            </w:pPr>
          </w:p>
        </w:tc>
        <w:tc>
          <w:tcPr>
            <w:tcW w:w="1434" w:type="dxa"/>
            <w:noWrap/>
            <w:vAlign w:val="bottom"/>
          </w:tcPr>
          <w:p w14:paraId="75F9EF16" w14:textId="6A799C8D" w:rsidR="008A1499" w:rsidRPr="006B118E" w:rsidRDefault="00D64D56" w:rsidP="008A1499">
            <w:pPr>
              <w:pStyle w:val="AASmallLogo"/>
            </w:pPr>
            <w:r w:rsidRPr="006B118E">
              <w:rPr>
                <w:noProof/>
                <w:lang w:eastAsia="es-ES"/>
              </w:rPr>
              <w:drawing>
                <wp:inline distT="0" distB="0" distL="0" distR="0" wp14:anchorId="5677B380" wp14:editId="492E0D04">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6B118E">
              <w:t xml:space="preserve"> </w:t>
            </w:r>
          </w:p>
          <w:p w14:paraId="1056280A" w14:textId="77777777" w:rsidR="008A1499" w:rsidRPr="006B118E" w:rsidRDefault="008A1499" w:rsidP="008A1499">
            <w:pPr>
              <w:pStyle w:val="AASmallLogo"/>
            </w:pPr>
          </w:p>
        </w:tc>
        <w:tc>
          <w:tcPr>
            <w:tcW w:w="8073" w:type="dxa"/>
            <w:vAlign w:val="bottom"/>
          </w:tcPr>
          <w:p w14:paraId="544AC3A6" w14:textId="101F9CC5" w:rsidR="008A1499" w:rsidRPr="006B118E" w:rsidRDefault="008A1499" w:rsidP="003F1A75">
            <w:pPr>
              <w:pStyle w:val="ABSymbol"/>
            </w:pPr>
            <w:r w:rsidRPr="006B118E">
              <w:rPr>
                <w:sz w:val="40"/>
              </w:rPr>
              <w:t>CBD</w:t>
            </w:r>
            <w:r w:rsidRPr="006B118E">
              <w:t>/</w:t>
            </w:r>
            <w:r w:rsidR="00975047" w:rsidRPr="006B118E">
              <w:t>NP</w:t>
            </w:r>
            <w:r w:rsidRPr="006B118E">
              <w:t>/</w:t>
            </w:r>
            <w:r w:rsidR="00975047" w:rsidRPr="006B118E">
              <w:t>MOP/6/</w:t>
            </w:r>
            <w:r w:rsidR="007323FB" w:rsidRPr="006B118E">
              <w:t>7</w:t>
            </w:r>
          </w:p>
        </w:tc>
      </w:tr>
    </w:tbl>
    <w:p w14:paraId="71E44964" w14:textId="77777777" w:rsidR="008A1499" w:rsidRPr="006B118E"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B118E" w14:paraId="5995E55B" w14:textId="77777777" w:rsidTr="008A1499">
        <w:trPr>
          <w:trHeight w:val="1814"/>
        </w:trPr>
        <w:tc>
          <w:tcPr>
            <w:tcW w:w="7370" w:type="dxa"/>
          </w:tcPr>
          <w:p w14:paraId="5DE07A43" w14:textId="148FD587" w:rsidR="008A1499" w:rsidRPr="006B118E" w:rsidRDefault="00D64D56" w:rsidP="008A1499">
            <w:pPr>
              <w:pStyle w:val="ACLargeLogo"/>
            </w:pPr>
            <w:r w:rsidRPr="006B118E">
              <w:rPr>
                <w:noProof/>
                <w:lang w:eastAsia="es-ES"/>
              </w:rPr>
              <w:drawing>
                <wp:inline distT="0" distB="0" distL="0" distR="0" wp14:anchorId="6CFF4BD8" wp14:editId="190D9954">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6B118E">
              <w:t xml:space="preserve"> </w:t>
            </w:r>
          </w:p>
          <w:p w14:paraId="07BF3CC7" w14:textId="77777777" w:rsidR="008A1499" w:rsidRPr="006B118E" w:rsidRDefault="008A1499" w:rsidP="008A1499">
            <w:pPr>
              <w:pStyle w:val="ACLargeLogo"/>
            </w:pPr>
          </w:p>
        </w:tc>
        <w:tc>
          <w:tcPr>
            <w:tcW w:w="3112" w:type="dxa"/>
          </w:tcPr>
          <w:p w14:paraId="5BB05BFE" w14:textId="3DEC37EC" w:rsidR="00D64D56" w:rsidRPr="006B118E" w:rsidRDefault="008A1499" w:rsidP="00D64D56">
            <w:pPr>
              <w:pStyle w:val="AEDistrNormal"/>
            </w:pPr>
            <w:r w:rsidRPr="006B118E">
              <w:t xml:space="preserve">Distr. </w:t>
            </w:r>
            <w:r w:rsidR="00D64D56" w:rsidRPr="006B118E">
              <w:t>g</w:t>
            </w:r>
            <w:r w:rsidRPr="006B118E">
              <w:t>eneral</w:t>
            </w:r>
          </w:p>
          <w:p w14:paraId="73ED3B52" w14:textId="243E3AC9" w:rsidR="00D64D56" w:rsidRPr="006B118E" w:rsidRDefault="005854DC" w:rsidP="00D64D56">
            <w:pPr>
              <w:pStyle w:val="AEDistrNormal"/>
            </w:pPr>
            <w:r w:rsidRPr="006B118E">
              <w:t>14</w:t>
            </w:r>
            <w:r w:rsidR="00730C23" w:rsidRPr="006B118E">
              <w:t xml:space="preserve"> </w:t>
            </w:r>
            <w:r w:rsidR="00D64D56" w:rsidRPr="006B118E">
              <w:t>de septiembre de</w:t>
            </w:r>
            <w:r w:rsidR="00730C23" w:rsidRPr="006B118E">
              <w:t xml:space="preserve"> 2026</w:t>
            </w:r>
          </w:p>
          <w:p w14:paraId="624FE280" w14:textId="533F7694" w:rsidR="00D64D56" w:rsidRPr="006B118E" w:rsidRDefault="00D64D56" w:rsidP="00D64D56">
            <w:pPr>
              <w:pStyle w:val="AEDistrNormal"/>
            </w:pPr>
            <w:r w:rsidRPr="006B118E">
              <w:t>Español</w:t>
            </w:r>
          </w:p>
          <w:p w14:paraId="564614B9" w14:textId="0261F8E1" w:rsidR="008A1499" w:rsidRPr="006B118E" w:rsidRDefault="008A1499" w:rsidP="00D64D56">
            <w:pPr>
              <w:pStyle w:val="AEDistrNormal"/>
            </w:pPr>
            <w:r w:rsidRPr="006B118E">
              <w:t xml:space="preserve">Original: </w:t>
            </w:r>
            <w:r w:rsidR="00D64D56" w:rsidRPr="006B118E">
              <w:t>inglés</w:t>
            </w:r>
          </w:p>
        </w:tc>
      </w:tr>
    </w:tbl>
    <w:p w14:paraId="668CC054" w14:textId="77777777" w:rsidR="008A1499" w:rsidRPr="006B118E"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B118E" w14:paraId="1DCD36C4" w14:textId="77777777" w:rsidTr="00264904">
        <w:trPr>
          <w:trHeight w:val="2268"/>
        </w:trPr>
        <w:tc>
          <w:tcPr>
            <w:tcW w:w="6094" w:type="dxa"/>
          </w:tcPr>
          <w:p w14:paraId="40BB426A" w14:textId="0E89BD0F" w:rsidR="008A1499" w:rsidRPr="006B118E" w:rsidRDefault="00D64D56" w:rsidP="008A1499">
            <w:pPr>
              <w:pStyle w:val="AFCorN12Bold"/>
            </w:pPr>
            <w:r w:rsidRPr="006B118E">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6AEFA590" w14:textId="45F4D7DF" w:rsidR="008A1499" w:rsidRPr="006B118E" w:rsidRDefault="00D64D56" w:rsidP="008A1499">
            <w:pPr>
              <w:pStyle w:val="AFCorNBold"/>
            </w:pPr>
            <w:r w:rsidRPr="006B118E">
              <w:t>Sexta reunión</w:t>
            </w:r>
          </w:p>
          <w:p w14:paraId="06AF62FA" w14:textId="06143881" w:rsidR="008A1499" w:rsidRPr="006B118E" w:rsidRDefault="00D64D56" w:rsidP="008A1499">
            <w:pPr>
              <w:pStyle w:val="AFCorNNormal"/>
            </w:pPr>
            <w:r w:rsidRPr="006B118E">
              <w:t xml:space="preserve">Ereván (Armenia), </w:t>
            </w:r>
            <w:r w:rsidRPr="006B118E">
              <w:rPr>
                <w:snapToGrid w:val="0"/>
                <w:kern w:val="22"/>
              </w:rPr>
              <w:t>19 a 30 de octubre de 2026</w:t>
            </w:r>
          </w:p>
          <w:p w14:paraId="1174C666" w14:textId="3EE50E75" w:rsidR="008A1499" w:rsidRPr="006B118E" w:rsidRDefault="00D64D56" w:rsidP="008A1499">
            <w:pPr>
              <w:pStyle w:val="AFCorNNormal"/>
            </w:pPr>
            <w:r w:rsidRPr="006B118E">
              <w:t>Tema </w:t>
            </w:r>
            <w:r w:rsidR="00C96A1D" w:rsidRPr="006B118E">
              <w:t>9</w:t>
            </w:r>
            <w:r w:rsidR="008A1499" w:rsidRPr="006B118E">
              <w:t xml:space="preserve"> </w:t>
            </w:r>
            <w:r w:rsidRPr="006B118E">
              <w:t xml:space="preserve">del programa </w:t>
            </w:r>
            <w:r w:rsidR="008A1499" w:rsidRPr="006B118E">
              <w:t>provisional</w:t>
            </w:r>
            <w:r w:rsidR="008A1499" w:rsidRPr="006B118E">
              <w:rPr>
                <w:rStyle w:val="Refdenotaalpie"/>
                <w:lang w:val="es-ES_tradnl"/>
              </w:rPr>
              <w:footnoteReference w:customMarkFollows="1" w:id="1"/>
              <w:t>*</w:t>
            </w:r>
          </w:p>
          <w:p w14:paraId="47EBE5A9" w14:textId="746863E2" w:rsidR="008A1499" w:rsidRPr="006B118E" w:rsidRDefault="00D64D56" w:rsidP="008A1499">
            <w:pPr>
              <w:pStyle w:val="AFCorNBold"/>
            </w:pPr>
            <w:r w:rsidRPr="006B118E">
              <w:t>Mejora de la aplicación del Protocolo de Nagoya</w:t>
            </w:r>
          </w:p>
        </w:tc>
        <w:tc>
          <w:tcPr>
            <w:tcW w:w="4388" w:type="dxa"/>
          </w:tcPr>
          <w:p w14:paraId="3FD65D7C" w14:textId="77777777" w:rsidR="008A1499" w:rsidRPr="006B118E" w:rsidRDefault="008A1499" w:rsidP="008A1499">
            <w:pPr>
              <w:pStyle w:val="CBDNormal"/>
              <w:jc w:val="left"/>
              <w:rPr>
                <w:lang w:val="es-ES_tradnl"/>
              </w:rPr>
            </w:pPr>
          </w:p>
        </w:tc>
      </w:tr>
    </w:tbl>
    <w:p w14:paraId="64BAB313" w14:textId="63CCDCF2" w:rsidR="00C9161D" w:rsidRPr="006B118E" w:rsidRDefault="00000000" w:rsidP="00A111D1">
      <w:pPr>
        <w:pStyle w:val="CBDTitle"/>
        <w:rPr>
          <w:caps/>
          <w:lang w:val="es-ES_tradnl"/>
        </w:rPr>
      </w:pPr>
      <w:sdt>
        <w:sdtPr>
          <w:rPr>
            <w:lang w:val="es-ES_tradnl"/>
          </w:rPr>
          <w:alias w:val="Title"/>
          <w:tag w:val=""/>
          <w:id w:val="772832786"/>
          <w:placeholder>
            <w:docPart w:val="DF180A937C4D481FA152CA108E541D31"/>
          </w:placeholder>
          <w:dataBinding w:prefixMappings="xmlns:ns0='http://purl.org/dc/elements/1.1/' xmlns:ns1='http://schemas.openxmlformats.org/package/2006/metadata/core-properties' " w:xpath="/ns1:coreProperties[1]/ns0:title[1]" w:storeItemID="{6C3C8BC8-F283-45AE-878A-BAB7291924A1}"/>
          <w:text/>
        </w:sdtPr>
        <w:sdtContent>
          <w:r w:rsidR="00D64D56" w:rsidRPr="006B118E">
            <w:rPr>
              <w:lang w:val="es-ES_tradnl"/>
            </w:rPr>
            <w:t>Mejora de la aplicación del Protocolo de Nagoya</w:t>
          </w:r>
        </w:sdtContent>
      </w:sdt>
    </w:p>
    <w:p w14:paraId="6974D0BE" w14:textId="694FDC80" w:rsidR="00F6586C" w:rsidRPr="006B118E" w:rsidRDefault="0030169D" w:rsidP="00A111D1">
      <w:pPr>
        <w:pStyle w:val="CBDSubTitle"/>
        <w:rPr>
          <w:lang w:val="es-ES_tradnl"/>
        </w:rPr>
      </w:pPr>
      <w:r w:rsidRPr="006B118E">
        <w:rPr>
          <w:lang w:val="es-ES_tradnl"/>
        </w:rPr>
        <w:t>Not</w:t>
      </w:r>
      <w:r w:rsidR="00D64D56" w:rsidRPr="006B118E">
        <w:rPr>
          <w:lang w:val="es-ES_tradnl"/>
        </w:rPr>
        <w:t>a</w:t>
      </w:r>
      <w:r w:rsidRPr="006B118E">
        <w:rPr>
          <w:lang w:val="es-ES_tradnl"/>
        </w:rPr>
        <w:t xml:space="preserve"> </w:t>
      </w:r>
      <w:r w:rsidR="00D64D56" w:rsidRPr="006B118E">
        <w:rPr>
          <w:lang w:val="es-ES_tradnl"/>
        </w:rPr>
        <w:t xml:space="preserve">de la </w:t>
      </w:r>
      <w:r w:rsidR="007E0F8A" w:rsidRPr="006B118E">
        <w:rPr>
          <w:lang w:val="es-ES_tradnl"/>
        </w:rPr>
        <w:t>Secretar</w:t>
      </w:r>
      <w:r w:rsidR="00D64D56" w:rsidRPr="006B118E">
        <w:rPr>
          <w:lang w:val="es-ES_tradnl"/>
        </w:rPr>
        <w:t>ía</w:t>
      </w:r>
    </w:p>
    <w:p w14:paraId="240E6C7B" w14:textId="453A8D77" w:rsidR="0042414A" w:rsidRPr="006B118E" w:rsidRDefault="00A111D1" w:rsidP="003C4262">
      <w:pPr>
        <w:pStyle w:val="CBDH1"/>
        <w:rPr>
          <w:lang w:val="es-ES_tradnl"/>
        </w:rPr>
      </w:pPr>
      <w:r w:rsidRPr="006B118E">
        <w:rPr>
          <w:lang w:val="es-ES_tradnl"/>
        </w:rPr>
        <w:t>I.</w:t>
      </w:r>
      <w:r w:rsidRPr="006B118E">
        <w:rPr>
          <w:lang w:val="es-ES_tradnl"/>
        </w:rPr>
        <w:tab/>
      </w:r>
      <w:r w:rsidR="006C6114" w:rsidRPr="006B118E">
        <w:rPr>
          <w:lang w:val="es-ES_tradnl"/>
        </w:rPr>
        <w:t>Introduc</w:t>
      </w:r>
      <w:r w:rsidR="00D64D56" w:rsidRPr="006B118E">
        <w:rPr>
          <w:lang w:val="es-ES_tradnl"/>
        </w:rPr>
        <w:t>ción</w:t>
      </w:r>
    </w:p>
    <w:p w14:paraId="3C22992E" w14:textId="77777777" w:rsidR="008C04DA" w:rsidRPr="006B118E" w:rsidRDefault="008C04DA" w:rsidP="008C04DA">
      <w:pPr>
        <w:numPr>
          <w:ilvl w:val="0"/>
          <w:numId w:val="8"/>
        </w:numPr>
        <w:tabs>
          <w:tab w:val="left" w:pos="2835"/>
          <w:tab w:val="left" w:pos="3402"/>
          <w:tab w:val="left" w:pos="3969"/>
        </w:tabs>
        <w:spacing w:before="120" w:after="120"/>
      </w:pPr>
      <w:r w:rsidRPr="006B118E">
        <w:t>La Conferencia de las Partes que actúa como reunión de las Partes en el Protocolo de Nagoya adopta decisiones con miras a mejorar la aplicación del Protocolo, incluido a través de la creación y desarrollo de capacidad y la concienciación y por medio del intercambio de información mediante el Centro de Intercambio de Información sobre Acceso y Participación en los Beneficios. Asimismo, la implementación y el seguimiento del Marco Mundial de Biodiversidad de Kunming-Montreal y sus decisiones conexas también apoyan la aplicación del Protocolo como parte del objetivo C y la meta 13 del Marco.</w:t>
      </w:r>
    </w:p>
    <w:p w14:paraId="165B599F" w14:textId="454515E4" w:rsidR="008C04DA" w:rsidRPr="006B118E" w:rsidRDefault="008C04DA" w:rsidP="008C04DA">
      <w:pPr>
        <w:pStyle w:val="CBDNormalNumber"/>
        <w:numPr>
          <w:ilvl w:val="0"/>
          <w:numId w:val="8"/>
        </w:numPr>
        <w:rPr>
          <w:lang w:val="es-ES_tradnl"/>
        </w:rPr>
      </w:pPr>
      <w:r w:rsidRPr="006B118E">
        <w:rPr>
          <w:lang w:val="es-ES_tradnl"/>
        </w:rPr>
        <w:t>En la decisión </w:t>
      </w:r>
      <w:hyperlink r:id="rId15" w:history="1">
        <w:r w:rsidRPr="006B118E">
          <w:rPr>
            <w:rStyle w:val="Hipervnculo"/>
            <w:lang w:val="es-ES_tradnl"/>
          </w:rPr>
          <w:t>NP-3/1</w:t>
        </w:r>
      </w:hyperlink>
      <w:r w:rsidRPr="006B118E">
        <w:rPr>
          <w:lang w:val="es-ES_tradnl"/>
        </w:rPr>
        <w:t xml:space="preserve"> B, la Conferencia de las Partes que actúa como reunión de las Partes en el Protocolo de Nagoya decidió llevar a cabo la segunda evaluación y revisión de la eficacia del Protocolo en su sexta reunión. En la </w:t>
      </w:r>
      <w:bookmarkStart w:id="0" w:name="_Hlk240963319"/>
      <w:r w:rsidRPr="006B118E">
        <w:rPr>
          <w:lang w:val="es-ES_tradnl"/>
        </w:rPr>
        <w:t>decisión </w:t>
      </w:r>
      <w:hyperlink r:id="rId16" w:history="1">
        <w:r w:rsidRPr="006B118E">
          <w:rPr>
            <w:rStyle w:val="Hipervnculo"/>
            <w:lang w:val="es-ES_tradnl"/>
          </w:rPr>
          <w:t>NP-5/5</w:t>
        </w:r>
      </w:hyperlink>
      <w:bookmarkEnd w:id="0"/>
      <w:r w:rsidRPr="006B118E">
        <w:rPr>
          <w:lang w:val="es-ES_tradnl"/>
        </w:rPr>
        <w:t>, acordó una metodología para realizar la evaluación a partir de los elementos y fuentes de información que figuran en el anexo de la decisión.</w:t>
      </w:r>
    </w:p>
    <w:p w14:paraId="4989EF6B" w14:textId="77777777" w:rsidR="008C04DA" w:rsidRPr="006B118E" w:rsidRDefault="008C04DA" w:rsidP="008C04DA">
      <w:pPr>
        <w:pStyle w:val="CBDNormalNumber"/>
        <w:numPr>
          <w:ilvl w:val="0"/>
          <w:numId w:val="8"/>
        </w:numPr>
        <w:rPr>
          <w:lang w:val="es-ES_tradnl"/>
        </w:rPr>
      </w:pPr>
      <w:r w:rsidRPr="006B118E">
        <w:rPr>
          <w:lang w:val="es-ES_tradnl"/>
        </w:rPr>
        <w:t>Los elementos identificados en el anexo de la decisión </w:t>
      </w:r>
      <w:hyperlink r:id="rId17" w:history="1">
        <w:r w:rsidRPr="006B118E">
          <w:rPr>
            <w:rStyle w:val="Hipervnculo"/>
            <w:lang w:val="es-ES_tradnl"/>
          </w:rPr>
          <w:t>NP-5/5</w:t>
        </w:r>
      </w:hyperlink>
      <w:r w:rsidRPr="006B118E">
        <w:rPr>
          <w:lang w:val="es-ES_tradnl"/>
        </w:rPr>
        <w:t xml:space="preserve"> abordan diversos aspectos de la aplicación del </w:t>
      </w:r>
      <w:bookmarkStart w:id="1" w:name="_Hlk240960606"/>
      <w:r w:rsidRPr="006B118E">
        <w:rPr>
          <w:lang w:val="es-ES_tradnl"/>
        </w:rPr>
        <w:t>Protocolo de Nagoya</w:t>
      </w:r>
      <w:bookmarkEnd w:id="1"/>
      <w:r w:rsidRPr="006B118E">
        <w:rPr>
          <w:lang w:val="es-ES_tradnl"/>
        </w:rPr>
        <w:t>, entre ellos, en el elemento c), una evaluación del apoyo disponible para la aplicación en el contexto del artículo 22 del Protocolo y, en el elemento g), una revisión de la aplicación y funcionamiento del Centro de Intercambio de Información sobre Acceso y Participación en los Beneficios (artículo 14).</w:t>
      </w:r>
    </w:p>
    <w:p w14:paraId="4BB2C0B9" w14:textId="77777777" w:rsidR="008C04DA" w:rsidRPr="006B118E" w:rsidRDefault="008C04DA" w:rsidP="008C04DA">
      <w:pPr>
        <w:pStyle w:val="CBDNormalNumber"/>
        <w:numPr>
          <w:ilvl w:val="0"/>
          <w:numId w:val="8"/>
        </w:numPr>
        <w:rPr>
          <w:lang w:val="es-ES_tradnl"/>
        </w:rPr>
      </w:pPr>
      <w:r w:rsidRPr="006B118E">
        <w:rPr>
          <w:lang w:val="es-ES_tradnl"/>
        </w:rPr>
        <w:t>Sobre la base de estos elementos, se preparó una serie de documentos a fin de facilitar el proceso de segunda evaluación y revisión</w:t>
      </w:r>
      <w:r w:rsidRPr="006B118E">
        <w:rPr>
          <w:rStyle w:val="Refdenotaalpie"/>
          <w:lang w:val="es-ES_tradnl"/>
        </w:rPr>
        <w:footnoteReference w:id="2"/>
      </w:r>
      <w:r w:rsidRPr="006B118E">
        <w:rPr>
          <w:lang w:val="es-ES_tradnl"/>
        </w:rPr>
        <w:t>. Se pidió al Comité Asesor Oficioso sobre Creación de Capacidad para la Aplicación del Protocolo de Nagoya</w:t>
      </w:r>
      <w:r w:rsidRPr="006B118E">
        <w:rPr>
          <w:rStyle w:val="Refdenotaalpie"/>
          <w:lang w:val="es-ES_tradnl"/>
        </w:rPr>
        <w:footnoteReference w:id="3"/>
      </w:r>
      <w:r w:rsidRPr="006B118E">
        <w:rPr>
          <w:lang w:val="es-ES_tradnl"/>
        </w:rPr>
        <w:t xml:space="preserve"> y al Comité de Cumplimiento establecido en el marco del Protocolo de Nagoya sobre Acceso y Participación en los Beneficios</w:t>
      </w:r>
      <w:r w:rsidRPr="006B118E">
        <w:rPr>
          <w:rStyle w:val="Refdenotaalpie"/>
          <w:lang w:val="es-ES_tradnl"/>
        </w:rPr>
        <w:footnoteReference w:id="4"/>
      </w:r>
      <w:r w:rsidRPr="006B118E">
        <w:rPr>
          <w:lang w:val="es-ES_tradnl"/>
        </w:rPr>
        <w:t xml:space="preserve"> que, trabajando de manera complementaria y sin duplicaciones, contribuyeran a la segunda evaluación y revisión y </w:t>
      </w:r>
      <w:r w:rsidRPr="006B118E">
        <w:rPr>
          <w:lang w:val="es-ES_tradnl"/>
        </w:rPr>
        <w:lastRenderedPageBreak/>
        <w:t>presentaran sus conclusiones para que fueran consideradas por el Órgano Subsidiario sobre la Aplicación. </w:t>
      </w:r>
    </w:p>
    <w:p w14:paraId="239865C8" w14:textId="0A31816D" w:rsidR="008C04DA" w:rsidRPr="006B118E" w:rsidRDefault="008C04DA" w:rsidP="008C04DA">
      <w:pPr>
        <w:pStyle w:val="CBDNormalNumber"/>
        <w:numPr>
          <w:ilvl w:val="0"/>
          <w:numId w:val="8"/>
        </w:numPr>
        <w:rPr>
          <w:lang w:val="es-ES_tradnl"/>
        </w:rPr>
      </w:pPr>
      <w:r w:rsidRPr="006B118E">
        <w:rPr>
          <w:lang w:val="es-ES_tradnl"/>
        </w:rPr>
        <w:t>En consecuencia, el Órgano Subsidiario sobre la Aplicación formuló recomendaciones a la Conferencia de las Partes que actúa como reunión de las Partes en el Protocolo de Nagoya (incluidas en la recomendación </w:t>
      </w:r>
      <w:bookmarkStart w:id="3" w:name="_Hlk240961845"/>
      <w:r w:rsidRPr="006B118E">
        <w:rPr>
          <w:lang w:val="es-ES_tradnl"/>
        </w:rPr>
        <w:fldChar w:fldCharType="begin"/>
      </w:r>
      <w:r w:rsidRPr="006B118E">
        <w:rPr>
          <w:lang w:val="es-ES_tradnl"/>
        </w:rPr>
        <w:instrText>HYPERLINK "https://www.cbd.int/recommendations/sbi/?m=sbi-07"</w:instrText>
      </w:r>
      <w:r w:rsidRPr="006B118E">
        <w:rPr>
          <w:lang w:val="es-ES_tradnl"/>
        </w:rPr>
      </w:r>
      <w:r w:rsidRPr="006B118E">
        <w:rPr>
          <w:lang w:val="es-ES_tradnl"/>
        </w:rPr>
        <w:fldChar w:fldCharType="separate"/>
      </w:r>
      <w:r w:rsidRPr="006B118E">
        <w:rPr>
          <w:rStyle w:val="Hipervnculo"/>
          <w:lang w:val="es-ES_tradnl"/>
        </w:rPr>
        <w:t>7/6</w:t>
      </w:r>
      <w:r w:rsidRPr="006B118E">
        <w:rPr>
          <w:lang w:val="es-ES_tradnl"/>
        </w:rPr>
        <w:fldChar w:fldCharType="end"/>
      </w:r>
      <w:bookmarkEnd w:id="3"/>
      <w:r w:rsidRPr="006B118E">
        <w:rPr>
          <w:lang w:val="es-ES_tradnl"/>
        </w:rPr>
        <w:t>). Las recomendaciones propuestas están relacionadas con el proceso de segunda evaluación y revisión, así como con las medidas estratégicas para mejorar la aplicación del Protocolo. En la sección B de la recomendación </w:t>
      </w:r>
      <w:hyperlink r:id="rId18" w:history="1">
        <w:r w:rsidRPr="006B118E">
          <w:rPr>
            <w:rStyle w:val="Hipervnculo"/>
            <w:lang w:val="es-ES_tradnl"/>
          </w:rPr>
          <w:t>7/6</w:t>
        </w:r>
      </w:hyperlink>
      <w:r w:rsidRPr="006B118E">
        <w:rPr>
          <w:lang w:val="es-ES_tradnl"/>
        </w:rPr>
        <w:t xml:space="preserve">, sobre mejora de la aplicación del Protocolo, figuran recomendaciones </w:t>
      </w:r>
      <w:r w:rsidR="00BE0D92" w:rsidRPr="006B118E">
        <w:rPr>
          <w:lang w:val="es-ES_tradnl"/>
        </w:rPr>
        <w:t>relativas a la</w:t>
      </w:r>
      <w:r w:rsidRPr="006B118E">
        <w:rPr>
          <w:lang w:val="es-ES_tradnl"/>
        </w:rPr>
        <w:t xml:space="preserve"> creación y desarrollo de capacidad y concienciación, el Centro de Intercambio de Información sobre Acceso y Participación en los Beneficios y el intercambio de información y el Protocolo en el contexto del Marco Mundial de Biodiversidad de Kunming-Montreal.</w:t>
      </w:r>
    </w:p>
    <w:p w14:paraId="288564B4" w14:textId="77777777" w:rsidR="008C04DA" w:rsidRPr="006B118E" w:rsidRDefault="008C04DA" w:rsidP="008C04DA">
      <w:pPr>
        <w:pStyle w:val="CBDNormalNumber"/>
        <w:numPr>
          <w:ilvl w:val="0"/>
          <w:numId w:val="8"/>
        </w:numPr>
        <w:rPr>
          <w:lang w:val="es-ES_tradnl"/>
        </w:rPr>
      </w:pPr>
      <w:r w:rsidRPr="006B118E">
        <w:rPr>
          <w:lang w:val="es-ES_tradnl"/>
        </w:rPr>
        <w:t xml:space="preserve">A este respecto, se invitará a </w:t>
      </w:r>
      <w:bookmarkStart w:id="4" w:name="_Hlk240962205"/>
      <w:r w:rsidRPr="006B118E">
        <w:rPr>
          <w:lang w:val="es-ES_tradnl"/>
        </w:rPr>
        <w:t xml:space="preserve">la Conferencia de las Partes que actúa como reunión de las Partes en el Protocolo de Nagoya </w:t>
      </w:r>
      <w:bookmarkEnd w:id="4"/>
      <w:r w:rsidRPr="006B118E">
        <w:rPr>
          <w:lang w:val="es-ES_tradnl"/>
        </w:rPr>
        <w:t>a que considere el proyecto de decisión preparado por el Órgano Subsidiario sobre la Aplicación, como se reproduce en la recopilación de proyectos de decisión, con miras a su adopción.</w:t>
      </w:r>
    </w:p>
    <w:p w14:paraId="207505F7" w14:textId="77777777" w:rsidR="008C04DA" w:rsidRPr="006B118E" w:rsidRDefault="008C04DA" w:rsidP="008C04DA">
      <w:pPr>
        <w:pStyle w:val="CBDNormalNumber"/>
        <w:numPr>
          <w:ilvl w:val="0"/>
          <w:numId w:val="8"/>
        </w:numPr>
        <w:rPr>
          <w:lang w:val="es-ES_tradnl"/>
        </w:rPr>
      </w:pPr>
      <w:r w:rsidRPr="006B118E">
        <w:rPr>
          <w:lang w:val="es-ES_tradnl"/>
        </w:rPr>
        <w:t>En el presente documento se proporcionan enlaces a los documentos pertinentes elaborados en el contexto de la evaluación y revisión, para facilitar su consulta, y un informe sobre los progresos realizados. A saber, la sección II contiene una sinopsis de los progresos realizados en la labor de difundir y promover el Plan de Acción para la Creación y el Desarrollo de Capacidad para el Protocolo de Nagoya adoptado por la Conferencia de las Partes que actúa como reunión de las Partes en el Protocolo en la decisión </w:t>
      </w:r>
      <w:hyperlink r:id="rId19" w:history="1">
        <w:r w:rsidRPr="006B118E">
          <w:rPr>
            <w:color w:val="0000FF" w:themeColor="hyperlink"/>
            <w:u w:val="single"/>
            <w:lang w:val="es-ES_tradnl"/>
          </w:rPr>
          <w:t>NP-5/3</w:t>
        </w:r>
      </w:hyperlink>
      <w:r w:rsidRPr="006B118E">
        <w:rPr>
          <w:lang w:val="es-ES_tradnl"/>
        </w:rPr>
        <w:t xml:space="preserve"> y facilitar actividades de creación y desarrollo de capacidad y concienciación, y la sección III incluye un resumen de los progresos realizados en el funcionamiento del Centro de Intercambio de Información sobre Acceso y Participación en los Beneficios de conformidad con la decisión </w:t>
      </w:r>
      <w:hyperlink r:id="rId20" w:history="1">
        <w:r w:rsidRPr="006B118E">
          <w:rPr>
            <w:rStyle w:val="Hipervnculo"/>
            <w:lang w:val="es-ES_tradnl"/>
          </w:rPr>
          <w:t>NP-5/4</w:t>
        </w:r>
      </w:hyperlink>
      <w:r w:rsidRPr="006B118E">
        <w:rPr>
          <w:lang w:val="es-ES_tradnl"/>
        </w:rPr>
        <w:t>. En la sección IV se proporciona información pertinente para el Protocolo sobre el Marco Mundial de Biodiversidad de Kunming-Montreal. Por último, en la sección V se describen cuestiones para su consideración por la Conferencia de las Partes que actúa como reunión de las Partes en el Protocolo en su sexta reunión.</w:t>
      </w:r>
    </w:p>
    <w:p w14:paraId="44728D87" w14:textId="77777777" w:rsidR="008C04DA" w:rsidRPr="006B118E" w:rsidRDefault="008C04DA" w:rsidP="008C04DA">
      <w:pPr>
        <w:pStyle w:val="CBDNormalNumber"/>
        <w:numPr>
          <w:ilvl w:val="0"/>
          <w:numId w:val="8"/>
        </w:numPr>
        <w:rPr>
          <w:lang w:val="es-ES_tradnl"/>
        </w:rPr>
      </w:pPr>
      <w:r w:rsidRPr="006B118E">
        <w:rPr>
          <w:lang w:val="es-ES_tradnl"/>
        </w:rPr>
        <w:t>El presente documento no reproduce los resultados de la segunda evaluación y revisión, que fueron considerados por el Órgano Subsidiario sobre la Aplicación en su séptima reunión. En vez de eso, proporciona información suplementaria y actualizaciones de los progresos realizados en relación con la aplicación de decisiones anteriores sobre creación y desarrollo de capacidad, concienciación, el Centro de Intercambio de Información sobre Acceso y Participación en los Beneficios y la aplicación del Protocolo de Nagoya en el contexto del Marco Mundial de Biodiversidad de Kunming-Montreal.</w:t>
      </w:r>
    </w:p>
    <w:p w14:paraId="79AC41BE" w14:textId="77777777" w:rsidR="008C04DA" w:rsidRPr="006B118E" w:rsidRDefault="008C04DA" w:rsidP="008C04DA">
      <w:pPr>
        <w:pStyle w:val="CBDH1"/>
        <w:rPr>
          <w:lang w:val="es-ES_tradnl"/>
        </w:rPr>
      </w:pPr>
      <w:r w:rsidRPr="006B118E">
        <w:rPr>
          <w:lang w:val="es-ES_tradnl"/>
        </w:rPr>
        <w:t>II.</w:t>
      </w:r>
      <w:r w:rsidRPr="006B118E">
        <w:rPr>
          <w:lang w:val="es-ES_tradnl"/>
        </w:rPr>
        <w:tab/>
        <w:t>Desarrollo de capacidad y concienciación</w:t>
      </w:r>
    </w:p>
    <w:p w14:paraId="6062FDB9" w14:textId="3D186062" w:rsidR="008C04DA" w:rsidRPr="006B118E" w:rsidRDefault="008C04DA" w:rsidP="008C04DA">
      <w:pPr>
        <w:pStyle w:val="CBDH2"/>
        <w:rPr>
          <w:lang w:val="es-ES_tradnl"/>
        </w:rPr>
      </w:pPr>
      <w:r w:rsidRPr="006B118E">
        <w:rPr>
          <w:lang w:val="es-ES_tradnl"/>
        </w:rPr>
        <w:t>A.</w:t>
      </w:r>
      <w:r w:rsidRPr="006B118E">
        <w:rPr>
          <w:lang w:val="es-ES_tradnl"/>
        </w:rPr>
        <w:tab/>
        <w:t>Progresos realizados por la Secretaría</w:t>
      </w:r>
    </w:p>
    <w:p w14:paraId="50AC8B08" w14:textId="77777777" w:rsidR="008C04DA" w:rsidRPr="006B118E" w:rsidRDefault="008C04DA" w:rsidP="008C04DA">
      <w:pPr>
        <w:pStyle w:val="CBDNormalNumber"/>
        <w:numPr>
          <w:ilvl w:val="0"/>
          <w:numId w:val="8"/>
        </w:numPr>
        <w:rPr>
          <w:lang w:val="es-ES_tradnl"/>
        </w:rPr>
      </w:pPr>
      <w:r w:rsidRPr="006B118E">
        <w:rPr>
          <w:lang w:val="es-ES_tradnl"/>
        </w:rPr>
        <w:t>En su decisión </w:t>
      </w:r>
      <w:hyperlink r:id="rId21" w:history="1">
        <w:r w:rsidRPr="006B118E">
          <w:rPr>
            <w:color w:val="0000FF" w:themeColor="hyperlink"/>
            <w:u w:val="single"/>
            <w:lang w:val="es-ES_tradnl"/>
          </w:rPr>
          <w:t>NP-5/3</w:t>
        </w:r>
      </w:hyperlink>
      <w:r w:rsidRPr="006B118E">
        <w:rPr>
          <w:lang w:val="es-ES_tradnl"/>
        </w:rPr>
        <w:t>, la Conferencia de las Partes que actúa como reunión de las Partes en el Protocolo de Nagoya adoptó el Plan de Acción para la Creación y el Desarrollo de Capacidad y pidió a la Secretaria Ejecutiva que apoyara su aplicación, incluido mediante la difusión y promoción del Plan de Acción, la facilitación de actividades de creación y desarrollo de capacidad y el apoyo a oportunidades para compartir experiencias, lecciones aprendidas y buenas prácticas a través del Centro de Intercambio de Información sobre Acceso y Participación en los Beneficios.</w:t>
      </w:r>
    </w:p>
    <w:p w14:paraId="065E902B" w14:textId="77777777" w:rsidR="008C04DA" w:rsidRPr="006B118E" w:rsidRDefault="008C04DA" w:rsidP="008C04DA">
      <w:pPr>
        <w:pStyle w:val="CBDNormalNumber"/>
        <w:numPr>
          <w:ilvl w:val="0"/>
          <w:numId w:val="8"/>
        </w:numPr>
        <w:rPr>
          <w:lang w:val="es-ES_tradnl"/>
        </w:rPr>
      </w:pPr>
      <w:r w:rsidRPr="006B118E">
        <w:rPr>
          <w:lang w:val="es-ES_tradnl"/>
        </w:rPr>
        <w:t xml:space="preserve">Desde entonces, la </w:t>
      </w:r>
      <w:bookmarkStart w:id="5" w:name="_Hlk240964807"/>
      <w:r w:rsidRPr="006B118E">
        <w:rPr>
          <w:lang w:val="es-ES_tradnl"/>
        </w:rPr>
        <w:t>Secretaría</w:t>
      </w:r>
      <w:bookmarkEnd w:id="5"/>
      <w:r w:rsidRPr="006B118E">
        <w:rPr>
          <w:lang w:val="es-ES_tradnl"/>
        </w:rPr>
        <w:t xml:space="preserve"> del Convenio sobre la Diversidad Biológica ha llevado a cabo una serie de actividades para apoyar la aplicación del Plan de Acción, entre ellas seminarios web sobre creación de capacidad, sesiones de información, reuniones informativas de carácter técnico e iniciativas para facilitar el intercambio de conocimientos y buenas prácticas entre las Partes y los interesados.</w:t>
      </w:r>
    </w:p>
    <w:p w14:paraId="74CD886D" w14:textId="77777777" w:rsidR="008C04DA" w:rsidRPr="006B118E" w:rsidRDefault="008C04DA" w:rsidP="008C04DA">
      <w:pPr>
        <w:pStyle w:val="CBDNormalNumber"/>
        <w:numPr>
          <w:ilvl w:val="0"/>
          <w:numId w:val="8"/>
        </w:numPr>
        <w:rPr>
          <w:lang w:val="es-ES_tradnl"/>
        </w:rPr>
      </w:pPr>
      <w:r w:rsidRPr="006B118E">
        <w:rPr>
          <w:lang w:val="es-ES_tradnl"/>
        </w:rPr>
        <w:lastRenderedPageBreak/>
        <w:t xml:space="preserve">La Secretaría organizó 20 seminarios web que abarcan temas relacionados con el uso del Centro de Intercambio de Información sobre Acceso y Participación en los Beneficios, la aplicación del Protocolo de Nagoya a nivel nacional, los protocolos comunitarios y los conocimientos tradicionales, los instrumentos de financiación y el biocomercio en el contexto del acceso y la participación en los beneficios, la participación en los beneficios no monetarios, la implementación de las estrategias y planes de acción nacionales en materia de biodiversidad y los resultados de la segunda evaluación y revisión de la eficacia del Protocolo. Seis de estos seminarios web formaron parte de una serie específica sobre creación y desarrollo de capacidad para el acceso y la participación en los beneficios. Todos los seminarios web se enumeran en el anexo del presente documento, y sus grabaciones están disponibles en el </w:t>
      </w:r>
      <w:bookmarkStart w:id="6" w:name="_Hlk240965624"/>
      <w:r w:rsidRPr="006B118E">
        <w:rPr>
          <w:lang w:val="es-ES_tradnl"/>
        </w:rPr>
        <w:t>Centro de Intercambio de Información</w:t>
      </w:r>
      <w:bookmarkEnd w:id="6"/>
      <w:r w:rsidRPr="006B118E">
        <w:rPr>
          <w:lang w:val="es-ES_tradnl"/>
        </w:rPr>
        <w:t>.</w:t>
      </w:r>
    </w:p>
    <w:p w14:paraId="0BF7B064" w14:textId="6B365C7A" w:rsidR="008C04DA" w:rsidRPr="006B118E" w:rsidRDefault="008C04DA" w:rsidP="008C04DA">
      <w:pPr>
        <w:pStyle w:val="CBDNormalNumber"/>
        <w:numPr>
          <w:ilvl w:val="0"/>
          <w:numId w:val="8"/>
        </w:numPr>
        <w:rPr>
          <w:lang w:val="es-ES_tradnl"/>
        </w:rPr>
      </w:pPr>
      <w:r w:rsidRPr="006B118E">
        <w:rPr>
          <w:lang w:val="es-ES_tradnl"/>
        </w:rPr>
        <w:t>La Secretaría también lanzó un proyecto destinado a proporcionar pequeñas subvenciones para apoyar el acceso y la participación en los beneficios, que constan de tres componentes: comunicación de procedimientos fáciles de usar, mejora de los sistemas de información y los procedimientos operativos estándar y desarrollo y aplicación de protocolos comunitarios.</w:t>
      </w:r>
    </w:p>
    <w:p w14:paraId="3836AA4B" w14:textId="1F869C19" w:rsidR="008C04DA" w:rsidRPr="006B118E" w:rsidRDefault="008C04DA" w:rsidP="008C04DA">
      <w:pPr>
        <w:pStyle w:val="CBDNormalNumber"/>
        <w:numPr>
          <w:ilvl w:val="0"/>
          <w:numId w:val="8"/>
        </w:numPr>
        <w:rPr>
          <w:lang w:val="es-ES_tradnl"/>
        </w:rPr>
      </w:pPr>
      <w:r w:rsidRPr="006B118E">
        <w:rPr>
          <w:lang w:val="es-ES_tradnl"/>
        </w:rPr>
        <w:t xml:space="preserve">El primer componente del proyecto, sobre comunicación de procedimientos fáciles de usar para el acceso y la participación en los beneficios, se está ejecutando en colaboración con el </w:t>
      </w:r>
      <w:bookmarkStart w:id="7" w:name="_Hlk240966134"/>
      <w:r w:rsidRPr="006B118E">
        <w:rPr>
          <w:lang w:val="es-ES_tradnl"/>
        </w:rPr>
        <w:t>German Nagoya Protocol HuB</w:t>
      </w:r>
      <w:bookmarkEnd w:id="7"/>
      <w:r w:rsidRPr="006B118E">
        <w:rPr>
          <w:lang w:val="es-ES_tradnl"/>
        </w:rPr>
        <w:t>, acogido por el Leibniz Institute DSMZ, con financiación proporcionada por el Fondo del Japón para la Diversidad Biológica. El proyecto apoya a 10 países</w:t>
      </w:r>
      <w:r w:rsidRPr="006B118E">
        <w:rPr>
          <w:rStyle w:val="Refdenotaalpie"/>
          <w:lang w:val="es-ES_tradnl"/>
        </w:rPr>
        <w:footnoteReference w:id="5"/>
      </w:r>
      <w:r w:rsidRPr="006B118E">
        <w:rPr>
          <w:lang w:val="es-ES_tradnl"/>
        </w:rPr>
        <w:t>, seleccionados sobre la base de una presentación de expresiones de interés, en la comunicación de los procedimientos nacionales de una manera clara, normalizada y accesible para el acceso tanto comercial como no comercial a los recursos genéticos y los conocimientos tradicionales asociados por medio de la elaboración de guías. Las guías, diseñadas específicamente para los usuarios, se publicarán en el Centro de Intercambio de Información sobre Acceso y Participación en los Beneficios, y los resultados, las lecciones aprendidas y las experiencias del proyecto también se compartirán y difundirán ampliamente</w:t>
      </w:r>
      <w:r w:rsidRPr="006B118E">
        <w:rPr>
          <w:rStyle w:val="Refdenotaalpie"/>
          <w:lang w:val="es-ES_tradnl"/>
        </w:rPr>
        <w:footnoteReference w:id="6"/>
      </w:r>
      <w:r w:rsidRPr="006B118E">
        <w:rPr>
          <w:lang w:val="es-ES_tradnl"/>
        </w:rPr>
        <w:t>.</w:t>
      </w:r>
    </w:p>
    <w:p w14:paraId="242FE167" w14:textId="77777777" w:rsidR="008C04DA" w:rsidRPr="006B118E" w:rsidRDefault="008C04DA" w:rsidP="008C04DA">
      <w:pPr>
        <w:pStyle w:val="CBDNormalNumber"/>
        <w:numPr>
          <w:ilvl w:val="0"/>
          <w:numId w:val="8"/>
        </w:numPr>
        <w:rPr>
          <w:lang w:val="es-ES_tradnl"/>
        </w:rPr>
      </w:pPr>
      <w:r w:rsidRPr="006B118E">
        <w:rPr>
          <w:lang w:val="es-ES_tradnl"/>
        </w:rPr>
        <w:t>Tras la identificación de obstáculos operacionales relacionados con las modalidades de aplicación de las actividades financiadas con subvenciones, se están revisando los componentes restantes del proyecto, que se centran en el desarrollo de protocolos comunitarios y la mejora de los sistemas de información sobre acceso y participación en los beneficios, y se están explorando enfoques alternativos para apoyar su aplicación durante el siguiente período entre sesiones.</w:t>
      </w:r>
    </w:p>
    <w:p w14:paraId="5BE7044F" w14:textId="5255781A" w:rsidR="008C04DA" w:rsidRPr="006B118E" w:rsidRDefault="008C04DA" w:rsidP="008C04DA">
      <w:pPr>
        <w:pStyle w:val="CBDNormalNumber"/>
        <w:rPr>
          <w:lang w:val="es-ES_tradnl"/>
        </w:rPr>
      </w:pPr>
      <w:r w:rsidRPr="006B118E">
        <w:rPr>
          <w:lang w:val="es-ES_tradnl"/>
        </w:rPr>
        <w:t xml:space="preserve">Asimismo, el Programa de las Naciones Unidas para el Medio Ambiente, la Secretaría del Fondo para el Medio Ambiente Mundial y la Secretaría del Convenio sobre la Diversidad Biológica colaboraron en la ejecución de un proyecto financiado por el Fondo para el Medio Ambiente Mundial </w:t>
      </w:r>
      <w:bookmarkStart w:id="9" w:name="_Hlk240966822"/>
      <w:r w:rsidRPr="006B118E">
        <w:rPr>
          <w:lang w:val="es-ES_tradnl"/>
        </w:rPr>
        <w:t xml:space="preserve">a fin de apoyar la preparación del primer informe nacional sobre la aplicación del Protocolo de Nagoya. </w:t>
      </w:r>
      <w:bookmarkEnd w:id="9"/>
      <w:r w:rsidRPr="006B118E">
        <w:rPr>
          <w:lang w:val="es-ES_tradnl"/>
        </w:rPr>
        <w:t xml:space="preserve">El proyecto incluía la convocatoria de un taller en línea de iniciación a nivel mundial celebrado en agosto de 2025 y una serie de talleres presenciales de carácter regional celebrados entre noviembre de 2025 y enero de 2026 </w:t>
      </w:r>
      <w:r w:rsidR="00270517" w:rsidRPr="006B118E">
        <w:rPr>
          <w:lang w:val="es-ES_tradnl"/>
        </w:rPr>
        <w:t xml:space="preserve">a fin de </w:t>
      </w:r>
      <w:r w:rsidRPr="006B118E">
        <w:rPr>
          <w:lang w:val="es-ES_tradnl"/>
        </w:rPr>
        <w:t>proporcionar a las Partes apoyo técnico para redactar sus inform</w:t>
      </w:r>
      <w:r w:rsidR="00270517" w:rsidRPr="006B118E">
        <w:rPr>
          <w:lang w:val="es-ES_tradnl"/>
        </w:rPr>
        <w:t>e</w:t>
      </w:r>
      <w:r w:rsidRPr="006B118E">
        <w:rPr>
          <w:lang w:val="es-ES_tradnl"/>
        </w:rPr>
        <w:t>s nacionales. Un miembro del personal de la Secretaría familiarizado con el Protocolo y con el Centro de Intercambio de Información sobre Acceso y Participación en los Beneficios participó en cada taller.</w:t>
      </w:r>
    </w:p>
    <w:p w14:paraId="489D2703" w14:textId="77777777" w:rsidR="008C04DA" w:rsidRPr="006B118E" w:rsidRDefault="008C04DA" w:rsidP="008C04DA">
      <w:pPr>
        <w:pStyle w:val="CBDH2"/>
        <w:rPr>
          <w:lang w:val="es-ES_tradnl"/>
        </w:rPr>
      </w:pPr>
      <w:r w:rsidRPr="006B118E">
        <w:rPr>
          <w:lang w:val="es-ES_tradnl"/>
        </w:rPr>
        <w:t>B.</w:t>
      </w:r>
      <w:r w:rsidRPr="006B118E">
        <w:rPr>
          <w:lang w:val="es-ES_tradnl"/>
        </w:rPr>
        <w:tab/>
        <w:t>Progresos realizados por las Partes en la aplicación de los artículos 22 y 21 del Protocolo de Nagoya</w:t>
      </w:r>
    </w:p>
    <w:p w14:paraId="4FEE6F89" w14:textId="77777777" w:rsidR="008C04DA" w:rsidRPr="006B118E" w:rsidRDefault="008C04DA" w:rsidP="008C04DA">
      <w:pPr>
        <w:pStyle w:val="CBDNormalNumber"/>
        <w:numPr>
          <w:ilvl w:val="0"/>
          <w:numId w:val="8"/>
        </w:numPr>
        <w:rPr>
          <w:lang w:val="es-ES_tradnl"/>
        </w:rPr>
      </w:pPr>
      <w:r w:rsidRPr="006B118E">
        <w:rPr>
          <w:lang w:val="es-ES_tradnl"/>
        </w:rPr>
        <w:t>La segunda evaluación y revisión de la eficacia del Protocolo de Nagoya comprendía una evaluación del apoyo disponible para la aplicación en el contexto del artículo 22 del Protocolo, sobre capacidad, y de los progresos realizados en la aplicación del artículo 21, sobre concienciación.</w:t>
      </w:r>
    </w:p>
    <w:p w14:paraId="0939C59F" w14:textId="501A7C7A" w:rsidR="008C04DA" w:rsidRPr="006B118E" w:rsidRDefault="008C04DA" w:rsidP="008C04DA">
      <w:pPr>
        <w:pStyle w:val="CBDNormalNumber"/>
        <w:numPr>
          <w:ilvl w:val="0"/>
          <w:numId w:val="8"/>
        </w:numPr>
        <w:rPr>
          <w:lang w:val="es-ES_tradnl"/>
        </w:rPr>
      </w:pPr>
      <w:r w:rsidRPr="006B118E">
        <w:rPr>
          <w:lang w:val="es-ES_tradnl"/>
        </w:rPr>
        <w:t xml:space="preserve">A fin de respaldar las conclusiones relativas a la creación y desarrollo de capacidad, la Secretaría preparó un análisis del apoyo a la creación y desarrollo de capacidad disponible para la </w:t>
      </w:r>
      <w:r w:rsidRPr="006B118E">
        <w:rPr>
          <w:lang w:val="es-ES_tradnl"/>
        </w:rPr>
        <w:lastRenderedPageBreak/>
        <w:t>aplicación del Protocolo de Nagoya en el documento </w:t>
      </w:r>
      <w:hyperlink r:id="rId22" w:history="1">
        <w:r w:rsidRPr="006B118E">
          <w:rPr>
            <w:rStyle w:val="Hipervnculo"/>
            <w:lang w:val="es-ES_tradnl"/>
          </w:rPr>
          <w:t>CBD/SBI/7/INF/6</w:t>
        </w:r>
      </w:hyperlink>
      <w:r w:rsidRPr="006B118E">
        <w:rPr>
          <w:lang w:val="es-ES_tradnl"/>
        </w:rPr>
        <w:t>, y presentó los resultados en un seminario web celebrado el 19 de mayo de 2026</w:t>
      </w:r>
      <w:r w:rsidRPr="006B118E">
        <w:rPr>
          <w:rStyle w:val="Refdenotaalpie"/>
          <w:lang w:val="es-ES_tradnl"/>
        </w:rPr>
        <w:footnoteReference w:id="7"/>
      </w:r>
      <w:r w:rsidRPr="006B118E">
        <w:rPr>
          <w:lang w:val="es-ES_tradnl"/>
        </w:rPr>
        <w:t>. El documento ofrece un resumen del apoyo, los proyectos, las iniciativas, las herramientas y los recursos en materia de creación de capacidad de que disponen las Partes a nivel mundial, regional y nacional. Pone de relieve las contribuciones significativas de los países, las organizaciones internacionales, los asociados para el desarrollo y las iniciativas regionales para fortalecer la aplicación del Protocolo y, además, identifica las necesidades actuales de un apoyo a la creación de capacidad más coordinado, sostenible y a largo plazo, en particular en los países en desarrollo, los pequeños Estados insulares en desarrollo y los países con economías en transición.</w:t>
      </w:r>
    </w:p>
    <w:p w14:paraId="085F18FE" w14:textId="77777777" w:rsidR="008C04DA" w:rsidRPr="006B118E" w:rsidRDefault="008C04DA" w:rsidP="008C04DA">
      <w:pPr>
        <w:pStyle w:val="CBDNormalNumber"/>
        <w:numPr>
          <w:ilvl w:val="0"/>
          <w:numId w:val="8"/>
        </w:numPr>
        <w:rPr>
          <w:lang w:val="es-ES_tradnl"/>
        </w:rPr>
      </w:pPr>
      <w:r w:rsidRPr="006B118E">
        <w:rPr>
          <w:lang w:val="es-ES_tradnl"/>
        </w:rPr>
        <w:t xml:space="preserve">Como se le pidió, el </w:t>
      </w:r>
      <w:bookmarkStart w:id="10" w:name="_Hlk240971098"/>
      <w:r w:rsidRPr="006B118E">
        <w:rPr>
          <w:lang w:val="es-ES_tradnl"/>
        </w:rPr>
        <w:t>Comité</w:t>
      </w:r>
      <w:bookmarkEnd w:id="10"/>
      <w:r w:rsidRPr="006B118E">
        <w:rPr>
          <w:lang w:val="es-ES_tradnl"/>
        </w:rPr>
        <w:t xml:space="preserve"> </w:t>
      </w:r>
      <w:bookmarkStart w:id="11" w:name="_Hlk240972168"/>
      <w:r w:rsidRPr="006B118E">
        <w:rPr>
          <w:lang w:val="es-ES_tradnl"/>
        </w:rPr>
        <w:t>Asesor Oficioso sobre la Creación de Capacidad para la Aplicación del Protocolo de Nagoya</w:t>
      </w:r>
      <w:bookmarkEnd w:id="11"/>
      <w:r w:rsidRPr="006B118E">
        <w:rPr>
          <w:lang w:val="es-ES_tradnl"/>
        </w:rPr>
        <w:t xml:space="preserve"> hizo aportaciones a la segunda evaluación y revisión en su sexta reunión, que se celebró del 1 y al 4 de junio de 2026 en Montreal (Canadá). De conformidad con la asignación de tareas, y a partir de la nota de la Secretaría sobre el análisis de la información para la segunda evaluación y revisión de la eficacia del Protocolo</w:t>
      </w:r>
      <w:r w:rsidRPr="006B118E">
        <w:rPr>
          <w:rStyle w:val="Refdenotaalpie"/>
          <w:lang w:val="es-ES_tradnl"/>
        </w:rPr>
        <w:footnoteReference w:id="8"/>
      </w:r>
      <w:r w:rsidRPr="006B118E">
        <w:rPr>
          <w:lang w:val="es-ES_tradnl"/>
        </w:rPr>
        <w:t>, el Comité evaluó los progresos realizados en relación con el apoyo disponible para la aplicación del Protocolo de Nagoya (artículo 22) y la concienciación (artículo 21) y los datos actualizados de los indicadores pertinentes</w:t>
      </w:r>
      <w:r w:rsidRPr="006B118E">
        <w:rPr>
          <w:rStyle w:val="Refdenotaalpie"/>
          <w:lang w:val="es-ES_tradnl"/>
        </w:rPr>
        <w:footnoteReference w:id="9"/>
      </w:r>
      <w:r w:rsidRPr="006B118E">
        <w:rPr>
          <w:lang w:val="es-ES_tradnl"/>
        </w:rPr>
        <w:t>, los desafíos y sus causas originales y posibles maneras de mejorar la aplicación.</w:t>
      </w:r>
    </w:p>
    <w:p w14:paraId="434E6C8A" w14:textId="77777777" w:rsidR="008C04DA" w:rsidRPr="006B118E" w:rsidRDefault="008C04DA" w:rsidP="008C04DA">
      <w:pPr>
        <w:pStyle w:val="CBDNormalNumber"/>
        <w:numPr>
          <w:ilvl w:val="0"/>
          <w:numId w:val="8"/>
        </w:numPr>
        <w:rPr>
          <w:lang w:val="es-ES_tradnl"/>
        </w:rPr>
      </w:pPr>
      <w:r w:rsidRPr="006B118E">
        <w:rPr>
          <w:lang w:val="es-ES_tradnl"/>
        </w:rPr>
        <w:t xml:space="preserve"> Las aportaciones y conclusiones del Comité Asesor Oficioso </w:t>
      </w:r>
      <w:bookmarkStart w:id="12" w:name="_Hlk240978022"/>
      <w:r w:rsidRPr="006B118E">
        <w:rPr>
          <w:lang w:val="es-ES_tradnl"/>
        </w:rPr>
        <w:t>sobre la Creación de Capacidad para la Aplicación del Protocolo de Nagoya</w:t>
      </w:r>
      <w:bookmarkEnd w:id="12"/>
      <w:r w:rsidRPr="006B118E">
        <w:rPr>
          <w:lang w:val="es-ES_tradnl"/>
        </w:rPr>
        <w:t xml:space="preserve"> se incluyen en el informe de su sexta reunión</w:t>
      </w:r>
      <w:r w:rsidRPr="006B118E">
        <w:rPr>
          <w:rStyle w:val="Refdenotaalpie"/>
          <w:lang w:val="es-ES_tradnl"/>
        </w:rPr>
        <w:footnoteReference w:id="10"/>
      </w:r>
      <w:r w:rsidRPr="006B118E">
        <w:rPr>
          <w:lang w:val="es-ES_tradnl"/>
        </w:rPr>
        <w:t>, y sus resultados y mensajes clave se presentaron ante el Órgano Subsidiario sobre la Aplicación en el documento </w:t>
      </w:r>
      <w:hyperlink r:id="rId23" w:history="1">
        <w:r w:rsidRPr="006B118E">
          <w:rPr>
            <w:rStyle w:val="Hipervnculo"/>
            <w:lang w:val="es-ES_tradnl"/>
          </w:rPr>
          <w:t>CBD/SBI/7/7</w:t>
        </w:r>
      </w:hyperlink>
      <w:r w:rsidRPr="006B118E">
        <w:rPr>
          <w:lang w:val="es-ES_tradnl"/>
        </w:rPr>
        <w:t xml:space="preserve">. En su séptima reunión, el </w:t>
      </w:r>
      <w:bookmarkStart w:id="13" w:name="_Hlk240969616"/>
      <w:r w:rsidRPr="006B118E">
        <w:rPr>
          <w:lang w:val="es-ES_tradnl"/>
        </w:rPr>
        <w:t xml:space="preserve">Órgano Subsidiario sobre la Aplicación </w:t>
      </w:r>
      <w:bookmarkEnd w:id="13"/>
      <w:r w:rsidRPr="006B118E">
        <w:rPr>
          <w:lang w:val="es-ES_tradnl"/>
        </w:rPr>
        <w:t>consideró el documento y adoptó la recomendación </w:t>
      </w:r>
      <w:hyperlink r:id="rId24" w:history="1">
        <w:r w:rsidRPr="006B118E">
          <w:rPr>
            <w:rStyle w:val="Hipervnculo"/>
            <w:lang w:val="es-ES_tradnl"/>
          </w:rPr>
          <w:t>7/6</w:t>
        </w:r>
      </w:hyperlink>
      <w:r w:rsidRPr="006B118E">
        <w:rPr>
          <w:lang w:val="es-ES_tradnl"/>
        </w:rPr>
        <w:t>, que contiene recomendaciones sobre creación y desarrollo de capacidad y concienciación en el apartado B.I.</w:t>
      </w:r>
    </w:p>
    <w:p w14:paraId="32A6C0AD" w14:textId="77777777" w:rsidR="008C04DA" w:rsidRPr="006B118E" w:rsidRDefault="008C04DA" w:rsidP="008C04DA">
      <w:pPr>
        <w:pStyle w:val="CBDH1"/>
        <w:rPr>
          <w:lang w:val="es-ES_tradnl"/>
        </w:rPr>
      </w:pPr>
      <w:r w:rsidRPr="006B118E">
        <w:rPr>
          <w:lang w:val="es-ES_tradnl"/>
        </w:rPr>
        <w:t>III.</w:t>
      </w:r>
      <w:r w:rsidRPr="006B118E">
        <w:rPr>
          <w:lang w:val="es-ES_tradnl"/>
        </w:rPr>
        <w:tab/>
        <w:t xml:space="preserve"> Centro de Intercambio de Información sobre Acceso y Participación en los Beneficios e intercambio de información</w:t>
      </w:r>
    </w:p>
    <w:p w14:paraId="423A7ED2" w14:textId="77777777" w:rsidR="008C04DA" w:rsidRPr="006B118E" w:rsidRDefault="008C04DA" w:rsidP="008C04DA">
      <w:pPr>
        <w:pStyle w:val="CBDNormalNumber"/>
        <w:numPr>
          <w:ilvl w:val="0"/>
          <w:numId w:val="8"/>
        </w:numPr>
        <w:rPr>
          <w:lang w:val="es-ES_tradnl"/>
        </w:rPr>
      </w:pPr>
      <w:r w:rsidRPr="006B118E">
        <w:rPr>
          <w:lang w:val="es-ES_tradnl"/>
        </w:rPr>
        <w:t xml:space="preserve">El Centro de Intercambio de Información sobre Acceso y Participación en los Beneficios se estableció en virtud del artículo 14, párrafo 1, del Protocolo de Nagoya, como parte del mecanismo de facilitación recogido en el artículo 18, párrafo 3, del Convenio sobre la Diversidad Biológica. El propósito del Centro de Intercambio de Información es facilitar el intercambio de información sobre acceso y participación en los beneficios y apoyar la aplicación del Protocolo. Se puede acceder al Centro a través de </w:t>
      </w:r>
      <w:hyperlink r:id="rId25" w:history="1">
        <w:r w:rsidRPr="006B118E">
          <w:rPr>
            <w:rStyle w:val="Hipervnculo"/>
            <w:lang w:val="es-ES_tradnl"/>
          </w:rPr>
          <w:t>http://absch.cbd.int</w:t>
        </w:r>
      </w:hyperlink>
      <w:r w:rsidRPr="006B118E">
        <w:rPr>
          <w:lang w:val="es-ES_tradnl"/>
        </w:rPr>
        <w:t>.</w:t>
      </w:r>
    </w:p>
    <w:p w14:paraId="59200D30" w14:textId="77777777" w:rsidR="008C04DA" w:rsidRPr="006B118E" w:rsidRDefault="008C04DA" w:rsidP="008C04DA">
      <w:pPr>
        <w:pStyle w:val="CBDNormalNumber"/>
        <w:numPr>
          <w:ilvl w:val="0"/>
          <w:numId w:val="8"/>
        </w:numPr>
        <w:rPr>
          <w:lang w:val="es-ES_tradnl"/>
        </w:rPr>
      </w:pPr>
      <w:r w:rsidRPr="006B118E">
        <w:rPr>
          <w:lang w:val="es-ES_tradnl"/>
        </w:rPr>
        <w:t>En su decisión </w:t>
      </w:r>
      <w:hyperlink r:id="rId26" w:history="1">
        <w:r w:rsidRPr="006B118E">
          <w:rPr>
            <w:rStyle w:val="Hipervnculo"/>
            <w:lang w:val="es-ES_tradnl"/>
          </w:rPr>
          <w:t>NP-5/4</w:t>
        </w:r>
      </w:hyperlink>
      <w:r w:rsidRPr="006B118E">
        <w:rPr>
          <w:lang w:val="es-ES_tradnl"/>
        </w:rPr>
        <w:t xml:space="preserve">, la </w:t>
      </w:r>
      <w:bookmarkStart w:id="14" w:name="_Hlk240972044"/>
      <w:r w:rsidRPr="006B118E">
        <w:rPr>
          <w:lang w:val="es-ES_tradnl"/>
        </w:rPr>
        <w:t xml:space="preserve">Conferencia de las Partes que actúa como reunión de las Partes en el Protocolo de Nagoya </w:t>
      </w:r>
      <w:bookmarkEnd w:id="14"/>
      <w:r w:rsidRPr="006B118E">
        <w:rPr>
          <w:lang w:val="es-ES_tradnl"/>
        </w:rPr>
        <w:t>pidió a la Secretaria Ejecutiva que continuara desarrollando y administrando el Centro de Intercambio de Información sobre Acceso y Participación en los Beneficios, de conformidad con sus modalidades de funcionamiento, teniendo en cuenta cualquier comentario recibido, en particular de las Partes y del Comité Asesor Oficioso del Centro de Intercambio de Información sobre Acceso y Participación en los Beneficios, incluidos los objetivos y prioridades para avanzar en el desarrollo y la administración del Centro de Intercambio de Información por parte de la Secretaría, y la necesidad de continuar con la creación y el desarrollo de capacidad, y que proporcionara apoyo técnico y orientación a las Partes sobre cómo publicar y actualizar la información y cómo utilizar el Centro de Intercambio de Información de manera eficaz.</w:t>
      </w:r>
    </w:p>
    <w:p w14:paraId="3DA6CE8B" w14:textId="77777777" w:rsidR="008C04DA" w:rsidRPr="006B118E" w:rsidRDefault="008C04DA" w:rsidP="008C04DA">
      <w:pPr>
        <w:pStyle w:val="CBDNormalNumber"/>
        <w:numPr>
          <w:ilvl w:val="0"/>
          <w:numId w:val="8"/>
        </w:numPr>
        <w:rPr>
          <w:lang w:val="es-ES_tradnl"/>
        </w:rPr>
      </w:pPr>
      <w:r w:rsidRPr="006B118E">
        <w:rPr>
          <w:lang w:val="es-ES_tradnl"/>
        </w:rPr>
        <w:t xml:space="preserve">En la misma decisión, la Conferencia de las Partes que actúa como reunión de las Partes en el Protocolo de Nagoya también pidió a la Secretaria Ejecutiva que celebrara una reunión del Comité Asesor Oficioso del Centro de Intercambio de Información sobre Acceso y Participación en los </w:t>
      </w:r>
      <w:r w:rsidRPr="006B118E">
        <w:rPr>
          <w:lang w:val="es-ES_tradnl"/>
        </w:rPr>
        <w:lastRenderedPageBreak/>
        <w:t xml:space="preserve">Beneficios antes de la sexta reunión de la Conferencia de las Partes que actúa como reunión de las Partes en el Protocolo y, según fuera necesario, debates oficiosos en línea, e informara a la sexta reunión sobre los resultados de la labor del Comité. </w:t>
      </w:r>
    </w:p>
    <w:p w14:paraId="434E77BF" w14:textId="07225F3D" w:rsidR="008C04DA" w:rsidRPr="006B118E" w:rsidRDefault="008C04DA" w:rsidP="008C04DA">
      <w:pPr>
        <w:pStyle w:val="CBDNormalNumber"/>
        <w:numPr>
          <w:ilvl w:val="0"/>
          <w:numId w:val="8"/>
        </w:numPr>
        <w:rPr>
          <w:lang w:val="es-ES_tradnl"/>
        </w:rPr>
      </w:pPr>
      <w:r w:rsidRPr="006B118E">
        <w:rPr>
          <w:lang w:val="es-ES_tradnl"/>
        </w:rPr>
        <w:t xml:space="preserve">El </w:t>
      </w:r>
      <w:bookmarkStart w:id="15" w:name="_Hlk240971166"/>
      <w:r w:rsidRPr="006B118E">
        <w:rPr>
          <w:lang w:val="es-ES_tradnl"/>
        </w:rPr>
        <w:t xml:space="preserve">Comité Asesor Oficioso </w:t>
      </w:r>
      <w:bookmarkEnd w:id="15"/>
      <w:r w:rsidRPr="006B118E">
        <w:rPr>
          <w:lang w:val="es-ES_tradnl"/>
        </w:rPr>
        <w:t>del Centro de Intercambio de Información sobre Acceso y Participación en los Beneficios se estableció de conformidad con la decisión </w:t>
      </w:r>
      <w:hyperlink r:id="rId27" w:history="1">
        <w:r w:rsidRPr="006B118E">
          <w:rPr>
            <w:rStyle w:val="Hipervnculo"/>
            <w:lang w:val="es-ES_tradnl"/>
          </w:rPr>
          <w:t>NP-1/2</w:t>
        </w:r>
      </w:hyperlink>
      <w:r w:rsidRPr="006B118E">
        <w:rPr>
          <w:lang w:val="es-ES_tradnl"/>
        </w:rPr>
        <w:t>. Su mandato es asistir a</w:t>
      </w:r>
      <w:r w:rsidR="00EE2E01">
        <w:rPr>
          <w:lang w:val="es-ES_tradnl"/>
        </w:rPr>
        <w:t xml:space="preserve"> </w:t>
      </w:r>
      <w:r w:rsidRPr="006B118E">
        <w:rPr>
          <w:lang w:val="es-ES_tradnl"/>
        </w:rPr>
        <w:t>l</w:t>
      </w:r>
      <w:r w:rsidR="00EE2E01">
        <w:rPr>
          <w:lang w:val="es-ES_tradnl"/>
        </w:rPr>
        <w:t>a</w:t>
      </w:r>
      <w:r w:rsidRPr="006B118E">
        <w:rPr>
          <w:lang w:val="es-ES_tradnl"/>
        </w:rPr>
        <w:t xml:space="preserve"> Secretari</w:t>
      </w:r>
      <w:r w:rsidR="00EE2E01">
        <w:rPr>
          <w:lang w:val="es-ES_tradnl"/>
        </w:rPr>
        <w:t>a</w:t>
      </w:r>
      <w:r w:rsidRPr="006B118E">
        <w:rPr>
          <w:lang w:val="es-ES_tradnl"/>
        </w:rPr>
        <w:t xml:space="preserve"> Ejecutiv</w:t>
      </w:r>
      <w:r w:rsidR="00EE2E01">
        <w:rPr>
          <w:lang w:val="es-ES_tradnl"/>
        </w:rPr>
        <w:t>a</w:t>
      </w:r>
      <w:r w:rsidRPr="006B118E">
        <w:rPr>
          <w:lang w:val="es-ES_tradnl"/>
        </w:rPr>
        <w:t xml:space="preserve"> en la puesta en marcha del Centro de Intercambio de Información y brindar orientaciones técnicas respecto a la resolución de problemas técnicos y prácticos que surjan en su desarrollo continuo. La composición del Comité se anunció en la notificación núm. </w:t>
      </w:r>
      <w:hyperlink r:id="rId28" w:history="1">
        <w:r w:rsidRPr="006B118E">
          <w:rPr>
            <w:rStyle w:val="Hipervnculo"/>
            <w:lang w:val="es-ES_tradnl"/>
          </w:rPr>
          <w:t>2025-129</w:t>
        </w:r>
      </w:hyperlink>
      <w:r w:rsidRPr="006B118E">
        <w:rPr>
          <w:lang w:val="es-ES_tradnl"/>
        </w:rPr>
        <w:t xml:space="preserve"> de 7 de octubre de 2025. </w:t>
      </w:r>
    </w:p>
    <w:p w14:paraId="3454BEA4" w14:textId="77777777" w:rsidR="008C04DA" w:rsidRPr="006B118E" w:rsidRDefault="008C04DA" w:rsidP="008C04DA">
      <w:pPr>
        <w:pStyle w:val="CBDNormalNumber"/>
        <w:numPr>
          <w:ilvl w:val="0"/>
          <w:numId w:val="8"/>
        </w:numPr>
        <w:rPr>
          <w:lang w:val="es-ES_tradnl"/>
        </w:rPr>
      </w:pPr>
      <w:r w:rsidRPr="006B118E">
        <w:rPr>
          <w:lang w:val="es-ES_tradnl"/>
        </w:rPr>
        <w:t xml:space="preserve">Como se ha mencionado anteriormente, la segunda evaluación y revisión de la eficacia del Protocolo de Nagoya comprendía una revisión de la aplicación y funcionamiento del Centro de Intercambio de Información sobre Acceso y Participación en los Beneficios, de conformidad con el elemento g) enumerado en el anexo </w:t>
      </w:r>
      <w:bookmarkStart w:id="16" w:name="_Hlk240983692"/>
      <w:r w:rsidRPr="006B118E">
        <w:rPr>
          <w:lang w:val="es-ES_tradnl"/>
        </w:rPr>
        <w:t>de la decisión </w:t>
      </w:r>
      <w:hyperlink r:id="rId29" w:history="1">
        <w:r w:rsidRPr="006B118E">
          <w:rPr>
            <w:rStyle w:val="Hipervnculo"/>
            <w:lang w:val="es-ES_tradnl"/>
          </w:rPr>
          <w:t>NP-5/5</w:t>
        </w:r>
      </w:hyperlink>
      <w:bookmarkEnd w:id="16"/>
      <w:r w:rsidRPr="006B118E">
        <w:rPr>
          <w:lang w:val="es-ES_tradnl"/>
        </w:rPr>
        <w:t>, incluido el número de medidas sobre acceso y participación en los beneficios disponibles; el número de países que habían publicado información sobre sus autoridades nacionales competentes; el número de certificados de cumplimiento reconocidos internacionalmente que habían sido publicados; y el número de comunicados de los puntos de verificación publicados. Se preparó una serie de documentos a fin de presentar información sobre este proceso:</w:t>
      </w:r>
    </w:p>
    <w:p w14:paraId="322274C4" w14:textId="0CA9F4B4" w:rsidR="008C04DA" w:rsidRPr="006B118E" w:rsidRDefault="008C04DA" w:rsidP="00200D92">
      <w:pPr>
        <w:pStyle w:val="CBDNormalNumber"/>
        <w:numPr>
          <w:ilvl w:val="1"/>
          <w:numId w:val="7"/>
        </w:numPr>
        <w:rPr>
          <w:lang w:val="es-ES_tradnl"/>
        </w:rPr>
      </w:pPr>
      <w:r w:rsidRPr="006B118E">
        <w:rPr>
          <w:lang w:val="es-ES_tradnl"/>
        </w:rPr>
        <w:t>El documento </w:t>
      </w:r>
      <w:bookmarkStart w:id="17" w:name="_Hlk240976540"/>
      <w:r w:rsidRPr="006B118E">
        <w:rPr>
          <w:lang w:val="es-ES_tradnl"/>
        </w:rPr>
        <w:fldChar w:fldCharType="begin"/>
      </w:r>
      <w:r w:rsidRPr="006B118E">
        <w:rPr>
          <w:lang w:val="es-ES_tradnl"/>
        </w:rPr>
        <w:instrText>HYPERLINK "https://www.cbd.int/documents/CBD/SBI/7/INF/2"</w:instrText>
      </w:r>
      <w:r w:rsidRPr="006B118E">
        <w:rPr>
          <w:lang w:val="es-ES_tradnl"/>
        </w:rPr>
      </w:r>
      <w:r w:rsidRPr="006B118E">
        <w:rPr>
          <w:lang w:val="es-ES_tradnl"/>
        </w:rPr>
        <w:fldChar w:fldCharType="separate"/>
      </w:r>
      <w:r w:rsidRPr="006B118E">
        <w:rPr>
          <w:rStyle w:val="Hipervnculo"/>
          <w:lang w:val="es-ES_tradnl"/>
        </w:rPr>
        <w:t>CBD/SBI/7/INF/2</w:t>
      </w:r>
      <w:r w:rsidRPr="006B118E">
        <w:rPr>
          <w:lang w:val="es-ES_tradnl"/>
        </w:rPr>
        <w:fldChar w:fldCharType="end"/>
      </w:r>
      <w:bookmarkEnd w:id="17"/>
      <w:r w:rsidRPr="006B118E">
        <w:rPr>
          <w:lang w:val="es-ES_tradnl"/>
        </w:rPr>
        <w:t xml:space="preserve"> contiene un análisis de la información procedente de los informes nacionales presentados por las Partes en el Protocolo de Nagoya y del Centro de Intercambio de Información, entre otras fuentes. En el apartado III.G del documento figura una revisión de la aplicación y funcionamiento del Centro de Intercambio de Información, incluido un análisis de las respuestas de las Partes a las preguntas pertinentes de sus primeros informes nacionales;</w:t>
      </w:r>
    </w:p>
    <w:p w14:paraId="6EE65F36" w14:textId="77777777" w:rsidR="008C04DA" w:rsidRPr="006B118E" w:rsidRDefault="008C04DA" w:rsidP="008C04DA">
      <w:pPr>
        <w:pStyle w:val="CBDNormalNumber"/>
        <w:numPr>
          <w:ilvl w:val="1"/>
          <w:numId w:val="7"/>
        </w:numPr>
        <w:rPr>
          <w:lang w:val="es-ES_tradnl"/>
        </w:rPr>
      </w:pPr>
      <w:r w:rsidRPr="006B118E">
        <w:rPr>
          <w:lang w:val="es-ES_tradnl"/>
        </w:rPr>
        <w:t>El documento </w:t>
      </w:r>
      <w:hyperlink r:id="rId30" w:history="1">
        <w:r w:rsidRPr="006B118E">
          <w:rPr>
            <w:rStyle w:val="Hipervnculo"/>
            <w:lang w:val="es-ES_tradnl"/>
          </w:rPr>
          <w:t>CBD/SBI/7/INF/4</w:t>
        </w:r>
      </w:hyperlink>
      <w:r w:rsidRPr="006B118E">
        <w:rPr>
          <w:lang w:val="es-ES_tradnl"/>
        </w:rPr>
        <w:t xml:space="preserve"> proporciona un análisis de la información publicada en el Centro de Intercambio de Información, incluidas las tendencias y las ideas presentes en los diferentes tipos de registro;</w:t>
      </w:r>
    </w:p>
    <w:p w14:paraId="16DF9CEC" w14:textId="77777777" w:rsidR="008C04DA" w:rsidRPr="006B118E" w:rsidRDefault="008C04DA" w:rsidP="008C04DA">
      <w:pPr>
        <w:pStyle w:val="CBDNormalNumber"/>
        <w:numPr>
          <w:ilvl w:val="1"/>
          <w:numId w:val="7"/>
        </w:numPr>
        <w:rPr>
          <w:lang w:val="es-ES_tradnl"/>
        </w:rPr>
      </w:pPr>
      <w:r w:rsidRPr="006B118E">
        <w:rPr>
          <w:lang w:val="es-ES_tradnl"/>
        </w:rPr>
        <w:t>El documento </w:t>
      </w:r>
      <w:hyperlink r:id="rId31" w:history="1">
        <w:r w:rsidRPr="006B118E">
          <w:rPr>
            <w:rStyle w:val="Hipervnculo"/>
            <w:lang w:val="es-ES_tradnl"/>
          </w:rPr>
          <w:t>CBD/SBI/7/INF/5</w:t>
        </w:r>
      </w:hyperlink>
      <w:r w:rsidRPr="006B118E">
        <w:rPr>
          <w:lang w:val="es-ES_tradnl"/>
        </w:rPr>
        <w:t xml:space="preserve"> contiene un análisis de las respuestas a la encuesta selectiva elaborada para proporcionar comentarios sobre la aplicación y funcionamiento del Centro de Intercambio de Información</w:t>
      </w:r>
      <w:r w:rsidRPr="006B118E">
        <w:rPr>
          <w:rStyle w:val="Refdenotaalpie"/>
          <w:lang w:val="es-ES_tradnl"/>
        </w:rPr>
        <w:footnoteReference w:id="11"/>
      </w:r>
      <w:r w:rsidRPr="006B118E">
        <w:rPr>
          <w:lang w:val="es-ES_tradnl"/>
        </w:rPr>
        <w:t>. La encuesta admitió respuestas durante aproximadamente cuatro meses y se cerró el 31 de diciembre de 2025. La encuesta recibió un total de 112 respuestas de 60 países y permitió conocer la eficacia del Centro de Intercambio de Información y su papel crucial en la prestación de apoyo a la aplicación del Protocolo.</w:t>
      </w:r>
    </w:p>
    <w:p w14:paraId="1B93B86B" w14:textId="455ADC35" w:rsidR="008C04DA" w:rsidRPr="006B118E" w:rsidRDefault="008C04DA" w:rsidP="008C04DA">
      <w:pPr>
        <w:pStyle w:val="CBDNormalNumber"/>
        <w:numPr>
          <w:ilvl w:val="0"/>
          <w:numId w:val="8"/>
        </w:numPr>
        <w:rPr>
          <w:lang w:val="es-ES_tradnl"/>
        </w:rPr>
      </w:pPr>
      <w:r w:rsidRPr="006B118E">
        <w:rPr>
          <w:lang w:val="es-ES_tradnl"/>
        </w:rPr>
        <w:t>Los documentos </w:t>
      </w:r>
      <w:hyperlink r:id="rId32" w:history="1">
        <w:r w:rsidRPr="006B118E">
          <w:rPr>
            <w:rStyle w:val="Hipervnculo"/>
            <w:lang w:val="es-ES_tradnl"/>
          </w:rPr>
          <w:t>CBD/SBI/7/INF/4</w:t>
        </w:r>
      </w:hyperlink>
      <w:r w:rsidRPr="006B118E">
        <w:rPr>
          <w:lang w:val="es-ES_tradnl"/>
        </w:rPr>
        <w:t xml:space="preserve"> y </w:t>
      </w:r>
      <w:hyperlink r:id="rId33" w:history="1">
        <w:r w:rsidRPr="006B118E">
          <w:rPr>
            <w:rStyle w:val="Hipervnculo"/>
            <w:lang w:val="es-ES_tradnl"/>
          </w:rPr>
          <w:t>CBD/SBI/7/INF/5</w:t>
        </w:r>
      </w:hyperlink>
      <w:r w:rsidRPr="006B118E">
        <w:rPr>
          <w:lang w:val="es-ES_tradnl"/>
        </w:rPr>
        <w:t xml:space="preserve"> también se presentaron en un seminario web</w:t>
      </w:r>
      <w:r w:rsidRPr="006B118E">
        <w:rPr>
          <w:rStyle w:val="Refdenotaalpie"/>
          <w:lang w:val="es-ES_tradnl"/>
        </w:rPr>
        <w:footnoteReference w:id="12"/>
      </w:r>
      <w:r w:rsidRPr="006B118E">
        <w:rPr>
          <w:lang w:val="es-ES_tradnl"/>
        </w:rPr>
        <w:t xml:space="preserve"> celebrado el 20 de mayo de 2026. Las conclusiones de los tres documentos mencionados anteriormente se presentaron en el análisis de la información para la segunda evaluación y revisión de la eficacia del Protocolo de Nagoya</w:t>
      </w:r>
      <w:r w:rsidRPr="006B118E">
        <w:rPr>
          <w:rStyle w:val="Refdenotaalpie"/>
          <w:lang w:val="es-ES_tradnl"/>
        </w:rPr>
        <w:footnoteReference w:id="13"/>
      </w:r>
      <w:r w:rsidRPr="006B118E">
        <w:rPr>
          <w:lang w:val="es-ES_tradnl"/>
        </w:rPr>
        <w:t>, que incluye datos actualizados sobre el marco de indicadores incluido en el anexo II de la decisión </w:t>
      </w:r>
      <w:hyperlink r:id="rId34" w:history="1">
        <w:r w:rsidRPr="006B118E">
          <w:rPr>
            <w:rStyle w:val="Hipervnculo"/>
            <w:lang w:val="es-ES_tradnl"/>
          </w:rPr>
          <w:t>NP-3/1</w:t>
        </w:r>
      </w:hyperlink>
      <w:r w:rsidRPr="006B118E">
        <w:rPr>
          <w:lang w:val="es-ES_tradnl"/>
        </w:rPr>
        <w:t>.</w:t>
      </w:r>
    </w:p>
    <w:p w14:paraId="0D169A92" w14:textId="77777777" w:rsidR="008C04DA" w:rsidRPr="006B118E" w:rsidRDefault="008C04DA" w:rsidP="008C04DA">
      <w:pPr>
        <w:pStyle w:val="CBDNormalNumber"/>
        <w:numPr>
          <w:ilvl w:val="0"/>
          <w:numId w:val="8"/>
        </w:numPr>
        <w:rPr>
          <w:lang w:val="es-ES_tradnl"/>
        </w:rPr>
      </w:pPr>
      <w:r w:rsidRPr="006B118E">
        <w:rPr>
          <w:lang w:val="es-ES_tradnl"/>
        </w:rPr>
        <w:t xml:space="preserve">De conformidad con la asignación acordada de tareas, el Comité de Cumplimiento </w:t>
      </w:r>
      <w:bookmarkStart w:id="18" w:name="_Hlk240978803"/>
      <w:r w:rsidRPr="006B118E">
        <w:rPr>
          <w:lang w:val="es-ES_tradnl"/>
        </w:rPr>
        <w:t xml:space="preserve">establecido en el marco del Protocolo de Nagoya </w:t>
      </w:r>
      <w:bookmarkEnd w:id="18"/>
      <w:r w:rsidRPr="006B118E">
        <w:rPr>
          <w:lang w:val="es-ES_tradnl"/>
        </w:rPr>
        <w:t xml:space="preserve">sobre Acceso y Participación en los Beneficios proporcionó aportaciones sobre los progresos realizados en cuanto a la aplicación, las dificultades encontradas y las maneras de mejorar la aplicación del Protocolo de Nagoya con respecto a la publicación de registros nacionales en el Centro de Intercambio de Información sobre Acceso y Participación en los </w:t>
      </w:r>
      <w:r w:rsidRPr="006B118E">
        <w:rPr>
          <w:lang w:val="es-ES_tradnl"/>
        </w:rPr>
        <w:lastRenderedPageBreak/>
        <w:t xml:space="preserve">Beneficios; mientras que el </w:t>
      </w:r>
      <w:bookmarkStart w:id="19" w:name="_Hlk240978008"/>
      <w:r w:rsidRPr="006B118E">
        <w:rPr>
          <w:lang w:val="es-ES_tradnl"/>
        </w:rPr>
        <w:t>Comité Asesor Oficioso</w:t>
      </w:r>
      <w:bookmarkEnd w:id="19"/>
      <w:r w:rsidRPr="006B118E">
        <w:rPr>
          <w:lang w:val="es-ES_tradnl"/>
        </w:rPr>
        <w:t xml:space="preserve"> sobre la Creación de Capacidad para la Aplicación del Protocolo de Nagoya examinó la información relacionada con los registros de referencia. </w:t>
      </w:r>
    </w:p>
    <w:p w14:paraId="37348145" w14:textId="335AD2B6" w:rsidR="008C04DA" w:rsidRPr="006B118E" w:rsidRDefault="008C04DA" w:rsidP="008C04DA">
      <w:pPr>
        <w:pStyle w:val="CBDNormalNumber"/>
        <w:numPr>
          <w:ilvl w:val="0"/>
          <w:numId w:val="8"/>
        </w:numPr>
        <w:rPr>
          <w:lang w:val="es-ES_tradnl"/>
        </w:rPr>
      </w:pPr>
      <w:r w:rsidRPr="006B118E">
        <w:rPr>
          <w:lang w:val="es-ES_tradnl"/>
        </w:rPr>
        <w:t xml:space="preserve">Se presentaron al </w:t>
      </w:r>
      <w:bookmarkStart w:id="20" w:name="_Hlk240978538"/>
      <w:r w:rsidRPr="006B118E">
        <w:rPr>
          <w:lang w:val="es-ES_tradnl"/>
        </w:rPr>
        <w:t xml:space="preserve">Comité Asesor Oficioso del Centro de Intercambio de Información sobre Acceso y Participación en los Beneficios </w:t>
      </w:r>
      <w:bookmarkEnd w:id="20"/>
      <w:r w:rsidRPr="006B118E">
        <w:rPr>
          <w:lang w:val="es-ES_tradnl"/>
        </w:rPr>
        <w:t>los progresos realizados y los documentos y la información pertinentes resultantes de la segunda evaluación y revisión de la eficacia del Protocolo de Nagoya a través de dos sesiones preparatorias celebradas en línea el 10 de noviembre de 2025 y el 3 de febrero de 2026. Por otro lado, la Secretaria Ejecutiva preparó un informe sobre los progresos realizados con respecto al desarrollo y la administración del Centro de Intercambio de Información, que se proporcionó en el documento </w:t>
      </w:r>
      <w:hyperlink r:id="rId35" w:history="1">
        <w:r w:rsidRPr="006B118E">
          <w:rPr>
            <w:rStyle w:val="Hipervnculo"/>
            <w:lang w:val="es-ES_tradnl"/>
          </w:rPr>
          <w:t>CBD/NP/ABSCH-IAC/6/2</w:t>
        </w:r>
      </w:hyperlink>
      <w:r w:rsidRPr="006B118E">
        <w:rPr>
          <w:lang w:val="es-ES_tradnl"/>
        </w:rPr>
        <w:t>. El documento ofrece una sinopsis de los progresos realizados por la Secretaría en el desarrollo y la administración del Centro de Intercambio de Información desde noviembre de 2024 hasta abril de 2026.</w:t>
      </w:r>
    </w:p>
    <w:p w14:paraId="745010AD" w14:textId="77777777" w:rsidR="008C04DA" w:rsidRPr="006B118E" w:rsidRDefault="008C04DA" w:rsidP="008C04DA">
      <w:pPr>
        <w:pStyle w:val="CBDNormalNumber"/>
        <w:numPr>
          <w:ilvl w:val="0"/>
          <w:numId w:val="8"/>
        </w:numPr>
        <w:rPr>
          <w:lang w:val="es-ES_tradnl"/>
        </w:rPr>
      </w:pPr>
      <w:r w:rsidRPr="006B118E">
        <w:rPr>
          <w:lang w:val="es-ES_tradnl"/>
        </w:rPr>
        <w:t>El Comité Asesor Oficioso del Centro de Intercambio de Información sobre Acceso y Participación en los Beneficios celebró su sexta reunión en línea el 17 de junio de 2026. El informe de la reunión</w:t>
      </w:r>
      <w:r w:rsidRPr="006B118E">
        <w:rPr>
          <w:rStyle w:val="Refdenotaalpie"/>
          <w:lang w:val="es-ES_tradnl"/>
        </w:rPr>
        <w:footnoteReference w:id="14"/>
      </w:r>
      <w:r w:rsidRPr="006B118E">
        <w:rPr>
          <w:lang w:val="es-ES_tradnl"/>
        </w:rPr>
        <w:t xml:space="preserve"> incluye una lista revisada de objetivos y prioridades para la aplicación y administración futuras del Centro de Intercambio de Información sobre Acceso y Participación en los Beneficios, que tiene en cuenta la información pertinente preparada para la evaluación y revisión, así como las conclusiones y recomendaciones formuladas por el Comité de Cumplimiento establecido en el marco del Protocolo de Nagoya sobre Acceso y Participación en los Beneficios y el Comité Asesor Oficioso sobre la Creación de Capacidad para la Aplicación del Protocolo de Nagoya resultantes de la </w:t>
      </w:r>
      <w:bookmarkStart w:id="21" w:name="_Hlk240979066"/>
      <w:r w:rsidRPr="006B118E">
        <w:rPr>
          <w:lang w:val="es-ES_tradnl"/>
        </w:rPr>
        <w:t xml:space="preserve">segunda evaluación </w:t>
      </w:r>
      <w:bookmarkEnd w:id="21"/>
      <w:r w:rsidRPr="006B118E">
        <w:rPr>
          <w:lang w:val="es-ES_tradnl"/>
        </w:rPr>
        <w:t xml:space="preserve">y revisión en cuanto a las medidas para mejorar la aplicación del Protocolo con respecto al Centro de Intercambio de Información. </w:t>
      </w:r>
    </w:p>
    <w:p w14:paraId="3E9CAA2B" w14:textId="77777777" w:rsidR="008C04DA" w:rsidRPr="006B118E" w:rsidRDefault="008C04DA" w:rsidP="008C04DA">
      <w:pPr>
        <w:pStyle w:val="CBDNormalNumber"/>
        <w:numPr>
          <w:ilvl w:val="0"/>
          <w:numId w:val="8"/>
        </w:numPr>
        <w:rPr>
          <w:lang w:val="es-ES_tradnl"/>
        </w:rPr>
      </w:pPr>
      <w:r w:rsidRPr="006B118E">
        <w:rPr>
          <w:lang w:val="es-ES_tradnl"/>
        </w:rPr>
        <w:t>Finalmente, en su séptima reunión, el Órgano Subsidiario sobre la Aplicación consideró el documento </w:t>
      </w:r>
      <w:hyperlink r:id="rId36" w:history="1">
        <w:r w:rsidRPr="006B118E">
          <w:rPr>
            <w:rStyle w:val="Hipervnculo"/>
            <w:lang w:val="es-ES_tradnl"/>
          </w:rPr>
          <w:t>CBD/SBI/7/7</w:t>
        </w:r>
      </w:hyperlink>
      <w:r w:rsidRPr="006B118E">
        <w:rPr>
          <w:lang w:val="es-ES_tradnl"/>
        </w:rPr>
        <w:t>, sobre la segunda evaluación y revisión, y adoptó la recomendación </w:t>
      </w:r>
      <w:hyperlink r:id="rId37" w:history="1">
        <w:r w:rsidRPr="006B118E">
          <w:rPr>
            <w:rStyle w:val="Hipervnculo"/>
            <w:lang w:val="es-ES_tradnl"/>
          </w:rPr>
          <w:t>7/6</w:t>
        </w:r>
      </w:hyperlink>
      <w:r w:rsidRPr="006B118E">
        <w:rPr>
          <w:lang w:val="es-ES_tradnl"/>
        </w:rPr>
        <w:t>, que incluye recomendaciones sobre el Centro de Intercambio de Información sobre Acceso y Participación en los Beneficios e intercambio de información en el apartado B.II.</w:t>
      </w:r>
    </w:p>
    <w:p w14:paraId="1B390E10" w14:textId="77777777" w:rsidR="008C04DA" w:rsidRPr="006B118E" w:rsidDel="00475EF8" w:rsidRDefault="008C04DA" w:rsidP="008C04DA">
      <w:pPr>
        <w:pStyle w:val="CBDH1"/>
        <w:rPr>
          <w:lang w:val="es-ES_tradnl"/>
        </w:rPr>
      </w:pPr>
      <w:r w:rsidRPr="006B118E">
        <w:rPr>
          <w:lang w:val="es-ES_tradnl"/>
        </w:rPr>
        <w:t>IV.</w:t>
      </w:r>
      <w:r w:rsidRPr="006B118E">
        <w:rPr>
          <w:lang w:val="es-ES_tradnl"/>
        </w:rPr>
        <w:tab/>
        <w:t>El Protocolo de Nagoya en el contexto del Marco Mundial de Biodiversidad de Kunming-Montreal</w:t>
      </w:r>
    </w:p>
    <w:p w14:paraId="76DD3880" w14:textId="77777777" w:rsidR="008C04DA" w:rsidRPr="006B118E" w:rsidRDefault="008C04DA" w:rsidP="008C04DA">
      <w:pPr>
        <w:pStyle w:val="CBDNormalNumber"/>
        <w:numPr>
          <w:ilvl w:val="0"/>
          <w:numId w:val="8"/>
        </w:numPr>
        <w:rPr>
          <w:lang w:val="es-ES_tradnl"/>
        </w:rPr>
      </w:pPr>
      <w:r w:rsidRPr="006B118E">
        <w:rPr>
          <w:lang w:val="es-ES_tradnl"/>
        </w:rPr>
        <w:t>Dado que la aplicación del Protocolo de Nagoya contribuye directamente a la consecución del objetivo C y la meta 13 del Marco Mundial de Biodiversidad de Kunming-Montreal, la información generada a través del proceso de evaluación y revisión también es pertinente para la revisión mundial de los progresos colectivos en la implementación del Marco.</w:t>
      </w:r>
    </w:p>
    <w:p w14:paraId="1FCD8BA6" w14:textId="77777777" w:rsidR="008C04DA" w:rsidRPr="006B118E" w:rsidRDefault="008C04DA" w:rsidP="008C04DA">
      <w:pPr>
        <w:pStyle w:val="CBDNormalNumber"/>
        <w:numPr>
          <w:ilvl w:val="0"/>
          <w:numId w:val="8"/>
        </w:numPr>
        <w:rPr>
          <w:lang w:val="es-ES_tradnl"/>
        </w:rPr>
      </w:pPr>
      <w:r w:rsidRPr="006B118E">
        <w:rPr>
          <w:lang w:val="es-ES_tradnl"/>
        </w:rPr>
        <w:t>En la decisión </w:t>
      </w:r>
      <w:hyperlink r:id="rId38" w:history="1">
        <w:bookmarkStart w:id="22" w:name="_Hlk240981404"/>
        <w:r w:rsidRPr="006B118E">
          <w:rPr>
            <w:rStyle w:val="Hipervnculo"/>
            <w:lang w:val="es-ES_tradnl"/>
          </w:rPr>
          <w:t>NP-3/4</w:t>
        </w:r>
        <w:bookmarkEnd w:id="22"/>
      </w:hyperlink>
      <w:r w:rsidRPr="006B118E">
        <w:rPr>
          <w:lang w:val="es-ES_tradnl"/>
        </w:rPr>
        <w:t xml:space="preserve">, </w:t>
      </w:r>
      <w:bookmarkStart w:id="23" w:name="_Hlk240981886"/>
      <w:r w:rsidRPr="006B118E">
        <w:rPr>
          <w:lang w:val="es-ES_tradnl"/>
        </w:rPr>
        <w:t xml:space="preserve">la Conferencia de las Partes que actúa como reunión de las Partes en el Protocolo de Nagoya </w:t>
      </w:r>
      <w:bookmarkEnd w:id="23"/>
      <w:r w:rsidRPr="006B118E">
        <w:rPr>
          <w:lang w:val="es-ES_tradnl"/>
        </w:rPr>
        <w:t>aceptó la invitación de la Conferencia de las Partes en el Convenio sobre la Diversidad Biológica que figura en la decisión </w:t>
      </w:r>
      <w:hyperlink r:id="rId39" w:history="1">
        <w:r w:rsidRPr="006B118E">
          <w:rPr>
            <w:rStyle w:val="Hipervnculo"/>
            <w:lang w:val="es-ES_tradnl"/>
          </w:rPr>
          <w:t>14/27</w:t>
        </w:r>
      </w:hyperlink>
      <w:r w:rsidRPr="006B118E">
        <w:rPr>
          <w:lang w:val="es-ES_tradnl"/>
        </w:rPr>
        <w:t xml:space="preserve"> y acordó tener un ciclo sincronizado de presentación de los informes nacionales a partir de 2023. Como consecuencia, el plazo de presentación del primer informe nacional de conformidad con el Protocolo y el séptimo informe nacional en virtud del Convenio finalizaba el mismo día, el 28 de febrero de 2026. </w:t>
      </w:r>
    </w:p>
    <w:p w14:paraId="2B73309A" w14:textId="77777777" w:rsidR="008C04DA" w:rsidRPr="006B118E" w:rsidRDefault="008C04DA" w:rsidP="008C04DA">
      <w:pPr>
        <w:pStyle w:val="CBDNormalNumber"/>
        <w:numPr>
          <w:ilvl w:val="0"/>
          <w:numId w:val="8"/>
        </w:numPr>
        <w:rPr>
          <w:lang w:val="es-ES_tradnl"/>
        </w:rPr>
      </w:pPr>
      <w:r w:rsidRPr="006B118E">
        <w:rPr>
          <w:lang w:val="es-ES_tradnl"/>
        </w:rPr>
        <w:t>Por medio de su decisión </w:t>
      </w:r>
      <w:hyperlink r:id="rId40" w:history="1">
        <w:r w:rsidRPr="006B118E">
          <w:rPr>
            <w:rStyle w:val="Hipervnculo"/>
            <w:lang w:val="es-ES_tradnl"/>
          </w:rPr>
          <w:t>15/5</w:t>
        </w:r>
      </w:hyperlink>
      <w:r w:rsidRPr="006B118E">
        <w:rPr>
          <w:lang w:val="es-ES_tradnl"/>
        </w:rPr>
        <w:t>, la Conferencia de las Partes en el Convenio adoptó el marco de seguimiento para el Marco Mundial de Biodiversidad de Kunming-Montreal. El marco de seguimiento consta de indicadores de cabecera, binarios, de componentes y complementarios, que forman la base de la plantilla para el séptimo informe nacional presentado en virtud del Convenio que figura en el anexo I de la decisión </w:t>
      </w:r>
      <w:hyperlink r:id="rId41" w:history="1">
        <w:r w:rsidRPr="006B118E">
          <w:rPr>
            <w:rStyle w:val="Hipervnculo"/>
            <w:lang w:val="es-ES_tradnl"/>
          </w:rPr>
          <w:t>16/32</w:t>
        </w:r>
      </w:hyperlink>
      <w:r w:rsidRPr="006B118E">
        <w:rPr>
          <w:lang w:val="es-ES_tradnl"/>
        </w:rPr>
        <w:t>. La Conferencia de las Partes que actúa como reunión de las Partes en el Protocolo adoptó el formato y las directrices para la presentación del primer informe nacional sobre la aplicación del Protocolo de Nagoya en la decisión </w:t>
      </w:r>
      <w:hyperlink r:id="rId42" w:history="1">
        <w:r w:rsidRPr="006B118E">
          <w:rPr>
            <w:rStyle w:val="Hipervnculo"/>
            <w:lang w:val="es-ES_tradnl"/>
          </w:rPr>
          <w:t>NP-4/3</w:t>
        </w:r>
      </w:hyperlink>
      <w:r w:rsidRPr="006B118E">
        <w:rPr>
          <w:lang w:val="es-ES_tradnl"/>
        </w:rPr>
        <w:t>.</w:t>
      </w:r>
    </w:p>
    <w:p w14:paraId="7D1C60DA" w14:textId="114191BC" w:rsidR="008C04DA" w:rsidRPr="006B118E" w:rsidRDefault="008C04DA" w:rsidP="008C04DA">
      <w:pPr>
        <w:pStyle w:val="CBDNormalNumber"/>
        <w:numPr>
          <w:ilvl w:val="0"/>
          <w:numId w:val="8"/>
        </w:numPr>
        <w:rPr>
          <w:lang w:val="es-ES_tradnl"/>
        </w:rPr>
      </w:pPr>
      <w:r w:rsidRPr="006B118E">
        <w:rPr>
          <w:lang w:val="es-ES_tradnl"/>
        </w:rPr>
        <w:lastRenderedPageBreak/>
        <w:t>Los informes nacionales proporcionaron información para la segunda evaluación y revisión de la eficacia del Protocolo de Nagoya y la revisión mundial de los progresos colectivos en la implementación del Marco Mundial de Biodiversidad de Kunming-Montreal, respectivamente, de conformidad con las metodologías acordadas</w:t>
      </w:r>
      <w:r w:rsidRPr="006B118E">
        <w:rPr>
          <w:rStyle w:val="Refdenotaalpie"/>
          <w:lang w:val="es-ES_tradnl"/>
        </w:rPr>
        <w:footnoteReference w:id="15"/>
      </w:r>
      <w:r w:rsidRPr="006B118E">
        <w:rPr>
          <w:lang w:val="es-ES_tradnl"/>
        </w:rPr>
        <w:t>.</w:t>
      </w:r>
    </w:p>
    <w:p w14:paraId="44BC9464" w14:textId="20BE0E68" w:rsidR="008C04DA" w:rsidRPr="006B118E" w:rsidRDefault="008C04DA" w:rsidP="008C04DA">
      <w:pPr>
        <w:pStyle w:val="CBDNormalNumber"/>
        <w:numPr>
          <w:ilvl w:val="0"/>
          <w:numId w:val="8"/>
        </w:numPr>
        <w:rPr>
          <w:lang w:val="es-ES_tradnl"/>
        </w:rPr>
      </w:pPr>
      <w:r w:rsidRPr="006B118E">
        <w:rPr>
          <w:lang w:val="es-ES_tradnl"/>
        </w:rPr>
        <w:t xml:space="preserve">Se les pidió a las Partes en el Convenio y a las Partes en el Protocolo de Nagoya que, tanto en el primer informe nacional </w:t>
      </w:r>
      <w:r w:rsidR="0093545F" w:rsidRPr="006B118E">
        <w:rPr>
          <w:lang w:val="es-ES_tradnl"/>
        </w:rPr>
        <w:t xml:space="preserve">presentado de conformidad </w:t>
      </w:r>
      <w:r w:rsidRPr="006B118E">
        <w:rPr>
          <w:lang w:val="es-ES_tradnl"/>
        </w:rPr>
        <w:t xml:space="preserve">con </w:t>
      </w:r>
      <w:r w:rsidR="0093545F" w:rsidRPr="006B118E">
        <w:rPr>
          <w:lang w:val="es-ES_tradnl"/>
        </w:rPr>
        <w:t>e</w:t>
      </w:r>
      <w:r w:rsidRPr="006B118E">
        <w:rPr>
          <w:lang w:val="es-ES_tradnl"/>
        </w:rPr>
        <w:t xml:space="preserve">l Protocolo como en el séptimo informe nacional </w:t>
      </w:r>
      <w:r w:rsidR="0093545F" w:rsidRPr="006B118E">
        <w:rPr>
          <w:lang w:val="es-ES_tradnl"/>
        </w:rPr>
        <w:t xml:space="preserve">presentado </w:t>
      </w:r>
      <w:r w:rsidRPr="006B118E">
        <w:rPr>
          <w:lang w:val="es-ES_tradnl"/>
        </w:rPr>
        <w:t>en virtud del Convenio, comunicaran los beneficios monetarios y no monetarios recibidos.</w:t>
      </w:r>
    </w:p>
    <w:p w14:paraId="11958A49" w14:textId="238221F2" w:rsidR="008C04DA" w:rsidRPr="006B118E" w:rsidRDefault="008C04DA" w:rsidP="008C04DA">
      <w:pPr>
        <w:pStyle w:val="CBDNormalNumber"/>
        <w:numPr>
          <w:ilvl w:val="0"/>
          <w:numId w:val="8"/>
        </w:numPr>
        <w:rPr>
          <w:lang w:val="es-ES_tradnl"/>
        </w:rPr>
      </w:pPr>
      <w:r w:rsidRPr="006B118E">
        <w:rPr>
          <w:lang w:val="es-ES_tradnl"/>
        </w:rPr>
        <w:t>Se proporcionó al Órgano Subsidiario de Asesoramiento Científico, Técnico y Tecnológico una versión revisada del proyecto de informe mundial sobre los progresos colectivos en la implementación del Marco Mundial de Biodiversidad de Kunming-Montreal</w:t>
      </w:r>
      <w:r w:rsidRPr="006B118E">
        <w:rPr>
          <w:rStyle w:val="Refdenotaalpie"/>
          <w:lang w:val="es-ES_tradnl"/>
        </w:rPr>
        <w:footnoteReference w:id="16"/>
      </w:r>
      <w:r w:rsidRPr="006B118E">
        <w:rPr>
          <w:lang w:val="es-ES_tradnl"/>
        </w:rPr>
        <w:t>, y se presentará una versión final del informe mundial en la 17ª reunión de la Conferencia de las Partes en el Convenio. Incluye un análisis de las metas nacionales relacionadas con la meta 13, de los indicadores utilizados para evaluar los progresos en la consecución de la meta 13 y el objetivo C, incluidos los de participación en los beneficios monetarios y no monetarios, y de las medidas, los éxitos y las dificultades en relación con la implementación. El resumen, las conclusiones y los mensajes principales de la revisión mundial también se pusieron a disposición de los órganos subsidiarios con mandato</w:t>
      </w:r>
      <w:r w:rsidRPr="006B118E">
        <w:rPr>
          <w:rStyle w:val="Refdenotaalpie"/>
          <w:lang w:val="es-ES_tradnl"/>
        </w:rPr>
        <w:footnoteReference w:id="17"/>
      </w:r>
      <w:r w:rsidRPr="006B118E">
        <w:rPr>
          <w:lang w:val="es-ES_tradnl"/>
        </w:rPr>
        <w:t>.</w:t>
      </w:r>
    </w:p>
    <w:p w14:paraId="30E6D0B6" w14:textId="56402DA9" w:rsidR="008C04DA" w:rsidRPr="006B118E" w:rsidRDefault="008C04DA" w:rsidP="008C04DA">
      <w:pPr>
        <w:pStyle w:val="CBDNormalNumber"/>
        <w:numPr>
          <w:ilvl w:val="0"/>
          <w:numId w:val="8"/>
        </w:numPr>
        <w:rPr>
          <w:lang w:val="es-ES_tradnl"/>
        </w:rPr>
      </w:pPr>
      <w:r w:rsidRPr="006B118E">
        <w:rPr>
          <w:lang w:val="es-ES_tradnl"/>
        </w:rPr>
        <w:t>En la segunda evaluación y revisión también se abordaron los indicadores sobre los beneficios monetarios y no monetarios recibidos como parte del elemento b)</w:t>
      </w:r>
      <w:r w:rsidRPr="006B118E">
        <w:rPr>
          <w:rStyle w:val="Refdenotaalpie"/>
          <w:lang w:val="es-ES_tradnl"/>
        </w:rPr>
        <w:footnoteReference w:id="18"/>
      </w:r>
      <w:r w:rsidRPr="006B118E">
        <w:rPr>
          <w:lang w:val="es-ES_tradnl"/>
        </w:rPr>
        <w:t xml:space="preserve"> enumerado en el anexo de la decisión </w:t>
      </w:r>
      <w:hyperlink r:id="rId43" w:history="1">
        <w:r w:rsidRPr="006B118E">
          <w:rPr>
            <w:rStyle w:val="Hipervnculo"/>
            <w:lang w:val="es-ES_tradnl"/>
          </w:rPr>
          <w:t>NP-5/5</w:t>
        </w:r>
      </w:hyperlink>
      <w:r w:rsidRPr="006B118E">
        <w:rPr>
          <w:lang w:val="es-ES_tradnl"/>
        </w:rPr>
        <w:t>. El análisis sobre los beneficios incluyó información extraída de los séptimos informes nacionales presentados en virtud del Convenio por las Partes en el Protocolo de Nagoya. Los resultados y mensajes clave a este respecto figuran en el anexo I del documento </w:t>
      </w:r>
      <w:hyperlink r:id="rId44" w:history="1">
        <w:r w:rsidRPr="006B118E">
          <w:rPr>
            <w:rStyle w:val="Hipervnculo"/>
            <w:lang w:val="es-ES_tradnl"/>
          </w:rPr>
          <w:t>CBD/SBI/7/7</w:t>
        </w:r>
      </w:hyperlink>
      <w:r w:rsidRPr="006B118E">
        <w:rPr>
          <w:lang w:val="es-ES_tradnl"/>
        </w:rPr>
        <w:t>, en la sección titulada “Elemento</w:t>
      </w:r>
      <w:r w:rsidR="0093545F" w:rsidRPr="006B118E">
        <w:rPr>
          <w:lang w:val="es-ES_tradnl"/>
        </w:rPr>
        <w:t> </w:t>
      </w:r>
      <w:r w:rsidRPr="006B118E">
        <w:rPr>
          <w:lang w:val="es-ES_tradnl"/>
        </w:rPr>
        <w:t>b): evaluación de la eficacia”.</w:t>
      </w:r>
    </w:p>
    <w:p w14:paraId="21E1A6D1" w14:textId="77777777" w:rsidR="008C04DA" w:rsidRPr="006B118E" w:rsidRDefault="008C04DA" w:rsidP="008C04DA">
      <w:pPr>
        <w:pStyle w:val="CBDNormalNumber"/>
        <w:numPr>
          <w:ilvl w:val="0"/>
          <w:numId w:val="8"/>
        </w:numPr>
        <w:rPr>
          <w:lang w:val="es-ES_tradnl"/>
        </w:rPr>
      </w:pPr>
      <w:r w:rsidRPr="006B118E">
        <w:rPr>
          <w:lang w:val="es-ES_tradnl"/>
        </w:rPr>
        <w:t>Se proporciona información adicional y actualizada sobre participación en los beneficios en un documento de información</w:t>
      </w:r>
      <w:r w:rsidRPr="006B118E">
        <w:rPr>
          <w:rStyle w:val="Refdenotaalpie"/>
          <w:lang w:val="es-ES_tradnl"/>
        </w:rPr>
        <w:footnoteReference w:id="19"/>
      </w:r>
      <w:r w:rsidRPr="006B118E">
        <w:rPr>
          <w:lang w:val="es-ES_tradnl"/>
        </w:rPr>
        <w:t>. En dicho documento figura información consolidada procedente de los informes presentados en virtud del Protocolo de Nagoya y el Convenio por las Partes en el Protocolo, así como información proveniente de la metodología mundial para la recopilación de datos sobre el indicador de cabecera C.2 del marco de seguimiento para el Marco Mundial de Biodiversidad de Kunming-Montreal. El indicador de cabecera C.2 aborda los beneficios no monetarios derivados de instrumentos internacionales aplicables de acceso y participación en los beneficios</w:t>
      </w:r>
      <w:r w:rsidRPr="006B118E">
        <w:rPr>
          <w:rStyle w:val="Refdenotaalpie"/>
          <w:lang w:val="es-ES_tradnl"/>
        </w:rPr>
        <w:footnoteReference w:id="20"/>
      </w:r>
      <w:r w:rsidRPr="006B118E">
        <w:rPr>
          <w:lang w:val="es-ES_tradnl"/>
        </w:rPr>
        <w:t>.</w:t>
      </w:r>
    </w:p>
    <w:p w14:paraId="68C96B74" w14:textId="77777777" w:rsidR="008C04DA" w:rsidRPr="006B118E" w:rsidRDefault="008C04DA" w:rsidP="008C04DA">
      <w:pPr>
        <w:pStyle w:val="CBDNormalNumber"/>
        <w:numPr>
          <w:ilvl w:val="0"/>
          <w:numId w:val="8"/>
        </w:numPr>
        <w:rPr>
          <w:lang w:val="es-ES_tradnl"/>
        </w:rPr>
      </w:pPr>
      <w:r w:rsidRPr="006B118E">
        <w:rPr>
          <w:lang w:val="es-ES_tradnl"/>
        </w:rPr>
        <w:t xml:space="preserve">Sobre la base de las recomendaciones de los órganos subsidiarios con mandato, la Conferencia de las Partes en el Convenio decidió que la revisión mundial culminaría con una o más decisiones de la Conferencia de las Partes, incluidas, según fuera necesario, cualesquiera recomendaciones para identificar y hacer frente a las dificultades para los progresos colectivos en la implementación, incluido en relación con los medios de implementación, en particular para las Partes que son países en desarrollo, con miras a alcanzar las metas y los objetivos del Marco Mundial de Biodiversidad de </w:t>
      </w:r>
      <w:r w:rsidRPr="006B118E">
        <w:rPr>
          <w:lang w:val="es-ES_tradnl"/>
        </w:rPr>
        <w:lastRenderedPageBreak/>
        <w:t>Kunming-Montreal</w:t>
      </w:r>
      <w:r w:rsidRPr="006B118E">
        <w:rPr>
          <w:rStyle w:val="Refdenotaalpie"/>
          <w:lang w:val="es-ES_tradnl"/>
        </w:rPr>
        <w:footnoteReference w:id="21"/>
      </w:r>
      <w:r w:rsidRPr="006B118E">
        <w:rPr>
          <w:lang w:val="es-ES_tradnl"/>
        </w:rPr>
        <w:t>. Estas se someterán a la consideración de la Conferencia de las Partes en su 17ª reunión, en relación con el tema 9 del programa.</w:t>
      </w:r>
    </w:p>
    <w:p w14:paraId="122C1E94" w14:textId="77777777" w:rsidR="008C04DA" w:rsidRPr="006B118E" w:rsidRDefault="008C04DA" w:rsidP="008C04DA">
      <w:pPr>
        <w:pStyle w:val="CBDNormalNumber"/>
        <w:numPr>
          <w:ilvl w:val="0"/>
          <w:numId w:val="8"/>
        </w:numPr>
        <w:rPr>
          <w:lang w:val="es-ES_tradnl"/>
        </w:rPr>
      </w:pPr>
      <w:r w:rsidRPr="006B118E">
        <w:rPr>
          <w:lang w:val="es-ES_tradnl"/>
        </w:rPr>
        <w:t>En su séptima reunión, el Órgano Subsidiario sobre la Aplicación adoptó la recomendación </w:t>
      </w:r>
      <w:hyperlink r:id="rId45" w:history="1">
        <w:r w:rsidRPr="006B118E">
          <w:rPr>
            <w:rStyle w:val="Hipervnculo"/>
            <w:lang w:val="es-ES_tradnl"/>
          </w:rPr>
          <w:t>7/6</w:t>
        </w:r>
      </w:hyperlink>
      <w:r w:rsidRPr="006B118E">
        <w:rPr>
          <w:lang w:val="es-ES_tradnl"/>
        </w:rPr>
        <w:t>, sobre la segunda evaluación y revisión, que incluye recomendaciones sobre el Protocolo de Nagoya en el contexto del Marco Mundial de Biodiversidad de Kunming-Montreal en el apartado B.III.</w:t>
      </w:r>
    </w:p>
    <w:p w14:paraId="419DDAA6" w14:textId="7A703FB0" w:rsidR="008C04DA" w:rsidRPr="006B118E" w:rsidRDefault="008C04DA" w:rsidP="008C04DA">
      <w:pPr>
        <w:pStyle w:val="CBDH1"/>
        <w:rPr>
          <w:lang w:val="es-ES_tradnl"/>
        </w:rPr>
      </w:pPr>
      <w:r w:rsidRPr="006B118E">
        <w:rPr>
          <w:lang w:val="es-ES_tradnl"/>
        </w:rPr>
        <w:t>V.</w:t>
      </w:r>
      <w:r w:rsidRPr="006B118E">
        <w:rPr>
          <w:lang w:val="es-ES_tradnl"/>
        </w:rPr>
        <w:tab/>
        <w:t>Cuestiones para su consideración</w:t>
      </w:r>
    </w:p>
    <w:p w14:paraId="5FD9E5B3" w14:textId="77777777" w:rsidR="008C04DA" w:rsidRPr="006B118E" w:rsidRDefault="008C04DA" w:rsidP="008C04DA">
      <w:pPr>
        <w:pStyle w:val="CBDNormalNumber"/>
        <w:numPr>
          <w:ilvl w:val="0"/>
          <w:numId w:val="8"/>
        </w:numPr>
        <w:rPr>
          <w:lang w:val="es-ES_tradnl"/>
        </w:rPr>
      </w:pPr>
      <w:r w:rsidRPr="006B118E">
        <w:rPr>
          <w:lang w:val="es-ES_tradnl"/>
        </w:rPr>
        <w:t>Como se ha señalado en las secciones anteriores, las cuestiones relacionadas con la creación y desarrollo de capacidad y concienciación, el Centro de Intercambio de Información sobre Acceso y Participación en los Beneficios y el Protocolo de Nagoya en el contexto del Marco Mundial de Biodiversidad de Kunming-Montreal se consideraron durante la segunda evaluación y revisión de la eficacia del Protocolo.</w:t>
      </w:r>
    </w:p>
    <w:p w14:paraId="454DE43C" w14:textId="38EBFC73" w:rsidR="008C04DA" w:rsidRPr="006B118E" w:rsidRDefault="008C04DA" w:rsidP="008C04DA">
      <w:pPr>
        <w:pStyle w:val="CBDNormalNumber"/>
        <w:numPr>
          <w:ilvl w:val="0"/>
          <w:numId w:val="8"/>
        </w:numPr>
        <w:rPr>
          <w:lang w:val="es-ES_tradnl"/>
        </w:rPr>
      </w:pPr>
      <w:r w:rsidRPr="006B118E">
        <w:rPr>
          <w:lang w:val="es-ES_tradnl"/>
        </w:rPr>
        <w:t>El Órgano Subsidiario sobre la Aplicación consideró los resultados de ese proceso en su séptima reunión, que culminó con la recomendación </w:t>
      </w:r>
      <w:hyperlink r:id="rId46" w:history="1">
        <w:r w:rsidRPr="006B118E">
          <w:rPr>
            <w:rStyle w:val="Hipervnculo"/>
            <w:lang w:val="es-ES_tradnl"/>
          </w:rPr>
          <w:t>7/6</w:t>
        </w:r>
      </w:hyperlink>
      <w:r w:rsidRPr="006B118E">
        <w:rPr>
          <w:lang w:val="es-ES_tradnl"/>
        </w:rPr>
        <w:t>, donde figuran elementos de un proyecto de decisión sobre la mejora de la aplicación del Protocolo de Nagoya, incluidos en la sección B. En consecuencia, no se proponen elementos adicionales para el proyecto de decisión en el presente documento.</w:t>
      </w:r>
    </w:p>
    <w:p w14:paraId="5839B454" w14:textId="77777777" w:rsidR="008C04DA" w:rsidRPr="006B118E" w:rsidRDefault="008C04DA" w:rsidP="008C04DA">
      <w:pPr>
        <w:pStyle w:val="CBDNormalNumber"/>
        <w:numPr>
          <w:ilvl w:val="0"/>
          <w:numId w:val="8"/>
        </w:numPr>
        <w:rPr>
          <w:lang w:val="es-ES_tradnl"/>
        </w:rPr>
      </w:pPr>
      <w:r w:rsidRPr="006B118E">
        <w:rPr>
          <w:lang w:val="es-ES_tradnl"/>
        </w:rPr>
        <w:t>En su sexta reunión, la Conferencia de las Partes que actúa como reunión de las Partes en el Protocolo de Nagoya podría estimar oportuno considerar el proyecto de decisión incluido en la recopilación de proyectos de decisión, sobre la base de la recomendación </w:t>
      </w:r>
      <w:hyperlink r:id="rId47" w:history="1">
        <w:r w:rsidRPr="006B118E">
          <w:rPr>
            <w:rStyle w:val="Hipervnculo"/>
            <w:lang w:val="es-ES_tradnl"/>
          </w:rPr>
          <w:t>7/6</w:t>
        </w:r>
      </w:hyperlink>
      <w:r w:rsidRPr="006B118E">
        <w:rPr>
          <w:lang w:val="es-ES_tradnl"/>
        </w:rPr>
        <w:t>, con miras a su adopción.</w:t>
      </w:r>
    </w:p>
    <w:p w14:paraId="6C927F34" w14:textId="69960AA0" w:rsidR="00AA7725" w:rsidRPr="006B118E" w:rsidRDefault="00AA7725" w:rsidP="00AA7725">
      <w:pPr>
        <w:pStyle w:val="Para1"/>
        <w:numPr>
          <w:ilvl w:val="0"/>
          <w:numId w:val="0"/>
        </w:numPr>
        <w:ind w:left="567"/>
        <w:jc w:val="center"/>
      </w:pPr>
    </w:p>
    <w:p w14:paraId="5AE76D2E" w14:textId="77777777" w:rsidR="00CD7C07" w:rsidRPr="006B118E" w:rsidRDefault="00CD7C07" w:rsidP="00975047">
      <w:pPr>
        <w:pStyle w:val="Para1"/>
        <w:numPr>
          <w:ilvl w:val="0"/>
          <w:numId w:val="0"/>
        </w:numPr>
        <w:ind w:left="567"/>
        <w:jc w:val="center"/>
        <w:sectPr w:rsidR="00CD7C07" w:rsidRPr="006B118E" w:rsidSect="00447F4A">
          <w:headerReference w:type="even" r:id="rId48"/>
          <w:headerReference w:type="default" r:id="rId49"/>
          <w:footerReference w:type="even" r:id="rId50"/>
          <w:footerReference w:type="default" r:id="rId51"/>
          <w:pgSz w:w="12240" w:h="15840"/>
          <w:pgMar w:top="567" w:right="1440" w:bottom="1134" w:left="1440" w:header="709" w:footer="709" w:gutter="0"/>
          <w:cols w:space="708"/>
          <w:titlePg/>
          <w:docGrid w:linePitch="360"/>
        </w:sectPr>
      </w:pPr>
    </w:p>
    <w:p w14:paraId="63E46D27" w14:textId="77777777" w:rsidR="008C04DA" w:rsidRPr="006B118E" w:rsidRDefault="008C04DA" w:rsidP="00DC1360">
      <w:pPr>
        <w:pStyle w:val="CBDAnnex"/>
        <w:rPr>
          <w:bdr w:val="none" w:sz="0" w:space="0" w:color="auto" w:frame="1"/>
          <w:lang w:val="es-ES_tradnl"/>
        </w:rPr>
      </w:pPr>
      <w:r w:rsidRPr="006B118E">
        <w:rPr>
          <w:bdr w:val="none" w:sz="0" w:space="0" w:color="auto" w:frame="1"/>
          <w:lang w:val="es-ES_tradnl"/>
        </w:rPr>
        <w:lastRenderedPageBreak/>
        <w:t>Anexo</w:t>
      </w:r>
    </w:p>
    <w:p w14:paraId="4D3C660E" w14:textId="73E37889" w:rsidR="008C04DA" w:rsidRPr="006B118E" w:rsidRDefault="008C04DA" w:rsidP="008C04DA">
      <w:pPr>
        <w:pStyle w:val="CBDTitle"/>
        <w:rPr>
          <w:lang w:val="es-ES_tradnl"/>
        </w:rPr>
      </w:pPr>
      <w:r w:rsidRPr="006B118E">
        <w:rPr>
          <w:lang w:val="es-ES_tradnl"/>
        </w:rPr>
        <w:t>Seminarios web sobre creación y desarrollo de capacidad organizados por la Secretaría durante el período 2025/2026</w:t>
      </w:r>
    </w:p>
    <w:tbl>
      <w:tblPr>
        <w:tblW w:w="12463" w:type="dxa"/>
        <w:tblInd w:w="715" w:type="dxa"/>
        <w:tblLook w:val="04A0" w:firstRow="1" w:lastRow="0" w:firstColumn="1" w:lastColumn="0" w:noHBand="0" w:noVBand="1"/>
      </w:tblPr>
      <w:tblGrid>
        <w:gridCol w:w="1260"/>
        <w:gridCol w:w="7943"/>
        <w:gridCol w:w="3260"/>
      </w:tblGrid>
      <w:tr w:rsidR="008C04DA" w:rsidRPr="006B118E" w14:paraId="73C3C19B" w14:textId="77777777" w:rsidTr="00DC1360">
        <w:trPr>
          <w:trHeight w:val="290"/>
          <w:tblHeader/>
        </w:trPr>
        <w:tc>
          <w:tcPr>
            <w:tcW w:w="1260"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DFCC544"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i/>
                <w:iCs/>
                <w:sz w:val="18"/>
                <w:szCs w:val="18"/>
              </w:rPr>
            </w:pPr>
            <w:r w:rsidRPr="006B118E">
              <w:rPr>
                <w:rFonts w:asciiTheme="majorBidi" w:hAnsiTheme="majorBidi"/>
                <w:i/>
                <w:sz w:val="18"/>
              </w:rPr>
              <w:t>Fecha</w:t>
            </w:r>
          </w:p>
        </w:tc>
        <w:tc>
          <w:tcPr>
            <w:tcW w:w="7943" w:type="dxa"/>
            <w:tcBorders>
              <w:top w:val="single" w:sz="4" w:space="0" w:color="auto"/>
              <w:left w:val="nil"/>
              <w:bottom w:val="single" w:sz="4" w:space="0" w:color="auto"/>
              <w:right w:val="single" w:sz="4" w:space="0" w:color="auto"/>
            </w:tcBorders>
            <w:shd w:val="clear" w:color="auto" w:fill="FFFFFF" w:themeFill="background1"/>
            <w:hideMark/>
          </w:tcPr>
          <w:p w14:paraId="552885E3"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i/>
                <w:iCs/>
                <w:sz w:val="18"/>
                <w:szCs w:val="18"/>
              </w:rPr>
            </w:pPr>
            <w:r w:rsidRPr="006B118E">
              <w:rPr>
                <w:rFonts w:asciiTheme="majorBidi" w:hAnsiTheme="majorBidi"/>
                <w:i/>
                <w:sz w:val="18"/>
                <w:szCs w:val="18"/>
              </w:rPr>
              <w:t>Tema (enlace de la grabación)</w:t>
            </w:r>
          </w:p>
        </w:tc>
        <w:tc>
          <w:tcPr>
            <w:tcW w:w="3260" w:type="dxa"/>
            <w:tcBorders>
              <w:top w:val="single" w:sz="4" w:space="0" w:color="auto"/>
              <w:left w:val="nil"/>
              <w:bottom w:val="single" w:sz="4" w:space="0" w:color="auto"/>
              <w:right w:val="single" w:sz="4" w:space="0" w:color="auto"/>
            </w:tcBorders>
            <w:shd w:val="clear" w:color="auto" w:fill="FFFFFF" w:themeFill="background1"/>
            <w:hideMark/>
          </w:tcPr>
          <w:p w14:paraId="0EA53A8C"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i/>
                <w:iCs/>
                <w:sz w:val="18"/>
                <w:szCs w:val="18"/>
              </w:rPr>
            </w:pPr>
            <w:r w:rsidRPr="006B118E">
              <w:rPr>
                <w:rFonts w:asciiTheme="majorBidi" w:hAnsiTheme="majorBidi"/>
                <w:i/>
                <w:sz w:val="18"/>
                <w:szCs w:val="18"/>
              </w:rPr>
              <w:t>Organizadores</w:t>
            </w:r>
          </w:p>
        </w:tc>
      </w:tr>
      <w:tr w:rsidR="008C04DA" w:rsidRPr="006B118E" w14:paraId="0A3BA613" w14:textId="77777777" w:rsidTr="00DC1360">
        <w:trPr>
          <w:trHeight w:val="290"/>
        </w:trPr>
        <w:tc>
          <w:tcPr>
            <w:tcW w:w="1260" w:type="dxa"/>
            <w:tcBorders>
              <w:top w:val="nil"/>
              <w:left w:val="single" w:sz="4" w:space="0" w:color="auto"/>
              <w:bottom w:val="single" w:sz="4" w:space="0" w:color="auto"/>
              <w:right w:val="single" w:sz="4" w:space="0" w:color="auto"/>
            </w:tcBorders>
            <w:noWrap/>
            <w:hideMark/>
          </w:tcPr>
          <w:p w14:paraId="37E752B7"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29 de enero de 2025</w:t>
            </w:r>
          </w:p>
        </w:tc>
        <w:tc>
          <w:tcPr>
            <w:tcW w:w="7943" w:type="dxa"/>
            <w:tcBorders>
              <w:top w:val="nil"/>
              <w:left w:val="nil"/>
              <w:bottom w:val="single" w:sz="4" w:space="0" w:color="auto"/>
              <w:right w:val="single" w:sz="4" w:space="0" w:color="auto"/>
            </w:tcBorders>
            <w:hideMark/>
          </w:tcPr>
          <w:p w14:paraId="405D169D"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52" w:history="1">
              <w:r w:rsidRPr="006B118E">
                <w:rPr>
                  <w:rFonts w:asciiTheme="majorBidi" w:hAnsiTheme="majorBidi"/>
                  <w:color w:val="467886"/>
                  <w:sz w:val="18"/>
                  <w:szCs w:val="18"/>
                  <w:u w:val="single"/>
                </w:rPr>
                <w:t>Propósito de Año Nuevo:</w:t>
              </w:r>
            </w:hyperlink>
            <w:hyperlink r:id="rId53" w:history="1">
              <w:r w:rsidRPr="006B118E">
                <w:rPr>
                  <w:rFonts w:asciiTheme="majorBidi" w:hAnsiTheme="majorBidi"/>
                  <w:color w:val="467886"/>
                  <w:sz w:val="18"/>
                  <w:szCs w:val="18"/>
                  <w:u w:val="single"/>
                </w:rPr>
                <w:t xml:space="preserve"> Conocer los fundamentos del Centro de Intercambio de Información del APA (inglés)</w:t>
              </w:r>
            </w:hyperlink>
          </w:p>
        </w:tc>
        <w:tc>
          <w:tcPr>
            <w:tcW w:w="3260" w:type="dxa"/>
            <w:tcBorders>
              <w:top w:val="nil"/>
              <w:left w:val="nil"/>
              <w:bottom w:val="single" w:sz="4" w:space="0" w:color="auto"/>
              <w:right w:val="single" w:sz="4" w:space="0" w:color="auto"/>
            </w:tcBorders>
            <w:hideMark/>
          </w:tcPr>
          <w:p w14:paraId="4E396099"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sz w:val="18"/>
                <w:szCs w:val="18"/>
              </w:rPr>
            </w:pPr>
            <w:r w:rsidRPr="006B118E">
              <w:rPr>
                <w:rFonts w:asciiTheme="majorBidi" w:hAnsiTheme="majorBidi"/>
                <w:sz w:val="18"/>
                <w:szCs w:val="18"/>
              </w:rPr>
              <w:t>Secretaría del Convenio sobre la Diversidad Biológica</w:t>
            </w:r>
          </w:p>
        </w:tc>
      </w:tr>
      <w:tr w:rsidR="008C04DA" w:rsidRPr="006B118E" w14:paraId="47954D3A" w14:textId="77777777" w:rsidTr="00DC1360">
        <w:trPr>
          <w:trHeight w:val="290"/>
        </w:trPr>
        <w:tc>
          <w:tcPr>
            <w:tcW w:w="1260" w:type="dxa"/>
            <w:tcBorders>
              <w:top w:val="nil"/>
              <w:left w:val="single" w:sz="4" w:space="0" w:color="auto"/>
              <w:bottom w:val="single" w:sz="4" w:space="0" w:color="auto"/>
              <w:right w:val="single" w:sz="4" w:space="0" w:color="auto"/>
            </w:tcBorders>
            <w:noWrap/>
            <w:hideMark/>
          </w:tcPr>
          <w:p w14:paraId="2D5EEE3C"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5 de febrero de 2025</w:t>
            </w:r>
          </w:p>
        </w:tc>
        <w:tc>
          <w:tcPr>
            <w:tcW w:w="7943" w:type="dxa"/>
            <w:tcBorders>
              <w:top w:val="nil"/>
              <w:left w:val="nil"/>
              <w:bottom w:val="single" w:sz="4" w:space="0" w:color="auto"/>
              <w:right w:val="single" w:sz="4" w:space="0" w:color="auto"/>
            </w:tcBorders>
            <w:hideMark/>
          </w:tcPr>
          <w:p w14:paraId="2DE64AA4"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54" w:history="1">
              <w:r w:rsidRPr="006B118E">
                <w:rPr>
                  <w:rFonts w:asciiTheme="majorBidi" w:hAnsiTheme="majorBidi"/>
                  <w:color w:val="467886"/>
                  <w:sz w:val="18"/>
                  <w:szCs w:val="18"/>
                  <w:u w:val="single"/>
                </w:rPr>
                <w:t>Propósito de Año Nuevo:</w:t>
              </w:r>
            </w:hyperlink>
            <w:hyperlink r:id="rId55" w:history="1">
              <w:r w:rsidRPr="006B118E">
                <w:rPr>
                  <w:rFonts w:asciiTheme="majorBidi" w:hAnsiTheme="majorBidi"/>
                  <w:color w:val="467886"/>
                  <w:sz w:val="18"/>
                  <w:szCs w:val="18"/>
                  <w:u w:val="single"/>
                </w:rPr>
                <w:t xml:space="preserve"> Conocer los fundamentos del Centro de Intercambio de Información del APA (francés)</w:t>
              </w:r>
            </w:hyperlink>
          </w:p>
        </w:tc>
        <w:tc>
          <w:tcPr>
            <w:tcW w:w="3260" w:type="dxa"/>
            <w:tcBorders>
              <w:top w:val="nil"/>
              <w:left w:val="nil"/>
              <w:bottom w:val="single" w:sz="4" w:space="0" w:color="auto"/>
              <w:right w:val="single" w:sz="4" w:space="0" w:color="auto"/>
            </w:tcBorders>
            <w:hideMark/>
          </w:tcPr>
          <w:p w14:paraId="76CA3D0F"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sz w:val="18"/>
                <w:szCs w:val="18"/>
              </w:rPr>
            </w:pPr>
            <w:r w:rsidRPr="006B118E">
              <w:rPr>
                <w:rFonts w:asciiTheme="majorBidi" w:hAnsiTheme="majorBidi"/>
                <w:sz w:val="18"/>
                <w:szCs w:val="18"/>
              </w:rPr>
              <w:t>Secretaría del Convenio sobre la Diversidad Biológica</w:t>
            </w:r>
          </w:p>
        </w:tc>
      </w:tr>
      <w:tr w:rsidR="008C04DA" w:rsidRPr="006B118E" w14:paraId="48225730" w14:textId="77777777" w:rsidTr="00DC1360">
        <w:trPr>
          <w:trHeight w:val="290"/>
        </w:trPr>
        <w:tc>
          <w:tcPr>
            <w:tcW w:w="1260" w:type="dxa"/>
            <w:tcBorders>
              <w:top w:val="nil"/>
              <w:left w:val="single" w:sz="4" w:space="0" w:color="auto"/>
              <w:bottom w:val="single" w:sz="4" w:space="0" w:color="auto"/>
              <w:right w:val="single" w:sz="4" w:space="0" w:color="auto"/>
            </w:tcBorders>
            <w:noWrap/>
            <w:hideMark/>
          </w:tcPr>
          <w:p w14:paraId="45C08FBF"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5 de febrero de 2025</w:t>
            </w:r>
          </w:p>
        </w:tc>
        <w:tc>
          <w:tcPr>
            <w:tcW w:w="7943" w:type="dxa"/>
            <w:tcBorders>
              <w:top w:val="nil"/>
              <w:left w:val="nil"/>
              <w:bottom w:val="single" w:sz="4" w:space="0" w:color="auto"/>
              <w:right w:val="single" w:sz="4" w:space="0" w:color="auto"/>
            </w:tcBorders>
            <w:hideMark/>
          </w:tcPr>
          <w:p w14:paraId="07577EE3"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56" w:history="1">
              <w:r w:rsidRPr="006B118E">
                <w:rPr>
                  <w:rFonts w:asciiTheme="majorBidi" w:hAnsiTheme="majorBidi"/>
                  <w:color w:val="467886"/>
                  <w:sz w:val="18"/>
                  <w:szCs w:val="18"/>
                  <w:u w:val="single"/>
                </w:rPr>
                <w:t>Propósito de Año Nuevo:</w:t>
              </w:r>
            </w:hyperlink>
            <w:hyperlink r:id="rId57" w:history="1">
              <w:r w:rsidRPr="006B118E">
                <w:rPr>
                  <w:rFonts w:asciiTheme="majorBidi" w:hAnsiTheme="majorBidi"/>
                  <w:color w:val="467886"/>
                  <w:sz w:val="18"/>
                  <w:szCs w:val="18"/>
                  <w:u w:val="single"/>
                </w:rPr>
                <w:t xml:space="preserve"> Conocer los fundamentos del Centro de Intercambio de Información del APA (español)</w:t>
              </w:r>
            </w:hyperlink>
          </w:p>
        </w:tc>
        <w:tc>
          <w:tcPr>
            <w:tcW w:w="3260" w:type="dxa"/>
            <w:tcBorders>
              <w:top w:val="nil"/>
              <w:left w:val="nil"/>
              <w:bottom w:val="single" w:sz="4" w:space="0" w:color="auto"/>
              <w:right w:val="single" w:sz="4" w:space="0" w:color="auto"/>
            </w:tcBorders>
            <w:hideMark/>
          </w:tcPr>
          <w:p w14:paraId="42AB7E8A"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sz w:val="18"/>
                <w:szCs w:val="18"/>
              </w:rPr>
            </w:pPr>
            <w:r w:rsidRPr="006B118E">
              <w:rPr>
                <w:rFonts w:asciiTheme="majorBidi" w:hAnsiTheme="majorBidi"/>
                <w:sz w:val="18"/>
                <w:szCs w:val="18"/>
              </w:rPr>
              <w:t>Secretaría del Convenio sobre la Diversidad Biológica</w:t>
            </w:r>
          </w:p>
        </w:tc>
      </w:tr>
      <w:tr w:rsidR="008C04DA" w:rsidRPr="006B118E" w14:paraId="149CA05F" w14:textId="77777777" w:rsidTr="00DC1360">
        <w:trPr>
          <w:trHeight w:val="269"/>
        </w:trPr>
        <w:tc>
          <w:tcPr>
            <w:tcW w:w="1260" w:type="dxa"/>
            <w:tcBorders>
              <w:top w:val="nil"/>
              <w:left w:val="single" w:sz="4" w:space="0" w:color="auto"/>
              <w:bottom w:val="single" w:sz="4" w:space="0" w:color="auto"/>
              <w:right w:val="single" w:sz="4" w:space="0" w:color="auto"/>
            </w:tcBorders>
            <w:noWrap/>
            <w:hideMark/>
          </w:tcPr>
          <w:p w14:paraId="6877AB38"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13 de marzo de 2025</w:t>
            </w:r>
          </w:p>
        </w:tc>
        <w:tc>
          <w:tcPr>
            <w:tcW w:w="7943" w:type="dxa"/>
            <w:tcBorders>
              <w:top w:val="nil"/>
              <w:left w:val="nil"/>
              <w:bottom w:val="single" w:sz="4" w:space="0" w:color="auto"/>
              <w:right w:val="single" w:sz="4" w:space="0" w:color="auto"/>
            </w:tcBorders>
            <w:hideMark/>
          </w:tcPr>
          <w:p w14:paraId="51F07AEE"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58" w:history="1">
              <w:r w:rsidRPr="006B118E">
                <w:rPr>
                  <w:rFonts w:asciiTheme="majorBidi" w:hAnsiTheme="majorBidi"/>
                  <w:color w:val="467886"/>
                  <w:sz w:val="18"/>
                  <w:szCs w:val="18"/>
                  <w:u w:val="single"/>
                </w:rPr>
                <w:t>Acceso y participación en los beneficios en el Marco Mundial de Biodiversidad de Kunming-Montreal:</w:t>
              </w:r>
            </w:hyperlink>
            <w:hyperlink r:id="rId59" w:history="1">
              <w:r w:rsidRPr="006B118E">
                <w:rPr>
                  <w:rFonts w:asciiTheme="majorBidi" w:hAnsiTheme="majorBidi"/>
                  <w:color w:val="467886"/>
                  <w:sz w:val="18"/>
                  <w:szCs w:val="18"/>
                  <w:u w:val="single"/>
                </w:rPr>
                <w:t xml:space="preserve"> estrategias y planes de acción nacionales en materia de biodiversidad y el marco de seguimiento</w:t>
              </w:r>
            </w:hyperlink>
          </w:p>
        </w:tc>
        <w:tc>
          <w:tcPr>
            <w:tcW w:w="3260" w:type="dxa"/>
            <w:tcBorders>
              <w:top w:val="nil"/>
              <w:left w:val="nil"/>
              <w:bottom w:val="single" w:sz="4" w:space="0" w:color="auto"/>
              <w:right w:val="single" w:sz="4" w:space="0" w:color="auto"/>
            </w:tcBorders>
            <w:hideMark/>
          </w:tcPr>
          <w:p w14:paraId="11A8D268"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sz w:val="18"/>
                <w:szCs w:val="18"/>
              </w:rPr>
              <w:t>Secretaría del Convenio sobre la Diversidad Biológica</w:t>
            </w:r>
            <w:r w:rsidRPr="006B118E">
              <w:rPr>
                <w:rFonts w:asciiTheme="majorBidi" w:hAnsiTheme="majorBidi"/>
                <w:color w:val="000000"/>
                <w:sz w:val="18"/>
                <w:szCs w:val="18"/>
              </w:rPr>
              <w:t xml:space="preserve"> y Leibniz Institute DSMZ</w:t>
            </w:r>
          </w:p>
        </w:tc>
      </w:tr>
      <w:tr w:rsidR="008C04DA" w:rsidRPr="006B118E" w14:paraId="349B4F28" w14:textId="77777777" w:rsidTr="00DC1360">
        <w:trPr>
          <w:trHeight w:val="290"/>
        </w:trPr>
        <w:tc>
          <w:tcPr>
            <w:tcW w:w="1260" w:type="dxa"/>
            <w:tcBorders>
              <w:top w:val="nil"/>
              <w:left w:val="single" w:sz="4" w:space="0" w:color="auto"/>
              <w:bottom w:val="single" w:sz="4" w:space="0" w:color="auto"/>
              <w:right w:val="single" w:sz="4" w:space="0" w:color="auto"/>
            </w:tcBorders>
            <w:noWrap/>
            <w:hideMark/>
          </w:tcPr>
          <w:p w14:paraId="57C12604"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8 de abril de 2025</w:t>
            </w:r>
          </w:p>
        </w:tc>
        <w:tc>
          <w:tcPr>
            <w:tcW w:w="7943" w:type="dxa"/>
            <w:tcBorders>
              <w:top w:val="nil"/>
              <w:left w:val="nil"/>
              <w:bottom w:val="single" w:sz="4" w:space="0" w:color="auto"/>
              <w:right w:val="single" w:sz="4" w:space="0" w:color="auto"/>
            </w:tcBorders>
            <w:hideMark/>
          </w:tcPr>
          <w:p w14:paraId="27DC4890"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60" w:history="1">
              <w:r w:rsidRPr="006B118E">
                <w:rPr>
                  <w:rFonts w:asciiTheme="majorBidi" w:hAnsiTheme="majorBidi"/>
                  <w:color w:val="467886"/>
                  <w:sz w:val="18"/>
                  <w:szCs w:val="18"/>
                  <w:u w:val="single"/>
                </w:rPr>
                <w:t xml:space="preserve">Mejorar los sistemas de gestión de información sobre acceso y participación en los beneficios y los procedimientos operativos estándar </w:t>
              </w:r>
            </w:hyperlink>
          </w:p>
        </w:tc>
        <w:tc>
          <w:tcPr>
            <w:tcW w:w="3260" w:type="dxa"/>
            <w:tcBorders>
              <w:top w:val="nil"/>
              <w:left w:val="nil"/>
              <w:bottom w:val="single" w:sz="4" w:space="0" w:color="auto"/>
              <w:right w:val="single" w:sz="4" w:space="0" w:color="auto"/>
            </w:tcBorders>
            <w:hideMark/>
          </w:tcPr>
          <w:p w14:paraId="48D87F60"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sz w:val="18"/>
                <w:szCs w:val="18"/>
              </w:rPr>
            </w:pPr>
            <w:r w:rsidRPr="006B118E">
              <w:rPr>
                <w:rFonts w:asciiTheme="majorBidi" w:hAnsiTheme="majorBidi"/>
                <w:sz w:val="18"/>
                <w:szCs w:val="18"/>
              </w:rPr>
              <w:t>Secretaría del Convenio sobre la Diversidad Biológica</w:t>
            </w:r>
          </w:p>
        </w:tc>
      </w:tr>
      <w:tr w:rsidR="008C04DA" w:rsidRPr="006B118E" w14:paraId="5836278D" w14:textId="77777777" w:rsidTr="00DC1360">
        <w:trPr>
          <w:trHeight w:val="580"/>
        </w:trPr>
        <w:tc>
          <w:tcPr>
            <w:tcW w:w="1260" w:type="dxa"/>
            <w:tcBorders>
              <w:top w:val="nil"/>
              <w:left w:val="single" w:sz="4" w:space="0" w:color="auto"/>
              <w:bottom w:val="single" w:sz="4" w:space="0" w:color="auto"/>
              <w:right w:val="single" w:sz="4" w:space="0" w:color="auto"/>
            </w:tcBorders>
            <w:noWrap/>
            <w:hideMark/>
          </w:tcPr>
          <w:p w14:paraId="45387DBC"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9 de abril de 2025</w:t>
            </w:r>
          </w:p>
        </w:tc>
        <w:tc>
          <w:tcPr>
            <w:tcW w:w="7943" w:type="dxa"/>
            <w:tcBorders>
              <w:top w:val="nil"/>
              <w:left w:val="nil"/>
              <w:bottom w:val="single" w:sz="4" w:space="0" w:color="auto"/>
              <w:right w:val="single" w:sz="4" w:space="0" w:color="auto"/>
            </w:tcBorders>
            <w:hideMark/>
          </w:tcPr>
          <w:p w14:paraId="233C64B9"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61" w:history="1">
              <w:r w:rsidRPr="006B118E">
                <w:rPr>
                  <w:rFonts w:asciiTheme="majorBidi" w:hAnsiTheme="majorBidi"/>
                  <w:color w:val="467886"/>
                  <w:sz w:val="18"/>
                  <w:szCs w:val="18"/>
                  <w:u w:val="single"/>
                </w:rPr>
                <w:t>Comunicación de procedimientos fáciles de usar en materia de acceso y participación en los beneficios, en colaboración con el German Nagoya Protocol HuB</w:t>
              </w:r>
            </w:hyperlink>
          </w:p>
        </w:tc>
        <w:tc>
          <w:tcPr>
            <w:tcW w:w="3260" w:type="dxa"/>
            <w:tcBorders>
              <w:top w:val="nil"/>
              <w:left w:val="nil"/>
              <w:bottom w:val="single" w:sz="4" w:space="0" w:color="auto"/>
              <w:right w:val="single" w:sz="4" w:space="0" w:color="auto"/>
            </w:tcBorders>
            <w:hideMark/>
          </w:tcPr>
          <w:p w14:paraId="5EF0D55D"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sz w:val="18"/>
                <w:szCs w:val="18"/>
              </w:rPr>
              <w:t>Secretaría del Convenio sobre la Diversidad Biológica</w:t>
            </w:r>
            <w:r w:rsidRPr="006B118E">
              <w:rPr>
                <w:rFonts w:asciiTheme="majorBidi" w:hAnsiTheme="majorBidi"/>
                <w:color w:val="000000"/>
                <w:sz w:val="18"/>
                <w:szCs w:val="18"/>
              </w:rPr>
              <w:t xml:space="preserve"> y Leibniz Institute </w:t>
            </w:r>
            <w:r w:rsidRPr="006B118E">
              <w:rPr>
                <w:rFonts w:asciiTheme="majorBidi" w:hAnsiTheme="majorBidi"/>
                <w:sz w:val="18"/>
                <w:szCs w:val="18"/>
              </w:rPr>
              <w:t>DSMZ</w:t>
            </w:r>
          </w:p>
        </w:tc>
      </w:tr>
      <w:tr w:rsidR="008C04DA" w:rsidRPr="006B118E" w14:paraId="03F0FD33" w14:textId="77777777" w:rsidTr="00DC1360">
        <w:trPr>
          <w:trHeight w:val="580"/>
        </w:trPr>
        <w:tc>
          <w:tcPr>
            <w:tcW w:w="1260" w:type="dxa"/>
            <w:tcBorders>
              <w:top w:val="nil"/>
              <w:left w:val="single" w:sz="4" w:space="0" w:color="auto"/>
              <w:bottom w:val="single" w:sz="4" w:space="0" w:color="auto"/>
              <w:right w:val="single" w:sz="4" w:space="0" w:color="auto"/>
            </w:tcBorders>
            <w:noWrap/>
            <w:hideMark/>
          </w:tcPr>
          <w:p w14:paraId="3098331A"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10 de abril de 2025</w:t>
            </w:r>
          </w:p>
        </w:tc>
        <w:tc>
          <w:tcPr>
            <w:tcW w:w="7943" w:type="dxa"/>
            <w:tcBorders>
              <w:top w:val="nil"/>
              <w:left w:val="nil"/>
              <w:bottom w:val="single" w:sz="4" w:space="0" w:color="auto"/>
              <w:right w:val="single" w:sz="4" w:space="0" w:color="auto"/>
            </w:tcBorders>
            <w:hideMark/>
          </w:tcPr>
          <w:p w14:paraId="59ED2EFB"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62" w:history="1">
              <w:r w:rsidRPr="006B118E">
                <w:rPr>
                  <w:rFonts w:asciiTheme="majorBidi" w:hAnsiTheme="majorBidi"/>
                  <w:color w:val="467886"/>
                  <w:sz w:val="18"/>
                  <w:szCs w:val="18"/>
                  <w:u w:val="single"/>
                </w:rPr>
                <w:t>Desarrollo y aplicación de protocolos comunitarios y mejora del acceso a los conocimientos tradicionales asociados con los recursos genéticos y la participación en los beneficios (inglés)</w:t>
              </w:r>
            </w:hyperlink>
          </w:p>
        </w:tc>
        <w:tc>
          <w:tcPr>
            <w:tcW w:w="3260" w:type="dxa"/>
            <w:tcBorders>
              <w:top w:val="nil"/>
              <w:left w:val="nil"/>
              <w:bottom w:val="single" w:sz="4" w:space="0" w:color="auto"/>
              <w:right w:val="single" w:sz="4" w:space="0" w:color="auto"/>
            </w:tcBorders>
            <w:hideMark/>
          </w:tcPr>
          <w:p w14:paraId="7B303869"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sz w:val="18"/>
                <w:szCs w:val="18"/>
              </w:rPr>
            </w:pPr>
            <w:r w:rsidRPr="006B118E">
              <w:rPr>
                <w:rFonts w:asciiTheme="majorBidi" w:hAnsiTheme="majorBidi"/>
                <w:sz w:val="18"/>
                <w:szCs w:val="18"/>
              </w:rPr>
              <w:t>Secretaría del Convenio sobre la Diversidad Biológica</w:t>
            </w:r>
          </w:p>
        </w:tc>
      </w:tr>
      <w:tr w:rsidR="008C04DA" w:rsidRPr="006B118E" w14:paraId="6D6A65BE" w14:textId="77777777" w:rsidTr="00DC1360">
        <w:trPr>
          <w:trHeight w:val="580"/>
        </w:trPr>
        <w:tc>
          <w:tcPr>
            <w:tcW w:w="1260" w:type="dxa"/>
            <w:tcBorders>
              <w:top w:val="nil"/>
              <w:left w:val="single" w:sz="4" w:space="0" w:color="auto"/>
              <w:bottom w:val="single" w:sz="4" w:space="0" w:color="auto"/>
              <w:right w:val="single" w:sz="4" w:space="0" w:color="auto"/>
            </w:tcBorders>
            <w:noWrap/>
            <w:hideMark/>
          </w:tcPr>
          <w:p w14:paraId="4F2E341D"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10 de abril de 2025</w:t>
            </w:r>
          </w:p>
        </w:tc>
        <w:tc>
          <w:tcPr>
            <w:tcW w:w="7943" w:type="dxa"/>
            <w:tcBorders>
              <w:top w:val="nil"/>
              <w:left w:val="nil"/>
              <w:bottom w:val="single" w:sz="4" w:space="0" w:color="auto"/>
              <w:right w:val="single" w:sz="4" w:space="0" w:color="auto"/>
            </w:tcBorders>
            <w:hideMark/>
          </w:tcPr>
          <w:p w14:paraId="3A922B48"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63" w:history="1">
              <w:r w:rsidRPr="006B118E">
                <w:rPr>
                  <w:rFonts w:asciiTheme="majorBidi" w:hAnsiTheme="majorBidi"/>
                  <w:color w:val="467886"/>
                  <w:sz w:val="18"/>
                  <w:szCs w:val="18"/>
                  <w:u w:val="single"/>
                </w:rPr>
                <w:t>Desarrollo y aplicación de protocolos comunitarios y mejora del acceso a los conocimientos tradicionales asociados con los recursos genéticos y la participación en los beneficios (español)</w:t>
              </w:r>
            </w:hyperlink>
          </w:p>
        </w:tc>
        <w:tc>
          <w:tcPr>
            <w:tcW w:w="3260" w:type="dxa"/>
            <w:tcBorders>
              <w:top w:val="nil"/>
              <w:left w:val="nil"/>
              <w:bottom w:val="single" w:sz="4" w:space="0" w:color="auto"/>
              <w:right w:val="single" w:sz="4" w:space="0" w:color="auto"/>
            </w:tcBorders>
            <w:hideMark/>
          </w:tcPr>
          <w:p w14:paraId="14932E78"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sz w:val="18"/>
                <w:szCs w:val="18"/>
              </w:rPr>
            </w:pPr>
            <w:r w:rsidRPr="006B118E">
              <w:rPr>
                <w:rFonts w:asciiTheme="majorBidi" w:hAnsiTheme="majorBidi"/>
                <w:sz w:val="18"/>
                <w:szCs w:val="18"/>
              </w:rPr>
              <w:t>Secretaría del Convenio sobre la Diversidad Biológica</w:t>
            </w:r>
          </w:p>
        </w:tc>
      </w:tr>
      <w:tr w:rsidR="008C04DA" w:rsidRPr="006B118E" w14:paraId="48090CC1" w14:textId="77777777" w:rsidTr="00DC1360">
        <w:trPr>
          <w:trHeight w:val="580"/>
        </w:trPr>
        <w:tc>
          <w:tcPr>
            <w:tcW w:w="1260" w:type="dxa"/>
            <w:tcBorders>
              <w:top w:val="nil"/>
              <w:left w:val="single" w:sz="4" w:space="0" w:color="auto"/>
              <w:bottom w:val="single" w:sz="4" w:space="0" w:color="auto"/>
              <w:right w:val="single" w:sz="4" w:space="0" w:color="auto"/>
            </w:tcBorders>
            <w:noWrap/>
            <w:hideMark/>
          </w:tcPr>
          <w:p w14:paraId="25CE140D"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11 de abril de 2025</w:t>
            </w:r>
          </w:p>
        </w:tc>
        <w:tc>
          <w:tcPr>
            <w:tcW w:w="7943" w:type="dxa"/>
            <w:tcBorders>
              <w:top w:val="nil"/>
              <w:left w:val="nil"/>
              <w:bottom w:val="single" w:sz="4" w:space="0" w:color="auto"/>
              <w:right w:val="single" w:sz="4" w:space="0" w:color="auto"/>
            </w:tcBorders>
            <w:hideMark/>
          </w:tcPr>
          <w:p w14:paraId="6DE3EB18"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64" w:history="1">
              <w:r w:rsidRPr="006B118E">
                <w:rPr>
                  <w:rFonts w:asciiTheme="majorBidi" w:hAnsiTheme="majorBidi"/>
                  <w:color w:val="467886"/>
                  <w:sz w:val="18"/>
                  <w:szCs w:val="18"/>
                  <w:u w:val="single"/>
                </w:rPr>
                <w:t>Desarrollo y aplicación de protocolos comunitarios y mejora del acceso a los conocimientos tradicionales asociados con los recursos genéticos y la participación en los beneficios (francés)</w:t>
              </w:r>
            </w:hyperlink>
          </w:p>
        </w:tc>
        <w:tc>
          <w:tcPr>
            <w:tcW w:w="3260" w:type="dxa"/>
            <w:tcBorders>
              <w:top w:val="nil"/>
              <w:left w:val="nil"/>
              <w:bottom w:val="single" w:sz="4" w:space="0" w:color="auto"/>
              <w:right w:val="single" w:sz="4" w:space="0" w:color="auto"/>
            </w:tcBorders>
            <w:hideMark/>
          </w:tcPr>
          <w:p w14:paraId="5BBEF6A5"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sz w:val="18"/>
                <w:szCs w:val="18"/>
              </w:rPr>
            </w:pPr>
            <w:r w:rsidRPr="006B118E">
              <w:rPr>
                <w:rFonts w:asciiTheme="majorBidi" w:hAnsiTheme="majorBidi"/>
                <w:sz w:val="18"/>
                <w:szCs w:val="18"/>
              </w:rPr>
              <w:t>Secretaría del Convenio sobre la Diversidad Biológica</w:t>
            </w:r>
          </w:p>
        </w:tc>
      </w:tr>
      <w:tr w:rsidR="008C04DA" w:rsidRPr="006B118E" w14:paraId="381807D1" w14:textId="77777777" w:rsidTr="00DC1360">
        <w:trPr>
          <w:trHeight w:val="290"/>
        </w:trPr>
        <w:tc>
          <w:tcPr>
            <w:tcW w:w="1260" w:type="dxa"/>
            <w:tcBorders>
              <w:top w:val="nil"/>
              <w:left w:val="single" w:sz="4" w:space="0" w:color="auto"/>
              <w:bottom w:val="single" w:sz="4" w:space="0" w:color="auto"/>
              <w:right w:val="single" w:sz="4" w:space="0" w:color="auto"/>
            </w:tcBorders>
            <w:noWrap/>
            <w:hideMark/>
          </w:tcPr>
          <w:p w14:paraId="1E3B28C6"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13 de mayo de 2025</w:t>
            </w:r>
          </w:p>
        </w:tc>
        <w:tc>
          <w:tcPr>
            <w:tcW w:w="7943" w:type="dxa"/>
            <w:tcBorders>
              <w:top w:val="nil"/>
              <w:left w:val="nil"/>
              <w:bottom w:val="single" w:sz="4" w:space="0" w:color="auto"/>
              <w:right w:val="single" w:sz="4" w:space="0" w:color="auto"/>
            </w:tcBorders>
            <w:hideMark/>
          </w:tcPr>
          <w:p w14:paraId="5E97F38B"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65" w:history="1">
              <w:r w:rsidRPr="006B118E">
                <w:rPr>
                  <w:rFonts w:asciiTheme="majorBidi" w:hAnsiTheme="majorBidi"/>
                  <w:color w:val="467886"/>
                  <w:sz w:val="18"/>
                  <w:szCs w:val="18"/>
                  <w:u w:val="single"/>
                </w:rPr>
                <w:t>Abordar el proceso de ratificación del Protocolo de Nagoya sobre Acceso y Participación en los Beneficios:</w:t>
              </w:r>
            </w:hyperlink>
            <w:hyperlink r:id="rId66" w:history="1">
              <w:r w:rsidRPr="006B118E">
                <w:rPr>
                  <w:rFonts w:asciiTheme="majorBidi" w:hAnsiTheme="majorBidi"/>
                  <w:color w:val="467886"/>
                  <w:sz w:val="18"/>
                  <w:szCs w:val="18"/>
                  <w:u w:val="single"/>
                </w:rPr>
                <w:t xml:space="preserve"> dificultades y oportunidades</w:t>
              </w:r>
            </w:hyperlink>
          </w:p>
        </w:tc>
        <w:tc>
          <w:tcPr>
            <w:tcW w:w="3260" w:type="dxa"/>
            <w:tcBorders>
              <w:top w:val="nil"/>
              <w:left w:val="nil"/>
              <w:bottom w:val="single" w:sz="4" w:space="0" w:color="auto"/>
              <w:right w:val="single" w:sz="4" w:space="0" w:color="auto"/>
            </w:tcBorders>
            <w:hideMark/>
          </w:tcPr>
          <w:p w14:paraId="0666FD82"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sz w:val="18"/>
                <w:szCs w:val="18"/>
              </w:rPr>
            </w:pPr>
            <w:r w:rsidRPr="006B118E">
              <w:rPr>
                <w:rFonts w:asciiTheme="majorBidi" w:hAnsiTheme="majorBidi"/>
                <w:sz w:val="18"/>
                <w:szCs w:val="18"/>
              </w:rPr>
              <w:t>Secretaría del Convenio sobre la Diversidad Biológica</w:t>
            </w:r>
          </w:p>
        </w:tc>
      </w:tr>
      <w:tr w:rsidR="008C04DA" w:rsidRPr="006B118E" w14:paraId="50D6BA6C" w14:textId="77777777" w:rsidTr="00DC1360">
        <w:trPr>
          <w:trHeight w:val="290"/>
        </w:trPr>
        <w:tc>
          <w:tcPr>
            <w:tcW w:w="1260" w:type="dxa"/>
            <w:tcBorders>
              <w:top w:val="nil"/>
              <w:left w:val="single" w:sz="4" w:space="0" w:color="auto"/>
              <w:bottom w:val="single" w:sz="4" w:space="0" w:color="auto"/>
              <w:right w:val="single" w:sz="4" w:space="0" w:color="auto"/>
            </w:tcBorders>
            <w:noWrap/>
            <w:hideMark/>
          </w:tcPr>
          <w:p w14:paraId="0CF0C17C"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25 de septiembre de 2025</w:t>
            </w:r>
          </w:p>
        </w:tc>
        <w:tc>
          <w:tcPr>
            <w:tcW w:w="7943" w:type="dxa"/>
            <w:tcBorders>
              <w:top w:val="nil"/>
              <w:left w:val="nil"/>
              <w:bottom w:val="single" w:sz="4" w:space="0" w:color="auto"/>
              <w:right w:val="single" w:sz="4" w:space="0" w:color="auto"/>
            </w:tcBorders>
            <w:hideMark/>
          </w:tcPr>
          <w:p w14:paraId="0B3B5C63"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67" w:history="1">
              <w:r w:rsidRPr="006B118E">
                <w:rPr>
                  <w:rFonts w:asciiTheme="majorBidi" w:hAnsiTheme="majorBidi"/>
                  <w:color w:val="467886"/>
                  <w:sz w:val="18"/>
                  <w:szCs w:val="18"/>
                  <w:u w:val="single"/>
                </w:rPr>
                <w:t>Serie de seminarios web sobre creación de capacidad para el acceso y la participación en los beneficios</w:t>
              </w:r>
            </w:hyperlink>
            <w:r w:rsidRPr="006B118E">
              <w:rPr>
                <w:rFonts w:asciiTheme="majorBidi" w:hAnsiTheme="majorBidi"/>
                <w:sz w:val="18"/>
                <w:szCs w:val="18"/>
              </w:rPr>
              <w:t>: lecciones aprendidas durante dos décadas de impacto: promover el acceso y la participación en los beneficios para las personas, el planeta y las alianzas</w:t>
            </w:r>
          </w:p>
        </w:tc>
        <w:tc>
          <w:tcPr>
            <w:tcW w:w="3260" w:type="dxa"/>
            <w:tcBorders>
              <w:top w:val="nil"/>
              <w:left w:val="nil"/>
              <w:bottom w:val="single" w:sz="4" w:space="0" w:color="auto"/>
              <w:right w:val="single" w:sz="4" w:space="0" w:color="auto"/>
            </w:tcBorders>
            <w:hideMark/>
          </w:tcPr>
          <w:p w14:paraId="7F53E720"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sz w:val="18"/>
                <w:szCs w:val="18"/>
              </w:rPr>
              <w:t>Secretaría del Convenio sobre la Diversidad Biológica e</w:t>
            </w:r>
            <w:r w:rsidRPr="006B118E">
              <w:rPr>
                <w:rFonts w:asciiTheme="majorBidi" w:hAnsiTheme="majorBidi"/>
                <w:color w:val="000000"/>
                <w:sz w:val="18"/>
                <w:szCs w:val="18"/>
              </w:rPr>
              <w:t xml:space="preserve"> Iniciativa de Desarrollo de Capacidad sobre Acceso y Participación en los Beneficios</w:t>
            </w:r>
          </w:p>
        </w:tc>
      </w:tr>
      <w:tr w:rsidR="008C04DA" w:rsidRPr="006B118E" w14:paraId="69238FB0" w14:textId="77777777" w:rsidTr="00DC1360">
        <w:trPr>
          <w:trHeight w:val="580"/>
        </w:trPr>
        <w:tc>
          <w:tcPr>
            <w:tcW w:w="1260" w:type="dxa"/>
            <w:tcBorders>
              <w:top w:val="nil"/>
              <w:left w:val="single" w:sz="4" w:space="0" w:color="auto"/>
              <w:bottom w:val="single" w:sz="4" w:space="0" w:color="auto"/>
              <w:right w:val="single" w:sz="4" w:space="0" w:color="auto"/>
            </w:tcBorders>
            <w:noWrap/>
            <w:hideMark/>
          </w:tcPr>
          <w:p w14:paraId="58BAAE8E"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29 de septiembre de 2025</w:t>
            </w:r>
          </w:p>
        </w:tc>
        <w:tc>
          <w:tcPr>
            <w:tcW w:w="7943" w:type="dxa"/>
            <w:tcBorders>
              <w:top w:val="nil"/>
              <w:left w:val="nil"/>
              <w:bottom w:val="single" w:sz="4" w:space="0" w:color="auto"/>
              <w:right w:val="single" w:sz="4" w:space="0" w:color="auto"/>
            </w:tcBorders>
            <w:hideMark/>
          </w:tcPr>
          <w:p w14:paraId="0CC757F4"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68" w:history="1">
              <w:r w:rsidRPr="006B118E">
                <w:rPr>
                  <w:rFonts w:asciiTheme="majorBidi" w:hAnsiTheme="majorBidi"/>
                  <w:color w:val="467886"/>
                  <w:sz w:val="18"/>
                  <w:szCs w:val="18"/>
                  <w:u w:val="single"/>
                </w:rPr>
                <w:t>¡Se acerca la fecha límite!</w:t>
              </w:r>
            </w:hyperlink>
            <w:hyperlink r:id="rId69" w:history="1">
              <w:r w:rsidRPr="006B118E">
                <w:rPr>
                  <w:rFonts w:asciiTheme="majorBidi" w:hAnsiTheme="majorBidi"/>
                  <w:color w:val="467886"/>
                  <w:sz w:val="18"/>
                  <w:szCs w:val="18"/>
                  <w:u w:val="single"/>
                </w:rPr>
                <w:t xml:space="preserve"> Preguntas y respuestas sobre el primer informe nacional del Protocolo de Nagoya</w:t>
              </w:r>
            </w:hyperlink>
          </w:p>
        </w:tc>
        <w:tc>
          <w:tcPr>
            <w:tcW w:w="3260" w:type="dxa"/>
            <w:tcBorders>
              <w:top w:val="nil"/>
              <w:left w:val="nil"/>
              <w:bottom w:val="single" w:sz="4" w:space="0" w:color="auto"/>
              <w:right w:val="single" w:sz="4" w:space="0" w:color="auto"/>
            </w:tcBorders>
            <w:hideMark/>
          </w:tcPr>
          <w:p w14:paraId="5685E15D"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sz w:val="18"/>
                <w:szCs w:val="18"/>
              </w:rPr>
            </w:pPr>
            <w:r w:rsidRPr="006B118E">
              <w:rPr>
                <w:rFonts w:asciiTheme="majorBidi" w:hAnsiTheme="majorBidi"/>
                <w:sz w:val="18"/>
                <w:szCs w:val="18"/>
              </w:rPr>
              <w:t>Secretaría del Convenio sobre la Diversidad Biológica</w:t>
            </w:r>
          </w:p>
        </w:tc>
      </w:tr>
      <w:tr w:rsidR="008C04DA" w:rsidRPr="006B118E" w14:paraId="078562FA" w14:textId="77777777" w:rsidTr="00DC1360">
        <w:trPr>
          <w:trHeight w:val="610"/>
        </w:trPr>
        <w:tc>
          <w:tcPr>
            <w:tcW w:w="1260" w:type="dxa"/>
            <w:tcBorders>
              <w:top w:val="nil"/>
              <w:left w:val="single" w:sz="4" w:space="0" w:color="auto"/>
              <w:bottom w:val="single" w:sz="4" w:space="0" w:color="auto"/>
              <w:right w:val="single" w:sz="4" w:space="0" w:color="auto"/>
            </w:tcBorders>
            <w:noWrap/>
            <w:hideMark/>
          </w:tcPr>
          <w:p w14:paraId="144C4A27"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15 de octubre de 2025</w:t>
            </w:r>
          </w:p>
        </w:tc>
        <w:tc>
          <w:tcPr>
            <w:tcW w:w="7943" w:type="dxa"/>
            <w:tcBorders>
              <w:top w:val="nil"/>
              <w:left w:val="nil"/>
              <w:bottom w:val="single" w:sz="4" w:space="0" w:color="auto"/>
              <w:right w:val="single" w:sz="4" w:space="0" w:color="auto"/>
            </w:tcBorders>
            <w:hideMark/>
          </w:tcPr>
          <w:p w14:paraId="4DC56D45" w14:textId="57E15601"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70" w:history="1">
              <w:r w:rsidRPr="006B118E">
                <w:rPr>
                  <w:rFonts w:asciiTheme="majorBidi" w:hAnsiTheme="majorBidi"/>
                  <w:color w:val="467886"/>
                  <w:sz w:val="18"/>
                  <w:szCs w:val="18"/>
                  <w:u w:val="single"/>
                </w:rPr>
                <w:t>Serie de seminarios web sobre creación de capacidad para el acceso y la participación en los beneficios</w:t>
              </w:r>
            </w:hyperlink>
            <w:r w:rsidRPr="006B118E">
              <w:rPr>
                <w:rFonts w:asciiTheme="majorBidi" w:hAnsiTheme="majorBidi"/>
                <w:sz w:val="18"/>
                <w:szCs w:val="18"/>
              </w:rPr>
              <w:t>: fortalecer las capacidades a largo plazo para el biocomercio y la aplicación del Protocolo de Nagoya</w:t>
            </w:r>
          </w:p>
        </w:tc>
        <w:tc>
          <w:tcPr>
            <w:tcW w:w="3260" w:type="dxa"/>
            <w:tcBorders>
              <w:top w:val="nil"/>
              <w:left w:val="nil"/>
              <w:bottom w:val="single" w:sz="4" w:space="0" w:color="auto"/>
              <w:right w:val="single" w:sz="4" w:space="0" w:color="auto"/>
            </w:tcBorders>
            <w:hideMark/>
          </w:tcPr>
          <w:p w14:paraId="29FDC543"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sz w:val="18"/>
                <w:szCs w:val="18"/>
              </w:rPr>
              <w:t>Secretaría del Convenio sobre la Diversidad Biológica e</w:t>
            </w:r>
            <w:r w:rsidRPr="006B118E">
              <w:rPr>
                <w:rFonts w:asciiTheme="majorBidi" w:hAnsiTheme="majorBidi"/>
                <w:color w:val="000000"/>
                <w:sz w:val="18"/>
                <w:szCs w:val="18"/>
              </w:rPr>
              <w:t xml:space="preserve"> Iniciativa de Desarrollo de Capacidad sobre Acceso y Participación en los Beneficios</w:t>
            </w:r>
          </w:p>
        </w:tc>
      </w:tr>
      <w:tr w:rsidR="008C04DA" w:rsidRPr="006B118E" w14:paraId="38820CAA" w14:textId="77777777" w:rsidTr="00DC1360">
        <w:trPr>
          <w:trHeight w:val="290"/>
        </w:trPr>
        <w:tc>
          <w:tcPr>
            <w:tcW w:w="1260" w:type="dxa"/>
            <w:tcBorders>
              <w:top w:val="nil"/>
              <w:left w:val="single" w:sz="4" w:space="0" w:color="auto"/>
              <w:bottom w:val="single" w:sz="4" w:space="0" w:color="auto"/>
              <w:right w:val="single" w:sz="4" w:space="0" w:color="auto"/>
            </w:tcBorders>
            <w:noWrap/>
            <w:hideMark/>
          </w:tcPr>
          <w:p w14:paraId="2332B6D0"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lastRenderedPageBreak/>
              <w:t>6 de noviembre de 2025</w:t>
            </w:r>
          </w:p>
        </w:tc>
        <w:tc>
          <w:tcPr>
            <w:tcW w:w="7943" w:type="dxa"/>
            <w:tcBorders>
              <w:top w:val="nil"/>
              <w:left w:val="nil"/>
              <w:bottom w:val="single" w:sz="4" w:space="0" w:color="auto"/>
              <w:right w:val="single" w:sz="4" w:space="0" w:color="auto"/>
            </w:tcBorders>
            <w:hideMark/>
          </w:tcPr>
          <w:p w14:paraId="6B9C008F" w14:textId="62ED65EC"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71" w:history="1">
              <w:r w:rsidRPr="006B118E">
                <w:rPr>
                  <w:rFonts w:asciiTheme="majorBidi" w:hAnsiTheme="majorBidi"/>
                  <w:color w:val="467886"/>
                  <w:sz w:val="18"/>
                  <w:szCs w:val="18"/>
                  <w:u w:val="single"/>
                </w:rPr>
                <w:t>Serie de seminarios web sobre creación de capacidad para el acceso y la participación en los beneficios</w:t>
              </w:r>
            </w:hyperlink>
            <w:r w:rsidRPr="006B118E">
              <w:rPr>
                <w:rFonts w:asciiTheme="majorBidi" w:hAnsiTheme="majorBidi"/>
                <w:sz w:val="18"/>
                <w:szCs w:val="18"/>
              </w:rPr>
              <w:t>: el Plan de Acción para la Creación y el Desarrollo de Capacidad</w:t>
            </w:r>
          </w:p>
        </w:tc>
        <w:tc>
          <w:tcPr>
            <w:tcW w:w="3260" w:type="dxa"/>
            <w:tcBorders>
              <w:top w:val="nil"/>
              <w:left w:val="nil"/>
              <w:bottom w:val="single" w:sz="4" w:space="0" w:color="auto"/>
              <w:right w:val="single" w:sz="4" w:space="0" w:color="auto"/>
            </w:tcBorders>
            <w:hideMark/>
          </w:tcPr>
          <w:p w14:paraId="5ACE543A"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sz w:val="18"/>
                <w:szCs w:val="18"/>
              </w:rPr>
            </w:pPr>
            <w:r w:rsidRPr="006B118E">
              <w:rPr>
                <w:rFonts w:asciiTheme="majorBidi" w:hAnsiTheme="majorBidi"/>
                <w:sz w:val="18"/>
                <w:szCs w:val="18"/>
              </w:rPr>
              <w:t>Secretaría del Convenio sobre la Diversidad Biológica</w:t>
            </w:r>
          </w:p>
        </w:tc>
      </w:tr>
      <w:tr w:rsidR="008C04DA" w:rsidRPr="006B118E" w14:paraId="794BDCCB" w14:textId="77777777" w:rsidTr="00DC1360">
        <w:trPr>
          <w:trHeight w:val="290"/>
        </w:trPr>
        <w:tc>
          <w:tcPr>
            <w:tcW w:w="1260" w:type="dxa"/>
            <w:tcBorders>
              <w:top w:val="nil"/>
              <w:left w:val="single" w:sz="4" w:space="0" w:color="auto"/>
              <w:bottom w:val="single" w:sz="4" w:space="0" w:color="auto"/>
              <w:right w:val="single" w:sz="4" w:space="0" w:color="auto"/>
            </w:tcBorders>
            <w:noWrap/>
            <w:hideMark/>
          </w:tcPr>
          <w:p w14:paraId="702C9632"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27 de noviembre de 2025</w:t>
            </w:r>
          </w:p>
        </w:tc>
        <w:tc>
          <w:tcPr>
            <w:tcW w:w="7943" w:type="dxa"/>
            <w:tcBorders>
              <w:top w:val="nil"/>
              <w:left w:val="nil"/>
              <w:bottom w:val="single" w:sz="4" w:space="0" w:color="auto"/>
              <w:right w:val="single" w:sz="4" w:space="0" w:color="auto"/>
            </w:tcBorders>
            <w:hideMark/>
          </w:tcPr>
          <w:p w14:paraId="798ADE18" w14:textId="00D12EE1"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72" w:history="1">
              <w:r w:rsidRPr="006B118E">
                <w:rPr>
                  <w:rFonts w:asciiTheme="majorBidi" w:hAnsiTheme="majorBidi"/>
                  <w:color w:val="467886"/>
                  <w:sz w:val="18"/>
                  <w:szCs w:val="18"/>
                  <w:u w:val="single"/>
                </w:rPr>
                <w:t>Serie de seminarios web sobre creación de capacidad para el acceso y la participación en los beneficios</w:t>
              </w:r>
            </w:hyperlink>
            <w:r w:rsidRPr="006B118E">
              <w:rPr>
                <w:rFonts w:asciiTheme="majorBidi" w:hAnsiTheme="majorBidi"/>
                <w:sz w:val="18"/>
                <w:szCs w:val="18"/>
              </w:rPr>
              <w:t>: financiar el biocomercio y el acceso y la participación en los beneficios: instrumentos de financiación combinada e ideas prácticas</w:t>
            </w:r>
          </w:p>
        </w:tc>
        <w:tc>
          <w:tcPr>
            <w:tcW w:w="3260" w:type="dxa"/>
            <w:tcBorders>
              <w:top w:val="nil"/>
              <w:left w:val="nil"/>
              <w:bottom w:val="single" w:sz="4" w:space="0" w:color="auto"/>
              <w:right w:val="single" w:sz="4" w:space="0" w:color="auto"/>
            </w:tcBorders>
            <w:hideMark/>
          </w:tcPr>
          <w:p w14:paraId="5F772824"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sz w:val="18"/>
                <w:szCs w:val="18"/>
              </w:rPr>
              <w:t>Secretaría del Convenio sobre la Diversidad Biológica e</w:t>
            </w:r>
            <w:r w:rsidRPr="006B118E">
              <w:rPr>
                <w:rFonts w:asciiTheme="majorBidi" w:hAnsiTheme="majorBidi"/>
                <w:color w:val="000000"/>
                <w:sz w:val="18"/>
                <w:szCs w:val="18"/>
              </w:rPr>
              <w:t xml:space="preserve"> Iniciativa de Desarrollo de Capacidad sobre Acceso y Participación en los Beneficios</w:t>
            </w:r>
          </w:p>
        </w:tc>
      </w:tr>
      <w:tr w:rsidR="008C04DA" w:rsidRPr="006B118E" w14:paraId="6B1F9CF3" w14:textId="77777777" w:rsidTr="00DC1360">
        <w:trPr>
          <w:trHeight w:val="580"/>
        </w:trPr>
        <w:tc>
          <w:tcPr>
            <w:tcW w:w="1260" w:type="dxa"/>
            <w:tcBorders>
              <w:top w:val="nil"/>
              <w:left w:val="single" w:sz="4" w:space="0" w:color="auto"/>
              <w:bottom w:val="single" w:sz="4" w:space="0" w:color="auto"/>
              <w:right w:val="single" w:sz="4" w:space="0" w:color="auto"/>
            </w:tcBorders>
            <w:noWrap/>
            <w:hideMark/>
          </w:tcPr>
          <w:p w14:paraId="6E625147"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17 de diciembre de 2025</w:t>
            </w:r>
          </w:p>
        </w:tc>
        <w:tc>
          <w:tcPr>
            <w:tcW w:w="7943" w:type="dxa"/>
            <w:tcBorders>
              <w:top w:val="nil"/>
              <w:left w:val="nil"/>
              <w:bottom w:val="single" w:sz="4" w:space="0" w:color="auto"/>
              <w:right w:val="single" w:sz="4" w:space="0" w:color="auto"/>
            </w:tcBorders>
            <w:hideMark/>
          </w:tcPr>
          <w:p w14:paraId="4CD5029C"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73" w:history="1">
              <w:r w:rsidRPr="006B118E">
                <w:rPr>
                  <w:rFonts w:asciiTheme="majorBidi" w:hAnsiTheme="majorBidi"/>
                  <w:color w:val="467886"/>
                  <w:sz w:val="18"/>
                  <w:szCs w:val="18"/>
                  <w:u w:val="single"/>
                </w:rPr>
                <w:t>Por qué los certificados de cumplimiento reconocidos internacionalmente son importantes para presentar informes sobre la participación en los beneficios no monetarios</w:t>
              </w:r>
            </w:hyperlink>
          </w:p>
        </w:tc>
        <w:tc>
          <w:tcPr>
            <w:tcW w:w="3260" w:type="dxa"/>
            <w:tcBorders>
              <w:top w:val="nil"/>
              <w:left w:val="nil"/>
              <w:bottom w:val="single" w:sz="4" w:space="0" w:color="auto"/>
              <w:right w:val="single" w:sz="4" w:space="0" w:color="auto"/>
            </w:tcBorders>
            <w:hideMark/>
          </w:tcPr>
          <w:p w14:paraId="22D1F137"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sz w:val="18"/>
                <w:szCs w:val="18"/>
              </w:rPr>
              <w:t>Secretaría del Convenio sobre la Diversidad Biológica</w:t>
            </w:r>
            <w:r w:rsidRPr="006B118E">
              <w:rPr>
                <w:rFonts w:asciiTheme="majorBidi" w:hAnsiTheme="majorBidi"/>
                <w:color w:val="000000"/>
                <w:sz w:val="18"/>
                <w:szCs w:val="18"/>
              </w:rPr>
              <w:t xml:space="preserve"> y Leibniz Institute </w:t>
            </w:r>
            <w:r w:rsidRPr="006B118E">
              <w:rPr>
                <w:rFonts w:asciiTheme="majorBidi" w:hAnsiTheme="majorBidi"/>
                <w:sz w:val="18"/>
                <w:szCs w:val="18"/>
              </w:rPr>
              <w:t>DSMZ</w:t>
            </w:r>
          </w:p>
        </w:tc>
      </w:tr>
      <w:tr w:rsidR="008C04DA" w:rsidRPr="006B118E" w14:paraId="3A08704A" w14:textId="77777777" w:rsidTr="00DC1360">
        <w:trPr>
          <w:trHeight w:val="870"/>
        </w:trPr>
        <w:tc>
          <w:tcPr>
            <w:tcW w:w="1260" w:type="dxa"/>
            <w:tcBorders>
              <w:top w:val="nil"/>
              <w:left w:val="single" w:sz="4" w:space="0" w:color="auto"/>
              <w:bottom w:val="single" w:sz="4" w:space="0" w:color="auto"/>
              <w:right w:val="single" w:sz="4" w:space="0" w:color="auto"/>
            </w:tcBorders>
            <w:noWrap/>
            <w:hideMark/>
          </w:tcPr>
          <w:p w14:paraId="36D50B8A"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20 de enero de 2026</w:t>
            </w:r>
          </w:p>
        </w:tc>
        <w:tc>
          <w:tcPr>
            <w:tcW w:w="7943" w:type="dxa"/>
            <w:tcBorders>
              <w:top w:val="nil"/>
              <w:left w:val="nil"/>
              <w:bottom w:val="single" w:sz="4" w:space="0" w:color="auto"/>
              <w:right w:val="single" w:sz="4" w:space="0" w:color="auto"/>
            </w:tcBorders>
            <w:hideMark/>
          </w:tcPr>
          <w:p w14:paraId="26289150"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74" w:history="1">
              <w:r w:rsidRPr="006B118E">
                <w:rPr>
                  <w:rFonts w:asciiTheme="majorBidi" w:hAnsiTheme="majorBidi"/>
                  <w:color w:val="467886"/>
                  <w:sz w:val="18"/>
                  <w:szCs w:val="18"/>
                  <w:u w:val="single"/>
                </w:rPr>
                <w:t>Serie de seminarios web sobre creación de capacidad para el acceso y la participación en los beneficios</w:t>
              </w:r>
            </w:hyperlink>
            <w:r w:rsidRPr="006B118E">
              <w:rPr>
                <w:rFonts w:asciiTheme="majorBidi" w:hAnsiTheme="majorBidi"/>
                <w:sz w:val="18"/>
                <w:szCs w:val="18"/>
              </w:rPr>
              <w:t xml:space="preserve">: acelerar la implementación de las estrategias y planes de acción nacionales en materia de biodiversidad </w:t>
            </w:r>
          </w:p>
        </w:tc>
        <w:tc>
          <w:tcPr>
            <w:tcW w:w="3260" w:type="dxa"/>
            <w:tcBorders>
              <w:top w:val="nil"/>
              <w:left w:val="nil"/>
              <w:bottom w:val="single" w:sz="4" w:space="0" w:color="auto"/>
              <w:right w:val="single" w:sz="4" w:space="0" w:color="auto"/>
            </w:tcBorders>
            <w:hideMark/>
          </w:tcPr>
          <w:p w14:paraId="7D5B7E47"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sz w:val="18"/>
                <w:szCs w:val="18"/>
              </w:rPr>
              <w:t>Secretaría del Convenio sobre la Diversidad Biológica</w:t>
            </w:r>
            <w:r w:rsidRPr="006B118E">
              <w:rPr>
                <w:rFonts w:asciiTheme="majorBidi" w:hAnsiTheme="majorBidi"/>
                <w:color w:val="000000"/>
                <w:sz w:val="18"/>
                <w:szCs w:val="18"/>
              </w:rPr>
              <w:t xml:space="preserve"> y Alianza Aceleradora de las EPANB</w:t>
            </w:r>
          </w:p>
        </w:tc>
      </w:tr>
      <w:tr w:rsidR="008C04DA" w:rsidRPr="006B118E" w14:paraId="3B512BD2" w14:textId="77777777" w:rsidTr="00DC1360">
        <w:trPr>
          <w:trHeight w:val="580"/>
        </w:trPr>
        <w:tc>
          <w:tcPr>
            <w:tcW w:w="1260" w:type="dxa"/>
            <w:tcBorders>
              <w:top w:val="nil"/>
              <w:left w:val="single" w:sz="4" w:space="0" w:color="auto"/>
              <w:bottom w:val="single" w:sz="4" w:space="0" w:color="auto"/>
              <w:right w:val="single" w:sz="4" w:space="0" w:color="auto"/>
            </w:tcBorders>
            <w:noWrap/>
            <w:hideMark/>
          </w:tcPr>
          <w:p w14:paraId="70C8A284"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19 de mayo de 2026</w:t>
            </w:r>
          </w:p>
        </w:tc>
        <w:tc>
          <w:tcPr>
            <w:tcW w:w="7943" w:type="dxa"/>
            <w:tcBorders>
              <w:top w:val="nil"/>
              <w:left w:val="nil"/>
              <w:bottom w:val="single" w:sz="4" w:space="0" w:color="auto"/>
              <w:right w:val="single" w:sz="4" w:space="0" w:color="auto"/>
            </w:tcBorders>
            <w:hideMark/>
          </w:tcPr>
          <w:p w14:paraId="5C0FA7C6"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75" w:history="1">
              <w:r w:rsidRPr="006B118E">
                <w:rPr>
                  <w:rFonts w:asciiTheme="majorBidi" w:hAnsiTheme="majorBidi"/>
                  <w:color w:val="467886"/>
                  <w:sz w:val="18"/>
                  <w:szCs w:val="18"/>
                  <w:u w:val="single"/>
                </w:rPr>
                <w:t>Seminario web sobre creación de capacidad y recursos financieros:</w:t>
              </w:r>
            </w:hyperlink>
            <w:hyperlink r:id="rId76" w:history="1">
              <w:r w:rsidRPr="006B118E">
                <w:rPr>
                  <w:rFonts w:asciiTheme="majorBidi" w:hAnsiTheme="majorBidi"/>
                  <w:color w:val="467886"/>
                  <w:sz w:val="18"/>
                  <w:szCs w:val="18"/>
                  <w:u w:val="single"/>
                </w:rPr>
                <w:t xml:space="preserve"> resultados de la evaluación y revisión del Protocolo de Nagoya</w:t>
              </w:r>
            </w:hyperlink>
          </w:p>
        </w:tc>
        <w:tc>
          <w:tcPr>
            <w:tcW w:w="3260" w:type="dxa"/>
            <w:tcBorders>
              <w:top w:val="nil"/>
              <w:left w:val="nil"/>
              <w:bottom w:val="single" w:sz="4" w:space="0" w:color="auto"/>
              <w:right w:val="single" w:sz="4" w:space="0" w:color="auto"/>
            </w:tcBorders>
            <w:hideMark/>
          </w:tcPr>
          <w:p w14:paraId="5FA440A7"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sz w:val="18"/>
                <w:szCs w:val="18"/>
              </w:rPr>
              <w:t>Secretaría del Convenio sobre la Diversidad Biológica</w:t>
            </w:r>
          </w:p>
        </w:tc>
      </w:tr>
      <w:tr w:rsidR="008C04DA" w:rsidRPr="006B118E" w14:paraId="1BC32F8D" w14:textId="77777777" w:rsidTr="00DC1360">
        <w:trPr>
          <w:trHeight w:val="580"/>
        </w:trPr>
        <w:tc>
          <w:tcPr>
            <w:tcW w:w="1260" w:type="dxa"/>
            <w:tcBorders>
              <w:top w:val="nil"/>
              <w:left w:val="single" w:sz="4" w:space="0" w:color="auto"/>
              <w:bottom w:val="single" w:sz="4" w:space="0" w:color="auto"/>
              <w:right w:val="single" w:sz="4" w:space="0" w:color="auto"/>
            </w:tcBorders>
            <w:noWrap/>
            <w:hideMark/>
          </w:tcPr>
          <w:p w14:paraId="340AF95F"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20 de mayo de 2026</w:t>
            </w:r>
          </w:p>
        </w:tc>
        <w:tc>
          <w:tcPr>
            <w:tcW w:w="7943" w:type="dxa"/>
            <w:tcBorders>
              <w:top w:val="nil"/>
              <w:left w:val="nil"/>
              <w:bottom w:val="single" w:sz="4" w:space="0" w:color="auto"/>
              <w:right w:val="single" w:sz="4" w:space="0" w:color="auto"/>
            </w:tcBorders>
            <w:hideMark/>
          </w:tcPr>
          <w:p w14:paraId="240D8270"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467886"/>
                <w:sz w:val="18"/>
                <w:szCs w:val="18"/>
                <w:u w:val="single"/>
              </w:rPr>
            </w:pPr>
            <w:hyperlink r:id="rId77" w:history="1">
              <w:r w:rsidRPr="006B118E">
                <w:rPr>
                  <w:rFonts w:asciiTheme="majorBidi" w:hAnsiTheme="majorBidi"/>
                  <w:color w:val="467886"/>
                  <w:sz w:val="18"/>
                  <w:szCs w:val="18"/>
                  <w:u w:val="single"/>
                </w:rPr>
                <w:t>Seminario web sobre el Centro de Intercambio de Información sobre Acceso y Participación en los Beneficios:</w:t>
              </w:r>
            </w:hyperlink>
            <w:hyperlink r:id="rId78" w:history="1">
              <w:r w:rsidRPr="006B118E">
                <w:rPr>
                  <w:rFonts w:asciiTheme="majorBidi" w:hAnsiTheme="majorBidi"/>
                  <w:color w:val="467886"/>
                  <w:sz w:val="18"/>
                  <w:szCs w:val="18"/>
                  <w:u w:val="single"/>
                </w:rPr>
                <w:t xml:space="preserve"> resultados de la evaluación y revisión del Protocolo de Nagoya</w:t>
              </w:r>
            </w:hyperlink>
          </w:p>
        </w:tc>
        <w:tc>
          <w:tcPr>
            <w:tcW w:w="3260" w:type="dxa"/>
            <w:tcBorders>
              <w:top w:val="nil"/>
              <w:left w:val="nil"/>
              <w:bottom w:val="single" w:sz="4" w:space="0" w:color="auto"/>
              <w:right w:val="single" w:sz="4" w:space="0" w:color="auto"/>
            </w:tcBorders>
            <w:hideMark/>
          </w:tcPr>
          <w:p w14:paraId="3551BCC2"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sz w:val="18"/>
                <w:szCs w:val="18"/>
              </w:rPr>
              <w:t>Secretaría del Convenio sobre la Diversidad Biológica</w:t>
            </w:r>
          </w:p>
        </w:tc>
      </w:tr>
      <w:tr w:rsidR="008C04DA" w:rsidRPr="006B118E" w14:paraId="197B71BB" w14:textId="77777777" w:rsidTr="00DC1360">
        <w:trPr>
          <w:trHeight w:val="580"/>
        </w:trPr>
        <w:tc>
          <w:tcPr>
            <w:tcW w:w="1260" w:type="dxa"/>
            <w:tcBorders>
              <w:top w:val="nil"/>
              <w:left w:val="single" w:sz="4" w:space="0" w:color="auto"/>
              <w:bottom w:val="single" w:sz="4" w:space="0" w:color="auto"/>
              <w:right w:val="single" w:sz="4" w:space="0" w:color="auto"/>
            </w:tcBorders>
            <w:noWrap/>
            <w:hideMark/>
          </w:tcPr>
          <w:p w14:paraId="2A03FC3B"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color w:val="000000"/>
                <w:sz w:val="18"/>
              </w:rPr>
              <w:t>16 de septiembre de 2026</w:t>
            </w:r>
          </w:p>
        </w:tc>
        <w:tc>
          <w:tcPr>
            <w:tcW w:w="7943" w:type="dxa"/>
            <w:tcBorders>
              <w:top w:val="nil"/>
              <w:left w:val="nil"/>
              <w:bottom w:val="single" w:sz="4" w:space="0" w:color="auto"/>
              <w:right w:val="single" w:sz="4" w:space="0" w:color="auto"/>
            </w:tcBorders>
            <w:hideMark/>
          </w:tcPr>
          <w:p w14:paraId="75F02C43"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hyperlink r:id="rId79" w:history="1">
              <w:r w:rsidRPr="006B118E">
                <w:rPr>
                  <w:rFonts w:asciiTheme="majorBidi" w:hAnsiTheme="majorBidi"/>
                  <w:color w:val="467886"/>
                  <w:sz w:val="18"/>
                  <w:szCs w:val="18"/>
                  <w:u w:val="single"/>
                </w:rPr>
                <w:t>Serie de seminarios web sobre creación de capacidad para el acceso y la participación en los beneficios</w:t>
              </w:r>
            </w:hyperlink>
            <w:r w:rsidRPr="006B118E">
              <w:rPr>
                <w:rFonts w:asciiTheme="majorBidi" w:hAnsiTheme="majorBidi"/>
                <w:sz w:val="18"/>
                <w:szCs w:val="18"/>
              </w:rPr>
              <w:t xml:space="preserve">: </w:t>
            </w:r>
            <w:r w:rsidRPr="006B118E">
              <w:rPr>
                <w:rFonts w:asciiTheme="majorBidi" w:hAnsiTheme="majorBidi"/>
                <w:color w:val="000000"/>
                <w:sz w:val="18"/>
                <w:szCs w:val="18"/>
              </w:rPr>
              <w:t xml:space="preserve">integrar el acceso y la participación en los beneficios en la financiación de la biodiversidad </w:t>
            </w:r>
          </w:p>
        </w:tc>
        <w:tc>
          <w:tcPr>
            <w:tcW w:w="3260" w:type="dxa"/>
            <w:tcBorders>
              <w:top w:val="nil"/>
              <w:left w:val="nil"/>
              <w:bottom w:val="single" w:sz="4" w:space="0" w:color="auto"/>
              <w:right w:val="single" w:sz="4" w:space="0" w:color="auto"/>
            </w:tcBorders>
            <w:hideMark/>
          </w:tcPr>
          <w:p w14:paraId="19DEF576" w14:textId="77777777" w:rsidR="008C04DA" w:rsidRPr="006B118E" w:rsidRDefault="008C04DA" w:rsidP="00DC1360">
            <w:pPr>
              <w:tabs>
                <w:tab w:val="clear" w:pos="567"/>
                <w:tab w:val="clear" w:pos="1134"/>
                <w:tab w:val="clear" w:pos="1701"/>
                <w:tab w:val="clear" w:pos="2268"/>
              </w:tabs>
              <w:jc w:val="left"/>
              <w:rPr>
                <w:rFonts w:asciiTheme="majorBidi" w:eastAsia="Times New Roman" w:hAnsiTheme="majorBidi" w:cstheme="majorBidi"/>
                <w:color w:val="000000"/>
                <w:sz w:val="18"/>
                <w:szCs w:val="18"/>
              </w:rPr>
            </w:pPr>
            <w:r w:rsidRPr="006B118E">
              <w:rPr>
                <w:rFonts w:asciiTheme="majorBidi" w:hAnsiTheme="majorBidi"/>
                <w:sz w:val="18"/>
                <w:szCs w:val="18"/>
              </w:rPr>
              <w:t>Secretaría del Convenio sobre la Diversidad Biológica, Programa de las Naciones Unidas para el Desarrollo, Iniciativa de Financiación de la Biodiversidad, Agencia Alemana de Cooperación Internacional e Iniciativa de Desarrollo de Capacidad sobre Acceso y Participación en los Beneficios</w:t>
            </w:r>
          </w:p>
        </w:tc>
      </w:tr>
    </w:tbl>
    <w:p w14:paraId="4504C477" w14:textId="389AD80D" w:rsidR="00FA2F28" w:rsidRPr="008C04DA" w:rsidRDefault="00264904" w:rsidP="00264904">
      <w:pPr>
        <w:pStyle w:val="Para1"/>
        <w:numPr>
          <w:ilvl w:val="0"/>
          <w:numId w:val="0"/>
        </w:numPr>
        <w:tabs>
          <w:tab w:val="clear" w:pos="567"/>
        </w:tabs>
        <w:jc w:val="center"/>
      </w:pPr>
      <w:r w:rsidRPr="006B118E">
        <w:t>__________</w:t>
      </w:r>
    </w:p>
    <w:sectPr w:rsidR="00FA2F28" w:rsidRPr="008C04DA" w:rsidSect="00FA2F28">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AAB04" w14:textId="77777777" w:rsidR="00933B4A" w:rsidRPr="006B118E" w:rsidRDefault="00933B4A" w:rsidP="00CF1848">
      <w:r w:rsidRPr="006B118E">
        <w:separator/>
      </w:r>
    </w:p>
  </w:endnote>
  <w:endnote w:type="continuationSeparator" w:id="0">
    <w:p w14:paraId="257467AA" w14:textId="77777777" w:rsidR="00933B4A" w:rsidRPr="006B118E" w:rsidRDefault="00933B4A" w:rsidP="00CF1848">
      <w:r w:rsidRPr="006B11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7CEE5FE" w14:textId="77777777" w:rsidR="00D75CA6" w:rsidRPr="006B118E" w:rsidRDefault="00D75CA6" w:rsidP="00D75CA6">
            <w:pPr>
              <w:pStyle w:val="Piedepgina"/>
              <w:jc w:val="left"/>
            </w:pPr>
            <w:r w:rsidRPr="006B118E">
              <w:rPr>
                <w:szCs w:val="20"/>
              </w:rPr>
              <w:fldChar w:fldCharType="begin"/>
            </w:r>
            <w:r w:rsidRPr="006B118E">
              <w:rPr>
                <w:szCs w:val="20"/>
              </w:rPr>
              <w:instrText xml:space="preserve"> PAGE </w:instrText>
            </w:r>
            <w:r w:rsidRPr="006B118E">
              <w:rPr>
                <w:szCs w:val="20"/>
              </w:rPr>
              <w:fldChar w:fldCharType="separate"/>
            </w:r>
            <w:r w:rsidRPr="006B118E">
              <w:rPr>
                <w:szCs w:val="20"/>
              </w:rPr>
              <w:t>2</w:t>
            </w:r>
            <w:r w:rsidRPr="006B118E">
              <w:rPr>
                <w:szCs w:val="20"/>
              </w:rPr>
              <w:fldChar w:fldCharType="end"/>
            </w:r>
            <w:r w:rsidRPr="006B118E">
              <w:rPr>
                <w:szCs w:val="20"/>
              </w:rPr>
              <w:t>/</w:t>
            </w:r>
            <w:r w:rsidRPr="006B118E">
              <w:rPr>
                <w:szCs w:val="20"/>
              </w:rPr>
              <w:fldChar w:fldCharType="begin"/>
            </w:r>
            <w:r w:rsidRPr="006B118E">
              <w:rPr>
                <w:szCs w:val="20"/>
              </w:rPr>
              <w:instrText xml:space="preserve"> NUMPAGES  </w:instrText>
            </w:r>
            <w:r w:rsidRPr="006B118E">
              <w:rPr>
                <w:szCs w:val="20"/>
              </w:rPr>
              <w:fldChar w:fldCharType="separate"/>
            </w:r>
            <w:r w:rsidRPr="006B118E">
              <w:rPr>
                <w:szCs w:val="20"/>
              </w:rPr>
              <w:t>2</w:t>
            </w:r>
            <w:r w:rsidRPr="006B118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A5E3036" w14:textId="77777777" w:rsidR="00D75CA6" w:rsidRPr="006B118E" w:rsidRDefault="00D75CA6" w:rsidP="00264904">
        <w:pPr>
          <w:pStyle w:val="Piedepgina"/>
          <w:jc w:val="right"/>
        </w:pPr>
        <w:r w:rsidRPr="006B118E">
          <w:rPr>
            <w:szCs w:val="20"/>
          </w:rPr>
          <w:fldChar w:fldCharType="begin"/>
        </w:r>
        <w:r w:rsidRPr="006B118E">
          <w:rPr>
            <w:szCs w:val="20"/>
          </w:rPr>
          <w:instrText xml:space="preserve"> PAGE </w:instrText>
        </w:r>
        <w:r w:rsidRPr="006B118E">
          <w:rPr>
            <w:szCs w:val="20"/>
          </w:rPr>
          <w:fldChar w:fldCharType="separate"/>
        </w:r>
        <w:r w:rsidRPr="006B118E">
          <w:rPr>
            <w:szCs w:val="20"/>
          </w:rPr>
          <w:t>2</w:t>
        </w:r>
        <w:r w:rsidRPr="006B118E">
          <w:rPr>
            <w:szCs w:val="20"/>
          </w:rPr>
          <w:fldChar w:fldCharType="end"/>
        </w:r>
        <w:r w:rsidRPr="006B118E">
          <w:rPr>
            <w:szCs w:val="20"/>
          </w:rPr>
          <w:t>/</w:t>
        </w:r>
        <w:r w:rsidRPr="006B118E">
          <w:rPr>
            <w:szCs w:val="20"/>
          </w:rPr>
          <w:fldChar w:fldCharType="begin"/>
        </w:r>
        <w:r w:rsidRPr="006B118E">
          <w:rPr>
            <w:szCs w:val="20"/>
          </w:rPr>
          <w:instrText xml:space="preserve"> NUMPAGES  </w:instrText>
        </w:r>
        <w:r w:rsidRPr="006B118E">
          <w:rPr>
            <w:szCs w:val="20"/>
          </w:rPr>
          <w:fldChar w:fldCharType="separate"/>
        </w:r>
        <w:r w:rsidRPr="006B118E">
          <w:rPr>
            <w:szCs w:val="20"/>
          </w:rPr>
          <w:t>3</w:t>
        </w:r>
        <w:r w:rsidRPr="006B118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3C09A" w14:textId="77777777" w:rsidR="00933B4A" w:rsidRPr="006B118E" w:rsidRDefault="00933B4A" w:rsidP="00CF1848">
      <w:r w:rsidRPr="006B118E">
        <w:separator/>
      </w:r>
    </w:p>
  </w:footnote>
  <w:footnote w:type="continuationSeparator" w:id="0">
    <w:p w14:paraId="10A3897E" w14:textId="77777777" w:rsidR="00933B4A" w:rsidRPr="006B118E" w:rsidRDefault="00933B4A" w:rsidP="00CF1848">
      <w:r w:rsidRPr="006B118E">
        <w:continuationSeparator/>
      </w:r>
    </w:p>
  </w:footnote>
  <w:footnote w:id="1">
    <w:p w14:paraId="4117CC6C" w14:textId="77777777" w:rsidR="008A1499" w:rsidRPr="006B118E" w:rsidRDefault="008A1499">
      <w:pPr>
        <w:pStyle w:val="Textonotapie"/>
      </w:pPr>
      <w:r w:rsidRPr="006B118E">
        <w:rPr>
          <w:rStyle w:val="Refdenotaalpie"/>
          <w:lang w:val="es-ES_tradnl"/>
        </w:rPr>
        <w:t>*</w:t>
      </w:r>
      <w:r w:rsidRPr="006B118E">
        <w:t xml:space="preserve"> </w:t>
      </w:r>
      <w:hyperlink r:id="rId1" w:history="1">
        <w:r w:rsidRPr="006B118E">
          <w:rPr>
            <w:rStyle w:val="Hipervnculo"/>
            <w:lang w:val="es-ES_tradnl"/>
          </w:rPr>
          <w:t>CBD/</w:t>
        </w:r>
        <w:r w:rsidR="00975047" w:rsidRPr="006B118E">
          <w:rPr>
            <w:rStyle w:val="Hipervnculo"/>
            <w:lang w:val="es-ES_tradnl"/>
          </w:rPr>
          <w:t>NP/MOP/6</w:t>
        </w:r>
        <w:r w:rsidRPr="006B118E">
          <w:rPr>
            <w:rStyle w:val="Hipervnculo"/>
            <w:lang w:val="es-ES_tradnl"/>
          </w:rPr>
          <w:t>/1</w:t>
        </w:r>
      </w:hyperlink>
      <w:r w:rsidRPr="006B118E">
        <w:t>.</w:t>
      </w:r>
    </w:p>
  </w:footnote>
  <w:footnote w:id="2">
    <w:p w14:paraId="38C7CEE3" w14:textId="77777777" w:rsidR="008C04DA" w:rsidRPr="006B118E" w:rsidRDefault="008C04DA" w:rsidP="008C04DA">
      <w:pPr>
        <w:pStyle w:val="Textonotapie"/>
      </w:pPr>
      <w:r w:rsidRPr="006B118E">
        <w:rPr>
          <w:rStyle w:val="Refdenotaalpie"/>
          <w:lang w:val="es-ES_tradnl"/>
        </w:rPr>
        <w:footnoteRef/>
      </w:r>
      <w:r w:rsidRPr="006B118E">
        <w:t xml:space="preserve"> Todos los documentos oficiales y de información están disponibles en </w:t>
      </w:r>
      <w:hyperlink r:id="rId2" w:history="1">
        <w:r w:rsidRPr="006B118E">
          <w:rPr>
            <w:rStyle w:val="Hipervnculo"/>
            <w:lang w:val="es-ES_tradnl"/>
          </w:rPr>
          <w:t>www.cbd.int/meetings/SBI-07</w:t>
        </w:r>
      </w:hyperlink>
      <w:r w:rsidRPr="006B118E">
        <w:t xml:space="preserve">. </w:t>
      </w:r>
    </w:p>
  </w:footnote>
  <w:footnote w:id="3">
    <w:p w14:paraId="6458A22B" w14:textId="77777777" w:rsidR="008C04DA" w:rsidRPr="006B118E" w:rsidRDefault="008C04DA" w:rsidP="008C04DA">
      <w:pPr>
        <w:pStyle w:val="Textonotapie"/>
      </w:pPr>
      <w:r w:rsidRPr="006B118E">
        <w:rPr>
          <w:rStyle w:val="Refdenotaalpie"/>
          <w:lang w:val="es-ES_tradnl"/>
        </w:rPr>
        <w:footnoteRef/>
      </w:r>
      <w:r w:rsidRPr="006B118E">
        <w:t xml:space="preserve"> Todos los </w:t>
      </w:r>
      <w:bookmarkStart w:id="2" w:name="_Hlk240978160"/>
      <w:r w:rsidRPr="006B118E">
        <w:t xml:space="preserve">documentos oficiales y de referencia están </w:t>
      </w:r>
      <w:bookmarkEnd w:id="2"/>
      <w:r w:rsidRPr="006B118E">
        <w:t xml:space="preserve">disponibles en </w:t>
      </w:r>
      <w:hyperlink r:id="rId3" w:history="1">
        <w:r w:rsidRPr="006B118E">
          <w:rPr>
            <w:rStyle w:val="Hipervnculo"/>
            <w:lang w:val="es-ES_tradnl"/>
          </w:rPr>
          <w:t>www.cbd.int/meetings/NP-CB-IAC-2026-01</w:t>
        </w:r>
      </w:hyperlink>
      <w:r w:rsidRPr="006B118E">
        <w:t>.</w:t>
      </w:r>
    </w:p>
  </w:footnote>
  <w:footnote w:id="4">
    <w:p w14:paraId="3752454E" w14:textId="77777777" w:rsidR="008C04DA" w:rsidRPr="006B118E" w:rsidRDefault="008C04DA" w:rsidP="008C04DA">
      <w:pPr>
        <w:pStyle w:val="Textonotapie"/>
      </w:pPr>
      <w:r w:rsidRPr="006B118E">
        <w:rPr>
          <w:rStyle w:val="Refdenotaalpie"/>
          <w:lang w:val="es-ES_tradnl"/>
        </w:rPr>
        <w:footnoteRef/>
      </w:r>
      <w:r w:rsidRPr="006B118E">
        <w:t xml:space="preserve"> Todos los documentos oficiales y de referencia están disponibles en </w:t>
      </w:r>
      <w:hyperlink r:id="rId4" w:history="1">
        <w:r w:rsidRPr="006B118E">
          <w:rPr>
            <w:rStyle w:val="Hipervnculo"/>
            <w:lang w:val="es-ES_tradnl"/>
          </w:rPr>
          <w:t>www.cbd.int/meetings/NP-CC-05</w:t>
        </w:r>
      </w:hyperlink>
      <w:r w:rsidRPr="006B118E">
        <w:t>.</w:t>
      </w:r>
    </w:p>
  </w:footnote>
  <w:footnote w:id="5">
    <w:p w14:paraId="6A399A93" w14:textId="77777777" w:rsidR="008C04DA" w:rsidRPr="006B118E" w:rsidRDefault="008C04DA" w:rsidP="008C04DA">
      <w:pPr>
        <w:pStyle w:val="Textonotapie"/>
      </w:pPr>
      <w:r w:rsidRPr="006B118E">
        <w:rPr>
          <w:rStyle w:val="Refdenotaalpie"/>
          <w:lang w:val="es-ES_tradnl"/>
        </w:rPr>
        <w:footnoteRef/>
      </w:r>
      <w:r w:rsidRPr="006B118E">
        <w:t xml:space="preserve"> Argentina, Benin, Bhután, Costa Rica, Côte d’Ivoire, Etiopía, Kenya, Madagascar, Malasia y Perú.</w:t>
      </w:r>
    </w:p>
  </w:footnote>
  <w:footnote w:id="6">
    <w:p w14:paraId="3EEBE00E" w14:textId="77777777" w:rsidR="008C04DA" w:rsidRPr="006B118E" w:rsidRDefault="008C04DA" w:rsidP="008C04DA">
      <w:pPr>
        <w:pStyle w:val="Textonotapie"/>
      </w:pPr>
      <w:r w:rsidRPr="006B118E">
        <w:rPr>
          <w:rStyle w:val="Refdenotaalpie"/>
          <w:lang w:val="es-ES_tradnl"/>
        </w:rPr>
        <w:footnoteRef/>
      </w:r>
      <w:r w:rsidRPr="006B118E">
        <w:t xml:space="preserve"> Para obtener más información y ejemplos de las guías, véase </w:t>
      </w:r>
      <w:bookmarkStart w:id="8" w:name="_Hlk240966646"/>
      <w:r w:rsidRPr="006B118E">
        <w:fldChar w:fldCharType="begin"/>
      </w:r>
      <w:r w:rsidRPr="006B118E">
        <w:instrText>HYPERLINK "https://nagoyaprotocol-hub.de/easy-abs-guides/"</w:instrText>
      </w:r>
      <w:r w:rsidRPr="006B118E">
        <w:fldChar w:fldCharType="separate"/>
      </w:r>
      <w:r w:rsidRPr="006B118E">
        <w:rPr>
          <w:rStyle w:val="Hipervnculo"/>
          <w:lang w:val="es-ES_tradnl"/>
        </w:rPr>
        <w:t>https://nagoyaprotocol-hub.de/easy-abs-guides/</w:t>
      </w:r>
      <w:bookmarkEnd w:id="8"/>
      <w:r w:rsidRPr="006B118E">
        <w:fldChar w:fldCharType="end"/>
      </w:r>
      <w:r w:rsidRPr="006B118E">
        <w:t>.</w:t>
      </w:r>
    </w:p>
  </w:footnote>
  <w:footnote w:id="7">
    <w:p w14:paraId="79FF4D14" w14:textId="77777777" w:rsidR="008C04DA" w:rsidRPr="006B118E" w:rsidRDefault="008C04DA" w:rsidP="008C04DA">
      <w:pPr>
        <w:pStyle w:val="Textonotapie"/>
      </w:pPr>
      <w:r w:rsidRPr="006B118E">
        <w:rPr>
          <w:rStyle w:val="Refdenotaalpie"/>
          <w:lang w:val="es-ES_tradnl"/>
        </w:rPr>
        <w:footnoteRef/>
      </w:r>
      <w:r w:rsidRPr="006B118E">
        <w:t xml:space="preserve"> Véase </w:t>
      </w:r>
      <w:hyperlink r:id="rId5" w:history="1">
        <w:r w:rsidRPr="006B118E">
          <w:rPr>
            <w:rStyle w:val="Hipervnculo"/>
            <w:lang w:val="es-ES_tradnl"/>
          </w:rPr>
          <w:t>https://absch.cbd.int/en/kb/tags/webinars/Recording-Webinar-on-Capacity-Building-and-Financial-Resources/69fe132a024bdd0128b95069</w:t>
        </w:r>
      </w:hyperlink>
      <w:r w:rsidRPr="006B118E">
        <w:t>.</w:t>
      </w:r>
    </w:p>
  </w:footnote>
  <w:footnote w:id="8">
    <w:p w14:paraId="523CE9DB" w14:textId="77777777" w:rsidR="008C04DA" w:rsidRPr="006B118E" w:rsidRDefault="008C04DA" w:rsidP="008C04DA">
      <w:pPr>
        <w:pStyle w:val="Textonotapie"/>
      </w:pPr>
      <w:r w:rsidRPr="006B118E">
        <w:rPr>
          <w:rStyle w:val="Refdenotaalpie"/>
          <w:lang w:val="es-ES_tradnl"/>
        </w:rPr>
        <w:footnoteRef/>
      </w:r>
      <w:r w:rsidRPr="006B118E">
        <w:t xml:space="preserve"> </w:t>
      </w:r>
      <w:hyperlink r:id="rId6" w:history="1">
        <w:r w:rsidRPr="006B118E">
          <w:rPr>
            <w:rStyle w:val="Hipervnculo"/>
            <w:lang w:val="es-ES_tradnl"/>
          </w:rPr>
          <w:t>CBD/NP/CC/5/4/Add.1-CBD/NP/CB-IAC/2026/1/3-CBD/SBI/7/7/Add.1</w:t>
        </w:r>
      </w:hyperlink>
      <w:r w:rsidRPr="006B118E">
        <w:t>.</w:t>
      </w:r>
    </w:p>
  </w:footnote>
  <w:footnote w:id="9">
    <w:p w14:paraId="05E45E7D" w14:textId="77777777" w:rsidR="008C04DA" w:rsidRPr="006B118E" w:rsidRDefault="008C04DA" w:rsidP="008C04DA">
      <w:pPr>
        <w:pStyle w:val="Textonotapie"/>
      </w:pPr>
      <w:r w:rsidRPr="006B118E">
        <w:rPr>
          <w:rStyle w:val="Refdenotaalpie"/>
          <w:lang w:val="es-ES_tradnl"/>
        </w:rPr>
        <w:footnoteRef/>
      </w:r>
      <w:r w:rsidRPr="006B118E">
        <w:t xml:space="preserve"> Con arreglo al marco de indicadores que figura en el anexo II de la decisión </w:t>
      </w:r>
      <w:hyperlink r:id="rId7" w:history="1">
        <w:r w:rsidRPr="006B118E">
          <w:rPr>
            <w:rStyle w:val="Hipervnculo"/>
            <w:lang w:val="es-ES_tradnl"/>
          </w:rPr>
          <w:t>NP-3/1</w:t>
        </w:r>
      </w:hyperlink>
      <w:r w:rsidRPr="006B118E">
        <w:t>.</w:t>
      </w:r>
    </w:p>
  </w:footnote>
  <w:footnote w:id="10">
    <w:p w14:paraId="2509926A" w14:textId="77777777" w:rsidR="008C04DA" w:rsidRPr="006B118E" w:rsidRDefault="008C04DA" w:rsidP="008C04DA">
      <w:pPr>
        <w:pStyle w:val="Textonotapie"/>
      </w:pPr>
      <w:r w:rsidRPr="006B118E">
        <w:rPr>
          <w:rStyle w:val="Refdenotaalpie"/>
          <w:lang w:val="es-ES_tradnl"/>
        </w:rPr>
        <w:footnoteRef/>
      </w:r>
      <w:r w:rsidRPr="006B118E">
        <w:t xml:space="preserve"> </w:t>
      </w:r>
      <w:hyperlink r:id="rId8" w:history="1">
        <w:r w:rsidRPr="006B118E">
          <w:rPr>
            <w:rStyle w:val="Hipervnculo"/>
            <w:lang w:val="es-ES_tradnl"/>
          </w:rPr>
          <w:t>CBD/NP/CB-IAC/2026/1/4</w:t>
        </w:r>
      </w:hyperlink>
      <w:r w:rsidRPr="006B118E">
        <w:t xml:space="preserve">. </w:t>
      </w:r>
    </w:p>
  </w:footnote>
  <w:footnote w:id="11">
    <w:p w14:paraId="7B42BE67" w14:textId="49BEAF60" w:rsidR="008C04DA" w:rsidRPr="006B118E" w:rsidRDefault="008C04DA" w:rsidP="008C04DA">
      <w:pPr>
        <w:pStyle w:val="Textonotapie"/>
      </w:pPr>
      <w:r w:rsidRPr="006B118E">
        <w:rPr>
          <w:rStyle w:val="Refdenotaalpie"/>
          <w:lang w:val="es-ES_tradnl"/>
        </w:rPr>
        <w:footnoteRef/>
      </w:r>
      <w:r w:rsidRPr="006B118E">
        <w:t xml:space="preserve"> El 9 de septiembre de 2025, la Secretaria Ejecutiva emitió la notificación núm. </w:t>
      </w:r>
      <w:hyperlink r:id="rId9" w:history="1">
        <w:r w:rsidRPr="006B118E">
          <w:rPr>
            <w:rStyle w:val="Hipervnculo"/>
            <w:lang w:val="es-ES_tradnl"/>
          </w:rPr>
          <w:t>2025-113</w:t>
        </w:r>
      </w:hyperlink>
      <w:r w:rsidRPr="006B118E">
        <w:t>, por la que se invitaba a las Partes, Estados que no son Parte, pueblos indígenas y comunidades locales, representantes de las mujeres y la juventud y organizaciones y partes interesadas pertinentes a proporcionar comentarios sobre la aplicación y funcionamiento del Centro de Intercambio de Información sobre Acceso y Participación en los Beneficios mediante una encuesta en línea.</w:t>
      </w:r>
    </w:p>
  </w:footnote>
  <w:footnote w:id="12">
    <w:p w14:paraId="4A8F63B6" w14:textId="77777777" w:rsidR="008C04DA" w:rsidRPr="006B118E" w:rsidRDefault="008C04DA" w:rsidP="008C04DA">
      <w:pPr>
        <w:pStyle w:val="Textonotapie"/>
      </w:pPr>
      <w:r w:rsidRPr="006B118E">
        <w:rPr>
          <w:rStyle w:val="Refdenotaalpie"/>
          <w:lang w:val="es-ES_tradnl"/>
        </w:rPr>
        <w:footnoteRef/>
      </w:r>
      <w:r w:rsidRPr="006B118E">
        <w:t xml:space="preserve"> Véase </w:t>
      </w:r>
      <w:hyperlink r:id="rId10" w:history="1">
        <w:r w:rsidRPr="006B118E">
          <w:rPr>
            <w:rStyle w:val="Hipervnculo"/>
            <w:lang w:val="es-ES_tradnl"/>
          </w:rPr>
          <w:t>https://absch.cbd.int/en/kb/tags/absch-announcement/Recording-Webinar-on-the-ABS-Clearing-House-Findings-from-the-Assessment-and-Review-of-the-Nagoya-Protocol/69fe0fc01329f5e500222c3a</w:t>
        </w:r>
      </w:hyperlink>
      <w:r w:rsidRPr="006B118E">
        <w:t>.</w:t>
      </w:r>
    </w:p>
  </w:footnote>
  <w:footnote w:id="13">
    <w:p w14:paraId="79F12557" w14:textId="77777777" w:rsidR="008C04DA" w:rsidRPr="006B118E" w:rsidRDefault="008C04DA" w:rsidP="008C04DA">
      <w:pPr>
        <w:pStyle w:val="Textonotapie"/>
      </w:pPr>
      <w:r w:rsidRPr="006B118E">
        <w:rPr>
          <w:rStyle w:val="Refdenotaalpie"/>
          <w:lang w:val="es-ES_tradnl"/>
        </w:rPr>
        <w:footnoteRef/>
      </w:r>
      <w:r w:rsidRPr="006B118E">
        <w:t xml:space="preserve"> </w:t>
      </w:r>
      <w:hyperlink r:id="rId11" w:history="1">
        <w:r w:rsidRPr="006B118E">
          <w:rPr>
            <w:rStyle w:val="Hipervnculo"/>
            <w:lang w:val="es-ES_tradnl"/>
          </w:rPr>
          <w:t>CBD/NP/CC/5/4/Add.1-CBD/NP/CB-IAC/2026/1/3-CBD/SBI/7/7/Add.1</w:t>
        </w:r>
      </w:hyperlink>
      <w:r w:rsidRPr="006B118E">
        <w:t>.</w:t>
      </w:r>
    </w:p>
  </w:footnote>
  <w:footnote w:id="14">
    <w:p w14:paraId="33326DD9" w14:textId="77777777" w:rsidR="008C04DA" w:rsidRPr="006B118E" w:rsidRDefault="008C04DA" w:rsidP="008C04DA">
      <w:pPr>
        <w:pStyle w:val="Textonotapie"/>
      </w:pPr>
      <w:r w:rsidRPr="006B118E">
        <w:rPr>
          <w:rStyle w:val="Refdenotaalpie"/>
          <w:lang w:val="es-ES_tradnl"/>
        </w:rPr>
        <w:footnoteRef/>
      </w:r>
      <w:r w:rsidRPr="006B118E">
        <w:t xml:space="preserve"> </w:t>
      </w:r>
      <w:hyperlink r:id="rId12" w:history="1">
        <w:r w:rsidRPr="006B118E">
          <w:rPr>
            <w:rStyle w:val="Hipervnculo"/>
            <w:lang w:val="es-ES_tradnl"/>
          </w:rPr>
          <w:t>CBD/NP/ABSCH-IAC/6/3</w:t>
        </w:r>
      </w:hyperlink>
      <w:r w:rsidRPr="006B118E">
        <w:t>.</w:t>
      </w:r>
    </w:p>
  </w:footnote>
  <w:footnote w:id="15">
    <w:p w14:paraId="30ACDF65" w14:textId="77777777" w:rsidR="008C04DA" w:rsidRPr="006B118E" w:rsidRDefault="008C04DA" w:rsidP="008C04DA">
      <w:pPr>
        <w:pStyle w:val="Textonotapie"/>
      </w:pPr>
      <w:r w:rsidRPr="006B118E">
        <w:rPr>
          <w:rStyle w:val="Refdenotaalpie"/>
          <w:lang w:val="es-ES_tradnl"/>
        </w:rPr>
        <w:footnoteRef/>
      </w:r>
      <w:r w:rsidRPr="006B118E">
        <w:t xml:space="preserve"> Para la revisión mundial, véase la decisión </w:t>
      </w:r>
      <w:hyperlink r:id="rId13" w:history="1">
        <w:r w:rsidRPr="006B118E">
          <w:rPr>
            <w:rStyle w:val="Hipervnculo"/>
            <w:lang w:val="es-ES_tradnl"/>
          </w:rPr>
          <w:t>16/32</w:t>
        </w:r>
      </w:hyperlink>
      <w:r w:rsidRPr="006B118E">
        <w:t xml:space="preserve"> de la Conferencia de las Partes en el Convenio; para la segunda evaluación y revisión, véase la decisión </w:t>
      </w:r>
      <w:hyperlink r:id="rId14" w:history="1">
        <w:r w:rsidRPr="006B118E">
          <w:rPr>
            <w:rStyle w:val="Hipervnculo"/>
            <w:lang w:val="es-ES_tradnl"/>
          </w:rPr>
          <w:t>NP-5/5</w:t>
        </w:r>
      </w:hyperlink>
      <w:r w:rsidRPr="006B118E">
        <w:t xml:space="preserve"> de la Conferencia de las Partes que actúa como reunión de las Partes en el Protocolo de Nagoya.</w:t>
      </w:r>
    </w:p>
  </w:footnote>
  <w:footnote w:id="16">
    <w:p w14:paraId="7302FD0E" w14:textId="77777777" w:rsidR="008C04DA" w:rsidRPr="006B118E" w:rsidRDefault="008C04DA" w:rsidP="008C04DA">
      <w:pPr>
        <w:pStyle w:val="Textonotapie"/>
      </w:pPr>
      <w:r w:rsidRPr="006B118E">
        <w:rPr>
          <w:rStyle w:val="Refdenotaalpie"/>
          <w:lang w:val="es-ES_tradnl"/>
        </w:rPr>
        <w:footnoteRef/>
      </w:r>
      <w:r w:rsidRPr="006B118E">
        <w:t xml:space="preserve"> </w:t>
      </w:r>
      <w:hyperlink r:id="rId15" w:history="1">
        <w:r w:rsidRPr="006B118E">
          <w:rPr>
            <w:rStyle w:val="Hipervnculo"/>
            <w:lang w:val="es-ES_tradnl"/>
          </w:rPr>
          <w:t>CBD/SBSTTA/28/2/Add.1/Rev.1</w:t>
        </w:r>
      </w:hyperlink>
      <w:r w:rsidRPr="006B118E">
        <w:t xml:space="preserve">. </w:t>
      </w:r>
    </w:p>
  </w:footnote>
  <w:footnote w:id="17">
    <w:p w14:paraId="54B2FA58" w14:textId="77777777" w:rsidR="008C04DA" w:rsidRPr="006B118E" w:rsidRDefault="008C04DA" w:rsidP="008C04DA">
      <w:pPr>
        <w:pStyle w:val="Textonotapie"/>
      </w:pPr>
      <w:r w:rsidRPr="006B118E">
        <w:rPr>
          <w:rStyle w:val="Refdenotaalpie"/>
          <w:lang w:val="es-ES_tradnl"/>
        </w:rPr>
        <w:footnoteRef/>
      </w:r>
      <w:r w:rsidRPr="006B118E">
        <w:t xml:space="preserve"> </w:t>
      </w:r>
      <w:hyperlink r:id="rId16" w:history="1">
        <w:r w:rsidRPr="006B118E">
          <w:rPr>
            <w:rStyle w:val="Hipervnculo"/>
            <w:lang w:val="es-ES_tradnl"/>
          </w:rPr>
          <w:t>CBD/SBSTTA/28/2/Add.3-CBD/SBI/7/2/Add.1</w:t>
        </w:r>
      </w:hyperlink>
      <w:r w:rsidRPr="006B118E">
        <w:t>.</w:t>
      </w:r>
    </w:p>
  </w:footnote>
  <w:footnote w:id="18">
    <w:p w14:paraId="713AF056" w14:textId="77777777" w:rsidR="008C04DA" w:rsidRPr="006B118E" w:rsidRDefault="008C04DA" w:rsidP="008C04DA">
      <w:pPr>
        <w:pStyle w:val="Textonotapie"/>
      </w:pPr>
      <w:r w:rsidRPr="006B118E">
        <w:rPr>
          <w:rStyle w:val="Refdenotaalpie"/>
          <w:lang w:val="es-ES_tradnl"/>
        </w:rPr>
        <w:footnoteRef/>
      </w:r>
      <w:r w:rsidRPr="006B118E">
        <w:t xml:space="preserve"> Véase </w:t>
      </w:r>
      <w:hyperlink r:id="rId17" w:history="1">
        <w:r w:rsidRPr="006B118E">
          <w:rPr>
            <w:rStyle w:val="Hipervnculo"/>
            <w:lang w:val="es-ES_tradnl"/>
          </w:rPr>
          <w:t>CBD/NP/CC/5/4/Add.1-CBD/NP/CB-IAC/2026/1/3-CBD/SBI/7/7/Add.1</w:t>
        </w:r>
      </w:hyperlink>
      <w:r w:rsidRPr="006B118E">
        <w:t>.</w:t>
      </w:r>
    </w:p>
  </w:footnote>
  <w:footnote w:id="19">
    <w:p w14:paraId="7D23026F" w14:textId="77777777" w:rsidR="008C04DA" w:rsidRPr="006B118E" w:rsidRDefault="008C04DA" w:rsidP="008C04DA">
      <w:pPr>
        <w:pStyle w:val="Textonotapie"/>
      </w:pPr>
      <w:r w:rsidRPr="006B118E">
        <w:rPr>
          <w:rStyle w:val="Refdenotaalpie"/>
          <w:lang w:val="es-ES_tradnl"/>
        </w:rPr>
        <w:footnoteRef/>
      </w:r>
      <w:r w:rsidRPr="006B118E">
        <w:t xml:space="preserve"> CBD/NP/MOP/6/INF/3.</w:t>
      </w:r>
    </w:p>
  </w:footnote>
  <w:footnote w:id="20">
    <w:p w14:paraId="43214B71" w14:textId="4E1C2A88" w:rsidR="008C04DA" w:rsidRPr="006B118E" w:rsidRDefault="008C04DA" w:rsidP="008C04DA">
      <w:pPr>
        <w:pStyle w:val="Textonotapie"/>
      </w:pPr>
      <w:r w:rsidRPr="006B118E">
        <w:rPr>
          <w:rStyle w:val="Refdenotaalpie"/>
          <w:lang w:val="es-ES_tradnl"/>
        </w:rPr>
        <w:footnoteRef/>
      </w:r>
      <w:r w:rsidRPr="006B118E">
        <w:t xml:space="preserve"> El proyecto titulado “Examinando Tendencias en la participación de beneficios no monetarios”, ejecutado por el </w:t>
      </w:r>
      <w:bookmarkStart w:id="24" w:name="_Hlk240986552"/>
      <w:r w:rsidRPr="006B118E">
        <w:t xml:space="preserve">Leibniz Institute DSMZ </w:t>
      </w:r>
      <w:bookmarkEnd w:id="24"/>
      <w:r w:rsidRPr="006B118E">
        <w:t>y financiado por la Agencia Federal Alemana para la Conservación de la Naturaleza y apoyado por la Unión Europea, dio lugar a la creación de una base de datos (</w:t>
      </w:r>
      <w:bookmarkStart w:id="25" w:name="_Hlk240984363"/>
      <w:bookmarkStart w:id="26" w:name="_Hlk240984353"/>
      <w:r w:rsidRPr="006B118E">
        <w:fldChar w:fldCharType="begin"/>
      </w:r>
      <w:r w:rsidRPr="006B118E">
        <w:instrText>HYPERLINK "https://nmbs.dsmz.de/"</w:instrText>
      </w:r>
      <w:r w:rsidRPr="006B118E">
        <w:fldChar w:fldCharType="separate"/>
      </w:r>
      <w:r w:rsidRPr="006B118E">
        <w:rPr>
          <w:rStyle w:val="Hipervnculo"/>
          <w:lang w:val="es-ES_tradnl"/>
        </w:rPr>
        <w:t>https://nmbs.dsmz.de/</w:t>
      </w:r>
      <w:bookmarkEnd w:id="25"/>
      <w:r w:rsidRPr="006B118E">
        <w:fldChar w:fldCharType="end"/>
      </w:r>
      <w:r w:rsidRPr="006B118E">
        <w:t xml:space="preserve">) </w:t>
      </w:r>
      <w:bookmarkEnd w:id="26"/>
      <w:r w:rsidRPr="006B118E">
        <w:t>de publicaciones científicas que mencionan un permiso de acceso y participación en los beneficios. De conformidad con la metodología acordada para el indicador de cabecera C.2, las Partes podían incluir la información de la base de datos en sus informes nacionales para informar acerca de varios indicadores sobre participación en los beneficios no monetarios relacionados con los resultados de investigación y desarrollo y las publicaciones científicas.</w:t>
      </w:r>
    </w:p>
  </w:footnote>
  <w:footnote w:id="21">
    <w:p w14:paraId="6F581646" w14:textId="77777777" w:rsidR="008C04DA" w:rsidRPr="008C04DA" w:rsidRDefault="008C04DA" w:rsidP="008C04DA">
      <w:pPr>
        <w:pStyle w:val="Textonotapie"/>
      </w:pPr>
      <w:r w:rsidRPr="006B118E">
        <w:rPr>
          <w:rStyle w:val="Refdenotaalpie"/>
          <w:lang w:val="es-ES_tradnl"/>
        </w:rPr>
        <w:footnoteRef/>
      </w:r>
      <w:r w:rsidRPr="006B118E">
        <w:t xml:space="preserve"> Decisión </w:t>
      </w:r>
      <w:hyperlink r:id="rId18" w:history="1">
        <w:r w:rsidRPr="006B118E">
          <w:rPr>
            <w:rStyle w:val="Hipervnculo"/>
            <w:lang w:val="es-ES_tradnl"/>
          </w:rPr>
          <w:t>16/32</w:t>
        </w:r>
      </w:hyperlink>
      <w:r w:rsidRPr="006B118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B35D140" w14:textId="27F48925" w:rsidR="00534681" w:rsidRPr="006B118E" w:rsidRDefault="00975047" w:rsidP="007C4951">
        <w:pPr>
          <w:pStyle w:val="Encabezado"/>
          <w:spacing w:after="240"/>
          <w:rPr>
            <w:szCs w:val="20"/>
          </w:rPr>
        </w:pPr>
        <w:r w:rsidRPr="006B118E">
          <w:rPr>
            <w:szCs w:val="20"/>
          </w:rPr>
          <w:t>CBD/NP/MOP/6/</w:t>
        </w:r>
        <w:r w:rsidR="007323FB" w:rsidRPr="006B118E">
          <w:rPr>
            <w:szCs w:val="20"/>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CEAA83D" w14:textId="2232E5BF" w:rsidR="009505C9" w:rsidRPr="006B118E" w:rsidRDefault="007323FB" w:rsidP="007C4951">
        <w:pPr>
          <w:pStyle w:val="Encabezado"/>
          <w:spacing w:after="240"/>
          <w:jc w:val="right"/>
        </w:pPr>
        <w:r w:rsidRPr="006B118E">
          <w:t>CBD/NP/MOP/6/7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49F3"/>
    <w:multiLevelType w:val="hybridMultilevel"/>
    <w:tmpl w:val="CF0EFFD8"/>
    <w:lvl w:ilvl="0" w:tplc="AF9226B2">
      <w:start w:val="1"/>
      <w:numFmt w:val="upperLetter"/>
      <w:lvlText w:val="%1."/>
      <w:lvlJc w:val="left"/>
      <w:pPr>
        <w:ind w:left="927" w:hanging="360"/>
      </w:pPr>
      <w:rPr>
        <w:rFonts w:hint="default"/>
        <w:b/>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5F9F25C0"/>
    <w:multiLevelType w:val="hybridMultilevel"/>
    <w:tmpl w:val="6C241694"/>
    <w:lvl w:ilvl="0" w:tplc="FFFFFFFF">
      <w:start w:val="1"/>
      <w:numFmt w:val="upp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68B70991"/>
    <w:multiLevelType w:val="hybridMultilevel"/>
    <w:tmpl w:val="8DD82640"/>
    <w:lvl w:ilvl="0" w:tplc="FFFFFFFF">
      <w:start w:val="1"/>
      <w:numFmt w:val="decimal"/>
      <w:pStyle w:val="Para10"/>
      <w:lvlText w:val="%1."/>
      <w:lvlJc w:val="left"/>
      <w:pPr>
        <w:ind w:left="927" w:hanging="360"/>
      </w:pPr>
      <w:rPr>
        <w:b w:val="0"/>
        <w:b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323945383">
    <w:abstractNumId w:val="4"/>
  </w:num>
  <w:num w:numId="8" w16cid:durableId="12355081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69499237">
    <w:abstractNumId w:val="6"/>
  </w:num>
  <w:num w:numId="10" w16cid:durableId="12196544">
    <w:abstractNumId w:val="5"/>
  </w:num>
  <w:num w:numId="11" w16cid:durableId="1324891165">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716"/>
    <w:rsid w:val="00000718"/>
    <w:rsid w:val="000016E1"/>
    <w:rsid w:val="00001847"/>
    <w:rsid w:val="00001FC9"/>
    <w:rsid w:val="0000296A"/>
    <w:rsid w:val="00002FAB"/>
    <w:rsid w:val="00003A01"/>
    <w:rsid w:val="00003DB2"/>
    <w:rsid w:val="00003F2E"/>
    <w:rsid w:val="00004563"/>
    <w:rsid w:val="00004D6E"/>
    <w:rsid w:val="0001068F"/>
    <w:rsid w:val="000129A8"/>
    <w:rsid w:val="00013AB8"/>
    <w:rsid w:val="00014002"/>
    <w:rsid w:val="00014139"/>
    <w:rsid w:val="000167E1"/>
    <w:rsid w:val="00016A42"/>
    <w:rsid w:val="00016D8A"/>
    <w:rsid w:val="00017D17"/>
    <w:rsid w:val="00020F14"/>
    <w:rsid w:val="00022229"/>
    <w:rsid w:val="0002255F"/>
    <w:rsid w:val="00022841"/>
    <w:rsid w:val="0002384E"/>
    <w:rsid w:val="00025358"/>
    <w:rsid w:val="00025447"/>
    <w:rsid w:val="00026097"/>
    <w:rsid w:val="000268E0"/>
    <w:rsid w:val="00026F1D"/>
    <w:rsid w:val="0002737D"/>
    <w:rsid w:val="00030BF9"/>
    <w:rsid w:val="00030E79"/>
    <w:rsid w:val="00030F2F"/>
    <w:rsid w:val="00031AE7"/>
    <w:rsid w:val="00032CA3"/>
    <w:rsid w:val="00033382"/>
    <w:rsid w:val="00033738"/>
    <w:rsid w:val="00033758"/>
    <w:rsid w:val="0003498A"/>
    <w:rsid w:val="00034BB3"/>
    <w:rsid w:val="00034DE8"/>
    <w:rsid w:val="00037E70"/>
    <w:rsid w:val="00041307"/>
    <w:rsid w:val="00041C27"/>
    <w:rsid w:val="0004219F"/>
    <w:rsid w:val="0004289E"/>
    <w:rsid w:val="00042C48"/>
    <w:rsid w:val="00043561"/>
    <w:rsid w:val="00043C15"/>
    <w:rsid w:val="0004465B"/>
    <w:rsid w:val="00044ED4"/>
    <w:rsid w:val="000458C8"/>
    <w:rsid w:val="000459BC"/>
    <w:rsid w:val="00045F90"/>
    <w:rsid w:val="00046D42"/>
    <w:rsid w:val="0004704B"/>
    <w:rsid w:val="000476FD"/>
    <w:rsid w:val="0004783A"/>
    <w:rsid w:val="00050515"/>
    <w:rsid w:val="00052CE1"/>
    <w:rsid w:val="000541B0"/>
    <w:rsid w:val="0005443A"/>
    <w:rsid w:val="00054800"/>
    <w:rsid w:val="000548D4"/>
    <w:rsid w:val="00054B29"/>
    <w:rsid w:val="000550E4"/>
    <w:rsid w:val="00055723"/>
    <w:rsid w:val="00055751"/>
    <w:rsid w:val="000560D0"/>
    <w:rsid w:val="00056563"/>
    <w:rsid w:val="000602E0"/>
    <w:rsid w:val="00061769"/>
    <w:rsid w:val="00061ED8"/>
    <w:rsid w:val="0006290B"/>
    <w:rsid w:val="00062A78"/>
    <w:rsid w:val="00063380"/>
    <w:rsid w:val="000642F9"/>
    <w:rsid w:val="00064732"/>
    <w:rsid w:val="00065AA0"/>
    <w:rsid w:val="00067246"/>
    <w:rsid w:val="0006774A"/>
    <w:rsid w:val="00070C4E"/>
    <w:rsid w:val="0007171B"/>
    <w:rsid w:val="00071950"/>
    <w:rsid w:val="00072C46"/>
    <w:rsid w:val="00072FB3"/>
    <w:rsid w:val="000735A7"/>
    <w:rsid w:val="0007376A"/>
    <w:rsid w:val="00074CAB"/>
    <w:rsid w:val="00074F23"/>
    <w:rsid w:val="00076A93"/>
    <w:rsid w:val="000815A8"/>
    <w:rsid w:val="000817A3"/>
    <w:rsid w:val="00081D87"/>
    <w:rsid w:val="000825AD"/>
    <w:rsid w:val="000826F4"/>
    <w:rsid w:val="00083BE2"/>
    <w:rsid w:val="00084703"/>
    <w:rsid w:val="0008556C"/>
    <w:rsid w:val="000858C2"/>
    <w:rsid w:val="00085A0D"/>
    <w:rsid w:val="00086F3D"/>
    <w:rsid w:val="00087063"/>
    <w:rsid w:val="000877C9"/>
    <w:rsid w:val="00087A88"/>
    <w:rsid w:val="00090374"/>
    <w:rsid w:val="00091225"/>
    <w:rsid w:val="0009143D"/>
    <w:rsid w:val="000915FA"/>
    <w:rsid w:val="000926BB"/>
    <w:rsid w:val="00093BB3"/>
    <w:rsid w:val="00094A24"/>
    <w:rsid w:val="000952CB"/>
    <w:rsid w:val="000A1654"/>
    <w:rsid w:val="000A3CAD"/>
    <w:rsid w:val="000A579D"/>
    <w:rsid w:val="000A686E"/>
    <w:rsid w:val="000A6C2C"/>
    <w:rsid w:val="000A7513"/>
    <w:rsid w:val="000A7D9E"/>
    <w:rsid w:val="000B0747"/>
    <w:rsid w:val="000B1716"/>
    <w:rsid w:val="000B1B2A"/>
    <w:rsid w:val="000B1F8B"/>
    <w:rsid w:val="000B4A46"/>
    <w:rsid w:val="000B6374"/>
    <w:rsid w:val="000B7664"/>
    <w:rsid w:val="000C066E"/>
    <w:rsid w:val="000C0928"/>
    <w:rsid w:val="000C1242"/>
    <w:rsid w:val="000C20CD"/>
    <w:rsid w:val="000C3048"/>
    <w:rsid w:val="000C3BF0"/>
    <w:rsid w:val="000C4D1E"/>
    <w:rsid w:val="000C547F"/>
    <w:rsid w:val="000C58CC"/>
    <w:rsid w:val="000C58D4"/>
    <w:rsid w:val="000C6909"/>
    <w:rsid w:val="000C6E03"/>
    <w:rsid w:val="000C7F49"/>
    <w:rsid w:val="000D042B"/>
    <w:rsid w:val="000D0F2F"/>
    <w:rsid w:val="000D0F68"/>
    <w:rsid w:val="000D1561"/>
    <w:rsid w:val="000D16AC"/>
    <w:rsid w:val="000D1BEE"/>
    <w:rsid w:val="000D2AD8"/>
    <w:rsid w:val="000D2E21"/>
    <w:rsid w:val="000D3349"/>
    <w:rsid w:val="000D3396"/>
    <w:rsid w:val="000D49AA"/>
    <w:rsid w:val="000D7272"/>
    <w:rsid w:val="000D7637"/>
    <w:rsid w:val="000D7638"/>
    <w:rsid w:val="000E0110"/>
    <w:rsid w:val="000E07B1"/>
    <w:rsid w:val="000E0EA0"/>
    <w:rsid w:val="000E1164"/>
    <w:rsid w:val="000E14DD"/>
    <w:rsid w:val="000E1B02"/>
    <w:rsid w:val="000E1EAA"/>
    <w:rsid w:val="000E23D5"/>
    <w:rsid w:val="000E2B58"/>
    <w:rsid w:val="000E321B"/>
    <w:rsid w:val="000E3474"/>
    <w:rsid w:val="000E377F"/>
    <w:rsid w:val="000E45C0"/>
    <w:rsid w:val="000E5356"/>
    <w:rsid w:val="000E53B5"/>
    <w:rsid w:val="000E5873"/>
    <w:rsid w:val="000E5E19"/>
    <w:rsid w:val="000E662E"/>
    <w:rsid w:val="000E673A"/>
    <w:rsid w:val="000E7BC9"/>
    <w:rsid w:val="000E7DD6"/>
    <w:rsid w:val="000F0B93"/>
    <w:rsid w:val="000F0C75"/>
    <w:rsid w:val="000F1A57"/>
    <w:rsid w:val="000F1A89"/>
    <w:rsid w:val="000F26ED"/>
    <w:rsid w:val="000F2F89"/>
    <w:rsid w:val="000F31C4"/>
    <w:rsid w:val="000F3423"/>
    <w:rsid w:val="000F57F1"/>
    <w:rsid w:val="000F6945"/>
    <w:rsid w:val="000F6BC2"/>
    <w:rsid w:val="000F6E3F"/>
    <w:rsid w:val="000F7414"/>
    <w:rsid w:val="000F74F5"/>
    <w:rsid w:val="000F77E7"/>
    <w:rsid w:val="000F78FC"/>
    <w:rsid w:val="001031DF"/>
    <w:rsid w:val="00105372"/>
    <w:rsid w:val="001053FE"/>
    <w:rsid w:val="001054A6"/>
    <w:rsid w:val="00105649"/>
    <w:rsid w:val="00105D80"/>
    <w:rsid w:val="00105E44"/>
    <w:rsid w:val="001068AB"/>
    <w:rsid w:val="001078A1"/>
    <w:rsid w:val="0011023B"/>
    <w:rsid w:val="0011140E"/>
    <w:rsid w:val="00111AB0"/>
    <w:rsid w:val="0011229F"/>
    <w:rsid w:val="001126FF"/>
    <w:rsid w:val="001127BE"/>
    <w:rsid w:val="00112A04"/>
    <w:rsid w:val="00112F44"/>
    <w:rsid w:val="00113064"/>
    <w:rsid w:val="0011360F"/>
    <w:rsid w:val="00113AD7"/>
    <w:rsid w:val="00114CD2"/>
    <w:rsid w:val="001172BD"/>
    <w:rsid w:val="001174C0"/>
    <w:rsid w:val="00117C24"/>
    <w:rsid w:val="00117D35"/>
    <w:rsid w:val="0012080D"/>
    <w:rsid w:val="00121207"/>
    <w:rsid w:val="0012183C"/>
    <w:rsid w:val="0012198E"/>
    <w:rsid w:val="00122880"/>
    <w:rsid w:val="001230B6"/>
    <w:rsid w:val="00123BF9"/>
    <w:rsid w:val="001259D5"/>
    <w:rsid w:val="00125D05"/>
    <w:rsid w:val="0012659B"/>
    <w:rsid w:val="0013041A"/>
    <w:rsid w:val="00130C4D"/>
    <w:rsid w:val="001312AD"/>
    <w:rsid w:val="00131E7A"/>
    <w:rsid w:val="00131FA6"/>
    <w:rsid w:val="00132530"/>
    <w:rsid w:val="00133FA6"/>
    <w:rsid w:val="00134846"/>
    <w:rsid w:val="00134867"/>
    <w:rsid w:val="00135D0A"/>
    <w:rsid w:val="00141164"/>
    <w:rsid w:val="001427C7"/>
    <w:rsid w:val="001429C1"/>
    <w:rsid w:val="00143399"/>
    <w:rsid w:val="00144BBB"/>
    <w:rsid w:val="00144F70"/>
    <w:rsid w:val="001462A8"/>
    <w:rsid w:val="001470B6"/>
    <w:rsid w:val="00147834"/>
    <w:rsid w:val="001506EA"/>
    <w:rsid w:val="00150EAB"/>
    <w:rsid w:val="00150F25"/>
    <w:rsid w:val="001510BA"/>
    <w:rsid w:val="0015279A"/>
    <w:rsid w:val="0015380C"/>
    <w:rsid w:val="00153FD9"/>
    <w:rsid w:val="0015430D"/>
    <w:rsid w:val="001561AE"/>
    <w:rsid w:val="0016054D"/>
    <w:rsid w:val="00160D4B"/>
    <w:rsid w:val="001616ED"/>
    <w:rsid w:val="00162C06"/>
    <w:rsid w:val="001645AB"/>
    <w:rsid w:val="001650AF"/>
    <w:rsid w:val="00165199"/>
    <w:rsid w:val="001653DA"/>
    <w:rsid w:val="00165B4A"/>
    <w:rsid w:val="00165F42"/>
    <w:rsid w:val="001661FF"/>
    <w:rsid w:val="0016693C"/>
    <w:rsid w:val="001674BF"/>
    <w:rsid w:val="00167712"/>
    <w:rsid w:val="00167D91"/>
    <w:rsid w:val="00167FE1"/>
    <w:rsid w:val="001704A2"/>
    <w:rsid w:val="00170AD2"/>
    <w:rsid w:val="00171220"/>
    <w:rsid w:val="0017174A"/>
    <w:rsid w:val="0017280C"/>
    <w:rsid w:val="00172AF6"/>
    <w:rsid w:val="001731EB"/>
    <w:rsid w:val="001736CE"/>
    <w:rsid w:val="00173FE0"/>
    <w:rsid w:val="00175658"/>
    <w:rsid w:val="00176CEE"/>
    <w:rsid w:val="00176DB6"/>
    <w:rsid w:val="00180F64"/>
    <w:rsid w:val="00181548"/>
    <w:rsid w:val="00183F45"/>
    <w:rsid w:val="0018405E"/>
    <w:rsid w:val="00185054"/>
    <w:rsid w:val="0018589A"/>
    <w:rsid w:val="00185D12"/>
    <w:rsid w:val="00186227"/>
    <w:rsid w:val="001863F7"/>
    <w:rsid w:val="00186752"/>
    <w:rsid w:val="00186DD8"/>
    <w:rsid w:val="001874A9"/>
    <w:rsid w:val="001903C6"/>
    <w:rsid w:val="00192DFF"/>
    <w:rsid w:val="00193588"/>
    <w:rsid w:val="00193981"/>
    <w:rsid w:val="001940D9"/>
    <w:rsid w:val="00194E48"/>
    <w:rsid w:val="00194E7F"/>
    <w:rsid w:val="0019561F"/>
    <w:rsid w:val="00195E66"/>
    <w:rsid w:val="001965DD"/>
    <w:rsid w:val="00196DF8"/>
    <w:rsid w:val="00196F7E"/>
    <w:rsid w:val="00197172"/>
    <w:rsid w:val="001A07C7"/>
    <w:rsid w:val="001A18EA"/>
    <w:rsid w:val="001A26E7"/>
    <w:rsid w:val="001A33E3"/>
    <w:rsid w:val="001A35EC"/>
    <w:rsid w:val="001A3F9A"/>
    <w:rsid w:val="001A421E"/>
    <w:rsid w:val="001A49F9"/>
    <w:rsid w:val="001A546E"/>
    <w:rsid w:val="001A58AF"/>
    <w:rsid w:val="001A6620"/>
    <w:rsid w:val="001B13FE"/>
    <w:rsid w:val="001B192F"/>
    <w:rsid w:val="001B2430"/>
    <w:rsid w:val="001B34C5"/>
    <w:rsid w:val="001B3CD0"/>
    <w:rsid w:val="001B50D1"/>
    <w:rsid w:val="001B6216"/>
    <w:rsid w:val="001B6D71"/>
    <w:rsid w:val="001B7303"/>
    <w:rsid w:val="001B737C"/>
    <w:rsid w:val="001B7BD1"/>
    <w:rsid w:val="001C013F"/>
    <w:rsid w:val="001C08C6"/>
    <w:rsid w:val="001C10B7"/>
    <w:rsid w:val="001C174C"/>
    <w:rsid w:val="001C1B1B"/>
    <w:rsid w:val="001C27DA"/>
    <w:rsid w:val="001C2911"/>
    <w:rsid w:val="001C2C3B"/>
    <w:rsid w:val="001C43F5"/>
    <w:rsid w:val="001C461D"/>
    <w:rsid w:val="001C4751"/>
    <w:rsid w:val="001C4FC5"/>
    <w:rsid w:val="001D1F18"/>
    <w:rsid w:val="001D3FB2"/>
    <w:rsid w:val="001D415D"/>
    <w:rsid w:val="001D4D22"/>
    <w:rsid w:val="001D4E47"/>
    <w:rsid w:val="001D5E79"/>
    <w:rsid w:val="001D6AA8"/>
    <w:rsid w:val="001D7013"/>
    <w:rsid w:val="001D7567"/>
    <w:rsid w:val="001D7A12"/>
    <w:rsid w:val="001D7B32"/>
    <w:rsid w:val="001E1294"/>
    <w:rsid w:val="001E20F9"/>
    <w:rsid w:val="001E23C9"/>
    <w:rsid w:val="001E3F66"/>
    <w:rsid w:val="001E4C66"/>
    <w:rsid w:val="001E5455"/>
    <w:rsid w:val="001E550D"/>
    <w:rsid w:val="001E78C5"/>
    <w:rsid w:val="001F046C"/>
    <w:rsid w:val="001F0A60"/>
    <w:rsid w:val="001F1C64"/>
    <w:rsid w:val="001F2E61"/>
    <w:rsid w:val="001F3381"/>
    <w:rsid w:val="001F3CB1"/>
    <w:rsid w:val="001F41B4"/>
    <w:rsid w:val="001F5CF5"/>
    <w:rsid w:val="001F6E68"/>
    <w:rsid w:val="001F72CE"/>
    <w:rsid w:val="00200343"/>
    <w:rsid w:val="00200D92"/>
    <w:rsid w:val="0020160B"/>
    <w:rsid w:val="00202007"/>
    <w:rsid w:val="00203000"/>
    <w:rsid w:val="002046E6"/>
    <w:rsid w:val="002064C6"/>
    <w:rsid w:val="00207CDB"/>
    <w:rsid w:val="00207FB6"/>
    <w:rsid w:val="002136BD"/>
    <w:rsid w:val="0021430B"/>
    <w:rsid w:val="00215B6F"/>
    <w:rsid w:val="0021644D"/>
    <w:rsid w:val="002167EB"/>
    <w:rsid w:val="00216D02"/>
    <w:rsid w:val="002174F4"/>
    <w:rsid w:val="00217FE0"/>
    <w:rsid w:val="002204CA"/>
    <w:rsid w:val="0022118C"/>
    <w:rsid w:val="00221471"/>
    <w:rsid w:val="00221BD6"/>
    <w:rsid w:val="00221FF1"/>
    <w:rsid w:val="0022409B"/>
    <w:rsid w:val="002246F7"/>
    <w:rsid w:val="002262B1"/>
    <w:rsid w:val="002278FC"/>
    <w:rsid w:val="00227D0F"/>
    <w:rsid w:val="00227F40"/>
    <w:rsid w:val="00230332"/>
    <w:rsid w:val="00231288"/>
    <w:rsid w:val="002314EC"/>
    <w:rsid w:val="00231B54"/>
    <w:rsid w:val="00232BAB"/>
    <w:rsid w:val="002330FB"/>
    <w:rsid w:val="00234429"/>
    <w:rsid w:val="002351B6"/>
    <w:rsid w:val="002353BE"/>
    <w:rsid w:val="002359BC"/>
    <w:rsid w:val="0023653D"/>
    <w:rsid w:val="00237A9C"/>
    <w:rsid w:val="00237F12"/>
    <w:rsid w:val="002416CA"/>
    <w:rsid w:val="00241C3B"/>
    <w:rsid w:val="002421AD"/>
    <w:rsid w:val="00243012"/>
    <w:rsid w:val="00243815"/>
    <w:rsid w:val="00245095"/>
    <w:rsid w:val="0024590F"/>
    <w:rsid w:val="00247DDA"/>
    <w:rsid w:val="00250AE9"/>
    <w:rsid w:val="00250E56"/>
    <w:rsid w:val="0025175A"/>
    <w:rsid w:val="00251DA0"/>
    <w:rsid w:val="00251E06"/>
    <w:rsid w:val="00252FBE"/>
    <w:rsid w:val="00253D87"/>
    <w:rsid w:val="00254AF8"/>
    <w:rsid w:val="00256616"/>
    <w:rsid w:val="00256CD4"/>
    <w:rsid w:val="00257958"/>
    <w:rsid w:val="0026000D"/>
    <w:rsid w:val="0026007C"/>
    <w:rsid w:val="00260888"/>
    <w:rsid w:val="002609BE"/>
    <w:rsid w:val="002613D4"/>
    <w:rsid w:val="00262F25"/>
    <w:rsid w:val="00264904"/>
    <w:rsid w:val="00267091"/>
    <w:rsid w:val="00267A43"/>
    <w:rsid w:val="00267EAE"/>
    <w:rsid w:val="002703A2"/>
    <w:rsid w:val="00270517"/>
    <w:rsid w:val="00270802"/>
    <w:rsid w:val="00272141"/>
    <w:rsid w:val="0027216E"/>
    <w:rsid w:val="0027256E"/>
    <w:rsid w:val="002725B8"/>
    <w:rsid w:val="002726BF"/>
    <w:rsid w:val="00272968"/>
    <w:rsid w:val="00272F73"/>
    <w:rsid w:val="00274932"/>
    <w:rsid w:val="00276665"/>
    <w:rsid w:val="0027771B"/>
    <w:rsid w:val="00277D6E"/>
    <w:rsid w:val="002812AE"/>
    <w:rsid w:val="0028135B"/>
    <w:rsid w:val="00281E6A"/>
    <w:rsid w:val="00282251"/>
    <w:rsid w:val="00282846"/>
    <w:rsid w:val="00283DE6"/>
    <w:rsid w:val="00284DD9"/>
    <w:rsid w:val="00284FD7"/>
    <w:rsid w:val="002854EB"/>
    <w:rsid w:val="00285DBC"/>
    <w:rsid w:val="00286C32"/>
    <w:rsid w:val="00287F6D"/>
    <w:rsid w:val="00290CE2"/>
    <w:rsid w:val="00292AFB"/>
    <w:rsid w:val="0029307B"/>
    <w:rsid w:val="002937CB"/>
    <w:rsid w:val="00294252"/>
    <w:rsid w:val="002943A8"/>
    <w:rsid w:val="00294BB8"/>
    <w:rsid w:val="002951A1"/>
    <w:rsid w:val="002953F3"/>
    <w:rsid w:val="00297319"/>
    <w:rsid w:val="00297C34"/>
    <w:rsid w:val="002A2D0F"/>
    <w:rsid w:val="002A344C"/>
    <w:rsid w:val="002A39A9"/>
    <w:rsid w:val="002A51B0"/>
    <w:rsid w:val="002A63D1"/>
    <w:rsid w:val="002A7D21"/>
    <w:rsid w:val="002A7F64"/>
    <w:rsid w:val="002B586E"/>
    <w:rsid w:val="002B5D9F"/>
    <w:rsid w:val="002B70A9"/>
    <w:rsid w:val="002B78B6"/>
    <w:rsid w:val="002C0B97"/>
    <w:rsid w:val="002C1A41"/>
    <w:rsid w:val="002C253A"/>
    <w:rsid w:val="002C2944"/>
    <w:rsid w:val="002C416F"/>
    <w:rsid w:val="002C5360"/>
    <w:rsid w:val="002C59E6"/>
    <w:rsid w:val="002D0179"/>
    <w:rsid w:val="002D0B94"/>
    <w:rsid w:val="002D23D7"/>
    <w:rsid w:val="002D2542"/>
    <w:rsid w:val="002D44D3"/>
    <w:rsid w:val="002D4FBB"/>
    <w:rsid w:val="002D6576"/>
    <w:rsid w:val="002D7710"/>
    <w:rsid w:val="002E09F5"/>
    <w:rsid w:val="002E0D4A"/>
    <w:rsid w:val="002E0E25"/>
    <w:rsid w:val="002E217C"/>
    <w:rsid w:val="002E2575"/>
    <w:rsid w:val="002E3BE4"/>
    <w:rsid w:val="002E4B8B"/>
    <w:rsid w:val="002E5622"/>
    <w:rsid w:val="002E5E15"/>
    <w:rsid w:val="002E60A0"/>
    <w:rsid w:val="002E6273"/>
    <w:rsid w:val="002F0D6E"/>
    <w:rsid w:val="002F16D8"/>
    <w:rsid w:val="002F2D18"/>
    <w:rsid w:val="002F2D8A"/>
    <w:rsid w:val="002F30A8"/>
    <w:rsid w:val="002F3AE1"/>
    <w:rsid w:val="002F459A"/>
    <w:rsid w:val="002F48B4"/>
    <w:rsid w:val="002F57AE"/>
    <w:rsid w:val="003008FE"/>
    <w:rsid w:val="00301239"/>
    <w:rsid w:val="0030169D"/>
    <w:rsid w:val="00301B47"/>
    <w:rsid w:val="00301B55"/>
    <w:rsid w:val="00302866"/>
    <w:rsid w:val="00302C52"/>
    <w:rsid w:val="00303269"/>
    <w:rsid w:val="00303F08"/>
    <w:rsid w:val="00304490"/>
    <w:rsid w:val="00304D23"/>
    <w:rsid w:val="003054C4"/>
    <w:rsid w:val="00305A79"/>
    <w:rsid w:val="00305E6A"/>
    <w:rsid w:val="003060EB"/>
    <w:rsid w:val="00307422"/>
    <w:rsid w:val="003116FA"/>
    <w:rsid w:val="00311C1A"/>
    <w:rsid w:val="00312A69"/>
    <w:rsid w:val="003135E7"/>
    <w:rsid w:val="0031410A"/>
    <w:rsid w:val="003153EB"/>
    <w:rsid w:val="00316521"/>
    <w:rsid w:val="003167FE"/>
    <w:rsid w:val="00317872"/>
    <w:rsid w:val="0032059D"/>
    <w:rsid w:val="0032136E"/>
    <w:rsid w:val="00321985"/>
    <w:rsid w:val="00322E9C"/>
    <w:rsid w:val="003233E1"/>
    <w:rsid w:val="00324936"/>
    <w:rsid w:val="003267A2"/>
    <w:rsid w:val="00327F9B"/>
    <w:rsid w:val="00327FBC"/>
    <w:rsid w:val="003312EF"/>
    <w:rsid w:val="0033133A"/>
    <w:rsid w:val="00331D6A"/>
    <w:rsid w:val="0033340F"/>
    <w:rsid w:val="00333BB7"/>
    <w:rsid w:val="003358B2"/>
    <w:rsid w:val="00340165"/>
    <w:rsid w:val="003410FA"/>
    <w:rsid w:val="00342F38"/>
    <w:rsid w:val="0034397D"/>
    <w:rsid w:val="00343E29"/>
    <w:rsid w:val="0034433B"/>
    <w:rsid w:val="003454CA"/>
    <w:rsid w:val="00345BD2"/>
    <w:rsid w:val="003461D3"/>
    <w:rsid w:val="0034687C"/>
    <w:rsid w:val="00347E4E"/>
    <w:rsid w:val="00350812"/>
    <w:rsid w:val="00350C16"/>
    <w:rsid w:val="00350E52"/>
    <w:rsid w:val="00351205"/>
    <w:rsid w:val="0035389E"/>
    <w:rsid w:val="00355DF1"/>
    <w:rsid w:val="00355EAC"/>
    <w:rsid w:val="00357188"/>
    <w:rsid w:val="003571DE"/>
    <w:rsid w:val="003576E9"/>
    <w:rsid w:val="00360281"/>
    <w:rsid w:val="00360C24"/>
    <w:rsid w:val="00360F83"/>
    <w:rsid w:val="003620CD"/>
    <w:rsid w:val="00362DA0"/>
    <w:rsid w:val="0036391C"/>
    <w:rsid w:val="003639C7"/>
    <w:rsid w:val="003653E5"/>
    <w:rsid w:val="003662C3"/>
    <w:rsid w:val="00367EFB"/>
    <w:rsid w:val="00370398"/>
    <w:rsid w:val="00372532"/>
    <w:rsid w:val="00372F12"/>
    <w:rsid w:val="00372F74"/>
    <w:rsid w:val="0037355F"/>
    <w:rsid w:val="003736C8"/>
    <w:rsid w:val="003741E7"/>
    <w:rsid w:val="00374E0F"/>
    <w:rsid w:val="003758FA"/>
    <w:rsid w:val="0037640A"/>
    <w:rsid w:val="00380211"/>
    <w:rsid w:val="00382DE7"/>
    <w:rsid w:val="00383627"/>
    <w:rsid w:val="00383F06"/>
    <w:rsid w:val="00384458"/>
    <w:rsid w:val="003859DC"/>
    <w:rsid w:val="003869AA"/>
    <w:rsid w:val="00387D4F"/>
    <w:rsid w:val="0039087B"/>
    <w:rsid w:val="003912B7"/>
    <w:rsid w:val="0039265D"/>
    <w:rsid w:val="00394A55"/>
    <w:rsid w:val="003956F4"/>
    <w:rsid w:val="00395DD6"/>
    <w:rsid w:val="00395F1D"/>
    <w:rsid w:val="00396238"/>
    <w:rsid w:val="003968E4"/>
    <w:rsid w:val="0039719D"/>
    <w:rsid w:val="00397E8E"/>
    <w:rsid w:val="003A0E94"/>
    <w:rsid w:val="003A1FBA"/>
    <w:rsid w:val="003A206C"/>
    <w:rsid w:val="003A2A7D"/>
    <w:rsid w:val="003A32C3"/>
    <w:rsid w:val="003A3505"/>
    <w:rsid w:val="003A36D1"/>
    <w:rsid w:val="003A61EC"/>
    <w:rsid w:val="003A7454"/>
    <w:rsid w:val="003B03FA"/>
    <w:rsid w:val="003B0A83"/>
    <w:rsid w:val="003B4718"/>
    <w:rsid w:val="003B710C"/>
    <w:rsid w:val="003B73D3"/>
    <w:rsid w:val="003B7C29"/>
    <w:rsid w:val="003B7FF5"/>
    <w:rsid w:val="003C1278"/>
    <w:rsid w:val="003C24EF"/>
    <w:rsid w:val="003C3969"/>
    <w:rsid w:val="003C3AED"/>
    <w:rsid w:val="003C3B43"/>
    <w:rsid w:val="003C4262"/>
    <w:rsid w:val="003C4A62"/>
    <w:rsid w:val="003C65DD"/>
    <w:rsid w:val="003C694B"/>
    <w:rsid w:val="003C7EC0"/>
    <w:rsid w:val="003D0E44"/>
    <w:rsid w:val="003D181D"/>
    <w:rsid w:val="003D1871"/>
    <w:rsid w:val="003D2587"/>
    <w:rsid w:val="003D28FA"/>
    <w:rsid w:val="003D2FDF"/>
    <w:rsid w:val="003D326E"/>
    <w:rsid w:val="003D3D17"/>
    <w:rsid w:val="003D4562"/>
    <w:rsid w:val="003D5813"/>
    <w:rsid w:val="003D5847"/>
    <w:rsid w:val="003D5963"/>
    <w:rsid w:val="003D5A06"/>
    <w:rsid w:val="003D5DBE"/>
    <w:rsid w:val="003D6E79"/>
    <w:rsid w:val="003E1AC8"/>
    <w:rsid w:val="003E2307"/>
    <w:rsid w:val="003E2CCD"/>
    <w:rsid w:val="003E3FAA"/>
    <w:rsid w:val="003E52DF"/>
    <w:rsid w:val="003E5429"/>
    <w:rsid w:val="003E598F"/>
    <w:rsid w:val="003E6AF4"/>
    <w:rsid w:val="003E6B3A"/>
    <w:rsid w:val="003E6DA5"/>
    <w:rsid w:val="003E6F1F"/>
    <w:rsid w:val="003E7647"/>
    <w:rsid w:val="003E7A95"/>
    <w:rsid w:val="003F044C"/>
    <w:rsid w:val="003F0BEE"/>
    <w:rsid w:val="003F1A75"/>
    <w:rsid w:val="003F404B"/>
    <w:rsid w:val="003F43F5"/>
    <w:rsid w:val="003F47E4"/>
    <w:rsid w:val="003F61AB"/>
    <w:rsid w:val="003F63FD"/>
    <w:rsid w:val="003F677A"/>
    <w:rsid w:val="003F6863"/>
    <w:rsid w:val="003F6C58"/>
    <w:rsid w:val="003F6FCE"/>
    <w:rsid w:val="003F7224"/>
    <w:rsid w:val="003F784E"/>
    <w:rsid w:val="004022C2"/>
    <w:rsid w:val="00402514"/>
    <w:rsid w:val="00403696"/>
    <w:rsid w:val="004037E9"/>
    <w:rsid w:val="00404A5E"/>
    <w:rsid w:val="00404FE4"/>
    <w:rsid w:val="0040517A"/>
    <w:rsid w:val="004051D9"/>
    <w:rsid w:val="004078E3"/>
    <w:rsid w:val="00407DB2"/>
    <w:rsid w:val="004112C7"/>
    <w:rsid w:val="00411639"/>
    <w:rsid w:val="00413937"/>
    <w:rsid w:val="00413AD3"/>
    <w:rsid w:val="00413E08"/>
    <w:rsid w:val="0041476A"/>
    <w:rsid w:val="00414C5A"/>
    <w:rsid w:val="00415B2B"/>
    <w:rsid w:val="004161D7"/>
    <w:rsid w:val="0041730B"/>
    <w:rsid w:val="00421B9C"/>
    <w:rsid w:val="00422704"/>
    <w:rsid w:val="0042414A"/>
    <w:rsid w:val="004247A1"/>
    <w:rsid w:val="0042509E"/>
    <w:rsid w:val="00426298"/>
    <w:rsid w:val="00426A9E"/>
    <w:rsid w:val="0042728A"/>
    <w:rsid w:val="00427D21"/>
    <w:rsid w:val="00427D4D"/>
    <w:rsid w:val="0043003A"/>
    <w:rsid w:val="00430D6F"/>
    <w:rsid w:val="004325D7"/>
    <w:rsid w:val="00432969"/>
    <w:rsid w:val="00432B05"/>
    <w:rsid w:val="004341A4"/>
    <w:rsid w:val="0043477C"/>
    <w:rsid w:val="004351D2"/>
    <w:rsid w:val="0043551A"/>
    <w:rsid w:val="00437D3C"/>
    <w:rsid w:val="00437EF4"/>
    <w:rsid w:val="00440F53"/>
    <w:rsid w:val="00441124"/>
    <w:rsid w:val="00441146"/>
    <w:rsid w:val="00443ABF"/>
    <w:rsid w:val="00443BA6"/>
    <w:rsid w:val="00443E80"/>
    <w:rsid w:val="00444F08"/>
    <w:rsid w:val="00445186"/>
    <w:rsid w:val="00446185"/>
    <w:rsid w:val="00447F4A"/>
    <w:rsid w:val="00450BF8"/>
    <w:rsid w:val="00451A55"/>
    <w:rsid w:val="00452EEB"/>
    <w:rsid w:val="00453581"/>
    <w:rsid w:val="00453620"/>
    <w:rsid w:val="00453CCA"/>
    <w:rsid w:val="00456516"/>
    <w:rsid w:val="00456F67"/>
    <w:rsid w:val="00461CBF"/>
    <w:rsid w:val="00462DD5"/>
    <w:rsid w:val="00463254"/>
    <w:rsid w:val="004632EE"/>
    <w:rsid w:val="00463728"/>
    <w:rsid w:val="004644C2"/>
    <w:rsid w:val="00465E69"/>
    <w:rsid w:val="0046676D"/>
    <w:rsid w:val="004668DC"/>
    <w:rsid w:val="004678A0"/>
    <w:rsid w:val="00467F9C"/>
    <w:rsid w:val="004703E7"/>
    <w:rsid w:val="004712CE"/>
    <w:rsid w:val="004728D8"/>
    <w:rsid w:val="00472972"/>
    <w:rsid w:val="00472D79"/>
    <w:rsid w:val="00474D02"/>
    <w:rsid w:val="00475EF8"/>
    <w:rsid w:val="00476017"/>
    <w:rsid w:val="0047739E"/>
    <w:rsid w:val="00477BFC"/>
    <w:rsid w:val="004814C6"/>
    <w:rsid w:val="0048322C"/>
    <w:rsid w:val="00486E6E"/>
    <w:rsid w:val="00490F68"/>
    <w:rsid w:val="00492FAC"/>
    <w:rsid w:val="0049396E"/>
    <w:rsid w:val="0049548E"/>
    <w:rsid w:val="00495FC7"/>
    <w:rsid w:val="0049618D"/>
    <w:rsid w:val="00497741"/>
    <w:rsid w:val="0049797C"/>
    <w:rsid w:val="004A1CEA"/>
    <w:rsid w:val="004A35D6"/>
    <w:rsid w:val="004A4657"/>
    <w:rsid w:val="004A5C46"/>
    <w:rsid w:val="004A6635"/>
    <w:rsid w:val="004A66BD"/>
    <w:rsid w:val="004A7B4F"/>
    <w:rsid w:val="004B14E6"/>
    <w:rsid w:val="004B4532"/>
    <w:rsid w:val="004B48F0"/>
    <w:rsid w:val="004B5168"/>
    <w:rsid w:val="004B53F5"/>
    <w:rsid w:val="004B5FED"/>
    <w:rsid w:val="004B6117"/>
    <w:rsid w:val="004B6138"/>
    <w:rsid w:val="004B6BB2"/>
    <w:rsid w:val="004B6D3B"/>
    <w:rsid w:val="004B6D59"/>
    <w:rsid w:val="004B6D83"/>
    <w:rsid w:val="004B752D"/>
    <w:rsid w:val="004C1B17"/>
    <w:rsid w:val="004C2289"/>
    <w:rsid w:val="004C3239"/>
    <w:rsid w:val="004C3751"/>
    <w:rsid w:val="004C4A44"/>
    <w:rsid w:val="004C54C5"/>
    <w:rsid w:val="004C55B1"/>
    <w:rsid w:val="004C6366"/>
    <w:rsid w:val="004C6F42"/>
    <w:rsid w:val="004C7FFB"/>
    <w:rsid w:val="004D0C44"/>
    <w:rsid w:val="004D3537"/>
    <w:rsid w:val="004D36B8"/>
    <w:rsid w:val="004D445B"/>
    <w:rsid w:val="004D4776"/>
    <w:rsid w:val="004D50C8"/>
    <w:rsid w:val="004D51B4"/>
    <w:rsid w:val="004D5355"/>
    <w:rsid w:val="004D648D"/>
    <w:rsid w:val="004E15EF"/>
    <w:rsid w:val="004E2EF0"/>
    <w:rsid w:val="004E3A0C"/>
    <w:rsid w:val="004E44EA"/>
    <w:rsid w:val="004E4F79"/>
    <w:rsid w:val="004E5225"/>
    <w:rsid w:val="004E6166"/>
    <w:rsid w:val="004E6C84"/>
    <w:rsid w:val="004E7496"/>
    <w:rsid w:val="004F0562"/>
    <w:rsid w:val="004F1C78"/>
    <w:rsid w:val="004F2825"/>
    <w:rsid w:val="004F3839"/>
    <w:rsid w:val="004F3DCE"/>
    <w:rsid w:val="004F40A1"/>
    <w:rsid w:val="004F72F7"/>
    <w:rsid w:val="005014E4"/>
    <w:rsid w:val="00501BB3"/>
    <w:rsid w:val="005039AC"/>
    <w:rsid w:val="005055BB"/>
    <w:rsid w:val="00506BED"/>
    <w:rsid w:val="00506CA2"/>
    <w:rsid w:val="00507BEA"/>
    <w:rsid w:val="0051006C"/>
    <w:rsid w:val="00510E26"/>
    <w:rsid w:val="0051147D"/>
    <w:rsid w:val="00511FE6"/>
    <w:rsid w:val="00514F29"/>
    <w:rsid w:val="00515C44"/>
    <w:rsid w:val="00517B3C"/>
    <w:rsid w:val="005207AC"/>
    <w:rsid w:val="005212B6"/>
    <w:rsid w:val="00521648"/>
    <w:rsid w:val="00521AA9"/>
    <w:rsid w:val="00522496"/>
    <w:rsid w:val="005237A0"/>
    <w:rsid w:val="005238AF"/>
    <w:rsid w:val="00523E52"/>
    <w:rsid w:val="00525787"/>
    <w:rsid w:val="00526401"/>
    <w:rsid w:val="00527B6E"/>
    <w:rsid w:val="005304B7"/>
    <w:rsid w:val="00530530"/>
    <w:rsid w:val="005308C4"/>
    <w:rsid w:val="00531056"/>
    <w:rsid w:val="00531B67"/>
    <w:rsid w:val="00531FCD"/>
    <w:rsid w:val="0053396F"/>
    <w:rsid w:val="00533F59"/>
    <w:rsid w:val="00534681"/>
    <w:rsid w:val="00534CAD"/>
    <w:rsid w:val="005356F2"/>
    <w:rsid w:val="00535D2D"/>
    <w:rsid w:val="00537D64"/>
    <w:rsid w:val="00540471"/>
    <w:rsid w:val="00540660"/>
    <w:rsid w:val="005426D1"/>
    <w:rsid w:val="00543479"/>
    <w:rsid w:val="00545F8F"/>
    <w:rsid w:val="0054744A"/>
    <w:rsid w:val="005475EA"/>
    <w:rsid w:val="00547A3A"/>
    <w:rsid w:val="00547D05"/>
    <w:rsid w:val="0055014C"/>
    <w:rsid w:val="005504A1"/>
    <w:rsid w:val="005509F9"/>
    <w:rsid w:val="00551076"/>
    <w:rsid w:val="0055327A"/>
    <w:rsid w:val="005532A9"/>
    <w:rsid w:val="005537C5"/>
    <w:rsid w:val="005561D1"/>
    <w:rsid w:val="00556DF8"/>
    <w:rsid w:val="00557771"/>
    <w:rsid w:val="0056046B"/>
    <w:rsid w:val="0056068E"/>
    <w:rsid w:val="00561224"/>
    <w:rsid w:val="0056235F"/>
    <w:rsid w:val="0056237C"/>
    <w:rsid w:val="00562742"/>
    <w:rsid w:val="00562AC3"/>
    <w:rsid w:val="00563442"/>
    <w:rsid w:val="0056348E"/>
    <w:rsid w:val="0056395C"/>
    <w:rsid w:val="00563B04"/>
    <w:rsid w:val="00565027"/>
    <w:rsid w:val="00565465"/>
    <w:rsid w:val="00565B42"/>
    <w:rsid w:val="00565EE3"/>
    <w:rsid w:val="005674ED"/>
    <w:rsid w:val="00567B2A"/>
    <w:rsid w:val="00570998"/>
    <w:rsid w:val="00571364"/>
    <w:rsid w:val="00571C8F"/>
    <w:rsid w:val="00572088"/>
    <w:rsid w:val="0057305C"/>
    <w:rsid w:val="00573093"/>
    <w:rsid w:val="00573138"/>
    <w:rsid w:val="00574B4B"/>
    <w:rsid w:val="00574C32"/>
    <w:rsid w:val="00574CE2"/>
    <w:rsid w:val="005803C1"/>
    <w:rsid w:val="0058041A"/>
    <w:rsid w:val="00581F23"/>
    <w:rsid w:val="0058273D"/>
    <w:rsid w:val="00583BF8"/>
    <w:rsid w:val="0058404D"/>
    <w:rsid w:val="005854DC"/>
    <w:rsid w:val="00585888"/>
    <w:rsid w:val="005902EE"/>
    <w:rsid w:val="00590BA9"/>
    <w:rsid w:val="005911AC"/>
    <w:rsid w:val="00591D29"/>
    <w:rsid w:val="00593748"/>
    <w:rsid w:val="00596BEC"/>
    <w:rsid w:val="00597BAB"/>
    <w:rsid w:val="005A019E"/>
    <w:rsid w:val="005A042C"/>
    <w:rsid w:val="005A0A61"/>
    <w:rsid w:val="005A0AEA"/>
    <w:rsid w:val="005A0C98"/>
    <w:rsid w:val="005A1057"/>
    <w:rsid w:val="005A1C97"/>
    <w:rsid w:val="005A1D16"/>
    <w:rsid w:val="005A1FCA"/>
    <w:rsid w:val="005A2065"/>
    <w:rsid w:val="005A3796"/>
    <w:rsid w:val="005A6B25"/>
    <w:rsid w:val="005A6CA5"/>
    <w:rsid w:val="005B0A50"/>
    <w:rsid w:val="005B0C20"/>
    <w:rsid w:val="005B16F0"/>
    <w:rsid w:val="005B2A11"/>
    <w:rsid w:val="005B35E2"/>
    <w:rsid w:val="005B4844"/>
    <w:rsid w:val="005B721C"/>
    <w:rsid w:val="005C461B"/>
    <w:rsid w:val="005C4CE6"/>
    <w:rsid w:val="005C5F69"/>
    <w:rsid w:val="005C7EA2"/>
    <w:rsid w:val="005D061C"/>
    <w:rsid w:val="005D1B19"/>
    <w:rsid w:val="005D323E"/>
    <w:rsid w:val="005D3F4E"/>
    <w:rsid w:val="005D40EF"/>
    <w:rsid w:val="005D497F"/>
    <w:rsid w:val="005D5020"/>
    <w:rsid w:val="005D5151"/>
    <w:rsid w:val="005D629D"/>
    <w:rsid w:val="005D6BD0"/>
    <w:rsid w:val="005D72E8"/>
    <w:rsid w:val="005D7A00"/>
    <w:rsid w:val="005E3062"/>
    <w:rsid w:val="005E3750"/>
    <w:rsid w:val="005E3F5E"/>
    <w:rsid w:val="005E4100"/>
    <w:rsid w:val="005E42C2"/>
    <w:rsid w:val="005E4655"/>
    <w:rsid w:val="005E5B2A"/>
    <w:rsid w:val="005E6324"/>
    <w:rsid w:val="005E6CA2"/>
    <w:rsid w:val="005E6DF8"/>
    <w:rsid w:val="005F004E"/>
    <w:rsid w:val="005F0393"/>
    <w:rsid w:val="005F1273"/>
    <w:rsid w:val="005F3120"/>
    <w:rsid w:val="005F3576"/>
    <w:rsid w:val="005F396F"/>
    <w:rsid w:val="005F474C"/>
    <w:rsid w:val="005F4E80"/>
    <w:rsid w:val="005F5DC4"/>
    <w:rsid w:val="005F6B73"/>
    <w:rsid w:val="005F7091"/>
    <w:rsid w:val="005F781A"/>
    <w:rsid w:val="005F7CED"/>
    <w:rsid w:val="005F7E8B"/>
    <w:rsid w:val="0060092E"/>
    <w:rsid w:val="00600F29"/>
    <w:rsid w:val="00603A34"/>
    <w:rsid w:val="00603AE2"/>
    <w:rsid w:val="00603C4F"/>
    <w:rsid w:val="00604298"/>
    <w:rsid w:val="0060482A"/>
    <w:rsid w:val="0060580D"/>
    <w:rsid w:val="006058CD"/>
    <w:rsid w:val="0060609E"/>
    <w:rsid w:val="0060711C"/>
    <w:rsid w:val="00607C94"/>
    <w:rsid w:val="00611977"/>
    <w:rsid w:val="00611D63"/>
    <w:rsid w:val="00611EAD"/>
    <w:rsid w:val="006120CF"/>
    <w:rsid w:val="006122BA"/>
    <w:rsid w:val="00612590"/>
    <w:rsid w:val="00612B40"/>
    <w:rsid w:val="00614B9A"/>
    <w:rsid w:val="006159C3"/>
    <w:rsid w:val="006167A6"/>
    <w:rsid w:val="00617352"/>
    <w:rsid w:val="006179FE"/>
    <w:rsid w:val="00617E2F"/>
    <w:rsid w:val="006208AD"/>
    <w:rsid w:val="0062173C"/>
    <w:rsid w:val="00623711"/>
    <w:rsid w:val="0062551A"/>
    <w:rsid w:val="006258C9"/>
    <w:rsid w:val="0062617B"/>
    <w:rsid w:val="006268E7"/>
    <w:rsid w:val="00630335"/>
    <w:rsid w:val="00631824"/>
    <w:rsid w:val="00633CEA"/>
    <w:rsid w:val="006344C3"/>
    <w:rsid w:val="00634582"/>
    <w:rsid w:val="00635122"/>
    <w:rsid w:val="00635846"/>
    <w:rsid w:val="00636DBE"/>
    <w:rsid w:val="006374A7"/>
    <w:rsid w:val="00637D8F"/>
    <w:rsid w:val="0064016A"/>
    <w:rsid w:val="0064392C"/>
    <w:rsid w:val="00643C7F"/>
    <w:rsid w:val="006462FC"/>
    <w:rsid w:val="006478BF"/>
    <w:rsid w:val="00647F29"/>
    <w:rsid w:val="00650755"/>
    <w:rsid w:val="0065159A"/>
    <w:rsid w:val="00651FB5"/>
    <w:rsid w:val="00652040"/>
    <w:rsid w:val="0065204F"/>
    <w:rsid w:val="00653166"/>
    <w:rsid w:val="00653A5C"/>
    <w:rsid w:val="00654B39"/>
    <w:rsid w:val="00654D61"/>
    <w:rsid w:val="00655193"/>
    <w:rsid w:val="00656F10"/>
    <w:rsid w:val="0066023B"/>
    <w:rsid w:val="00661360"/>
    <w:rsid w:val="00662D66"/>
    <w:rsid w:val="0066343F"/>
    <w:rsid w:val="00663678"/>
    <w:rsid w:val="00663F23"/>
    <w:rsid w:val="006644F2"/>
    <w:rsid w:val="00664AB5"/>
    <w:rsid w:val="00664ACA"/>
    <w:rsid w:val="00664CE6"/>
    <w:rsid w:val="0066551D"/>
    <w:rsid w:val="00666BA5"/>
    <w:rsid w:val="00666FD4"/>
    <w:rsid w:val="00671F12"/>
    <w:rsid w:val="00674D62"/>
    <w:rsid w:val="00675295"/>
    <w:rsid w:val="00675ADF"/>
    <w:rsid w:val="00675D3D"/>
    <w:rsid w:val="006778D5"/>
    <w:rsid w:val="006779A7"/>
    <w:rsid w:val="00677FF5"/>
    <w:rsid w:val="00680747"/>
    <w:rsid w:val="0068175C"/>
    <w:rsid w:val="00682405"/>
    <w:rsid w:val="00682B1E"/>
    <w:rsid w:val="00683074"/>
    <w:rsid w:val="006836DB"/>
    <w:rsid w:val="00683E0E"/>
    <w:rsid w:val="006841B9"/>
    <w:rsid w:val="0068443E"/>
    <w:rsid w:val="0068481E"/>
    <w:rsid w:val="00685B9F"/>
    <w:rsid w:val="00686B3E"/>
    <w:rsid w:val="00686CAD"/>
    <w:rsid w:val="00687E0C"/>
    <w:rsid w:val="00691087"/>
    <w:rsid w:val="00691B31"/>
    <w:rsid w:val="0069306A"/>
    <w:rsid w:val="00693943"/>
    <w:rsid w:val="00694B5D"/>
    <w:rsid w:val="00696202"/>
    <w:rsid w:val="00696248"/>
    <w:rsid w:val="00697C09"/>
    <w:rsid w:val="006A0024"/>
    <w:rsid w:val="006A09BD"/>
    <w:rsid w:val="006A2D29"/>
    <w:rsid w:val="006A34FD"/>
    <w:rsid w:val="006A3A6F"/>
    <w:rsid w:val="006A3AF7"/>
    <w:rsid w:val="006A408E"/>
    <w:rsid w:val="006A5EBD"/>
    <w:rsid w:val="006A6664"/>
    <w:rsid w:val="006A73C1"/>
    <w:rsid w:val="006B044F"/>
    <w:rsid w:val="006B108B"/>
    <w:rsid w:val="006B118E"/>
    <w:rsid w:val="006B20FB"/>
    <w:rsid w:val="006B2231"/>
    <w:rsid w:val="006B2290"/>
    <w:rsid w:val="006B2B22"/>
    <w:rsid w:val="006B4155"/>
    <w:rsid w:val="006B4C6B"/>
    <w:rsid w:val="006B7311"/>
    <w:rsid w:val="006B7A73"/>
    <w:rsid w:val="006C03F2"/>
    <w:rsid w:val="006C077F"/>
    <w:rsid w:val="006C1685"/>
    <w:rsid w:val="006C2F8B"/>
    <w:rsid w:val="006C35F2"/>
    <w:rsid w:val="006C3985"/>
    <w:rsid w:val="006C4F67"/>
    <w:rsid w:val="006C5064"/>
    <w:rsid w:val="006C50E7"/>
    <w:rsid w:val="006C585F"/>
    <w:rsid w:val="006C6114"/>
    <w:rsid w:val="006C68F2"/>
    <w:rsid w:val="006C6C5F"/>
    <w:rsid w:val="006D09C9"/>
    <w:rsid w:val="006D137C"/>
    <w:rsid w:val="006D145D"/>
    <w:rsid w:val="006D2AE0"/>
    <w:rsid w:val="006D3000"/>
    <w:rsid w:val="006D30C3"/>
    <w:rsid w:val="006D3AA9"/>
    <w:rsid w:val="006D43FE"/>
    <w:rsid w:val="006D5962"/>
    <w:rsid w:val="006D7B19"/>
    <w:rsid w:val="006E2208"/>
    <w:rsid w:val="006E237F"/>
    <w:rsid w:val="006E2438"/>
    <w:rsid w:val="006E261B"/>
    <w:rsid w:val="006E2E78"/>
    <w:rsid w:val="006E38B4"/>
    <w:rsid w:val="006E4866"/>
    <w:rsid w:val="006E7211"/>
    <w:rsid w:val="006E7C4F"/>
    <w:rsid w:val="006E7F99"/>
    <w:rsid w:val="006F02DD"/>
    <w:rsid w:val="006F0525"/>
    <w:rsid w:val="006F07A1"/>
    <w:rsid w:val="006F07F6"/>
    <w:rsid w:val="006F17E3"/>
    <w:rsid w:val="006F1D0F"/>
    <w:rsid w:val="006F1FD7"/>
    <w:rsid w:val="006F230C"/>
    <w:rsid w:val="006F2D91"/>
    <w:rsid w:val="006F30C3"/>
    <w:rsid w:val="006F31FF"/>
    <w:rsid w:val="006F3ADE"/>
    <w:rsid w:val="006F3EC3"/>
    <w:rsid w:val="006F421A"/>
    <w:rsid w:val="006F42B0"/>
    <w:rsid w:val="006F5F38"/>
    <w:rsid w:val="006F6368"/>
    <w:rsid w:val="00701B99"/>
    <w:rsid w:val="00701CEE"/>
    <w:rsid w:val="00704266"/>
    <w:rsid w:val="00710018"/>
    <w:rsid w:val="00710FE1"/>
    <w:rsid w:val="00711D86"/>
    <w:rsid w:val="00711E0A"/>
    <w:rsid w:val="00712D81"/>
    <w:rsid w:val="007143CB"/>
    <w:rsid w:val="0071459D"/>
    <w:rsid w:val="00715761"/>
    <w:rsid w:val="007163C0"/>
    <w:rsid w:val="00716FFD"/>
    <w:rsid w:val="0071758C"/>
    <w:rsid w:val="00717D88"/>
    <w:rsid w:val="00720E54"/>
    <w:rsid w:val="0072153D"/>
    <w:rsid w:val="0072374C"/>
    <w:rsid w:val="00723955"/>
    <w:rsid w:val="00724E33"/>
    <w:rsid w:val="00725D07"/>
    <w:rsid w:val="00726301"/>
    <w:rsid w:val="00726A43"/>
    <w:rsid w:val="00727999"/>
    <w:rsid w:val="0073011A"/>
    <w:rsid w:val="00730C23"/>
    <w:rsid w:val="007323FB"/>
    <w:rsid w:val="00732950"/>
    <w:rsid w:val="00732C8F"/>
    <w:rsid w:val="007338CE"/>
    <w:rsid w:val="00734F1B"/>
    <w:rsid w:val="00735206"/>
    <w:rsid w:val="00735AC4"/>
    <w:rsid w:val="0073601A"/>
    <w:rsid w:val="007368FF"/>
    <w:rsid w:val="007373CB"/>
    <w:rsid w:val="00737DC0"/>
    <w:rsid w:val="00737F09"/>
    <w:rsid w:val="0074304D"/>
    <w:rsid w:val="007432AE"/>
    <w:rsid w:val="0074381E"/>
    <w:rsid w:val="007438BD"/>
    <w:rsid w:val="00744668"/>
    <w:rsid w:val="00745177"/>
    <w:rsid w:val="00746E31"/>
    <w:rsid w:val="00750BEF"/>
    <w:rsid w:val="00751161"/>
    <w:rsid w:val="00751438"/>
    <w:rsid w:val="0075349B"/>
    <w:rsid w:val="00755E15"/>
    <w:rsid w:val="00756E41"/>
    <w:rsid w:val="0075788A"/>
    <w:rsid w:val="00760E5F"/>
    <w:rsid w:val="00762D0D"/>
    <w:rsid w:val="0076375B"/>
    <w:rsid w:val="00763BB7"/>
    <w:rsid w:val="00764525"/>
    <w:rsid w:val="00764D1A"/>
    <w:rsid w:val="00765098"/>
    <w:rsid w:val="00765596"/>
    <w:rsid w:val="00765B7F"/>
    <w:rsid w:val="00765C18"/>
    <w:rsid w:val="007662EF"/>
    <w:rsid w:val="00767F16"/>
    <w:rsid w:val="0077145A"/>
    <w:rsid w:val="00771711"/>
    <w:rsid w:val="007722CF"/>
    <w:rsid w:val="0077430D"/>
    <w:rsid w:val="007744FB"/>
    <w:rsid w:val="0077574F"/>
    <w:rsid w:val="00776500"/>
    <w:rsid w:val="007772D6"/>
    <w:rsid w:val="00780A8D"/>
    <w:rsid w:val="00780B85"/>
    <w:rsid w:val="00781B6D"/>
    <w:rsid w:val="0078213A"/>
    <w:rsid w:val="00783BE3"/>
    <w:rsid w:val="00784CA0"/>
    <w:rsid w:val="00786056"/>
    <w:rsid w:val="007862E7"/>
    <w:rsid w:val="00790120"/>
    <w:rsid w:val="00790645"/>
    <w:rsid w:val="00790930"/>
    <w:rsid w:val="00790EC1"/>
    <w:rsid w:val="00793494"/>
    <w:rsid w:val="00793F2D"/>
    <w:rsid w:val="007942D3"/>
    <w:rsid w:val="00794670"/>
    <w:rsid w:val="00794D7D"/>
    <w:rsid w:val="00795594"/>
    <w:rsid w:val="00795660"/>
    <w:rsid w:val="007957CA"/>
    <w:rsid w:val="007976D0"/>
    <w:rsid w:val="00797A94"/>
    <w:rsid w:val="00797E37"/>
    <w:rsid w:val="007A06F9"/>
    <w:rsid w:val="007A2A0A"/>
    <w:rsid w:val="007A2E61"/>
    <w:rsid w:val="007A61AC"/>
    <w:rsid w:val="007A72F0"/>
    <w:rsid w:val="007A743D"/>
    <w:rsid w:val="007B00E6"/>
    <w:rsid w:val="007B1112"/>
    <w:rsid w:val="007B2099"/>
    <w:rsid w:val="007B3EA8"/>
    <w:rsid w:val="007B4319"/>
    <w:rsid w:val="007B5C0E"/>
    <w:rsid w:val="007B62D3"/>
    <w:rsid w:val="007B6C09"/>
    <w:rsid w:val="007B7741"/>
    <w:rsid w:val="007C0F9D"/>
    <w:rsid w:val="007C1543"/>
    <w:rsid w:val="007C3868"/>
    <w:rsid w:val="007C45B8"/>
    <w:rsid w:val="007C4951"/>
    <w:rsid w:val="007C5D22"/>
    <w:rsid w:val="007C5E63"/>
    <w:rsid w:val="007C6FCD"/>
    <w:rsid w:val="007C7A24"/>
    <w:rsid w:val="007D09E5"/>
    <w:rsid w:val="007D193F"/>
    <w:rsid w:val="007D1F89"/>
    <w:rsid w:val="007D346B"/>
    <w:rsid w:val="007D4542"/>
    <w:rsid w:val="007D5CA6"/>
    <w:rsid w:val="007D6A2D"/>
    <w:rsid w:val="007D79BD"/>
    <w:rsid w:val="007D7D0D"/>
    <w:rsid w:val="007E09DA"/>
    <w:rsid w:val="007E0F8A"/>
    <w:rsid w:val="007E1C43"/>
    <w:rsid w:val="007E21FE"/>
    <w:rsid w:val="007E2286"/>
    <w:rsid w:val="007E23D0"/>
    <w:rsid w:val="007E28A0"/>
    <w:rsid w:val="007E344F"/>
    <w:rsid w:val="007E4FFD"/>
    <w:rsid w:val="007E64C1"/>
    <w:rsid w:val="007E7850"/>
    <w:rsid w:val="007F0CB3"/>
    <w:rsid w:val="007F16C7"/>
    <w:rsid w:val="007F263F"/>
    <w:rsid w:val="007F2764"/>
    <w:rsid w:val="007F3AFB"/>
    <w:rsid w:val="007F4403"/>
    <w:rsid w:val="007F55CA"/>
    <w:rsid w:val="007F62DF"/>
    <w:rsid w:val="007F660F"/>
    <w:rsid w:val="007F6A8A"/>
    <w:rsid w:val="007F718D"/>
    <w:rsid w:val="00800774"/>
    <w:rsid w:val="00801FAD"/>
    <w:rsid w:val="008035A4"/>
    <w:rsid w:val="00803B97"/>
    <w:rsid w:val="00803CEF"/>
    <w:rsid w:val="00805EEB"/>
    <w:rsid w:val="00807E0F"/>
    <w:rsid w:val="0081077F"/>
    <w:rsid w:val="00810B1F"/>
    <w:rsid w:val="008111B1"/>
    <w:rsid w:val="00811F41"/>
    <w:rsid w:val="008145AA"/>
    <w:rsid w:val="008150D6"/>
    <w:rsid w:val="008155D2"/>
    <w:rsid w:val="008178B6"/>
    <w:rsid w:val="008209BB"/>
    <w:rsid w:val="00820E45"/>
    <w:rsid w:val="008228AB"/>
    <w:rsid w:val="00823E4E"/>
    <w:rsid w:val="0082476A"/>
    <w:rsid w:val="00824E03"/>
    <w:rsid w:val="0082586E"/>
    <w:rsid w:val="00825CA3"/>
    <w:rsid w:val="008260AE"/>
    <w:rsid w:val="00827957"/>
    <w:rsid w:val="00827F8C"/>
    <w:rsid w:val="00827FFD"/>
    <w:rsid w:val="008300A7"/>
    <w:rsid w:val="008304E4"/>
    <w:rsid w:val="0083135B"/>
    <w:rsid w:val="00832E09"/>
    <w:rsid w:val="00834C90"/>
    <w:rsid w:val="00834CA1"/>
    <w:rsid w:val="008352B4"/>
    <w:rsid w:val="008352CE"/>
    <w:rsid w:val="00836E06"/>
    <w:rsid w:val="00837019"/>
    <w:rsid w:val="0083756D"/>
    <w:rsid w:val="00837782"/>
    <w:rsid w:val="00837858"/>
    <w:rsid w:val="00840919"/>
    <w:rsid w:val="008409DC"/>
    <w:rsid w:val="008411C6"/>
    <w:rsid w:val="00841626"/>
    <w:rsid w:val="00841B2B"/>
    <w:rsid w:val="00841D28"/>
    <w:rsid w:val="0084298E"/>
    <w:rsid w:val="00843132"/>
    <w:rsid w:val="00843334"/>
    <w:rsid w:val="00844877"/>
    <w:rsid w:val="00844D2B"/>
    <w:rsid w:val="0084506B"/>
    <w:rsid w:val="00845349"/>
    <w:rsid w:val="00846878"/>
    <w:rsid w:val="00846B34"/>
    <w:rsid w:val="00846F13"/>
    <w:rsid w:val="00847B5F"/>
    <w:rsid w:val="00847D45"/>
    <w:rsid w:val="00851888"/>
    <w:rsid w:val="0085289F"/>
    <w:rsid w:val="00854C4E"/>
    <w:rsid w:val="008554F1"/>
    <w:rsid w:val="008601E7"/>
    <w:rsid w:val="008603FA"/>
    <w:rsid w:val="00860A2E"/>
    <w:rsid w:val="00861526"/>
    <w:rsid w:val="008638A9"/>
    <w:rsid w:val="00864ADE"/>
    <w:rsid w:val="00864B42"/>
    <w:rsid w:val="00864B6D"/>
    <w:rsid w:val="008657AA"/>
    <w:rsid w:val="008659BA"/>
    <w:rsid w:val="00865B74"/>
    <w:rsid w:val="00866063"/>
    <w:rsid w:val="00867264"/>
    <w:rsid w:val="00871215"/>
    <w:rsid w:val="008723A8"/>
    <w:rsid w:val="0087295C"/>
    <w:rsid w:val="008732BD"/>
    <w:rsid w:val="008738F9"/>
    <w:rsid w:val="00873A0E"/>
    <w:rsid w:val="00874B0B"/>
    <w:rsid w:val="00875982"/>
    <w:rsid w:val="00876217"/>
    <w:rsid w:val="00876C10"/>
    <w:rsid w:val="0087769B"/>
    <w:rsid w:val="0088361A"/>
    <w:rsid w:val="0088398E"/>
    <w:rsid w:val="00884DBC"/>
    <w:rsid w:val="00885417"/>
    <w:rsid w:val="008858B4"/>
    <w:rsid w:val="00887A05"/>
    <w:rsid w:val="008904BD"/>
    <w:rsid w:val="00890623"/>
    <w:rsid w:val="00890C06"/>
    <w:rsid w:val="008928DF"/>
    <w:rsid w:val="00892D40"/>
    <w:rsid w:val="008932AD"/>
    <w:rsid w:val="008937AC"/>
    <w:rsid w:val="008941A6"/>
    <w:rsid w:val="0089581A"/>
    <w:rsid w:val="008964EC"/>
    <w:rsid w:val="008965DA"/>
    <w:rsid w:val="0089689D"/>
    <w:rsid w:val="00896DB9"/>
    <w:rsid w:val="008974F0"/>
    <w:rsid w:val="00897B8F"/>
    <w:rsid w:val="00897CDB"/>
    <w:rsid w:val="008A1499"/>
    <w:rsid w:val="008A1CDC"/>
    <w:rsid w:val="008A1EEE"/>
    <w:rsid w:val="008A235E"/>
    <w:rsid w:val="008A25A7"/>
    <w:rsid w:val="008A28E7"/>
    <w:rsid w:val="008A3121"/>
    <w:rsid w:val="008A4048"/>
    <w:rsid w:val="008A55E7"/>
    <w:rsid w:val="008A75D2"/>
    <w:rsid w:val="008B012A"/>
    <w:rsid w:val="008B122C"/>
    <w:rsid w:val="008B1413"/>
    <w:rsid w:val="008B304A"/>
    <w:rsid w:val="008B3299"/>
    <w:rsid w:val="008B36FA"/>
    <w:rsid w:val="008B3938"/>
    <w:rsid w:val="008B5D3E"/>
    <w:rsid w:val="008B63CB"/>
    <w:rsid w:val="008B6730"/>
    <w:rsid w:val="008B7671"/>
    <w:rsid w:val="008B789A"/>
    <w:rsid w:val="008B7D0A"/>
    <w:rsid w:val="008C04DA"/>
    <w:rsid w:val="008C15EB"/>
    <w:rsid w:val="008C1CBE"/>
    <w:rsid w:val="008C2035"/>
    <w:rsid w:val="008C2C78"/>
    <w:rsid w:val="008C44BF"/>
    <w:rsid w:val="008C641B"/>
    <w:rsid w:val="008D1342"/>
    <w:rsid w:val="008D2D2B"/>
    <w:rsid w:val="008D37CA"/>
    <w:rsid w:val="008D3A51"/>
    <w:rsid w:val="008D5C71"/>
    <w:rsid w:val="008D6181"/>
    <w:rsid w:val="008D6A9D"/>
    <w:rsid w:val="008D6E47"/>
    <w:rsid w:val="008D727E"/>
    <w:rsid w:val="008E0713"/>
    <w:rsid w:val="008E1A83"/>
    <w:rsid w:val="008E1D14"/>
    <w:rsid w:val="008E223B"/>
    <w:rsid w:val="008E28C5"/>
    <w:rsid w:val="008E2E87"/>
    <w:rsid w:val="008E3231"/>
    <w:rsid w:val="008E32FD"/>
    <w:rsid w:val="008E3706"/>
    <w:rsid w:val="008E4AA1"/>
    <w:rsid w:val="008E4B20"/>
    <w:rsid w:val="008E4CB0"/>
    <w:rsid w:val="008E5294"/>
    <w:rsid w:val="008E5A29"/>
    <w:rsid w:val="008E6882"/>
    <w:rsid w:val="008E712C"/>
    <w:rsid w:val="008E7BD3"/>
    <w:rsid w:val="008F066E"/>
    <w:rsid w:val="008F0889"/>
    <w:rsid w:val="008F0C3E"/>
    <w:rsid w:val="008F0DF5"/>
    <w:rsid w:val="008F20DC"/>
    <w:rsid w:val="008F285D"/>
    <w:rsid w:val="008F3839"/>
    <w:rsid w:val="008F54D9"/>
    <w:rsid w:val="008F65A4"/>
    <w:rsid w:val="008F7322"/>
    <w:rsid w:val="00900E40"/>
    <w:rsid w:val="00901623"/>
    <w:rsid w:val="00901827"/>
    <w:rsid w:val="0090250E"/>
    <w:rsid w:val="0090276E"/>
    <w:rsid w:val="00902989"/>
    <w:rsid w:val="009039F7"/>
    <w:rsid w:val="00903F7C"/>
    <w:rsid w:val="00904156"/>
    <w:rsid w:val="00904BEE"/>
    <w:rsid w:val="00906D01"/>
    <w:rsid w:val="00906E17"/>
    <w:rsid w:val="00907915"/>
    <w:rsid w:val="00910335"/>
    <w:rsid w:val="009117F9"/>
    <w:rsid w:val="00915FF1"/>
    <w:rsid w:val="009169D2"/>
    <w:rsid w:val="00916E0A"/>
    <w:rsid w:val="009176B1"/>
    <w:rsid w:val="00920107"/>
    <w:rsid w:val="00921485"/>
    <w:rsid w:val="00926111"/>
    <w:rsid w:val="00927012"/>
    <w:rsid w:val="00927BC0"/>
    <w:rsid w:val="00930089"/>
    <w:rsid w:val="009308E7"/>
    <w:rsid w:val="00930BA1"/>
    <w:rsid w:val="00931195"/>
    <w:rsid w:val="0093169E"/>
    <w:rsid w:val="0093256E"/>
    <w:rsid w:val="00932633"/>
    <w:rsid w:val="009328B6"/>
    <w:rsid w:val="009328CA"/>
    <w:rsid w:val="00932E77"/>
    <w:rsid w:val="00933463"/>
    <w:rsid w:val="00933B4A"/>
    <w:rsid w:val="0093545F"/>
    <w:rsid w:val="009359DE"/>
    <w:rsid w:val="0093605F"/>
    <w:rsid w:val="009371D6"/>
    <w:rsid w:val="009426B1"/>
    <w:rsid w:val="009439D1"/>
    <w:rsid w:val="00943F50"/>
    <w:rsid w:val="00944320"/>
    <w:rsid w:val="00944979"/>
    <w:rsid w:val="00944F5B"/>
    <w:rsid w:val="0094551B"/>
    <w:rsid w:val="00945851"/>
    <w:rsid w:val="009467E1"/>
    <w:rsid w:val="00946924"/>
    <w:rsid w:val="00947834"/>
    <w:rsid w:val="009505C9"/>
    <w:rsid w:val="00950752"/>
    <w:rsid w:val="00952322"/>
    <w:rsid w:val="00953114"/>
    <w:rsid w:val="009535F9"/>
    <w:rsid w:val="0095444B"/>
    <w:rsid w:val="00954774"/>
    <w:rsid w:val="00954D5C"/>
    <w:rsid w:val="0095578F"/>
    <w:rsid w:val="00957E19"/>
    <w:rsid w:val="0096057A"/>
    <w:rsid w:val="009634A0"/>
    <w:rsid w:val="009642DF"/>
    <w:rsid w:val="009647F0"/>
    <w:rsid w:val="00964B80"/>
    <w:rsid w:val="00965162"/>
    <w:rsid w:val="00965DB5"/>
    <w:rsid w:val="00966424"/>
    <w:rsid w:val="00966D5E"/>
    <w:rsid w:val="0097002E"/>
    <w:rsid w:val="009700E4"/>
    <w:rsid w:val="0097047D"/>
    <w:rsid w:val="009712C7"/>
    <w:rsid w:val="00971BE3"/>
    <w:rsid w:val="00973296"/>
    <w:rsid w:val="00974921"/>
    <w:rsid w:val="00974CE2"/>
    <w:rsid w:val="00975047"/>
    <w:rsid w:val="00975EBC"/>
    <w:rsid w:val="0097650F"/>
    <w:rsid w:val="00980382"/>
    <w:rsid w:val="00980DC2"/>
    <w:rsid w:val="00981325"/>
    <w:rsid w:val="009816C2"/>
    <w:rsid w:val="009823E9"/>
    <w:rsid w:val="00982DEC"/>
    <w:rsid w:val="009833DD"/>
    <w:rsid w:val="00983646"/>
    <w:rsid w:val="00985C94"/>
    <w:rsid w:val="00985EC3"/>
    <w:rsid w:val="009877B1"/>
    <w:rsid w:val="009877F5"/>
    <w:rsid w:val="00992674"/>
    <w:rsid w:val="00992E97"/>
    <w:rsid w:val="00993CA2"/>
    <w:rsid w:val="00994783"/>
    <w:rsid w:val="00996394"/>
    <w:rsid w:val="009964E8"/>
    <w:rsid w:val="009969D9"/>
    <w:rsid w:val="00996E80"/>
    <w:rsid w:val="00997375"/>
    <w:rsid w:val="009974C4"/>
    <w:rsid w:val="0099781C"/>
    <w:rsid w:val="009A2A40"/>
    <w:rsid w:val="009A2B9E"/>
    <w:rsid w:val="009A2EEC"/>
    <w:rsid w:val="009A554B"/>
    <w:rsid w:val="009A7052"/>
    <w:rsid w:val="009B09F5"/>
    <w:rsid w:val="009B24D5"/>
    <w:rsid w:val="009B5397"/>
    <w:rsid w:val="009B567A"/>
    <w:rsid w:val="009B6D22"/>
    <w:rsid w:val="009B7158"/>
    <w:rsid w:val="009B7417"/>
    <w:rsid w:val="009B75F0"/>
    <w:rsid w:val="009B760F"/>
    <w:rsid w:val="009B7C2D"/>
    <w:rsid w:val="009C069C"/>
    <w:rsid w:val="009C100E"/>
    <w:rsid w:val="009C1241"/>
    <w:rsid w:val="009C1312"/>
    <w:rsid w:val="009C1FDC"/>
    <w:rsid w:val="009C2DE6"/>
    <w:rsid w:val="009C3898"/>
    <w:rsid w:val="009C398F"/>
    <w:rsid w:val="009C3D88"/>
    <w:rsid w:val="009C4FD6"/>
    <w:rsid w:val="009C5754"/>
    <w:rsid w:val="009C62CF"/>
    <w:rsid w:val="009C6CF7"/>
    <w:rsid w:val="009D21DA"/>
    <w:rsid w:val="009D2ECA"/>
    <w:rsid w:val="009D30E8"/>
    <w:rsid w:val="009D36FE"/>
    <w:rsid w:val="009D3A06"/>
    <w:rsid w:val="009D3F69"/>
    <w:rsid w:val="009D4CAF"/>
    <w:rsid w:val="009D5DAF"/>
    <w:rsid w:val="009D62A2"/>
    <w:rsid w:val="009D65F1"/>
    <w:rsid w:val="009D7873"/>
    <w:rsid w:val="009E21A1"/>
    <w:rsid w:val="009E3436"/>
    <w:rsid w:val="009E34B9"/>
    <w:rsid w:val="009E381B"/>
    <w:rsid w:val="009E3B3F"/>
    <w:rsid w:val="009E3C73"/>
    <w:rsid w:val="009E3F7B"/>
    <w:rsid w:val="009E515A"/>
    <w:rsid w:val="009E58F6"/>
    <w:rsid w:val="009E6BDB"/>
    <w:rsid w:val="009E6C3C"/>
    <w:rsid w:val="009E6F0B"/>
    <w:rsid w:val="009E76C7"/>
    <w:rsid w:val="009F10C5"/>
    <w:rsid w:val="009F21A5"/>
    <w:rsid w:val="009F2401"/>
    <w:rsid w:val="009F2CC4"/>
    <w:rsid w:val="009F4C10"/>
    <w:rsid w:val="009F4D27"/>
    <w:rsid w:val="009F4F3A"/>
    <w:rsid w:val="009F7950"/>
    <w:rsid w:val="00A0085A"/>
    <w:rsid w:val="00A0135B"/>
    <w:rsid w:val="00A01B98"/>
    <w:rsid w:val="00A01F46"/>
    <w:rsid w:val="00A03695"/>
    <w:rsid w:val="00A05481"/>
    <w:rsid w:val="00A05D96"/>
    <w:rsid w:val="00A0735F"/>
    <w:rsid w:val="00A07974"/>
    <w:rsid w:val="00A11151"/>
    <w:rsid w:val="00A111D1"/>
    <w:rsid w:val="00A11270"/>
    <w:rsid w:val="00A11509"/>
    <w:rsid w:val="00A119F6"/>
    <w:rsid w:val="00A11A30"/>
    <w:rsid w:val="00A12148"/>
    <w:rsid w:val="00A12308"/>
    <w:rsid w:val="00A14246"/>
    <w:rsid w:val="00A14A5A"/>
    <w:rsid w:val="00A15648"/>
    <w:rsid w:val="00A1701A"/>
    <w:rsid w:val="00A17A03"/>
    <w:rsid w:val="00A17D3F"/>
    <w:rsid w:val="00A2213C"/>
    <w:rsid w:val="00A233E5"/>
    <w:rsid w:val="00A24F30"/>
    <w:rsid w:val="00A26845"/>
    <w:rsid w:val="00A276F4"/>
    <w:rsid w:val="00A314EF"/>
    <w:rsid w:val="00A31676"/>
    <w:rsid w:val="00A3250C"/>
    <w:rsid w:val="00A32B3F"/>
    <w:rsid w:val="00A33D88"/>
    <w:rsid w:val="00A344F8"/>
    <w:rsid w:val="00A34F7B"/>
    <w:rsid w:val="00A35842"/>
    <w:rsid w:val="00A37216"/>
    <w:rsid w:val="00A37858"/>
    <w:rsid w:val="00A43871"/>
    <w:rsid w:val="00A43876"/>
    <w:rsid w:val="00A43C64"/>
    <w:rsid w:val="00A43DB9"/>
    <w:rsid w:val="00A44182"/>
    <w:rsid w:val="00A44B25"/>
    <w:rsid w:val="00A44DD4"/>
    <w:rsid w:val="00A451B4"/>
    <w:rsid w:val="00A45DBF"/>
    <w:rsid w:val="00A463A5"/>
    <w:rsid w:val="00A466E0"/>
    <w:rsid w:val="00A46794"/>
    <w:rsid w:val="00A46A11"/>
    <w:rsid w:val="00A46AC8"/>
    <w:rsid w:val="00A476B7"/>
    <w:rsid w:val="00A50234"/>
    <w:rsid w:val="00A51D31"/>
    <w:rsid w:val="00A52795"/>
    <w:rsid w:val="00A52B77"/>
    <w:rsid w:val="00A52F50"/>
    <w:rsid w:val="00A533C5"/>
    <w:rsid w:val="00A54503"/>
    <w:rsid w:val="00A569D3"/>
    <w:rsid w:val="00A56E0A"/>
    <w:rsid w:val="00A62B29"/>
    <w:rsid w:val="00A62CA6"/>
    <w:rsid w:val="00A6322C"/>
    <w:rsid w:val="00A63887"/>
    <w:rsid w:val="00A6404A"/>
    <w:rsid w:val="00A64C4D"/>
    <w:rsid w:val="00A64F3B"/>
    <w:rsid w:val="00A650C3"/>
    <w:rsid w:val="00A734E0"/>
    <w:rsid w:val="00A73B04"/>
    <w:rsid w:val="00A74B43"/>
    <w:rsid w:val="00A80C1F"/>
    <w:rsid w:val="00A810E7"/>
    <w:rsid w:val="00A811F5"/>
    <w:rsid w:val="00A815F9"/>
    <w:rsid w:val="00A819DE"/>
    <w:rsid w:val="00A831AC"/>
    <w:rsid w:val="00A83415"/>
    <w:rsid w:val="00A835F6"/>
    <w:rsid w:val="00A84B56"/>
    <w:rsid w:val="00A90F3D"/>
    <w:rsid w:val="00A91CBC"/>
    <w:rsid w:val="00A9206F"/>
    <w:rsid w:val="00A93487"/>
    <w:rsid w:val="00A95394"/>
    <w:rsid w:val="00AA02C1"/>
    <w:rsid w:val="00AA057E"/>
    <w:rsid w:val="00AA0DB7"/>
    <w:rsid w:val="00AA149A"/>
    <w:rsid w:val="00AA16B1"/>
    <w:rsid w:val="00AA2944"/>
    <w:rsid w:val="00AA2AC7"/>
    <w:rsid w:val="00AA2EF3"/>
    <w:rsid w:val="00AA3115"/>
    <w:rsid w:val="00AA4000"/>
    <w:rsid w:val="00AA65DC"/>
    <w:rsid w:val="00AA6645"/>
    <w:rsid w:val="00AA6695"/>
    <w:rsid w:val="00AA6D7C"/>
    <w:rsid w:val="00AA6F92"/>
    <w:rsid w:val="00AA70C2"/>
    <w:rsid w:val="00AA7357"/>
    <w:rsid w:val="00AA7725"/>
    <w:rsid w:val="00AA7C74"/>
    <w:rsid w:val="00AA7FB4"/>
    <w:rsid w:val="00AB0F6B"/>
    <w:rsid w:val="00AB109F"/>
    <w:rsid w:val="00AB192F"/>
    <w:rsid w:val="00AB1A64"/>
    <w:rsid w:val="00AB2529"/>
    <w:rsid w:val="00AB2C86"/>
    <w:rsid w:val="00AB323B"/>
    <w:rsid w:val="00AB46BF"/>
    <w:rsid w:val="00AB507A"/>
    <w:rsid w:val="00AB51AE"/>
    <w:rsid w:val="00AB538C"/>
    <w:rsid w:val="00AB6934"/>
    <w:rsid w:val="00AB6DC7"/>
    <w:rsid w:val="00AB70AD"/>
    <w:rsid w:val="00AB71D9"/>
    <w:rsid w:val="00AC33A3"/>
    <w:rsid w:val="00AC3D33"/>
    <w:rsid w:val="00AC4A56"/>
    <w:rsid w:val="00AC52C4"/>
    <w:rsid w:val="00AC6273"/>
    <w:rsid w:val="00AC6DE1"/>
    <w:rsid w:val="00AD029F"/>
    <w:rsid w:val="00AD0355"/>
    <w:rsid w:val="00AD38EF"/>
    <w:rsid w:val="00AD3E0B"/>
    <w:rsid w:val="00AD3FBA"/>
    <w:rsid w:val="00AD461D"/>
    <w:rsid w:val="00AD522A"/>
    <w:rsid w:val="00AD5B09"/>
    <w:rsid w:val="00AD6B09"/>
    <w:rsid w:val="00AD750E"/>
    <w:rsid w:val="00AD7E74"/>
    <w:rsid w:val="00AE09BC"/>
    <w:rsid w:val="00AE2DC8"/>
    <w:rsid w:val="00AE3546"/>
    <w:rsid w:val="00AE738B"/>
    <w:rsid w:val="00AF0736"/>
    <w:rsid w:val="00AF1623"/>
    <w:rsid w:val="00AF2660"/>
    <w:rsid w:val="00AF2ED4"/>
    <w:rsid w:val="00AF42DE"/>
    <w:rsid w:val="00AF44DA"/>
    <w:rsid w:val="00AF51D8"/>
    <w:rsid w:val="00AF5510"/>
    <w:rsid w:val="00AF5B9D"/>
    <w:rsid w:val="00AF5D05"/>
    <w:rsid w:val="00AF654B"/>
    <w:rsid w:val="00AF75C4"/>
    <w:rsid w:val="00B001D9"/>
    <w:rsid w:val="00B00991"/>
    <w:rsid w:val="00B01479"/>
    <w:rsid w:val="00B020FA"/>
    <w:rsid w:val="00B02D07"/>
    <w:rsid w:val="00B036FC"/>
    <w:rsid w:val="00B03910"/>
    <w:rsid w:val="00B03F69"/>
    <w:rsid w:val="00B04417"/>
    <w:rsid w:val="00B04D78"/>
    <w:rsid w:val="00B05FA1"/>
    <w:rsid w:val="00B06751"/>
    <w:rsid w:val="00B068D3"/>
    <w:rsid w:val="00B06EAB"/>
    <w:rsid w:val="00B10239"/>
    <w:rsid w:val="00B10A42"/>
    <w:rsid w:val="00B11832"/>
    <w:rsid w:val="00B1222D"/>
    <w:rsid w:val="00B12BD5"/>
    <w:rsid w:val="00B13476"/>
    <w:rsid w:val="00B13A87"/>
    <w:rsid w:val="00B13B2A"/>
    <w:rsid w:val="00B1471E"/>
    <w:rsid w:val="00B1705D"/>
    <w:rsid w:val="00B17C67"/>
    <w:rsid w:val="00B17CC7"/>
    <w:rsid w:val="00B2094E"/>
    <w:rsid w:val="00B20CFE"/>
    <w:rsid w:val="00B21391"/>
    <w:rsid w:val="00B22056"/>
    <w:rsid w:val="00B24B8A"/>
    <w:rsid w:val="00B25864"/>
    <w:rsid w:val="00B2597E"/>
    <w:rsid w:val="00B269E3"/>
    <w:rsid w:val="00B26BF9"/>
    <w:rsid w:val="00B27208"/>
    <w:rsid w:val="00B276CA"/>
    <w:rsid w:val="00B27E96"/>
    <w:rsid w:val="00B30C5C"/>
    <w:rsid w:val="00B30C69"/>
    <w:rsid w:val="00B319CB"/>
    <w:rsid w:val="00B31F32"/>
    <w:rsid w:val="00B320F8"/>
    <w:rsid w:val="00B3369F"/>
    <w:rsid w:val="00B33778"/>
    <w:rsid w:val="00B3444D"/>
    <w:rsid w:val="00B35A0B"/>
    <w:rsid w:val="00B36CB1"/>
    <w:rsid w:val="00B37757"/>
    <w:rsid w:val="00B4166F"/>
    <w:rsid w:val="00B43418"/>
    <w:rsid w:val="00B43B54"/>
    <w:rsid w:val="00B44529"/>
    <w:rsid w:val="00B45CF8"/>
    <w:rsid w:val="00B46399"/>
    <w:rsid w:val="00B46538"/>
    <w:rsid w:val="00B46DBE"/>
    <w:rsid w:val="00B47212"/>
    <w:rsid w:val="00B47C19"/>
    <w:rsid w:val="00B47E94"/>
    <w:rsid w:val="00B502B8"/>
    <w:rsid w:val="00B505CE"/>
    <w:rsid w:val="00B5116A"/>
    <w:rsid w:val="00B51FC6"/>
    <w:rsid w:val="00B522BB"/>
    <w:rsid w:val="00B52582"/>
    <w:rsid w:val="00B54113"/>
    <w:rsid w:val="00B55FA3"/>
    <w:rsid w:val="00B56056"/>
    <w:rsid w:val="00B56C8E"/>
    <w:rsid w:val="00B56DDA"/>
    <w:rsid w:val="00B56F4A"/>
    <w:rsid w:val="00B570B8"/>
    <w:rsid w:val="00B5796C"/>
    <w:rsid w:val="00B60200"/>
    <w:rsid w:val="00B60673"/>
    <w:rsid w:val="00B6084B"/>
    <w:rsid w:val="00B634B7"/>
    <w:rsid w:val="00B63A73"/>
    <w:rsid w:val="00B63CBF"/>
    <w:rsid w:val="00B63DF9"/>
    <w:rsid w:val="00B65F00"/>
    <w:rsid w:val="00B6602B"/>
    <w:rsid w:val="00B6685E"/>
    <w:rsid w:val="00B66CFC"/>
    <w:rsid w:val="00B673E5"/>
    <w:rsid w:val="00B67F79"/>
    <w:rsid w:val="00B70695"/>
    <w:rsid w:val="00B709DF"/>
    <w:rsid w:val="00B70AE7"/>
    <w:rsid w:val="00B71748"/>
    <w:rsid w:val="00B72997"/>
    <w:rsid w:val="00B72CB9"/>
    <w:rsid w:val="00B72CBB"/>
    <w:rsid w:val="00B7338B"/>
    <w:rsid w:val="00B74C33"/>
    <w:rsid w:val="00B80BB5"/>
    <w:rsid w:val="00B80FB2"/>
    <w:rsid w:val="00B814F4"/>
    <w:rsid w:val="00B8271C"/>
    <w:rsid w:val="00B83B92"/>
    <w:rsid w:val="00B84015"/>
    <w:rsid w:val="00B84901"/>
    <w:rsid w:val="00B866C3"/>
    <w:rsid w:val="00B86D28"/>
    <w:rsid w:val="00B87099"/>
    <w:rsid w:val="00B90FBC"/>
    <w:rsid w:val="00B9133D"/>
    <w:rsid w:val="00B91E9E"/>
    <w:rsid w:val="00B943C6"/>
    <w:rsid w:val="00B94E6C"/>
    <w:rsid w:val="00B95477"/>
    <w:rsid w:val="00B962BE"/>
    <w:rsid w:val="00BA0B21"/>
    <w:rsid w:val="00BA1FE6"/>
    <w:rsid w:val="00BA3C59"/>
    <w:rsid w:val="00BA4791"/>
    <w:rsid w:val="00BA6C08"/>
    <w:rsid w:val="00BA6E85"/>
    <w:rsid w:val="00BA737B"/>
    <w:rsid w:val="00BA75F4"/>
    <w:rsid w:val="00BA7A7F"/>
    <w:rsid w:val="00BA7B36"/>
    <w:rsid w:val="00BA7F01"/>
    <w:rsid w:val="00BB040F"/>
    <w:rsid w:val="00BB0DBB"/>
    <w:rsid w:val="00BB3A1B"/>
    <w:rsid w:val="00BB41A6"/>
    <w:rsid w:val="00BB4606"/>
    <w:rsid w:val="00BB522F"/>
    <w:rsid w:val="00BB5A22"/>
    <w:rsid w:val="00BB623E"/>
    <w:rsid w:val="00BB6F68"/>
    <w:rsid w:val="00BB72D0"/>
    <w:rsid w:val="00BB7ABB"/>
    <w:rsid w:val="00BB7FDB"/>
    <w:rsid w:val="00BC09E5"/>
    <w:rsid w:val="00BC276E"/>
    <w:rsid w:val="00BC2823"/>
    <w:rsid w:val="00BC439B"/>
    <w:rsid w:val="00BC4D5F"/>
    <w:rsid w:val="00BC513F"/>
    <w:rsid w:val="00BC5400"/>
    <w:rsid w:val="00BC5751"/>
    <w:rsid w:val="00BC6D24"/>
    <w:rsid w:val="00BC73BF"/>
    <w:rsid w:val="00BC789E"/>
    <w:rsid w:val="00BD053C"/>
    <w:rsid w:val="00BD0ECF"/>
    <w:rsid w:val="00BD1976"/>
    <w:rsid w:val="00BD1FF6"/>
    <w:rsid w:val="00BD2900"/>
    <w:rsid w:val="00BD427B"/>
    <w:rsid w:val="00BD4ED8"/>
    <w:rsid w:val="00BD4F5A"/>
    <w:rsid w:val="00BD67E1"/>
    <w:rsid w:val="00BD6846"/>
    <w:rsid w:val="00BD710D"/>
    <w:rsid w:val="00BD7FD8"/>
    <w:rsid w:val="00BE0BC9"/>
    <w:rsid w:val="00BE0D92"/>
    <w:rsid w:val="00BE10A0"/>
    <w:rsid w:val="00BE25C9"/>
    <w:rsid w:val="00BE3C71"/>
    <w:rsid w:val="00BE3EB3"/>
    <w:rsid w:val="00BE40B1"/>
    <w:rsid w:val="00BE4865"/>
    <w:rsid w:val="00BE5084"/>
    <w:rsid w:val="00BE665A"/>
    <w:rsid w:val="00BF22AF"/>
    <w:rsid w:val="00BF3713"/>
    <w:rsid w:val="00BF418B"/>
    <w:rsid w:val="00BF5E06"/>
    <w:rsid w:val="00BF6118"/>
    <w:rsid w:val="00BF6B47"/>
    <w:rsid w:val="00BF7503"/>
    <w:rsid w:val="00BF7B40"/>
    <w:rsid w:val="00C002BD"/>
    <w:rsid w:val="00C00368"/>
    <w:rsid w:val="00C010E4"/>
    <w:rsid w:val="00C0252E"/>
    <w:rsid w:val="00C02F3B"/>
    <w:rsid w:val="00C03C12"/>
    <w:rsid w:val="00C057BE"/>
    <w:rsid w:val="00C05D1C"/>
    <w:rsid w:val="00C06B78"/>
    <w:rsid w:val="00C06DAA"/>
    <w:rsid w:val="00C06F45"/>
    <w:rsid w:val="00C10E3E"/>
    <w:rsid w:val="00C1141B"/>
    <w:rsid w:val="00C1142C"/>
    <w:rsid w:val="00C119F2"/>
    <w:rsid w:val="00C13D8D"/>
    <w:rsid w:val="00C149EE"/>
    <w:rsid w:val="00C16F61"/>
    <w:rsid w:val="00C17C7E"/>
    <w:rsid w:val="00C2014F"/>
    <w:rsid w:val="00C215D2"/>
    <w:rsid w:val="00C21AB4"/>
    <w:rsid w:val="00C22D7E"/>
    <w:rsid w:val="00C232DC"/>
    <w:rsid w:val="00C238EF"/>
    <w:rsid w:val="00C23D2F"/>
    <w:rsid w:val="00C24180"/>
    <w:rsid w:val="00C25CEA"/>
    <w:rsid w:val="00C264B8"/>
    <w:rsid w:val="00C27A91"/>
    <w:rsid w:val="00C32F45"/>
    <w:rsid w:val="00C33C52"/>
    <w:rsid w:val="00C34A5D"/>
    <w:rsid w:val="00C35BF6"/>
    <w:rsid w:val="00C36AFD"/>
    <w:rsid w:val="00C375D9"/>
    <w:rsid w:val="00C3790E"/>
    <w:rsid w:val="00C37F85"/>
    <w:rsid w:val="00C41AE7"/>
    <w:rsid w:val="00C41C28"/>
    <w:rsid w:val="00C42267"/>
    <w:rsid w:val="00C42B93"/>
    <w:rsid w:val="00C42C75"/>
    <w:rsid w:val="00C443BD"/>
    <w:rsid w:val="00C44FA6"/>
    <w:rsid w:val="00C451C5"/>
    <w:rsid w:val="00C459B9"/>
    <w:rsid w:val="00C45B6E"/>
    <w:rsid w:val="00C463F3"/>
    <w:rsid w:val="00C466C9"/>
    <w:rsid w:val="00C466FE"/>
    <w:rsid w:val="00C4748A"/>
    <w:rsid w:val="00C47A20"/>
    <w:rsid w:val="00C50848"/>
    <w:rsid w:val="00C50D2E"/>
    <w:rsid w:val="00C5188C"/>
    <w:rsid w:val="00C52EE4"/>
    <w:rsid w:val="00C531F7"/>
    <w:rsid w:val="00C53A3F"/>
    <w:rsid w:val="00C53C6C"/>
    <w:rsid w:val="00C546C2"/>
    <w:rsid w:val="00C55BEF"/>
    <w:rsid w:val="00C55CD9"/>
    <w:rsid w:val="00C574A2"/>
    <w:rsid w:val="00C574B1"/>
    <w:rsid w:val="00C574F4"/>
    <w:rsid w:val="00C57DC2"/>
    <w:rsid w:val="00C60084"/>
    <w:rsid w:val="00C608A1"/>
    <w:rsid w:val="00C6097D"/>
    <w:rsid w:val="00C6187C"/>
    <w:rsid w:val="00C628B6"/>
    <w:rsid w:val="00C654DD"/>
    <w:rsid w:val="00C6750A"/>
    <w:rsid w:val="00C703ED"/>
    <w:rsid w:val="00C70DB5"/>
    <w:rsid w:val="00C70FD8"/>
    <w:rsid w:val="00C72643"/>
    <w:rsid w:val="00C73396"/>
    <w:rsid w:val="00C73D9A"/>
    <w:rsid w:val="00C750DD"/>
    <w:rsid w:val="00C7535A"/>
    <w:rsid w:val="00C7658D"/>
    <w:rsid w:val="00C80703"/>
    <w:rsid w:val="00C80BFE"/>
    <w:rsid w:val="00C81786"/>
    <w:rsid w:val="00C84866"/>
    <w:rsid w:val="00C848D6"/>
    <w:rsid w:val="00C84AD5"/>
    <w:rsid w:val="00C85674"/>
    <w:rsid w:val="00C85D2D"/>
    <w:rsid w:val="00C8660D"/>
    <w:rsid w:val="00C91528"/>
    <w:rsid w:val="00C9161D"/>
    <w:rsid w:val="00C9278D"/>
    <w:rsid w:val="00C95749"/>
    <w:rsid w:val="00C95A1B"/>
    <w:rsid w:val="00C95C63"/>
    <w:rsid w:val="00C95DFA"/>
    <w:rsid w:val="00C96529"/>
    <w:rsid w:val="00C96A1D"/>
    <w:rsid w:val="00C9700C"/>
    <w:rsid w:val="00C9711C"/>
    <w:rsid w:val="00C9773B"/>
    <w:rsid w:val="00CA05BC"/>
    <w:rsid w:val="00CA060E"/>
    <w:rsid w:val="00CA0C1D"/>
    <w:rsid w:val="00CA125C"/>
    <w:rsid w:val="00CA315E"/>
    <w:rsid w:val="00CA3E73"/>
    <w:rsid w:val="00CA42EF"/>
    <w:rsid w:val="00CA7A88"/>
    <w:rsid w:val="00CB1DF8"/>
    <w:rsid w:val="00CB2A82"/>
    <w:rsid w:val="00CB4D60"/>
    <w:rsid w:val="00CB60A4"/>
    <w:rsid w:val="00CB7932"/>
    <w:rsid w:val="00CB7BEE"/>
    <w:rsid w:val="00CC0613"/>
    <w:rsid w:val="00CC2789"/>
    <w:rsid w:val="00CC2E69"/>
    <w:rsid w:val="00CC344A"/>
    <w:rsid w:val="00CC3D78"/>
    <w:rsid w:val="00CC4A1C"/>
    <w:rsid w:val="00CC5185"/>
    <w:rsid w:val="00CC5D39"/>
    <w:rsid w:val="00CD0347"/>
    <w:rsid w:val="00CD20D0"/>
    <w:rsid w:val="00CD2482"/>
    <w:rsid w:val="00CD270A"/>
    <w:rsid w:val="00CD35CC"/>
    <w:rsid w:val="00CD4912"/>
    <w:rsid w:val="00CD54F4"/>
    <w:rsid w:val="00CD5C7B"/>
    <w:rsid w:val="00CD5FB9"/>
    <w:rsid w:val="00CD7400"/>
    <w:rsid w:val="00CD79DA"/>
    <w:rsid w:val="00CD7C07"/>
    <w:rsid w:val="00CD7C3D"/>
    <w:rsid w:val="00CE0326"/>
    <w:rsid w:val="00CE1285"/>
    <w:rsid w:val="00CE1C8A"/>
    <w:rsid w:val="00CE3047"/>
    <w:rsid w:val="00CE4479"/>
    <w:rsid w:val="00CE5347"/>
    <w:rsid w:val="00CE55CF"/>
    <w:rsid w:val="00CE56DE"/>
    <w:rsid w:val="00CE61FC"/>
    <w:rsid w:val="00CE6592"/>
    <w:rsid w:val="00CE6EE2"/>
    <w:rsid w:val="00CE74BC"/>
    <w:rsid w:val="00CE7E33"/>
    <w:rsid w:val="00CF1848"/>
    <w:rsid w:val="00CF2341"/>
    <w:rsid w:val="00CF46B7"/>
    <w:rsid w:val="00CF7777"/>
    <w:rsid w:val="00D0016A"/>
    <w:rsid w:val="00D0080A"/>
    <w:rsid w:val="00D00B55"/>
    <w:rsid w:val="00D00EB9"/>
    <w:rsid w:val="00D00F52"/>
    <w:rsid w:val="00D01797"/>
    <w:rsid w:val="00D0295E"/>
    <w:rsid w:val="00D02F18"/>
    <w:rsid w:val="00D03258"/>
    <w:rsid w:val="00D035DA"/>
    <w:rsid w:val="00D03A76"/>
    <w:rsid w:val="00D03AD8"/>
    <w:rsid w:val="00D03CEA"/>
    <w:rsid w:val="00D06B44"/>
    <w:rsid w:val="00D07581"/>
    <w:rsid w:val="00D07BFB"/>
    <w:rsid w:val="00D07F0B"/>
    <w:rsid w:val="00D10A13"/>
    <w:rsid w:val="00D111C8"/>
    <w:rsid w:val="00D115BD"/>
    <w:rsid w:val="00D1168D"/>
    <w:rsid w:val="00D12044"/>
    <w:rsid w:val="00D132AF"/>
    <w:rsid w:val="00D1375D"/>
    <w:rsid w:val="00D143DB"/>
    <w:rsid w:val="00D153F8"/>
    <w:rsid w:val="00D159E1"/>
    <w:rsid w:val="00D170D9"/>
    <w:rsid w:val="00D171F3"/>
    <w:rsid w:val="00D17488"/>
    <w:rsid w:val="00D17C50"/>
    <w:rsid w:val="00D17EA6"/>
    <w:rsid w:val="00D20E0E"/>
    <w:rsid w:val="00D20E21"/>
    <w:rsid w:val="00D21846"/>
    <w:rsid w:val="00D21AD7"/>
    <w:rsid w:val="00D22462"/>
    <w:rsid w:val="00D22477"/>
    <w:rsid w:val="00D2441B"/>
    <w:rsid w:val="00D247BE"/>
    <w:rsid w:val="00D2492B"/>
    <w:rsid w:val="00D25DB5"/>
    <w:rsid w:val="00D25DC4"/>
    <w:rsid w:val="00D269DC"/>
    <w:rsid w:val="00D2774F"/>
    <w:rsid w:val="00D27BD2"/>
    <w:rsid w:val="00D308F4"/>
    <w:rsid w:val="00D31A1D"/>
    <w:rsid w:val="00D3326C"/>
    <w:rsid w:val="00D33EFC"/>
    <w:rsid w:val="00D344FF"/>
    <w:rsid w:val="00D34520"/>
    <w:rsid w:val="00D35736"/>
    <w:rsid w:val="00D36C70"/>
    <w:rsid w:val="00D36FEE"/>
    <w:rsid w:val="00D378BA"/>
    <w:rsid w:val="00D40DBC"/>
    <w:rsid w:val="00D410BA"/>
    <w:rsid w:val="00D43B49"/>
    <w:rsid w:val="00D4489B"/>
    <w:rsid w:val="00D44B26"/>
    <w:rsid w:val="00D46533"/>
    <w:rsid w:val="00D466A7"/>
    <w:rsid w:val="00D46FCA"/>
    <w:rsid w:val="00D473F9"/>
    <w:rsid w:val="00D47987"/>
    <w:rsid w:val="00D50D29"/>
    <w:rsid w:val="00D5194F"/>
    <w:rsid w:val="00D51CCE"/>
    <w:rsid w:val="00D52A77"/>
    <w:rsid w:val="00D53792"/>
    <w:rsid w:val="00D53926"/>
    <w:rsid w:val="00D53936"/>
    <w:rsid w:val="00D54DC5"/>
    <w:rsid w:val="00D558F0"/>
    <w:rsid w:val="00D5741A"/>
    <w:rsid w:val="00D60437"/>
    <w:rsid w:val="00D616BC"/>
    <w:rsid w:val="00D61C85"/>
    <w:rsid w:val="00D63002"/>
    <w:rsid w:val="00D64D56"/>
    <w:rsid w:val="00D64DE5"/>
    <w:rsid w:val="00D65018"/>
    <w:rsid w:val="00D72066"/>
    <w:rsid w:val="00D722C4"/>
    <w:rsid w:val="00D72E42"/>
    <w:rsid w:val="00D7359C"/>
    <w:rsid w:val="00D73C95"/>
    <w:rsid w:val="00D74BCC"/>
    <w:rsid w:val="00D751AF"/>
    <w:rsid w:val="00D7522C"/>
    <w:rsid w:val="00D75CA6"/>
    <w:rsid w:val="00D75EC7"/>
    <w:rsid w:val="00D76172"/>
    <w:rsid w:val="00D7639E"/>
    <w:rsid w:val="00D76981"/>
    <w:rsid w:val="00D76A18"/>
    <w:rsid w:val="00D76AA8"/>
    <w:rsid w:val="00D7740C"/>
    <w:rsid w:val="00D77A48"/>
    <w:rsid w:val="00D802AA"/>
    <w:rsid w:val="00D80849"/>
    <w:rsid w:val="00D8131F"/>
    <w:rsid w:val="00D818AA"/>
    <w:rsid w:val="00D826BB"/>
    <w:rsid w:val="00D8274A"/>
    <w:rsid w:val="00D82E8F"/>
    <w:rsid w:val="00D82F6E"/>
    <w:rsid w:val="00D8321F"/>
    <w:rsid w:val="00D83694"/>
    <w:rsid w:val="00D86328"/>
    <w:rsid w:val="00D864B6"/>
    <w:rsid w:val="00D86545"/>
    <w:rsid w:val="00D91591"/>
    <w:rsid w:val="00D917CA"/>
    <w:rsid w:val="00D919EF"/>
    <w:rsid w:val="00D91F5F"/>
    <w:rsid w:val="00D91FA3"/>
    <w:rsid w:val="00D931F2"/>
    <w:rsid w:val="00D93523"/>
    <w:rsid w:val="00D94416"/>
    <w:rsid w:val="00D9456D"/>
    <w:rsid w:val="00D94D5E"/>
    <w:rsid w:val="00D94E65"/>
    <w:rsid w:val="00D94FFF"/>
    <w:rsid w:val="00D95631"/>
    <w:rsid w:val="00D96A2D"/>
    <w:rsid w:val="00DA185C"/>
    <w:rsid w:val="00DA2135"/>
    <w:rsid w:val="00DA213F"/>
    <w:rsid w:val="00DA4B23"/>
    <w:rsid w:val="00DA4BC2"/>
    <w:rsid w:val="00DA53AE"/>
    <w:rsid w:val="00DA576B"/>
    <w:rsid w:val="00DA5BA4"/>
    <w:rsid w:val="00DA6229"/>
    <w:rsid w:val="00DA7187"/>
    <w:rsid w:val="00DA758D"/>
    <w:rsid w:val="00DA7EB2"/>
    <w:rsid w:val="00DB1EFA"/>
    <w:rsid w:val="00DB26D0"/>
    <w:rsid w:val="00DB2F14"/>
    <w:rsid w:val="00DB2F6F"/>
    <w:rsid w:val="00DB3155"/>
    <w:rsid w:val="00DB4288"/>
    <w:rsid w:val="00DB47F5"/>
    <w:rsid w:val="00DB5561"/>
    <w:rsid w:val="00DB5E0F"/>
    <w:rsid w:val="00DB624F"/>
    <w:rsid w:val="00DB6401"/>
    <w:rsid w:val="00DB66CC"/>
    <w:rsid w:val="00DB7159"/>
    <w:rsid w:val="00DB72AB"/>
    <w:rsid w:val="00DB7467"/>
    <w:rsid w:val="00DC057A"/>
    <w:rsid w:val="00DC0D7F"/>
    <w:rsid w:val="00DC170A"/>
    <w:rsid w:val="00DC18B1"/>
    <w:rsid w:val="00DC1AC5"/>
    <w:rsid w:val="00DC1BA7"/>
    <w:rsid w:val="00DC1C71"/>
    <w:rsid w:val="00DC1D28"/>
    <w:rsid w:val="00DC20EA"/>
    <w:rsid w:val="00DC21CC"/>
    <w:rsid w:val="00DC4074"/>
    <w:rsid w:val="00DC4359"/>
    <w:rsid w:val="00DC5A67"/>
    <w:rsid w:val="00DC667D"/>
    <w:rsid w:val="00DC7251"/>
    <w:rsid w:val="00DD118C"/>
    <w:rsid w:val="00DD1F7E"/>
    <w:rsid w:val="00DD2300"/>
    <w:rsid w:val="00DD2422"/>
    <w:rsid w:val="00DD272E"/>
    <w:rsid w:val="00DD5801"/>
    <w:rsid w:val="00DD5945"/>
    <w:rsid w:val="00DD60C4"/>
    <w:rsid w:val="00DD756C"/>
    <w:rsid w:val="00DE0850"/>
    <w:rsid w:val="00DE1D1B"/>
    <w:rsid w:val="00DE408A"/>
    <w:rsid w:val="00DE42ED"/>
    <w:rsid w:val="00DE632A"/>
    <w:rsid w:val="00DE6C09"/>
    <w:rsid w:val="00DE765C"/>
    <w:rsid w:val="00DF022C"/>
    <w:rsid w:val="00DF0836"/>
    <w:rsid w:val="00DF0CDF"/>
    <w:rsid w:val="00DF1B0C"/>
    <w:rsid w:val="00DF2D88"/>
    <w:rsid w:val="00DF3088"/>
    <w:rsid w:val="00DF3840"/>
    <w:rsid w:val="00DF3A49"/>
    <w:rsid w:val="00DF41A7"/>
    <w:rsid w:val="00DF44E2"/>
    <w:rsid w:val="00DF490A"/>
    <w:rsid w:val="00DF4BE5"/>
    <w:rsid w:val="00DF5BE7"/>
    <w:rsid w:val="00DF692F"/>
    <w:rsid w:val="00DF695D"/>
    <w:rsid w:val="00DF76EB"/>
    <w:rsid w:val="00DF7D2C"/>
    <w:rsid w:val="00E00DCD"/>
    <w:rsid w:val="00E0377E"/>
    <w:rsid w:val="00E03E49"/>
    <w:rsid w:val="00E040A1"/>
    <w:rsid w:val="00E041AD"/>
    <w:rsid w:val="00E04D59"/>
    <w:rsid w:val="00E060D1"/>
    <w:rsid w:val="00E105EA"/>
    <w:rsid w:val="00E1109D"/>
    <w:rsid w:val="00E11DA0"/>
    <w:rsid w:val="00E11FA1"/>
    <w:rsid w:val="00E13C2C"/>
    <w:rsid w:val="00E141E1"/>
    <w:rsid w:val="00E142EA"/>
    <w:rsid w:val="00E14321"/>
    <w:rsid w:val="00E15BBB"/>
    <w:rsid w:val="00E16D43"/>
    <w:rsid w:val="00E17705"/>
    <w:rsid w:val="00E17CCE"/>
    <w:rsid w:val="00E202CD"/>
    <w:rsid w:val="00E2204C"/>
    <w:rsid w:val="00E2359F"/>
    <w:rsid w:val="00E24D20"/>
    <w:rsid w:val="00E2537E"/>
    <w:rsid w:val="00E26619"/>
    <w:rsid w:val="00E26C0B"/>
    <w:rsid w:val="00E27432"/>
    <w:rsid w:val="00E27441"/>
    <w:rsid w:val="00E27A8A"/>
    <w:rsid w:val="00E3105C"/>
    <w:rsid w:val="00E31074"/>
    <w:rsid w:val="00E31A00"/>
    <w:rsid w:val="00E322D9"/>
    <w:rsid w:val="00E33A50"/>
    <w:rsid w:val="00E34314"/>
    <w:rsid w:val="00E358D8"/>
    <w:rsid w:val="00E35B54"/>
    <w:rsid w:val="00E36581"/>
    <w:rsid w:val="00E36A9C"/>
    <w:rsid w:val="00E3755C"/>
    <w:rsid w:val="00E40FFE"/>
    <w:rsid w:val="00E441AB"/>
    <w:rsid w:val="00E446F7"/>
    <w:rsid w:val="00E451E2"/>
    <w:rsid w:val="00E459A2"/>
    <w:rsid w:val="00E45C74"/>
    <w:rsid w:val="00E45E3B"/>
    <w:rsid w:val="00E46549"/>
    <w:rsid w:val="00E468A9"/>
    <w:rsid w:val="00E501EA"/>
    <w:rsid w:val="00E503BF"/>
    <w:rsid w:val="00E506F3"/>
    <w:rsid w:val="00E52B4D"/>
    <w:rsid w:val="00E52EF9"/>
    <w:rsid w:val="00E53368"/>
    <w:rsid w:val="00E540C2"/>
    <w:rsid w:val="00E554BC"/>
    <w:rsid w:val="00E5553B"/>
    <w:rsid w:val="00E558A8"/>
    <w:rsid w:val="00E5681B"/>
    <w:rsid w:val="00E56E75"/>
    <w:rsid w:val="00E573DD"/>
    <w:rsid w:val="00E57498"/>
    <w:rsid w:val="00E60058"/>
    <w:rsid w:val="00E61121"/>
    <w:rsid w:val="00E61360"/>
    <w:rsid w:val="00E61706"/>
    <w:rsid w:val="00E617BA"/>
    <w:rsid w:val="00E62304"/>
    <w:rsid w:val="00E6320E"/>
    <w:rsid w:val="00E6365E"/>
    <w:rsid w:val="00E64639"/>
    <w:rsid w:val="00E65D3B"/>
    <w:rsid w:val="00E66235"/>
    <w:rsid w:val="00E71CC1"/>
    <w:rsid w:val="00E72581"/>
    <w:rsid w:val="00E72B0E"/>
    <w:rsid w:val="00E72D89"/>
    <w:rsid w:val="00E72EE7"/>
    <w:rsid w:val="00E72F7D"/>
    <w:rsid w:val="00E732A0"/>
    <w:rsid w:val="00E736E7"/>
    <w:rsid w:val="00E73F17"/>
    <w:rsid w:val="00E75CF1"/>
    <w:rsid w:val="00E770AB"/>
    <w:rsid w:val="00E772EF"/>
    <w:rsid w:val="00E806C2"/>
    <w:rsid w:val="00E807D3"/>
    <w:rsid w:val="00E82D02"/>
    <w:rsid w:val="00E83384"/>
    <w:rsid w:val="00E83BB4"/>
    <w:rsid w:val="00E83C24"/>
    <w:rsid w:val="00E83FEB"/>
    <w:rsid w:val="00E87855"/>
    <w:rsid w:val="00E905F5"/>
    <w:rsid w:val="00E915C2"/>
    <w:rsid w:val="00E916F1"/>
    <w:rsid w:val="00E9273F"/>
    <w:rsid w:val="00E9318D"/>
    <w:rsid w:val="00E931D3"/>
    <w:rsid w:val="00E9326E"/>
    <w:rsid w:val="00E93F3E"/>
    <w:rsid w:val="00E94CF0"/>
    <w:rsid w:val="00E94DD9"/>
    <w:rsid w:val="00E957DC"/>
    <w:rsid w:val="00E96E79"/>
    <w:rsid w:val="00E96F2F"/>
    <w:rsid w:val="00E96F66"/>
    <w:rsid w:val="00E97DD5"/>
    <w:rsid w:val="00EA187D"/>
    <w:rsid w:val="00EA3BA5"/>
    <w:rsid w:val="00EA3DB9"/>
    <w:rsid w:val="00EA4210"/>
    <w:rsid w:val="00EA4C2B"/>
    <w:rsid w:val="00EA72D1"/>
    <w:rsid w:val="00EB075E"/>
    <w:rsid w:val="00EB1130"/>
    <w:rsid w:val="00EB1237"/>
    <w:rsid w:val="00EB1B34"/>
    <w:rsid w:val="00EB1C50"/>
    <w:rsid w:val="00EB1F8B"/>
    <w:rsid w:val="00EB2187"/>
    <w:rsid w:val="00EB236B"/>
    <w:rsid w:val="00EB2763"/>
    <w:rsid w:val="00EB27A9"/>
    <w:rsid w:val="00EB3516"/>
    <w:rsid w:val="00EB4453"/>
    <w:rsid w:val="00EB568E"/>
    <w:rsid w:val="00EB5C31"/>
    <w:rsid w:val="00EB6B32"/>
    <w:rsid w:val="00EB733A"/>
    <w:rsid w:val="00EB73B8"/>
    <w:rsid w:val="00EB7436"/>
    <w:rsid w:val="00EB77D8"/>
    <w:rsid w:val="00EC06BE"/>
    <w:rsid w:val="00EC0C01"/>
    <w:rsid w:val="00EC10EB"/>
    <w:rsid w:val="00EC1100"/>
    <w:rsid w:val="00EC1147"/>
    <w:rsid w:val="00EC2505"/>
    <w:rsid w:val="00EC2730"/>
    <w:rsid w:val="00EC2F2E"/>
    <w:rsid w:val="00EC33FA"/>
    <w:rsid w:val="00EC3449"/>
    <w:rsid w:val="00EC36A3"/>
    <w:rsid w:val="00EC422F"/>
    <w:rsid w:val="00EC42D2"/>
    <w:rsid w:val="00EC44B5"/>
    <w:rsid w:val="00EC4500"/>
    <w:rsid w:val="00EC5931"/>
    <w:rsid w:val="00EC5F36"/>
    <w:rsid w:val="00EC6939"/>
    <w:rsid w:val="00EC78CC"/>
    <w:rsid w:val="00ED0995"/>
    <w:rsid w:val="00ED1DCD"/>
    <w:rsid w:val="00ED1E5C"/>
    <w:rsid w:val="00ED2953"/>
    <w:rsid w:val="00ED335A"/>
    <w:rsid w:val="00ED461F"/>
    <w:rsid w:val="00ED4D7B"/>
    <w:rsid w:val="00ED5A82"/>
    <w:rsid w:val="00ED695D"/>
    <w:rsid w:val="00EE0B79"/>
    <w:rsid w:val="00EE0E8F"/>
    <w:rsid w:val="00EE1E1D"/>
    <w:rsid w:val="00EE24A0"/>
    <w:rsid w:val="00EE2E01"/>
    <w:rsid w:val="00EE2E79"/>
    <w:rsid w:val="00EE2F2C"/>
    <w:rsid w:val="00EE3470"/>
    <w:rsid w:val="00EE3F2A"/>
    <w:rsid w:val="00EE41BD"/>
    <w:rsid w:val="00EE479D"/>
    <w:rsid w:val="00EE554D"/>
    <w:rsid w:val="00EE5B93"/>
    <w:rsid w:val="00EE61F6"/>
    <w:rsid w:val="00EE76FE"/>
    <w:rsid w:val="00EF33D7"/>
    <w:rsid w:val="00EF373E"/>
    <w:rsid w:val="00EF37FB"/>
    <w:rsid w:val="00EF3E32"/>
    <w:rsid w:val="00EF719A"/>
    <w:rsid w:val="00EF7323"/>
    <w:rsid w:val="00EF79B9"/>
    <w:rsid w:val="00F00922"/>
    <w:rsid w:val="00F00E5E"/>
    <w:rsid w:val="00F01893"/>
    <w:rsid w:val="00F03212"/>
    <w:rsid w:val="00F032AA"/>
    <w:rsid w:val="00F03556"/>
    <w:rsid w:val="00F06304"/>
    <w:rsid w:val="00F063C2"/>
    <w:rsid w:val="00F07615"/>
    <w:rsid w:val="00F10C48"/>
    <w:rsid w:val="00F11434"/>
    <w:rsid w:val="00F11E2D"/>
    <w:rsid w:val="00F134A1"/>
    <w:rsid w:val="00F15D0E"/>
    <w:rsid w:val="00F15F5A"/>
    <w:rsid w:val="00F20F6F"/>
    <w:rsid w:val="00F211A0"/>
    <w:rsid w:val="00F21655"/>
    <w:rsid w:val="00F22A1D"/>
    <w:rsid w:val="00F22BE3"/>
    <w:rsid w:val="00F2345F"/>
    <w:rsid w:val="00F23DC6"/>
    <w:rsid w:val="00F23E51"/>
    <w:rsid w:val="00F24195"/>
    <w:rsid w:val="00F24495"/>
    <w:rsid w:val="00F2530D"/>
    <w:rsid w:val="00F26F64"/>
    <w:rsid w:val="00F270C8"/>
    <w:rsid w:val="00F27571"/>
    <w:rsid w:val="00F275B5"/>
    <w:rsid w:val="00F304BA"/>
    <w:rsid w:val="00F30D19"/>
    <w:rsid w:val="00F320F6"/>
    <w:rsid w:val="00F32241"/>
    <w:rsid w:val="00F327C9"/>
    <w:rsid w:val="00F32BC4"/>
    <w:rsid w:val="00F32DB2"/>
    <w:rsid w:val="00F336CB"/>
    <w:rsid w:val="00F339AF"/>
    <w:rsid w:val="00F33D71"/>
    <w:rsid w:val="00F35A72"/>
    <w:rsid w:val="00F35DDC"/>
    <w:rsid w:val="00F360A5"/>
    <w:rsid w:val="00F360CB"/>
    <w:rsid w:val="00F36407"/>
    <w:rsid w:val="00F36769"/>
    <w:rsid w:val="00F36C67"/>
    <w:rsid w:val="00F406F3"/>
    <w:rsid w:val="00F40EAB"/>
    <w:rsid w:val="00F42010"/>
    <w:rsid w:val="00F423BD"/>
    <w:rsid w:val="00F42997"/>
    <w:rsid w:val="00F42A7D"/>
    <w:rsid w:val="00F43843"/>
    <w:rsid w:val="00F45EF5"/>
    <w:rsid w:val="00F46A5A"/>
    <w:rsid w:val="00F46BEF"/>
    <w:rsid w:val="00F4729C"/>
    <w:rsid w:val="00F5086E"/>
    <w:rsid w:val="00F52587"/>
    <w:rsid w:val="00F53193"/>
    <w:rsid w:val="00F5357E"/>
    <w:rsid w:val="00F53D52"/>
    <w:rsid w:val="00F53FDB"/>
    <w:rsid w:val="00F57BFE"/>
    <w:rsid w:val="00F60737"/>
    <w:rsid w:val="00F62A45"/>
    <w:rsid w:val="00F64413"/>
    <w:rsid w:val="00F64625"/>
    <w:rsid w:val="00F649A3"/>
    <w:rsid w:val="00F649C8"/>
    <w:rsid w:val="00F65163"/>
    <w:rsid w:val="00F6545E"/>
    <w:rsid w:val="00F6586C"/>
    <w:rsid w:val="00F67EDD"/>
    <w:rsid w:val="00F70197"/>
    <w:rsid w:val="00F7037B"/>
    <w:rsid w:val="00F70E6E"/>
    <w:rsid w:val="00F715D7"/>
    <w:rsid w:val="00F72A9D"/>
    <w:rsid w:val="00F72B68"/>
    <w:rsid w:val="00F72D39"/>
    <w:rsid w:val="00F73484"/>
    <w:rsid w:val="00F735F7"/>
    <w:rsid w:val="00F743AF"/>
    <w:rsid w:val="00F82BE4"/>
    <w:rsid w:val="00F833E1"/>
    <w:rsid w:val="00F85AC9"/>
    <w:rsid w:val="00F86BE0"/>
    <w:rsid w:val="00F875FF"/>
    <w:rsid w:val="00F87E72"/>
    <w:rsid w:val="00F9038B"/>
    <w:rsid w:val="00F905A6"/>
    <w:rsid w:val="00F90CE2"/>
    <w:rsid w:val="00F934E3"/>
    <w:rsid w:val="00F93630"/>
    <w:rsid w:val="00F93C40"/>
    <w:rsid w:val="00F94774"/>
    <w:rsid w:val="00F95154"/>
    <w:rsid w:val="00F95632"/>
    <w:rsid w:val="00F95F71"/>
    <w:rsid w:val="00F96C84"/>
    <w:rsid w:val="00F970E0"/>
    <w:rsid w:val="00F97B62"/>
    <w:rsid w:val="00FA0524"/>
    <w:rsid w:val="00FA2F28"/>
    <w:rsid w:val="00FA663B"/>
    <w:rsid w:val="00FB01FB"/>
    <w:rsid w:val="00FB0756"/>
    <w:rsid w:val="00FB185E"/>
    <w:rsid w:val="00FB2303"/>
    <w:rsid w:val="00FB2FF7"/>
    <w:rsid w:val="00FB4AD5"/>
    <w:rsid w:val="00FB4BD5"/>
    <w:rsid w:val="00FB5239"/>
    <w:rsid w:val="00FB66B7"/>
    <w:rsid w:val="00FB69F8"/>
    <w:rsid w:val="00FB7219"/>
    <w:rsid w:val="00FB7325"/>
    <w:rsid w:val="00FB759B"/>
    <w:rsid w:val="00FB7F9C"/>
    <w:rsid w:val="00FC0E90"/>
    <w:rsid w:val="00FC16FE"/>
    <w:rsid w:val="00FC2074"/>
    <w:rsid w:val="00FC2778"/>
    <w:rsid w:val="00FC2A3B"/>
    <w:rsid w:val="00FC3A84"/>
    <w:rsid w:val="00FC44A8"/>
    <w:rsid w:val="00FC4A4B"/>
    <w:rsid w:val="00FC519E"/>
    <w:rsid w:val="00FC53DB"/>
    <w:rsid w:val="00FC75F2"/>
    <w:rsid w:val="00FD16FF"/>
    <w:rsid w:val="00FD2087"/>
    <w:rsid w:val="00FD2DBA"/>
    <w:rsid w:val="00FD474D"/>
    <w:rsid w:val="00FD56EA"/>
    <w:rsid w:val="00FD6DB0"/>
    <w:rsid w:val="00FD70AA"/>
    <w:rsid w:val="00FD7CDA"/>
    <w:rsid w:val="00FE02E7"/>
    <w:rsid w:val="00FE20EF"/>
    <w:rsid w:val="00FE274B"/>
    <w:rsid w:val="00FE357A"/>
    <w:rsid w:val="00FE40E3"/>
    <w:rsid w:val="00FE436D"/>
    <w:rsid w:val="00FE475B"/>
    <w:rsid w:val="00FE4BED"/>
    <w:rsid w:val="00FE5BC8"/>
    <w:rsid w:val="00FE704E"/>
    <w:rsid w:val="00FE7C3A"/>
    <w:rsid w:val="00FF0E56"/>
    <w:rsid w:val="00FF313C"/>
    <w:rsid w:val="00FF3BF0"/>
    <w:rsid w:val="00FF471B"/>
    <w:rsid w:val="00FF4B84"/>
    <w:rsid w:val="00FF55B7"/>
    <w:rsid w:val="00FF5F4A"/>
    <w:rsid w:val="00FF6680"/>
    <w:rsid w:val="00FF7BD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C83F85"/>
  <w15:docId w15:val="{5A2C98D1-FEC8-4DDC-BA5D-6C823FC3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s-ES_tradnl"/>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basedOn w:val="Fuentedeprrafopredeter"/>
    <w:uiPriority w:val="99"/>
    <w:semiHidden/>
    <w:unhideWhenUsed/>
    <w:rsid w:val="003F1A75"/>
    <w:rPr>
      <w:vertAlign w:val="superscript"/>
      <w:lang w:val="en-GB"/>
    </w:rPr>
  </w:style>
  <w:style w:type="paragraph" w:styleId="Textonotapie">
    <w:name w:val="footnote text"/>
    <w:basedOn w:val="Normal"/>
    <w:link w:val="TextonotapieCar"/>
    <w:uiPriority w:val="99"/>
    <w:semiHidden/>
    <w:unhideWhenUsed/>
    <w:rsid w:val="003F1A75"/>
    <w:pPr>
      <w:jc w:val="left"/>
    </w:pPr>
    <w:rPr>
      <w:sz w:val="18"/>
      <w:szCs w:val="20"/>
    </w:rPr>
  </w:style>
  <w:style w:type="character" w:customStyle="1" w:styleId="TextonotapieCar">
    <w:name w:val="Texto nota pie Car"/>
    <w:basedOn w:val="Fuentedeprrafopredeter"/>
    <w:link w:val="Textonotapie"/>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numbering" w:customStyle="1" w:styleId="ListCBD1">
    <w:name w:val="ListCBD1"/>
    <w:uiPriority w:val="99"/>
    <w:rsid w:val="00F36407"/>
  </w:style>
  <w:style w:type="paragraph" w:customStyle="1" w:styleId="Para10">
    <w:name w:val="Para 1"/>
    <w:basedOn w:val="Normal"/>
    <w:qFormat/>
    <w:rsid w:val="00231288"/>
    <w:pPr>
      <w:numPr>
        <w:numId w:val="9"/>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np-mop/?m=np-mop-05" TargetMode="External"/><Relationship Id="rId21" Type="http://schemas.openxmlformats.org/officeDocument/2006/relationships/hyperlink" Target="https://www.cbd.int/decisions/np-mop/?m=np-mop-05" TargetMode="External"/><Relationship Id="rId42" Type="http://schemas.openxmlformats.org/officeDocument/2006/relationships/hyperlink" Target="https://www.cbd.int/decisions/np-mop?m=np-mop-04" TargetMode="External"/><Relationship Id="rId47" Type="http://schemas.openxmlformats.org/officeDocument/2006/relationships/hyperlink" Target="https://www.cbd.int/recommendations/sbi/?m=sbi-07" TargetMode="External"/><Relationship Id="rId63" Type="http://schemas.openxmlformats.org/officeDocument/2006/relationships/hyperlink" Target="https://absch.cbd.int/en/kb/tags/absch-announcement/ABS-Small-Grants-Projects-Community-Protocols-Webinar-Recordings-and-Presentations/6806a0581db307497fe9a573" TargetMode="External"/><Relationship Id="rId68" Type="http://schemas.openxmlformats.org/officeDocument/2006/relationships/hyperlink" Target="https://absch.cbd.int/en/kb/tags/absch-announcement/Webinar-The-deadline-is-approaching-Questions-and-answers-on-the-first-national-report-of-the-Nagoya-Protocol-29-September-/68af80fabf63f80e4067eedc" TargetMode="External"/><Relationship Id="rId16" Type="http://schemas.openxmlformats.org/officeDocument/2006/relationships/hyperlink" Target="https://www.cbd.int/decisions/np-mop/?m=np-mop-05" TargetMode="External"/><Relationship Id="rId11" Type="http://schemas.openxmlformats.org/officeDocument/2006/relationships/endnotes" Target="endnotes.xml"/><Relationship Id="rId32" Type="http://schemas.openxmlformats.org/officeDocument/2006/relationships/hyperlink" Target="https://www.cbd.int/documents/CBD/SBI/7/INF/4" TargetMode="External"/><Relationship Id="rId37" Type="http://schemas.openxmlformats.org/officeDocument/2006/relationships/hyperlink" Target="https://www.cbd.int/recommendations/sbi/?m=sbi-07" TargetMode="External"/><Relationship Id="rId53" Type="http://schemas.openxmlformats.org/officeDocument/2006/relationships/hyperlink" Target="https://absch.cbd.int/en/kb/tags/absch-announcement/Recording-of-webinars-ABSCH-introduction-available-in-all-languages-/678a965b7a50a6e8cdad8992" TargetMode="External"/><Relationship Id="rId58" Type="http://schemas.openxmlformats.org/officeDocument/2006/relationships/hyperlink" Target="https://absch.cbd.int/en/kb/tags/absch-announcement/Webinar-Recording-ABS-in-the-Global-Biodiversity-Framework-NBSAPs-and-monitoring-framework/67d43b4f4d49ea3b9f795931" TargetMode="External"/><Relationship Id="rId74" Type="http://schemas.openxmlformats.org/officeDocument/2006/relationships/hyperlink" Target="https://absch.cbd.int/en/kb/tags/abs/Webinar-Series-on-Capacity-Building-for-Access-and-Benefit-Sharing-September-December-2025-/68c427bcbf63f80e4068d091" TargetMode="External"/><Relationship Id="rId79" Type="http://schemas.openxmlformats.org/officeDocument/2006/relationships/hyperlink" Target="https://absch.cbd.int/en/kb/tags/abs/Webinar-Series-on-Capacity-Building-for-Access-and-Benefit-Sharing-September-December-2025-/68c427bcbf63f80e4068d091" TargetMode="External"/><Relationship Id="rId5" Type="http://schemas.openxmlformats.org/officeDocument/2006/relationships/customXml" Target="../customXml/item5.xml"/><Relationship Id="rId61" Type="http://schemas.openxmlformats.org/officeDocument/2006/relationships/hyperlink" Target="https://absch.cbd.int/en/kb/tags/absch-announcement/ABS-Small-Grants-Project-User-Friendly-ABS-Procedures-Webinar-Recording-and-Presentations/680272b6ade0d34428dbc6a2" TargetMode="External"/><Relationship Id="rId82" Type="http://schemas.openxmlformats.org/officeDocument/2006/relationships/theme" Target="theme/theme1.xml"/><Relationship Id="rId19" Type="http://schemas.openxmlformats.org/officeDocument/2006/relationships/hyperlink" Target="https://www.cbd.int/decisions/np-mop/?m=np-mop-05" TargetMode="External"/><Relationship Id="rId14" Type="http://schemas.openxmlformats.org/officeDocument/2006/relationships/image" Target="media/image3.png"/><Relationship Id="rId22" Type="http://schemas.openxmlformats.org/officeDocument/2006/relationships/hyperlink" Target="https://www.cbd.int/documents/CBD/SBI/7/INF/6" TargetMode="External"/><Relationship Id="rId27" Type="http://schemas.openxmlformats.org/officeDocument/2006/relationships/hyperlink" Target="https://www.cbd.int/decisions/np-mop?m=np-mop-01" TargetMode="External"/><Relationship Id="rId30" Type="http://schemas.openxmlformats.org/officeDocument/2006/relationships/hyperlink" Target="https://www.cbd.int/documents/CBD/SBI/7/INF/4" TargetMode="External"/><Relationship Id="rId35" Type="http://schemas.openxmlformats.org/officeDocument/2006/relationships/hyperlink" Target="https://www.cbd.int/documents/CBD/NP/ABSCH-IAC/6/2" TargetMode="External"/><Relationship Id="rId43" Type="http://schemas.openxmlformats.org/officeDocument/2006/relationships/hyperlink" Target="https://www.cbd.int/decisions/np-mop/?m=np-mop-05" TargetMode="External"/><Relationship Id="rId48" Type="http://schemas.openxmlformats.org/officeDocument/2006/relationships/header" Target="header1.xml"/><Relationship Id="rId56" Type="http://schemas.openxmlformats.org/officeDocument/2006/relationships/hyperlink" Target="https://absch.cbd.int/en/kb/tags/absch-announcement/Recording-of-webinars-ABSCH-introduction-available-in-all-languages-/678a965b7a50a6e8cdad8992" TargetMode="External"/><Relationship Id="rId64" Type="http://schemas.openxmlformats.org/officeDocument/2006/relationships/hyperlink" Target="https://absch.cbd.int/en/kb/tags/absch-announcement/ABS-Small-Grants-Projects-Community-Protocols-Webinar-Recordings-and-Presentations/6806a0581db307497fe9a573" TargetMode="External"/><Relationship Id="rId69" Type="http://schemas.openxmlformats.org/officeDocument/2006/relationships/hyperlink" Target="https://absch.cbd.int/en/kb/tags/absch-announcement/Webinar-The-deadline-is-approaching-Questions-and-answers-on-the-first-national-report-of-the-Nagoya-Protocol-29-September-/68af80fabf63f80e4067eedc" TargetMode="External"/><Relationship Id="rId77" Type="http://schemas.openxmlformats.org/officeDocument/2006/relationships/hyperlink" Target="https://absch.cbd.int/en/kb/tags/webinars/Recording-Webinar-on-the-ABS-Clearing-House-Findings-from-the-Assessment-and-Review-of-the-Nagoya-Protocol/69fe0fc01329f5e500222c3a" TargetMode="External"/><Relationship Id="rId8" Type="http://schemas.openxmlformats.org/officeDocument/2006/relationships/settings" Target="settings.xml"/><Relationship Id="rId51" Type="http://schemas.openxmlformats.org/officeDocument/2006/relationships/footer" Target="footer2.xml"/><Relationship Id="rId72" Type="http://schemas.openxmlformats.org/officeDocument/2006/relationships/hyperlink" Target="https://absch.cbd.int/en/kb/tags/abs/Webinar-Series-on-Capacity-Building-for-Access-and-Benefit-Sharing-September-December-2025-/68c427bcbf63f80e4068d091"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absch.cbd.int" TargetMode="External"/><Relationship Id="rId33" Type="http://schemas.openxmlformats.org/officeDocument/2006/relationships/hyperlink" Target="https://www.cbd.int/documents/CBD/SBI/7/INF/5" TargetMode="External"/><Relationship Id="rId38" Type="http://schemas.openxmlformats.org/officeDocument/2006/relationships/hyperlink" Target="https://www.cbd.int/decisions/np-mop?m=np-mop-03" TargetMode="External"/><Relationship Id="rId46" Type="http://schemas.openxmlformats.org/officeDocument/2006/relationships/hyperlink" Target="https://www.cbd.int/recommendations/sbi/?m=sbi-07" TargetMode="External"/><Relationship Id="rId59" Type="http://schemas.openxmlformats.org/officeDocument/2006/relationships/hyperlink" Target="https://absch.cbd.int/en/kb/tags/absch-announcement/Webinar-Recording-ABS-in-the-Global-Biodiversity-Framework-NBSAPs-and-monitoring-framework/67d43b4f4d49ea3b9f795931" TargetMode="External"/><Relationship Id="rId67" Type="http://schemas.openxmlformats.org/officeDocument/2006/relationships/hyperlink" Target="https://absch.cbd.int/en/kb/tags/abs/Webinar-Series-on-Capacity-Building-for-Access-and-Benefit-Sharing-September-December-2025-/68c427bcbf63f80e4068d091" TargetMode="External"/><Relationship Id="rId20" Type="http://schemas.openxmlformats.org/officeDocument/2006/relationships/hyperlink" Target="https://www.cbd.int/decisions/np-mop/?m=np-mop-05" TargetMode="External"/><Relationship Id="rId41" Type="http://schemas.openxmlformats.org/officeDocument/2006/relationships/hyperlink" Target="https://www.cbd.int/decisions/cop/?m=cop-16" TargetMode="External"/><Relationship Id="rId54" Type="http://schemas.openxmlformats.org/officeDocument/2006/relationships/hyperlink" Target="https://absch.cbd.int/en/kb/tags/absch-announcement/Recording-of-webinars-ABSCH-introduction-available-in-all-languages-/678a965b7a50a6e8cdad8992" TargetMode="External"/><Relationship Id="rId62" Type="http://schemas.openxmlformats.org/officeDocument/2006/relationships/hyperlink" Target="https://absch.cbd.int/en/kb/tags/absch-announcement/ABS-Small-Grants-Projects-Community-Protocols-Webinar-Recordings-and-Presentations/6806a0581db307497fe9a573" TargetMode="External"/><Relationship Id="rId70" Type="http://schemas.openxmlformats.org/officeDocument/2006/relationships/hyperlink" Target="https://absch.cbd.int/en/kb/tags/abs/Webinar-Series-on-Capacity-Building-for-Access-and-Benefit-Sharing-September-December-2025-/68c427bcbf63f80e4068d091" TargetMode="External"/><Relationship Id="rId75" Type="http://schemas.openxmlformats.org/officeDocument/2006/relationships/hyperlink" Target="https://absch.cbd.int/en/kb/tags/webinars/Recording-Webinar-on-Capacity-Building-and-Financial-Resources-Findings-from-the-Assessment-and-Review-of-the-Nagoya-Protocol/69fe132a024bdd0128b95069"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SBI/7/7" TargetMode="External"/><Relationship Id="rId28" Type="http://schemas.openxmlformats.org/officeDocument/2006/relationships/hyperlink" Target="https://www.cbd.int/notifications/2025-129" TargetMode="External"/><Relationship Id="rId36" Type="http://schemas.openxmlformats.org/officeDocument/2006/relationships/hyperlink" Target="https://www.cbd.int/documents/CBD/SBI/7/7" TargetMode="External"/><Relationship Id="rId49" Type="http://schemas.openxmlformats.org/officeDocument/2006/relationships/header" Target="header2.xml"/><Relationship Id="rId57" Type="http://schemas.openxmlformats.org/officeDocument/2006/relationships/hyperlink" Target="https://absch.cbd.int/en/kb/tags/absch-announcement/Recording-of-webinars-ABSCH-introduction-available-in-all-languages-/678a965b7a50a6e8cdad8992" TargetMode="External"/><Relationship Id="rId10" Type="http://schemas.openxmlformats.org/officeDocument/2006/relationships/footnotes" Target="footnotes.xml"/><Relationship Id="rId31" Type="http://schemas.openxmlformats.org/officeDocument/2006/relationships/hyperlink" Target="https://www.cbd.int/documents/CBD/SBI/7/INF/5" TargetMode="External"/><Relationship Id="rId44" Type="http://schemas.openxmlformats.org/officeDocument/2006/relationships/hyperlink" Target="https://www.cbd.int/documents/CBD/SBI/7/7" TargetMode="External"/><Relationship Id="rId52" Type="http://schemas.openxmlformats.org/officeDocument/2006/relationships/hyperlink" Target="https://absch.cbd.int/en/kb/tags/absch-announcement/Recording-of-webinars-ABSCH-introduction-available-in-all-languages-/678a965b7a50a6e8cdad8992" TargetMode="External"/><Relationship Id="rId60" Type="http://schemas.openxmlformats.org/officeDocument/2006/relationships/hyperlink" Target="https://absch.cbd.int/en/kb/tags/absch-announcement/ABS-Small-Grants-Project-Information-Systems-Webinar-Recording-and-PowerPoint/67f92e6c829482ab161cb5ed" TargetMode="External"/><Relationship Id="rId65" Type="http://schemas.openxmlformats.org/officeDocument/2006/relationships/hyperlink" Target="https://absch.cbd.int/en/kb/tags/absch-announcement/Webinar-Recording-Ratification-process-for-the-Nagoya-Protocol/68193b5096dfb673b4cd87aa" TargetMode="External"/><Relationship Id="rId73" Type="http://schemas.openxmlformats.org/officeDocument/2006/relationships/hyperlink" Target="https://absch.cbd.int/en/kb/tags/absch-announcement/Webinar-Why-IRCCs-matter-for-reporting-on-non-monetary-benefit-sharing/6925dd3682d37a5b7f085cc5" TargetMode="External"/><Relationship Id="rId78" Type="http://schemas.openxmlformats.org/officeDocument/2006/relationships/hyperlink" Target="https://absch.cbd.int/en/kb/tags/webinars/Recording-Webinar-on-the-ABS-Clearing-House-Findings-from-the-Assessment-and-Review-of-the-Nagoya-Protocol/69fe0fc01329f5e500222c3a" TargetMode="Externa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recommendations/sbi/?m=sbi-07" TargetMode="External"/><Relationship Id="rId39" Type="http://schemas.openxmlformats.org/officeDocument/2006/relationships/hyperlink" Target="https://www.cbd.int/decisions/cop?m=cop-14" TargetMode="External"/><Relationship Id="rId34" Type="http://schemas.openxmlformats.org/officeDocument/2006/relationships/hyperlink" Target="https://www.cbd.int/decisions/np-mop?m=np-mop-03" TargetMode="External"/><Relationship Id="rId50" Type="http://schemas.openxmlformats.org/officeDocument/2006/relationships/footer" Target="footer1.xml"/><Relationship Id="rId55" Type="http://schemas.openxmlformats.org/officeDocument/2006/relationships/hyperlink" Target="https://absch.cbd.int/en/kb/tags/absch-announcement/Recording-of-webinars-ABSCH-introduction-available-in-all-languages-/678a965b7a50a6e8cdad8992" TargetMode="External"/><Relationship Id="rId76" Type="http://schemas.openxmlformats.org/officeDocument/2006/relationships/hyperlink" Target="https://absch.cbd.int/en/kb/tags/webinars/Recording-Webinar-on-Capacity-Building-and-Financial-Resources-Findings-from-the-Assessment-and-Review-of-the-Nagoya-Protocol/69fe132a024bdd0128b95069" TargetMode="External"/><Relationship Id="rId7" Type="http://schemas.openxmlformats.org/officeDocument/2006/relationships/styles" Target="styles.xml"/><Relationship Id="rId71" Type="http://schemas.openxmlformats.org/officeDocument/2006/relationships/hyperlink" Target="https://absch.cbd.int/en/kb/tags/abs/Webinar-Series-on-Capacity-Building-for-Access-and-Benefit-Sharing-September-December-2025-/68c427bcbf63f80e4068d091" TargetMode="External"/><Relationship Id="rId2" Type="http://schemas.openxmlformats.org/officeDocument/2006/relationships/customXml" Target="../customXml/item2.xml"/><Relationship Id="rId29" Type="http://schemas.openxmlformats.org/officeDocument/2006/relationships/hyperlink" Target="https://www.cbd.int/decisions/np-mop/?m=np-mop-05" TargetMode="External"/><Relationship Id="rId24" Type="http://schemas.openxmlformats.org/officeDocument/2006/relationships/hyperlink" Target="https://www.cbd.int/recommendations/sbi/?m=sbi-07"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recommendations/sbi/?m=sbi-07" TargetMode="External"/><Relationship Id="rId66" Type="http://schemas.openxmlformats.org/officeDocument/2006/relationships/hyperlink" Target="https://absch.cbd.int/en/kb/tags/absch-announcement/Webinar-Recording-Ratification-process-for-the-Nagoya-Protocol/68193b5096dfb673b4cd87a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CB-IAC/2026/1/4" TargetMode="Externa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3" Type="http://schemas.openxmlformats.org/officeDocument/2006/relationships/hyperlink" Target="https://www.cbd.int/meetings/NP-CB-IAC-2026-01" TargetMode="External"/><Relationship Id="rId7" Type="http://schemas.openxmlformats.org/officeDocument/2006/relationships/hyperlink" Target="https://www.cbd.int/decisions/np-mop?m=np-mop-03" TargetMode="External"/><Relationship Id="rId12" Type="http://schemas.openxmlformats.org/officeDocument/2006/relationships/hyperlink" Target="https://www.cbd.int/documents/CBD/NP/ABSCH-IAC/6/3" TargetMode="External"/><Relationship Id="rId17" Type="http://schemas.openxmlformats.org/officeDocument/2006/relationships/hyperlink" Target="https://www.cbd.int/documents/CBD/SBI/7/7/ADD1" TargetMode="External"/><Relationship Id="rId2" Type="http://schemas.openxmlformats.org/officeDocument/2006/relationships/hyperlink" Target="https://www.cbd.int/meetings/SBI-07" TargetMode="External"/><Relationship Id="rId16" Type="http://schemas.openxmlformats.org/officeDocument/2006/relationships/hyperlink" Target="https://www.cbd.int/documents/CBD/SBI/7/2/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NP/CB-IAC/2026/1/3" TargetMode="External"/><Relationship Id="rId11" Type="http://schemas.openxmlformats.org/officeDocument/2006/relationships/hyperlink" Target="https://www.cbd.int/documents/CBD/SBI/7/7/ADD1" TargetMode="External"/><Relationship Id="rId5" Type="http://schemas.openxmlformats.org/officeDocument/2006/relationships/hyperlink" Target="https://absch.cbd.int/en/kb/tags/webinars/Recording-Webinar-on-Capacity-Building-and-Financial-Resources/69fe132a024bdd0128b95069" TargetMode="External"/><Relationship Id="rId15" Type="http://schemas.openxmlformats.org/officeDocument/2006/relationships/hyperlink" Target="https://www.cbd.int/documents/CBD/SBSTTA/28/2/ADD1/REV1" TargetMode="External"/><Relationship Id="rId10" Type="http://schemas.openxmlformats.org/officeDocument/2006/relationships/hyperlink" Target="https://absch.cbd.int/en/kb/tags/absch-announcement/Recording-Webinar-on-the-ABS-Clearing-House-Findings-from-the-Assessment-and-Review-of-the-Nagoya-Protocol/69fe0fc01329f5e500222c3a" TargetMode="External"/><Relationship Id="rId4" Type="http://schemas.openxmlformats.org/officeDocument/2006/relationships/hyperlink" Target="https://www.cbd.int/meetings/NP-CC-05" TargetMode="External"/><Relationship Id="rId9" Type="http://schemas.openxmlformats.org/officeDocument/2006/relationships/hyperlink" Target="https://www.cbd.int/notifications/2025-113" TargetMode="External"/><Relationship Id="rId14"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OMEZC\Download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180A937C4D481FA152CA108E541D31"/>
        <w:category>
          <w:name w:val="General"/>
          <w:gallery w:val="placeholder"/>
        </w:category>
        <w:types>
          <w:type w:val="bbPlcHdr"/>
        </w:types>
        <w:behaviors>
          <w:behavior w:val="content"/>
        </w:behaviors>
        <w:guid w:val="{A236BE26-1A90-4114-84E2-C4088348CE15}"/>
      </w:docPartPr>
      <w:docPartBody>
        <w:p w:rsidR="00B4166F" w:rsidRDefault="00B4166F">
          <w:pPr>
            <w:pStyle w:val="DF180A937C4D481FA152CA108E541D3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66F"/>
    <w:rsid w:val="001B37FF"/>
    <w:rsid w:val="001E027C"/>
    <w:rsid w:val="001F67E8"/>
    <w:rsid w:val="002262B1"/>
    <w:rsid w:val="00251DA0"/>
    <w:rsid w:val="00274932"/>
    <w:rsid w:val="00287F6D"/>
    <w:rsid w:val="003956F4"/>
    <w:rsid w:val="003A61D0"/>
    <w:rsid w:val="003E5429"/>
    <w:rsid w:val="003E6B3A"/>
    <w:rsid w:val="004037E9"/>
    <w:rsid w:val="00482AC7"/>
    <w:rsid w:val="004A51F7"/>
    <w:rsid w:val="004F7633"/>
    <w:rsid w:val="00565027"/>
    <w:rsid w:val="00601291"/>
    <w:rsid w:val="00664CE6"/>
    <w:rsid w:val="006B7574"/>
    <w:rsid w:val="006E6B78"/>
    <w:rsid w:val="00720254"/>
    <w:rsid w:val="00791B13"/>
    <w:rsid w:val="007E161E"/>
    <w:rsid w:val="00827649"/>
    <w:rsid w:val="00860A2E"/>
    <w:rsid w:val="008932E9"/>
    <w:rsid w:val="008B5896"/>
    <w:rsid w:val="008D6947"/>
    <w:rsid w:val="009626F5"/>
    <w:rsid w:val="0099003F"/>
    <w:rsid w:val="009A2B9E"/>
    <w:rsid w:val="00A44B25"/>
    <w:rsid w:val="00AC3D33"/>
    <w:rsid w:val="00B223E8"/>
    <w:rsid w:val="00B4166F"/>
    <w:rsid w:val="00BA1F84"/>
    <w:rsid w:val="00BB10FF"/>
    <w:rsid w:val="00BF6118"/>
    <w:rsid w:val="00C75BF0"/>
    <w:rsid w:val="00CA3E73"/>
    <w:rsid w:val="00CF2341"/>
    <w:rsid w:val="00D76A97"/>
    <w:rsid w:val="00D93FBD"/>
    <w:rsid w:val="00DB7467"/>
    <w:rsid w:val="00DF022C"/>
    <w:rsid w:val="00E0377E"/>
    <w:rsid w:val="00E2204C"/>
    <w:rsid w:val="00E323A8"/>
    <w:rsid w:val="00E9326E"/>
    <w:rsid w:val="00F05147"/>
    <w:rsid w:val="00F07326"/>
    <w:rsid w:val="00F47A1D"/>
    <w:rsid w:val="00F81A85"/>
    <w:rsid w:val="00FE40E3"/>
    <w:rsid w:val="00FF52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DF180A937C4D481FA152CA108E541D31">
    <w:name w:val="DF180A937C4D481FA152CA108E541D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D0A0572-80EA-4781-A145-9DF878696AF8}"/>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94bbfa8-7490-4a48-8e49-faa91c2d11d7"/>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127</TotalTime>
  <Pages>10</Pages>
  <Words>6135</Words>
  <Characters>33747</Characters>
  <Application>Microsoft Office Word</Application>
  <DocSecurity>0</DocSecurity>
  <Lines>281</Lines>
  <Paragraphs>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Mejora de la aplicación del Protocolo de Nagoya</vt:lpstr>
      <vt:lpstr>Enhancing implementation of the Nagoya Protocol</vt:lpstr>
    </vt:vector>
  </TitlesOfParts>
  <Company>SCBD</Company>
  <LinksUpToDate>false</LinksUpToDate>
  <CharactersWithSpaces>39803</CharactersWithSpaces>
  <SharedDoc>false</SharedDoc>
  <HLinks>
    <vt:vector size="456" baseType="variant">
      <vt:variant>
        <vt:i4>5111838</vt:i4>
      </vt:variant>
      <vt:variant>
        <vt:i4>186</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4456470</vt:i4>
      </vt:variant>
      <vt:variant>
        <vt:i4>183</vt:i4>
      </vt:variant>
      <vt:variant>
        <vt:i4>0</vt:i4>
      </vt:variant>
      <vt:variant>
        <vt:i4>5</vt:i4>
      </vt:variant>
      <vt:variant>
        <vt:lpwstr>https://absch.cbd.int/en/kb/tags/webinars/Recording-Webinar-on-the-ABS-Clearing-House-Findings-from-the-Assessment-and-Review-of-the-Nagoya-Protocol/69fe0fc01329f5e500222c3a</vt:lpwstr>
      </vt:variant>
      <vt:variant>
        <vt:lpwstr/>
      </vt:variant>
      <vt:variant>
        <vt:i4>1769563</vt:i4>
      </vt:variant>
      <vt:variant>
        <vt:i4>180</vt:i4>
      </vt:variant>
      <vt:variant>
        <vt:i4>0</vt:i4>
      </vt:variant>
      <vt:variant>
        <vt:i4>5</vt:i4>
      </vt:variant>
      <vt:variant>
        <vt:lpwstr>https://absch.cbd.int/en/kb/tags/webinars/Recording-Webinar-on-Capacity-Building-and-Financial-Resources-Findings-from-the-Assessment-and-Review-of-the-Nagoya-Protocol/69fe132a024bdd0128b95069</vt:lpwstr>
      </vt:variant>
      <vt:variant>
        <vt:lpwstr/>
      </vt:variant>
      <vt:variant>
        <vt:i4>5111838</vt:i4>
      </vt:variant>
      <vt:variant>
        <vt:i4>177</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3932267</vt:i4>
      </vt:variant>
      <vt:variant>
        <vt:i4>174</vt:i4>
      </vt:variant>
      <vt:variant>
        <vt:i4>0</vt:i4>
      </vt:variant>
      <vt:variant>
        <vt:i4>5</vt:i4>
      </vt:variant>
      <vt:variant>
        <vt:lpwstr>https://absch.cbd.int/en/kb/tags/absch-announcement/Webinar-Why-IRCCs-matter-for-reporting-on-non-monetary-benefit-sharing/6925dd3682d37a5b7f085cc5</vt:lpwstr>
      </vt:variant>
      <vt:variant>
        <vt:lpwstr/>
      </vt:variant>
      <vt:variant>
        <vt:i4>5111838</vt:i4>
      </vt:variant>
      <vt:variant>
        <vt:i4>171</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5111838</vt:i4>
      </vt:variant>
      <vt:variant>
        <vt:i4>168</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5111838</vt:i4>
      </vt:variant>
      <vt:variant>
        <vt:i4>165</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852043</vt:i4>
      </vt:variant>
      <vt:variant>
        <vt:i4>162</vt:i4>
      </vt:variant>
      <vt:variant>
        <vt:i4>0</vt:i4>
      </vt:variant>
      <vt:variant>
        <vt:i4>5</vt:i4>
      </vt:variant>
      <vt:variant>
        <vt:lpwstr>https://absch.cbd.int/en/kb/tags/absch-announcement/Webinar-The-deadline-is-approaching-Questions-and-answers-on-the-first-national-report-of-the-Nagoya-Protocol-29-September-/68af80fabf63f80e4067eedc</vt:lpwstr>
      </vt:variant>
      <vt:variant>
        <vt:lpwstr/>
      </vt:variant>
      <vt:variant>
        <vt:i4>5111838</vt:i4>
      </vt:variant>
      <vt:variant>
        <vt:i4>159</vt:i4>
      </vt:variant>
      <vt:variant>
        <vt:i4>0</vt:i4>
      </vt:variant>
      <vt:variant>
        <vt:i4>5</vt:i4>
      </vt:variant>
      <vt:variant>
        <vt:lpwstr>https://absch.cbd.int/en/kb/tags/abs/Webinar-Series-on-Capacity-Building-for-Access-and-Benefit-Sharing-September-December-2025-/68c427bcbf63f80e4068d091</vt:lpwstr>
      </vt:variant>
      <vt:variant>
        <vt:lpwstr/>
      </vt:variant>
      <vt:variant>
        <vt:i4>2555940</vt:i4>
      </vt:variant>
      <vt:variant>
        <vt:i4>156</vt:i4>
      </vt:variant>
      <vt:variant>
        <vt:i4>0</vt:i4>
      </vt:variant>
      <vt:variant>
        <vt:i4>5</vt:i4>
      </vt:variant>
      <vt:variant>
        <vt:lpwstr>https://absch.cbd.int/en/kb/tags/absch-announcement/Webinar-Recording-Ratification-process-for-the-Nagoya-Protocol/68193b5096dfb673b4cd87aa</vt:lpwstr>
      </vt:variant>
      <vt:variant>
        <vt:lpwstr/>
      </vt:variant>
      <vt:variant>
        <vt:i4>2162726</vt:i4>
      </vt:variant>
      <vt:variant>
        <vt:i4>153</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2162726</vt:i4>
      </vt:variant>
      <vt:variant>
        <vt:i4>150</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2162726</vt:i4>
      </vt:variant>
      <vt:variant>
        <vt:i4>147</vt:i4>
      </vt:variant>
      <vt:variant>
        <vt:i4>0</vt:i4>
      </vt:variant>
      <vt:variant>
        <vt:i4>5</vt:i4>
      </vt:variant>
      <vt:variant>
        <vt:lpwstr>https://absch.cbd.int/en/kb/tags/absch-announcement/ABS-Small-Grants-Projects-Community-Protocols-Webinar-Recordings-and-Presentations/6806a0581db307497fe9a573</vt:lpwstr>
      </vt:variant>
      <vt:variant>
        <vt:lpwstr/>
      </vt:variant>
      <vt:variant>
        <vt:i4>3080226</vt:i4>
      </vt:variant>
      <vt:variant>
        <vt:i4>144</vt:i4>
      </vt:variant>
      <vt:variant>
        <vt:i4>0</vt:i4>
      </vt:variant>
      <vt:variant>
        <vt:i4>5</vt:i4>
      </vt:variant>
      <vt:variant>
        <vt:lpwstr>https://absch.cbd.int/en/kb/tags/absch-announcement/ABS-Small-Grants-Project-User-Friendly-ABS-Procedures-Webinar-Recording-and-Presentations/680272b6ade0d34428dbc6a2</vt:lpwstr>
      </vt:variant>
      <vt:variant>
        <vt:lpwstr/>
      </vt:variant>
      <vt:variant>
        <vt:i4>2818099</vt:i4>
      </vt:variant>
      <vt:variant>
        <vt:i4>141</vt:i4>
      </vt:variant>
      <vt:variant>
        <vt:i4>0</vt:i4>
      </vt:variant>
      <vt:variant>
        <vt:i4>5</vt:i4>
      </vt:variant>
      <vt:variant>
        <vt:lpwstr>https://absch.cbd.int/en/kb/tags/absch-announcement/ABS-Small-Grants-Project-Information-Systems-Webinar-Recording-and-PowerPoint/67f92e6c829482ab161cb5ed</vt:lpwstr>
      </vt:variant>
      <vt:variant>
        <vt:lpwstr/>
      </vt:variant>
      <vt:variant>
        <vt:i4>2818099</vt:i4>
      </vt:variant>
      <vt:variant>
        <vt:i4>138</vt:i4>
      </vt:variant>
      <vt:variant>
        <vt:i4>0</vt:i4>
      </vt:variant>
      <vt:variant>
        <vt:i4>5</vt:i4>
      </vt:variant>
      <vt:variant>
        <vt:lpwstr>https://absch.cbd.int/en/kb/tags/absch-announcement/Webinar-Recording-ABS-in-the-Global-Biodiversity-Framework-NBSAPs-and-monitoring-framework/67d43b4f4d49ea3b9f795931</vt:lpwstr>
      </vt:variant>
      <vt:variant>
        <vt:lpwstr/>
      </vt:variant>
      <vt:variant>
        <vt:i4>6094861</vt:i4>
      </vt:variant>
      <vt:variant>
        <vt:i4>135</vt:i4>
      </vt:variant>
      <vt:variant>
        <vt:i4>0</vt:i4>
      </vt:variant>
      <vt:variant>
        <vt:i4>5</vt:i4>
      </vt:variant>
      <vt:variant>
        <vt:lpwstr>https://absch.cbd.int/en/kb/tags/absch-announcement/Recording-of-webinars-ABSCH-introduction-available-in-all-languages-/678a965b7a50a6e8cdad8992</vt:lpwstr>
      </vt:variant>
      <vt:variant>
        <vt:lpwstr/>
      </vt:variant>
      <vt:variant>
        <vt:i4>6094861</vt:i4>
      </vt:variant>
      <vt:variant>
        <vt:i4>132</vt:i4>
      </vt:variant>
      <vt:variant>
        <vt:i4>0</vt:i4>
      </vt:variant>
      <vt:variant>
        <vt:i4>5</vt:i4>
      </vt:variant>
      <vt:variant>
        <vt:lpwstr>https://absch.cbd.int/en/kb/tags/absch-announcement/Recording-of-webinars-ABSCH-introduction-available-in-all-languages-/678a965b7a50a6e8cdad8992</vt:lpwstr>
      </vt:variant>
      <vt:variant>
        <vt:lpwstr/>
      </vt:variant>
      <vt:variant>
        <vt:i4>6094861</vt:i4>
      </vt:variant>
      <vt:variant>
        <vt:i4>129</vt:i4>
      </vt:variant>
      <vt:variant>
        <vt:i4>0</vt:i4>
      </vt:variant>
      <vt:variant>
        <vt:i4>5</vt:i4>
      </vt:variant>
      <vt:variant>
        <vt:lpwstr>https://absch.cbd.int/en/kb/tags/absch-announcement/Recording-of-webinars-ABSCH-introduction-available-in-all-languages-/678a965b7a50a6e8cdad8992</vt:lpwstr>
      </vt:variant>
      <vt:variant>
        <vt:lpwstr/>
      </vt:variant>
      <vt:variant>
        <vt:i4>983064</vt:i4>
      </vt:variant>
      <vt:variant>
        <vt:i4>126</vt:i4>
      </vt:variant>
      <vt:variant>
        <vt:i4>0</vt:i4>
      </vt:variant>
      <vt:variant>
        <vt:i4>5</vt:i4>
      </vt:variant>
      <vt:variant>
        <vt:lpwstr>https://www.cbd.int/recommendations/sbi/?m=sbi-07</vt:lpwstr>
      </vt:variant>
      <vt:variant>
        <vt:lpwstr/>
      </vt:variant>
      <vt:variant>
        <vt:i4>983064</vt:i4>
      </vt:variant>
      <vt:variant>
        <vt:i4>123</vt:i4>
      </vt:variant>
      <vt:variant>
        <vt:i4>0</vt:i4>
      </vt:variant>
      <vt:variant>
        <vt:i4>5</vt:i4>
      </vt:variant>
      <vt:variant>
        <vt:lpwstr>https://www.cbd.int/recommendations/sbi/?m=sbi-07</vt:lpwstr>
      </vt:variant>
      <vt:variant>
        <vt:lpwstr/>
      </vt:variant>
      <vt:variant>
        <vt:i4>983064</vt:i4>
      </vt:variant>
      <vt:variant>
        <vt:i4>120</vt:i4>
      </vt:variant>
      <vt:variant>
        <vt:i4>0</vt:i4>
      </vt:variant>
      <vt:variant>
        <vt:i4>5</vt:i4>
      </vt:variant>
      <vt:variant>
        <vt:lpwstr>https://www.cbd.int/recommendations/sbi/?m=sbi-07</vt:lpwstr>
      </vt:variant>
      <vt:variant>
        <vt:lpwstr/>
      </vt:variant>
      <vt:variant>
        <vt:i4>5111815</vt:i4>
      </vt:variant>
      <vt:variant>
        <vt:i4>117</vt:i4>
      </vt:variant>
      <vt:variant>
        <vt:i4>0</vt:i4>
      </vt:variant>
      <vt:variant>
        <vt:i4>5</vt:i4>
      </vt:variant>
      <vt:variant>
        <vt:lpwstr>https://www.cbd.int/documents/CBD/SBI/7/7</vt:lpwstr>
      </vt:variant>
      <vt:variant>
        <vt:lpwstr/>
      </vt:variant>
      <vt:variant>
        <vt:i4>5439581</vt:i4>
      </vt:variant>
      <vt:variant>
        <vt:i4>114</vt:i4>
      </vt:variant>
      <vt:variant>
        <vt:i4>0</vt:i4>
      </vt:variant>
      <vt:variant>
        <vt:i4>5</vt:i4>
      </vt:variant>
      <vt:variant>
        <vt:lpwstr>https://www.cbd.int/decisions/np-mop/?m=np-mop-05</vt:lpwstr>
      </vt:variant>
      <vt:variant>
        <vt:lpwstr/>
      </vt:variant>
      <vt:variant>
        <vt:i4>5505089</vt:i4>
      </vt:variant>
      <vt:variant>
        <vt:i4>111</vt:i4>
      </vt:variant>
      <vt:variant>
        <vt:i4>0</vt:i4>
      </vt:variant>
      <vt:variant>
        <vt:i4>5</vt:i4>
      </vt:variant>
      <vt:variant>
        <vt:lpwstr>https://www.cbd.int/decisions/np-mop?m=np-mop-04</vt:lpwstr>
      </vt:variant>
      <vt:variant>
        <vt:lpwstr/>
      </vt:variant>
      <vt:variant>
        <vt:i4>7209057</vt:i4>
      </vt:variant>
      <vt:variant>
        <vt:i4>108</vt:i4>
      </vt:variant>
      <vt:variant>
        <vt:i4>0</vt:i4>
      </vt:variant>
      <vt:variant>
        <vt:i4>5</vt:i4>
      </vt:variant>
      <vt:variant>
        <vt:lpwstr>https://www.cbd.int/decisions/cop/?m=cop-16</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720971</vt:i4>
      </vt:variant>
      <vt:variant>
        <vt:i4>102</vt:i4>
      </vt:variant>
      <vt:variant>
        <vt:i4>0</vt:i4>
      </vt:variant>
      <vt:variant>
        <vt:i4>5</vt:i4>
      </vt:variant>
      <vt:variant>
        <vt:lpwstr>https://www.cbd.int/doc/decisions/cop-15/cop-15-dec-05-en.pdf</vt:lpwstr>
      </vt:variant>
      <vt:variant>
        <vt:lpwstr/>
      </vt:variant>
      <vt:variant>
        <vt:i4>7995502</vt:i4>
      </vt:variant>
      <vt:variant>
        <vt:i4>96</vt:i4>
      </vt:variant>
      <vt:variant>
        <vt:i4>0</vt:i4>
      </vt:variant>
      <vt:variant>
        <vt:i4>5</vt:i4>
      </vt:variant>
      <vt:variant>
        <vt:lpwstr>https://www.cbd.int/decisions/cop?m=cop-14</vt:lpwstr>
      </vt:variant>
      <vt:variant>
        <vt:lpwstr/>
      </vt:variant>
      <vt:variant>
        <vt:i4>5439553</vt:i4>
      </vt:variant>
      <vt:variant>
        <vt:i4>93</vt:i4>
      </vt:variant>
      <vt:variant>
        <vt:i4>0</vt:i4>
      </vt:variant>
      <vt:variant>
        <vt:i4>5</vt:i4>
      </vt:variant>
      <vt:variant>
        <vt:lpwstr>https://www.cbd.int/decisions/np-mop?m=np-mop-03</vt:lpwstr>
      </vt:variant>
      <vt:variant>
        <vt:lpwstr/>
      </vt:variant>
      <vt:variant>
        <vt:i4>983064</vt:i4>
      </vt:variant>
      <vt:variant>
        <vt:i4>90</vt:i4>
      </vt:variant>
      <vt:variant>
        <vt:i4>0</vt:i4>
      </vt:variant>
      <vt:variant>
        <vt:i4>5</vt:i4>
      </vt:variant>
      <vt:variant>
        <vt:lpwstr>https://www.cbd.int/recommendations/sbi/?m=sbi-07</vt:lpwstr>
      </vt:variant>
      <vt:variant>
        <vt:lpwstr/>
      </vt:variant>
      <vt:variant>
        <vt:i4>5111815</vt:i4>
      </vt:variant>
      <vt:variant>
        <vt:i4>87</vt:i4>
      </vt:variant>
      <vt:variant>
        <vt:i4>0</vt:i4>
      </vt:variant>
      <vt:variant>
        <vt:i4>5</vt:i4>
      </vt:variant>
      <vt:variant>
        <vt:lpwstr>https://www.cbd.int/documents/CBD/SBI/7/7</vt:lpwstr>
      </vt:variant>
      <vt:variant>
        <vt:lpwstr/>
      </vt:variant>
      <vt:variant>
        <vt:i4>2621478</vt:i4>
      </vt:variant>
      <vt:variant>
        <vt:i4>81</vt:i4>
      </vt:variant>
      <vt:variant>
        <vt:i4>0</vt:i4>
      </vt:variant>
      <vt:variant>
        <vt:i4>5</vt:i4>
      </vt:variant>
      <vt:variant>
        <vt:lpwstr>https://www.cbd.int/documents/CBD/NP/ABSCH-IAC/6/2</vt:lpwstr>
      </vt:variant>
      <vt:variant>
        <vt:lpwstr/>
      </vt:variant>
      <vt:variant>
        <vt:i4>5439553</vt:i4>
      </vt:variant>
      <vt:variant>
        <vt:i4>78</vt:i4>
      </vt:variant>
      <vt:variant>
        <vt:i4>0</vt:i4>
      </vt:variant>
      <vt:variant>
        <vt:i4>5</vt:i4>
      </vt:variant>
      <vt:variant>
        <vt:lpwstr>https://www.cbd.int/decisions/np-mop?m=np-mop-03</vt:lpwstr>
      </vt:variant>
      <vt:variant>
        <vt:lpwstr/>
      </vt:variant>
      <vt:variant>
        <vt:i4>3407925</vt:i4>
      </vt:variant>
      <vt:variant>
        <vt:i4>72</vt:i4>
      </vt:variant>
      <vt:variant>
        <vt:i4>0</vt:i4>
      </vt:variant>
      <vt:variant>
        <vt:i4>5</vt:i4>
      </vt:variant>
      <vt:variant>
        <vt:lpwstr>https://www.cbd.int/documents/CBD/SBI/7/7/ADD1</vt:lpwstr>
      </vt:variant>
      <vt:variant>
        <vt:lpwstr/>
      </vt:variant>
      <vt:variant>
        <vt:i4>983048</vt:i4>
      </vt:variant>
      <vt:variant>
        <vt:i4>69</vt:i4>
      </vt:variant>
      <vt:variant>
        <vt:i4>0</vt:i4>
      </vt:variant>
      <vt:variant>
        <vt:i4>5</vt:i4>
      </vt:variant>
      <vt:variant>
        <vt:lpwstr>https://www.cbd.int/documents/CBD/SBI/7/INF/5</vt:lpwstr>
      </vt:variant>
      <vt:variant>
        <vt:lpwstr/>
      </vt:variant>
      <vt:variant>
        <vt:i4>983048</vt:i4>
      </vt:variant>
      <vt:variant>
        <vt:i4>66</vt:i4>
      </vt:variant>
      <vt:variant>
        <vt:i4>0</vt:i4>
      </vt:variant>
      <vt:variant>
        <vt:i4>5</vt:i4>
      </vt:variant>
      <vt:variant>
        <vt:lpwstr>https://www.cbd.int/documents/CBD/SBI/7/INF/4</vt:lpwstr>
      </vt:variant>
      <vt:variant>
        <vt:lpwstr/>
      </vt:variant>
      <vt:variant>
        <vt:i4>983048</vt:i4>
      </vt:variant>
      <vt:variant>
        <vt:i4>63</vt:i4>
      </vt:variant>
      <vt:variant>
        <vt:i4>0</vt:i4>
      </vt:variant>
      <vt:variant>
        <vt:i4>5</vt:i4>
      </vt:variant>
      <vt:variant>
        <vt:lpwstr>https://www.cbd.int/documents/CBD/SBI/7/INF/5</vt:lpwstr>
      </vt:variant>
      <vt:variant>
        <vt:lpwstr/>
      </vt:variant>
      <vt:variant>
        <vt:i4>983048</vt:i4>
      </vt:variant>
      <vt:variant>
        <vt:i4>60</vt:i4>
      </vt:variant>
      <vt:variant>
        <vt:i4>0</vt:i4>
      </vt:variant>
      <vt:variant>
        <vt:i4>5</vt:i4>
      </vt:variant>
      <vt:variant>
        <vt:lpwstr>https://www.cbd.int/documents/CBD/SBI/7/INF/4</vt:lpwstr>
      </vt:variant>
      <vt:variant>
        <vt:lpwstr/>
      </vt:variant>
      <vt:variant>
        <vt:i4>983048</vt:i4>
      </vt:variant>
      <vt:variant>
        <vt:i4>57</vt:i4>
      </vt:variant>
      <vt:variant>
        <vt:i4>0</vt:i4>
      </vt:variant>
      <vt:variant>
        <vt:i4>5</vt:i4>
      </vt:variant>
      <vt:variant>
        <vt:lpwstr>https://www.cbd.int/documents/CBD/SBI/7/INF/2</vt:lpwstr>
      </vt:variant>
      <vt:variant>
        <vt:lpwstr/>
      </vt:variant>
      <vt:variant>
        <vt:i4>5439581</vt:i4>
      </vt:variant>
      <vt:variant>
        <vt:i4>54</vt:i4>
      </vt:variant>
      <vt:variant>
        <vt:i4>0</vt:i4>
      </vt:variant>
      <vt:variant>
        <vt:i4>5</vt:i4>
      </vt:variant>
      <vt:variant>
        <vt:lpwstr>https://www.cbd.int/decisions/np-mop/?m=np-mop-05</vt:lpwstr>
      </vt:variant>
      <vt:variant>
        <vt:lpwstr/>
      </vt:variant>
      <vt:variant>
        <vt:i4>7209010</vt:i4>
      </vt:variant>
      <vt:variant>
        <vt:i4>51</vt:i4>
      </vt:variant>
      <vt:variant>
        <vt:i4>0</vt:i4>
      </vt:variant>
      <vt:variant>
        <vt:i4>5</vt:i4>
      </vt:variant>
      <vt:variant>
        <vt:lpwstr>https://www.cbd.int/notifications/2025-129</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4915204</vt:i4>
      </vt:variant>
      <vt:variant>
        <vt:i4>42</vt:i4>
      </vt:variant>
      <vt:variant>
        <vt:i4>0</vt:i4>
      </vt:variant>
      <vt:variant>
        <vt:i4>5</vt:i4>
      </vt:variant>
      <vt:variant>
        <vt:lpwstr>http://absch.cbd.int/</vt:lpwstr>
      </vt:variant>
      <vt:variant>
        <vt:lpwstr/>
      </vt:variant>
      <vt:variant>
        <vt:i4>983064</vt:i4>
      </vt:variant>
      <vt:variant>
        <vt:i4>39</vt:i4>
      </vt:variant>
      <vt:variant>
        <vt:i4>0</vt:i4>
      </vt:variant>
      <vt:variant>
        <vt:i4>5</vt:i4>
      </vt:variant>
      <vt:variant>
        <vt:lpwstr>https://www.cbd.int/recommendations/sbi/?m=sbi-07</vt:lpwstr>
      </vt:variant>
      <vt:variant>
        <vt:lpwstr/>
      </vt:variant>
      <vt:variant>
        <vt:i4>5111815</vt:i4>
      </vt:variant>
      <vt:variant>
        <vt:i4>36</vt:i4>
      </vt:variant>
      <vt:variant>
        <vt:i4>0</vt:i4>
      </vt:variant>
      <vt:variant>
        <vt:i4>5</vt:i4>
      </vt:variant>
      <vt:variant>
        <vt:lpwstr>https://www.cbd.int/documents/CBD/SBI/7/7</vt:lpwstr>
      </vt:variant>
      <vt:variant>
        <vt:lpwstr/>
      </vt:variant>
      <vt:variant>
        <vt:i4>983048</vt:i4>
      </vt:variant>
      <vt:variant>
        <vt:i4>30</vt:i4>
      </vt:variant>
      <vt:variant>
        <vt:i4>0</vt:i4>
      </vt:variant>
      <vt:variant>
        <vt:i4>5</vt:i4>
      </vt:variant>
      <vt:variant>
        <vt:lpwstr>https://www.cbd.int/documents/CBD/SBI/7/INF/6</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983064</vt:i4>
      </vt:variant>
      <vt:variant>
        <vt:i4>12</vt:i4>
      </vt:variant>
      <vt:variant>
        <vt:i4>0</vt:i4>
      </vt:variant>
      <vt:variant>
        <vt:i4>5</vt:i4>
      </vt:variant>
      <vt:variant>
        <vt:lpwstr>https://www.cbd.int/recommendations/sbi/?m=sbi-07</vt:lpwstr>
      </vt:variant>
      <vt:variant>
        <vt:lpwstr/>
      </vt:variant>
      <vt:variant>
        <vt:i4>983064</vt:i4>
      </vt:variant>
      <vt:variant>
        <vt:i4>9</vt:i4>
      </vt:variant>
      <vt:variant>
        <vt:i4>0</vt:i4>
      </vt:variant>
      <vt:variant>
        <vt:i4>5</vt:i4>
      </vt:variant>
      <vt:variant>
        <vt:lpwstr>https://www.cbd.int/recommendations/sbi/?m=sbi-07</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5439581</vt:i4>
      </vt:variant>
      <vt:variant>
        <vt:i4>3</vt:i4>
      </vt:variant>
      <vt:variant>
        <vt:i4>0</vt:i4>
      </vt:variant>
      <vt:variant>
        <vt:i4>5</vt:i4>
      </vt:variant>
      <vt:variant>
        <vt:lpwstr>https://www.cbd.int/decisions/np-mop/?m=np-mop-05</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5046287</vt:i4>
      </vt:variant>
      <vt:variant>
        <vt:i4>63</vt:i4>
      </vt:variant>
      <vt:variant>
        <vt:i4>0</vt:i4>
      </vt:variant>
      <vt:variant>
        <vt:i4>5</vt:i4>
      </vt:variant>
      <vt:variant>
        <vt:lpwstr>https://nmbs.dsmz.de/</vt:lpwstr>
      </vt:variant>
      <vt:variant>
        <vt:lpwstr/>
      </vt:variant>
      <vt:variant>
        <vt:i4>3407925</vt:i4>
      </vt:variant>
      <vt:variant>
        <vt:i4>57</vt:i4>
      </vt:variant>
      <vt:variant>
        <vt:i4>0</vt:i4>
      </vt:variant>
      <vt:variant>
        <vt:i4>5</vt:i4>
      </vt:variant>
      <vt:variant>
        <vt:lpwstr>https://www.cbd.int/documents/CBD/SBI/7/7/ADD1</vt:lpwstr>
      </vt:variant>
      <vt:variant>
        <vt:lpwstr/>
      </vt:variant>
      <vt:variant>
        <vt:i4>3407920</vt:i4>
      </vt:variant>
      <vt:variant>
        <vt:i4>54</vt:i4>
      </vt:variant>
      <vt:variant>
        <vt:i4>0</vt:i4>
      </vt:variant>
      <vt:variant>
        <vt:i4>5</vt:i4>
      </vt:variant>
      <vt:variant>
        <vt:lpwstr>https://www.cbd.int/documents/CBD/SBI/7/2/ADD1</vt:lpwstr>
      </vt:variant>
      <vt:variant>
        <vt:lpwstr/>
      </vt:variant>
      <vt:variant>
        <vt:i4>3670068</vt:i4>
      </vt:variant>
      <vt:variant>
        <vt:i4>51</vt:i4>
      </vt:variant>
      <vt:variant>
        <vt:i4>0</vt:i4>
      </vt:variant>
      <vt:variant>
        <vt:i4>5</vt:i4>
      </vt:variant>
      <vt:variant>
        <vt:lpwstr>https://www.cbd.int/documents/CBD/SBSTTA/28/2/ADD1/REV1</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2687014</vt:i4>
      </vt:variant>
      <vt:variant>
        <vt:i4>39</vt:i4>
      </vt:variant>
      <vt:variant>
        <vt:i4>0</vt:i4>
      </vt:variant>
      <vt:variant>
        <vt:i4>5</vt:i4>
      </vt:variant>
      <vt:variant>
        <vt:lpwstr>https://www.cbd.int/documents/CBD/NP/ABSCH-IAC/6/3</vt:lpwstr>
      </vt:variant>
      <vt:variant>
        <vt:lpwstr/>
      </vt:variant>
      <vt:variant>
        <vt:i4>2949183</vt:i4>
      </vt:variant>
      <vt:variant>
        <vt:i4>36</vt:i4>
      </vt:variant>
      <vt:variant>
        <vt:i4>0</vt:i4>
      </vt:variant>
      <vt:variant>
        <vt:i4>5</vt:i4>
      </vt:variant>
      <vt:variant>
        <vt:lpwstr>https://absch.cbd.int/en/kb/tags/absch-announcement/Recording-Webinar-on-the-ABS-Clearing-House-Findings-from-the-Assessment-and-Review-of-the-Nagoya-Protocol/69fe0fc01329f5e500222c3a</vt:lpwstr>
      </vt:variant>
      <vt:variant>
        <vt:lpwstr/>
      </vt:variant>
      <vt:variant>
        <vt:i4>6553649</vt:i4>
      </vt:variant>
      <vt:variant>
        <vt:i4>30</vt:i4>
      </vt:variant>
      <vt:variant>
        <vt:i4>0</vt:i4>
      </vt:variant>
      <vt:variant>
        <vt:i4>5</vt:i4>
      </vt:variant>
      <vt:variant>
        <vt:lpwstr>https://www.cbd.int/notifications/2025-113</vt:lpwstr>
      </vt:variant>
      <vt:variant>
        <vt:lpwstr/>
      </vt:variant>
      <vt:variant>
        <vt:i4>6225923</vt:i4>
      </vt:variant>
      <vt:variant>
        <vt:i4>27</vt:i4>
      </vt:variant>
      <vt:variant>
        <vt:i4>0</vt:i4>
      </vt:variant>
      <vt:variant>
        <vt:i4>5</vt:i4>
      </vt:variant>
      <vt:variant>
        <vt:lpwstr>https://www.cbd.int/documents/CBD/NP/CB-IAC/2026/1/4</vt:lpwstr>
      </vt:variant>
      <vt:variant>
        <vt:lpwstr/>
      </vt:variant>
      <vt:variant>
        <vt:i4>5439553</vt:i4>
      </vt:variant>
      <vt:variant>
        <vt:i4>24</vt:i4>
      </vt:variant>
      <vt:variant>
        <vt:i4>0</vt:i4>
      </vt:variant>
      <vt:variant>
        <vt:i4>5</vt:i4>
      </vt:variant>
      <vt:variant>
        <vt:lpwstr>https://www.cbd.int/decisions/np-mop?m=np-mop-03</vt:lpwstr>
      </vt:variant>
      <vt:variant>
        <vt:lpwstr/>
      </vt:variant>
      <vt:variant>
        <vt:i4>5767171</vt:i4>
      </vt:variant>
      <vt:variant>
        <vt:i4>21</vt:i4>
      </vt:variant>
      <vt:variant>
        <vt:i4>0</vt:i4>
      </vt:variant>
      <vt:variant>
        <vt:i4>5</vt:i4>
      </vt:variant>
      <vt:variant>
        <vt:lpwstr>https://www.cbd.int/documents/CBD/NP/CB-IAC/2026/1/3</vt:lpwstr>
      </vt:variant>
      <vt:variant>
        <vt:lpwstr/>
      </vt:variant>
      <vt:variant>
        <vt:i4>4325468</vt:i4>
      </vt:variant>
      <vt:variant>
        <vt:i4>18</vt:i4>
      </vt:variant>
      <vt:variant>
        <vt:i4>0</vt:i4>
      </vt:variant>
      <vt:variant>
        <vt:i4>5</vt:i4>
      </vt:variant>
      <vt:variant>
        <vt:lpwstr>https://absch.cbd.int/en/kb/tags/webinars/Recording-Webinar-on-Capacity-Building-and-Financial-Resources/69fe132a024bdd0128b95069</vt:lpwstr>
      </vt:variant>
      <vt:variant>
        <vt:lpwstr/>
      </vt:variant>
      <vt:variant>
        <vt:i4>7864362</vt:i4>
      </vt:variant>
      <vt:variant>
        <vt:i4>12</vt:i4>
      </vt:variant>
      <vt:variant>
        <vt:i4>0</vt:i4>
      </vt:variant>
      <vt:variant>
        <vt:i4>5</vt:i4>
      </vt:variant>
      <vt:variant>
        <vt:lpwstr>https://nagoyaprotocol-hub.de/easy-abs-guides/</vt:lpwstr>
      </vt:variant>
      <vt:variant>
        <vt:lpwstr/>
      </vt:variant>
      <vt:variant>
        <vt:i4>5832781</vt:i4>
      </vt:variant>
      <vt:variant>
        <vt:i4>9</vt:i4>
      </vt:variant>
      <vt:variant>
        <vt:i4>0</vt:i4>
      </vt:variant>
      <vt:variant>
        <vt:i4>5</vt:i4>
      </vt:variant>
      <vt:variant>
        <vt:lpwstr>https://www.cbd.int/meetings/NP-CC-05</vt:lpwstr>
      </vt:variant>
      <vt:variant>
        <vt:lpwstr/>
      </vt:variant>
      <vt:variant>
        <vt:i4>8257591</vt:i4>
      </vt:variant>
      <vt:variant>
        <vt:i4>6</vt:i4>
      </vt:variant>
      <vt:variant>
        <vt:i4>0</vt:i4>
      </vt:variant>
      <vt:variant>
        <vt:i4>5</vt:i4>
      </vt:variant>
      <vt:variant>
        <vt:lpwstr>https://www.cbd.int/meetings/NP-CB-IAC-2026-01</vt:lpwstr>
      </vt:variant>
      <vt:variant>
        <vt:lpwstr/>
      </vt:variant>
      <vt:variant>
        <vt:i4>6488124</vt:i4>
      </vt:variant>
      <vt:variant>
        <vt:i4>3</vt:i4>
      </vt:variant>
      <vt:variant>
        <vt:i4>0</vt:i4>
      </vt:variant>
      <vt:variant>
        <vt:i4>5</vt:i4>
      </vt:variant>
      <vt:variant>
        <vt:lpwstr>https://www.cbd.int/meetings/SBI-07</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2293777</vt:i4>
      </vt:variant>
      <vt:variant>
        <vt:i4>0</vt:i4>
      </vt:variant>
      <vt:variant>
        <vt:i4>0</vt:i4>
      </vt:variant>
      <vt:variant>
        <vt:i4>5</vt:i4>
      </vt:variant>
      <vt:variant>
        <vt:lpwstr>mailto:diasm@un.org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Mejora de la aplicación del Protocolo de Nagoya</dc:title>
  <dc:subject>CBD/NP/MOP/6/7</dc:subject>
  <dc:creator>Beatriz Gomez Castro</dc:creator>
  <cp:keywords>Convention on Biological Diversity</cp:keywords>
  <cp:lastModifiedBy>Jesús Morales Aragón</cp:lastModifiedBy>
  <cp:revision>13</cp:revision>
  <cp:lastPrinted>2026-09-03T04:16:00Z</cp:lastPrinted>
  <dcterms:created xsi:type="dcterms:W3CDTF">2026-09-24T18:46:00Z</dcterms:created>
  <dcterms:modified xsi:type="dcterms:W3CDTF">2026-10-02T15:11:00Z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