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0B3E755" w14:textId="77777777" w:rsidR="008A1499" w:rsidRPr="003F1A75" w:rsidRDefault="008A1499" w:rsidP="008A1499">
            <w:pPr>
              <w:pStyle w:val="AASmallLogo"/>
            </w:pPr>
          </w:p>
        </w:tc>
        <w:tc>
          <w:tcPr>
            <w:tcW w:w="1434" w:type="dxa"/>
            <w:noWrap/>
            <w:vAlign w:val="bottom"/>
          </w:tcPr>
          <w:p w14:paraId="30BE713C" w14:textId="11499D27" w:rsidR="008A1499" w:rsidRPr="003F1A75" w:rsidRDefault="00A17C64" w:rsidP="008A1499">
            <w:pPr>
              <w:pStyle w:val="AASmallLogo"/>
            </w:pPr>
            <w:r w:rsidRPr="00B01CD9">
              <w:rPr>
                <w:noProof/>
              </w:rPr>
              <w:drawing>
                <wp:inline distT="0" distB="0" distL="0" distR="0" wp14:anchorId="501E8A3A" wp14:editId="3EA9C197">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t xml:space="preserve"> </w:t>
            </w:r>
          </w:p>
          <w:p w14:paraId="150ADDF8" w14:textId="77777777" w:rsidR="008A1499" w:rsidRPr="003F1A75" w:rsidRDefault="008A1499" w:rsidP="008A1499">
            <w:pPr>
              <w:pStyle w:val="AASmallLogo"/>
            </w:pPr>
          </w:p>
        </w:tc>
        <w:tc>
          <w:tcPr>
            <w:tcW w:w="8073" w:type="dxa"/>
            <w:vAlign w:val="bottom"/>
          </w:tcPr>
          <w:p w14:paraId="5CF23E65" w14:textId="301DFA9E" w:rsidR="008A1499" w:rsidRPr="003F1A75" w:rsidRDefault="008A1499" w:rsidP="003F1A75">
            <w:pPr>
              <w:pStyle w:val="ABSymbol"/>
            </w:pPr>
            <w:r>
              <w:rPr>
                <w:sz w:val="40"/>
              </w:rPr>
              <w:t>CBD</w:t>
            </w:r>
            <w:r>
              <w:t>/CP/MOP/12/</w:t>
            </w:r>
            <w:r w:rsidR="00036944">
              <w:t>L.2</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0657ADCE" w:rsidR="008A1499" w:rsidRPr="003F1A75" w:rsidRDefault="003B0811" w:rsidP="008A1499">
            <w:pPr>
              <w:pStyle w:val="ACLargeLogo"/>
            </w:pPr>
            <w:r>
              <w:rPr>
                <w:noProof/>
              </w:rPr>
              <w:drawing>
                <wp:inline distT="0" distB="0" distL="0" distR="0" wp14:anchorId="6CB36098" wp14:editId="388DA03B">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t xml:space="preserve">Distr. limitada </w:t>
            </w:r>
          </w:p>
          <w:p w14:paraId="44701D9F" w14:textId="0B1361BB" w:rsidR="008A1499" w:rsidRPr="003F1A75" w:rsidRDefault="00AE7E08" w:rsidP="008A1499">
            <w:pPr>
              <w:pStyle w:val="AEDistrNormal"/>
            </w:pPr>
            <w:r>
              <w:t>2</w:t>
            </w:r>
            <w:r w:rsidR="00036944">
              <w:t xml:space="preserve">2 </w:t>
            </w:r>
            <w:r>
              <w:t>de octubre de 2026</w:t>
            </w:r>
          </w:p>
          <w:p w14:paraId="1C2D3302" w14:textId="77777777" w:rsidR="008A1499" w:rsidRPr="003F1A75" w:rsidRDefault="008A1499" w:rsidP="000C4A23">
            <w:pPr>
              <w:pStyle w:val="AEDistrNormal6pt"/>
              <w:spacing w:before="0"/>
            </w:pPr>
            <w:r>
              <w:t>Español</w:t>
            </w:r>
            <w:r>
              <w:br/>
              <w:t xml:space="preserve">Original: inglés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3F1A75" w:rsidRDefault="00975047" w:rsidP="008A1499">
            <w:pPr>
              <w:pStyle w:val="AFCorN12Bold"/>
            </w:pPr>
            <w:r>
              <w:t>Conferencia de las Partes en el Convenio sobre la Diversidad Biológica que actúa como reunión de las Partes en el Protocolo de Cartagena sobre Seguridad de la Biotecnología</w:t>
            </w:r>
          </w:p>
          <w:p w14:paraId="4AD00E11" w14:textId="77777777" w:rsidR="008A1499" w:rsidRPr="003F1A75" w:rsidRDefault="00F041E5" w:rsidP="008A1499">
            <w:pPr>
              <w:pStyle w:val="AFCorNBold"/>
            </w:pPr>
            <w:r>
              <w:t xml:space="preserve">12ª reunión </w:t>
            </w:r>
          </w:p>
          <w:p w14:paraId="2AB875DF" w14:textId="77777777" w:rsidR="008A1499" w:rsidRPr="003F1A75" w:rsidRDefault="00975047" w:rsidP="008A1499">
            <w:pPr>
              <w:pStyle w:val="AFCorNNormal"/>
            </w:pPr>
            <w:r>
              <w:t>Ereván, 19 a 30 de octubre de 2026</w:t>
            </w:r>
          </w:p>
          <w:p w14:paraId="018EC1BC" w14:textId="29C30056" w:rsidR="008A1499" w:rsidRPr="003F1A75" w:rsidRDefault="001643E3" w:rsidP="008A1499">
            <w:pPr>
              <w:pStyle w:val="AFCorNNormal"/>
            </w:pPr>
            <w:r>
              <w:t>Tema 5 del programa</w:t>
            </w:r>
          </w:p>
          <w:p w14:paraId="380111EA" w14:textId="77777777" w:rsidR="002F0021" w:rsidRDefault="006E70F4" w:rsidP="00036944">
            <w:pPr>
              <w:pStyle w:val="AFCorNBold"/>
            </w:pPr>
            <w:r>
              <w:t>Informe del Comité de Cumplimiento</w:t>
            </w:r>
          </w:p>
          <w:p w14:paraId="5CAAF4FB" w14:textId="5ABAB203" w:rsidR="00036944" w:rsidRPr="00036944" w:rsidRDefault="00036944" w:rsidP="00036944">
            <w:pPr>
              <w:pStyle w:val="AFCorNNormal"/>
            </w:pPr>
          </w:p>
        </w:tc>
        <w:tc>
          <w:tcPr>
            <w:tcW w:w="4388" w:type="dxa"/>
          </w:tcPr>
          <w:p w14:paraId="2585170E" w14:textId="77777777" w:rsidR="008A1499" w:rsidRPr="003F1A75" w:rsidRDefault="008A1499" w:rsidP="008A1499">
            <w:pPr>
              <w:pStyle w:val="CBDNormal"/>
              <w:jc w:val="left"/>
            </w:pPr>
          </w:p>
        </w:tc>
      </w:tr>
    </w:tbl>
    <w:p w14:paraId="04E81299" w14:textId="6ACFE91C" w:rsidR="00C9161D" w:rsidRPr="003F1A75" w:rsidRDefault="00554DEF" w:rsidP="00A111D1">
      <w:pPr>
        <w:pStyle w:val="CBDTitle"/>
        <w:rPr>
          <w:caps/>
        </w:rPr>
      </w:pPr>
      <w:sdt>
        <w:sdtPr>
          <w:rPr>
            <w:sz w:val="24"/>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995C1D" w:rsidRPr="00995C1D">
            <w:rPr>
              <w:sz w:val="24"/>
            </w:rPr>
            <w:t>C</w:t>
          </w:r>
          <w:r w:rsidR="003B0811">
            <w:rPr>
              <w:sz w:val="24"/>
            </w:rPr>
            <w:t>umplimiento</w:t>
          </w:r>
        </w:sdtContent>
      </w:sdt>
      <w:r w:rsidR="003715E7">
        <w:rPr>
          <w:caps/>
        </w:rPr>
        <w:t xml:space="preserve"> </w:t>
      </w:r>
    </w:p>
    <w:p w14:paraId="561E2151" w14:textId="0D988E0B" w:rsidR="00F6586C" w:rsidRPr="003F1A75" w:rsidRDefault="00726DEC" w:rsidP="00A111D1">
      <w:pPr>
        <w:pStyle w:val="CBDSubTitle"/>
      </w:pPr>
      <w:r>
        <w:t>Proyecto de decisión presentado por la Presidencia del Grupo de Trabajo II</w:t>
      </w:r>
    </w:p>
    <w:p w14:paraId="74F1B53D" w14:textId="77777777" w:rsidR="00C72AAE" w:rsidRPr="00850BE4" w:rsidRDefault="00C72AAE" w:rsidP="00C72AAE">
      <w:pPr>
        <w:pStyle w:val="CBDRecommendText"/>
        <w:tabs>
          <w:tab w:val="clear" w:pos="567"/>
        </w:tabs>
        <w:ind w:left="576" w:firstLine="558"/>
        <w:rPr>
          <w:i/>
          <w:iCs/>
        </w:rPr>
      </w:pPr>
      <w:r>
        <w:rPr>
          <w:i/>
        </w:rPr>
        <w:t>La Conferencia de las Partes que actúa como reunión de las Partes en el Protocolo de Cartagena,</w:t>
      </w:r>
    </w:p>
    <w:p w14:paraId="77C2EB94" w14:textId="77E4DFDD" w:rsidR="00C72AAE" w:rsidRPr="00850BE4" w:rsidRDefault="002F6A8A" w:rsidP="00E30ECE">
      <w:pPr>
        <w:pStyle w:val="CBDNormalNoNumber"/>
      </w:pPr>
      <w:r>
        <w:tab/>
        <w:t>1.</w:t>
      </w:r>
      <w:r>
        <w:tab/>
      </w:r>
      <w:r>
        <w:rPr>
          <w:i/>
          <w:iCs/>
        </w:rPr>
        <w:t>Toma nota</w:t>
      </w:r>
      <w:r>
        <w:t xml:space="preserve"> de que varias Partes no han designado los puntos focales nacionales, las autoridades nacionales competentes ni los puntos de contacto que exige el Protocolo de Cartagena sobre Seguridad de la Biotecnología</w:t>
      </w:r>
      <w:r w:rsidR="00C72AAE" w:rsidRPr="00850BE4">
        <w:rPr>
          <w:rStyle w:val="FootnoteReference"/>
        </w:rPr>
        <w:footnoteReference w:id="1"/>
      </w:r>
      <w:r>
        <w:t xml:space="preserve">; </w:t>
      </w:r>
    </w:p>
    <w:p w14:paraId="0BD487E0" w14:textId="1B96FF41" w:rsidR="00C72AAE" w:rsidRPr="00850BE4" w:rsidRDefault="00535DFA" w:rsidP="00E30ECE">
      <w:pPr>
        <w:pStyle w:val="CBDNormalNoNumber"/>
      </w:pPr>
      <w:r>
        <w:tab/>
        <w:t>2.</w:t>
      </w:r>
      <w:r>
        <w:tab/>
      </w:r>
      <w:r>
        <w:rPr>
          <w:i/>
          <w:iCs/>
        </w:rPr>
        <w:t>Recuerda</w:t>
      </w:r>
      <w:r>
        <w:t xml:space="preserve"> a las Partes su obligación de designar sus puntos focales nacionales para el Protocolo de Cartagena, de conformidad con el artículo 19 del Protocolo, así como la necesidad de designar sus puntos focales nacionales para el Centro de Intercambio de Información sobre Seguridad de la Biotecnología, de acuerdo con las modalidades de funcionamiento de dicho Centro, y de mantener la información actualizada</w:t>
      </w:r>
      <w:r w:rsidR="00C72AAE" w:rsidRPr="00850BE4">
        <w:rPr>
          <w:rStyle w:val="FootnoteReference"/>
        </w:rPr>
        <w:footnoteReference w:id="2"/>
      </w:r>
      <w:r>
        <w:t xml:space="preserve">; </w:t>
      </w:r>
    </w:p>
    <w:p w14:paraId="736D60A2" w14:textId="05A0E3C9" w:rsidR="00C72AAE" w:rsidRPr="00850BE4" w:rsidRDefault="00535DFA" w:rsidP="00E30ECE">
      <w:pPr>
        <w:pStyle w:val="CBDNormalNoNumber"/>
      </w:pPr>
      <w:r>
        <w:tab/>
        <w:t>3.</w:t>
      </w:r>
      <w:r>
        <w:tab/>
      </w:r>
      <w:r>
        <w:rPr>
          <w:i/>
          <w:iCs/>
        </w:rPr>
        <w:t>Recuerda también</w:t>
      </w:r>
      <w:r>
        <w:t xml:space="preserve"> a las Partes su obligación de facilitar, a través del Centro de Intercambio de Información sobre Seguridad de la Biotecnología, los </w:t>
      </w:r>
      <w:bookmarkStart w:id="0" w:name="_Hlk200722798"/>
      <w:r>
        <w:t xml:space="preserve">datos de contacto de una o varias </w:t>
      </w:r>
      <w:bookmarkStart w:id="1" w:name="_Hlk200722925"/>
      <w:r>
        <w:t>autoridades nacionales competentes,</w:t>
      </w:r>
      <w:bookmarkEnd w:id="0"/>
      <w:bookmarkEnd w:id="1"/>
      <w:r>
        <w:t xml:space="preserve"> de conformidad con el artículo 19 del Protocolo de Cartagena, e insta a las Partes que aún no lo hayan hecho a que faciliten dicha información con carácter prioritario;</w:t>
      </w:r>
    </w:p>
    <w:p w14:paraId="462112E6" w14:textId="47675F46" w:rsidR="00C72AAE" w:rsidRPr="00850BE4" w:rsidRDefault="00535DFA" w:rsidP="00E30ECE">
      <w:pPr>
        <w:pStyle w:val="CBDNormalNoNumber"/>
      </w:pPr>
      <w:r>
        <w:tab/>
        <w:t>4.</w:t>
      </w:r>
      <w:r>
        <w:tab/>
      </w:r>
      <w:r>
        <w:rPr>
          <w:i/>
          <w:iCs/>
        </w:rPr>
        <w:t>Recuerda además</w:t>
      </w:r>
      <w:r>
        <w:t xml:space="preserve"> a las Partes su obligación de designar un punto de contacto a efectos de recibir las notificaciones previstas en el artículo 17 del Protocolo de Cartagena, e insta a aquellas que aún no lo hayan hecho a que procedan a dicha designación lo antes posible;</w:t>
      </w:r>
    </w:p>
    <w:p w14:paraId="54511174" w14:textId="10FC037E" w:rsidR="0053270B" w:rsidRDefault="00535DFA" w:rsidP="00E30ECE">
      <w:pPr>
        <w:pStyle w:val="CBDNormalNoNumber"/>
      </w:pPr>
      <w:r>
        <w:tab/>
        <w:t>5.</w:t>
      </w:r>
      <w:r>
        <w:tab/>
      </w:r>
      <w:r>
        <w:rPr>
          <w:i/>
          <w:iCs/>
        </w:rPr>
        <w:t>Insta</w:t>
      </w:r>
      <w:r>
        <w:t xml:space="preserve"> a las Partes que estén preparando sus marcos normativos en materia de bioseguridad a que agilicen su labor, reconociendo que el Protocolo de Cartagena exige a las Partes que adopten medidas para su aplicación y que dichas medidas contribuirán a alcanzar la Meta 17 del Marco Mundial de Biodiversidad de Kunming-Montreal</w:t>
      </w:r>
      <w:r w:rsidR="00C72AAE" w:rsidRPr="00850BE4">
        <w:rPr>
          <w:rStyle w:val="FootnoteReference"/>
        </w:rPr>
        <w:footnoteReference w:id="3"/>
      </w:r>
      <w:r>
        <w:t xml:space="preserve">; </w:t>
      </w:r>
    </w:p>
    <w:p w14:paraId="70669CE5" w14:textId="3BB9BB53" w:rsidR="00801CE4" w:rsidRPr="00850BE4" w:rsidRDefault="00535DFA" w:rsidP="00B11DEB">
      <w:pPr>
        <w:pStyle w:val="CBDNormalNoNumber"/>
      </w:pPr>
      <w:r>
        <w:lastRenderedPageBreak/>
        <w:tab/>
        <w:t>6.</w:t>
      </w:r>
      <w:r>
        <w:tab/>
      </w:r>
      <w:r>
        <w:rPr>
          <w:i/>
          <w:iCs/>
        </w:rPr>
        <w:t>Acoge con satisfacción</w:t>
      </w:r>
      <w:r>
        <w:t xml:space="preserve"> el apoyo prestado a varias Partes por el Programa de las Naciones Unidas para el Medio Ambiente, a través de su Plataforma de Asistencia Jurídica y Ambiental, y por Japón, a través del Fondo de Biodiversidad de Japón, para la </w:t>
      </w:r>
      <w:r w:rsidR="00E6742B">
        <w:t>elaboración</w:t>
      </w:r>
      <w:r>
        <w:t xml:space="preserve"> de sus marcos normativos en materia de bioseguridad, y exhorta a los donantes a </w:t>
      </w:r>
      <w:r w:rsidR="00323F93">
        <w:t>proporcionar</w:t>
      </w:r>
      <w:r>
        <w:t xml:space="preserve"> recursos financieros y a los proveedores de creación de capacidad a </w:t>
      </w:r>
      <w:r w:rsidR="00323F93">
        <w:t>facilitar</w:t>
      </w:r>
      <w:r>
        <w:t xml:space="preserve"> asistencia técnica y cooperación regional al respecto.</w:t>
      </w:r>
      <w:r w:rsidR="00B11DEB">
        <w:tab/>
      </w:r>
    </w:p>
    <w:p w14:paraId="692C0804" w14:textId="3BE7A7C9" w:rsidR="00C72AAE" w:rsidRPr="00850BE4" w:rsidRDefault="00B42A00" w:rsidP="00E30ECE">
      <w:pPr>
        <w:pStyle w:val="CBDNormalNoNumber"/>
      </w:pPr>
      <w:r>
        <w:tab/>
      </w:r>
      <w:r w:rsidR="00B11DEB">
        <w:t>7</w:t>
      </w:r>
      <w:r>
        <w:t>.</w:t>
      </w:r>
      <w:r>
        <w:tab/>
      </w:r>
      <w:r>
        <w:rPr>
          <w:i/>
          <w:iCs/>
        </w:rPr>
        <w:t>Recuerda</w:t>
      </w:r>
      <w:r>
        <w:t xml:space="preserve"> a las Partes su obligación de publicar sus medidas jurídicas para la aplicación del Protocolo de Cartagena a través del Centro de Intercambio de Información sobre Bioseguridad;</w:t>
      </w:r>
    </w:p>
    <w:p w14:paraId="593C7C42" w14:textId="7FCD42DD" w:rsidR="00C72AAE" w:rsidRPr="00850BE4" w:rsidRDefault="001071DB" w:rsidP="00E30ECE">
      <w:pPr>
        <w:pStyle w:val="CBDNormalNoNumber"/>
      </w:pPr>
      <w:r>
        <w:tab/>
      </w:r>
      <w:r w:rsidR="00B11DEB">
        <w:t>8</w:t>
      </w:r>
      <w:r>
        <w:t>.</w:t>
      </w:r>
      <w:r>
        <w:tab/>
      </w:r>
      <w:r>
        <w:rPr>
          <w:i/>
          <w:iCs/>
        </w:rPr>
        <w:t>Recuerda</w:t>
      </w:r>
      <w:r>
        <w:t xml:space="preserve"> la advertencia que figura en la decisión </w:t>
      </w:r>
      <w:hyperlink r:id="rId15" w:history="1">
        <w:r>
          <w:rPr>
            <w:rStyle w:val="Hyperlink"/>
          </w:rPr>
          <w:t>CP-11/1 B</w:t>
        </w:r>
      </w:hyperlink>
      <w:r>
        <w:t>, de 30 de octubre de 2024, y acoge con satisfacción la financiación concedida por el Fondo para el Medio Ambiente Mundial a las Partes objeto de dicha advertencia para que elaboren sus informes nacionales cuarto y quinto;</w:t>
      </w:r>
    </w:p>
    <w:p w14:paraId="0077E505" w14:textId="7BA4A885" w:rsidR="00C72AAE" w:rsidRPr="00850BE4" w:rsidRDefault="001071DB" w:rsidP="00E30ECE">
      <w:pPr>
        <w:pStyle w:val="CBDNormalNoNumber"/>
      </w:pPr>
      <w:r>
        <w:tab/>
      </w:r>
      <w:r w:rsidR="00B11DEB">
        <w:t>9</w:t>
      </w:r>
      <w:r>
        <w:t>.</w:t>
      </w:r>
      <w:r>
        <w:tab/>
      </w:r>
      <w:r>
        <w:rPr>
          <w:i/>
          <w:iCs/>
        </w:rPr>
        <w:t>Acoge con satisfacción</w:t>
      </w:r>
      <w:r>
        <w:t xml:space="preserve"> la presentación de los informes nacionales cuarto y quinto por parte de Belice y Libia, lo que pone fin al incumplimiento de su obligación de presentar informes;</w:t>
      </w:r>
    </w:p>
    <w:p w14:paraId="129999A8" w14:textId="434E163A" w:rsidR="00C72AAE" w:rsidRPr="00850BE4" w:rsidRDefault="001071DB" w:rsidP="00E30ECE">
      <w:pPr>
        <w:pStyle w:val="CBDNormalNoNumber"/>
      </w:pPr>
      <w:r>
        <w:tab/>
        <w:t>1</w:t>
      </w:r>
      <w:r w:rsidR="001A13ED">
        <w:t>0</w:t>
      </w:r>
      <w:r>
        <w:t>.</w:t>
      </w:r>
      <w:r>
        <w:tab/>
      </w:r>
      <w:r>
        <w:rPr>
          <w:i/>
          <w:iCs/>
        </w:rPr>
        <w:t>Expresa su profunda preocupación</w:t>
      </w:r>
      <w:r>
        <w:t xml:space="preserve"> por el hecho de que Papua Nueva Guinea no haya presentado su tercer, cuarto ni quinto informe nacional;</w:t>
      </w:r>
    </w:p>
    <w:p w14:paraId="29A87549" w14:textId="0B967522" w:rsidR="00C72AAE" w:rsidRPr="00850BE4" w:rsidRDefault="001071DB" w:rsidP="00E30ECE">
      <w:pPr>
        <w:pStyle w:val="CBDNormalNoNumber"/>
      </w:pPr>
      <w:r>
        <w:tab/>
        <w:t>1</w:t>
      </w:r>
      <w:r w:rsidR="001A13ED">
        <w:t>1</w:t>
      </w:r>
      <w:r>
        <w:t>.</w:t>
      </w:r>
      <w:r>
        <w:tab/>
      </w:r>
      <w:r>
        <w:rPr>
          <w:i/>
          <w:iCs/>
        </w:rPr>
        <w:t>Solicita</w:t>
      </w:r>
      <w:r>
        <w:t xml:space="preserve"> al Comité que examine posibles medidas para hacer frente al incumplimiento reiterado por parte de Papua Nueva Guinea de su obligación de presentar informes y que formule una recomendación al respecto a la Conferencia de las Partes que actúa como reunión de las Partes en el Protocolo de Cartagena, para que la examine en su 13ª reunión;</w:t>
      </w:r>
    </w:p>
    <w:p w14:paraId="5D7AE322" w14:textId="0D0335CB" w:rsidR="00453073" w:rsidRDefault="001071DB" w:rsidP="00E30ECE">
      <w:pPr>
        <w:pStyle w:val="Para1"/>
        <w:numPr>
          <w:ilvl w:val="0"/>
          <w:numId w:val="0"/>
        </w:numPr>
        <w:ind w:left="567"/>
      </w:pPr>
      <w:r>
        <w:tab/>
        <w:t>1</w:t>
      </w:r>
      <w:r w:rsidR="001A13ED">
        <w:t>2</w:t>
      </w:r>
      <w:r>
        <w:t>.</w:t>
      </w:r>
      <w:r>
        <w:tab/>
      </w:r>
      <w:r>
        <w:rPr>
          <w:i/>
          <w:iCs/>
        </w:rPr>
        <w:t>Alienta</w:t>
      </w:r>
      <w:r>
        <w:t xml:space="preserve"> a las Partes que tengan dificultades para cumplir una o varias obligaciones con arreglo al Protocolo de Cartagena a que soliciten asistencia al Comité de Cumplimiento establecido en virtud del Protocolo o a la Secretaría del Convenio sobre la Diversidad Biológica</w:t>
      </w:r>
      <w:r w:rsidR="00C72AAE" w:rsidRPr="00850BE4">
        <w:rPr>
          <w:rStyle w:val="FootnoteReference"/>
        </w:rPr>
        <w:footnoteReference w:id="4"/>
      </w:r>
      <w:r>
        <w:t>.</w:t>
      </w:r>
      <w:r>
        <w:rPr>
          <w:i/>
        </w:rPr>
        <w:t xml:space="preserve"> </w:t>
      </w:r>
    </w:p>
    <w:p w14:paraId="4E687CBF" w14:textId="77777777" w:rsidR="00A111D1" w:rsidRPr="003F1A75" w:rsidRDefault="00A111D1" w:rsidP="00975047">
      <w:pPr>
        <w:pStyle w:val="Para1"/>
        <w:numPr>
          <w:ilvl w:val="0"/>
          <w:numId w:val="0"/>
        </w:numPr>
        <w:ind w:left="567"/>
        <w:jc w:val="center"/>
      </w:pPr>
      <w:r>
        <w:t>_______</w:t>
      </w:r>
    </w:p>
    <w:sectPr w:rsidR="00A111D1" w:rsidRPr="003F1A75" w:rsidSect="00C72AAE">
      <w:headerReference w:type="even" r:id="rId16"/>
      <w:headerReference w:type="default" r:id="rId17"/>
      <w:footerReference w:type="even" r:id="rId18"/>
      <w:footerReference w:type="default" r:id="rId19"/>
      <w:headerReference w:type="first" r:id="rId20"/>
      <w:footerReference w:type="firs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ED18C" w14:textId="77777777" w:rsidR="00554DEF" w:rsidRPr="003F1A75" w:rsidRDefault="00554DEF" w:rsidP="00CF1848">
      <w:r w:rsidRPr="003F1A75">
        <w:separator/>
      </w:r>
    </w:p>
  </w:endnote>
  <w:endnote w:type="continuationSeparator" w:id="0">
    <w:p w14:paraId="08A5A5C5" w14:textId="77777777" w:rsidR="00554DEF" w:rsidRPr="003F1A75" w:rsidRDefault="00554DE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AE7E08" w:rsidRDefault="00D75CA6" w:rsidP="00D75CA6">
            <w:pPr>
              <w:pStyle w:val="Footer"/>
              <w:jc w:val="left"/>
            </w:pPr>
            <w:r w:rsidRPr="00E30ECE">
              <w:fldChar w:fldCharType="begin"/>
            </w:r>
            <w:r w:rsidRPr="00E30ECE">
              <w:instrText xml:space="preserve"> PAGE </w:instrText>
            </w:r>
            <w:r w:rsidRPr="00E30ECE">
              <w:fldChar w:fldCharType="separate"/>
            </w:r>
            <w:r w:rsidRPr="00E30ECE">
              <w:t>2</w:t>
            </w:r>
            <w:r w:rsidRPr="00E30ECE">
              <w:fldChar w:fldCharType="end"/>
            </w:r>
            <w:r>
              <w:t>/</w:t>
            </w:r>
            <w:fldSimple w:instr=" NUMPAGES  ">
              <w:r w:rsidRPr="00E30ECE">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3F1A75" w:rsidRDefault="00D75CA6" w:rsidP="00D75CA6">
        <w:pPr>
          <w:pStyle w:val="Footer"/>
        </w:pPr>
        <w:r w:rsidRPr="003F1A75">
          <w:rPr>
            <w:b/>
          </w:rPr>
          <w:fldChar w:fldCharType="begin"/>
        </w:r>
        <w:r w:rsidRPr="003F1A75">
          <w:rPr>
            <w:b/>
          </w:rPr>
          <w:instrText xml:space="preserve"> PAGE </w:instrText>
        </w:r>
        <w:r w:rsidRPr="003F1A75">
          <w:rPr>
            <w:b/>
          </w:rPr>
          <w:fldChar w:fldCharType="separate"/>
        </w:r>
        <w:r w:rsidRPr="003F1A75">
          <w:rPr>
            <w:b/>
          </w:rPr>
          <w:t>2</w:t>
        </w:r>
        <w:r w:rsidRPr="003F1A75">
          <w:rPr>
            <w:b/>
          </w:rPr>
          <w:fldChar w:fldCharType="end"/>
        </w:r>
        <w:r>
          <w:t>/</w:t>
        </w:r>
        <w:r w:rsidRPr="003F1A75">
          <w:rPr>
            <w:b/>
          </w:rPr>
          <w:fldChar w:fldCharType="begin"/>
        </w:r>
        <w:r w:rsidRPr="003F1A75">
          <w:rPr>
            <w:b/>
          </w:rPr>
          <w:instrText xml:space="preserve"> NUMPAGES  </w:instrText>
        </w:r>
        <w:r w:rsidRPr="003F1A75">
          <w:rPr>
            <w:b/>
          </w:rPr>
          <w:fldChar w:fldCharType="separate"/>
        </w:r>
        <w:r w:rsidRPr="003F1A75">
          <w:rPr>
            <w:b/>
          </w:rPr>
          <w:t>3</w:t>
        </w:r>
        <w:r w:rsidRPr="003F1A75">
          <w:rPr>
            <w:b/>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4BF7E" w14:textId="77777777" w:rsidR="001A0A9C" w:rsidRDefault="001A0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C402A" w14:textId="77777777" w:rsidR="00554DEF" w:rsidRPr="003F1A75" w:rsidRDefault="00554DEF" w:rsidP="00CF1848">
      <w:r w:rsidRPr="003F1A75">
        <w:separator/>
      </w:r>
    </w:p>
  </w:footnote>
  <w:footnote w:type="continuationSeparator" w:id="0">
    <w:p w14:paraId="13F707A6" w14:textId="77777777" w:rsidR="00554DEF" w:rsidRPr="003F1A75" w:rsidRDefault="00554DEF" w:rsidP="00CF1848">
      <w:r w:rsidRPr="003F1A75">
        <w:continuationSeparator/>
      </w:r>
    </w:p>
  </w:footnote>
  <w:footnote w:id="1">
    <w:p w14:paraId="56BDC86B" w14:textId="77777777" w:rsidR="00C72AAE" w:rsidRPr="00F95C52" w:rsidRDefault="00C72AAE" w:rsidP="00C72AAE">
      <w:pPr>
        <w:pStyle w:val="FootnoteText"/>
      </w:pPr>
      <w:r>
        <w:rPr>
          <w:rStyle w:val="FootnoteReference"/>
        </w:rPr>
        <w:footnoteRef/>
      </w:r>
      <w:r>
        <w:t xml:space="preserve"> Naciones Unidas, </w:t>
      </w:r>
      <w:r>
        <w:rPr>
          <w:i/>
        </w:rPr>
        <w:t>Treaty Series</w:t>
      </w:r>
      <w:r>
        <w:t>, vol. 2226, núm. 30619.</w:t>
      </w:r>
    </w:p>
  </w:footnote>
  <w:footnote w:id="2">
    <w:p w14:paraId="31C1ACEA" w14:textId="3F30B251" w:rsidR="00C72AAE" w:rsidRDefault="00C72AAE" w:rsidP="00C72AAE">
      <w:pPr>
        <w:pStyle w:val="FootnoteText"/>
      </w:pPr>
      <w:r>
        <w:rPr>
          <w:rStyle w:val="FootnoteReference"/>
        </w:rPr>
        <w:footnoteRef/>
      </w:r>
      <w:r>
        <w:t xml:space="preserve"> Decisión </w:t>
      </w:r>
      <w:hyperlink r:id="rId1" w:history="1">
        <w:r>
          <w:rPr>
            <w:rStyle w:val="Hyperlink"/>
          </w:rPr>
          <w:t>BS-I/3</w:t>
        </w:r>
      </w:hyperlink>
      <w:r>
        <w:t>, anexo.</w:t>
      </w:r>
    </w:p>
  </w:footnote>
  <w:footnote w:id="3">
    <w:p w14:paraId="6E135BD4" w14:textId="05452590" w:rsidR="00C72AAE" w:rsidRPr="00F95C52" w:rsidRDefault="00C72AAE" w:rsidP="00C72AAE">
      <w:pPr>
        <w:pStyle w:val="FootnoteText"/>
      </w:pPr>
      <w:r>
        <w:rPr>
          <w:rStyle w:val="FootnoteReference"/>
        </w:rPr>
        <w:footnoteRef/>
      </w:r>
      <w:r>
        <w:t xml:space="preserve"> Decisión </w:t>
      </w:r>
      <w:hyperlink r:id="rId2" w:history="1">
        <w:r>
          <w:rPr>
            <w:rStyle w:val="Hyperlink"/>
          </w:rPr>
          <w:t>15/4</w:t>
        </w:r>
      </w:hyperlink>
      <w:r>
        <w:t>, anexo.</w:t>
      </w:r>
    </w:p>
  </w:footnote>
  <w:footnote w:id="4">
    <w:p w14:paraId="77B6D783" w14:textId="77777777" w:rsidR="00C72AAE" w:rsidRPr="000A6EB4" w:rsidRDefault="00C72AAE" w:rsidP="00C72AAE">
      <w:pPr>
        <w:pStyle w:val="FootnoteText"/>
      </w:pPr>
      <w:r>
        <w:rPr>
          <w:rStyle w:val="FootnoteReference"/>
        </w:rPr>
        <w:footnoteRef/>
      </w:r>
      <w:r>
        <w:t xml:space="preserve"> Naciones Unidas, </w:t>
      </w:r>
      <w:r>
        <w:rPr>
          <w:i/>
        </w:rPr>
        <w:t>Treaty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4C23D" w14:textId="41D5BA44" w:rsidR="00534681" w:rsidRPr="00CE10AF" w:rsidRDefault="00CE10AF" w:rsidP="00893A56">
    <w:pPr>
      <w:pStyle w:val="Header"/>
      <w:rPr>
        <w:lang w:val="en-CA"/>
      </w:rPr>
    </w:pPr>
    <w:r>
      <w:rPr>
        <w:lang w:val="en-CA"/>
      </w:rPr>
      <w:t>CBD</w:t>
    </w:r>
    <w:r w:rsidR="00EE137A">
      <w:rPr>
        <w:lang w:val="en-CA"/>
      </w:rPr>
      <w:t>/CP/MOP/12/L.2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1ECDB86F" w:rsidR="009505C9" w:rsidRPr="003F1A75" w:rsidRDefault="00893A56" w:rsidP="007C4951">
        <w:pPr>
          <w:pStyle w:val="Header"/>
          <w:spacing w:after="240"/>
          <w:jc w:val="right"/>
        </w:pPr>
        <w:r>
          <w:t>/CP/MOP CBD /12/WG.II/CRP.2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20926" w14:textId="77777777" w:rsidR="001A0A9C" w:rsidRDefault="001A0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230E6"/>
    <w:rsid w:val="00036944"/>
    <w:rsid w:val="0006641A"/>
    <w:rsid w:val="0007171B"/>
    <w:rsid w:val="00084958"/>
    <w:rsid w:val="000B0E05"/>
    <w:rsid w:val="000B73B1"/>
    <w:rsid w:val="000C4A23"/>
    <w:rsid w:val="000D0F68"/>
    <w:rsid w:val="000D4A4B"/>
    <w:rsid w:val="000E28FE"/>
    <w:rsid w:val="000E673A"/>
    <w:rsid w:val="000E7ECB"/>
    <w:rsid w:val="000F0B6A"/>
    <w:rsid w:val="000F6945"/>
    <w:rsid w:val="000F74F5"/>
    <w:rsid w:val="000F78FC"/>
    <w:rsid w:val="0010204C"/>
    <w:rsid w:val="001031DF"/>
    <w:rsid w:val="00105372"/>
    <w:rsid w:val="001054A6"/>
    <w:rsid w:val="001071DB"/>
    <w:rsid w:val="001078A1"/>
    <w:rsid w:val="00124FAF"/>
    <w:rsid w:val="00130D0E"/>
    <w:rsid w:val="001312AD"/>
    <w:rsid w:val="00131E7A"/>
    <w:rsid w:val="00134846"/>
    <w:rsid w:val="001643E3"/>
    <w:rsid w:val="00172AF6"/>
    <w:rsid w:val="00176CEE"/>
    <w:rsid w:val="00186DD8"/>
    <w:rsid w:val="001A07D6"/>
    <w:rsid w:val="001A0A9C"/>
    <w:rsid w:val="001A13ED"/>
    <w:rsid w:val="001A35EC"/>
    <w:rsid w:val="001A5872"/>
    <w:rsid w:val="001B13FE"/>
    <w:rsid w:val="001B4FF0"/>
    <w:rsid w:val="001C6A27"/>
    <w:rsid w:val="001D635F"/>
    <w:rsid w:val="001E530B"/>
    <w:rsid w:val="001E7A82"/>
    <w:rsid w:val="00216CAB"/>
    <w:rsid w:val="00224945"/>
    <w:rsid w:val="00227D0F"/>
    <w:rsid w:val="0023080C"/>
    <w:rsid w:val="0024421C"/>
    <w:rsid w:val="00254EB5"/>
    <w:rsid w:val="00266D42"/>
    <w:rsid w:val="002672BB"/>
    <w:rsid w:val="002A222A"/>
    <w:rsid w:val="002D2BF2"/>
    <w:rsid w:val="002F0021"/>
    <w:rsid w:val="002F6A8A"/>
    <w:rsid w:val="003008FE"/>
    <w:rsid w:val="0030169D"/>
    <w:rsid w:val="003060EB"/>
    <w:rsid w:val="003100B0"/>
    <w:rsid w:val="003153EB"/>
    <w:rsid w:val="0032136E"/>
    <w:rsid w:val="00321985"/>
    <w:rsid w:val="00323F93"/>
    <w:rsid w:val="003268DD"/>
    <w:rsid w:val="0034138C"/>
    <w:rsid w:val="00351205"/>
    <w:rsid w:val="003715E7"/>
    <w:rsid w:val="00372F74"/>
    <w:rsid w:val="003932C4"/>
    <w:rsid w:val="003B0811"/>
    <w:rsid w:val="003E7065"/>
    <w:rsid w:val="003E7B38"/>
    <w:rsid w:val="003F1A75"/>
    <w:rsid w:val="003F7224"/>
    <w:rsid w:val="00427D21"/>
    <w:rsid w:val="00447F4A"/>
    <w:rsid w:val="00453073"/>
    <w:rsid w:val="00455A4A"/>
    <w:rsid w:val="00456F67"/>
    <w:rsid w:val="004644C2"/>
    <w:rsid w:val="00467F9C"/>
    <w:rsid w:val="0049428C"/>
    <w:rsid w:val="004A1520"/>
    <w:rsid w:val="004F5A0C"/>
    <w:rsid w:val="00504017"/>
    <w:rsid w:val="0051006C"/>
    <w:rsid w:val="0053270B"/>
    <w:rsid w:val="00534681"/>
    <w:rsid w:val="00535DFA"/>
    <w:rsid w:val="00543259"/>
    <w:rsid w:val="00554DEF"/>
    <w:rsid w:val="0056068E"/>
    <w:rsid w:val="00563442"/>
    <w:rsid w:val="0056348E"/>
    <w:rsid w:val="00565B42"/>
    <w:rsid w:val="005765A2"/>
    <w:rsid w:val="005B35E2"/>
    <w:rsid w:val="005B5BFE"/>
    <w:rsid w:val="005C4CE6"/>
    <w:rsid w:val="006107D7"/>
    <w:rsid w:val="006122BA"/>
    <w:rsid w:val="00617EEE"/>
    <w:rsid w:val="006349E9"/>
    <w:rsid w:val="0064174C"/>
    <w:rsid w:val="006478BF"/>
    <w:rsid w:val="00661585"/>
    <w:rsid w:val="0066589E"/>
    <w:rsid w:val="00665DA0"/>
    <w:rsid w:val="00670E6A"/>
    <w:rsid w:val="006915E1"/>
    <w:rsid w:val="00693483"/>
    <w:rsid w:val="006A73C1"/>
    <w:rsid w:val="006B2290"/>
    <w:rsid w:val="006D1B33"/>
    <w:rsid w:val="006E70F4"/>
    <w:rsid w:val="00712BA8"/>
    <w:rsid w:val="007163C9"/>
    <w:rsid w:val="00717D88"/>
    <w:rsid w:val="00720DC3"/>
    <w:rsid w:val="00726A43"/>
    <w:rsid w:val="00726DEC"/>
    <w:rsid w:val="00732DB4"/>
    <w:rsid w:val="00747715"/>
    <w:rsid w:val="00782877"/>
    <w:rsid w:val="00786056"/>
    <w:rsid w:val="007942D3"/>
    <w:rsid w:val="007A76DB"/>
    <w:rsid w:val="007B2099"/>
    <w:rsid w:val="007B671C"/>
    <w:rsid w:val="007B6C09"/>
    <w:rsid w:val="007B7741"/>
    <w:rsid w:val="007C4951"/>
    <w:rsid w:val="007E09DA"/>
    <w:rsid w:val="007E0F8A"/>
    <w:rsid w:val="007E15AE"/>
    <w:rsid w:val="007F718D"/>
    <w:rsid w:val="00801CE4"/>
    <w:rsid w:val="00801FAD"/>
    <w:rsid w:val="00816BF9"/>
    <w:rsid w:val="008178B6"/>
    <w:rsid w:val="008658C5"/>
    <w:rsid w:val="00865B74"/>
    <w:rsid w:val="00866063"/>
    <w:rsid w:val="0087479F"/>
    <w:rsid w:val="008923A8"/>
    <w:rsid w:val="00893A56"/>
    <w:rsid w:val="008974F0"/>
    <w:rsid w:val="008A1499"/>
    <w:rsid w:val="008A6CCC"/>
    <w:rsid w:val="008B012A"/>
    <w:rsid w:val="008D41D3"/>
    <w:rsid w:val="008E0590"/>
    <w:rsid w:val="009038A3"/>
    <w:rsid w:val="00906E17"/>
    <w:rsid w:val="00913699"/>
    <w:rsid w:val="0091409D"/>
    <w:rsid w:val="0091411F"/>
    <w:rsid w:val="00930BA1"/>
    <w:rsid w:val="0093169E"/>
    <w:rsid w:val="00931A19"/>
    <w:rsid w:val="009505C9"/>
    <w:rsid w:val="00950752"/>
    <w:rsid w:val="00966424"/>
    <w:rsid w:val="00975047"/>
    <w:rsid w:val="00995C1D"/>
    <w:rsid w:val="009A700F"/>
    <w:rsid w:val="009A7C23"/>
    <w:rsid w:val="009A7D31"/>
    <w:rsid w:val="009C2DE6"/>
    <w:rsid w:val="009C7D09"/>
    <w:rsid w:val="009E578F"/>
    <w:rsid w:val="009F4CCA"/>
    <w:rsid w:val="00A111D1"/>
    <w:rsid w:val="00A134C8"/>
    <w:rsid w:val="00A17C64"/>
    <w:rsid w:val="00A2162B"/>
    <w:rsid w:val="00A60DCA"/>
    <w:rsid w:val="00AA6F92"/>
    <w:rsid w:val="00AB2B6A"/>
    <w:rsid w:val="00AB6934"/>
    <w:rsid w:val="00AC4873"/>
    <w:rsid w:val="00AD38EF"/>
    <w:rsid w:val="00AE1597"/>
    <w:rsid w:val="00AE7E08"/>
    <w:rsid w:val="00AF42DE"/>
    <w:rsid w:val="00B0042E"/>
    <w:rsid w:val="00B11DEB"/>
    <w:rsid w:val="00B23080"/>
    <w:rsid w:val="00B25EF1"/>
    <w:rsid w:val="00B3369F"/>
    <w:rsid w:val="00B337BC"/>
    <w:rsid w:val="00B420E9"/>
    <w:rsid w:val="00B42A00"/>
    <w:rsid w:val="00B51FC6"/>
    <w:rsid w:val="00B801BC"/>
    <w:rsid w:val="00B94E6C"/>
    <w:rsid w:val="00BB4606"/>
    <w:rsid w:val="00BD6E92"/>
    <w:rsid w:val="00BE4762"/>
    <w:rsid w:val="00C14DCD"/>
    <w:rsid w:val="00C17928"/>
    <w:rsid w:val="00C23D2F"/>
    <w:rsid w:val="00C443BD"/>
    <w:rsid w:val="00C451C5"/>
    <w:rsid w:val="00C71E89"/>
    <w:rsid w:val="00C72AAE"/>
    <w:rsid w:val="00C77F7F"/>
    <w:rsid w:val="00C9161D"/>
    <w:rsid w:val="00C96B12"/>
    <w:rsid w:val="00CA0C1D"/>
    <w:rsid w:val="00CB2178"/>
    <w:rsid w:val="00CB4208"/>
    <w:rsid w:val="00CD19FD"/>
    <w:rsid w:val="00CD5E61"/>
    <w:rsid w:val="00CE10AF"/>
    <w:rsid w:val="00CE6A3F"/>
    <w:rsid w:val="00CF1848"/>
    <w:rsid w:val="00D12044"/>
    <w:rsid w:val="00D12288"/>
    <w:rsid w:val="00D170D9"/>
    <w:rsid w:val="00D25ACD"/>
    <w:rsid w:val="00D33EFC"/>
    <w:rsid w:val="00D40DBC"/>
    <w:rsid w:val="00D469A2"/>
    <w:rsid w:val="00D5590E"/>
    <w:rsid w:val="00D61C85"/>
    <w:rsid w:val="00D75CA6"/>
    <w:rsid w:val="00D76A18"/>
    <w:rsid w:val="00D80849"/>
    <w:rsid w:val="00D81CC8"/>
    <w:rsid w:val="00D82E8F"/>
    <w:rsid w:val="00D83830"/>
    <w:rsid w:val="00D95DE8"/>
    <w:rsid w:val="00DA2343"/>
    <w:rsid w:val="00DB5E0F"/>
    <w:rsid w:val="00DD118C"/>
    <w:rsid w:val="00DD1C1D"/>
    <w:rsid w:val="00DE765C"/>
    <w:rsid w:val="00E30ECE"/>
    <w:rsid w:val="00E3730D"/>
    <w:rsid w:val="00E56C3B"/>
    <w:rsid w:val="00E56DCC"/>
    <w:rsid w:val="00E66235"/>
    <w:rsid w:val="00E6742B"/>
    <w:rsid w:val="00E83C24"/>
    <w:rsid w:val="00E91ECC"/>
    <w:rsid w:val="00E9318D"/>
    <w:rsid w:val="00E93F3E"/>
    <w:rsid w:val="00E957B3"/>
    <w:rsid w:val="00EA2187"/>
    <w:rsid w:val="00EC3329"/>
    <w:rsid w:val="00ED04AD"/>
    <w:rsid w:val="00ED50B1"/>
    <w:rsid w:val="00EE137A"/>
    <w:rsid w:val="00EE577F"/>
    <w:rsid w:val="00EE72B3"/>
    <w:rsid w:val="00EF3D08"/>
    <w:rsid w:val="00EF676A"/>
    <w:rsid w:val="00F041E5"/>
    <w:rsid w:val="00F063C2"/>
    <w:rsid w:val="00F2462F"/>
    <w:rsid w:val="00F53193"/>
    <w:rsid w:val="00F5357E"/>
    <w:rsid w:val="00F61780"/>
    <w:rsid w:val="00F6586C"/>
    <w:rsid w:val="00F77FA2"/>
    <w:rsid w:val="00F82257"/>
    <w:rsid w:val="00F9038B"/>
    <w:rsid w:val="00F94774"/>
    <w:rsid w:val="00FA663B"/>
    <w:rsid w:val="00FB04DD"/>
    <w:rsid w:val="00FC53DB"/>
    <w:rsid w:val="00FD78F9"/>
    <w:rsid w:val="00FF339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BA8233CB-4D16-4987-9C29-41FAFA5B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s-E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bch.cbd.int/protocol/decisions?decisionID=82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ARONE\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B65EEF" w:rsidRDefault="00E67E9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D2F12"/>
    <w:rsid w:val="00130D0E"/>
    <w:rsid w:val="00254EB5"/>
    <w:rsid w:val="003268DD"/>
    <w:rsid w:val="00342DF3"/>
    <w:rsid w:val="00394D7D"/>
    <w:rsid w:val="00482F7A"/>
    <w:rsid w:val="004A0B5B"/>
    <w:rsid w:val="005426C6"/>
    <w:rsid w:val="00641155"/>
    <w:rsid w:val="00720DC3"/>
    <w:rsid w:val="008A6CCC"/>
    <w:rsid w:val="008E0590"/>
    <w:rsid w:val="009B5918"/>
    <w:rsid w:val="009F4CCA"/>
    <w:rsid w:val="00B65EEF"/>
    <w:rsid w:val="00BB374B"/>
    <w:rsid w:val="00CB2178"/>
    <w:rsid w:val="00D23521"/>
    <w:rsid w:val="00D86BE9"/>
    <w:rsid w:val="00DA2343"/>
    <w:rsid w:val="00E67E92"/>
    <w:rsid w:val="00EC1CA6"/>
    <w:rsid w:val="00EF3D08"/>
    <w:rsid w:val="00F234CB"/>
    <w:rsid w:val="00F77FA2"/>
    <w:rsid w:val="00FB79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BD589B0-0D44-4D89-B63F-324711DEE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4</TotalTime>
  <Pages>2</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Compliance</vt:lpstr>
    </vt:vector>
  </TitlesOfParts>
  <Company>SCBD</Company>
  <LinksUpToDate>false</LinksUpToDate>
  <CharactersWithSpaces>4199</CharactersWithSpaces>
  <SharedDoc>false</SharedDoc>
  <HLinks>
    <vt:vector size="18" baseType="variant">
      <vt:variant>
        <vt:i4>7405681</vt:i4>
      </vt:variant>
      <vt:variant>
        <vt:i4>0</vt:i4>
      </vt:variant>
      <vt:variant>
        <vt:i4>0</vt:i4>
      </vt:variant>
      <vt:variant>
        <vt:i4>5</vt:i4>
      </vt:variant>
      <vt:variant>
        <vt:lpwstr>https://www.cbd.int/decisions/mop/?m=cp-mop-11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7929915</vt:i4>
      </vt:variant>
      <vt:variant>
        <vt:i4>0</vt:i4>
      </vt:variant>
      <vt:variant>
        <vt:i4>0</vt:i4>
      </vt:variant>
      <vt:variant>
        <vt:i4>5</vt:i4>
      </vt:variant>
      <vt:variant>
        <vt:lpwstr>https://bch.cbd.int/protocol/decisions?decisionID=8284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Cumplimiento</dc:title>
  <dc:subject>/CP/MOP CBD /12/WG.II/CRP.2</dc:subject>
  <dc:creator>Veronique Lefebvre</dc:creator>
  <cp:keywords>Convention on Biological Diversity</cp:keywords>
  <cp:lastModifiedBy>Giovanna Sabatini</cp:lastModifiedBy>
  <cp:revision>7</cp:revision>
  <cp:lastPrinted>2020-01-22T04:56:00Z</cp:lastPrinted>
  <dcterms:created xsi:type="dcterms:W3CDTF">2026-10-22T12:26:00Z</dcterms:created>
  <dcterms:modified xsi:type="dcterms:W3CDTF">2026-10-22T12:33:00Z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d3a3ef03-eb28-43fd-b4b3-f3980e15b695</vt:lpwstr>
  </property>
</Properties>
</file>