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rsidTr="00454C2A">
        <w:trPr>
          <w:trHeight w:val="851"/>
        </w:trPr>
        <w:tc>
          <w:tcPr>
            <w:tcW w:w="465" w:type="pct"/>
            <w:tcBorders>
              <w:bottom w:val="single" w:sz="8" w:space="0" w:color="auto"/>
            </w:tcBorders>
            <w:vAlign w:val="bottom"/>
          </w:tcPr>
          <w:p w14:paraId="7BE82539" w14:textId="77777777" w:rsidR="00A96B21" w:rsidRPr="00550DCE" w:rsidRDefault="00A96B21" w:rsidP="00454C2A">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230F292E" w:rsidR="00A96B21" w:rsidRPr="00550DCE" w:rsidRDefault="00741BBB" w:rsidP="00454C2A">
            <w:pPr>
              <w:spacing w:after="120"/>
              <w:jc w:val="left"/>
            </w:pPr>
            <w:r w:rsidRPr="00741BBB">
              <w:rPr>
                <w:noProof/>
                <w:lang w:eastAsia="fr-FR"/>
              </w:rPr>
              <w:drawing>
                <wp:inline distT="0" distB="0" distL="0" distR="0" wp14:anchorId="17AB94A4" wp14:editId="2C7223A2">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75407AEB" w:rsidR="00A96B21" w:rsidRPr="00550DCE" w:rsidRDefault="00A96B21" w:rsidP="00F6660F">
            <w:pPr>
              <w:pStyle w:val="ABSymbol"/>
            </w:pPr>
            <w:r w:rsidRPr="00550DCE">
              <w:rPr>
                <w:sz w:val="40"/>
                <w:szCs w:val="40"/>
              </w:rPr>
              <w:t>CBD</w:t>
            </w:r>
            <w:r w:rsidRPr="00550DCE">
              <w:t>/</w:t>
            </w:r>
            <w:r w:rsidR="00D23F1E">
              <w:t>NP/MOP/5/</w:t>
            </w:r>
            <w:r w:rsidR="00343445">
              <w:t>WG.</w:t>
            </w:r>
            <w:r w:rsidR="00E15315">
              <w:t>I</w:t>
            </w:r>
            <w:r w:rsidR="00343445">
              <w:t>I/CRP.</w:t>
            </w:r>
            <w:r w:rsidR="00363AAE">
              <w:t>4</w:t>
            </w:r>
          </w:p>
        </w:tc>
      </w:tr>
      <w:tr w:rsidR="00A96B21" w:rsidRPr="00741BBB" w14:paraId="1819DB77" w14:textId="77777777" w:rsidTr="00454C2A">
        <w:tc>
          <w:tcPr>
            <w:tcW w:w="2297" w:type="pct"/>
            <w:gridSpan w:val="2"/>
            <w:tcBorders>
              <w:top w:val="single" w:sz="8" w:space="0" w:color="auto"/>
              <w:bottom w:val="single" w:sz="12" w:space="0" w:color="auto"/>
            </w:tcBorders>
          </w:tcPr>
          <w:p w14:paraId="445EC18F" w14:textId="0F1300D3" w:rsidR="00A96B21" w:rsidRPr="00741BBB" w:rsidRDefault="00741BBB" w:rsidP="00454C2A">
            <w:pPr>
              <w:pStyle w:val="Cornernotation"/>
              <w:suppressLineNumbers/>
              <w:suppressAutoHyphens/>
              <w:spacing w:before="120" w:after="120"/>
              <w:ind w:left="0" w:right="0" w:firstLine="0"/>
              <w:rPr>
                <w:lang w:val="fr-FR"/>
              </w:rPr>
            </w:pPr>
            <w:r w:rsidRPr="00084920">
              <w:rPr>
                <w:bCs/>
                <w:noProof/>
                <w:lang w:val="fr-FR" w:eastAsia="fr-FR"/>
              </w:rPr>
              <w:drawing>
                <wp:inline distT="0" distB="0" distL="0" distR="0" wp14:anchorId="67134C0F" wp14:editId="6A59B822">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345CA0" w14:textId="3488AA0D" w:rsidR="00A96B21" w:rsidRPr="00741BBB" w:rsidRDefault="00A96B21" w:rsidP="003C6F10">
            <w:pPr>
              <w:ind w:left="2584"/>
              <w:rPr>
                <w:sz w:val="22"/>
                <w:szCs w:val="22"/>
                <w:lang w:val="fr-FR"/>
              </w:rPr>
            </w:pPr>
            <w:r w:rsidRPr="00741BBB">
              <w:rPr>
                <w:sz w:val="22"/>
                <w:szCs w:val="22"/>
                <w:lang w:val="fr-FR"/>
              </w:rPr>
              <w:t>Distr.</w:t>
            </w:r>
            <w:r w:rsidR="00741BBB" w:rsidRPr="00741BBB">
              <w:rPr>
                <w:sz w:val="22"/>
                <w:szCs w:val="22"/>
                <w:lang w:val="fr-FR"/>
              </w:rPr>
              <w:t xml:space="preserve"> limitée</w:t>
            </w:r>
          </w:p>
          <w:p w14:paraId="2DD21927" w14:textId="50EEFE33" w:rsidR="00A96B21" w:rsidRPr="00741BBB" w:rsidRDefault="00363AAE" w:rsidP="003C6F10">
            <w:pPr>
              <w:ind w:left="2584"/>
              <w:rPr>
                <w:sz w:val="22"/>
                <w:szCs w:val="22"/>
                <w:lang w:val="fr-FR"/>
              </w:rPr>
            </w:pPr>
            <w:r w:rsidRPr="00741BBB">
              <w:rPr>
                <w:sz w:val="22"/>
                <w:szCs w:val="22"/>
                <w:lang w:val="fr-FR"/>
              </w:rPr>
              <w:t>21</w:t>
            </w:r>
            <w:r w:rsidR="00741BBB">
              <w:rPr>
                <w:sz w:val="22"/>
                <w:szCs w:val="22"/>
                <w:lang w:val="fr-FR"/>
              </w:rPr>
              <w:t> octobre </w:t>
            </w:r>
            <w:r w:rsidR="00A96B21" w:rsidRPr="00741BBB">
              <w:rPr>
                <w:sz w:val="22"/>
                <w:szCs w:val="22"/>
                <w:lang w:val="fr-FR"/>
              </w:rPr>
              <w:t>202</w:t>
            </w:r>
            <w:r w:rsidR="00D23F1E" w:rsidRPr="00741BBB">
              <w:rPr>
                <w:sz w:val="22"/>
                <w:szCs w:val="22"/>
                <w:lang w:val="fr-FR"/>
              </w:rPr>
              <w:t>4</w:t>
            </w:r>
          </w:p>
          <w:p w14:paraId="701BBB65" w14:textId="28841B95" w:rsidR="00A96B21" w:rsidRPr="00741BBB" w:rsidRDefault="00741BBB" w:rsidP="003C6F10">
            <w:pPr>
              <w:ind w:left="2584"/>
              <w:rPr>
                <w:sz w:val="22"/>
                <w:szCs w:val="22"/>
                <w:lang w:val="fr-FR"/>
              </w:rPr>
            </w:pPr>
            <w:r>
              <w:rPr>
                <w:sz w:val="22"/>
                <w:szCs w:val="22"/>
                <w:lang w:val="fr-FR"/>
              </w:rPr>
              <w:t>Français</w:t>
            </w:r>
          </w:p>
          <w:p w14:paraId="72F0F472" w14:textId="08EFCE13" w:rsidR="00A96B21" w:rsidRPr="00741BBB" w:rsidRDefault="00A96B21" w:rsidP="003C6F10">
            <w:pPr>
              <w:ind w:left="2584"/>
              <w:rPr>
                <w:sz w:val="22"/>
                <w:szCs w:val="22"/>
                <w:lang w:val="fr-FR"/>
              </w:rPr>
            </w:pPr>
            <w:r w:rsidRPr="00741BBB">
              <w:rPr>
                <w:sz w:val="22"/>
                <w:szCs w:val="22"/>
                <w:lang w:val="fr-FR"/>
              </w:rPr>
              <w:t>Original</w:t>
            </w:r>
            <w:r w:rsidR="00741BBB">
              <w:rPr>
                <w:sz w:val="22"/>
                <w:szCs w:val="22"/>
                <w:lang w:val="fr-FR"/>
              </w:rPr>
              <w:t> </w:t>
            </w:r>
            <w:r w:rsidRPr="00741BBB">
              <w:rPr>
                <w:sz w:val="22"/>
                <w:szCs w:val="22"/>
                <w:lang w:val="fr-FR"/>
              </w:rPr>
              <w:t xml:space="preserve">: </w:t>
            </w:r>
            <w:r w:rsidR="00741BBB">
              <w:rPr>
                <w:sz w:val="22"/>
                <w:szCs w:val="22"/>
                <w:lang w:val="fr-FR"/>
              </w:rPr>
              <w:t>anglais</w:t>
            </w:r>
          </w:p>
          <w:p w14:paraId="20DEA2D7" w14:textId="77777777" w:rsidR="00A96B21" w:rsidRPr="00741BBB" w:rsidRDefault="00A96B21" w:rsidP="00454C2A">
            <w:pPr>
              <w:rPr>
                <w:lang w:val="fr-FR"/>
              </w:rPr>
            </w:pPr>
          </w:p>
        </w:tc>
      </w:tr>
    </w:tbl>
    <w:p w14:paraId="0F8EA8C6" w14:textId="77777777" w:rsidR="00E8611B" w:rsidRDefault="00E8611B" w:rsidP="00E8611B">
      <w:pPr>
        <w:pStyle w:val="AFCorNot12Bold"/>
        <w:rPr>
          <w:lang w:val="fr-FR"/>
        </w:rPr>
      </w:pPr>
      <w:bookmarkStart w:id="1" w:name="_Hlk175557954"/>
      <w:r>
        <w:rPr>
          <w:lang w:val="fr-FR"/>
        </w:rPr>
        <w:t>Conférence des Parties à la Convention</w:t>
      </w:r>
    </w:p>
    <w:p w14:paraId="6EED5F89" w14:textId="77777777" w:rsidR="00E8611B" w:rsidRDefault="00E8611B" w:rsidP="00E8611B">
      <w:pPr>
        <w:pStyle w:val="AFCorNot12Bold"/>
        <w:rPr>
          <w:lang w:val="fr-FR"/>
        </w:rPr>
      </w:pPr>
      <w:r>
        <w:rPr>
          <w:lang w:val="fr-FR"/>
        </w:rPr>
        <w:t xml:space="preserve">sur la diversité biologique siégeant en tant que </w:t>
      </w:r>
    </w:p>
    <w:p w14:paraId="23770009" w14:textId="77777777" w:rsidR="00E8611B" w:rsidRDefault="00E8611B" w:rsidP="00E8611B">
      <w:pPr>
        <w:pStyle w:val="AFCorNot12Bold"/>
        <w:rPr>
          <w:lang w:val="fr-FR"/>
        </w:rPr>
      </w:pPr>
      <w:r>
        <w:rPr>
          <w:lang w:val="fr-FR"/>
        </w:rPr>
        <w:t xml:space="preserve">réunion des Parties au Protocole de Nagoya </w:t>
      </w:r>
      <w:bookmarkStart w:id="2" w:name="_Hlk178504099"/>
      <w:r>
        <w:rPr>
          <w:lang w:val="fr-FR"/>
        </w:rPr>
        <w:t xml:space="preserve">sur </w:t>
      </w:r>
    </w:p>
    <w:p w14:paraId="27491716" w14:textId="77777777" w:rsidR="00E8611B" w:rsidRDefault="00E8611B" w:rsidP="00E8611B">
      <w:pPr>
        <w:pStyle w:val="AFCorNot12Bold"/>
        <w:rPr>
          <w:lang w:val="fr-FR"/>
        </w:rPr>
      </w:pPr>
      <w:r>
        <w:rPr>
          <w:lang w:val="fr-FR"/>
        </w:rPr>
        <w:t xml:space="preserve">l’accès aux ressources génétiques et le partage </w:t>
      </w:r>
    </w:p>
    <w:p w14:paraId="3A077B36" w14:textId="77777777" w:rsidR="00E8611B" w:rsidRDefault="00E8611B" w:rsidP="00E8611B">
      <w:pPr>
        <w:pStyle w:val="AFCorNot12Bold"/>
        <w:rPr>
          <w:lang w:val="fr-FR"/>
        </w:rPr>
      </w:pPr>
      <w:r>
        <w:rPr>
          <w:lang w:val="fr-FR"/>
        </w:rPr>
        <w:t xml:space="preserve">juste et équitable des avantages découlant de </w:t>
      </w:r>
    </w:p>
    <w:p w14:paraId="4C0EA6C0" w14:textId="77777777" w:rsidR="00E8611B" w:rsidRPr="00084920" w:rsidRDefault="00E8611B" w:rsidP="00E8611B">
      <w:pPr>
        <w:pStyle w:val="AFCorNot12Bold"/>
        <w:rPr>
          <w:lang w:val="fr-FR"/>
        </w:rPr>
      </w:pPr>
      <w:r>
        <w:rPr>
          <w:lang w:val="fr-FR"/>
        </w:rPr>
        <w:t>leur utilisation</w:t>
      </w:r>
    </w:p>
    <w:bookmarkEnd w:id="1"/>
    <w:bookmarkEnd w:id="2"/>
    <w:p w14:paraId="691FEF4F" w14:textId="77777777" w:rsidR="00E8611B" w:rsidRPr="00084920" w:rsidRDefault="00E8611B" w:rsidP="00E8611B">
      <w:pPr>
        <w:pStyle w:val="Cornernotation"/>
        <w:rPr>
          <w:bCs/>
          <w:sz w:val="22"/>
          <w:lang w:val="fr-FR"/>
        </w:rPr>
      </w:pPr>
      <w:r>
        <w:rPr>
          <w:bCs/>
          <w:sz w:val="22"/>
          <w:lang w:val="fr-FR"/>
        </w:rPr>
        <w:t>Cinquième réunion</w:t>
      </w:r>
      <w:r w:rsidRPr="00084920">
        <w:rPr>
          <w:bCs/>
          <w:sz w:val="22"/>
          <w:lang w:val="fr-FR"/>
        </w:rPr>
        <w:t xml:space="preserve"> </w:t>
      </w:r>
    </w:p>
    <w:p w14:paraId="092CA88E" w14:textId="1FCF80A0" w:rsidR="00E8611B" w:rsidRPr="00084920" w:rsidRDefault="00E8611B" w:rsidP="00E8611B">
      <w:pPr>
        <w:pStyle w:val="Venuedate"/>
        <w:rPr>
          <w:lang w:val="fr-FR"/>
        </w:rPr>
      </w:pPr>
      <w:r w:rsidRPr="00084920">
        <w:rPr>
          <w:lang w:val="fr-FR"/>
        </w:rPr>
        <w:t>Cali, Colombi</w:t>
      </w:r>
      <w:r>
        <w:rPr>
          <w:lang w:val="fr-FR"/>
        </w:rPr>
        <w:t>e</w:t>
      </w:r>
      <w:r w:rsidRPr="00084920">
        <w:rPr>
          <w:lang w:val="fr-FR"/>
        </w:rPr>
        <w:t>, 2</w:t>
      </w:r>
      <w:r>
        <w:rPr>
          <w:lang w:val="fr-FR"/>
        </w:rPr>
        <w:t>1 octobre</w:t>
      </w:r>
      <w:r w:rsidR="003E2A09">
        <w:rPr>
          <w:lang w:val="fr-FR"/>
        </w:rPr>
        <w:t xml:space="preserve"> </w:t>
      </w:r>
      <w:r w:rsidRPr="00084920">
        <w:rPr>
          <w:lang w:val="fr-FR"/>
        </w:rPr>
        <w:t>–1</w:t>
      </w:r>
      <w:r>
        <w:rPr>
          <w:vertAlign w:val="superscript"/>
          <w:lang w:val="fr-FR"/>
        </w:rPr>
        <w:t>er</w:t>
      </w:r>
      <w:r>
        <w:rPr>
          <w:lang w:val="fr-FR"/>
        </w:rPr>
        <w:t> novembre </w:t>
      </w:r>
      <w:r w:rsidRPr="00084920">
        <w:rPr>
          <w:lang w:val="fr-FR"/>
        </w:rPr>
        <w:t>2024</w:t>
      </w:r>
    </w:p>
    <w:p w14:paraId="30733817" w14:textId="155CFDFA" w:rsidR="00A96B21" w:rsidRPr="00741BBB" w:rsidRDefault="00E8611B" w:rsidP="00A96B21">
      <w:pPr>
        <w:pStyle w:val="Cornernotation-Item"/>
        <w:rPr>
          <w:b w:val="0"/>
          <w:bCs w:val="0"/>
          <w:lang w:val="fr-FR"/>
        </w:rPr>
      </w:pPr>
      <w:r>
        <w:rPr>
          <w:b w:val="0"/>
          <w:bCs w:val="0"/>
          <w:lang w:val="fr-FR"/>
        </w:rPr>
        <w:t>Point 10 de l’ordre du jour</w:t>
      </w:r>
      <w:r w:rsidR="00A96B21" w:rsidRPr="00741BBB">
        <w:rPr>
          <w:b w:val="0"/>
          <w:bCs w:val="0"/>
          <w:lang w:val="fr-FR"/>
        </w:rPr>
        <w:t xml:space="preserve"> </w:t>
      </w:r>
    </w:p>
    <w:p w14:paraId="2015AC7D" w14:textId="77777777" w:rsidR="00E8611B" w:rsidRDefault="00E8611B" w:rsidP="005E139E">
      <w:pPr>
        <w:pStyle w:val="AFCorNotBold"/>
        <w:jc w:val="left"/>
        <w:rPr>
          <w:lang w:val="fr-FR"/>
        </w:rPr>
      </w:pPr>
      <w:r>
        <w:rPr>
          <w:lang w:val="fr-FR"/>
        </w:rPr>
        <w:t xml:space="preserve">Examen de l’efficacité des processus </w:t>
      </w:r>
    </w:p>
    <w:p w14:paraId="4F3B9CA0" w14:textId="7A86F54C" w:rsidR="00A96B21" w:rsidRPr="00741BBB" w:rsidRDefault="00E8611B" w:rsidP="005E139E">
      <w:pPr>
        <w:pStyle w:val="AFCorNotBold"/>
        <w:jc w:val="left"/>
        <w:rPr>
          <w:lang w:val="fr-FR"/>
        </w:rPr>
      </w:pPr>
      <w:r>
        <w:rPr>
          <w:lang w:val="fr-FR"/>
        </w:rPr>
        <w:t>relevant de la Convention et de ses Protocoles</w:t>
      </w:r>
    </w:p>
    <w:p w14:paraId="11AD0D22" w14:textId="3E290D74" w:rsidR="007A7F22" w:rsidRPr="00741BBB" w:rsidRDefault="00E8611B" w:rsidP="00A96B21">
      <w:pPr>
        <w:pStyle w:val="Cornernotation-Item"/>
        <w:rPr>
          <w:b w:val="0"/>
          <w:bCs w:val="0"/>
          <w:lang w:val="fr-FR"/>
        </w:rPr>
      </w:pPr>
      <w:r>
        <w:rPr>
          <w:b w:val="0"/>
          <w:bCs w:val="0"/>
          <w:lang w:val="fr-FR"/>
        </w:rPr>
        <w:t>Groupe de travail </w:t>
      </w:r>
      <w:r w:rsidR="007A7F22" w:rsidRPr="00741BBB">
        <w:rPr>
          <w:b w:val="0"/>
          <w:bCs w:val="0"/>
          <w:lang w:val="fr-FR"/>
        </w:rPr>
        <w:t>I</w:t>
      </w:r>
      <w:r w:rsidR="00E15315" w:rsidRPr="00741BBB">
        <w:rPr>
          <w:b w:val="0"/>
          <w:bCs w:val="0"/>
          <w:lang w:val="fr-FR"/>
        </w:rPr>
        <w:t>I</w:t>
      </w:r>
    </w:p>
    <w:bookmarkEnd w:id="0"/>
    <w:p w14:paraId="3CF490E6" w14:textId="0A110519" w:rsidR="00A96B21" w:rsidRPr="00741BBB" w:rsidRDefault="00822FB5" w:rsidP="00924267">
      <w:pPr>
        <w:pStyle w:val="CBDTitle"/>
        <w:rPr>
          <w:lang w:val="fr-FR"/>
        </w:rPr>
      </w:pPr>
      <w:sdt>
        <w:sdtPr>
          <w:rPr>
            <w:lang w:val="fr-FR"/>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E8611B">
            <w:rPr>
              <w:lang w:val="fr-FR"/>
            </w:rPr>
            <w:t>Évaluation et examen de l’efficacité du Protocole</w:t>
          </w:r>
        </w:sdtContent>
      </w:sdt>
    </w:p>
    <w:p w14:paraId="0D679B2E" w14:textId="64442AE5" w:rsidR="00A96B21" w:rsidRPr="00741BBB" w:rsidRDefault="00155F78" w:rsidP="00A96B21">
      <w:pPr>
        <w:pStyle w:val="Subtitle"/>
        <w:spacing w:before="120" w:after="120"/>
        <w:ind w:left="567"/>
        <w:jc w:val="left"/>
        <w:rPr>
          <w:rFonts w:ascii="Times New Roman" w:hAnsi="Times New Roman" w:cs="Times New Roman"/>
          <w:color w:val="auto"/>
          <w:lang w:val="fr-FR"/>
        </w:rPr>
      </w:pPr>
      <w:r>
        <w:rPr>
          <w:rFonts w:ascii="Times New Roman" w:hAnsi="Times New Roman" w:cs="Times New Roman"/>
          <w:color w:val="auto"/>
          <w:lang w:val="fr-FR"/>
        </w:rPr>
        <w:t>Projet de décision soumis par le Président du Groupe de travail II</w:t>
      </w:r>
    </w:p>
    <w:p w14:paraId="448373F0" w14:textId="77777777" w:rsidR="00155F78" w:rsidRPr="00084920" w:rsidRDefault="00155F78" w:rsidP="00155F78">
      <w:pPr>
        <w:pStyle w:val="CBDTitle"/>
        <w:rPr>
          <w:sz w:val="24"/>
          <w:szCs w:val="24"/>
          <w:lang w:val="fr-FR"/>
        </w:rPr>
      </w:pPr>
      <w:r>
        <w:rPr>
          <w:sz w:val="24"/>
          <w:szCs w:val="24"/>
          <w:lang w:val="fr-FR"/>
        </w:rPr>
        <w:t>Élaboration de la méthode pour la deuxième évaluation et le deuxième examen de l’efficacité du Protocole de Nagoya</w:t>
      </w:r>
    </w:p>
    <w:p w14:paraId="7C57A64C" w14:textId="209FD9DC" w:rsidR="00663BEC" w:rsidRPr="00663BEC" w:rsidRDefault="00663BEC" w:rsidP="00663BEC">
      <w:pPr>
        <w:tabs>
          <w:tab w:val="clear" w:pos="567"/>
          <w:tab w:val="clear" w:pos="1134"/>
          <w:tab w:val="clear" w:pos="2268"/>
        </w:tabs>
        <w:spacing w:before="120" w:after="120"/>
        <w:ind w:left="567" w:firstLine="567"/>
        <w:rPr>
          <w:rFonts w:eastAsia="Times New Roman"/>
          <w:i/>
          <w:iCs/>
          <w:szCs w:val="24"/>
          <w:lang w:val="fr-FR"/>
        </w:rPr>
      </w:pPr>
      <w:r w:rsidRPr="00663BEC">
        <w:rPr>
          <w:rFonts w:eastAsia="Times New Roman"/>
          <w:szCs w:val="24"/>
          <w:lang w:val="fr-FR"/>
        </w:rPr>
        <w:t>[</w:t>
      </w:r>
      <w:r w:rsidRPr="00663BEC">
        <w:rPr>
          <w:rFonts w:eastAsia="Times New Roman"/>
          <w:i/>
          <w:szCs w:val="24"/>
          <w:lang w:val="fr-FR" w:bidi="fr-FR"/>
        </w:rPr>
        <w:t>La Conférence des Parties siégeant en tant que réunion des Parties au Protocole de Nagoya,</w:t>
      </w:r>
    </w:p>
    <w:p w14:paraId="4993A2AD" w14:textId="008E1676" w:rsidR="00663BEC" w:rsidRPr="00663BEC" w:rsidRDefault="00663BEC" w:rsidP="00663BEC">
      <w:pPr>
        <w:tabs>
          <w:tab w:val="clear" w:pos="567"/>
          <w:tab w:val="clear" w:pos="1134"/>
          <w:tab w:val="clear" w:pos="2268"/>
        </w:tabs>
        <w:spacing w:before="120" w:after="120"/>
        <w:ind w:left="567" w:firstLine="567"/>
        <w:rPr>
          <w:rFonts w:eastAsia="Times New Roman"/>
          <w:szCs w:val="24"/>
          <w:lang w:val="fr-FR"/>
        </w:rPr>
      </w:pPr>
      <w:r w:rsidRPr="00663BEC">
        <w:rPr>
          <w:rFonts w:eastAsia="Times New Roman"/>
          <w:i/>
          <w:szCs w:val="24"/>
          <w:lang w:val="fr-FR" w:bidi="fr-FR"/>
        </w:rPr>
        <w:t>Rappelant</w:t>
      </w:r>
      <w:r w:rsidRPr="00663BEC">
        <w:rPr>
          <w:rFonts w:eastAsia="Times New Roman"/>
          <w:szCs w:val="24"/>
          <w:lang w:val="fr-FR" w:bidi="fr-FR"/>
        </w:rPr>
        <w:t xml:space="preserve"> </w:t>
      </w:r>
      <w:hyperlink r:id="rId14" w:history="1">
        <w:r w:rsidRPr="00663BEC">
          <w:rPr>
            <w:rFonts w:eastAsia="Times New Roman"/>
            <w:szCs w:val="24"/>
            <w:lang w:val="fr-FR" w:bidi="fr-FR"/>
          </w:rPr>
          <w:t>l’article 31</w:t>
        </w:r>
      </w:hyperlink>
      <w:r w:rsidRPr="00663BEC">
        <w:rPr>
          <w:rFonts w:eastAsia="Times New Roman"/>
          <w:szCs w:val="24"/>
          <w:lang w:val="fr-FR" w:bidi="fr-FR"/>
        </w:rPr>
        <w:t xml:space="preserve"> du Protocole de Nagoya sur l’accès aux ressources génétiques et le partage juste et équitable des avantages découlant de </w:t>
      </w:r>
      <w:proofErr w:type="gramStart"/>
      <w:r w:rsidRPr="00663BEC">
        <w:rPr>
          <w:rFonts w:eastAsia="Times New Roman"/>
          <w:szCs w:val="24"/>
          <w:lang w:val="fr-FR" w:bidi="fr-FR"/>
        </w:rPr>
        <w:t>leur utilisation relatif</w:t>
      </w:r>
      <w:proofErr w:type="gramEnd"/>
      <w:r w:rsidRPr="00663BEC">
        <w:rPr>
          <w:rFonts w:eastAsia="Times New Roman"/>
          <w:szCs w:val="24"/>
          <w:lang w:val="fr-FR" w:bidi="fr-FR"/>
        </w:rPr>
        <w:t xml:space="preserve"> à la Convention sur la diversité biologique</w:t>
      </w:r>
      <w:r w:rsidRPr="00663BEC">
        <w:rPr>
          <w:rFonts w:eastAsia="Times New Roman"/>
          <w:szCs w:val="24"/>
          <w:vertAlign w:val="superscript"/>
          <w:lang w:val="fr-FR" w:bidi="fr-FR"/>
        </w:rPr>
        <w:footnoteReference w:id="2"/>
      </w:r>
      <w:r w:rsidRPr="00663BEC">
        <w:rPr>
          <w:rFonts w:eastAsia="Times New Roman"/>
          <w:szCs w:val="24"/>
          <w:lang w:val="fr-FR" w:bidi="fr-FR"/>
        </w:rPr>
        <w:t>,</w:t>
      </w:r>
    </w:p>
    <w:p w14:paraId="3FD4A46F" w14:textId="37EA6752" w:rsidR="00663BEC" w:rsidRPr="00663BEC" w:rsidRDefault="00663BEC" w:rsidP="00663BEC">
      <w:pPr>
        <w:tabs>
          <w:tab w:val="clear" w:pos="567"/>
          <w:tab w:val="clear" w:pos="1134"/>
          <w:tab w:val="clear" w:pos="2268"/>
        </w:tabs>
        <w:spacing w:before="120" w:after="120"/>
        <w:ind w:left="567" w:firstLine="567"/>
        <w:rPr>
          <w:rFonts w:eastAsia="Times New Roman"/>
          <w:iCs/>
          <w:szCs w:val="24"/>
          <w:lang w:val="fr-FR"/>
        </w:rPr>
      </w:pPr>
      <w:r w:rsidRPr="00663BEC">
        <w:rPr>
          <w:rFonts w:eastAsia="Times New Roman"/>
          <w:i/>
          <w:szCs w:val="24"/>
          <w:lang w:val="fr-FR" w:bidi="fr-FR"/>
        </w:rPr>
        <w:t xml:space="preserve">Rappelant également </w:t>
      </w:r>
      <w:r w:rsidRPr="00663BEC">
        <w:rPr>
          <w:rFonts w:eastAsia="Times New Roman"/>
          <w:szCs w:val="24"/>
          <w:lang w:val="fr-FR" w:bidi="fr-FR"/>
        </w:rPr>
        <w:t>la décision NP-2/4 du 17 décembre 2016, dans laquelle la Conférence des Parties siégeant en tant que réunion des Parties au Protocole</w:t>
      </w:r>
      <w:r w:rsidR="001A4E66">
        <w:rPr>
          <w:rFonts w:eastAsia="Times New Roman"/>
          <w:szCs w:val="24"/>
          <w:lang w:val="fr-FR" w:bidi="fr-FR"/>
        </w:rPr>
        <w:t xml:space="preserve"> de Nagoya</w:t>
      </w:r>
      <w:r w:rsidRPr="00663BEC">
        <w:rPr>
          <w:rFonts w:eastAsia="Times New Roman"/>
          <w:szCs w:val="24"/>
          <w:lang w:val="fr-FR" w:bidi="fr-FR"/>
        </w:rPr>
        <w:t xml:space="preserve"> a décidé de procéder à la première évaluation et au premier examen du Protocole sur la base des éléments figurant dans l’annexe à cette décision, et l’importance de la continuité des approches pour assurer la comparabilité des résultats,</w:t>
      </w:r>
    </w:p>
    <w:p w14:paraId="5BB50B24" w14:textId="4F5201FF" w:rsidR="00663BEC" w:rsidRPr="00663BEC" w:rsidRDefault="00663BEC" w:rsidP="00663BEC">
      <w:pPr>
        <w:tabs>
          <w:tab w:val="clear" w:pos="567"/>
          <w:tab w:val="clear" w:pos="1134"/>
          <w:tab w:val="clear" w:pos="2268"/>
        </w:tabs>
        <w:spacing w:before="120" w:after="120"/>
        <w:ind w:left="567" w:firstLine="567"/>
        <w:rPr>
          <w:rFonts w:eastAsia="Times New Roman"/>
          <w:szCs w:val="24"/>
          <w:lang w:val="fr-FR" w:bidi="fr-FR"/>
        </w:rPr>
      </w:pPr>
      <w:r w:rsidRPr="00663BEC">
        <w:rPr>
          <w:rFonts w:eastAsia="Times New Roman"/>
          <w:i/>
          <w:szCs w:val="24"/>
          <w:lang w:val="fr-FR" w:bidi="fr-FR"/>
        </w:rPr>
        <w:t xml:space="preserve">Rappelant en outre </w:t>
      </w:r>
      <w:r w:rsidRPr="00663BEC">
        <w:rPr>
          <w:rFonts w:eastAsia="Times New Roman"/>
          <w:szCs w:val="24"/>
          <w:lang w:val="fr-FR" w:bidi="fr-FR"/>
        </w:rPr>
        <w:t xml:space="preserve">la décision NP-3/1 A du 25 novembre 2018, dans laquelle la </w:t>
      </w:r>
      <w:bookmarkStart w:id="3" w:name="_Hlk163362197"/>
      <w:r w:rsidRPr="00663BEC">
        <w:rPr>
          <w:rFonts w:eastAsia="Times New Roman"/>
          <w:szCs w:val="24"/>
          <w:lang w:val="fr-FR" w:bidi="fr-FR"/>
        </w:rPr>
        <w:t>Conférence des Parties siégeant en tant que réunion des Parties au Protocole</w:t>
      </w:r>
      <w:r w:rsidR="001A4E66">
        <w:rPr>
          <w:rFonts w:eastAsia="Times New Roman"/>
          <w:szCs w:val="24"/>
          <w:lang w:val="fr-FR" w:bidi="fr-FR"/>
        </w:rPr>
        <w:t xml:space="preserve"> de Nagoya</w:t>
      </w:r>
      <w:r w:rsidRPr="00663BEC">
        <w:rPr>
          <w:rFonts w:eastAsia="Times New Roman"/>
          <w:szCs w:val="24"/>
          <w:lang w:val="fr-FR" w:bidi="fr-FR"/>
        </w:rPr>
        <w:t xml:space="preserve"> </w:t>
      </w:r>
      <w:bookmarkEnd w:id="3"/>
      <w:r w:rsidRPr="00663BEC">
        <w:rPr>
          <w:rFonts w:eastAsia="Times New Roman"/>
          <w:szCs w:val="24"/>
          <w:lang w:val="fr-FR" w:bidi="fr-FR"/>
        </w:rPr>
        <w:t>a défini des éléments supplémentaires à prendre en considération pour la deuxième évaluation et le deuxième examen de l’efficacité du Protocole et a prié la Secrétaire exécutive de réaliser une enquête ciblée sur les difficultés liées à la mise en œuvre du Protocole et de demander à tous les types d’utilisateurs du Centre d’échange sur l’accès et le partage des avantages de faire part de leurs observations sur sa mise en œuvre et son fonctionnement,</w:t>
      </w:r>
    </w:p>
    <w:p w14:paraId="4B795598" w14:textId="4916C376" w:rsidR="00663BEC" w:rsidRPr="00663BEC" w:rsidRDefault="00663BEC" w:rsidP="00663BEC">
      <w:pPr>
        <w:tabs>
          <w:tab w:val="clear" w:pos="567"/>
          <w:tab w:val="clear" w:pos="1134"/>
          <w:tab w:val="clear" w:pos="2268"/>
        </w:tabs>
        <w:spacing w:before="120" w:after="120"/>
        <w:ind w:left="567" w:firstLine="567"/>
        <w:rPr>
          <w:rFonts w:eastAsia="Times New Roman"/>
          <w:szCs w:val="24"/>
          <w:lang w:val="fr-FR"/>
        </w:rPr>
      </w:pPr>
      <w:r w:rsidRPr="00663BEC">
        <w:rPr>
          <w:rFonts w:eastAsia="Times New Roman"/>
          <w:i/>
          <w:iCs/>
          <w:szCs w:val="24"/>
          <w:lang w:val="fr-FR"/>
        </w:rPr>
        <w:lastRenderedPageBreak/>
        <w:t xml:space="preserve">Rappelant </w:t>
      </w:r>
      <w:r w:rsidRPr="00663BEC">
        <w:rPr>
          <w:rFonts w:eastAsia="Times New Roman"/>
          <w:szCs w:val="24"/>
          <w:lang w:val="fr-FR"/>
        </w:rPr>
        <w:t xml:space="preserve">la décision NP-4/3 du 10 décembre 2022, en vertu de laquelle </w:t>
      </w:r>
      <w:r w:rsidRPr="00663BEC">
        <w:rPr>
          <w:rFonts w:eastAsia="Times New Roman"/>
          <w:szCs w:val="24"/>
          <w:lang w:val="fr-FR" w:bidi="fr-FR"/>
        </w:rPr>
        <w:t>la Conférence des Parties siégeant en tant que réunion des Parties au Protocole</w:t>
      </w:r>
      <w:r w:rsidRPr="00663BEC">
        <w:rPr>
          <w:rFonts w:eastAsia="Times New Roman"/>
          <w:szCs w:val="24"/>
          <w:lang w:val="fr-FR"/>
        </w:rPr>
        <w:t xml:space="preserve"> </w:t>
      </w:r>
      <w:r w:rsidR="001A4E66">
        <w:rPr>
          <w:rFonts w:eastAsia="Times New Roman"/>
          <w:szCs w:val="24"/>
          <w:lang w:val="fr-FR"/>
        </w:rPr>
        <w:t xml:space="preserve">de Nagoya </w:t>
      </w:r>
      <w:r w:rsidRPr="00663BEC">
        <w:rPr>
          <w:rFonts w:eastAsia="Times New Roman"/>
          <w:szCs w:val="24"/>
          <w:lang w:val="fr-FR"/>
        </w:rPr>
        <w:t>a adopté les lignes directrices et le modèle relatifs à la soumission du premier rapport national sur la mise en œuvre du Protocole,</w:t>
      </w:r>
    </w:p>
    <w:p w14:paraId="08D5892E" w14:textId="3DDDFC15" w:rsidR="00663BEC" w:rsidRPr="00663BEC" w:rsidRDefault="00663BEC" w:rsidP="00663BEC">
      <w:pPr>
        <w:tabs>
          <w:tab w:val="clear" w:pos="567"/>
          <w:tab w:val="clear" w:pos="1134"/>
          <w:tab w:val="clear" w:pos="2268"/>
        </w:tabs>
        <w:spacing w:before="120" w:after="120"/>
        <w:ind w:left="567" w:firstLine="567"/>
        <w:rPr>
          <w:rFonts w:eastAsia="Times New Roman"/>
          <w:szCs w:val="24"/>
          <w:lang w:val="fr-FR"/>
        </w:rPr>
      </w:pPr>
      <w:r w:rsidRPr="00663BEC">
        <w:rPr>
          <w:rFonts w:eastAsia="Times New Roman"/>
          <w:i/>
          <w:szCs w:val="24"/>
          <w:lang w:val="fr-FR" w:bidi="fr-FR"/>
        </w:rPr>
        <w:t xml:space="preserve">Rappelant en outre </w:t>
      </w:r>
      <w:r w:rsidRPr="00663BEC">
        <w:rPr>
          <w:rFonts w:eastAsia="Times New Roman"/>
          <w:szCs w:val="24"/>
          <w:lang w:val="fr-FR" w:bidi="fr-FR"/>
        </w:rPr>
        <w:t>les décisions </w:t>
      </w:r>
      <w:r w:rsidRPr="00663BEC">
        <w:rPr>
          <w:rFonts w:eastAsia="Times New Roman"/>
          <w:szCs w:val="24"/>
          <w:lang w:val="fr-FR"/>
        </w:rPr>
        <w:t xml:space="preserve">15/9 du 19 décembre 2022 de la Conférence des Parties à la Convention sur la diversité biologique et </w:t>
      </w:r>
      <w:r w:rsidRPr="00663BEC">
        <w:rPr>
          <w:rFonts w:eastAsia="Times New Roman"/>
          <w:lang w:val="fr-FR"/>
        </w:rPr>
        <w:t xml:space="preserve">NP-4/6 du 19 décembre 2022 de la </w:t>
      </w:r>
      <w:r w:rsidRPr="00663BEC">
        <w:rPr>
          <w:rFonts w:eastAsia="Times New Roman"/>
          <w:szCs w:val="24"/>
          <w:lang w:val="fr-FR" w:bidi="fr-FR"/>
        </w:rPr>
        <w:t>Conférence des Parties siégeant en tant que réunion des Parties au Protocole</w:t>
      </w:r>
      <w:r w:rsidR="001A4E66">
        <w:rPr>
          <w:rFonts w:eastAsia="Times New Roman"/>
          <w:szCs w:val="24"/>
          <w:lang w:val="fr-FR" w:bidi="fr-FR"/>
        </w:rPr>
        <w:t xml:space="preserve"> de Nagoya</w:t>
      </w:r>
      <w:r w:rsidRPr="00663BEC">
        <w:rPr>
          <w:rFonts w:eastAsia="Times New Roman"/>
          <w:szCs w:val="24"/>
          <w:lang w:val="fr-FR" w:bidi="fr-FR"/>
        </w:rPr>
        <w:t xml:space="preserve">, qui portait sur </w:t>
      </w:r>
      <w:r w:rsidRPr="00663BEC">
        <w:rPr>
          <w:rFonts w:eastAsia="Times New Roman"/>
          <w:szCs w:val="24"/>
          <w:lang w:val="fr-FR"/>
        </w:rPr>
        <w:t>l’information de séquençage numérique sur les ressources génétiques</w:t>
      </w:r>
      <w:bookmarkStart w:id="4" w:name="_Hlk167636360"/>
      <w:r w:rsidRPr="00663BEC">
        <w:rPr>
          <w:rFonts w:eastAsia="Times New Roman"/>
          <w:szCs w:val="24"/>
          <w:lang w:val="fr-FR"/>
        </w:rPr>
        <w:t>,</w:t>
      </w:r>
      <w:bookmarkEnd w:id="4"/>
    </w:p>
    <w:p w14:paraId="02FC5ED7" w14:textId="4994455C" w:rsidR="00663BEC" w:rsidRPr="00663BEC" w:rsidRDefault="00663BEC" w:rsidP="00663BEC">
      <w:pPr>
        <w:tabs>
          <w:tab w:val="clear" w:pos="567"/>
          <w:tab w:val="clear" w:pos="1134"/>
          <w:tab w:val="clear" w:pos="2268"/>
        </w:tabs>
        <w:spacing w:before="120" w:after="120"/>
        <w:ind w:left="567" w:firstLine="567"/>
        <w:rPr>
          <w:rFonts w:eastAsia="Times New Roman"/>
          <w:i/>
          <w:iCs/>
          <w:szCs w:val="24"/>
          <w:lang w:val="fr-FR"/>
        </w:rPr>
      </w:pPr>
      <w:r w:rsidRPr="00663BEC">
        <w:rPr>
          <w:rFonts w:eastAsia="Times New Roman"/>
          <w:i/>
          <w:szCs w:val="24"/>
          <w:lang w:val="fr-FR"/>
        </w:rPr>
        <w:t xml:space="preserve">Prenant acte </w:t>
      </w:r>
      <w:r w:rsidRPr="00663BEC">
        <w:rPr>
          <w:rFonts w:eastAsia="Times New Roman"/>
          <w:szCs w:val="24"/>
          <w:lang w:val="fr-FR"/>
        </w:rPr>
        <w:t>des travaux en cours sur la biologie de synthèse, énoncés dans la décision 15/31 du 19 décembre 2022 de la Conférence des Parties à la Convention,</w:t>
      </w:r>
    </w:p>
    <w:p w14:paraId="26CF0944" w14:textId="32C8E8C5" w:rsidR="00663BEC" w:rsidRPr="00663BEC" w:rsidRDefault="00663BEC" w:rsidP="00663BEC">
      <w:pPr>
        <w:tabs>
          <w:tab w:val="clear" w:pos="567"/>
          <w:tab w:val="clear" w:pos="1134"/>
          <w:tab w:val="clear" w:pos="1701"/>
          <w:tab w:val="clear" w:pos="2268"/>
        </w:tabs>
        <w:spacing w:before="120" w:after="120"/>
        <w:ind w:left="567" w:firstLine="567"/>
        <w:rPr>
          <w:rFonts w:eastAsia="Times New Roman"/>
          <w:szCs w:val="24"/>
          <w:lang w:val="fr-FR"/>
        </w:rPr>
      </w:pPr>
      <w:r w:rsidRPr="00663BEC">
        <w:rPr>
          <w:rFonts w:eastAsia="Times New Roman"/>
          <w:szCs w:val="24"/>
          <w:lang w:val="fr-FR" w:bidi="fr-FR"/>
        </w:rPr>
        <w:t>1.</w:t>
      </w:r>
      <w:r w:rsidRPr="00663BEC">
        <w:rPr>
          <w:rFonts w:eastAsia="Times New Roman"/>
          <w:szCs w:val="24"/>
          <w:lang w:val="fr-FR" w:bidi="fr-FR"/>
        </w:rPr>
        <w:tab/>
      </w:r>
      <w:r w:rsidRPr="00663BEC">
        <w:rPr>
          <w:rFonts w:eastAsia="Times New Roman"/>
          <w:i/>
          <w:szCs w:val="24"/>
          <w:lang w:val="fr-FR" w:bidi="fr-FR"/>
        </w:rPr>
        <w:t xml:space="preserve">Décide </w:t>
      </w:r>
      <w:r w:rsidRPr="00663BEC">
        <w:rPr>
          <w:rFonts w:eastAsia="Times New Roman"/>
          <w:szCs w:val="24"/>
          <w:lang w:val="fr-FR" w:bidi="fr-FR"/>
        </w:rPr>
        <w:t xml:space="preserve">de procéder à la deuxième évaluation et au deuxième examen de l’efficacité du Protocole de Nagoya sur l’accès aux ressources génétiques et le partage juste et équitable des avantages découlant de </w:t>
      </w:r>
      <w:proofErr w:type="gramStart"/>
      <w:r w:rsidRPr="00663BEC">
        <w:rPr>
          <w:rFonts w:eastAsia="Times New Roman"/>
          <w:szCs w:val="24"/>
          <w:lang w:val="fr-FR" w:bidi="fr-FR"/>
        </w:rPr>
        <w:t>leur utilisation relatif</w:t>
      </w:r>
      <w:proofErr w:type="gramEnd"/>
      <w:r w:rsidRPr="00663BEC">
        <w:rPr>
          <w:rFonts w:eastAsia="Times New Roman"/>
          <w:szCs w:val="24"/>
          <w:lang w:val="fr-FR" w:bidi="fr-FR"/>
        </w:rPr>
        <w:t xml:space="preserve"> à la Convention sur la diversité biologique sur la base des éléments figurant à l’annexe de la présente décision ; </w:t>
      </w:r>
    </w:p>
    <w:p w14:paraId="6FA34128" w14:textId="308D2B75" w:rsidR="00663BEC" w:rsidRPr="00663BEC" w:rsidRDefault="00663BEC" w:rsidP="00663BEC">
      <w:pPr>
        <w:tabs>
          <w:tab w:val="clear" w:pos="567"/>
          <w:tab w:val="clear" w:pos="1134"/>
          <w:tab w:val="clear" w:pos="1701"/>
          <w:tab w:val="clear" w:pos="2268"/>
        </w:tabs>
        <w:spacing w:before="120" w:after="120"/>
        <w:ind w:left="567" w:firstLine="567"/>
        <w:rPr>
          <w:rFonts w:eastAsia="Times New Roman"/>
          <w:szCs w:val="24"/>
          <w:lang w:val="fr-FR"/>
        </w:rPr>
      </w:pPr>
      <w:r w:rsidRPr="00663BEC">
        <w:rPr>
          <w:rFonts w:eastAsia="Times New Roman"/>
          <w:szCs w:val="24"/>
          <w:lang w:val="fr-FR" w:bidi="fr-FR"/>
        </w:rPr>
        <w:t>2.</w:t>
      </w:r>
      <w:r w:rsidRPr="00663BEC">
        <w:rPr>
          <w:rFonts w:eastAsia="Times New Roman"/>
          <w:szCs w:val="24"/>
          <w:lang w:val="fr-FR" w:bidi="fr-FR"/>
        </w:rPr>
        <w:tab/>
      </w:r>
      <w:r w:rsidRPr="00663BEC">
        <w:rPr>
          <w:rFonts w:eastAsia="Times New Roman"/>
          <w:i/>
          <w:szCs w:val="24"/>
          <w:lang w:val="fr-FR" w:bidi="fr-FR"/>
        </w:rPr>
        <w:t xml:space="preserve">Prie instamment </w:t>
      </w:r>
      <w:r w:rsidRPr="00663BEC">
        <w:rPr>
          <w:rFonts w:eastAsia="Times New Roman"/>
          <w:szCs w:val="24"/>
          <w:lang w:val="fr-FR" w:bidi="fr-FR"/>
        </w:rPr>
        <w:t>les Parties et encourage les autres gouvernements, les organisations compétentes, les peuples autochtones et les communautés locales, et les représentants des femmes et des jeunes à publier des informations sur le Centre d’échange sur l’accès et le partage des avantages afin qu’elles soient disponibles pour la deuxième évaluation et le deuxième examen de l’efficacité du Protocole</w:t>
      </w:r>
      <w:r w:rsidR="001A4E66">
        <w:rPr>
          <w:rFonts w:eastAsia="Times New Roman"/>
          <w:szCs w:val="24"/>
          <w:lang w:val="fr-FR" w:bidi="fr-FR"/>
        </w:rPr>
        <w:t xml:space="preserve"> de Nagoya</w:t>
      </w:r>
      <w:r w:rsidRPr="00663BEC">
        <w:rPr>
          <w:rFonts w:eastAsia="Times New Roman"/>
          <w:szCs w:val="24"/>
          <w:lang w:val="fr-FR" w:bidi="fr-FR"/>
        </w:rPr>
        <w:t> ;</w:t>
      </w:r>
    </w:p>
    <w:p w14:paraId="65078900" w14:textId="3B4065C6" w:rsidR="00663BEC" w:rsidRPr="00663BEC" w:rsidRDefault="00663BEC" w:rsidP="00663BEC">
      <w:pPr>
        <w:tabs>
          <w:tab w:val="clear" w:pos="567"/>
          <w:tab w:val="clear" w:pos="1134"/>
          <w:tab w:val="clear" w:pos="1701"/>
          <w:tab w:val="clear" w:pos="2268"/>
        </w:tabs>
        <w:spacing w:before="120" w:after="120"/>
        <w:ind w:left="567" w:firstLine="567"/>
        <w:rPr>
          <w:rFonts w:eastAsia="Times New Roman"/>
          <w:szCs w:val="24"/>
          <w:lang w:val="fr-FR"/>
        </w:rPr>
      </w:pPr>
      <w:r w:rsidRPr="00663BEC">
        <w:rPr>
          <w:rFonts w:eastAsia="Times New Roman"/>
          <w:szCs w:val="24"/>
          <w:lang w:val="fr-FR" w:bidi="fr-FR"/>
        </w:rPr>
        <w:t>3.</w:t>
      </w:r>
      <w:r w:rsidRPr="00663BEC">
        <w:rPr>
          <w:rFonts w:eastAsia="Times New Roman"/>
          <w:szCs w:val="24"/>
          <w:lang w:val="fr-FR" w:bidi="fr-FR"/>
        </w:rPr>
        <w:tab/>
      </w:r>
      <w:r w:rsidRPr="00663BEC">
        <w:rPr>
          <w:rFonts w:eastAsia="Times New Roman"/>
          <w:i/>
          <w:szCs w:val="24"/>
          <w:lang w:val="fr-FR" w:bidi="fr-FR"/>
        </w:rPr>
        <w:t>Souligne</w:t>
      </w:r>
      <w:r w:rsidRPr="00663BEC">
        <w:rPr>
          <w:rFonts w:eastAsia="Times New Roman"/>
          <w:szCs w:val="24"/>
          <w:lang w:val="fr-FR" w:bidi="fr-FR"/>
        </w:rPr>
        <w:t xml:space="preserve"> que les Parties devraient soumettre leurs premiers rapports nationaux sur la mise en œuvre du Protocole </w:t>
      </w:r>
      <w:r w:rsidR="001A4E66">
        <w:rPr>
          <w:rFonts w:eastAsia="Times New Roman"/>
          <w:szCs w:val="24"/>
          <w:lang w:val="fr-FR" w:bidi="fr-FR"/>
        </w:rPr>
        <w:t xml:space="preserve">de Nagoya </w:t>
      </w:r>
      <w:r w:rsidRPr="00663BEC">
        <w:rPr>
          <w:rFonts w:eastAsia="Times New Roman"/>
          <w:szCs w:val="24"/>
          <w:lang w:val="fr-FR" w:bidi="fr-FR"/>
        </w:rPr>
        <w:t xml:space="preserve">au plus tard le </w:t>
      </w:r>
      <w:r w:rsidRPr="00663BEC">
        <w:rPr>
          <w:rFonts w:eastAsia="Times New Roman"/>
          <w:szCs w:val="24"/>
          <w:lang w:val="fr-FR"/>
        </w:rPr>
        <w:t xml:space="preserve">28 février 2026, et les encourage à soumettre, dans la mesure du possible, leurs rapports avant cette date afin de faciliter l’analyse nécessaire à </w:t>
      </w:r>
      <w:r w:rsidRPr="00663BEC">
        <w:rPr>
          <w:rFonts w:eastAsia="Times New Roman"/>
          <w:szCs w:val="24"/>
          <w:lang w:val="fr-FR" w:bidi="fr-FR"/>
        </w:rPr>
        <w:t>la deuxième évaluation et au deuxième examen de l’efficacité du Protocole ;</w:t>
      </w:r>
    </w:p>
    <w:p w14:paraId="6D1FAD5F" w14:textId="064FB787" w:rsidR="00663BEC" w:rsidRPr="00663BEC" w:rsidRDefault="00663BEC" w:rsidP="00663BEC">
      <w:pPr>
        <w:tabs>
          <w:tab w:val="clear" w:pos="567"/>
          <w:tab w:val="clear" w:pos="1134"/>
          <w:tab w:val="clear" w:pos="1701"/>
          <w:tab w:val="clear" w:pos="2268"/>
        </w:tabs>
        <w:spacing w:before="120" w:after="120"/>
        <w:ind w:left="567" w:firstLine="567"/>
        <w:rPr>
          <w:rFonts w:eastAsia="Times New Roman"/>
          <w:szCs w:val="24"/>
          <w:vertAlign w:val="superscript"/>
          <w:lang w:val="fr-FR"/>
        </w:rPr>
      </w:pPr>
      <w:r w:rsidRPr="00663BEC">
        <w:rPr>
          <w:rFonts w:eastAsia="Times New Roman"/>
          <w:szCs w:val="24"/>
          <w:lang w:val="fr-FR" w:bidi="fr-FR"/>
        </w:rPr>
        <w:t>4.</w:t>
      </w:r>
      <w:r w:rsidRPr="00663BEC">
        <w:rPr>
          <w:rFonts w:eastAsia="Times New Roman"/>
          <w:szCs w:val="24"/>
          <w:lang w:val="fr-FR" w:bidi="fr-FR"/>
        </w:rPr>
        <w:tab/>
      </w:r>
      <w:r w:rsidRPr="00663BEC">
        <w:rPr>
          <w:rFonts w:eastAsia="Times New Roman"/>
          <w:i/>
          <w:szCs w:val="24"/>
          <w:lang w:val="fr-FR" w:bidi="fr-FR"/>
        </w:rPr>
        <w:t xml:space="preserve">Prie instamment </w:t>
      </w:r>
      <w:r w:rsidRPr="00663BEC">
        <w:rPr>
          <w:rFonts w:eastAsia="Times New Roman"/>
          <w:szCs w:val="24"/>
          <w:lang w:val="fr-FR" w:bidi="fr-FR"/>
        </w:rPr>
        <w:t xml:space="preserve">les Parties remplissant les conditions requises de soumettre leurs lettres d’engagement à l’organisme d’exécution en temps voulu pour que les projets visant à appuyer l’élaboration de leurs premiers rapports nationaux soient présentés au Fonds pour l’environnement mondial pour approbation bien avant la date limite de présentation des rapports ; </w:t>
      </w:r>
    </w:p>
    <w:p w14:paraId="734B16AF" w14:textId="0ED7C290" w:rsidR="00663BEC" w:rsidRPr="00663BEC" w:rsidRDefault="00663BEC" w:rsidP="00663BEC">
      <w:pPr>
        <w:tabs>
          <w:tab w:val="clear" w:pos="567"/>
          <w:tab w:val="clear" w:pos="1134"/>
          <w:tab w:val="clear" w:pos="1701"/>
          <w:tab w:val="clear" w:pos="2268"/>
        </w:tabs>
        <w:spacing w:before="120" w:after="120"/>
        <w:ind w:left="567" w:firstLine="567"/>
        <w:rPr>
          <w:rFonts w:eastAsia="Times New Roman"/>
          <w:szCs w:val="24"/>
          <w:lang w:val="fr-FR"/>
        </w:rPr>
      </w:pPr>
      <w:r w:rsidRPr="00663BEC">
        <w:rPr>
          <w:rFonts w:eastAsia="Times New Roman"/>
          <w:szCs w:val="24"/>
          <w:lang w:val="fr-FR" w:bidi="fr-FR"/>
        </w:rPr>
        <w:t>5.</w:t>
      </w:r>
      <w:r w:rsidRPr="00663BEC">
        <w:rPr>
          <w:rFonts w:eastAsia="Times New Roman"/>
          <w:szCs w:val="24"/>
          <w:lang w:val="fr-FR" w:bidi="fr-FR"/>
        </w:rPr>
        <w:tab/>
      </w:r>
      <w:r w:rsidRPr="00663BEC">
        <w:rPr>
          <w:rFonts w:eastAsia="Times New Roman"/>
          <w:i/>
          <w:szCs w:val="24"/>
          <w:lang w:val="fr-FR" w:bidi="fr-FR"/>
        </w:rPr>
        <w:t xml:space="preserve">Prie instamment </w:t>
      </w:r>
      <w:r w:rsidRPr="00663BEC">
        <w:rPr>
          <w:rFonts w:eastAsia="Times New Roman"/>
          <w:szCs w:val="24"/>
          <w:lang w:val="fr-FR" w:bidi="fr-FR"/>
        </w:rPr>
        <w:t>le Fonds pour l’environnement mondial et les organismes d’exécution de faciliter les processus pertinents en temps voulu afin que les Parties qui présentent leurs lettres d’engagement bénéficient d’un appui ;</w:t>
      </w:r>
    </w:p>
    <w:p w14:paraId="22B23D79" w14:textId="1481DF44" w:rsidR="00663BEC" w:rsidRPr="00663BEC" w:rsidRDefault="00663BEC" w:rsidP="00663BEC">
      <w:pPr>
        <w:tabs>
          <w:tab w:val="clear" w:pos="567"/>
          <w:tab w:val="clear" w:pos="1134"/>
          <w:tab w:val="clear" w:pos="1701"/>
          <w:tab w:val="clear" w:pos="2268"/>
        </w:tabs>
        <w:spacing w:before="120" w:after="120"/>
        <w:ind w:left="567" w:firstLine="567"/>
        <w:rPr>
          <w:rFonts w:eastAsia="Times New Roman"/>
          <w:szCs w:val="24"/>
          <w:lang w:val="fr-FR"/>
        </w:rPr>
      </w:pPr>
      <w:r w:rsidRPr="00663BEC">
        <w:rPr>
          <w:rFonts w:eastAsia="Times New Roman"/>
          <w:szCs w:val="24"/>
          <w:lang w:val="fr-FR" w:bidi="fr-FR"/>
        </w:rPr>
        <w:t>6.</w:t>
      </w:r>
      <w:r w:rsidRPr="00663BEC">
        <w:rPr>
          <w:rFonts w:eastAsia="Times New Roman"/>
          <w:szCs w:val="24"/>
          <w:lang w:val="fr-FR" w:bidi="fr-FR"/>
        </w:rPr>
        <w:tab/>
      </w:r>
      <w:r w:rsidRPr="00663BEC">
        <w:rPr>
          <w:rFonts w:eastAsia="Times New Roman"/>
          <w:i/>
          <w:szCs w:val="24"/>
          <w:lang w:val="fr-FR" w:bidi="fr-FR"/>
        </w:rPr>
        <w:t xml:space="preserve">Invite </w:t>
      </w:r>
      <w:r w:rsidRPr="00663BEC">
        <w:rPr>
          <w:rFonts w:eastAsia="Times New Roman"/>
          <w:szCs w:val="24"/>
          <w:lang w:val="fr-FR" w:bidi="fr-FR"/>
        </w:rPr>
        <w:t>les Parties, les autres gouvernements, les peuples autochtones et les communautés locales, les représentants des femmes et des jeunes ainsi que les parties prenantes et les autres organisations, à répondre aux enquêtes ciblées qui seront menées par la Secrétaire exécutive en application des paragraphes 18 a) et 20</w:t>
      </w:r>
      <w:r w:rsidR="003E2A09">
        <w:rPr>
          <w:rFonts w:eastAsia="Times New Roman"/>
          <w:szCs w:val="24"/>
          <w:lang w:val="fr-FR" w:bidi="fr-FR"/>
        </w:rPr>
        <w:t> </w:t>
      </w:r>
      <w:r w:rsidRPr="00663BEC">
        <w:rPr>
          <w:rFonts w:eastAsia="Times New Roman"/>
          <w:szCs w:val="24"/>
          <w:lang w:val="fr-FR" w:bidi="fr-FR"/>
        </w:rPr>
        <w:t xml:space="preserve">c) de la décision </w:t>
      </w:r>
      <w:r w:rsidRPr="00663BEC">
        <w:rPr>
          <w:rFonts w:eastAsia="Times New Roman"/>
          <w:szCs w:val="24"/>
          <w:lang w:val="fr-FR"/>
        </w:rPr>
        <w:t>NP</w:t>
      </w:r>
      <w:r w:rsidRPr="00663BEC">
        <w:rPr>
          <w:rFonts w:eastAsia="Times New Roman"/>
          <w:szCs w:val="24"/>
          <w:lang w:val="fr-FR"/>
        </w:rPr>
        <w:noBreakHyphen/>
        <w:t>3/1 A</w:t>
      </w:r>
      <w:r w:rsidRPr="00663BEC">
        <w:rPr>
          <w:rFonts w:eastAsia="Times New Roman"/>
          <w:szCs w:val="24"/>
          <w:lang w:val="fr-FR" w:bidi="fr-FR"/>
        </w:rPr>
        <w:t>, et à faire part de leurs points de vue pour étayer un examen préliminaire des procédures et mécanismes de conformité figurant à l’annexe de la décision NP-1/4 du 17 octobre 2014 ;</w:t>
      </w:r>
    </w:p>
    <w:p w14:paraId="2AED1536" w14:textId="789DB517" w:rsidR="00663BEC" w:rsidRPr="00663BEC" w:rsidRDefault="00663BEC" w:rsidP="00663BEC">
      <w:pPr>
        <w:tabs>
          <w:tab w:val="clear" w:pos="567"/>
          <w:tab w:val="clear" w:pos="1134"/>
          <w:tab w:val="clear" w:pos="1701"/>
          <w:tab w:val="clear" w:pos="2268"/>
        </w:tabs>
        <w:spacing w:before="120" w:after="120"/>
        <w:ind w:left="567" w:firstLine="567"/>
        <w:rPr>
          <w:rFonts w:eastAsia="Times New Roman"/>
          <w:szCs w:val="24"/>
          <w:lang w:val="fr-FR"/>
        </w:rPr>
      </w:pPr>
      <w:r w:rsidRPr="00663BEC">
        <w:rPr>
          <w:rFonts w:eastAsia="Times New Roman"/>
          <w:szCs w:val="24"/>
          <w:lang w:val="fr-FR" w:bidi="fr-FR"/>
        </w:rPr>
        <w:t>7.</w:t>
      </w:r>
      <w:r w:rsidRPr="00663BEC">
        <w:rPr>
          <w:rFonts w:eastAsia="Times New Roman"/>
          <w:szCs w:val="24"/>
          <w:lang w:val="fr-FR" w:bidi="fr-FR"/>
        </w:rPr>
        <w:tab/>
      </w:r>
      <w:r w:rsidRPr="00663BEC">
        <w:rPr>
          <w:rFonts w:eastAsia="Times New Roman"/>
          <w:i/>
          <w:szCs w:val="24"/>
          <w:lang w:val="fr-FR" w:bidi="fr-FR"/>
        </w:rPr>
        <w:t xml:space="preserve">Prie </w:t>
      </w:r>
      <w:r w:rsidRPr="00663BEC">
        <w:rPr>
          <w:rFonts w:eastAsia="Times New Roman"/>
          <w:szCs w:val="24"/>
          <w:lang w:val="fr-FR" w:bidi="fr-FR"/>
        </w:rPr>
        <w:t xml:space="preserve">la Secrétaire exécutive : </w:t>
      </w:r>
    </w:p>
    <w:p w14:paraId="645392AE" w14:textId="6096890F" w:rsidR="00663BEC" w:rsidRPr="00663BEC" w:rsidRDefault="00663BEC" w:rsidP="00FD0E1D">
      <w:pPr>
        <w:tabs>
          <w:tab w:val="clear" w:pos="567"/>
          <w:tab w:val="clear" w:pos="1134"/>
          <w:tab w:val="clear" w:pos="2268"/>
        </w:tabs>
        <w:spacing w:before="120" w:after="120"/>
        <w:ind w:left="567" w:firstLine="567"/>
        <w:rPr>
          <w:rFonts w:eastAsia="Times New Roman"/>
          <w:szCs w:val="24"/>
          <w:lang w:val="fr-FR"/>
        </w:rPr>
      </w:pPr>
      <w:r w:rsidRPr="00663BEC">
        <w:rPr>
          <w:rFonts w:eastAsia="Times New Roman"/>
          <w:szCs w:val="24"/>
          <w:lang w:val="fr-FR" w:bidi="fr-FR"/>
        </w:rPr>
        <w:t>a)</w:t>
      </w:r>
      <w:r w:rsidRPr="00663BEC">
        <w:rPr>
          <w:rFonts w:eastAsia="Times New Roman"/>
          <w:szCs w:val="24"/>
          <w:lang w:val="fr-FR" w:bidi="fr-FR"/>
        </w:rPr>
        <w:tab/>
        <w:t>D’analyser et de synthétiser les informations sur la mise en œuvre du Protocole</w:t>
      </w:r>
      <w:r w:rsidR="001A4E66">
        <w:rPr>
          <w:rFonts w:eastAsia="Times New Roman"/>
          <w:szCs w:val="24"/>
          <w:lang w:val="fr-FR" w:bidi="fr-FR"/>
        </w:rPr>
        <w:t xml:space="preserve"> de Nagoya</w:t>
      </w:r>
      <w:r w:rsidRPr="00663BEC">
        <w:rPr>
          <w:rFonts w:eastAsia="Times New Roman"/>
          <w:szCs w:val="24"/>
          <w:lang w:val="fr-FR" w:bidi="fr-FR"/>
        </w:rPr>
        <w:t xml:space="preserve"> en utilisant les sources d’information énumérées dans l’annexe à la présente décision, de mesurer les indicateurs dans le cadre des indicateurs figurant dans l’annexe II de la </w:t>
      </w:r>
      <w:r w:rsidRPr="00663BEC">
        <w:rPr>
          <w:rFonts w:eastAsia="Times New Roman"/>
          <w:szCs w:val="24"/>
          <w:lang w:val="fr-FR"/>
        </w:rPr>
        <w:t xml:space="preserve">décision NP-3/1 A </w:t>
      </w:r>
      <w:r w:rsidRPr="00663BEC">
        <w:rPr>
          <w:rFonts w:eastAsia="Times New Roman"/>
          <w:szCs w:val="24"/>
          <w:lang w:val="fr-FR" w:bidi="fr-FR"/>
        </w:rPr>
        <w:t xml:space="preserve">et de mettre ces informations à la disposition du Comité consultatif informel sur le renforcement des capacités pour la mise en œuvre du Protocole de Nagoya, du Comité chargé du respect des dispositions au titre du Protocole de Nagoya et de l’Organe subsidiaire chargé de l’application ; </w:t>
      </w:r>
    </w:p>
    <w:p w14:paraId="752F03C9" w14:textId="0A14E6D5" w:rsidR="00663BEC" w:rsidRPr="00663BEC" w:rsidRDefault="00663BEC" w:rsidP="00663BEC">
      <w:pPr>
        <w:tabs>
          <w:tab w:val="clear" w:pos="567"/>
          <w:tab w:val="clear" w:pos="1134"/>
          <w:tab w:val="clear" w:pos="2268"/>
        </w:tabs>
        <w:spacing w:before="120" w:after="120"/>
        <w:ind w:left="567" w:firstLine="567"/>
        <w:rPr>
          <w:rFonts w:eastAsia="Times New Roman"/>
          <w:szCs w:val="24"/>
          <w:lang w:val="fr-FR"/>
        </w:rPr>
      </w:pPr>
      <w:r w:rsidRPr="00663BEC">
        <w:rPr>
          <w:rFonts w:eastAsia="Times New Roman"/>
          <w:szCs w:val="24"/>
          <w:lang w:val="fr-FR" w:bidi="fr-FR"/>
        </w:rPr>
        <w:t>b)</w:t>
      </w:r>
      <w:r w:rsidRPr="00663BEC">
        <w:rPr>
          <w:rFonts w:eastAsia="Times New Roman"/>
          <w:szCs w:val="24"/>
          <w:lang w:val="fr-FR" w:bidi="fr-FR"/>
        </w:rPr>
        <w:tab/>
        <w:t>De commander une étude exploratoire, sous réserve de la disponibilité des ressources, sur les raisons possibles et les causes profondes sous-jacentes des difficultés rencontrées dans la mise en œuvre et la conformité effectives et sur les mesures qui pourraient être prises pour améliorer la mise en œuvre</w:t>
      </w:r>
      <w:r w:rsidRPr="00663BEC">
        <w:rPr>
          <w:rFonts w:eastAsia="Times New Roman"/>
          <w:szCs w:val="24"/>
          <w:lang w:val="fr-FR"/>
        </w:rPr>
        <w:t xml:space="preserve">, à la lumière des difficultés particulières rencontrées par les pays en développement Parties, y compris en lien avec les modalités de la mise en œuvre ; </w:t>
      </w:r>
    </w:p>
    <w:p w14:paraId="27B12969" w14:textId="5EE83FCF" w:rsidR="00663BEC" w:rsidRPr="00663BEC" w:rsidRDefault="00663BEC" w:rsidP="00663BEC">
      <w:pPr>
        <w:tabs>
          <w:tab w:val="clear" w:pos="567"/>
          <w:tab w:val="clear" w:pos="1134"/>
          <w:tab w:val="clear" w:pos="2268"/>
        </w:tabs>
        <w:spacing w:before="120" w:after="120"/>
        <w:ind w:left="567" w:firstLine="567"/>
        <w:rPr>
          <w:rFonts w:eastAsia="Times New Roman"/>
          <w:szCs w:val="24"/>
          <w:lang w:val="fr-FR"/>
        </w:rPr>
      </w:pPr>
      <w:r w:rsidRPr="00663BEC">
        <w:rPr>
          <w:rFonts w:eastAsia="Times New Roman"/>
          <w:szCs w:val="24"/>
          <w:lang w:val="fr-FR"/>
        </w:rPr>
        <w:lastRenderedPageBreak/>
        <w:t>c)</w:t>
      </w:r>
      <w:r w:rsidRPr="00663BEC">
        <w:rPr>
          <w:rFonts w:eastAsia="Times New Roman"/>
          <w:szCs w:val="24"/>
          <w:lang w:val="fr-FR"/>
        </w:rPr>
        <w:tab/>
        <w:t xml:space="preserve">D’inclure les principales conclusions de l’étude dans le contexte des éléments de la deuxième évaluation et du deuxième examen de l’efficacité du Protocole </w:t>
      </w:r>
      <w:r w:rsidR="001A4E66">
        <w:rPr>
          <w:rFonts w:eastAsia="Times New Roman"/>
          <w:szCs w:val="24"/>
          <w:lang w:val="fr-FR"/>
        </w:rPr>
        <w:t xml:space="preserve">de Nagoya </w:t>
      </w:r>
      <w:r w:rsidRPr="00663BEC">
        <w:rPr>
          <w:rFonts w:eastAsia="Times New Roman"/>
          <w:szCs w:val="24"/>
          <w:lang w:val="fr-FR"/>
        </w:rPr>
        <w:t>en tant que source d’information complémentaire, le cas échéant ;</w:t>
      </w:r>
    </w:p>
    <w:p w14:paraId="3D7E7953" w14:textId="12AD772E" w:rsidR="00663BEC" w:rsidRPr="00663BEC" w:rsidRDefault="00663BEC" w:rsidP="00FD0E1D">
      <w:pPr>
        <w:tabs>
          <w:tab w:val="clear" w:pos="567"/>
          <w:tab w:val="clear" w:pos="1134"/>
          <w:tab w:val="clear" w:pos="1701"/>
          <w:tab w:val="clear" w:pos="2268"/>
        </w:tabs>
        <w:spacing w:before="120" w:after="120"/>
        <w:ind w:left="567" w:firstLine="567"/>
        <w:rPr>
          <w:rFonts w:eastAsia="Times New Roman"/>
          <w:szCs w:val="24"/>
          <w:lang w:val="fr-FR"/>
        </w:rPr>
      </w:pPr>
      <w:r w:rsidRPr="00663BEC">
        <w:rPr>
          <w:rFonts w:eastAsia="Times New Roman"/>
          <w:szCs w:val="24"/>
          <w:lang w:val="fr-FR" w:bidi="fr-FR"/>
        </w:rPr>
        <w:t xml:space="preserve">8. </w:t>
      </w:r>
      <w:r w:rsidRPr="00663BEC">
        <w:rPr>
          <w:rFonts w:eastAsia="Times New Roman"/>
          <w:szCs w:val="24"/>
          <w:lang w:val="fr-FR" w:bidi="fr-FR"/>
        </w:rPr>
        <w:tab/>
      </w:r>
      <w:r w:rsidRPr="00663BEC">
        <w:rPr>
          <w:rFonts w:eastAsia="Times New Roman"/>
          <w:i/>
          <w:iCs/>
          <w:szCs w:val="24"/>
          <w:lang w:val="fr-FR" w:bidi="fr-FR"/>
        </w:rPr>
        <w:t>Prie</w:t>
      </w:r>
      <w:r w:rsidRPr="00663BEC">
        <w:rPr>
          <w:rFonts w:eastAsia="Times New Roman"/>
          <w:i/>
          <w:szCs w:val="24"/>
          <w:lang w:val="fr-FR" w:bidi="fr-FR"/>
        </w:rPr>
        <w:t xml:space="preserve"> </w:t>
      </w:r>
      <w:r w:rsidRPr="00663BEC">
        <w:rPr>
          <w:rFonts w:eastAsia="Times New Roman"/>
          <w:iCs/>
          <w:szCs w:val="24"/>
          <w:lang w:val="fr-FR" w:bidi="fr-FR"/>
        </w:rPr>
        <w:t xml:space="preserve">le </w:t>
      </w:r>
      <w:r w:rsidRPr="00663BEC">
        <w:rPr>
          <w:rFonts w:eastAsia="Times New Roman"/>
          <w:szCs w:val="24"/>
          <w:lang w:val="fr-FR" w:bidi="fr-FR"/>
        </w:rPr>
        <w:t>Comité consultatif informel sur le renforcement des capacités pour la mise en œuvre du Protocole de Nagoya</w:t>
      </w:r>
      <w:r w:rsidRPr="00663BEC">
        <w:rPr>
          <w:rFonts w:eastAsia="Times New Roman"/>
          <w:szCs w:val="24"/>
          <w:vertAlign w:val="superscript"/>
          <w:lang w:val="fr-FR" w:bidi="fr-FR"/>
        </w:rPr>
        <w:footnoteReference w:id="3"/>
      </w:r>
      <w:r w:rsidRPr="00663BEC">
        <w:rPr>
          <w:rFonts w:eastAsia="Times New Roman"/>
          <w:szCs w:val="24"/>
          <w:lang w:val="fr-FR" w:bidi="fr-FR"/>
        </w:rPr>
        <w:t xml:space="preserve"> et le Comité chargé du respect des dispositions du Protocole de Nagoya, travaillant en complémentarité et sans double emploi, de contribuer à la deuxième évaluation et au deuxième examen de l’efficacité du Protocole et de soumettre leurs conclusions à l’examen de l’Organe subsidiaire chargé de l’application lors de sa sixième réunion.</w:t>
      </w:r>
    </w:p>
    <w:p w14:paraId="5B7BA180" w14:textId="77777777" w:rsidR="001A74EB" w:rsidRDefault="00663BEC" w:rsidP="001A74EB">
      <w:pPr>
        <w:tabs>
          <w:tab w:val="clear" w:pos="567"/>
          <w:tab w:val="clear" w:pos="1134"/>
          <w:tab w:val="clear" w:pos="1701"/>
          <w:tab w:val="clear" w:pos="2268"/>
        </w:tabs>
        <w:spacing w:after="120"/>
        <w:ind w:left="567"/>
        <w:jc w:val="left"/>
        <w:rPr>
          <w:rFonts w:ascii="Times New Roman Bold" w:eastAsia="Malgun Gothic" w:hAnsi="Times New Roman Bold" w:hint="eastAsia"/>
          <w:sz w:val="24"/>
          <w:szCs w:val="24"/>
          <w:lang w:val="fr-FR"/>
        </w:rPr>
      </w:pPr>
      <w:r w:rsidRPr="00663BEC">
        <w:rPr>
          <w:rFonts w:ascii="Times New Roman Bold" w:eastAsia="Malgun Gothic" w:hAnsi="Times New Roman Bold"/>
          <w:sz w:val="24"/>
          <w:szCs w:val="24"/>
          <w:lang w:val="fr-FR" w:bidi="fr-FR"/>
        </w:rPr>
        <w:t>Annexe</w:t>
      </w:r>
    </w:p>
    <w:p w14:paraId="2302A623" w14:textId="79EB85DE" w:rsidR="00663BEC" w:rsidRPr="00663BEC" w:rsidRDefault="00663BEC" w:rsidP="001A74EB">
      <w:pPr>
        <w:tabs>
          <w:tab w:val="clear" w:pos="567"/>
          <w:tab w:val="clear" w:pos="1134"/>
          <w:tab w:val="clear" w:pos="1701"/>
          <w:tab w:val="clear" w:pos="2268"/>
        </w:tabs>
        <w:spacing w:before="120" w:after="120"/>
        <w:ind w:left="567"/>
        <w:jc w:val="left"/>
        <w:rPr>
          <w:rFonts w:ascii="Times New Roman Bold" w:eastAsia="Malgun Gothic" w:hAnsi="Times New Roman Bold" w:hint="eastAsia"/>
          <w:sz w:val="24"/>
          <w:szCs w:val="24"/>
          <w:lang w:val="fr-FR"/>
        </w:rPr>
      </w:pPr>
      <w:r w:rsidRPr="00663BEC">
        <w:rPr>
          <w:rFonts w:ascii="Times New Roman Bold" w:eastAsiaTheme="majorEastAsia" w:hAnsi="Times New Roman Bold"/>
          <w:bCs/>
          <w:spacing w:val="5"/>
          <w:kern w:val="28"/>
          <w:sz w:val="24"/>
          <w:szCs w:val="24"/>
          <w:lang w:val="fr-FR" w:bidi="fr-FR"/>
          <w14:ligatures w14:val="standardContextual"/>
        </w:rPr>
        <w:t>Éléments et sources d’information proposés pour la deuxième évaluation et le deuxième examen de l’efficacité du Protocole de Nagoya</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4482"/>
      </w:tblGrid>
      <w:tr w:rsidR="00663BEC" w:rsidRPr="00663BEC" w14:paraId="653CB53B" w14:textId="77777777" w:rsidTr="00837589">
        <w:trPr>
          <w:cantSplit/>
          <w:tblHeader/>
          <w:jc w:val="right"/>
        </w:trPr>
        <w:tc>
          <w:tcPr>
            <w:tcW w:w="4673" w:type="dxa"/>
            <w:tcBorders>
              <w:top w:val="single" w:sz="4" w:space="0" w:color="auto"/>
              <w:left w:val="single" w:sz="4" w:space="0" w:color="auto"/>
              <w:bottom w:val="single" w:sz="4" w:space="0" w:color="auto"/>
              <w:right w:val="single" w:sz="4" w:space="0" w:color="auto"/>
            </w:tcBorders>
            <w:hideMark/>
          </w:tcPr>
          <w:p w14:paraId="37AC52C6" w14:textId="77777777" w:rsidR="00663BEC" w:rsidRPr="00663BEC" w:rsidRDefault="00663BEC" w:rsidP="00663BEC">
            <w:pPr>
              <w:tabs>
                <w:tab w:val="clear" w:pos="567"/>
                <w:tab w:val="clear" w:pos="1134"/>
                <w:tab w:val="clear" w:pos="1701"/>
                <w:tab w:val="clear" w:pos="2268"/>
              </w:tabs>
              <w:spacing w:before="40" w:after="40"/>
              <w:ind w:left="40" w:right="40"/>
              <w:jc w:val="left"/>
              <w:rPr>
                <w:rFonts w:eastAsia="Times New Roman"/>
                <w:i/>
                <w:iCs/>
                <w:snapToGrid w:val="0"/>
                <w:kern w:val="22"/>
                <w:sz w:val="20"/>
                <w:szCs w:val="20"/>
                <w:lang w:val="fr-FR"/>
              </w:rPr>
            </w:pPr>
            <w:r w:rsidRPr="00663BEC">
              <w:rPr>
                <w:rFonts w:eastAsia="Times New Roman"/>
                <w:i/>
                <w:snapToGrid w:val="0"/>
                <w:kern w:val="22"/>
                <w:sz w:val="20"/>
                <w:szCs w:val="20"/>
                <w:lang w:val="fr-FR" w:bidi="fr-FR"/>
              </w:rPr>
              <w:t>Éléments</w:t>
            </w:r>
          </w:p>
        </w:tc>
        <w:tc>
          <w:tcPr>
            <w:tcW w:w="4482" w:type="dxa"/>
            <w:tcBorders>
              <w:top w:val="single" w:sz="4" w:space="0" w:color="auto"/>
              <w:left w:val="single" w:sz="4" w:space="0" w:color="auto"/>
              <w:bottom w:val="single" w:sz="4" w:space="0" w:color="auto"/>
              <w:right w:val="single" w:sz="4" w:space="0" w:color="auto"/>
            </w:tcBorders>
            <w:hideMark/>
          </w:tcPr>
          <w:p w14:paraId="68F04966" w14:textId="77777777" w:rsidR="00663BEC" w:rsidRPr="00663BEC" w:rsidRDefault="00663BEC" w:rsidP="00663BEC">
            <w:pPr>
              <w:tabs>
                <w:tab w:val="clear" w:pos="567"/>
                <w:tab w:val="clear" w:pos="1134"/>
                <w:tab w:val="clear" w:pos="1701"/>
                <w:tab w:val="clear" w:pos="2268"/>
              </w:tabs>
              <w:spacing w:before="40" w:after="40"/>
              <w:ind w:left="40" w:right="40"/>
              <w:jc w:val="left"/>
              <w:rPr>
                <w:rFonts w:eastAsia="Times New Roman"/>
                <w:i/>
                <w:iCs/>
                <w:snapToGrid w:val="0"/>
                <w:kern w:val="22"/>
                <w:sz w:val="20"/>
                <w:szCs w:val="20"/>
                <w:lang w:val="fr-FR"/>
              </w:rPr>
            </w:pPr>
            <w:r w:rsidRPr="00663BEC">
              <w:rPr>
                <w:rFonts w:eastAsia="Times New Roman"/>
                <w:i/>
                <w:snapToGrid w:val="0"/>
                <w:kern w:val="22"/>
                <w:sz w:val="20"/>
                <w:szCs w:val="20"/>
                <w:lang w:val="fr-FR" w:bidi="fr-FR"/>
              </w:rPr>
              <w:t>Sources d’informations</w:t>
            </w:r>
          </w:p>
        </w:tc>
      </w:tr>
      <w:tr w:rsidR="00663BEC" w:rsidRPr="00663BEC" w14:paraId="4ADA9FC7" w14:textId="77777777" w:rsidTr="00837589">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650176D7" w14:textId="77777777" w:rsidR="00663BEC" w:rsidRPr="00663BEC" w:rsidRDefault="00663BEC" w:rsidP="00663BEC">
            <w:pPr>
              <w:numPr>
                <w:ilvl w:val="0"/>
                <w:numId w:val="34"/>
              </w:num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Degré d’application des dispositions du Protocole de Nagoya et des obligations connexes des Parties, y compris l’évaluation des progrès accomplis par les Parties dans la mise en place de structures institutionnelles et des mesures d’accès et de partage des avantages en vue de l’application du Protocole (cela comprend les a</w:t>
            </w:r>
            <w:r w:rsidRPr="00663BEC">
              <w:rPr>
                <w:rFonts w:eastAsia="Times New Roman"/>
                <w:sz w:val="20"/>
                <w:szCs w:val="20"/>
                <w:lang w:val="fr-FR" w:eastAsia="ja-JP"/>
              </w:rPr>
              <w:t xml:space="preserve">rticles 4 à 8, 11 à 13, 15, 17 et </w:t>
            </w:r>
            <w:proofErr w:type="gramStart"/>
            <w:r w:rsidRPr="00663BEC">
              <w:rPr>
                <w:rFonts w:eastAsia="Times New Roman"/>
                <w:sz w:val="20"/>
                <w:szCs w:val="20"/>
                <w:lang w:val="fr-FR" w:eastAsia="ja-JP"/>
              </w:rPr>
              <w:t>21)</w:t>
            </w:r>
            <w:r w:rsidRPr="00663BEC">
              <w:rPr>
                <w:rFonts w:eastAsia="Times New Roman"/>
                <w:i/>
                <w:iCs/>
                <w:snapToGrid w:val="0"/>
                <w:kern w:val="22"/>
                <w:sz w:val="20"/>
                <w:szCs w:val="20"/>
                <w:vertAlign w:val="superscript"/>
                <w:lang w:val="fr-FR" w:eastAsia="ja-JP"/>
              </w:rPr>
              <w:t>b</w:t>
            </w:r>
            <w:proofErr w:type="gramEnd"/>
            <w:r w:rsidRPr="00663BEC">
              <w:rPr>
                <w:rFonts w:eastAsia="Times New Roman"/>
                <w:snapToGrid w:val="0"/>
                <w:kern w:val="22"/>
                <w:sz w:val="20"/>
                <w:szCs w:val="20"/>
                <w:lang w:val="fr-FR" w:eastAsia="ja-JP" w:bidi="fr-FR"/>
              </w:rPr>
              <w:t xml:space="preserve"> </w:t>
            </w:r>
          </w:p>
        </w:tc>
        <w:tc>
          <w:tcPr>
            <w:tcW w:w="4482" w:type="dxa"/>
            <w:tcBorders>
              <w:top w:val="single" w:sz="4" w:space="0" w:color="auto"/>
              <w:left w:val="single" w:sz="4" w:space="0" w:color="auto"/>
              <w:bottom w:val="single" w:sz="4" w:space="0" w:color="auto"/>
              <w:right w:val="single" w:sz="4" w:space="0" w:color="auto"/>
            </w:tcBorders>
            <w:hideMark/>
          </w:tcPr>
          <w:p w14:paraId="04391137"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 xml:space="preserve">Premiers rapports </w:t>
            </w:r>
            <w:proofErr w:type="spellStart"/>
            <w:r w:rsidRPr="00663BEC">
              <w:rPr>
                <w:rFonts w:eastAsia="Times New Roman"/>
                <w:snapToGrid w:val="0"/>
                <w:kern w:val="22"/>
                <w:sz w:val="20"/>
                <w:szCs w:val="20"/>
                <w:lang w:val="fr-FR" w:eastAsia="ja-JP" w:bidi="fr-FR"/>
              </w:rPr>
              <w:t>nationaux</w:t>
            </w:r>
            <w:r w:rsidRPr="00663BEC">
              <w:rPr>
                <w:rFonts w:eastAsia="Times New Roman"/>
                <w:i/>
                <w:snapToGrid w:val="0"/>
                <w:kern w:val="22"/>
                <w:sz w:val="20"/>
                <w:szCs w:val="20"/>
                <w:vertAlign w:val="superscript"/>
                <w:lang w:val="fr-FR" w:eastAsia="ja-JP" w:bidi="fr-FR"/>
              </w:rPr>
              <w:t>a</w:t>
            </w:r>
            <w:proofErr w:type="spellEnd"/>
          </w:p>
          <w:p w14:paraId="1C562F2B"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Centre d’échange sur l’accès et le partage des</w:t>
            </w:r>
          </w:p>
          <w:p w14:paraId="315C4356" w14:textId="77777777" w:rsidR="00663BEC" w:rsidRPr="00663BEC" w:rsidRDefault="00663BEC" w:rsidP="00663BEC">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 xml:space="preserve">      avantages</w:t>
            </w:r>
          </w:p>
          <w:p w14:paraId="3B90155B"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Rapports nationaux soumis au titre de la</w:t>
            </w:r>
          </w:p>
          <w:p w14:paraId="2190191B" w14:textId="77777777" w:rsidR="00663BEC" w:rsidRPr="00663BEC" w:rsidRDefault="00663BEC" w:rsidP="00663BEC">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 xml:space="preserve">      Convention</w:t>
            </w:r>
          </w:p>
          <w:p w14:paraId="301FDA81"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Stratégies et plans d’action nationaux pour</w:t>
            </w:r>
          </w:p>
          <w:p w14:paraId="510E5B75" w14:textId="77777777" w:rsidR="00663BEC" w:rsidRPr="00663BEC" w:rsidRDefault="00663BEC" w:rsidP="00663BEC">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 xml:space="preserve">      la diversité biologique</w:t>
            </w:r>
          </w:p>
          <w:p w14:paraId="2ED7741E"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 xml:space="preserve">Enquête </w:t>
            </w:r>
            <w:proofErr w:type="spellStart"/>
            <w:r w:rsidRPr="00663BEC">
              <w:rPr>
                <w:rFonts w:eastAsia="Times New Roman"/>
                <w:snapToGrid w:val="0"/>
                <w:kern w:val="22"/>
                <w:sz w:val="20"/>
                <w:szCs w:val="20"/>
                <w:lang w:val="fr-FR" w:eastAsia="ja-JP" w:bidi="fr-FR"/>
              </w:rPr>
              <w:t>ciblée</w:t>
            </w:r>
            <w:r w:rsidRPr="00663BEC">
              <w:rPr>
                <w:rFonts w:eastAsia="Times New Roman"/>
                <w:i/>
                <w:iCs/>
                <w:snapToGrid w:val="0"/>
                <w:kern w:val="22"/>
                <w:sz w:val="20"/>
                <w:szCs w:val="20"/>
                <w:vertAlign w:val="superscript"/>
                <w:lang w:val="fr-FR" w:eastAsia="ja-JP"/>
              </w:rPr>
              <w:t>c</w:t>
            </w:r>
            <w:proofErr w:type="spellEnd"/>
          </w:p>
          <w:p w14:paraId="1A8E69DC"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rPr>
              <w:t xml:space="preserve">Documents pertinents sur la coopération avec </w:t>
            </w:r>
          </w:p>
          <w:p w14:paraId="647FD0EC" w14:textId="77777777" w:rsidR="00663BEC" w:rsidRPr="00663BEC" w:rsidRDefault="00663BEC" w:rsidP="00663BEC">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rPr>
              <w:t xml:space="preserve">      d’autres conventions, organisations</w:t>
            </w:r>
          </w:p>
          <w:p w14:paraId="167EC9D3" w14:textId="77777777" w:rsidR="00663BEC" w:rsidRPr="00663BEC" w:rsidRDefault="00663BEC" w:rsidP="00663BEC">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rPr>
              <w:t xml:space="preserve">      internationales et initiatives soumis à la</w:t>
            </w:r>
          </w:p>
          <w:p w14:paraId="19116032" w14:textId="77777777" w:rsidR="00663BEC" w:rsidRPr="00663BEC" w:rsidRDefault="00663BEC" w:rsidP="00663BEC">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rPr>
              <w:t xml:space="preserve">      Conférence des Parties siégeant en tant que</w:t>
            </w:r>
          </w:p>
          <w:p w14:paraId="4AA42F03" w14:textId="6E59DD58" w:rsidR="00663BEC" w:rsidRPr="00663BEC" w:rsidRDefault="00663BEC" w:rsidP="00663BEC">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rPr>
              <w:t xml:space="preserve">      réunion des Parties au Protocole </w:t>
            </w:r>
            <w:r w:rsidR="001A4E66">
              <w:rPr>
                <w:rFonts w:eastAsia="Times New Roman"/>
                <w:snapToGrid w:val="0"/>
                <w:kern w:val="22"/>
                <w:sz w:val="20"/>
                <w:szCs w:val="20"/>
                <w:lang w:val="fr-FR" w:eastAsia="ja-JP"/>
              </w:rPr>
              <w:t>de Nagoya</w:t>
            </w:r>
          </w:p>
          <w:p w14:paraId="17AC5F8F" w14:textId="77777777" w:rsidR="00663BEC" w:rsidRPr="00663BEC" w:rsidRDefault="00663BEC" w:rsidP="00663BEC">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val="fr-FR" w:eastAsia="ja-JP"/>
              </w:rPr>
            </w:pPr>
          </w:p>
        </w:tc>
      </w:tr>
      <w:tr w:rsidR="00663BEC" w:rsidRPr="00663BEC" w14:paraId="1A62FD30" w14:textId="77777777" w:rsidTr="00837589">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4030834A" w14:textId="77777777" w:rsidR="00663BEC" w:rsidRPr="00663BEC" w:rsidRDefault="00663BEC" w:rsidP="00663BEC">
            <w:pPr>
              <w:numPr>
                <w:ilvl w:val="0"/>
                <w:numId w:val="34"/>
              </w:num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Évaluation de l’efficacité (cela comprend l’article 9)</w:t>
            </w:r>
          </w:p>
        </w:tc>
        <w:tc>
          <w:tcPr>
            <w:tcW w:w="4482" w:type="dxa"/>
            <w:tcBorders>
              <w:top w:val="single" w:sz="4" w:space="0" w:color="auto"/>
              <w:left w:val="single" w:sz="4" w:space="0" w:color="auto"/>
              <w:bottom w:val="single" w:sz="4" w:space="0" w:color="auto"/>
              <w:right w:val="single" w:sz="4" w:space="0" w:color="auto"/>
            </w:tcBorders>
            <w:hideMark/>
          </w:tcPr>
          <w:p w14:paraId="20297A3D" w14:textId="77777777" w:rsidR="00663BEC" w:rsidRPr="00663BEC" w:rsidRDefault="00663BEC" w:rsidP="00663BEC">
            <w:pPr>
              <w:numPr>
                <w:ilvl w:val="0"/>
                <w:numId w:val="33"/>
              </w:numPr>
              <w:tabs>
                <w:tab w:val="clear" w:pos="567"/>
                <w:tab w:val="clear" w:pos="1134"/>
                <w:tab w:val="clear" w:pos="1701"/>
                <w:tab w:val="clear" w:pos="2268"/>
                <w:tab w:val="left" w:pos="310"/>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Premiers rapports nationaux (questions 10, 12, 19, 30 à 32 et 43 à 45 du format)</w:t>
            </w:r>
          </w:p>
          <w:p w14:paraId="72432D28" w14:textId="77777777" w:rsidR="00663BEC" w:rsidRPr="00663BEC" w:rsidRDefault="00663BEC" w:rsidP="00663BEC">
            <w:pPr>
              <w:numPr>
                <w:ilvl w:val="0"/>
                <w:numId w:val="33"/>
              </w:numPr>
              <w:tabs>
                <w:tab w:val="clear" w:pos="567"/>
                <w:tab w:val="clear" w:pos="1134"/>
                <w:tab w:val="clear" w:pos="1701"/>
                <w:tab w:val="clear" w:pos="2268"/>
                <w:tab w:val="left" w:pos="310"/>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Centre d’échange sur l’accès et le partage des avantages</w:t>
            </w:r>
          </w:p>
          <w:p w14:paraId="16283DD0" w14:textId="77777777" w:rsidR="00663BEC" w:rsidRPr="00663BEC" w:rsidRDefault="00663BEC" w:rsidP="00663BEC">
            <w:pPr>
              <w:numPr>
                <w:ilvl w:val="0"/>
                <w:numId w:val="33"/>
              </w:numPr>
              <w:tabs>
                <w:tab w:val="clear" w:pos="567"/>
                <w:tab w:val="clear" w:pos="1134"/>
                <w:tab w:val="clear" w:pos="1701"/>
                <w:tab w:val="clear" w:pos="2268"/>
                <w:tab w:val="left" w:pos="310"/>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Enquête ciblée</w:t>
            </w:r>
          </w:p>
          <w:p w14:paraId="20D805CB" w14:textId="77777777" w:rsidR="00663BEC" w:rsidRPr="00663BEC" w:rsidRDefault="00663BEC" w:rsidP="00663BEC">
            <w:pPr>
              <w:numPr>
                <w:ilvl w:val="0"/>
                <w:numId w:val="33"/>
              </w:numPr>
              <w:tabs>
                <w:tab w:val="clear" w:pos="567"/>
                <w:tab w:val="clear" w:pos="1134"/>
                <w:tab w:val="clear" w:pos="1701"/>
                <w:tab w:val="clear" w:pos="2268"/>
                <w:tab w:val="left" w:pos="310"/>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rPr>
              <w:t>Rapports nationaux présentés au titre de la Convention, en lien avec l’objectif C et la cible 13 du Cadre mondial de la biodiversité de Kunming-</w:t>
            </w:r>
            <w:proofErr w:type="spellStart"/>
            <w:r w:rsidRPr="00663BEC">
              <w:rPr>
                <w:rFonts w:eastAsia="Times New Roman"/>
                <w:snapToGrid w:val="0"/>
                <w:kern w:val="22"/>
                <w:sz w:val="20"/>
                <w:szCs w:val="20"/>
                <w:lang w:val="fr-FR" w:eastAsia="ja-JP"/>
              </w:rPr>
              <w:t>Montréal</w:t>
            </w:r>
            <w:r w:rsidRPr="00663BEC">
              <w:rPr>
                <w:rFonts w:eastAsia="Times New Roman"/>
                <w:i/>
                <w:snapToGrid w:val="0"/>
                <w:kern w:val="22"/>
                <w:sz w:val="20"/>
                <w:szCs w:val="20"/>
                <w:vertAlign w:val="superscript"/>
                <w:lang w:val="fr-FR" w:eastAsia="ja-JP"/>
              </w:rPr>
              <w:t>d</w:t>
            </w:r>
            <w:proofErr w:type="spellEnd"/>
          </w:p>
        </w:tc>
      </w:tr>
      <w:tr w:rsidR="00663BEC" w:rsidRPr="00663BEC" w14:paraId="7794126C" w14:textId="77777777" w:rsidTr="00837589">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6297D601" w14:textId="77777777" w:rsidR="00663BEC" w:rsidRPr="00663BEC" w:rsidRDefault="00663BEC" w:rsidP="00663BEC">
            <w:pPr>
              <w:numPr>
                <w:ilvl w:val="0"/>
                <w:numId w:val="34"/>
              </w:num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Évaluation de l’appui disponible pour la mise en œuvre (articles 22 et 25)</w:t>
            </w:r>
          </w:p>
        </w:tc>
        <w:tc>
          <w:tcPr>
            <w:tcW w:w="4482" w:type="dxa"/>
            <w:tcBorders>
              <w:top w:val="single" w:sz="4" w:space="0" w:color="auto"/>
              <w:left w:val="single" w:sz="4" w:space="0" w:color="auto"/>
              <w:bottom w:val="single" w:sz="4" w:space="0" w:color="auto"/>
              <w:right w:val="single" w:sz="4" w:space="0" w:color="auto"/>
            </w:tcBorders>
            <w:hideMark/>
          </w:tcPr>
          <w:p w14:paraId="75F9CDB6"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Premiers rapports nationaux (questions 54, 55 et 59 à 64)</w:t>
            </w:r>
          </w:p>
          <w:p w14:paraId="0B55A7CC"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Centre d’échange sur l’accès et le partage des avantages</w:t>
            </w:r>
          </w:p>
          <w:p w14:paraId="7012E724"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Informations sur le renforcement des capacités et les ressources</w:t>
            </w:r>
          </w:p>
          <w:p w14:paraId="203A4C76"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Enquête ciblée</w:t>
            </w:r>
          </w:p>
        </w:tc>
      </w:tr>
      <w:tr w:rsidR="00663BEC" w:rsidRPr="00663BEC" w14:paraId="4F6AA737" w14:textId="77777777" w:rsidTr="00837589">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0693A4FC" w14:textId="77777777" w:rsidR="00663BEC" w:rsidRPr="00663BEC" w:rsidRDefault="00663BEC" w:rsidP="00663BEC">
            <w:pPr>
              <w:numPr>
                <w:ilvl w:val="0"/>
                <w:numId w:val="34"/>
              </w:num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Évaluation de l’efficacité de l’article 18 (étendue de la mise en œuvre)</w:t>
            </w:r>
          </w:p>
        </w:tc>
        <w:tc>
          <w:tcPr>
            <w:tcW w:w="4482" w:type="dxa"/>
            <w:tcBorders>
              <w:top w:val="single" w:sz="4" w:space="0" w:color="auto"/>
              <w:left w:val="single" w:sz="4" w:space="0" w:color="auto"/>
              <w:bottom w:val="single" w:sz="4" w:space="0" w:color="auto"/>
              <w:right w:val="single" w:sz="4" w:space="0" w:color="auto"/>
            </w:tcBorders>
            <w:hideMark/>
          </w:tcPr>
          <w:p w14:paraId="692D12D0" w14:textId="77777777" w:rsidR="00663BEC" w:rsidRPr="00663BEC" w:rsidRDefault="00663BEC" w:rsidP="00663BEC">
            <w:pPr>
              <w:numPr>
                <w:ilvl w:val="0"/>
                <w:numId w:val="33"/>
              </w:numPr>
              <w:tabs>
                <w:tab w:val="clear" w:pos="567"/>
                <w:tab w:val="clear" w:pos="1134"/>
                <w:tab w:val="clear" w:pos="1701"/>
                <w:tab w:val="clear" w:pos="2268"/>
                <w:tab w:val="left" w:pos="310"/>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Premiers rapports nationaux (questions 25 à 28)</w:t>
            </w:r>
          </w:p>
          <w:p w14:paraId="0137A968"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Enquête ciblée</w:t>
            </w:r>
          </w:p>
        </w:tc>
      </w:tr>
      <w:tr w:rsidR="00663BEC" w:rsidRPr="00663BEC" w14:paraId="74CF552A" w14:textId="77777777" w:rsidTr="00837589">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499DB7CE" w14:textId="77777777" w:rsidR="00663BEC" w:rsidRPr="00663BEC" w:rsidRDefault="00663BEC" w:rsidP="00663BEC">
            <w:pPr>
              <w:numPr>
                <w:ilvl w:val="0"/>
                <w:numId w:val="34"/>
              </w:num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lastRenderedPageBreak/>
              <w:t xml:space="preserve">Évaluation de l’application de l’article 16 à la lumière des faits nouveaux intervenus dans d’autres organisations internationales pertinentes, y compris l’Organisation mondiale de la propriété intellectuelle </w:t>
            </w:r>
          </w:p>
        </w:tc>
        <w:tc>
          <w:tcPr>
            <w:tcW w:w="4482" w:type="dxa"/>
            <w:tcBorders>
              <w:top w:val="single" w:sz="4" w:space="0" w:color="auto"/>
              <w:left w:val="single" w:sz="4" w:space="0" w:color="auto"/>
              <w:bottom w:val="single" w:sz="4" w:space="0" w:color="auto"/>
              <w:right w:val="single" w:sz="4" w:space="0" w:color="auto"/>
            </w:tcBorders>
            <w:hideMark/>
          </w:tcPr>
          <w:p w14:paraId="42A14270"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Premiers rapports nationaux (question 20)</w:t>
            </w:r>
          </w:p>
          <w:p w14:paraId="3F7E8C0B"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Rapports, entre autres, du Comité intergouvernemental sur la propriété intellectuelle et les ressources génétiques, les savoirs traditionnels et le folklore de l’Organisation mondiale de la propriété intellectuelle</w:t>
            </w:r>
          </w:p>
        </w:tc>
      </w:tr>
      <w:tr w:rsidR="00663BEC" w:rsidRPr="00663BEC" w14:paraId="61F82FA6" w14:textId="77777777" w:rsidTr="00837589">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51031DEC" w14:textId="77777777" w:rsidR="00663BEC" w:rsidRPr="00663BEC" w:rsidRDefault="00663BEC" w:rsidP="00663BEC">
            <w:pPr>
              <w:numPr>
                <w:ilvl w:val="0"/>
                <w:numId w:val="34"/>
              </w:num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Bilan de l’utilisation des clauses contractuelles types, des codes de conduite, des lignes directrices, des pratiques exemplaires et des normes, du droit coutumier ainsi que des protocoles et des procédures communautaires des peuples autochtones et des communautés locales (articles 12, 19 et 20)</w:t>
            </w:r>
          </w:p>
        </w:tc>
        <w:tc>
          <w:tcPr>
            <w:tcW w:w="4482" w:type="dxa"/>
            <w:tcBorders>
              <w:top w:val="single" w:sz="4" w:space="0" w:color="auto"/>
              <w:left w:val="single" w:sz="4" w:space="0" w:color="auto"/>
              <w:bottom w:val="single" w:sz="4" w:space="0" w:color="auto"/>
              <w:right w:val="single" w:sz="4" w:space="0" w:color="auto"/>
            </w:tcBorders>
            <w:hideMark/>
          </w:tcPr>
          <w:p w14:paraId="7F9FD5B3"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9" w:right="40" w:hanging="283"/>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Premiers rapports nationaux (questions 39, 50 et 51)</w:t>
            </w:r>
          </w:p>
          <w:p w14:paraId="31D6349B"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9" w:right="40" w:hanging="285"/>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Centre d’échange sur l’accès et le partage des avantages</w:t>
            </w:r>
          </w:p>
          <w:p w14:paraId="01ACEC77"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Enquête ciblée</w:t>
            </w:r>
          </w:p>
        </w:tc>
      </w:tr>
      <w:tr w:rsidR="00663BEC" w:rsidRPr="00663BEC" w14:paraId="2EFDE47C" w14:textId="77777777" w:rsidTr="00837589">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0948E9C6" w14:textId="77777777" w:rsidR="00663BEC" w:rsidRPr="00663BEC" w:rsidRDefault="00663BEC" w:rsidP="00663BEC">
            <w:pPr>
              <w:numPr>
                <w:ilvl w:val="0"/>
                <w:numId w:val="34"/>
              </w:num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 xml:space="preserve">Examen de la mise en œuvre et du fonctionnement du Centre d’échange sur l’accès et le partage des avantages, et notamment du nombre de mesures d’accès et de partage des avantages mises à disposition, du nombre de pays ayant publié des informations sur leurs autorités nationales compétentes, du nombre de certificats de conformité internationalement reconnus qui ont été publiés et du nombre de communiqués publiés aux points de contrôle (article 14) </w:t>
            </w:r>
          </w:p>
        </w:tc>
        <w:tc>
          <w:tcPr>
            <w:tcW w:w="4482" w:type="dxa"/>
            <w:tcBorders>
              <w:top w:val="single" w:sz="4" w:space="0" w:color="auto"/>
              <w:left w:val="single" w:sz="4" w:space="0" w:color="auto"/>
              <w:bottom w:val="single" w:sz="4" w:space="0" w:color="auto"/>
              <w:right w:val="single" w:sz="4" w:space="0" w:color="auto"/>
            </w:tcBorders>
            <w:hideMark/>
          </w:tcPr>
          <w:p w14:paraId="4D3CFBB7"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Premiers rapports nationaux (questions 4, 5, 7, 12, 13 et 21)</w:t>
            </w:r>
          </w:p>
          <w:p w14:paraId="37916A75"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Centre d’échange sur l’accès et le partage des avantages</w:t>
            </w:r>
          </w:p>
          <w:p w14:paraId="60ADCF36"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Rapports des réunions relatives au Centre d’échange sur l’accès et le partage des avantages</w:t>
            </w:r>
          </w:p>
          <w:p w14:paraId="06F33A1D"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 xml:space="preserve">Enquête ciblée </w:t>
            </w:r>
          </w:p>
          <w:p w14:paraId="3C0928CD"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 xml:space="preserve">Statistiques sur la fréquentation du site Web du Centre d’échange sur l’accès et le partage des </w:t>
            </w:r>
            <w:proofErr w:type="spellStart"/>
            <w:r w:rsidRPr="00663BEC">
              <w:rPr>
                <w:rFonts w:eastAsia="Times New Roman"/>
                <w:snapToGrid w:val="0"/>
                <w:kern w:val="22"/>
                <w:sz w:val="20"/>
                <w:szCs w:val="20"/>
                <w:lang w:val="fr-FR" w:eastAsia="ja-JP" w:bidi="fr-FR"/>
              </w:rPr>
              <w:t>avantages</w:t>
            </w:r>
            <w:r w:rsidRPr="00663BEC">
              <w:rPr>
                <w:rFonts w:eastAsia="Times New Roman"/>
                <w:i/>
                <w:snapToGrid w:val="0"/>
                <w:kern w:val="22"/>
                <w:sz w:val="20"/>
                <w:szCs w:val="20"/>
                <w:vertAlign w:val="superscript"/>
                <w:lang w:val="fr-FR" w:eastAsia="ja-JP" w:bidi="fr-FR"/>
              </w:rPr>
              <w:t>e</w:t>
            </w:r>
            <w:proofErr w:type="spellEnd"/>
          </w:p>
          <w:p w14:paraId="466F1824" w14:textId="77777777" w:rsidR="00663BEC" w:rsidRPr="00663BEC" w:rsidRDefault="00663BEC" w:rsidP="00663BEC">
            <w:pPr>
              <w:tabs>
                <w:tab w:val="clear" w:pos="567"/>
                <w:tab w:val="clear" w:pos="1134"/>
                <w:tab w:val="clear" w:pos="1701"/>
                <w:tab w:val="clear" w:pos="2268"/>
                <w:tab w:val="left" w:pos="329"/>
              </w:tabs>
              <w:spacing w:before="40" w:after="40"/>
              <w:ind w:left="34" w:right="40"/>
              <w:rPr>
                <w:rFonts w:eastAsia="Times New Roman"/>
                <w:snapToGrid w:val="0"/>
                <w:kern w:val="22"/>
                <w:sz w:val="20"/>
                <w:szCs w:val="20"/>
                <w:lang w:val="fr-FR"/>
              </w:rPr>
            </w:pPr>
          </w:p>
        </w:tc>
      </w:tr>
      <w:tr w:rsidR="00663BEC" w:rsidRPr="00663BEC" w14:paraId="28547CC8" w14:textId="77777777" w:rsidTr="00837589">
        <w:trPr>
          <w:cantSplit/>
          <w:jc w:val="right"/>
        </w:trPr>
        <w:tc>
          <w:tcPr>
            <w:tcW w:w="4673" w:type="dxa"/>
            <w:tcBorders>
              <w:top w:val="single" w:sz="4" w:space="0" w:color="auto"/>
              <w:left w:val="single" w:sz="4" w:space="0" w:color="auto"/>
              <w:bottom w:val="single" w:sz="4" w:space="0" w:color="auto"/>
              <w:right w:val="single" w:sz="4" w:space="0" w:color="auto"/>
            </w:tcBorders>
          </w:tcPr>
          <w:p w14:paraId="5D3346DB" w14:textId="77777777" w:rsidR="00663BEC" w:rsidRPr="00663BEC" w:rsidRDefault="00663BEC" w:rsidP="00663BEC">
            <w:pPr>
              <w:numPr>
                <w:ilvl w:val="0"/>
                <w:numId w:val="34"/>
              </w:num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Progression de la mise en œuvre de l’article 10, relatif à un mécanisme multilatéral mondial de partage des avantages</w:t>
            </w:r>
          </w:p>
        </w:tc>
        <w:tc>
          <w:tcPr>
            <w:tcW w:w="4482" w:type="dxa"/>
            <w:tcBorders>
              <w:top w:val="single" w:sz="4" w:space="0" w:color="auto"/>
              <w:left w:val="single" w:sz="4" w:space="0" w:color="auto"/>
              <w:bottom w:val="single" w:sz="4" w:space="0" w:color="auto"/>
              <w:right w:val="single" w:sz="4" w:space="0" w:color="auto"/>
            </w:tcBorders>
          </w:tcPr>
          <w:p w14:paraId="13322949" w14:textId="192423A0" w:rsidR="00663BEC" w:rsidRPr="00663BEC" w:rsidRDefault="00663BEC" w:rsidP="00663BEC">
            <w:pPr>
              <w:numPr>
                <w:ilvl w:val="0"/>
                <w:numId w:val="35"/>
              </w:numPr>
              <w:tabs>
                <w:tab w:val="clear" w:pos="567"/>
                <w:tab w:val="clear" w:pos="1134"/>
                <w:tab w:val="clear" w:pos="1701"/>
                <w:tab w:val="clear" w:pos="2268"/>
              </w:tabs>
              <w:spacing w:before="40" w:after="40"/>
              <w:ind w:left="385" w:right="40" w:hanging="357"/>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Documents pertinents préparés pour examen par la Conférence des Parties siégeant en tant que réunion des Parties au Protocole</w:t>
            </w:r>
            <w:r w:rsidR="001A4E66">
              <w:rPr>
                <w:rFonts w:eastAsia="Times New Roman"/>
                <w:snapToGrid w:val="0"/>
                <w:kern w:val="22"/>
                <w:sz w:val="20"/>
                <w:szCs w:val="20"/>
                <w:lang w:val="fr-FR" w:eastAsia="ja-JP" w:bidi="fr-FR"/>
              </w:rPr>
              <w:t xml:space="preserve"> de Nagoya</w:t>
            </w:r>
          </w:p>
          <w:p w14:paraId="06669450" w14:textId="77777777" w:rsidR="00663BEC" w:rsidRPr="00663BEC" w:rsidRDefault="00663BEC" w:rsidP="00663BEC">
            <w:pPr>
              <w:tabs>
                <w:tab w:val="clear" w:pos="567"/>
                <w:tab w:val="clear" w:pos="1134"/>
                <w:tab w:val="clear" w:pos="1701"/>
                <w:tab w:val="clear" w:pos="2268"/>
              </w:tabs>
              <w:spacing w:before="40" w:after="40"/>
              <w:ind w:left="40" w:right="40"/>
              <w:jc w:val="left"/>
              <w:rPr>
                <w:rFonts w:eastAsia="Times New Roman"/>
                <w:snapToGrid w:val="0"/>
                <w:kern w:val="22"/>
                <w:sz w:val="20"/>
                <w:szCs w:val="20"/>
                <w:lang w:val="fr-FR"/>
              </w:rPr>
            </w:pPr>
          </w:p>
        </w:tc>
      </w:tr>
      <w:tr w:rsidR="00663BEC" w:rsidRPr="00663BEC" w14:paraId="14DDF079" w14:textId="77777777" w:rsidTr="00837589">
        <w:trPr>
          <w:cantSplit/>
          <w:jc w:val="right"/>
        </w:trPr>
        <w:tc>
          <w:tcPr>
            <w:tcW w:w="4673" w:type="dxa"/>
            <w:tcBorders>
              <w:top w:val="single" w:sz="4" w:space="0" w:color="auto"/>
              <w:left w:val="single" w:sz="4" w:space="0" w:color="auto"/>
              <w:bottom w:val="single" w:sz="4" w:space="0" w:color="auto"/>
              <w:right w:val="single" w:sz="4" w:space="0" w:color="auto"/>
            </w:tcBorders>
          </w:tcPr>
          <w:p w14:paraId="4C43D594" w14:textId="77777777" w:rsidR="00663BEC" w:rsidRPr="00663BEC" w:rsidRDefault="00663BEC" w:rsidP="00663BEC">
            <w:pPr>
              <w:numPr>
                <w:ilvl w:val="0"/>
                <w:numId w:val="34"/>
              </w:num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Progrès accomplis en ce qui concerne l’article 23, relatif au transfert de technologie, à la collaboration et à la coopération.</w:t>
            </w:r>
          </w:p>
        </w:tc>
        <w:tc>
          <w:tcPr>
            <w:tcW w:w="4482" w:type="dxa"/>
            <w:tcBorders>
              <w:top w:val="single" w:sz="4" w:space="0" w:color="auto"/>
              <w:left w:val="single" w:sz="4" w:space="0" w:color="auto"/>
              <w:bottom w:val="single" w:sz="4" w:space="0" w:color="auto"/>
              <w:right w:val="single" w:sz="4" w:space="0" w:color="auto"/>
            </w:tcBorders>
          </w:tcPr>
          <w:p w14:paraId="61656F32"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Premiers rapports nationaux (question 57)</w:t>
            </w:r>
          </w:p>
          <w:p w14:paraId="0B67C89A"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Enquête ciblée</w:t>
            </w:r>
          </w:p>
          <w:p w14:paraId="278783F4" w14:textId="77777777" w:rsidR="00663BEC" w:rsidRPr="00663BEC" w:rsidRDefault="00663BEC" w:rsidP="00663BEC">
            <w:pPr>
              <w:tabs>
                <w:tab w:val="clear" w:pos="567"/>
                <w:tab w:val="clear" w:pos="1134"/>
                <w:tab w:val="clear" w:pos="1701"/>
                <w:tab w:val="clear" w:pos="2268"/>
                <w:tab w:val="left" w:pos="329"/>
              </w:tabs>
              <w:spacing w:before="40" w:after="40"/>
              <w:ind w:left="34" w:right="40"/>
              <w:rPr>
                <w:rFonts w:eastAsia="Times New Roman"/>
                <w:snapToGrid w:val="0"/>
                <w:kern w:val="22"/>
                <w:sz w:val="20"/>
                <w:szCs w:val="20"/>
                <w:lang w:val="fr-FR"/>
              </w:rPr>
            </w:pPr>
          </w:p>
        </w:tc>
      </w:tr>
      <w:tr w:rsidR="00663BEC" w:rsidRPr="00663BEC" w14:paraId="41E6541D" w14:textId="77777777" w:rsidTr="00837589">
        <w:trPr>
          <w:cantSplit/>
          <w:jc w:val="right"/>
        </w:trPr>
        <w:tc>
          <w:tcPr>
            <w:tcW w:w="4673" w:type="dxa"/>
            <w:tcBorders>
              <w:top w:val="single" w:sz="4" w:space="0" w:color="auto"/>
              <w:left w:val="single" w:sz="4" w:space="0" w:color="auto"/>
              <w:bottom w:val="single" w:sz="4" w:space="0" w:color="auto"/>
              <w:right w:val="single" w:sz="4" w:space="0" w:color="auto"/>
            </w:tcBorders>
          </w:tcPr>
          <w:p w14:paraId="215F1AB7" w14:textId="77777777" w:rsidR="00663BEC" w:rsidRPr="00663BEC" w:rsidRDefault="00663BEC" w:rsidP="00663BEC">
            <w:pPr>
              <w:numPr>
                <w:ilvl w:val="0"/>
                <w:numId w:val="34"/>
              </w:num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 xml:space="preserve">Examen préliminaire des procédures et mécanismes de conformité (voir l’annexe à la </w:t>
            </w:r>
            <w:hyperlink r:id="rId15" w:history="1">
              <w:r w:rsidRPr="00663BEC">
                <w:rPr>
                  <w:rFonts w:eastAsia="Times New Roman"/>
                  <w:snapToGrid w:val="0"/>
                  <w:kern w:val="22"/>
                  <w:sz w:val="20"/>
                  <w:szCs w:val="20"/>
                  <w:lang w:val="fr-FR" w:eastAsia="ja-JP" w:bidi="fr-FR"/>
                </w:rPr>
                <w:t>décision NP-1/4</w:t>
              </w:r>
            </w:hyperlink>
            <w:r w:rsidRPr="00663BEC">
              <w:rPr>
                <w:rFonts w:eastAsia="Times New Roman"/>
                <w:snapToGrid w:val="0"/>
                <w:kern w:val="22"/>
                <w:sz w:val="20"/>
                <w:szCs w:val="20"/>
                <w:lang w:val="fr-FR" w:eastAsia="ja-JP" w:bidi="fr-FR"/>
              </w:rPr>
              <w:t>) (article 30)</w:t>
            </w:r>
          </w:p>
        </w:tc>
        <w:tc>
          <w:tcPr>
            <w:tcW w:w="4482" w:type="dxa"/>
            <w:tcBorders>
              <w:top w:val="single" w:sz="4" w:space="0" w:color="auto"/>
              <w:left w:val="single" w:sz="4" w:space="0" w:color="auto"/>
              <w:bottom w:val="single" w:sz="4" w:space="0" w:color="auto"/>
              <w:right w:val="single" w:sz="4" w:space="0" w:color="auto"/>
            </w:tcBorders>
          </w:tcPr>
          <w:p w14:paraId="5890A044"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Soumission des points de vue</w:t>
            </w:r>
          </w:p>
          <w:p w14:paraId="3F613CFA"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9" w:right="40" w:hanging="285"/>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Rapport du Comité chargé du respect des dispositions</w:t>
            </w:r>
          </w:p>
          <w:p w14:paraId="106D085B" w14:textId="77777777" w:rsidR="00663BEC" w:rsidRPr="00663BEC" w:rsidRDefault="00663BEC" w:rsidP="00663BEC">
            <w:pPr>
              <w:tabs>
                <w:tab w:val="clear" w:pos="567"/>
                <w:tab w:val="clear" w:pos="1134"/>
                <w:tab w:val="clear" w:pos="1701"/>
                <w:tab w:val="clear" w:pos="2268"/>
                <w:tab w:val="left" w:pos="329"/>
              </w:tabs>
              <w:spacing w:before="40" w:after="40"/>
              <w:ind w:left="34" w:right="40"/>
              <w:rPr>
                <w:rFonts w:eastAsia="Times New Roman"/>
                <w:snapToGrid w:val="0"/>
                <w:kern w:val="22"/>
                <w:sz w:val="20"/>
                <w:szCs w:val="20"/>
                <w:lang w:val="fr-FR"/>
              </w:rPr>
            </w:pPr>
          </w:p>
        </w:tc>
      </w:tr>
    </w:tbl>
    <w:p w14:paraId="3C35BA32" w14:textId="77777777" w:rsidR="00663BEC" w:rsidRPr="00663BEC" w:rsidRDefault="00663BEC" w:rsidP="00F63F1C">
      <w:pPr>
        <w:suppressLineNumbers/>
        <w:tabs>
          <w:tab w:val="clear" w:pos="567"/>
          <w:tab w:val="clear" w:pos="1134"/>
          <w:tab w:val="clear" w:pos="1701"/>
          <w:tab w:val="clear" w:pos="2268"/>
          <w:tab w:val="left" w:pos="360"/>
        </w:tabs>
        <w:suppressAutoHyphens/>
        <w:kinsoku w:val="0"/>
        <w:overflowPunct w:val="0"/>
        <w:autoSpaceDE w:val="0"/>
        <w:autoSpaceDN w:val="0"/>
        <w:adjustRightInd w:val="0"/>
        <w:snapToGrid w:val="0"/>
        <w:spacing w:before="120" w:after="120"/>
        <w:ind w:left="567"/>
        <w:rPr>
          <w:rFonts w:eastAsia="Malgun Gothic"/>
          <w:kern w:val="22"/>
          <w:sz w:val="18"/>
          <w:szCs w:val="18"/>
          <w:lang w:val="fr-FR"/>
        </w:rPr>
      </w:pPr>
      <w:bookmarkStart w:id="5" w:name="_Hlk163825083"/>
      <w:r w:rsidRPr="00663BEC">
        <w:rPr>
          <w:rFonts w:eastAsia="Malgun Gothic"/>
          <w:i/>
          <w:iCs/>
          <w:kern w:val="22"/>
          <w:sz w:val="18"/>
          <w:szCs w:val="18"/>
          <w:vertAlign w:val="superscript"/>
          <w:lang w:val="fr-FR"/>
        </w:rPr>
        <w:t>a</w:t>
      </w:r>
      <w:r w:rsidRPr="00663BEC">
        <w:rPr>
          <w:rFonts w:eastAsia="Malgun Gothic"/>
          <w:kern w:val="22"/>
          <w:sz w:val="18"/>
          <w:szCs w:val="18"/>
          <w:lang w:val="fr-FR"/>
        </w:rPr>
        <w:tab/>
      </w:r>
      <w:r w:rsidRPr="00663BEC">
        <w:rPr>
          <w:rFonts w:eastAsia="Times New Roman"/>
          <w:sz w:val="18"/>
          <w:szCs w:val="18"/>
          <w:lang w:val="fr-FR" w:bidi="fr-FR"/>
        </w:rPr>
        <w:t xml:space="preserve">Le modèle du premier rapport national est disponible à l’adresse suivante : </w:t>
      </w:r>
      <w:hyperlink r:id="rId16" w:history="1">
        <w:r w:rsidRPr="00663BEC">
          <w:rPr>
            <w:rFonts w:eastAsia="Times New Roman"/>
            <w:color w:val="0000FF"/>
            <w:sz w:val="18"/>
            <w:szCs w:val="18"/>
            <w:u w:val="single"/>
            <w:lang w:val="fr-FR"/>
          </w:rPr>
          <w:t>https://absch.cbd.int/en/kb/tags/abs/First-National-Report-on-the-Implementation-of-the-Nagoya-Protocol/66199bba4defc2994ae886d7</w:t>
        </w:r>
      </w:hyperlink>
      <w:r w:rsidRPr="00663BEC">
        <w:rPr>
          <w:rFonts w:eastAsia="Times New Roman"/>
          <w:sz w:val="18"/>
          <w:szCs w:val="18"/>
          <w:lang w:val="fr-FR"/>
        </w:rPr>
        <w:t>.</w:t>
      </w:r>
    </w:p>
    <w:p w14:paraId="7434EBF3" w14:textId="5F52394B" w:rsidR="00663BEC" w:rsidRPr="00663BEC" w:rsidRDefault="00663BEC" w:rsidP="00F63F1C">
      <w:pPr>
        <w:suppressLineNumbers/>
        <w:tabs>
          <w:tab w:val="clear" w:pos="567"/>
          <w:tab w:val="clear" w:pos="1134"/>
          <w:tab w:val="clear" w:pos="1701"/>
          <w:tab w:val="clear" w:pos="2268"/>
          <w:tab w:val="left" w:pos="360"/>
        </w:tabs>
        <w:suppressAutoHyphens/>
        <w:kinsoku w:val="0"/>
        <w:overflowPunct w:val="0"/>
        <w:autoSpaceDE w:val="0"/>
        <w:autoSpaceDN w:val="0"/>
        <w:adjustRightInd w:val="0"/>
        <w:snapToGrid w:val="0"/>
        <w:spacing w:before="120" w:after="120"/>
        <w:ind w:left="567"/>
        <w:rPr>
          <w:rFonts w:eastAsia="Malgun Gothic"/>
          <w:kern w:val="22"/>
          <w:sz w:val="18"/>
          <w:szCs w:val="18"/>
          <w:lang w:val="fr-FR"/>
        </w:rPr>
      </w:pPr>
      <w:r w:rsidRPr="00663BEC">
        <w:rPr>
          <w:rFonts w:eastAsia="Malgun Gothic"/>
          <w:i/>
          <w:iCs/>
          <w:kern w:val="22"/>
          <w:sz w:val="18"/>
          <w:szCs w:val="18"/>
          <w:vertAlign w:val="superscript"/>
          <w:lang w:val="fr-FR"/>
        </w:rPr>
        <w:t>b</w:t>
      </w:r>
      <w:r w:rsidRPr="00663BEC">
        <w:rPr>
          <w:rFonts w:eastAsia="Malgun Gothic"/>
          <w:i/>
          <w:iCs/>
          <w:kern w:val="22"/>
          <w:sz w:val="18"/>
          <w:szCs w:val="18"/>
          <w:vertAlign w:val="superscript"/>
          <w:lang w:val="fr-FR"/>
        </w:rPr>
        <w:tab/>
      </w:r>
      <w:r w:rsidRPr="00663BEC">
        <w:rPr>
          <w:rFonts w:eastAsia="Times New Roman"/>
          <w:sz w:val="18"/>
          <w:szCs w:val="18"/>
          <w:lang w:val="fr-FR"/>
        </w:rPr>
        <w:t xml:space="preserve">L’élément a) porte sur tous les articles pertinents du Protocole </w:t>
      </w:r>
      <w:r w:rsidR="001A4E66">
        <w:rPr>
          <w:rFonts w:eastAsia="Times New Roman"/>
          <w:sz w:val="18"/>
          <w:szCs w:val="18"/>
          <w:lang w:val="fr-FR"/>
        </w:rPr>
        <w:t xml:space="preserve">de Nagoya </w:t>
      </w:r>
      <w:r w:rsidRPr="00663BEC">
        <w:rPr>
          <w:rFonts w:eastAsia="Times New Roman"/>
          <w:sz w:val="18"/>
          <w:szCs w:val="18"/>
          <w:lang w:val="fr-FR"/>
        </w:rPr>
        <w:t>couverts par le premier rapport national qui ne sont pas abordés dans d’autres éléments.</w:t>
      </w:r>
    </w:p>
    <w:p w14:paraId="2D4CB6AD" w14:textId="3C956E51" w:rsidR="00663BEC" w:rsidRPr="00663BEC" w:rsidRDefault="00663BEC" w:rsidP="00F63F1C">
      <w:pPr>
        <w:suppressLineNumbers/>
        <w:tabs>
          <w:tab w:val="clear" w:pos="567"/>
          <w:tab w:val="clear" w:pos="1134"/>
          <w:tab w:val="clear" w:pos="1701"/>
          <w:tab w:val="clear" w:pos="2268"/>
          <w:tab w:val="left" w:pos="360"/>
        </w:tabs>
        <w:suppressAutoHyphens/>
        <w:kinsoku w:val="0"/>
        <w:overflowPunct w:val="0"/>
        <w:autoSpaceDE w:val="0"/>
        <w:autoSpaceDN w:val="0"/>
        <w:adjustRightInd w:val="0"/>
        <w:snapToGrid w:val="0"/>
        <w:spacing w:before="120" w:after="120"/>
        <w:ind w:left="567"/>
        <w:rPr>
          <w:rFonts w:eastAsia="Malgun Gothic"/>
          <w:kern w:val="22"/>
          <w:sz w:val="18"/>
          <w:szCs w:val="18"/>
          <w:lang w:val="fr-FR"/>
        </w:rPr>
      </w:pPr>
      <w:r w:rsidRPr="00663BEC">
        <w:rPr>
          <w:rFonts w:eastAsia="Malgun Gothic"/>
          <w:i/>
          <w:iCs/>
          <w:kern w:val="22"/>
          <w:sz w:val="18"/>
          <w:szCs w:val="18"/>
          <w:vertAlign w:val="superscript"/>
          <w:lang w:val="fr-FR"/>
        </w:rPr>
        <w:t>c</w:t>
      </w:r>
      <w:r w:rsidRPr="00663BEC">
        <w:rPr>
          <w:rFonts w:eastAsia="Malgun Gothic"/>
          <w:i/>
          <w:iCs/>
          <w:kern w:val="22"/>
          <w:sz w:val="18"/>
          <w:szCs w:val="18"/>
          <w:vertAlign w:val="superscript"/>
          <w:lang w:val="fr-FR"/>
        </w:rPr>
        <w:tab/>
      </w:r>
      <w:r w:rsidRPr="00663BEC">
        <w:rPr>
          <w:rFonts w:eastAsia="Malgun Gothic"/>
          <w:kern w:val="22"/>
          <w:sz w:val="18"/>
          <w:szCs w:val="18"/>
          <w:lang w:val="fr-FR"/>
        </w:rPr>
        <w:t xml:space="preserve">Au paragraphe 18 a) de sa décision NP-3/1 A, la Conférence des Parties siégeant en tant que réunion des Parties au Protocole </w:t>
      </w:r>
      <w:r w:rsidR="001A4E66">
        <w:rPr>
          <w:rFonts w:eastAsia="Malgun Gothic"/>
          <w:kern w:val="22"/>
          <w:sz w:val="18"/>
          <w:szCs w:val="18"/>
          <w:lang w:val="fr-FR"/>
        </w:rPr>
        <w:t xml:space="preserve">de Nagoya </w:t>
      </w:r>
      <w:r w:rsidRPr="00663BEC">
        <w:rPr>
          <w:rFonts w:eastAsia="Malgun Gothic"/>
          <w:kern w:val="22"/>
          <w:sz w:val="18"/>
          <w:szCs w:val="18"/>
          <w:lang w:val="fr-FR"/>
        </w:rPr>
        <w:t xml:space="preserve">a demandé à la Secrétaire exécutive d’entreprendre une enquête ciblée des correspondants nationaux chargés de l’accès et du partage des avantages, des autorités nationales compétentes et des utilisateurs et fournisseurs de ressources génétiques et/ou connaissances traditionnelles associées, sur les défis liés à l’application du Protocole afin de fournir une source additionnelle d’information dans les futurs processus d’évaluation et d’examen de l’efficacité du Protocole. </w:t>
      </w:r>
    </w:p>
    <w:p w14:paraId="7308C5D0" w14:textId="77777777" w:rsidR="00663BEC" w:rsidRPr="00663BEC" w:rsidRDefault="00663BEC" w:rsidP="00F63F1C">
      <w:pPr>
        <w:suppressLineNumbers/>
        <w:tabs>
          <w:tab w:val="clear" w:pos="567"/>
          <w:tab w:val="clear" w:pos="1134"/>
          <w:tab w:val="clear" w:pos="1701"/>
          <w:tab w:val="clear" w:pos="2268"/>
          <w:tab w:val="left" w:pos="360"/>
        </w:tabs>
        <w:suppressAutoHyphens/>
        <w:kinsoku w:val="0"/>
        <w:overflowPunct w:val="0"/>
        <w:autoSpaceDE w:val="0"/>
        <w:autoSpaceDN w:val="0"/>
        <w:adjustRightInd w:val="0"/>
        <w:snapToGrid w:val="0"/>
        <w:spacing w:before="120" w:after="120"/>
        <w:ind w:left="567"/>
        <w:rPr>
          <w:rFonts w:eastAsia="Malgun Gothic"/>
          <w:kern w:val="22"/>
          <w:sz w:val="18"/>
          <w:szCs w:val="18"/>
          <w:lang w:val="fr-FR"/>
        </w:rPr>
      </w:pPr>
      <w:r w:rsidRPr="00663BEC">
        <w:rPr>
          <w:rFonts w:eastAsia="Malgun Gothic"/>
          <w:i/>
          <w:kern w:val="22"/>
          <w:sz w:val="18"/>
          <w:szCs w:val="18"/>
          <w:vertAlign w:val="superscript"/>
          <w:lang w:val="fr-FR"/>
        </w:rPr>
        <w:t>d</w:t>
      </w:r>
      <w:r w:rsidRPr="00663BEC">
        <w:rPr>
          <w:rFonts w:eastAsia="Malgun Gothic"/>
          <w:i/>
          <w:kern w:val="22"/>
          <w:sz w:val="18"/>
          <w:szCs w:val="18"/>
          <w:vertAlign w:val="superscript"/>
          <w:lang w:val="fr-FR"/>
        </w:rPr>
        <w:tab/>
      </w:r>
      <w:r w:rsidRPr="00663BEC">
        <w:rPr>
          <w:rFonts w:eastAsia="Malgun Gothic"/>
          <w:kern w:val="22"/>
          <w:sz w:val="18"/>
          <w:szCs w:val="18"/>
          <w:lang w:val="fr-FR"/>
        </w:rPr>
        <w:t>Annexe à la décision 15/4.</w:t>
      </w:r>
    </w:p>
    <w:p w14:paraId="3299BAE5" w14:textId="77777777" w:rsidR="00663BEC" w:rsidRPr="00663BEC" w:rsidRDefault="00663BEC" w:rsidP="00F63F1C">
      <w:pPr>
        <w:suppressLineNumbers/>
        <w:tabs>
          <w:tab w:val="clear" w:pos="567"/>
          <w:tab w:val="clear" w:pos="1134"/>
          <w:tab w:val="clear" w:pos="1701"/>
          <w:tab w:val="clear" w:pos="2268"/>
          <w:tab w:val="left" w:pos="360"/>
        </w:tabs>
        <w:suppressAutoHyphens/>
        <w:kinsoku w:val="0"/>
        <w:overflowPunct w:val="0"/>
        <w:autoSpaceDE w:val="0"/>
        <w:autoSpaceDN w:val="0"/>
        <w:adjustRightInd w:val="0"/>
        <w:snapToGrid w:val="0"/>
        <w:spacing w:before="120" w:after="120"/>
        <w:ind w:left="567"/>
        <w:rPr>
          <w:rFonts w:eastAsia="Malgun Gothic"/>
          <w:kern w:val="22"/>
          <w:sz w:val="18"/>
          <w:szCs w:val="18"/>
          <w:lang w:val="fr-FR"/>
        </w:rPr>
      </w:pPr>
      <w:r w:rsidRPr="00663BEC">
        <w:rPr>
          <w:rFonts w:eastAsia="Malgun Gothic"/>
          <w:i/>
          <w:iCs/>
          <w:kern w:val="22"/>
          <w:sz w:val="18"/>
          <w:szCs w:val="18"/>
          <w:vertAlign w:val="superscript"/>
          <w:lang w:val="fr-FR"/>
        </w:rPr>
        <w:t>e</w:t>
      </w:r>
      <w:r w:rsidRPr="00663BEC">
        <w:rPr>
          <w:rFonts w:eastAsia="Malgun Gothic"/>
          <w:kern w:val="22"/>
          <w:sz w:val="18"/>
          <w:szCs w:val="18"/>
          <w:lang w:val="fr-FR"/>
        </w:rPr>
        <w:tab/>
        <w:t>Comprend le nombre de visiteurs, les pays des visiteurs et la durée moyenne de la consultation d’une page Web.</w:t>
      </w:r>
    </w:p>
    <w:p w14:paraId="4EA3A042" w14:textId="77777777" w:rsidR="00663BEC" w:rsidRPr="00663BEC" w:rsidRDefault="00663BEC" w:rsidP="00F63F1C">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rPr>
          <w:rFonts w:eastAsia="Times New Roman"/>
          <w:sz w:val="18"/>
          <w:szCs w:val="18"/>
          <w:lang w:val="fr-FR" w:bidi="fr-FR"/>
        </w:rPr>
      </w:pPr>
    </w:p>
    <w:bookmarkEnd w:id="5"/>
    <w:p w14:paraId="3E4C0A24" w14:textId="58429B14" w:rsidR="00663BEC" w:rsidRPr="00663BEC" w:rsidRDefault="00663BEC" w:rsidP="008F2D2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rPr>
          <w:snapToGrid w:val="0"/>
          <w:lang w:val="fr-FR"/>
        </w:rPr>
      </w:pPr>
      <w:r w:rsidRPr="00663BEC">
        <w:rPr>
          <w:rFonts w:eastAsia="Malgun Gothic"/>
          <w:b/>
          <w:bCs/>
          <w:kern w:val="22"/>
          <w:lang w:val="fr-FR"/>
        </w:rPr>
        <w:t>]</w:t>
      </w:r>
    </w:p>
    <w:p w14:paraId="17F31E5B" w14:textId="62B7103A" w:rsidR="002B559C" w:rsidRPr="00741BBB" w:rsidRDefault="00822FB5" w:rsidP="00822FB5">
      <w:pPr>
        <w:pStyle w:val="Para1"/>
        <w:numPr>
          <w:ilvl w:val="0"/>
          <w:numId w:val="0"/>
        </w:numPr>
        <w:jc w:val="center"/>
        <w:rPr>
          <w:lang w:val="fr-FR"/>
        </w:rPr>
      </w:pPr>
      <w:r>
        <w:rPr>
          <w:lang w:val="fr-FR"/>
        </w:rPr>
        <w:t>_____________</w:t>
      </w:r>
    </w:p>
    <w:sectPr w:rsidR="002B559C" w:rsidRPr="00741BBB" w:rsidSect="007A7F22">
      <w:headerReference w:type="even" r:id="rId17"/>
      <w:headerReference w:type="default" r:id="rId18"/>
      <w:footerReference w:type="even" r:id="rId19"/>
      <w:footerReference w:type="defaul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B5832D" w14:textId="77777777" w:rsidR="00634830" w:rsidRDefault="00634830" w:rsidP="00A96B21">
      <w:r>
        <w:separator/>
      </w:r>
    </w:p>
  </w:endnote>
  <w:endnote w:type="continuationSeparator" w:id="0">
    <w:p w14:paraId="1BC0B8D4" w14:textId="77777777" w:rsidR="00634830" w:rsidRDefault="00634830" w:rsidP="00A96B21">
      <w:r>
        <w:continuationSeparator/>
      </w:r>
    </w:p>
  </w:endnote>
  <w:endnote w:type="continuationNotice" w:id="1">
    <w:p w14:paraId="6FA71347" w14:textId="77777777" w:rsidR="00634830" w:rsidRDefault="006348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48A9CE" w14:textId="77777777" w:rsidR="00634830" w:rsidRDefault="00634830" w:rsidP="00A96B21">
      <w:r>
        <w:separator/>
      </w:r>
    </w:p>
  </w:footnote>
  <w:footnote w:type="continuationSeparator" w:id="0">
    <w:p w14:paraId="0AF6B55C" w14:textId="77777777" w:rsidR="00634830" w:rsidRDefault="00634830" w:rsidP="00A96B21">
      <w:r>
        <w:continuationSeparator/>
      </w:r>
    </w:p>
  </w:footnote>
  <w:footnote w:type="continuationNotice" w:id="1">
    <w:p w14:paraId="2F517249" w14:textId="77777777" w:rsidR="00634830" w:rsidRDefault="00634830"/>
  </w:footnote>
  <w:footnote w:id="2">
    <w:p w14:paraId="4215E33A" w14:textId="77777777" w:rsidR="00663BEC" w:rsidRPr="00D03D03" w:rsidRDefault="00663BEC" w:rsidP="00663BEC">
      <w:pPr>
        <w:pStyle w:val="FootnoteText"/>
      </w:pPr>
      <w:r w:rsidRPr="00E055A9">
        <w:rPr>
          <w:rStyle w:val="FootnoteReference"/>
          <w:lang w:val="fr-FR" w:bidi="fr-FR"/>
        </w:rPr>
        <w:footnoteRef/>
      </w:r>
      <w:r w:rsidRPr="00E055A9">
        <w:rPr>
          <w:lang w:val="fr-FR" w:bidi="fr-FR"/>
        </w:rPr>
        <w:t xml:space="preserve"> </w:t>
      </w:r>
      <w:r w:rsidRPr="00E055A9">
        <w:rPr>
          <w:szCs w:val="18"/>
          <w:lang w:val="fr-FR" w:bidi="fr-FR"/>
        </w:rPr>
        <w:t xml:space="preserve">Nations Unies, </w:t>
      </w:r>
      <w:r w:rsidRPr="00E055A9">
        <w:rPr>
          <w:i/>
          <w:szCs w:val="18"/>
          <w:lang w:val="fr-FR" w:bidi="fr-FR"/>
        </w:rPr>
        <w:t>Série des Traités</w:t>
      </w:r>
      <w:r w:rsidRPr="00E055A9">
        <w:rPr>
          <w:szCs w:val="18"/>
          <w:lang w:val="fr-FR" w:bidi="fr-FR"/>
        </w:rPr>
        <w:t>, vol.</w:t>
      </w:r>
      <w:r>
        <w:rPr>
          <w:szCs w:val="18"/>
          <w:lang w:val="fr-FR" w:bidi="fr-FR"/>
        </w:rPr>
        <w:t> </w:t>
      </w:r>
      <w:r w:rsidRPr="00E055A9">
        <w:rPr>
          <w:szCs w:val="18"/>
          <w:lang w:val="fr-FR" w:bidi="fr-FR"/>
        </w:rPr>
        <w:t>3008, n</w:t>
      </w:r>
      <w:r>
        <w:rPr>
          <w:szCs w:val="18"/>
          <w:vertAlign w:val="superscript"/>
          <w:lang w:val="fr-FR" w:bidi="fr-FR"/>
        </w:rPr>
        <w:t>o</w:t>
      </w:r>
      <w:r>
        <w:rPr>
          <w:szCs w:val="18"/>
          <w:lang w:val="fr-FR" w:bidi="fr-FR"/>
        </w:rPr>
        <w:t> </w:t>
      </w:r>
      <w:r w:rsidRPr="00E055A9">
        <w:rPr>
          <w:szCs w:val="18"/>
          <w:lang w:val="fr-FR" w:bidi="fr-FR"/>
        </w:rPr>
        <w:t>30619.</w:t>
      </w:r>
    </w:p>
  </w:footnote>
  <w:footnote w:id="3">
    <w:p w14:paraId="5CBB12EB" w14:textId="77777777" w:rsidR="00663BEC" w:rsidRPr="00400894" w:rsidRDefault="00663BEC" w:rsidP="00663BEC">
      <w:pPr>
        <w:pStyle w:val="Para2"/>
        <w:spacing w:before="0" w:after="0"/>
        <w:ind w:left="0"/>
        <w:rPr>
          <w:sz w:val="18"/>
          <w:szCs w:val="18"/>
          <w:lang w:val="fr-FR"/>
        </w:rPr>
      </w:pPr>
      <w:r w:rsidRPr="00400894">
        <w:rPr>
          <w:rStyle w:val="FootnoteReference"/>
          <w:sz w:val="18"/>
          <w:szCs w:val="18"/>
          <w:lang w:val="fr-FR" w:bidi="fr-FR"/>
        </w:rPr>
        <w:footnoteRef/>
      </w:r>
      <w:r w:rsidRPr="00400894">
        <w:rPr>
          <w:sz w:val="18"/>
          <w:szCs w:val="18"/>
          <w:lang w:val="fr-FR" w:bidi="fr-FR"/>
        </w:rPr>
        <w:t xml:space="preserve"> Voir la </w:t>
      </w:r>
      <w:r w:rsidRPr="00400894">
        <w:rPr>
          <w:sz w:val="18"/>
          <w:szCs w:val="18"/>
          <w:lang w:val="fr-FR"/>
        </w:rPr>
        <w:t>recommandation 4/7 de l’Organe subsidiaire chargé de l’application,</w:t>
      </w:r>
      <w:r w:rsidRPr="00400894">
        <w:rPr>
          <w:sz w:val="18"/>
          <w:szCs w:val="18"/>
          <w:lang w:val="fr-FR" w:bidi="fr-FR"/>
        </w:rPr>
        <w:t xml:space="preserve"> dans laquelle l’Organe subsidiaire recommande que le mandat du Comité consultatif informel sur le renforcement des capacités pour la mise en œuvre du Protocole de Nagoya soit élargi afin d’y inclure la fourniture d’avis sur des questions plus généralement liées à la mise en œuvre du Protocole.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5AEBBB67" w14:textId="60895EC5" w:rsidR="002B559C" w:rsidRPr="002B559C" w:rsidRDefault="00822FB5"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63AAE" w:rsidRPr="005858BB">
          <w:rPr>
            <w:szCs w:val="20"/>
            <w:lang w:val="fr-FR"/>
          </w:rPr>
          <w:t>CBD</w:t>
        </w:r>
        <w:r w:rsidR="00363AAE">
          <w:rPr>
            <w:szCs w:val="20"/>
            <w:lang w:val="fr-FR"/>
          </w:rPr>
          <w:t>/</w:t>
        </w:r>
        <w:r w:rsidR="00363AAE" w:rsidRPr="005858BB">
          <w:rPr>
            <w:szCs w:val="20"/>
            <w:lang w:val="fr-FR"/>
          </w:rPr>
          <w:t>NP/MOP/5/</w:t>
        </w:r>
        <w:proofErr w:type="gramStart"/>
        <w:r w:rsidR="00363AAE">
          <w:rPr>
            <w:szCs w:val="20"/>
            <w:lang w:val="fr-FR"/>
          </w:rPr>
          <w:t>WG.II</w:t>
        </w:r>
        <w:proofErr w:type="gramEnd"/>
        <w:r w:rsidR="00363AAE">
          <w:rPr>
            <w:szCs w:val="20"/>
            <w:lang w:val="fr-FR"/>
          </w:rPr>
          <w:t>/CRP.4</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11059B4A" w:rsidR="002B559C" w:rsidRPr="002B559C" w:rsidRDefault="00363AAE" w:rsidP="002B559C">
        <w:pPr>
          <w:pStyle w:val="Header"/>
          <w:spacing w:after="240"/>
          <w:jc w:val="right"/>
          <w:rPr>
            <w:szCs w:val="20"/>
            <w:lang w:val="fr-FR"/>
          </w:rPr>
        </w:pPr>
        <w:r>
          <w:rPr>
            <w:szCs w:val="20"/>
            <w:lang w:val="fr-FR"/>
          </w:rPr>
          <w:t>CBD/NP/MOP/5/</w:t>
        </w:r>
        <w:proofErr w:type="gramStart"/>
        <w:r>
          <w:rPr>
            <w:szCs w:val="20"/>
            <w:lang w:val="fr-FR"/>
          </w:rPr>
          <w:t>WG.II</w:t>
        </w:r>
        <w:proofErr w:type="gramEnd"/>
        <w:r>
          <w:rPr>
            <w:szCs w:val="20"/>
            <w:lang w:val="fr-FR"/>
          </w:rPr>
          <w:t>/CRP.4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4112B"/>
    <w:multiLevelType w:val="hybridMultilevel"/>
    <w:tmpl w:val="39C82276"/>
    <w:lvl w:ilvl="0" w:tplc="0D9214B8">
      <w:start w:val="1"/>
      <w:numFmt w:val="lowerLetter"/>
      <w:lvlText w:val="%1)"/>
      <w:lvlJc w:val="left"/>
      <w:pPr>
        <w:ind w:left="400" w:hanging="360"/>
      </w:pPr>
      <w:rPr>
        <w:rFonts w:hint="default"/>
      </w:rPr>
    </w:lvl>
    <w:lvl w:ilvl="1" w:tplc="0C0C0019" w:tentative="1">
      <w:start w:val="1"/>
      <w:numFmt w:val="lowerLetter"/>
      <w:lvlText w:val="%2."/>
      <w:lvlJc w:val="left"/>
      <w:pPr>
        <w:ind w:left="1120" w:hanging="360"/>
      </w:pPr>
    </w:lvl>
    <w:lvl w:ilvl="2" w:tplc="0C0C001B" w:tentative="1">
      <w:start w:val="1"/>
      <w:numFmt w:val="lowerRoman"/>
      <w:lvlText w:val="%3."/>
      <w:lvlJc w:val="right"/>
      <w:pPr>
        <w:ind w:left="1840" w:hanging="180"/>
      </w:pPr>
    </w:lvl>
    <w:lvl w:ilvl="3" w:tplc="0C0C000F" w:tentative="1">
      <w:start w:val="1"/>
      <w:numFmt w:val="decimal"/>
      <w:lvlText w:val="%4."/>
      <w:lvlJc w:val="left"/>
      <w:pPr>
        <w:ind w:left="2560" w:hanging="360"/>
      </w:pPr>
    </w:lvl>
    <w:lvl w:ilvl="4" w:tplc="0C0C0019" w:tentative="1">
      <w:start w:val="1"/>
      <w:numFmt w:val="lowerLetter"/>
      <w:lvlText w:val="%5."/>
      <w:lvlJc w:val="left"/>
      <w:pPr>
        <w:ind w:left="3280" w:hanging="360"/>
      </w:pPr>
    </w:lvl>
    <w:lvl w:ilvl="5" w:tplc="0C0C001B" w:tentative="1">
      <w:start w:val="1"/>
      <w:numFmt w:val="lowerRoman"/>
      <w:lvlText w:val="%6."/>
      <w:lvlJc w:val="right"/>
      <w:pPr>
        <w:ind w:left="4000" w:hanging="180"/>
      </w:pPr>
    </w:lvl>
    <w:lvl w:ilvl="6" w:tplc="0C0C000F" w:tentative="1">
      <w:start w:val="1"/>
      <w:numFmt w:val="decimal"/>
      <w:lvlText w:val="%7."/>
      <w:lvlJc w:val="left"/>
      <w:pPr>
        <w:ind w:left="4720" w:hanging="360"/>
      </w:pPr>
    </w:lvl>
    <w:lvl w:ilvl="7" w:tplc="0C0C0019" w:tentative="1">
      <w:start w:val="1"/>
      <w:numFmt w:val="lowerLetter"/>
      <w:lvlText w:val="%8."/>
      <w:lvlJc w:val="left"/>
      <w:pPr>
        <w:ind w:left="5440" w:hanging="360"/>
      </w:pPr>
    </w:lvl>
    <w:lvl w:ilvl="8" w:tplc="0C0C001B" w:tentative="1">
      <w:start w:val="1"/>
      <w:numFmt w:val="lowerRoman"/>
      <w:lvlText w:val="%9."/>
      <w:lvlJc w:val="right"/>
      <w:pPr>
        <w:ind w:left="616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32436D9A"/>
    <w:multiLevelType w:val="hybridMultilevel"/>
    <w:tmpl w:val="E57C8970"/>
    <w:lvl w:ilvl="0" w:tplc="F030F4AC">
      <w:start w:val="1"/>
      <w:numFmt w:val="bullet"/>
      <w:lvlText w:val=""/>
      <w:lvlJc w:val="left"/>
      <w:pPr>
        <w:ind w:left="760" w:hanging="360"/>
      </w:pPr>
      <w:rPr>
        <w:rFonts w:ascii="Symbol" w:hAnsi="Symbol" w:hint="default"/>
      </w:rPr>
    </w:lvl>
    <w:lvl w:ilvl="1" w:tplc="0C0C0003" w:tentative="1">
      <w:start w:val="1"/>
      <w:numFmt w:val="bullet"/>
      <w:lvlText w:val="o"/>
      <w:lvlJc w:val="left"/>
      <w:pPr>
        <w:ind w:left="1480" w:hanging="360"/>
      </w:pPr>
      <w:rPr>
        <w:rFonts w:ascii="Courier New" w:hAnsi="Courier New" w:cs="Courier New" w:hint="default"/>
      </w:rPr>
    </w:lvl>
    <w:lvl w:ilvl="2" w:tplc="0C0C0005" w:tentative="1">
      <w:start w:val="1"/>
      <w:numFmt w:val="bullet"/>
      <w:lvlText w:val=""/>
      <w:lvlJc w:val="left"/>
      <w:pPr>
        <w:ind w:left="2200" w:hanging="360"/>
      </w:pPr>
      <w:rPr>
        <w:rFonts w:ascii="Wingdings" w:hAnsi="Wingdings" w:hint="default"/>
      </w:rPr>
    </w:lvl>
    <w:lvl w:ilvl="3" w:tplc="0C0C0001" w:tentative="1">
      <w:start w:val="1"/>
      <w:numFmt w:val="bullet"/>
      <w:lvlText w:val=""/>
      <w:lvlJc w:val="left"/>
      <w:pPr>
        <w:ind w:left="2920" w:hanging="360"/>
      </w:pPr>
      <w:rPr>
        <w:rFonts w:ascii="Symbol" w:hAnsi="Symbol" w:hint="default"/>
      </w:rPr>
    </w:lvl>
    <w:lvl w:ilvl="4" w:tplc="0C0C0003" w:tentative="1">
      <w:start w:val="1"/>
      <w:numFmt w:val="bullet"/>
      <w:lvlText w:val="o"/>
      <w:lvlJc w:val="left"/>
      <w:pPr>
        <w:ind w:left="3640" w:hanging="360"/>
      </w:pPr>
      <w:rPr>
        <w:rFonts w:ascii="Courier New" w:hAnsi="Courier New" w:cs="Courier New" w:hint="default"/>
      </w:rPr>
    </w:lvl>
    <w:lvl w:ilvl="5" w:tplc="0C0C0005" w:tentative="1">
      <w:start w:val="1"/>
      <w:numFmt w:val="bullet"/>
      <w:lvlText w:val=""/>
      <w:lvlJc w:val="left"/>
      <w:pPr>
        <w:ind w:left="4360" w:hanging="360"/>
      </w:pPr>
      <w:rPr>
        <w:rFonts w:ascii="Wingdings" w:hAnsi="Wingdings" w:hint="default"/>
      </w:rPr>
    </w:lvl>
    <w:lvl w:ilvl="6" w:tplc="0C0C0001" w:tentative="1">
      <w:start w:val="1"/>
      <w:numFmt w:val="bullet"/>
      <w:lvlText w:val=""/>
      <w:lvlJc w:val="left"/>
      <w:pPr>
        <w:ind w:left="5080" w:hanging="360"/>
      </w:pPr>
      <w:rPr>
        <w:rFonts w:ascii="Symbol" w:hAnsi="Symbol" w:hint="default"/>
      </w:rPr>
    </w:lvl>
    <w:lvl w:ilvl="7" w:tplc="0C0C0003" w:tentative="1">
      <w:start w:val="1"/>
      <w:numFmt w:val="bullet"/>
      <w:lvlText w:val="o"/>
      <w:lvlJc w:val="left"/>
      <w:pPr>
        <w:ind w:left="5800" w:hanging="360"/>
      </w:pPr>
      <w:rPr>
        <w:rFonts w:ascii="Courier New" w:hAnsi="Courier New" w:cs="Courier New" w:hint="default"/>
      </w:rPr>
    </w:lvl>
    <w:lvl w:ilvl="8" w:tplc="0C0C0005" w:tentative="1">
      <w:start w:val="1"/>
      <w:numFmt w:val="bullet"/>
      <w:lvlText w:val=""/>
      <w:lvlJc w:val="left"/>
      <w:pPr>
        <w:ind w:left="6520" w:hanging="360"/>
      </w:pPr>
      <w:rPr>
        <w:rFonts w:ascii="Wingdings" w:hAnsi="Wingdings" w:hint="default"/>
      </w:rPr>
    </w:lvl>
  </w:abstractNum>
  <w:abstractNum w:abstractNumId="6"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6"/>
  </w:num>
  <w:num w:numId="2" w16cid:durableId="2069499237">
    <w:abstractNumId w:val="14"/>
  </w:num>
  <w:num w:numId="3" w16cid:durableId="158270868">
    <w:abstractNumId w:val="18"/>
  </w:num>
  <w:num w:numId="4" w16cid:durableId="159275565">
    <w:abstractNumId w:val="1"/>
  </w:num>
  <w:num w:numId="5" w16cid:durableId="271714945">
    <w:abstractNumId w:val="2"/>
  </w:num>
  <w:num w:numId="6" w16cid:durableId="1351487209">
    <w:abstractNumId w:val="2"/>
  </w:num>
  <w:num w:numId="7" w16cid:durableId="1612737127">
    <w:abstractNumId w:val="4"/>
  </w:num>
  <w:num w:numId="8" w16cid:durableId="1334139419">
    <w:abstractNumId w:val="9"/>
  </w:num>
  <w:num w:numId="9" w16cid:durableId="935023265">
    <w:abstractNumId w:val="13"/>
  </w:num>
  <w:num w:numId="10" w16cid:durableId="268247158">
    <w:abstractNumId w:val="12"/>
  </w:num>
  <w:num w:numId="11" w16cid:durableId="143207059">
    <w:abstractNumId w:val="8"/>
  </w:num>
  <w:num w:numId="12" w16cid:durableId="445121453">
    <w:abstractNumId w:val="3"/>
  </w:num>
  <w:num w:numId="13" w16cid:durableId="1263953771">
    <w:abstractNumId w:val="3"/>
    <w:lvlOverride w:ilvl="0">
      <w:startOverride w:val="1"/>
    </w:lvlOverride>
  </w:num>
  <w:num w:numId="14" w16cid:durableId="199586161">
    <w:abstractNumId w:val="11"/>
  </w:num>
  <w:num w:numId="15" w16cid:durableId="584072443">
    <w:abstractNumId w:val="11"/>
    <w:lvlOverride w:ilvl="0">
      <w:startOverride w:val="1"/>
    </w:lvlOverride>
  </w:num>
  <w:num w:numId="16" w16cid:durableId="1638680439">
    <w:abstractNumId w:val="14"/>
    <w:lvlOverride w:ilvl="0">
      <w:startOverride w:val="1"/>
    </w:lvlOverride>
  </w:num>
  <w:num w:numId="17" w16cid:durableId="1376001245">
    <w:abstractNumId w:val="11"/>
    <w:lvlOverride w:ilvl="0">
      <w:startOverride w:val="1"/>
    </w:lvlOverride>
  </w:num>
  <w:num w:numId="18" w16cid:durableId="1480611021">
    <w:abstractNumId w:val="19"/>
  </w:num>
  <w:num w:numId="19" w16cid:durableId="1967006738">
    <w:abstractNumId w:val="14"/>
    <w:lvlOverride w:ilvl="0">
      <w:startOverride w:val="1"/>
    </w:lvlOverride>
  </w:num>
  <w:num w:numId="20" w16cid:durableId="323556548">
    <w:abstractNumId w:val="14"/>
    <w:lvlOverride w:ilvl="0">
      <w:startOverride w:val="1"/>
    </w:lvlOverride>
  </w:num>
  <w:num w:numId="21" w16cid:durableId="1682077761">
    <w:abstractNumId w:val="10"/>
  </w:num>
  <w:num w:numId="22" w16cid:durableId="612515630">
    <w:abstractNumId w:val="7"/>
  </w:num>
  <w:num w:numId="23" w16cid:durableId="1586919340">
    <w:abstractNumId w:val="15"/>
  </w:num>
  <w:num w:numId="24" w16cid:durableId="1646204264">
    <w:abstractNumId w:val="15"/>
  </w:num>
  <w:num w:numId="25" w16cid:durableId="2028553205">
    <w:abstractNumId w:val="15"/>
  </w:num>
  <w:num w:numId="26" w16cid:durableId="1113016551">
    <w:abstractNumId w:val="15"/>
  </w:num>
  <w:num w:numId="27" w16cid:durableId="2009365291">
    <w:abstractNumId w:val="15"/>
  </w:num>
  <w:num w:numId="28" w16cid:durableId="2004121806">
    <w:abstractNumId w:val="15"/>
  </w:num>
  <w:num w:numId="29" w16cid:durableId="1312831146">
    <w:abstractNumId w:val="16"/>
  </w:num>
  <w:num w:numId="30" w16cid:durableId="1638493021">
    <w:abstractNumId w:val="16"/>
  </w:num>
  <w:num w:numId="31" w16cid:durableId="769933077">
    <w:abstractNumId w:val="16"/>
  </w:num>
  <w:num w:numId="32" w16cid:durableId="1402094541">
    <w:abstractNumId w:val="16"/>
  </w:num>
  <w:num w:numId="33" w16cid:durableId="759183335">
    <w:abstractNumId w:val="17"/>
  </w:num>
  <w:num w:numId="34" w16cid:durableId="1964264878">
    <w:abstractNumId w:val="0"/>
  </w:num>
  <w:num w:numId="35" w16cid:durableId="20505631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20F0C"/>
    <w:rsid w:val="00040598"/>
    <w:rsid w:val="00051778"/>
    <w:rsid w:val="00087E1A"/>
    <w:rsid w:val="000B0607"/>
    <w:rsid w:val="000C04BB"/>
    <w:rsid w:val="000D11FE"/>
    <w:rsid w:val="00132581"/>
    <w:rsid w:val="00155F78"/>
    <w:rsid w:val="00156442"/>
    <w:rsid w:val="00165426"/>
    <w:rsid w:val="00173C53"/>
    <w:rsid w:val="00184909"/>
    <w:rsid w:val="001A4E66"/>
    <w:rsid w:val="001A74EB"/>
    <w:rsid w:val="001D7501"/>
    <w:rsid w:val="001E76CD"/>
    <w:rsid w:val="00202FDF"/>
    <w:rsid w:val="0021066C"/>
    <w:rsid w:val="00265BFA"/>
    <w:rsid w:val="002B00CA"/>
    <w:rsid w:val="002B559C"/>
    <w:rsid w:val="002D4858"/>
    <w:rsid w:val="00303F0B"/>
    <w:rsid w:val="0030798D"/>
    <w:rsid w:val="00310608"/>
    <w:rsid w:val="00317EA5"/>
    <w:rsid w:val="00323F22"/>
    <w:rsid w:val="00343445"/>
    <w:rsid w:val="003476A9"/>
    <w:rsid w:val="003619FF"/>
    <w:rsid w:val="00363AAE"/>
    <w:rsid w:val="00394E74"/>
    <w:rsid w:val="003A5182"/>
    <w:rsid w:val="003C6F10"/>
    <w:rsid w:val="003E2A09"/>
    <w:rsid w:val="003F30B0"/>
    <w:rsid w:val="004202A4"/>
    <w:rsid w:val="00434349"/>
    <w:rsid w:val="00441498"/>
    <w:rsid w:val="00445AE3"/>
    <w:rsid w:val="004503B0"/>
    <w:rsid w:val="00454C2A"/>
    <w:rsid w:val="00457C5E"/>
    <w:rsid w:val="004701EE"/>
    <w:rsid w:val="00471250"/>
    <w:rsid w:val="00480A8D"/>
    <w:rsid w:val="004A2A2D"/>
    <w:rsid w:val="004F01D1"/>
    <w:rsid w:val="005343CE"/>
    <w:rsid w:val="00537248"/>
    <w:rsid w:val="005858BB"/>
    <w:rsid w:val="00597AE9"/>
    <w:rsid w:val="005A206E"/>
    <w:rsid w:val="005A7648"/>
    <w:rsid w:val="005C0058"/>
    <w:rsid w:val="005D02AF"/>
    <w:rsid w:val="005E139E"/>
    <w:rsid w:val="005E2605"/>
    <w:rsid w:val="00634830"/>
    <w:rsid w:val="00657ED6"/>
    <w:rsid w:val="00663BEC"/>
    <w:rsid w:val="00675A60"/>
    <w:rsid w:val="006849D8"/>
    <w:rsid w:val="006878A1"/>
    <w:rsid w:val="00695A2A"/>
    <w:rsid w:val="006B293D"/>
    <w:rsid w:val="00722D66"/>
    <w:rsid w:val="00741BBB"/>
    <w:rsid w:val="0076622F"/>
    <w:rsid w:val="00772E16"/>
    <w:rsid w:val="007A7F22"/>
    <w:rsid w:val="007C77BC"/>
    <w:rsid w:val="007D48FD"/>
    <w:rsid w:val="00822FB5"/>
    <w:rsid w:val="00837C25"/>
    <w:rsid w:val="00851C72"/>
    <w:rsid w:val="00855E32"/>
    <w:rsid w:val="00862B8D"/>
    <w:rsid w:val="00874541"/>
    <w:rsid w:val="00874ED5"/>
    <w:rsid w:val="008E0581"/>
    <w:rsid w:val="008F2D29"/>
    <w:rsid w:val="00924267"/>
    <w:rsid w:val="00935461"/>
    <w:rsid w:val="009459E3"/>
    <w:rsid w:val="00995DDC"/>
    <w:rsid w:val="009C1114"/>
    <w:rsid w:val="00A15E68"/>
    <w:rsid w:val="00A401C5"/>
    <w:rsid w:val="00A54FA0"/>
    <w:rsid w:val="00A83DC9"/>
    <w:rsid w:val="00A96B21"/>
    <w:rsid w:val="00AE1A95"/>
    <w:rsid w:val="00B36EA9"/>
    <w:rsid w:val="00B75168"/>
    <w:rsid w:val="00BA6663"/>
    <w:rsid w:val="00BF1608"/>
    <w:rsid w:val="00BF7CBB"/>
    <w:rsid w:val="00C04FD3"/>
    <w:rsid w:val="00C2354A"/>
    <w:rsid w:val="00C35912"/>
    <w:rsid w:val="00C35EE0"/>
    <w:rsid w:val="00CB1C90"/>
    <w:rsid w:val="00CF0099"/>
    <w:rsid w:val="00CF68FD"/>
    <w:rsid w:val="00CF70AB"/>
    <w:rsid w:val="00D23F1E"/>
    <w:rsid w:val="00D3059B"/>
    <w:rsid w:val="00D60046"/>
    <w:rsid w:val="00D71EAB"/>
    <w:rsid w:val="00D71FFB"/>
    <w:rsid w:val="00D72F56"/>
    <w:rsid w:val="00D7462A"/>
    <w:rsid w:val="00DB3E36"/>
    <w:rsid w:val="00DD74C2"/>
    <w:rsid w:val="00E15315"/>
    <w:rsid w:val="00E1597C"/>
    <w:rsid w:val="00E67B16"/>
    <w:rsid w:val="00E8611B"/>
    <w:rsid w:val="00E934C4"/>
    <w:rsid w:val="00EC6AB6"/>
    <w:rsid w:val="00ED01FF"/>
    <w:rsid w:val="00ED3849"/>
    <w:rsid w:val="00EF038D"/>
    <w:rsid w:val="00F258FB"/>
    <w:rsid w:val="00F63F1C"/>
    <w:rsid w:val="00F66029"/>
    <w:rsid w:val="00F6660F"/>
    <w:rsid w:val="00F7593A"/>
    <w:rsid w:val="00F75F90"/>
    <w:rsid w:val="00FA18C9"/>
    <w:rsid w:val="00FA79F1"/>
    <w:rsid w:val="00FC0705"/>
    <w:rsid w:val="00FC615C"/>
    <w:rsid w:val="00FD0E1D"/>
    <w:rsid w:val="00FF01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C5293ECB-2C4E-4274-8A71-7A2C9D39C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317EA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7EA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858BB"/>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858BB"/>
    <w:rPr>
      <w:rFonts w:ascii="Times New Roman" w:eastAsia="SimSun" w:hAnsi="Times New Roman" w:cs="Times New Roman"/>
      <w:kern w:val="0"/>
      <w:lang w:val="en-US"/>
      <w14:ligatures w14:val="none"/>
    </w:rPr>
  </w:style>
  <w:style w:type="paragraph" w:styleId="Revision">
    <w:name w:val="Revision"/>
    <w:hidden/>
    <w:uiPriority w:val="99"/>
    <w:semiHidden/>
    <w:rsid w:val="00363AAE"/>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absch.cbd.int/en/kb/tags/abs/First-National-Report-on-the-Implementation-of-the-Nagoya-Protocol/66199bba4defc2994ae886d7"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ecisions/?id=13404"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abs/text/articles?sec=abs-21"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F2607"/>
    <w:rsid w:val="00256B12"/>
    <w:rsid w:val="002C3162"/>
    <w:rsid w:val="00303F0B"/>
    <w:rsid w:val="003619FF"/>
    <w:rsid w:val="003C2939"/>
    <w:rsid w:val="00405B09"/>
    <w:rsid w:val="004202A4"/>
    <w:rsid w:val="00445AE3"/>
    <w:rsid w:val="0058270C"/>
    <w:rsid w:val="00760256"/>
    <w:rsid w:val="007D48FD"/>
    <w:rsid w:val="00837C25"/>
    <w:rsid w:val="00851C72"/>
    <w:rsid w:val="008970A5"/>
    <w:rsid w:val="008B2E66"/>
    <w:rsid w:val="00926059"/>
    <w:rsid w:val="00967CF3"/>
    <w:rsid w:val="00986A85"/>
    <w:rsid w:val="00C05839"/>
    <w:rsid w:val="00D34932"/>
    <w:rsid w:val="00DC2AEA"/>
    <w:rsid w:val="00E67B16"/>
    <w:rsid w:val="00F52B78"/>
    <w:rsid w:val="00F66FD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F47C6-A489-44EC-89FC-60EF69199BE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E0F8A8FC-BC17-47A9-AF04-FA20AA46A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2</TotalTime>
  <Pages>4</Pages>
  <Words>1856</Words>
  <Characters>10580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12412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Évaluation et examen de l’efficacité du Protocole</dc:title>
  <dc:subject>CBD/NP/MOP/5/WG.II/CRP.4</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Tatiana Zavarzina</cp:lastModifiedBy>
  <cp:revision>18</cp:revision>
  <dcterms:created xsi:type="dcterms:W3CDTF">2024-10-22T04:03:00Z</dcterms:created>
  <dcterms:modified xsi:type="dcterms:W3CDTF">2024-10-22T11:59:00Z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