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7250D2" w14:paraId="25710D62" w14:textId="77777777" w:rsidTr="00CF1848">
        <w:trPr>
          <w:trHeight w:val="709"/>
        </w:trPr>
        <w:tc>
          <w:tcPr>
            <w:tcW w:w="976" w:type="dxa"/>
            <w:tcBorders>
              <w:bottom w:val="single" w:sz="12" w:space="0" w:color="auto"/>
            </w:tcBorders>
          </w:tcPr>
          <w:p w14:paraId="7A213FBC" w14:textId="77777777" w:rsidR="00C9161D" w:rsidRPr="007250D2" w:rsidRDefault="00C9161D" w:rsidP="007250D2">
            <w:pPr>
              <w:suppressLineNumbers/>
              <w:suppressAutoHyphens/>
              <w:kinsoku w:val="0"/>
              <w:overflowPunct w:val="0"/>
              <w:autoSpaceDE w:val="0"/>
              <w:autoSpaceDN w:val="0"/>
              <w:adjustRightInd w:val="0"/>
              <w:snapToGrid w:val="0"/>
              <w:rPr>
                <w:kern w:val="22"/>
              </w:rPr>
            </w:pPr>
            <w:r>
              <w:rPr>
                <w:noProof/>
                <w:lang w:val="en-GB" w:eastAsia="en-GB"/>
              </w:rPr>
              <w:drawing>
                <wp:inline distT="0" distB="0" distL="0" distR="0" wp14:anchorId="0A2DF629" wp14:editId="20493027">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6896FCFD" w14:textId="77777777" w:rsidR="00C9161D" w:rsidRPr="007250D2" w:rsidRDefault="00AD3820" w:rsidP="007250D2">
            <w:pPr>
              <w:suppressLineNumbers/>
              <w:suppressAutoHyphens/>
              <w:kinsoku w:val="0"/>
              <w:overflowPunct w:val="0"/>
              <w:autoSpaceDE w:val="0"/>
              <w:autoSpaceDN w:val="0"/>
              <w:adjustRightInd w:val="0"/>
              <w:snapToGrid w:val="0"/>
              <w:rPr>
                <w:kern w:val="22"/>
              </w:rPr>
            </w:pPr>
            <w:r>
              <w:rPr>
                <w:noProof/>
                <w:lang w:val="en-GB" w:eastAsia="en-GB"/>
              </w:rPr>
              <w:drawing>
                <wp:inline distT="0" distB="0" distL="0" distR="0" wp14:anchorId="32C916EB" wp14:editId="67810B89">
                  <wp:extent cx="866775" cy="371475"/>
                  <wp:effectExtent l="0" t="0" r="9525" b="9525"/>
                  <wp:docPr id="2"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4090" w:type="dxa"/>
            <w:tcBorders>
              <w:bottom w:val="single" w:sz="12" w:space="0" w:color="auto"/>
            </w:tcBorders>
          </w:tcPr>
          <w:p w14:paraId="0374731F" w14:textId="77777777" w:rsidR="00C9161D" w:rsidRPr="007250D2" w:rsidRDefault="00C9161D" w:rsidP="007250D2">
            <w:pPr>
              <w:suppressLineNumbers/>
              <w:suppressAutoHyphens/>
              <w:kinsoku w:val="0"/>
              <w:overflowPunct w:val="0"/>
              <w:autoSpaceDE w:val="0"/>
              <w:autoSpaceDN w:val="0"/>
              <w:adjustRightInd w:val="0"/>
              <w:snapToGrid w:val="0"/>
              <w:jc w:val="right"/>
              <w:rPr>
                <w:rFonts w:ascii="Arial" w:hAnsi="Arial" w:cs="Arial"/>
                <w:b/>
                <w:kern w:val="22"/>
                <w:sz w:val="32"/>
                <w:szCs w:val="32"/>
              </w:rPr>
            </w:pPr>
            <w:r>
              <w:rPr>
                <w:rFonts w:ascii="Arial" w:hAnsi="Arial"/>
                <w:b/>
                <w:sz w:val="32"/>
                <w:szCs w:val="32"/>
              </w:rPr>
              <w:t>CBD</w:t>
            </w:r>
          </w:p>
        </w:tc>
      </w:tr>
      <w:tr w:rsidR="00C9161D" w:rsidRPr="007250D2" w14:paraId="0EDE5F60" w14:textId="77777777" w:rsidTr="00CF1848">
        <w:tc>
          <w:tcPr>
            <w:tcW w:w="6117" w:type="dxa"/>
            <w:gridSpan w:val="2"/>
            <w:tcBorders>
              <w:top w:val="single" w:sz="12" w:space="0" w:color="auto"/>
              <w:bottom w:val="single" w:sz="36" w:space="0" w:color="auto"/>
            </w:tcBorders>
            <w:vAlign w:val="center"/>
          </w:tcPr>
          <w:p w14:paraId="7D1B2703" w14:textId="77777777" w:rsidR="00C9161D" w:rsidRPr="007250D2" w:rsidRDefault="00722F67" w:rsidP="007250D2">
            <w:pPr>
              <w:suppressLineNumbers/>
              <w:suppressAutoHyphens/>
              <w:kinsoku w:val="0"/>
              <w:overflowPunct w:val="0"/>
              <w:autoSpaceDE w:val="0"/>
              <w:autoSpaceDN w:val="0"/>
              <w:adjustRightInd w:val="0"/>
              <w:snapToGrid w:val="0"/>
              <w:rPr>
                <w:kern w:val="22"/>
              </w:rPr>
            </w:pPr>
            <w:r>
              <w:rPr>
                <w:noProof/>
                <w:lang w:val="en-GB" w:eastAsia="en-GB"/>
              </w:rPr>
              <w:drawing>
                <wp:inline distT="0" distB="0" distL="0" distR="0" wp14:anchorId="5CA482A0" wp14:editId="2E3417A2">
                  <wp:extent cx="2616200" cy="10890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6200" cy="10890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5B4AA0F" w14:textId="77777777" w:rsidR="00C9161D" w:rsidRPr="007250D2" w:rsidRDefault="00C9161D" w:rsidP="007250D2">
            <w:pPr>
              <w:suppressLineNumbers/>
              <w:suppressAutoHyphens/>
              <w:kinsoku w:val="0"/>
              <w:overflowPunct w:val="0"/>
              <w:autoSpaceDE w:val="0"/>
              <w:autoSpaceDN w:val="0"/>
              <w:adjustRightInd w:val="0"/>
              <w:snapToGrid w:val="0"/>
              <w:ind w:left="1215"/>
              <w:rPr>
                <w:kern w:val="22"/>
                <w:szCs w:val="22"/>
              </w:rPr>
            </w:pPr>
            <w:proofErr w:type="spellStart"/>
            <w:r>
              <w:t>Distr</w:t>
            </w:r>
            <w:proofErr w:type="spellEnd"/>
            <w:r>
              <w:t>.</w:t>
            </w:r>
          </w:p>
          <w:p w14:paraId="4EECC09D" w14:textId="77777777" w:rsidR="00C9161D" w:rsidRPr="007250D2" w:rsidRDefault="00E6608C" w:rsidP="007250D2">
            <w:pPr>
              <w:suppressLineNumbers/>
              <w:suppressAutoHyphens/>
              <w:kinsoku w:val="0"/>
              <w:overflowPunct w:val="0"/>
              <w:autoSpaceDE w:val="0"/>
              <w:autoSpaceDN w:val="0"/>
              <w:adjustRightInd w:val="0"/>
              <w:snapToGrid w:val="0"/>
              <w:ind w:left="1215"/>
              <w:rPr>
                <w:kern w:val="22"/>
                <w:szCs w:val="22"/>
              </w:rPr>
            </w:pPr>
            <w:sdt>
              <w:sdtPr>
                <w:rPr>
                  <w:caps/>
                  <w:kern w:val="22"/>
                  <w:szCs w:val="22"/>
                </w:rPr>
                <w:alias w:val="Статус"/>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172AF6" w:rsidRPr="007250D2">
                  <w:rPr>
                    <w:caps/>
                    <w:kern w:val="22"/>
                    <w:szCs w:val="22"/>
                  </w:rPr>
                  <w:t>GENERAL</w:t>
                </w:r>
              </w:sdtContent>
            </w:sdt>
          </w:p>
          <w:p w14:paraId="6BA62598" w14:textId="77777777" w:rsidR="00C9161D" w:rsidRPr="007250D2" w:rsidRDefault="00C9161D" w:rsidP="007250D2">
            <w:pPr>
              <w:suppressLineNumbers/>
              <w:suppressAutoHyphens/>
              <w:kinsoku w:val="0"/>
              <w:overflowPunct w:val="0"/>
              <w:autoSpaceDE w:val="0"/>
              <w:autoSpaceDN w:val="0"/>
              <w:adjustRightInd w:val="0"/>
              <w:snapToGrid w:val="0"/>
              <w:ind w:left="1215"/>
              <w:rPr>
                <w:kern w:val="22"/>
                <w:szCs w:val="22"/>
              </w:rPr>
            </w:pPr>
          </w:p>
          <w:p w14:paraId="5FFD1AE6" w14:textId="77777777" w:rsidR="00C9161D" w:rsidRPr="007250D2" w:rsidRDefault="00E6608C" w:rsidP="007250D2">
            <w:pPr>
              <w:suppressLineNumbers/>
              <w:suppressAutoHyphens/>
              <w:kinsoku w:val="0"/>
              <w:overflowPunct w:val="0"/>
              <w:autoSpaceDE w:val="0"/>
              <w:autoSpaceDN w:val="0"/>
              <w:adjustRightInd w:val="0"/>
              <w:snapToGrid w:val="0"/>
              <w:ind w:left="1215"/>
              <w:rPr>
                <w:kern w:val="22"/>
                <w:szCs w:val="22"/>
              </w:rPr>
            </w:pPr>
            <w:sdt>
              <w:sdtPr>
                <w:rPr>
                  <w:kern w:val="22"/>
                </w:rPr>
                <w:alias w:val="CBD/NP/MOP/3/6."/>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8216DB" w:rsidRPr="007250D2">
                  <w:rPr>
                    <w:kern w:val="22"/>
                  </w:rPr>
                  <w:t>CBD/SBI/3/4/Add.1</w:t>
                </w:r>
              </w:sdtContent>
            </w:sdt>
          </w:p>
          <w:p w14:paraId="0BFDCBF0" w14:textId="77777777" w:rsidR="00C9161D" w:rsidRPr="007250D2" w:rsidRDefault="00721DC8" w:rsidP="007250D2">
            <w:pPr>
              <w:suppressLineNumbers/>
              <w:suppressAutoHyphens/>
              <w:kinsoku w:val="0"/>
              <w:overflowPunct w:val="0"/>
              <w:autoSpaceDE w:val="0"/>
              <w:autoSpaceDN w:val="0"/>
              <w:adjustRightInd w:val="0"/>
              <w:snapToGrid w:val="0"/>
              <w:ind w:left="1215"/>
              <w:rPr>
                <w:kern w:val="22"/>
                <w:szCs w:val="22"/>
              </w:rPr>
            </w:pPr>
            <w:r>
              <w:t xml:space="preserve">18 </w:t>
            </w:r>
            <w:proofErr w:type="spellStart"/>
            <w:r>
              <w:t>February</w:t>
            </w:r>
            <w:proofErr w:type="spellEnd"/>
            <w:r>
              <w:t xml:space="preserve"> 2021</w:t>
            </w:r>
          </w:p>
          <w:p w14:paraId="22857C9F" w14:textId="77777777" w:rsidR="00C9161D" w:rsidRPr="007250D2" w:rsidRDefault="00C9161D" w:rsidP="007250D2">
            <w:pPr>
              <w:suppressLineNumbers/>
              <w:suppressAutoHyphens/>
              <w:kinsoku w:val="0"/>
              <w:overflowPunct w:val="0"/>
              <w:autoSpaceDE w:val="0"/>
              <w:autoSpaceDN w:val="0"/>
              <w:adjustRightInd w:val="0"/>
              <w:snapToGrid w:val="0"/>
              <w:ind w:left="1215"/>
              <w:rPr>
                <w:kern w:val="22"/>
                <w:szCs w:val="22"/>
              </w:rPr>
            </w:pPr>
          </w:p>
          <w:p w14:paraId="760AAFB5" w14:textId="77777777" w:rsidR="00C9161D" w:rsidRPr="007250D2" w:rsidRDefault="006B2290" w:rsidP="007250D2">
            <w:pPr>
              <w:suppressLineNumbers/>
              <w:suppressAutoHyphens/>
              <w:kinsoku w:val="0"/>
              <w:overflowPunct w:val="0"/>
              <w:autoSpaceDE w:val="0"/>
              <w:autoSpaceDN w:val="0"/>
              <w:adjustRightInd w:val="0"/>
              <w:snapToGrid w:val="0"/>
              <w:ind w:left="1215"/>
              <w:rPr>
                <w:kern w:val="22"/>
                <w:szCs w:val="22"/>
              </w:rPr>
            </w:pPr>
            <w:r>
              <w:t xml:space="preserve">RUSSIAN </w:t>
            </w:r>
            <w:r>
              <w:br/>
              <w:t>ORIGINAL: ENGLISH</w:t>
            </w:r>
          </w:p>
          <w:p w14:paraId="1303ABB1" w14:textId="77777777" w:rsidR="00C9161D" w:rsidRPr="007250D2" w:rsidRDefault="00C9161D" w:rsidP="007250D2">
            <w:pPr>
              <w:suppressLineNumbers/>
              <w:suppressAutoHyphens/>
              <w:kinsoku w:val="0"/>
              <w:overflowPunct w:val="0"/>
              <w:autoSpaceDE w:val="0"/>
              <w:autoSpaceDN w:val="0"/>
              <w:adjustRightInd w:val="0"/>
              <w:snapToGrid w:val="0"/>
              <w:rPr>
                <w:kern w:val="22"/>
              </w:rPr>
            </w:pPr>
          </w:p>
        </w:tc>
      </w:tr>
    </w:tbl>
    <w:p w14:paraId="03FD9097" w14:textId="77777777" w:rsidR="00BA769C" w:rsidRPr="007250D2" w:rsidRDefault="00162171" w:rsidP="003A647C">
      <w:pPr>
        <w:pStyle w:val="meetingname"/>
        <w:suppressLineNumbers/>
        <w:suppressAutoHyphens/>
        <w:kinsoku w:val="0"/>
        <w:overflowPunct w:val="0"/>
        <w:autoSpaceDE w:val="0"/>
        <w:autoSpaceDN w:val="0"/>
        <w:adjustRightInd w:val="0"/>
        <w:snapToGrid w:val="0"/>
        <w:ind w:left="0" w:right="5918" w:firstLine="0"/>
        <w:rPr>
          <w:kern w:val="22"/>
        </w:rPr>
      </w:pPr>
      <w:bookmarkStart w:id="0" w:name="Meeting"/>
      <w:r>
        <w:t>ВСПОМОГАТЕЛЬНЫЙ ОРГАН ПО ОСУЩЕСТВЛЕНИЮ</w:t>
      </w:r>
      <w:bookmarkEnd w:id="0"/>
    </w:p>
    <w:p w14:paraId="31A09280" w14:textId="77777777" w:rsidR="00BA769C" w:rsidRPr="007250D2" w:rsidRDefault="00BA769C" w:rsidP="007250D2">
      <w:pPr>
        <w:suppressLineNumbers/>
        <w:suppressAutoHyphens/>
        <w:kinsoku w:val="0"/>
        <w:overflowPunct w:val="0"/>
        <w:autoSpaceDE w:val="0"/>
        <w:autoSpaceDN w:val="0"/>
        <w:adjustRightInd w:val="0"/>
        <w:snapToGrid w:val="0"/>
        <w:ind w:left="284" w:hanging="284"/>
        <w:jc w:val="left"/>
        <w:rPr>
          <w:snapToGrid w:val="0"/>
          <w:kern w:val="22"/>
          <w:szCs w:val="22"/>
        </w:rPr>
      </w:pPr>
      <w:r>
        <w:rPr>
          <w:snapToGrid w:val="0"/>
          <w:szCs w:val="22"/>
        </w:rPr>
        <w:t>Третье совещание</w:t>
      </w:r>
    </w:p>
    <w:p w14:paraId="78210154" w14:textId="77777777" w:rsidR="007D11C2" w:rsidRPr="007250D2" w:rsidRDefault="007D11C2" w:rsidP="007250D2">
      <w:pPr>
        <w:suppressLineNumbers/>
        <w:suppressAutoHyphens/>
        <w:kinsoku w:val="0"/>
        <w:overflowPunct w:val="0"/>
        <w:autoSpaceDE w:val="0"/>
        <w:autoSpaceDN w:val="0"/>
        <w:adjustRightInd w:val="0"/>
        <w:snapToGrid w:val="0"/>
        <w:ind w:left="284" w:hanging="284"/>
        <w:jc w:val="left"/>
        <w:rPr>
          <w:snapToGrid w:val="0"/>
          <w:kern w:val="22"/>
          <w:szCs w:val="22"/>
        </w:rPr>
      </w:pPr>
      <w:r>
        <w:rPr>
          <w:snapToGrid w:val="0"/>
          <w:szCs w:val="22"/>
        </w:rPr>
        <w:t>Место и сроки проведения будут определены позднее</w:t>
      </w:r>
    </w:p>
    <w:p w14:paraId="253CE2A3" w14:textId="77777777" w:rsidR="004C660D" w:rsidRPr="007250D2" w:rsidRDefault="00BA769C" w:rsidP="007250D2">
      <w:pPr>
        <w:pStyle w:val="Cornernotation"/>
        <w:suppressLineNumbers/>
        <w:suppressAutoHyphens/>
        <w:kinsoku w:val="0"/>
        <w:overflowPunct w:val="0"/>
        <w:autoSpaceDE w:val="0"/>
        <w:autoSpaceDN w:val="0"/>
        <w:adjustRightInd w:val="0"/>
        <w:snapToGrid w:val="0"/>
        <w:ind w:left="180" w:right="4422" w:hanging="180"/>
        <w:rPr>
          <w:kern w:val="22"/>
          <w:szCs w:val="22"/>
        </w:rPr>
      </w:pPr>
      <w:r>
        <w:rPr>
          <w:snapToGrid w:val="0"/>
          <w:szCs w:val="22"/>
        </w:rPr>
        <w:t>Пункт 5 предварительной повестки дня</w:t>
      </w:r>
      <w:r>
        <w:rPr>
          <w:rStyle w:val="Appelnotedebasdep"/>
          <w:snapToGrid w:val="0"/>
          <w:kern w:val="22"/>
          <w:szCs w:val="22"/>
        </w:rPr>
        <w:footnoteReference w:customMarkFollows="1" w:id="2"/>
        <w:t>*</w:t>
      </w:r>
    </w:p>
    <w:p w14:paraId="2BCF4914" w14:textId="77777777" w:rsidR="00C9161D" w:rsidRPr="007250D2" w:rsidRDefault="009E238D" w:rsidP="007250D2">
      <w:pPr>
        <w:pStyle w:val="Titre1"/>
        <w:suppressLineNumbers/>
        <w:tabs>
          <w:tab w:val="clear" w:pos="720"/>
        </w:tabs>
        <w:suppressAutoHyphens/>
        <w:kinsoku w:val="0"/>
        <w:overflowPunct w:val="0"/>
        <w:autoSpaceDE w:val="0"/>
        <w:autoSpaceDN w:val="0"/>
        <w:adjustRightInd w:val="0"/>
        <w:snapToGrid w:val="0"/>
        <w:rPr>
          <w:kern w:val="22"/>
          <w:szCs w:val="22"/>
        </w:rPr>
      </w:pPr>
      <w:r>
        <w:t>Коммуникация по вопросам глобальной рамочной программы в области биоразнообразия на период после 2020 года</w:t>
      </w:r>
    </w:p>
    <w:p w14:paraId="4A335124" w14:textId="77777777" w:rsidR="00960BB9" w:rsidRPr="007250D2" w:rsidRDefault="00960BB9" w:rsidP="007250D2">
      <w:pPr>
        <w:pStyle w:val="Style1"/>
        <w:suppressLineNumbers/>
        <w:suppressAutoHyphens/>
        <w:kinsoku w:val="0"/>
        <w:overflowPunct w:val="0"/>
        <w:autoSpaceDE w:val="0"/>
        <w:autoSpaceDN w:val="0"/>
        <w:adjustRightInd w:val="0"/>
        <w:snapToGrid w:val="0"/>
        <w:rPr>
          <w:b w:val="0"/>
          <w:kern w:val="22"/>
          <w:szCs w:val="22"/>
        </w:rPr>
      </w:pPr>
      <w:r>
        <w:rPr>
          <w:b w:val="0"/>
          <w:szCs w:val="22"/>
        </w:rPr>
        <w:t>Записка Исполнительного секретаря</w:t>
      </w:r>
    </w:p>
    <w:p w14:paraId="2DBCB9DB" w14:textId="77777777" w:rsidR="00B1688D" w:rsidRPr="007250D2" w:rsidRDefault="00E829C5" w:rsidP="007250D2">
      <w:pPr>
        <w:pStyle w:val="Titre1"/>
        <w:numPr>
          <w:ilvl w:val="0"/>
          <w:numId w:val="19"/>
        </w:numPr>
        <w:suppressLineNumbers/>
        <w:tabs>
          <w:tab w:val="left" w:pos="426"/>
        </w:tabs>
        <w:suppressAutoHyphens/>
        <w:kinsoku w:val="0"/>
        <w:overflowPunct w:val="0"/>
        <w:autoSpaceDE w:val="0"/>
        <w:autoSpaceDN w:val="0"/>
        <w:adjustRightInd w:val="0"/>
        <w:snapToGrid w:val="0"/>
        <w:spacing w:before="120"/>
        <w:ind w:left="0" w:firstLine="0"/>
        <w:rPr>
          <w:kern w:val="22"/>
          <w:szCs w:val="22"/>
        </w:rPr>
      </w:pPr>
      <w:r>
        <w:t>История вопроса</w:t>
      </w:r>
    </w:p>
    <w:p w14:paraId="3C32CFFD" w14:textId="2F4359CE" w:rsidR="002F48C9" w:rsidRPr="007250D2" w:rsidRDefault="002F48C9" w:rsidP="007250D2">
      <w:pPr>
        <w:pStyle w:val="Para1"/>
        <w:suppressLineNumbers/>
        <w:tabs>
          <w:tab w:val="clear" w:pos="360"/>
        </w:tabs>
        <w:suppressAutoHyphens/>
        <w:kinsoku w:val="0"/>
        <w:overflowPunct w:val="0"/>
        <w:autoSpaceDE w:val="0"/>
        <w:autoSpaceDN w:val="0"/>
        <w:adjustRightInd w:val="0"/>
        <w:snapToGrid w:val="0"/>
        <w:rPr>
          <w:kern w:val="22"/>
          <w:szCs w:val="22"/>
        </w:rPr>
      </w:pPr>
      <w:r>
        <w:t>В предварительном проекте глобальной рамочной программы в области биоразнообразия на период после 2020 года (</w:t>
      </w:r>
      <w:hyperlink r:id="rId15" w:history="1">
        <w:r>
          <w:rPr>
            <w:rStyle w:val="Lienhypertexte"/>
            <w:sz w:val="22"/>
            <w:szCs w:val="22"/>
          </w:rPr>
          <w:t>CBD/POST2020/PREP/2/1</w:t>
        </w:r>
      </w:hyperlink>
      <w:r>
        <w:t xml:space="preserve">) признается, что в ее осуществлении важное значение будет иметь информирование общественности и коммуникация. В проекте указывается, что все заинтересованные стороны должны будут вносить вклад в повышение уровня осведомленности о рамочной программе. В нем также говорится о необходимости участия всего общества в ее осуществлении. Эта деятельность включает в себя проведение мероприятий на местном, национальном, региональном и глобальном уровнях и предполагает осуществление рамочной программы </w:t>
      </w:r>
      <w:r w:rsidR="00D1422A">
        <w:t>в</w:t>
      </w:r>
      <w:r>
        <w:t xml:space="preserve"> согласовани</w:t>
      </w:r>
      <w:r w:rsidR="00D1422A">
        <w:t>и</w:t>
      </w:r>
      <w:r>
        <w:t xml:space="preserve"> с другими соответствующими международными процессами и стратегиями.</w:t>
      </w:r>
      <w:r w:rsidR="00E6608C">
        <w:rPr>
          <w:lang w:val="fr-FR"/>
        </w:rPr>
        <w:t xml:space="preserve">  </w:t>
      </w:r>
    </w:p>
    <w:p w14:paraId="0461F70E" w14:textId="77777777" w:rsidR="002F48C9" w:rsidRPr="007250D2" w:rsidRDefault="002F48C9" w:rsidP="007250D2">
      <w:pPr>
        <w:pStyle w:val="Para1"/>
        <w:suppressLineNumbers/>
        <w:tabs>
          <w:tab w:val="clear" w:pos="360"/>
        </w:tabs>
        <w:suppressAutoHyphens/>
        <w:kinsoku w:val="0"/>
        <w:overflowPunct w:val="0"/>
        <w:autoSpaceDE w:val="0"/>
        <w:autoSpaceDN w:val="0"/>
        <w:adjustRightInd w:val="0"/>
        <w:snapToGrid w:val="0"/>
        <w:rPr>
          <w:kern w:val="22"/>
          <w:szCs w:val="22"/>
        </w:rPr>
      </w:pPr>
      <w:r>
        <w:t xml:space="preserve">В решении </w:t>
      </w:r>
      <w:hyperlink r:id="rId16" w:history="1">
        <w:r>
          <w:rPr>
            <w:rStyle w:val="Lienhypertexte"/>
            <w:sz w:val="22"/>
            <w:szCs w:val="22"/>
          </w:rPr>
          <w:t>14/34</w:t>
        </w:r>
      </w:hyperlink>
      <w:r>
        <w:t xml:space="preserve"> Конференция Сторон постановила, что глобальная рамочная программа в области биоразнообразия на период после 2020 года должна сопровождаться вдохновляющей и мотивирующей миссией на период до 2030 года в качестве первого шага на пути реализации Концепции на период до 2050 года «Жизнь в гармонии с природой», которая будет опираться на последовательную, комплексную и новаторскую коммуникационную стратегию. В предварительном проекте предлагается следующая миссия на период до 2030 года: «принятие неотложных мер в масштабах всего общества для восстановления биоразнообразия в интересах людей и планеты»</w:t>
      </w:r>
      <w:r w:rsidR="00A039C3">
        <w:rPr>
          <w:lang w:val="fr-FR"/>
        </w:rPr>
        <w:t>.</w:t>
      </w:r>
    </w:p>
    <w:p w14:paraId="3D4F74E8" w14:textId="494876DA" w:rsidR="002F48C9" w:rsidRPr="007250D2" w:rsidRDefault="002F48C9" w:rsidP="007250D2">
      <w:pPr>
        <w:pStyle w:val="Para1"/>
        <w:suppressLineNumbers/>
        <w:tabs>
          <w:tab w:val="clear" w:pos="360"/>
        </w:tabs>
        <w:suppressAutoHyphens/>
        <w:kinsoku w:val="0"/>
        <w:overflowPunct w:val="0"/>
        <w:autoSpaceDE w:val="0"/>
        <w:autoSpaceDN w:val="0"/>
        <w:adjustRightInd w:val="0"/>
        <w:snapToGrid w:val="0"/>
        <w:rPr>
          <w:kern w:val="22"/>
          <w:szCs w:val="22"/>
        </w:rPr>
      </w:pPr>
      <w:r>
        <w:t xml:space="preserve">Настоящий документ призван заложить основу для разработки коммуникационной стратегии в поддержку осуществления глобальной рамочной программы в области биоразнообразия на период после 2020 года, выполнения предусмотренных в ней задач и целей и реализации миссии на период до 2030 года, которая должна быть согласована Сторонами. Окончательный вариант стратегии необходимо </w:t>
      </w:r>
      <w:r w:rsidR="00767D03">
        <w:t xml:space="preserve">будет </w:t>
      </w:r>
      <w:r>
        <w:t>доработать с учетом окончательного согласованного текста глобальной рамочной программы в области биоразнообразия на период после 2020 года и соответствующего решения 15-го совещания Конференции Сторон. Далее стратегия должна периодически пересматриваться и регулярно обновляться в соответствии с процессами, изложенными в разделе VIII ниже.</w:t>
      </w:r>
    </w:p>
    <w:p w14:paraId="2C44B130" w14:textId="77777777" w:rsidR="002F48C9" w:rsidRPr="007250D2" w:rsidRDefault="007E090F" w:rsidP="007250D2">
      <w:pPr>
        <w:pStyle w:val="Titre1"/>
        <w:suppressLineNumbers/>
        <w:tabs>
          <w:tab w:val="clear" w:pos="720"/>
          <w:tab w:val="left" w:pos="426"/>
        </w:tabs>
        <w:suppressAutoHyphens/>
        <w:kinsoku w:val="0"/>
        <w:overflowPunct w:val="0"/>
        <w:autoSpaceDE w:val="0"/>
        <w:autoSpaceDN w:val="0"/>
        <w:adjustRightInd w:val="0"/>
        <w:snapToGrid w:val="0"/>
        <w:spacing w:before="120"/>
        <w:rPr>
          <w:kern w:val="22"/>
          <w:szCs w:val="22"/>
        </w:rPr>
      </w:pPr>
      <w:r>
        <w:lastRenderedPageBreak/>
        <w:t>II.</w:t>
      </w:r>
      <w:r>
        <w:tab/>
        <w:t>СФЕРА ОХВАТА И КОНЕЧНАЯ ЦЕЛЬ КОММУНИКАЦИОННОЙ СТРАТЕГИИ</w:t>
      </w:r>
    </w:p>
    <w:p w14:paraId="624E4E29" w14:textId="77777777" w:rsidR="002F48C9" w:rsidRPr="007250D2" w:rsidRDefault="002F48C9" w:rsidP="007250D2">
      <w:pPr>
        <w:pStyle w:val="Para1"/>
        <w:suppressLineNumbers/>
        <w:tabs>
          <w:tab w:val="clear" w:pos="360"/>
        </w:tabs>
        <w:suppressAutoHyphens/>
        <w:kinsoku w:val="0"/>
        <w:overflowPunct w:val="0"/>
        <w:autoSpaceDE w:val="0"/>
        <w:autoSpaceDN w:val="0"/>
        <w:adjustRightInd w:val="0"/>
        <w:snapToGrid w:val="0"/>
        <w:rPr>
          <w:kern w:val="22"/>
          <w:szCs w:val="22"/>
        </w:rPr>
      </w:pPr>
      <w:r>
        <w:t xml:space="preserve">Изложенная ниже стратегия предназначена для использования всеми участниками и заинтересованными сторонами в качестве основы работы и мероприятий в области повышения информированности и коммуникации по вопросам осуществления глобальной рамочной программы в области биоразнообразия на период после 2020 года. Это предварительное руководство должно лечь в основу последующей разработки конкретных стратегий и планов действий на глобальном, региональном, национальном и субнациональном уровнях, а также стратегий и планов коренных народов и местных общин, с тем чтобы коммуникация о миссии на период до 2030 года </w:t>
      </w:r>
      <w:r w:rsidR="008644E4">
        <w:t>г</w:t>
      </w:r>
      <w:r>
        <w:t>лобальной рамочной программы в области биоразнообразия на период после 2020 года содействовала ее осуществлению и отвечала задачам повышения уровня информированности о соответствующих достижениях. Стратегия должна быть доработана после принятия глобальной рамочной программы на период после 2020 года и периодически пересматриваться и корректироваться в течение десятилетнего периода ее осуществления.</w:t>
      </w:r>
    </w:p>
    <w:p w14:paraId="71195EEC" w14:textId="77777777" w:rsidR="002F48C9" w:rsidRPr="007250D2" w:rsidRDefault="007E090F" w:rsidP="007250D2">
      <w:pPr>
        <w:pStyle w:val="Titre1"/>
        <w:suppressLineNumbers/>
        <w:tabs>
          <w:tab w:val="clear" w:pos="720"/>
          <w:tab w:val="left" w:pos="426"/>
        </w:tabs>
        <w:suppressAutoHyphens/>
        <w:kinsoku w:val="0"/>
        <w:overflowPunct w:val="0"/>
        <w:autoSpaceDE w:val="0"/>
        <w:autoSpaceDN w:val="0"/>
        <w:adjustRightInd w:val="0"/>
        <w:snapToGrid w:val="0"/>
        <w:spacing w:before="120"/>
        <w:rPr>
          <w:kern w:val="22"/>
          <w:szCs w:val="22"/>
        </w:rPr>
      </w:pPr>
      <w:r>
        <w:t>III.</w:t>
      </w:r>
      <w:r>
        <w:tab/>
        <w:t>Цели</w:t>
      </w:r>
    </w:p>
    <w:p w14:paraId="755B7061" w14:textId="77777777" w:rsidR="002F48C9" w:rsidRPr="007250D2" w:rsidRDefault="002F48C9" w:rsidP="007250D2">
      <w:pPr>
        <w:pStyle w:val="Para1"/>
        <w:suppressLineNumbers/>
        <w:tabs>
          <w:tab w:val="clear" w:pos="360"/>
        </w:tabs>
        <w:suppressAutoHyphens/>
        <w:kinsoku w:val="0"/>
        <w:overflowPunct w:val="0"/>
        <w:autoSpaceDE w:val="0"/>
        <w:autoSpaceDN w:val="0"/>
        <w:adjustRightInd w:val="0"/>
        <w:snapToGrid w:val="0"/>
        <w:rPr>
          <w:kern w:val="22"/>
          <w:szCs w:val="22"/>
        </w:rPr>
      </w:pPr>
      <w:r>
        <w:t>Коммуникация в рамках этой стратегии должна поддерживать усилия по реализации миссии на период до 2030 года, в том числе направленные на достижение целей, выполнение задач и воплощение теории преобразований, лежащей в основе рамочной программы. В целом стратегия призвана содействовать не только реализации миссии на период до 2030 года, но и Концепции в области биоразнообразия на период до 2050 года. В данном контексте основными являются следующие цели.</w:t>
      </w:r>
    </w:p>
    <w:p w14:paraId="4FF321C3" w14:textId="77777777" w:rsidR="002F48C9" w:rsidRPr="007250D2" w:rsidRDefault="000C5026" w:rsidP="007250D2">
      <w:pPr>
        <w:pStyle w:val="Titre2"/>
        <w:numPr>
          <w:ilvl w:val="0"/>
          <w:numId w:val="32"/>
        </w:numPr>
        <w:suppressLineNumbers/>
        <w:suppressAutoHyphens/>
        <w:kinsoku w:val="0"/>
        <w:overflowPunct w:val="0"/>
        <w:autoSpaceDE w:val="0"/>
        <w:autoSpaceDN w:val="0"/>
        <w:adjustRightInd w:val="0"/>
        <w:snapToGrid w:val="0"/>
        <w:rPr>
          <w:kern w:val="22"/>
          <w:szCs w:val="22"/>
        </w:rPr>
      </w:pPr>
      <w:r>
        <w:t>Информирование</w:t>
      </w:r>
      <w:r w:rsidR="002F48C9">
        <w:t xml:space="preserve"> о ходе осуществления глобальной рамочной программы в области биоразнообразия на период после 2020 года</w:t>
      </w:r>
    </w:p>
    <w:p w14:paraId="3D631EAA" w14:textId="77777777" w:rsidR="002F48C9" w:rsidRPr="007250D2" w:rsidRDefault="002F48C9" w:rsidP="007250D2">
      <w:pPr>
        <w:pStyle w:val="Para1"/>
        <w:suppressLineNumbers/>
        <w:tabs>
          <w:tab w:val="clear" w:pos="360"/>
        </w:tabs>
        <w:suppressAutoHyphens/>
        <w:kinsoku w:val="0"/>
        <w:overflowPunct w:val="0"/>
        <w:autoSpaceDE w:val="0"/>
        <w:autoSpaceDN w:val="0"/>
        <w:adjustRightInd w:val="0"/>
        <w:snapToGrid w:val="0"/>
        <w:rPr>
          <w:kern w:val="22"/>
          <w:szCs w:val="22"/>
        </w:rPr>
      </w:pPr>
      <w:r>
        <w:t>Информирование о ходе осуществления глобальной рамочной программы в области биоразнообразия на период после 2020 года, реализации ее миссии на период до 2030 года, а также достижении ее целей и выполнении задач на глобальном, региональном, национальном и субнациональном уровнях. Такая коммуникация должна демонстрировать осуществление рамочной программы в контексте мер, принимаемых другими заинтересованными сторонами, в том числе конвенциями, связанными с биоразнообразием, прочими субъектами повестки дня в области биоразнообразия и другими соответствующими участниками деятельности. Такие усилия позволят создать общую картину о ходе осуществления, которая придаст импульс дальнейшей реализации Концепции на период до 2050 года.</w:t>
      </w:r>
    </w:p>
    <w:p w14:paraId="1E9C3E05" w14:textId="77777777" w:rsidR="002F48C9" w:rsidRPr="007250D2" w:rsidRDefault="002F48C9" w:rsidP="007250D2">
      <w:pPr>
        <w:pStyle w:val="Titre2"/>
        <w:numPr>
          <w:ilvl w:val="0"/>
          <w:numId w:val="32"/>
        </w:numPr>
        <w:suppressLineNumbers/>
        <w:suppressAutoHyphens/>
        <w:kinsoku w:val="0"/>
        <w:overflowPunct w:val="0"/>
        <w:autoSpaceDE w:val="0"/>
        <w:autoSpaceDN w:val="0"/>
        <w:adjustRightInd w:val="0"/>
        <w:snapToGrid w:val="0"/>
        <w:rPr>
          <w:kern w:val="22"/>
          <w:szCs w:val="22"/>
        </w:rPr>
      </w:pPr>
      <w:r>
        <w:t>Настоятельный призыв к принятию мер, где они необходимы</w:t>
      </w:r>
    </w:p>
    <w:p w14:paraId="6B040C9F" w14:textId="7C047131" w:rsidR="002F48C9" w:rsidRPr="007250D2" w:rsidRDefault="00272E81" w:rsidP="007250D2">
      <w:pPr>
        <w:pStyle w:val="Para1"/>
        <w:suppressLineNumbers/>
        <w:tabs>
          <w:tab w:val="clear" w:pos="360"/>
        </w:tabs>
        <w:suppressAutoHyphens/>
        <w:kinsoku w:val="0"/>
        <w:overflowPunct w:val="0"/>
        <w:autoSpaceDE w:val="0"/>
        <w:autoSpaceDN w:val="0"/>
        <w:adjustRightInd w:val="0"/>
        <w:snapToGrid w:val="0"/>
        <w:rPr>
          <w:kern w:val="22"/>
          <w:szCs w:val="22"/>
        </w:rPr>
      </w:pPr>
      <w:r>
        <w:t xml:space="preserve">Применительно к первой цели </w:t>
      </w:r>
      <w:r w:rsidR="00363120">
        <w:t xml:space="preserve">коммуникация должна поощрять поддержку дополнительных мер, связанных с целями и задачами глобальной рамочной программы в области биоразнообразия на период после 2020 года, в отношении которых усилия не позволяют добиться достаточного прогресса. Коммуникация должна поощрять действия, поддерживая усилия в позитивном ключе, предупреждая о последствиях невыполнения целей и задач или демонстрируя, каким образом </w:t>
      </w:r>
      <w:r w:rsidR="003F4435">
        <w:t>работа</w:t>
      </w:r>
      <w:r w:rsidR="00363120">
        <w:t xml:space="preserve"> в других областях мо</w:t>
      </w:r>
      <w:r w:rsidR="003F4435">
        <w:t>же</w:t>
      </w:r>
      <w:r w:rsidR="00363120">
        <w:t xml:space="preserve">т служить примером для достижения результатов в </w:t>
      </w:r>
      <w:r w:rsidR="00757DAB">
        <w:t>реализации</w:t>
      </w:r>
      <w:r w:rsidR="00363120">
        <w:t xml:space="preserve"> миссии.</w:t>
      </w:r>
    </w:p>
    <w:p w14:paraId="1565228E" w14:textId="77777777" w:rsidR="002F48C9" w:rsidRPr="007250D2" w:rsidRDefault="002F48C9" w:rsidP="007250D2">
      <w:pPr>
        <w:pStyle w:val="Titre2"/>
        <w:numPr>
          <w:ilvl w:val="0"/>
          <w:numId w:val="32"/>
        </w:numPr>
        <w:suppressLineNumbers/>
        <w:tabs>
          <w:tab w:val="clear" w:pos="720"/>
        </w:tabs>
        <w:suppressAutoHyphens/>
        <w:kinsoku w:val="0"/>
        <w:overflowPunct w:val="0"/>
        <w:autoSpaceDE w:val="0"/>
        <w:autoSpaceDN w:val="0"/>
        <w:adjustRightInd w:val="0"/>
        <w:snapToGrid w:val="0"/>
        <w:ind w:left="992" w:hanging="425"/>
        <w:jc w:val="left"/>
        <w:rPr>
          <w:b w:val="0"/>
          <w:bCs w:val="0"/>
          <w:iCs w:val="0"/>
          <w:snapToGrid w:val="0"/>
          <w:spacing w:val="2"/>
          <w:kern w:val="22"/>
          <w:szCs w:val="22"/>
        </w:rPr>
      </w:pPr>
      <w:r>
        <w:rPr>
          <w:snapToGrid w:val="0"/>
          <w:szCs w:val="22"/>
        </w:rPr>
        <w:t>Демонстрация актуальности глобальной рамочной программы в области биоразнообразия на период после 2020 года с точки зрения решения основных глобальных задач, включая изменение климата, деградацию земель, здоровье человека и устойчивое развитие</w:t>
      </w:r>
    </w:p>
    <w:p w14:paraId="63EB5F8D" w14:textId="73F5217A" w:rsidR="002F48C9" w:rsidRPr="007250D2" w:rsidRDefault="00177025" w:rsidP="007250D2">
      <w:pPr>
        <w:pStyle w:val="Para1"/>
        <w:suppressLineNumbers/>
        <w:tabs>
          <w:tab w:val="clear" w:pos="360"/>
        </w:tabs>
        <w:suppressAutoHyphens/>
        <w:kinsoku w:val="0"/>
        <w:overflowPunct w:val="0"/>
        <w:autoSpaceDE w:val="0"/>
        <w:autoSpaceDN w:val="0"/>
        <w:adjustRightInd w:val="0"/>
        <w:snapToGrid w:val="0"/>
        <w:rPr>
          <w:kern w:val="22"/>
          <w:szCs w:val="22"/>
        </w:rPr>
      </w:pPr>
      <w:r>
        <w:t>К</w:t>
      </w:r>
      <w:r w:rsidR="002F48C9">
        <w:t>оммуникаци</w:t>
      </w:r>
      <w:r>
        <w:t>я</w:t>
      </w:r>
      <w:r w:rsidR="002F48C9">
        <w:t xml:space="preserve"> будет демонстрировать взаимосвязь между биоразнообразием и целым рядом ключевых вопросов. </w:t>
      </w:r>
      <w:r w:rsidR="00CE293E">
        <w:t>Например,</w:t>
      </w:r>
      <w:r w:rsidR="002F48C9">
        <w:t xml:space="preserve"> последствия изменения климата для биоразнообразия, а также решения по смягчению последствий изменения климата, основанные на природных процессах, в соответствии с тезисами Рамочной конвенции Организации Объединенных Наций об изменении климата. Аналогичным образом, в рамках стратегии необходимо показывать, каким </w:t>
      </w:r>
      <w:r w:rsidR="002F48C9">
        <w:lastRenderedPageBreak/>
        <w:t xml:space="preserve">образом усилия по осуществлению глобальной рамочной программы в области биоразнообразия на период после 2020 года вносят вклад в работу по линии Конвенции Организации Объединенных Наций по борьбе с опустыниванием. </w:t>
      </w:r>
      <w:r w:rsidR="0094173A">
        <w:t xml:space="preserve">Основные идеи </w:t>
      </w:r>
      <w:r w:rsidR="002F48C9">
        <w:t xml:space="preserve">Конвенции о биологическом разнообразии должны быть увязаны с повесткой дня и </w:t>
      </w:r>
      <w:r w:rsidR="0094173A">
        <w:t>тезисами</w:t>
      </w:r>
      <w:r w:rsidR="002F48C9">
        <w:t xml:space="preserve"> о</w:t>
      </w:r>
      <w:r w:rsidR="00A758C1">
        <w:t>б обеспечении</w:t>
      </w:r>
      <w:r w:rsidR="002F48C9">
        <w:t xml:space="preserve"> </w:t>
      </w:r>
      <w:r w:rsidR="00A758C1" w:rsidRPr="00A758C1">
        <w:rPr>
          <w:rStyle w:val="lev"/>
          <w:b w:val="0"/>
        </w:rPr>
        <w:t>нейтральности</w:t>
      </w:r>
      <w:r w:rsidR="00A758C1">
        <w:rPr>
          <w:rStyle w:val="lev"/>
        </w:rPr>
        <w:t xml:space="preserve"> </w:t>
      </w:r>
      <w:r w:rsidR="00A758C1">
        <w:t xml:space="preserve">в </w:t>
      </w:r>
      <w:r w:rsidR="002F48C9">
        <w:t>деградации земель Конвенции Организации Объединенных Наций по борьбе с опустыниванием, а также с целями Десятилетия Организации Объединенных Наций по восстановлению экосистем</w:t>
      </w:r>
      <w:r w:rsidR="00DE3D5F" w:rsidRPr="007250D2">
        <w:rPr>
          <w:rStyle w:val="Appelnotedebasdep"/>
          <w:kern w:val="22"/>
          <w:szCs w:val="22"/>
        </w:rPr>
        <w:footnoteReference w:id="3"/>
      </w:r>
      <w:r w:rsidR="002F48C9">
        <w:t>.</w:t>
      </w:r>
    </w:p>
    <w:p w14:paraId="57BD8661" w14:textId="77777777" w:rsidR="002F48C9" w:rsidRPr="007250D2" w:rsidRDefault="002F48C9" w:rsidP="007250D2">
      <w:pPr>
        <w:pStyle w:val="Para1"/>
        <w:suppressLineNumbers/>
        <w:tabs>
          <w:tab w:val="clear" w:pos="360"/>
        </w:tabs>
        <w:suppressAutoHyphens/>
        <w:kinsoku w:val="0"/>
        <w:overflowPunct w:val="0"/>
        <w:autoSpaceDE w:val="0"/>
        <w:autoSpaceDN w:val="0"/>
        <w:adjustRightInd w:val="0"/>
        <w:snapToGrid w:val="0"/>
        <w:rPr>
          <w:kern w:val="22"/>
          <w:szCs w:val="22"/>
        </w:rPr>
      </w:pPr>
      <w:r>
        <w:t xml:space="preserve">Здоровье человека также </w:t>
      </w:r>
      <w:r w:rsidR="00842CC7">
        <w:t>входит в число</w:t>
      </w:r>
      <w:r>
        <w:t xml:space="preserve"> основных вопросов, где необходимо подчеркивать, что вклад в осуществление рамочной программы позволит достичь результатов, выходящих за рамки повестки дня в области биоразнообразия. К ключевым темам относ</w:t>
      </w:r>
      <w:r w:rsidR="00F27B3B">
        <w:t>и</w:t>
      </w:r>
      <w:r>
        <w:t>тся взаимосвязь работы в рамках концепции «Единое здоровье» с профилактикой пандемий и другими вопросами здравоохранения.</w:t>
      </w:r>
    </w:p>
    <w:p w14:paraId="1CD90F22" w14:textId="77777777" w:rsidR="00AC7680" w:rsidRPr="007250D2" w:rsidRDefault="00AC7680" w:rsidP="007250D2">
      <w:pPr>
        <w:pStyle w:val="Para1"/>
        <w:suppressLineNumbers/>
        <w:tabs>
          <w:tab w:val="clear" w:pos="360"/>
        </w:tabs>
        <w:suppressAutoHyphens/>
        <w:kinsoku w:val="0"/>
        <w:overflowPunct w:val="0"/>
        <w:autoSpaceDE w:val="0"/>
        <w:autoSpaceDN w:val="0"/>
        <w:adjustRightInd w:val="0"/>
        <w:snapToGrid w:val="0"/>
        <w:rPr>
          <w:kern w:val="22"/>
          <w:szCs w:val="22"/>
        </w:rPr>
      </w:pPr>
      <w:r>
        <w:t>Тесная вз</w:t>
      </w:r>
      <w:r w:rsidR="00342261">
        <w:t>а</w:t>
      </w:r>
      <w:r>
        <w:t>имосвязь глобальной рамочной программы в области биоразнообразия на период после 2020 года и целей Повестки дня в области устойчивого развития на период до 2030 года</w:t>
      </w:r>
      <w:r w:rsidR="006F3D05" w:rsidRPr="007250D2">
        <w:rPr>
          <w:rStyle w:val="Appelnotedebasdep"/>
          <w:kern w:val="22"/>
          <w:szCs w:val="22"/>
        </w:rPr>
        <w:footnoteReference w:id="4"/>
      </w:r>
      <w:r>
        <w:t xml:space="preserve"> также станет важным пунктом для коммуникации и обеспечения синергетического эффекта. Тесная увязка этих двух повесток дня </w:t>
      </w:r>
      <w:r w:rsidR="00FA4C9F">
        <w:t>позволят повысить эффективность</w:t>
      </w:r>
      <w:r>
        <w:t xml:space="preserve"> усили</w:t>
      </w:r>
      <w:r w:rsidR="00FA4C9F">
        <w:t>й</w:t>
      </w:r>
      <w:r>
        <w:t>.</w:t>
      </w:r>
    </w:p>
    <w:p w14:paraId="4E26414D" w14:textId="1E1244A0" w:rsidR="002F48C9" w:rsidRPr="007250D2" w:rsidRDefault="002F48C9" w:rsidP="007250D2">
      <w:pPr>
        <w:pStyle w:val="Para1"/>
        <w:suppressLineNumbers/>
        <w:tabs>
          <w:tab w:val="clear" w:pos="360"/>
        </w:tabs>
        <w:suppressAutoHyphens/>
        <w:kinsoku w:val="0"/>
        <w:overflowPunct w:val="0"/>
        <w:autoSpaceDE w:val="0"/>
        <w:autoSpaceDN w:val="0"/>
        <w:adjustRightInd w:val="0"/>
        <w:snapToGrid w:val="0"/>
        <w:rPr>
          <w:kern w:val="22"/>
          <w:szCs w:val="22"/>
        </w:rPr>
      </w:pPr>
      <w:r>
        <w:t xml:space="preserve">С учетом вышеизложенного особое внимание будет уделяться развитию взаимосвязей между усилиями в области коммуникации и стремлением к достижению синергетического эффекта. </w:t>
      </w:r>
      <w:r w:rsidR="00FE743A">
        <w:t>В этом направлении у</w:t>
      </w:r>
      <w:r>
        <w:t xml:space="preserve">же существуют положительные примеры, в числе которых можно отметить роль биоразнообразия в повестке дня в области устойчивого развития, биоразнообразие для обеспечения продовольственной безопасности, </w:t>
      </w:r>
      <w:r w:rsidR="00A927C6">
        <w:t xml:space="preserve">основанные на природных процессах </w:t>
      </w:r>
      <w:r>
        <w:t>решения в вопрос</w:t>
      </w:r>
      <w:r w:rsidR="00342261">
        <w:t>ах</w:t>
      </w:r>
      <w:r>
        <w:t xml:space="preserve"> борьбы с изменением климата и коммуникация о роли биоразнообразия для здоровья.</w:t>
      </w:r>
    </w:p>
    <w:p w14:paraId="2CA3F86C" w14:textId="77777777" w:rsidR="002F48C9" w:rsidRPr="007250D2" w:rsidRDefault="00567B53" w:rsidP="007250D2">
      <w:pPr>
        <w:pStyle w:val="Titre2"/>
        <w:numPr>
          <w:ilvl w:val="0"/>
          <w:numId w:val="32"/>
        </w:numPr>
        <w:suppressLineNumbers/>
        <w:tabs>
          <w:tab w:val="clear" w:pos="720"/>
          <w:tab w:val="left" w:pos="1134"/>
        </w:tabs>
        <w:suppressAutoHyphens/>
        <w:kinsoku w:val="0"/>
        <w:overflowPunct w:val="0"/>
        <w:autoSpaceDE w:val="0"/>
        <w:autoSpaceDN w:val="0"/>
        <w:adjustRightInd w:val="0"/>
        <w:snapToGrid w:val="0"/>
        <w:ind w:left="1134" w:hanging="567"/>
        <w:jc w:val="left"/>
        <w:rPr>
          <w:kern w:val="22"/>
          <w:szCs w:val="22"/>
        </w:rPr>
      </w:pPr>
      <w:r>
        <w:t>Содействие</w:t>
      </w:r>
      <w:r w:rsidR="002F48C9">
        <w:t xml:space="preserve"> учет</w:t>
      </w:r>
      <w:r>
        <w:t>у</w:t>
      </w:r>
      <w:r w:rsidR="002F48C9">
        <w:t xml:space="preserve"> и повышени</w:t>
      </w:r>
      <w:r w:rsidR="00732468">
        <w:t>ю</w:t>
      </w:r>
      <w:r w:rsidR="002F48C9">
        <w:t xml:space="preserve"> актуальности рамочной программы для субъектов вне сообщества, занимающегося вопросами биоразнообразия</w:t>
      </w:r>
    </w:p>
    <w:p w14:paraId="297E0BB8" w14:textId="77777777" w:rsidR="002F48C9" w:rsidRPr="007250D2" w:rsidRDefault="00A37AAC" w:rsidP="007250D2">
      <w:pPr>
        <w:pStyle w:val="Para1"/>
        <w:suppressLineNumbers/>
        <w:tabs>
          <w:tab w:val="clear" w:pos="360"/>
        </w:tabs>
        <w:suppressAutoHyphens/>
        <w:kinsoku w:val="0"/>
        <w:overflowPunct w:val="0"/>
        <w:autoSpaceDE w:val="0"/>
        <w:autoSpaceDN w:val="0"/>
        <w:adjustRightInd w:val="0"/>
        <w:snapToGrid w:val="0"/>
        <w:rPr>
          <w:kern w:val="22"/>
          <w:szCs w:val="22"/>
        </w:rPr>
      </w:pPr>
      <w:r>
        <w:t xml:space="preserve">Глобальная рамочная программа в области биоразнообразия на период после 2020 года потребует участия всего общества в ее осуществлении. Эта работа предполагает мероприятия на субнациональном, национальном, региональном и глобальном уровнях и осуществление рамочной программы с обеспечением согласованности с другими соответствующими международными процессами и стратегиями. Поэтому коммуникационная стратегия должна быть ориентирована на целый ряд субъектов, которые до настоящего времени не участвовали в работе по достижению целей Конвенции о биологическом разнообразии, но чьи действия фактически оказывают влияние на повестку дня в области биоразнообразия. Сектора, обозначенные на 13-м и 14-м совещаниях Конференции Сторон, </w:t>
      </w:r>
      <w:r w:rsidR="00677CAE">
        <w:t>на уровне</w:t>
      </w:r>
      <w:r>
        <w:t xml:space="preserve"> которых необходимо обеспечить учет проблематики биоразнообразия, являются примерами тех сообществ, на привлечение которых следует ориентироваться. При привлечении этих сообществ приоритетное внимание следует уделять основным </w:t>
      </w:r>
      <w:r w:rsidR="00E64601">
        <w:t>задачам</w:t>
      </w:r>
      <w:r>
        <w:t>, стоящим перед этими секторами, и воздействию на них биоразнообразия.</w:t>
      </w:r>
    </w:p>
    <w:p w14:paraId="63946C6E" w14:textId="77777777" w:rsidR="00D870C4" w:rsidRPr="007250D2" w:rsidRDefault="00D870C4" w:rsidP="007250D2">
      <w:pPr>
        <w:pStyle w:val="Para1"/>
        <w:suppressLineNumbers/>
        <w:tabs>
          <w:tab w:val="clear" w:pos="360"/>
        </w:tabs>
        <w:suppressAutoHyphens/>
        <w:kinsoku w:val="0"/>
        <w:overflowPunct w:val="0"/>
        <w:autoSpaceDE w:val="0"/>
        <w:autoSpaceDN w:val="0"/>
        <w:adjustRightInd w:val="0"/>
        <w:snapToGrid w:val="0"/>
        <w:rPr>
          <w:kern w:val="22"/>
          <w:szCs w:val="22"/>
        </w:rPr>
      </w:pPr>
      <w:r>
        <w:t>Кроме того, согласно данному подходу, коммуникационные стратегии должны отвечать целям обеспечения общегосударственного подхода к осуществлению. Хотя некоторые ключевые министерства уже принимают участие в осуществлении планов по реализации Концепции на период до 2050 года, необходимо обеспечить коммуникацию между всеми государственными министерствами, и чтобы эти усилия способствовали активизации деятельности.</w:t>
      </w:r>
    </w:p>
    <w:p w14:paraId="5010A8F4" w14:textId="77777777" w:rsidR="002F48C9" w:rsidRPr="007250D2" w:rsidRDefault="002F48C9" w:rsidP="007250D2">
      <w:pPr>
        <w:pStyle w:val="Para1"/>
        <w:suppressLineNumbers/>
        <w:tabs>
          <w:tab w:val="clear" w:pos="360"/>
        </w:tabs>
        <w:suppressAutoHyphens/>
        <w:kinsoku w:val="0"/>
        <w:overflowPunct w:val="0"/>
        <w:autoSpaceDE w:val="0"/>
        <w:autoSpaceDN w:val="0"/>
        <w:adjustRightInd w:val="0"/>
        <w:snapToGrid w:val="0"/>
        <w:rPr>
          <w:kern w:val="22"/>
          <w:szCs w:val="22"/>
        </w:rPr>
      </w:pPr>
      <w:r>
        <w:t xml:space="preserve">Финансовый сектор и деловые круги являются важной целевой аудиторией для коммуникации. Поскольку они являются </w:t>
      </w:r>
      <w:r w:rsidR="00185549">
        <w:t>крупными</w:t>
      </w:r>
      <w:r>
        <w:t xml:space="preserve"> пользователями биоразнообразия и его экосистемных услуг, способность деловых кругов поддерживать устойчивое потребление будет иметь решающее значение для достижения целей Конвенции. Большую роль играет связь между </w:t>
      </w:r>
      <w:r>
        <w:lastRenderedPageBreak/>
        <w:t>сохранением и устойчивым использованием биоразнообразия и корпоративной социальной ответственностью</w:t>
      </w:r>
      <w:r w:rsidR="00293DFE">
        <w:t>, а</w:t>
      </w:r>
      <w:r>
        <w:t xml:space="preserve"> </w:t>
      </w:r>
      <w:r w:rsidR="00293DFE">
        <w:t>е</w:t>
      </w:r>
      <w:r>
        <w:t>ще важнее распространять информацию об экономическ</w:t>
      </w:r>
      <w:r w:rsidR="00293DFE">
        <w:t>их</w:t>
      </w:r>
      <w:r>
        <w:t xml:space="preserve"> и </w:t>
      </w:r>
      <w:r w:rsidR="00293DFE">
        <w:t>финансовых</w:t>
      </w:r>
      <w:r>
        <w:t xml:space="preserve"> обосновани</w:t>
      </w:r>
      <w:r w:rsidR="00293DFE">
        <w:t>ях</w:t>
      </w:r>
      <w:r>
        <w:t xml:space="preserve"> сохранения биоразнообразия. Кроме того, важным элементом является роль бизнеса как пользователя генетических ресурсов в контексте Нагойского протокола регулирования доступа к генетическим ресурсам и совместного использования выгод.</w:t>
      </w:r>
    </w:p>
    <w:p w14:paraId="2A2E6F2F" w14:textId="77777777" w:rsidR="002F48C9" w:rsidRPr="007250D2" w:rsidRDefault="002F48C9" w:rsidP="007250D2">
      <w:pPr>
        <w:pStyle w:val="Titre2"/>
        <w:numPr>
          <w:ilvl w:val="0"/>
          <w:numId w:val="32"/>
        </w:numPr>
        <w:suppressLineNumbers/>
        <w:suppressAutoHyphens/>
        <w:kinsoku w:val="0"/>
        <w:overflowPunct w:val="0"/>
        <w:autoSpaceDE w:val="0"/>
        <w:autoSpaceDN w:val="0"/>
        <w:adjustRightInd w:val="0"/>
        <w:snapToGrid w:val="0"/>
        <w:rPr>
          <w:kern w:val="22"/>
          <w:szCs w:val="22"/>
        </w:rPr>
      </w:pPr>
      <w:r>
        <w:t>Обеспечение представленности ключевых заинтересованных сторон</w:t>
      </w:r>
    </w:p>
    <w:p w14:paraId="526C300C" w14:textId="77777777" w:rsidR="002F48C9" w:rsidRPr="007250D2" w:rsidRDefault="002F48C9" w:rsidP="007250D2">
      <w:pPr>
        <w:pStyle w:val="Para1"/>
        <w:suppressLineNumbers/>
        <w:tabs>
          <w:tab w:val="clear" w:pos="360"/>
        </w:tabs>
        <w:suppressAutoHyphens/>
        <w:kinsoku w:val="0"/>
        <w:overflowPunct w:val="0"/>
        <w:autoSpaceDE w:val="0"/>
        <w:autoSpaceDN w:val="0"/>
        <w:adjustRightInd w:val="0"/>
        <w:snapToGrid w:val="0"/>
        <w:rPr>
          <w:kern w:val="22"/>
          <w:szCs w:val="22"/>
        </w:rPr>
      </w:pPr>
      <w:r>
        <w:t>Помимо обозначенных выше основных аудиторий важно ориентировать коммуникацию на коренные народы и местные общины, молодежь, женщин и важные сектора гражданского общества, а также обеспечить их участие в работе в области коммуникации. Гендерная проблематика должна учитываться во всех аспектах деятельности.</w:t>
      </w:r>
    </w:p>
    <w:p w14:paraId="1B7C0B43" w14:textId="77777777" w:rsidR="002F48C9" w:rsidRPr="007250D2" w:rsidRDefault="002F48C9" w:rsidP="007250D2">
      <w:pPr>
        <w:pStyle w:val="Titre2"/>
        <w:numPr>
          <w:ilvl w:val="0"/>
          <w:numId w:val="32"/>
        </w:numPr>
        <w:suppressLineNumbers/>
        <w:suppressAutoHyphens/>
        <w:kinsoku w:val="0"/>
        <w:overflowPunct w:val="0"/>
        <w:autoSpaceDE w:val="0"/>
        <w:autoSpaceDN w:val="0"/>
        <w:adjustRightInd w:val="0"/>
        <w:snapToGrid w:val="0"/>
        <w:rPr>
          <w:kern w:val="22"/>
          <w:szCs w:val="22"/>
        </w:rPr>
      </w:pPr>
      <w:r>
        <w:t>Мониторинг осуществления в целях обеспечения дальнейшей поддержки</w:t>
      </w:r>
    </w:p>
    <w:p w14:paraId="00C8C716" w14:textId="77777777" w:rsidR="002F48C9" w:rsidRPr="007250D2" w:rsidRDefault="002F48C9" w:rsidP="007250D2">
      <w:pPr>
        <w:pStyle w:val="Para1"/>
        <w:suppressLineNumbers/>
        <w:tabs>
          <w:tab w:val="clear" w:pos="360"/>
        </w:tabs>
        <w:suppressAutoHyphens/>
        <w:kinsoku w:val="0"/>
        <w:overflowPunct w:val="0"/>
        <w:autoSpaceDE w:val="0"/>
        <w:autoSpaceDN w:val="0"/>
        <w:adjustRightInd w:val="0"/>
        <w:snapToGrid w:val="0"/>
        <w:rPr>
          <w:kern w:val="22"/>
          <w:szCs w:val="22"/>
        </w:rPr>
      </w:pPr>
      <w:r>
        <w:t xml:space="preserve">Стратегия также должна содержать отдельный элемент, обеспечивающий прозрачность мониторинга осуществления рамочной программы и доведение информации о </w:t>
      </w:r>
      <w:r w:rsidR="002C3005">
        <w:t>нем</w:t>
      </w:r>
      <w:r>
        <w:t xml:space="preserve"> в доступной форме для средств информации и других участников. Цель будет заключаться в том, чтобы использовать коммуникацию о достигнутых результатах в качестве инструмента для обеспечения более эффективного осуществления на всех уровнях. Конвенция о биологическом разнообразии и национальные субъекты деятельности должны на транспарентной и регулярной основе представлять обновленную информацию о достигнутом прогрессе в соответствии с основными и прочими индикаторами механизма мониторинга через центральный портал, связанный с механизмом посредничества и коммуникационными платформами Конвенции, а также через национальные платформы.</w:t>
      </w:r>
    </w:p>
    <w:p w14:paraId="318A3DE2" w14:textId="3DDF78FB" w:rsidR="002F48C9" w:rsidRPr="007250D2" w:rsidRDefault="002F48C9" w:rsidP="007250D2">
      <w:pPr>
        <w:pStyle w:val="Para1"/>
        <w:suppressLineNumbers/>
        <w:tabs>
          <w:tab w:val="clear" w:pos="360"/>
        </w:tabs>
        <w:suppressAutoHyphens/>
        <w:kinsoku w:val="0"/>
        <w:overflowPunct w:val="0"/>
        <w:autoSpaceDE w:val="0"/>
        <w:autoSpaceDN w:val="0"/>
        <w:adjustRightInd w:val="0"/>
        <w:snapToGrid w:val="0"/>
        <w:rPr>
          <w:kern w:val="22"/>
          <w:szCs w:val="22"/>
        </w:rPr>
      </w:pPr>
      <w:r>
        <w:t xml:space="preserve">Данные должны представляться в формате, позволяющем традиционным и онлайновым средствам информации иметь к ним </w:t>
      </w:r>
      <w:r w:rsidR="00E377C5" w:rsidRPr="00E377C5">
        <w:rPr>
          <w:rStyle w:val="lev"/>
          <w:b w:val="0"/>
        </w:rPr>
        <w:t>беспрепятственный</w:t>
      </w:r>
      <w:r w:rsidR="00E377C5">
        <w:rPr>
          <w:rStyle w:val="lev"/>
        </w:rPr>
        <w:t xml:space="preserve"> </w:t>
      </w:r>
      <w:r>
        <w:t xml:space="preserve">доступ, а затем обрабатывать их для публикации. </w:t>
      </w:r>
      <w:r w:rsidR="00DA00D0">
        <w:t>Значительную</w:t>
      </w:r>
      <w:r>
        <w:t xml:space="preserve"> роль играет интеграция этих данных в инструменты визуализации данных. Важным шагом в выполнении этой задачи станет налаживание партнерских отношений со средствами информации, которые являются экспертами в </w:t>
      </w:r>
      <w:r w:rsidR="00024688">
        <w:t>данной</w:t>
      </w:r>
      <w:r>
        <w:t xml:space="preserve"> области. Источники данных и обоснование для всех индикаторов должны быть легкодоступными и понятными как для лиц, обладающих техническими знаниями, так и не обладающих ими. В рамках любых групп технических экспертов, создаваемых для разработки индикаторов, следует также обсуждать элемент коммуникации по соответствующим индикаторам.</w:t>
      </w:r>
    </w:p>
    <w:p w14:paraId="1F74C4FF" w14:textId="77777777" w:rsidR="002F48C9" w:rsidRPr="007250D2" w:rsidRDefault="00235E87" w:rsidP="007250D2">
      <w:pPr>
        <w:pStyle w:val="Para1"/>
        <w:suppressLineNumbers/>
        <w:tabs>
          <w:tab w:val="clear" w:pos="360"/>
        </w:tabs>
        <w:suppressAutoHyphens/>
        <w:kinsoku w:val="0"/>
        <w:overflowPunct w:val="0"/>
        <w:autoSpaceDE w:val="0"/>
        <w:autoSpaceDN w:val="0"/>
        <w:adjustRightInd w:val="0"/>
        <w:snapToGrid w:val="0"/>
        <w:rPr>
          <w:kern w:val="22"/>
          <w:szCs w:val="22"/>
        </w:rPr>
      </w:pPr>
      <w:r>
        <w:t>Обращения</w:t>
      </w:r>
      <w:r w:rsidR="00F46D13">
        <w:t>, связанные с элементом мониторинга, должны предполагать периодичность на ежегодной или двухгодичной основе и увязываться с Международным днем биоразнообразия или каким-либо другим соответствующим мероприятием. При подготовке и презентации будущих изданий «Глобальной перспективы в области биоразнообразия» следует также учитывать необходимост</w:t>
      </w:r>
      <w:r>
        <w:t>ь</w:t>
      </w:r>
      <w:r w:rsidR="00F46D13">
        <w:t xml:space="preserve"> коммуникации о процессе осуществления. Бюджеты </w:t>
      </w:r>
      <w:r w:rsidR="002D29C1">
        <w:t xml:space="preserve">изданий </w:t>
      </w:r>
      <w:r w:rsidR="00F46D13">
        <w:t>«Глобальной перспективы в области биоразнообразия» должны предусматривать достаточные ресурсы для выполнения этой задачи.</w:t>
      </w:r>
    </w:p>
    <w:p w14:paraId="5DB62AF6" w14:textId="77777777" w:rsidR="002F48C9" w:rsidRPr="007250D2" w:rsidRDefault="007E090F" w:rsidP="007250D2">
      <w:pPr>
        <w:pStyle w:val="Titre1"/>
        <w:suppressLineNumbers/>
        <w:tabs>
          <w:tab w:val="clear" w:pos="720"/>
          <w:tab w:val="left" w:pos="426"/>
        </w:tabs>
        <w:suppressAutoHyphens/>
        <w:kinsoku w:val="0"/>
        <w:overflowPunct w:val="0"/>
        <w:autoSpaceDE w:val="0"/>
        <w:autoSpaceDN w:val="0"/>
        <w:adjustRightInd w:val="0"/>
        <w:snapToGrid w:val="0"/>
        <w:spacing w:before="120"/>
        <w:rPr>
          <w:kern w:val="22"/>
          <w:szCs w:val="22"/>
        </w:rPr>
      </w:pPr>
      <w:r>
        <w:t>IV.</w:t>
      </w:r>
      <w:r>
        <w:tab/>
        <w:t>КЛЮЧЕВЫЕ ТЕЗИСЫ</w:t>
      </w:r>
    </w:p>
    <w:p w14:paraId="309B0A07" w14:textId="6317176D" w:rsidR="002F48C9" w:rsidRPr="007250D2" w:rsidRDefault="002F48C9" w:rsidP="007250D2">
      <w:pPr>
        <w:pStyle w:val="Para1"/>
        <w:suppressLineNumbers/>
        <w:tabs>
          <w:tab w:val="clear" w:pos="360"/>
        </w:tabs>
        <w:suppressAutoHyphens/>
        <w:kinsoku w:val="0"/>
        <w:overflowPunct w:val="0"/>
        <w:autoSpaceDE w:val="0"/>
        <w:autoSpaceDN w:val="0"/>
        <w:adjustRightInd w:val="0"/>
        <w:snapToGrid w:val="0"/>
        <w:spacing w:after="240"/>
        <w:rPr>
          <w:kern w:val="22"/>
          <w:szCs w:val="22"/>
        </w:rPr>
      </w:pPr>
      <w:r>
        <w:t>Структура</w:t>
      </w:r>
      <w:r w:rsidR="00911540">
        <w:rPr>
          <w:lang w:val="fr-FR"/>
        </w:rPr>
        <w:t xml:space="preserve"> </w:t>
      </w:r>
      <w:r w:rsidR="00911540">
        <w:t>коммуникационных тезисов</w:t>
      </w:r>
      <w:r>
        <w:t xml:space="preserve"> должна быть разработана в рамках цикличного процесса, описанного далее в настоящем плане. Общий </w:t>
      </w:r>
      <w:r w:rsidR="00911540">
        <w:t>всеобъемлющий</w:t>
      </w:r>
      <w:r>
        <w:t xml:space="preserve"> комплекс </w:t>
      </w:r>
      <w:r w:rsidR="00911540">
        <w:t>тезисов</w:t>
      </w:r>
      <w:r>
        <w:t xml:space="preserve">, предназначенный для использования всеми участниками процесса, будет применяться для кампаний по мобилизации общественности и информационно-просветительских кампаний. При этом будут разработаны </w:t>
      </w:r>
      <w:r w:rsidR="00911540">
        <w:t xml:space="preserve">тезисы </w:t>
      </w:r>
      <w:r>
        <w:t xml:space="preserve">для отдельных секторов, ориентированные на конкретную аудиторию. Они будут формулироваться организациями, работающими с этими секторами. Кроме того, в основу структуры </w:t>
      </w:r>
      <w:r w:rsidR="00911540">
        <w:t xml:space="preserve">тезисов </w:t>
      </w:r>
      <w:r>
        <w:t xml:space="preserve">ляжет принцип кампании на основе открытых источников информации, которая транслирует основные идеи, но при этом позволяет различным организациям адаптировать их. Эти </w:t>
      </w:r>
      <w:r w:rsidR="00911540">
        <w:t>коммуникационные тезисы</w:t>
      </w:r>
      <w:r w:rsidR="00911540" w:rsidDel="00911540">
        <w:t xml:space="preserve"> </w:t>
      </w:r>
      <w:r>
        <w:t xml:space="preserve">также предполагают цикличность для национального и субнационального уровней. В приведенной ниже таблице представлена примерная </w:t>
      </w:r>
      <w:r>
        <w:lastRenderedPageBreak/>
        <w:t xml:space="preserve">структура такой матрицы </w:t>
      </w:r>
      <w:r w:rsidR="003C6214">
        <w:t xml:space="preserve">для </w:t>
      </w:r>
      <w:r w:rsidR="00911540">
        <w:t>тезисов</w:t>
      </w:r>
      <w:r>
        <w:t xml:space="preserve">. Таблица не содержит окончательную формулировку </w:t>
      </w:r>
      <w:r w:rsidR="00911540">
        <w:t>тезисов</w:t>
      </w:r>
      <w:r>
        <w:t xml:space="preserve">, а скорее указания на </w:t>
      </w:r>
      <w:r w:rsidR="00911540">
        <w:t xml:space="preserve">их </w:t>
      </w:r>
      <w:r>
        <w:t>типы.</w:t>
      </w:r>
    </w:p>
    <w:tbl>
      <w:tblPr>
        <w:tblStyle w:val="Grilledutableau"/>
        <w:tblW w:w="0" w:type="auto"/>
        <w:tblInd w:w="279" w:type="dxa"/>
        <w:tblLook w:val="04A0" w:firstRow="1" w:lastRow="0" w:firstColumn="1" w:lastColumn="0" w:noHBand="0" w:noVBand="1"/>
      </w:tblPr>
      <w:tblGrid>
        <w:gridCol w:w="4807"/>
        <w:gridCol w:w="4366"/>
      </w:tblGrid>
      <w:tr w:rsidR="00711F38" w:rsidRPr="007250D2" w14:paraId="2BDDA236" w14:textId="77777777" w:rsidTr="00F452B6">
        <w:tc>
          <w:tcPr>
            <w:tcW w:w="9173" w:type="dxa"/>
            <w:gridSpan w:val="2"/>
            <w:vAlign w:val="center"/>
          </w:tcPr>
          <w:p w14:paraId="46DC8ADB" w14:textId="472C224B" w:rsidR="00711F38" w:rsidRPr="007250D2" w:rsidRDefault="00711F38" w:rsidP="007250D2">
            <w:pPr>
              <w:pStyle w:val="Paragraphedeliste"/>
              <w:suppressLineNumbers/>
              <w:suppressAutoHyphens/>
              <w:kinsoku w:val="0"/>
              <w:overflowPunct w:val="0"/>
              <w:autoSpaceDE w:val="0"/>
              <w:autoSpaceDN w:val="0"/>
              <w:adjustRightInd w:val="0"/>
              <w:snapToGrid w:val="0"/>
              <w:spacing w:before="20" w:after="20"/>
              <w:ind w:left="0"/>
              <w:contextualSpacing w:val="0"/>
              <w:jc w:val="center"/>
              <w:rPr>
                <w:b/>
                <w:bCs/>
                <w:kern w:val="22"/>
                <w:szCs w:val="22"/>
              </w:rPr>
            </w:pPr>
            <w:r>
              <w:rPr>
                <w:b/>
                <w:bCs/>
                <w:szCs w:val="22"/>
              </w:rPr>
              <w:t>ОСНОВНО</w:t>
            </w:r>
            <w:r w:rsidR="00F6225F">
              <w:rPr>
                <w:b/>
                <w:bCs/>
                <w:szCs w:val="22"/>
              </w:rPr>
              <w:t xml:space="preserve">Й ТЕЗИС </w:t>
            </w:r>
            <w:r>
              <w:rPr>
                <w:b/>
                <w:bCs/>
                <w:szCs w:val="22"/>
              </w:rPr>
              <w:t xml:space="preserve">И </w:t>
            </w:r>
            <w:proofErr w:type="gramStart"/>
            <w:r>
              <w:rPr>
                <w:b/>
                <w:bCs/>
                <w:szCs w:val="22"/>
              </w:rPr>
              <w:t>СЛОГАН</w:t>
            </w:r>
            <w:proofErr w:type="gramEnd"/>
            <w:r>
              <w:rPr>
                <w:b/>
                <w:bCs/>
                <w:szCs w:val="22"/>
              </w:rPr>
              <w:t xml:space="preserve"> И СООТВЕТСТВУЮЩИЕ ХЭШТЭГИ</w:t>
            </w:r>
          </w:p>
          <w:p w14:paraId="15C7C502" w14:textId="77777777" w:rsidR="00342DE5" w:rsidRPr="007250D2" w:rsidRDefault="00A01C37" w:rsidP="007250D2">
            <w:pPr>
              <w:pStyle w:val="Paragraphedeliste"/>
              <w:suppressLineNumbers/>
              <w:suppressAutoHyphens/>
              <w:kinsoku w:val="0"/>
              <w:overflowPunct w:val="0"/>
              <w:autoSpaceDE w:val="0"/>
              <w:autoSpaceDN w:val="0"/>
              <w:adjustRightInd w:val="0"/>
              <w:snapToGrid w:val="0"/>
              <w:spacing w:before="20" w:after="20"/>
              <w:ind w:left="0"/>
              <w:contextualSpacing w:val="0"/>
              <w:jc w:val="center"/>
              <w:rPr>
                <w:b/>
                <w:bCs/>
                <w:kern w:val="22"/>
                <w:szCs w:val="22"/>
              </w:rPr>
            </w:pPr>
            <w:r>
              <w:rPr>
                <w:b/>
                <w:bCs/>
                <w:szCs w:val="22"/>
              </w:rPr>
              <w:t>[#COP15 и/или #ForNature]</w:t>
            </w:r>
          </w:p>
        </w:tc>
      </w:tr>
      <w:tr w:rsidR="00711F38" w:rsidRPr="007250D2" w14:paraId="5578CFA5" w14:textId="77777777" w:rsidTr="00F452B6">
        <w:tc>
          <w:tcPr>
            <w:tcW w:w="4807" w:type="dxa"/>
            <w:vAlign w:val="center"/>
          </w:tcPr>
          <w:p w14:paraId="70A4CC34" w14:textId="3FDB898D" w:rsidR="00F452B6" w:rsidRPr="007250D2" w:rsidRDefault="00F6225F" w:rsidP="007250D2">
            <w:pPr>
              <w:pStyle w:val="Paragraphedeliste"/>
              <w:suppressLineNumbers/>
              <w:suppressAutoHyphens/>
              <w:kinsoku w:val="0"/>
              <w:overflowPunct w:val="0"/>
              <w:autoSpaceDE w:val="0"/>
              <w:autoSpaceDN w:val="0"/>
              <w:adjustRightInd w:val="0"/>
              <w:snapToGrid w:val="0"/>
              <w:spacing w:before="20" w:after="20"/>
              <w:ind w:left="0"/>
              <w:contextualSpacing w:val="0"/>
              <w:jc w:val="center"/>
              <w:rPr>
                <w:b/>
                <w:bCs/>
                <w:kern w:val="22"/>
                <w:szCs w:val="22"/>
              </w:rPr>
            </w:pPr>
            <w:r>
              <w:rPr>
                <w:b/>
                <w:bCs/>
                <w:szCs w:val="22"/>
              </w:rPr>
              <w:t>Тезисы</w:t>
            </w:r>
            <w:r w:rsidR="007D2B00">
              <w:rPr>
                <w:b/>
                <w:bCs/>
                <w:szCs w:val="22"/>
              </w:rPr>
              <w:t xml:space="preserve"> для мобилизации общественности</w:t>
            </w:r>
          </w:p>
        </w:tc>
        <w:tc>
          <w:tcPr>
            <w:tcW w:w="4366" w:type="dxa"/>
            <w:vAlign w:val="center"/>
          </w:tcPr>
          <w:p w14:paraId="7D3AD7E1" w14:textId="67035EEC" w:rsidR="00711F38" w:rsidRPr="007250D2" w:rsidRDefault="00F6225F" w:rsidP="007250D2">
            <w:pPr>
              <w:pStyle w:val="Paragraphedeliste"/>
              <w:suppressLineNumbers/>
              <w:suppressAutoHyphens/>
              <w:kinsoku w:val="0"/>
              <w:overflowPunct w:val="0"/>
              <w:autoSpaceDE w:val="0"/>
              <w:autoSpaceDN w:val="0"/>
              <w:adjustRightInd w:val="0"/>
              <w:snapToGrid w:val="0"/>
              <w:spacing w:before="20" w:after="20"/>
              <w:ind w:left="0"/>
              <w:contextualSpacing w:val="0"/>
              <w:jc w:val="center"/>
              <w:rPr>
                <w:b/>
                <w:bCs/>
                <w:kern w:val="22"/>
                <w:szCs w:val="22"/>
              </w:rPr>
            </w:pPr>
            <w:r>
              <w:rPr>
                <w:b/>
                <w:bCs/>
                <w:szCs w:val="22"/>
              </w:rPr>
              <w:t xml:space="preserve">Тезисы </w:t>
            </w:r>
            <w:r w:rsidR="007D2B00">
              <w:rPr>
                <w:b/>
                <w:bCs/>
                <w:szCs w:val="22"/>
              </w:rPr>
              <w:t>информационно-просветительского характера</w:t>
            </w:r>
          </w:p>
        </w:tc>
      </w:tr>
      <w:tr w:rsidR="00711F38" w:rsidRPr="007250D2" w14:paraId="6C214346" w14:textId="77777777" w:rsidTr="00F452B6">
        <w:tc>
          <w:tcPr>
            <w:tcW w:w="4807" w:type="dxa"/>
            <w:vAlign w:val="center"/>
          </w:tcPr>
          <w:p w14:paraId="16C2BEFE" w14:textId="644F17E5" w:rsidR="00342DE5" w:rsidRPr="007250D2" w:rsidRDefault="007D2B00" w:rsidP="007250D2">
            <w:pPr>
              <w:pStyle w:val="Paragraphedeliste"/>
              <w:suppressLineNumbers/>
              <w:suppressAutoHyphens/>
              <w:kinsoku w:val="0"/>
              <w:overflowPunct w:val="0"/>
              <w:autoSpaceDE w:val="0"/>
              <w:autoSpaceDN w:val="0"/>
              <w:adjustRightInd w:val="0"/>
              <w:snapToGrid w:val="0"/>
              <w:spacing w:before="20" w:after="20"/>
              <w:ind w:left="0"/>
              <w:contextualSpacing w:val="0"/>
              <w:rPr>
                <w:kern w:val="22"/>
                <w:szCs w:val="22"/>
              </w:rPr>
            </w:pPr>
            <w:r>
              <w:t>[</w:t>
            </w:r>
            <w:r w:rsidR="00F6225F">
              <w:t>тезис</w:t>
            </w:r>
            <w:r>
              <w:t xml:space="preserve"> о сохранении для широкой общественности] </w:t>
            </w:r>
          </w:p>
        </w:tc>
        <w:tc>
          <w:tcPr>
            <w:tcW w:w="4366" w:type="dxa"/>
            <w:vAlign w:val="center"/>
          </w:tcPr>
          <w:p w14:paraId="4825C5C7" w14:textId="649D006C" w:rsidR="00342DE5" w:rsidRPr="007250D2" w:rsidRDefault="007D2B00" w:rsidP="007250D2">
            <w:pPr>
              <w:pStyle w:val="Paragraphedeliste"/>
              <w:suppressLineNumbers/>
              <w:suppressAutoHyphens/>
              <w:kinsoku w:val="0"/>
              <w:overflowPunct w:val="0"/>
              <w:autoSpaceDE w:val="0"/>
              <w:autoSpaceDN w:val="0"/>
              <w:adjustRightInd w:val="0"/>
              <w:snapToGrid w:val="0"/>
              <w:spacing w:before="20" w:after="20"/>
              <w:ind w:left="0"/>
              <w:contextualSpacing w:val="0"/>
              <w:rPr>
                <w:kern w:val="22"/>
                <w:szCs w:val="22"/>
              </w:rPr>
            </w:pPr>
            <w:r>
              <w:t>[</w:t>
            </w:r>
            <w:r w:rsidR="00F6225F">
              <w:t xml:space="preserve">тезис </w:t>
            </w:r>
            <w:r>
              <w:t>к политическим руководителям]</w:t>
            </w:r>
          </w:p>
        </w:tc>
      </w:tr>
      <w:tr w:rsidR="00711F38" w:rsidRPr="007250D2" w14:paraId="740DADE3" w14:textId="77777777" w:rsidTr="00F452B6">
        <w:tc>
          <w:tcPr>
            <w:tcW w:w="4807" w:type="dxa"/>
            <w:vAlign w:val="center"/>
          </w:tcPr>
          <w:p w14:paraId="531EC86B" w14:textId="6E5A8CE3" w:rsidR="00FC128A" w:rsidRPr="007250D2" w:rsidRDefault="00DB2092" w:rsidP="007250D2">
            <w:pPr>
              <w:pStyle w:val="Paragraphedeliste"/>
              <w:suppressLineNumbers/>
              <w:suppressAutoHyphens/>
              <w:kinsoku w:val="0"/>
              <w:overflowPunct w:val="0"/>
              <w:autoSpaceDE w:val="0"/>
              <w:autoSpaceDN w:val="0"/>
              <w:adjustRightInd w:val="0"/>
              <w:snapToGrid w:val="0"/>
              <w:spacing w:before="20" w:after="20"/>
              <w:ind w:left="0"/>
              <w:contextualSpacing w:val="0"/>
              <w:rPr>
                <w:kern w:val="22"/>
                <w:szCs w:val="22"/>
              </w:rPr>
            </w:pPr>
            <w:r>
              <w:t>[</w:t>
            </w:r>
            <w:r w:rsidR="00F6225F">
              <w:t xml:space="preserve">тезис </w:t>
            </w:r>
            <w:r>
              <w:t>в отношении задачи для широкой общественности]</w:t>
            </w:r>
          </w:p>
        </w:tc>
        <w:tc>
          <w:tcPr>
            <w:tcW w:w="4366" w:type="dxa"/>
            <w:vAlign w:val="center"/>
          </w:tcPr>
          <w:p w14:paraId="5EFB919A" w14:textId="30F6D8DF" w:rsidR="00FC128A" w:rsidRPr="007250D2" w:rsidRDefault="009936EB" w:rsidP="007250D2">
            <w:pPr>
              <w:pStyle w:val="Paragraphedeliste"/>
              <w:suppressLineNumbers/>
              <w:suppressAutoHyphens/>
              <w:kinsoku w:val="0"/>
              <w:overflowPunct w:val="0"/>
              <w:autoSpaceDE w:val="0"/>
              <w:autoSpaceDN w:val="0"/>
              <w:adjustRightInd w:val="0"/>
              <w:snapToGrid w:val="0"/>
              <w:spacing w:before="20" w:after="20"/>
              <w:ind w:left="0"/>
              <w:contextualSpacing w:val="0"/>
              <w:rPr>
                <w:kern w:val="22"/>
                <w:szCs w:val="22"/>
              </w:rPr>
            </w:pPr>
            <w:r>
              <w:t>[</w:t>
            </w:r>
            <w:r w:rsidR="00F6225F">
              <w:t xml:space="preserve">тезис </w:t>
            </w:r>
            <w:r>
              <w:t>для сектора лесного хозяйства]</w:t>
            </w:r>
          </w:p>
        </w:tc>
      </w:tr>
      <w:tr w:rsidR="00711F38" w:rsidRPr="007250D2" w14:paraId="04100D1B" w14:textId="77777777" w:rsidTr="00F452B6">
        <w:tc>
          <w:tcPr>
            <w:tcW w:w="4807" w:type="dxa"/>
            <w:vAlign w:val="center"/>
          </w:tcPr>
          <w:p w14:paraId="4BD4E1B6" w14:textId="68411220" w:rsidR="00342DE5" w:rsidRPr="007250D2" w:rsidRDefault="00DB2092" w:rsidP="007250D2">
            <w:pPr>
              <w:pStyle w:val="Paragraphedeliste"/>
              <w:suppressLineNumbers/>
              <w:suppressAutoHyphens/>
              <w:kinsoku w:val="0"/>
              <w:overflowPunct w:val="0"/>
              <w:autoSpaceDE w:val="0"/>
              <w:autoSpaceDN w:val="0"/>
              <w:adjustRightInd w:val="0"/>
              <w:snapToGrid w:val="0"/>
              <w:spacing w:before="20" w:after="20"/>
              <w:ind w:left="0"/>
              <w:contextualSpacing w:val="0"/>
              <w:rPr>
                <w:kern w:val="22"/>
                <w:szCs w:val="22"/>
              </w:rPr>
            </w:pPr>
            <w:r>
              <w:t>[</w:t>
            </w:r>
            <w:r w:rsidR="00F6225F">
              <w:t xml:space="preserve">тезис </w:t>
            </w:r>
            <w:r>
              <w:t>в отношении биоразнообразия и изменения климата]</w:t>
            </w:r>
          </w:p>
        </w:tc>
        <w:tc>
          <w:tcPr>
            <w:tcW w:w="4366" w:type="dxa"/>
            <w:vAlign w:val="center"/>
          </w:tcPr>
          <w:p w14:paraId="40E3F3E2" w14:textId="2DC6A69D" w:rsidR="00342DE5" w:rsidRPr="007250D2" w:rsidRDefault="009936EB" w:rsidP="007250D2">
            <w:pPr>
              <w:pStyle w:val="Paragraphedeliste"/>
              <w:suppressLineNumbers/>
              <w:suppressAutoHyphens/>
              <w:kinsoku w:val="0"/>
              <w:overflowPunct w:val="0"/>
              <w:autoSpaceDE w:val="0"/>
              <w:autoSpaceDN w:val="0"/>
              <w:adjustRightInd w:val="0"/>
              <w:snapToGrid w:val="0"/>
              <w:spacing w:before="20" w:after="20"/>
              <w:ind w:left="0"/>
              <w:contextualSpacing w:val="0"/>
              <w:rPr>
                <w:kern w:val="22"/>
                <w:szCs w:val="22"/>
              </w:rPr>
            </w:pPr>
            <w:r>
              <w:t>[</w:t>
            </w:r>
            <w:r w:rsidR="00F6225F">
              <w:t xml:space="preserve">тезис </w:t>
            </w:r>
            <w:r>
              <w:t>для финансового сектора]</w:t>
            </w:r>
          </w:p>
        </w:tc>
      </w:tr>
      <w:tr w:rsidR="008A7458" w:rsidRPr="007250D2" w14:paraId="45A3B4C8" w14:textId="77777777" w:rsidTr="00F452B6">
        <w:tc>
          <w:tcPr>
            <w:tcW w:w="4807" w:type="dxa"/>
            <w:vAlign w:val="center"/>
          </w:tcPr>
          <w:p w14:paraId="76D37CC7" w14:textId="77777777" w:rsidR="00342DE5" w:rsidRPr="007250D2" w:rsidRDefault="008A7458" w:rsidP="007250D2">
            <w:pPr>
              <w:pStyle w:val="Paragraphedeliste"/>
              <w:suppressLineNumbers/>
              <w:suppressAutoHyphens/>
              <w:kinsoku w:val="0"/>
              <w:overflowPunct w:val="0"/>
              <w:autoSpaceDE w:val="0"/>
              <w:autoSpaceDN w:val="0"/>
              <w:adjustRightInd w:val="0"/>
              <w:snapToGrid w:val="0"/>
              <w:spacing w:before="20" w:after="20"/>
              <w:ind w:left="0"/>
              <w:contextualSpacing w:val="0"/>
              <w:rPr>
                <w:kern w:val="22"/>
                <w:szCs w:val="22"/>
              </w:rPr>
            </w:pPr>
            <w:r>
              <w:t xml:space="preserve">[и т.д.] </w:t>
            </w:r>
          </w:p>
        </w:tc>
        <w:tc>
          <w:tcPr>
            <w:tcW w:w="4366" w:type="dxa"/>
            <w:vAlign w:val="center"/>
          </w:tcPr>
          <w:p w14:paraId="2A66D26F" w14:textId="77777777" w:rsidR="00342DE5" w:rsidRPr="007250D2" w:rsidRDefault="008A7458" w:rsidP="007250D2">
            <w:pPr>
              <w:pStyle w:val="Paragraphedeliste"/>
              <w:suppressLineNumbers/>
              <w:suppressAutoHyphens/>
              <w:kinsoku w:val="0"/>
              <w:overflowPunct w:val="0"/>
              <w:autoSpaceDE w:val="0"/>
              <w:autoSpaceDN w:val="0"/>
              <w:adjustRightInd w:val="0"/>
              <w:snapToGrid w:val="0"/>
              <w:spacing w:before="20" w:after="20"/>
              <w:ind w:left="0"/>
              <w:contextualSpacing w:val="0"/>
              <w:rPr>
                <w:kern w:val="22"/>
                <w:szCs w:val="22"/>
              </w:rPr>
            </w:pPr>
            <w:r>
              <w:t>[и т.д.]</w:t>
            </w:r>
          </w:p>
        </w:tc>
      </w:tr>
    </w:tbl>
    <w:p w14:paraId="345B28EF" w14:textId="4AFF9EC1" w:rsidR="002F48C9" w:rsidRPr="007250D2" w:rsidRDefault="00511C0A" w:rsidP="007250D2">
      <w:pPr>
        <w:pStyle w:val="Para1"/>
        <w:suppressLineNumbers/>
        <w:tabs>
          <w:tab w:val="clear" w:pos="360"/>
        </w:tabs>
        <w:suppressAutoHyphens/>
        <w:kinsoku w:val="0"/>
        <w:overflowPunct w:val="0"/>
        <w:autoSpaceDE w:val="0"/>
        <w:autoSpaceDN w:val="0"/>
        <w:adjustRightInd w:val="0"/>
        <w:snapToGrid w:val="0"/>
        <w:spacing w:before="240"/>
        <w:rPr>
          <w:kern w:val="22"/>
          <w:szCs w:val="22"/>
        </w:rPr>
      </w:pPr>
      <w:r>
        <w:t xml:space="preserve">Коммуникационные тезисы </w:t>
      </w:r>
      <w:r w:rsidR="002F48C9">
        <w:t xml:space="preserve">в связи с рамочной программой в области биоразнообразия на период после 2020 года должны согласовываться с ранее разработанными </w:t>
      </w:r>
      <w:r w:rsidR="00711A93">
        <w:t>тезисами</w:t>
      </w:r>
      <w:r w:rsidR="002F48C9">
        <w:t xml:space="preserve">. К последним относятся </w:t>
      </w:r>
      <w:r w:rsidR="00711A93">
        <w:t xml:space="preserve">тезисы </w:t>
      </w:r>
      <w:r w:rsidR="002F48C9">
        <w:t>в отношении Концепции на период до 2050 года, цел</w:t>
      </w:r>
      <w:r w:rsidR="006513CA">
        <w:t>ей</w:t>
      </w:r>
      <w:r w:rsidR="002F48C9">
        <w:t xml:space="preserve"> в области устойчивого развития, решений, основанных на природных процессах, Десятилетия Организации Объединенных Наций по восстановлению экосистем, вывод</w:t>
      </w:r>
      <w:r w:rsidR="003D7704">
        <w:t>ы</w:t>
      </w:r>
      <w:r w:rsidR="002F48C9">
        <w:t xml:space="preserve"> пятого издания «Глобальной перспективы в области биоразнообразия» и общие тезисы Конвенции.</w:t>
      </w:r>
    </w:p>
    <w:p w14:paraId="283E2F38" w14:textId="3201D83F" w:rsidR="002F48C9" w:rsidRPr="007250D2" w:rsidRDefault="00711A93" w:rsidP="007250D2">
      <w:pPr>
        <w:pStyle w:val="Para1"/>
        <w:suppressLineNumbers/>
        <w:tabs>
          <w:tab w:val="clear" w:pos="360"/>
        </w:tabs>
        <w:suppressAutoHyphens/>
        <w:kinsoku w:val="0"/>
        <w:overflowPunct w:val="0"/>
        <w:autoSpaceDE w:val="0"/>
        <w:autoSpaceDN w:val="0"/>
        <w:adjustRightInd w:val="0"/>
        <w:snapToGrid w:val="0"/>
        <w:rPr>
          <w:kern w:val="22"/>
          <w:szCs w:val="22"/>
        </w:rPr>
      </w:pPr>
      <w:r>
        <w:t>Тезисы</w:t>
      </w:r>
      <w:r w:rsidR="002F48C9">
        <w:t xml:space="preserve"> должны быть </w:t>
      </w:r>
      <w:proofErr w:type="spellStart"/>
      <w:r w:rsidR="002F48C9">
        <w:t>фактологически</w:t>
      </w:r>
      <w:proofErr w:type="spellEnd"/>
      <w:r w:rsidR="002F48C9">
        <w:t xml:space="preserve"> обоснованными и научно достоверными на основании работы Межправительственной научно-политической платформы по биоразнообразию и экосистемным услугам и ее глобальных оценок. </w:t>
      </w:r>
      <w:r w:rsidR="009140A8">
        <w:t>Они</w:t>
      </w:r>
      <w:r w:rsidR="002F48C9">
        <w:t xml:space="preserve"> должны также согласовываться с соответствующими традиционными знаниями коренных народов и местных общин и учитывать их.</w:t>
      </w:r>
    </w:p>
    <w:p w14:paraId="74A63B60" w14:textId="4D36162A" w:rsidR="002F48C9" w:rsidRPr="007250D2" w:rsidRDefault="002F48C9" w:rsidP="007250D2">
      <w:pPr>
        <w:pStyle w:val="Para1"/>
        <w:suppressLineNumbers/>
        <w:tabs>
          <w:tab w:val="clear" w:pos="360"/>
        </w:tabs>
        <w:suppressAutoHyphens/>
        <w:kinsoku w:val="0"/>
        <w:overflowPunct w:val="0"/>
        <w:autoSpaceDE w:val="0"/>
        <w:autoSpaceDN w:val="0"/>
        <w:adjustRightInd w:val="0"/>
        <w:snapToGrid w:val="0"/>
        <w:rPr>
          <w:kern w:val="22"/>
          <w:szCs w:val="22"/>
        </w:rPr>
      </w:pPr>
      <w:r>
        <w:t xml:space="preserve">При разработке </w:t>
      </w:r>
      <w:r w:rsidR="0062022E">
        <w:t>тезисов</w:t>
      </w:r>
      <w:r>
        <w:t xml:space="preserve"> будут учитываться следующие элементы:</w:t>
      </w:r>
    </w:p>
    <w:p w14:paraId="2840CF62" w14:textId="3DB4ECA3" w:rsidR="002F48C9" w:rsidRPr="007250D2" w:rsidRDefault="00947B55" w:rsidP="007250D2">
      <w:pPr>
        <w:pStyle w:val="Para2"/>
        <w:numPr>
          <w:ilvl w:val="0"/>
          <w:numId w:val="27"/>
        </w:numPr>
        <w:suppressLineNumbers/>
        <w:suppressAutoHyphens/>
        <w:kinsoku w:val="0"/>
        <w:overflowPunct w:val="0"/>
        <w:adjustRightInd w:val="0"/>
        <w:snapToGrid w:val="0"/>
        <w:ind w:left="0" w:firstLine="720"/>
        <w:rPr>
          <w:kern w:val="22"/>
          <w:szCs w:val="22"/>
        </w:rPr>
      </w:pPr>
      <w:r>
        <w:t>в</w:t>
      </w:r>
      <w:r w:rsidR="002F48C9">
        <w:t xml:space="preserve"> целом </w:t>
      </w:r>
      <w:r w:rsidR="0062022E">
        <w:t xml:space="preserve">тезисы </w:t>
      </w:r>
      <w:r w:rsidR="002F48C9">
        <w:t>должны содержать общие элементы знаний о взаимосвязи человека и биоразнообразия и формировать представления о том, что человек связан с биоразнообразием практически во всех аспектах своей жизни;</w:t>
      </w:r>
    </w:p>
    <w:p w14:paraId="59609FAB" w14:textId="19CEBD5D" w:rsidR="002F48C9" w:rsidRPr="007250D2" w:rsidRDefault="0062022E" w:rsidP="007250D2">
      <w:pPr>
        <w:pStyle w:val="Para2"/>
        <w:numPr>
          <w:ilvl w:val="0"/>
          <w:numId w:val="27"/>
        </w:numPr>
        <w:suppressLineNumbers/>
        <w:suppressAutoHyphens/>
        <w:kinsoku w:val="0"/>
        <w:overflowPunct w:val="0"/>
        <w:adjustRightInd w:val="0"/>
        <w:snapToGrid w:val="0"/>
        <w:ind w:left="0" w:firstLine="720"/>
        <w:rPr>
          <w:kern w:val="22"/>
          <w:szCs w:val="22"/>
        </w:rPr>
      </w:pPr>
      <w:r>
        <w:t xml:space="preserve">тезисы </w:t>
      </w:r>
      <w:r w:rsidR="002F48C9">
        <w:t>должны нести идею необходимости принятия срочных мер по предотвращению утраты биоразнообразия и побуждать заинтересованные стороны действовать в контексте глобальной рамочной программы в области биоразнообразия на период после 2020 года в качестве средства достижения этой цели;</w:t>
      </w:r>
    </w:p>
    <w:p w14:paraId="6ADA3E62" w14:textId="6FA5650C" w:rsidR="002F48C9" w:rsidRPr="007250D2" w:rsidRDefault="00947B55" w:rsidP="007250D2">
      <w:pPr>
        <w:pStyle w:val="Para2"/>
        <w:numPr>
          <w:ilvl w:val="0"/>
          <w:numId w:val="27"/>
        </w:numPr>
        <w:suppressLineNumbers/>
        <w:suppressAutoHyphens/>
        <w:kinsoku w:val="0"/>
        <w:overflowPunct w:val="0"/>
        <w:adjustRightInd w:val="0"/>
        <w:snapToGrid w:val="0"/>
        <w:ind w:left="0" w:firstLine="720"/>
        <w:rPr>
          <w:kern w:val="22"/>
          <w:szCs w:val="22"/>
        </w:rPr>
      </w:pPr>
      <w:r>
        <w:t>к</w:t>
      </w:r>
      <w:r w:rsidR="002F48C9">
        <w:t xml:space="preserve">роме того, </w:t>
      </w:r>
      <w:r w:rsidR="00BB3DD6">
        <w:t xml:space="preserve">тезисы </w:t>
      </w:r>
      <w:r w:rsidR="002F48C9">
        <w:t>должны ориентироваться на более продолжительный временной горизонт и основные этапы, включая Концепцию на период до 2050 года Стратегического плана в области сохранения и устойчивого использования биоразнообразия на 2011-2020 годы</w:t>
      </w:r>
      <w:r w:rsidR="00393A48" w:rsidRPr="007250D2">
        <w:rPr>
          <w:rStyle w:val="Appelnotedebasdep"/>
          <w:kern w:val="22"/>
          <w:szCs w:val="22"/>
        </w:rPr>
        <w:footnoteReference w:id="5"/>
      </w:r>
      <w:r w:rsidR="002F48C9">
        <w:t>, Повестку дня в области устойчивого развития на период до 2030 года и обусловленные сроками задачи в области борьбы с изменением климата;</w:t>
      </w:r>
    </w:p>
    <w:p w14:paraId="51981895" w14:textId="77777777" w:rsidR="002F48C9" w:rsidRPr="007250D2" w:rsidRDefault="002F48C9" w:rsidP="007250D2">
      <w:pPr>
        <w:pStyle w:val="Para2"/>
        <w:numPr>
          <w:ilvl w:val="0"/>
          <w:numId w:val="27"/>
        </w:numPr>
        <w:suppressLineNumbers/>
        <w:suppressAutoHyphens/>
        <w:kinsoku w:val="0"/>
        <w:overflowPunct w:val="0"/>
        <w:adjustRightInd w:val="0"/>
        <w:snapToGrid w:val="0"/>
        <w:ind w:left="0" w:firstLine="720"/>
        <w:rPr>
          <w:kern w:val="22"/>
          <w:szCs w:val="22"/>
        </w:rPr>
      </w:pPr>
      <w:r>
        <w:t>следует также отражать важную роль обеспечения равенства в процессе реализации Концепции на период до 2050 года;</w:t>
      </w:r>
    </w:p>
    <w:p w14:paraId="52F3E405" w14:textId="7ECEE8D5" w:rsidR="002F48C9" w:rsidRPr="007250D2" w:rsidRDefault="002F48C9" w:rsidP="007250D2">
      <w:pPr>
        <w:pStyle w:val="Para2"/>
        <w:numPr>
          <w:ilvl w:val="0"/>
          <w:numId w:val="27"/>
        </w:numPr>
        <w:suppressLineNumbers/>
        <w:suppressAutoHyphens/>
        <w:kinsoku w:val="0"/>
        <w:overflowPunct w:val="0"/>
        <w:adjustRightInd w:val="0"/>
        <w:snapToGrid w:val="0"/>
        <w:ind w:left="0" w:firstLine="720"/>
        <w:rPr>
          <w:kern w:val="22"/>
          <w:szCs w:val="22"/>
        </w:rPr>
      </w:pPr>
      <w:r>
        <w:t xml:space="preserve">кроме того, в </w:t>
      </w:r>
      <w:r w:rsidR="00BB3DD6">
        <w:t xml:space="preserve">тезисах </w:t>
      </w:r>
      <w:r>
        <w:t xml:space="preserve">должна прослеживаться связь между целями рамочной программы и конкретными национальными приоритетами в области развития, при этом такие </w:t>
      </w:r>
      <w:r w:rsidR="00BB3DD6">
        <w:t xml:space="preserve">тезисы </w:t>
      </w:r>
      <w:r w:rsidR="006C575D">
        <w:t>призваны</w:t>
      </w:r>
      <w:r>
        <w:t xml:space="preserve"> демонстрировать, что принимаемые меры на пути перехода к устойчивому развитию на национальном уровне должны учитывать проблематику биоразнообразия;</w:t>
      </w:r>
    </w:p>
    <w:p w14:paraId="717F7020" w14:textId="2359638B" w:rsidR="002F48C9" w:rsidRPr="007250D2" w:rsidRDefault="002F48C9" w:rsidP="007250D2">
      <w:pPr>
        <w:pStyle w:val="Para2"/>
        <w:numPr>
          <w:ilvl w:val="0"/>
          <w:numId w:val="27"/>
        </w:numPr>
        <w:suppressLineNumbers/>
        <w:suppressAutoHyphens/>
        <w:kinsoku w:val="0"/>
        <w:overflowPunct w:val="0"/>
        <w:adjustRightInd w:val="0"/>
        <w:snapToGrid w:val="0"/>
        <w:ind w:left="0" w:firstLine="720"/>
        <w:rPr>
          <w:kern w:val="22"/>
          <w:szCs w:val="22"/>
        </w:rPr>
      </w:pPr>
      <w:r>
        <w:lastRenderedPageBreak/>
        <w:t xml:space="preserve">конкретные </w:t>
      </w:r>
      <w:r w:rsidR="00BB3DD6">
        <w:t xml:space="preserve">тезисы </w:t>
      </w:r>
      <w:r>
        <w:t xml:space="preserve">и кампании должны учитывать ценности целевой аудитории и представлять биоразнообразие и действия, направленные на его сохранение и устойчивое использование, в контексте этих ценностей. Следовательно, ключевым элементом при адаптации </w:t>
      </w:r>
      <w:r w:rsidR="00BB3DD6">
        <w:t xml:space="preserve">тезисов </w:t>
      </w:r>
      <w:r>
        <w:t>к целевой аудитории является изучение этой аудитории.</w:t>
      </w:r>
    </w:p>
    <w:p w14:paraId="40FD7370" w14:textId="1113D591" w:rsidR="002F48C9" w:rsidRPr="007250D2" w:rsidRDefault="00BB3DD6" w:rsidP="007250D2">
      <w:pPr>
        <w:pStyle w:val="Para2"/>
        <w:numPr>
          <w:ilvl w:val="0"/>
          <w:numId w:val="27"/>
        </w:numPr>
        <w:suppressLineNumbers/>
        <w:suppressAutoHyphens/>
        <w:kinsoku w:val="0"/>
        <w:overflowPunct w:val="0"/>
        <w:adjustRightInd w:val="0"/>
        <w:snapToGrid w:val="0"/>
        <w:ind w:left="0" w:firstLine="720"/>
        <w:rPr>
          <w:kern w:val="22"/>
          <w:szCs w:val="22"/>
        </w:rPr>
      </w:pPr>
      <w:r>
        <w:t xml:space="preserve">тезисы </w:t>
      </w:r>
      <w:r w:rsidR="002F48C9">
        <w:t>должны одновременно мобилизовать общественность и побуждать к действиям конкретные целевые группы.</w:t>
      </w:r>
    </w:p>
    <w:p w14:paraId="5642543F" w14:textId="77777777" w:rsidR="002F48C9" w:rsidRPr="007250D2" w:rsidRDefault="007E090F" w:rsidP="007250D2">
      <w:pPr>
        <w:pStyle w:val="Titre1"/>
        <w:suppressLineNumbers/>
        <w:tabs>
          <w:tab w:val="clear" w:pos="720"/>
          <w:tab w:val="left" w:pos="426"/>
        </w:tabs>
        <w:suppressAutoHyphens/>
        <w:kinsoku w:val="0"/>
        <w:overflowPunct w:val="0"/>
        <w:autoSpaceDE w:val="0"/>
        <w:autoSpaceDN w:val="0"/>
        <w:adjustRightInd w:val="0"/>
        <w:snapToGrid w:val="0"/>
        <w:spacing w:before="120"/>
        <w:rPr>
          <w:kern w:val="22"/>
          <w:szCs w:val="22"/>
        </w:rPr>
      </w:pPr>
      <w:r>
        <w:t>V.</w:t>
      </w:r>
      <w:r>
        <w:tab/>
        <w:t>Целевые аудитории и заинтересованные стороны</w:t>
      </w:r>
    </w:p>
    <w:p w14:paraId="49A6D671" w14:textId="00BAE9BF" w:rsidR="002F48C9" w:rsidRPr="007250D2" w:rsidRDefault="002F48C9" w:rsidP="007250D2">
      <w:pPr>
        <w:pStyle w:val="Para1"/>
        <w:suppressLineNumbers/>
        <w:tabs>
          <w:tab w:val="clear" w:pos="360"/>
        </w:tabs>
        <w:suppressAutoHyphens/>
        <w:kinsoku w:val="0"/>
        <w:overflowPunct w:val="0"/>
        <w:autoSpaceDE w:val="0"/>
        <w:autoSpaceDN w:val="0"/>
        <w:adjustRightInd w:val="0"/>
        <w:snapToGrid w:val="0"/>
        <w:rPr>
          <w:kern w:val="22"/>
          <w:szCs w:val="22"/>
        </w:rPr>
      </w:pPr>
      <w:r>
        <w:t>Учитывая глобальные масштабы аудитории Конвенции</w:t>
      </w:r>
      <w:r w:rsidR="0050759E">
        <w:t>,</w:t>
      </w:r>
      <w:r>
        <w:t xml:space="preserve"> </w:t>
      </w:r>
      <w:r w:rsidR="008207DF">
        <w:t>важным этапом</w:t>
      </w:r>
      <w:r>
        <w:t xml:space="preserve"> является выделение сегментов аудитории и установление коммуникации с каждым из таких сегментов для достижения различных целей стратегии и разработки соответствующих </w:t>
      </w:r>
      <w:r w:rsidR="00BB3DD6">
        <w:t>коммуникационных тезисов</w:t>
      </w:r>
      <w:r>
        <w:t xml:space="preserve">. Для групп аудитории, представленных ниже, важно учитывать, что они выступают не только получателями </w:t>
      </w:r>
      <w:r w:rsidR="00965F50">
        <w:t>тезисов</w:t>
      </w:r>
      <w:r>
        <w:t>, но и группами, которые в дальнейшем буду</w:t>
      </w:r>
      <w:r w:rsidR="0050759E">
        <w:t>т</w:t>
      </w:r>
      <w:r>
        <w:t xml:space="preserve"> преобразовывать и</w:t>
      </w:r>
      <w:r w:rsidR="0050759E">
        <w:t xml:space="preserve"> </w:t>
      </w:r>
      <w:r>
        <w:t xml:space="preserve">(или) передавать </w:t>
      </w:r>
      <w:r w:rsidR="00965F50">
        <w:t xml:space="preserve">тезисы </w:t>
      </w:r>
      <w:r>
        <w:t>другим смежным целевым группам.</w:t>
      </w:r>
    </w:p>
    <w:p w14:paraId="207D99ED" w14:textId="77777777" w:rsidR="002F48C9" w:rsidRPr="007250D2" w:rsidRDefault="002F48C9" w:rsidP="007250D2">
      <w:pPr>
        <w:pStyle w:val="Titre2"/>
        <w:numPr>
          <w:ilvl w:val="0"/>
          <w:numId w:val="33"/>
        </w:numPr>
        <w:suppressLineNumbers/>
        <w:suppressAutoHyphens/>
        <w:kinsoku w:val="0"/>
        <w:overflowPunct w:val="0"/>
        <w:autoSpaceDE w:val="0"/>
        <w:autoSpaceDN w:val="0"/>
        <w:adjustRightInd w:val="0"/>
        <w:snapToGrid w:val="0"/>
        <w:rPr>
          <w:kern w:val="22"/>
          <w:szCs w:val="22"/>
        </w:rPr>
      </w:pPr>
      <w:r>
        <w:t>Стороны Конвенции о биологическом разнообразии и протоколов к ней</w:t>
      </w:r>
    </w:p>
    <w:p w14:paraId="0D86C9A8" w14:textId="77777777" w:rsidR="002F48C9" w:rsidRPr="007250D2" w:rsidRDefault="002F48C9" w:rsidP="007250D2">
      <w:pPr>
        <w:pStyle w:val="Para1"/>
        <w:suppressLineNumbers/>
        <w:tabs>
          <w:tab w:val="clear" w:pos="360"/>
        </w:tabs>
        <w:suppressAutoHyphens/>
        <w:kinsoku w:val="0"/>
        <w:overflowPunct w:val="0"/>
        <w:autoSpaceDE w:val="0"/>
        <w:autoSpaceDN w:val="0"/>
        <w:adjustRightInd w:val="0"/>
        <w:snapToGrid w:val="0"/>
        <w:rPr>
          <w:kern w:val="22"/>
          <w:szCs w:val="22"/>
        </w:rPr>
      </w:pPr>
      <w:r>
        <w:t>Конвенция осуществляется на национальном уровне национальными правительствами, следовательно, ключевой аудиторией для коммуникации выступают Стороны. Основной аудиторией станут не только координационные центры Конвенции и протоколов к ней, но также министерства, законодательные органы и должностные лица. Национальным координационным центрам Конвенции и протоколов к ней потребуются инструменты для донесения обращений до министерств и других правительственных ведомств и формирования коммуникационных коалиций с тем, чтобы Стороны учитывали проблематику биоразнообразия в контексте работы других секторов. К этим группам относятся субнациональные правительства и города, которые все чаще отвечают за реализацию стратегий и планов действий по сохранению биоразнообразия. Сторонам Конвенции будет необходимо организовать национальные процессы коммуникации, в том числе создать соответствующие консультативные советы.</w:t>
      </w:r>
    </w:p>
    <w:p w14:paraId="06F2DA1F" w14:textId="77777777" w:rsidR="002F48C9" w:rsidRPr="007250D2" w:rsidRDefault="0046083D" w:rsidP="007250D2">
      <w:pPr>
        <w:pStyle w:val="Titre2"/>
        <w:numPr>
          <w:ilvl w:val="0"/>
          <w:numId w:val="33"/>
        </w:numPr>
        <w:suppressLineNumbers/>
        <w:suppressAutoHyphens/>
        <w:kinsoku w:val="0"/>
        <w:overflowPunct w:val="0"/>
        <w:autoSpaceDE w:val="0"/>
        <w:autoSpaceDN w:val="0"/>
        <w:adjustRightInd w:val="0"/>
        <w:snapToGrid w:val="0"/>
        <w:rPr>
          <w:kern w:val="22"/>
          <w:szCs w:val="22"/>
        </w:rPr>
      </w:pPr>
      <w:r>
        <w:t>Заинтересованные стороны</w:t>
      </w:r>
      <w:r w:rsidR="002F48C9">
        <w:t xml:space="preserve"> и другие ключевые аудитории и </w:t>
      </w:r>
      <w:r w:rsidR="002E7794">
        <w:t>партнеры</w:t>
      </w:r>
      <w:r w:rsidR="002F48C9">
        <w:t xml:space="preserve"> Конвенции</w:t>
      </w:r>
    </w:p>
    <w:p w14:paraId="2DA6918F" w14:textId="77777777" w:rsidR="002F48C9" w:rsidRPr="007250D2" w:rsidRDefault="002F48C9" w:rsidP="007250D2">
      <w:pPr>
        <w:pStyle w:val="Para1"/>
        <w:suppressLineNumbers/>
        <w:tabs>
          <w:tab w:val="clear" w:pos="360"/>
        </w:tabs>
        <w:suppressAutoHyphens/>
        <w:kinsoku w:val="0"/>
        <w:overflowPunct w:val="0"/>
        <w:autoSpaceDE w:val="0"/>
        <w:autoSpaceDN w:val="0"/>
        <w:adjustRightInd w:val="0"/>
        <w:snapToGrid w:val="0"/>
        <w:rPr>
          <w:kern w:val="22"/>
          <w:szCs w:val="22"/>
        </w:rPr>
      </w:pPr>
      <w:r>
        <w:t>Хотя в центре внимания Конвенции находятся Стороны, существует целый ряд других участников и субъектов деятельности, которые оказывают Сторонам поддержку или играют определенную роль в осуществлении Конвенции о биологическом разнообразии. Поскольку такие участники не являются Сторонами, ориентированная на них коммуникация будет носить иной характер. В то же время, когда такие участники осуществляют вспомогательную деятельность на национальном уровне, они могут охватываться этими кампаниями.</w:t>
      </w:r>
    </w:p>
    <w:p w14:paraId="6A2ADA90" w14:textId="77777777" w:rsidR="002F48C9" w:rsidRPr="007250D2" w:rsidRDefault="002F48C9" w:rsidP="007250D2">
      <w:pPr>
        <w:pStyle w:val="Para1"/>
        <w:suppressLineNumbers/>
        <w:tabs>
          <w:tab w:val="clear" w:pos="360"/>
        </w:tabs>
        <w:suppressAutoHyphens/>
        <w:kinsoku w:val="0"/>
        <w:overflowPunct w:val="0"/>
        <w:autoSpaceDE w:val="0"/>
        <w:autoSpaceDN w:val="0"/>
        <w:adjustRightInd w:val="0"/>
        <w:snapToGrid w:val="0"/>
        <w:rPr>
          <w:kern w:val="22"/>
          <w:szCs w:val="22"/>
        </w:rPr>
      </w:pPr>
      <w:r>
        <w:t>Важную роль также играют партнеры на уровне учреждений системы ООН и другие региональные организации, котор</w:t>
      </w:r>
      <w:r w:rsidR="0046083D">
        <w:t>ые</w:t>
      </w:r>
      <w:r>
        <w:t xml:space="preserve"> вносят вклад в работу Конвенции. Эти участники не только будут передавать информацию о работе Конвенции другим</w:t>
      </w:r>
      <w:r w:rsidR="00A52BB2">
        <w:rPr>
          <w:lang w:val="fr-FR"/>
        </w:rPr>
        <w:t xml:space="preserve"> </w:t>
      </w:r>
      <w:r w:rsidR="00A52BB2">
        <w:t>субъектам</w:t>
      </w:r>
      <w:r>
        <w:t xml:space="preserve">, но и использовать эту возможность для популяризации своей собственной работы и ее актуальности с точки зрения повестки </w:t>
      </w:r>
      <w:r w:rsidR="0025534E">
        <w:t xml:space="preserve">дня </w:t>
      </w:r>
      <w:r>
        <w:t>в области устойчивого развития. Департаменту глобальных коммуникаций будет предложено создать группу по коммуникации в области биоразнообразия, которая в сотрудничестве с Исполнительным секретарем будет координировать коммуникационную деятельность в рамках всей системы. Отделу по вопросам коммуникации Программы Организации Объединенных Наций по окружающей среде будет также предложено создать специальный координационный центр по коммуникации.</w:t>
      </w:r>
    </w:p>
    <w:p w14:paraId="090FA853" w14:textId="77777777" w:rsidR="00C6279F" w:rsidRPr="007250D2" w:rsidRDefault="00C6279F" w:rsidP="007250D2">
      <w:pPr>
        <w:pStyle w:val="Para1"/>
        <w:suppressLineNumbers/>
        <w:tabs>
          <w:tab w:val="clear" w:pos="360"/>
        </w:tabs>
        <w:suppressAutoHyphens/>
        <w:kinsoku w:val="0"/>
        <w:overflowPunct w:val="0"/>
        <w:autoSpaceDE w:val="0"/>
        <w:autoSpaceDN w:val="0"/>
        <w:adjustRightInd w:val="0"/>
        <w:snapToGrid w:val="0"/>
        <w:rPr>
          <w:kern w:val="22"/>
          <w:szCs w:val="22"/>
        </w:rPr>
      </w:pPr>
      <w:r>
        <w:t>Многосторонние природоохранные соглашения, как непосредственно связанные с биоразнообразием, так и посвященные другим вопросам, внесут важный вклад в приумножение этих усилий и их координацию. С этой целью Совместной контактной группе, Контактной группе конвенций, связанных с биоразнообразием, и Группе по рациональному природопользованию следует предложить обеспечить</w:t>
      </w:r>
      <w:r w:rsidR="00023143">
        <w:t xml:space="preserve"> </w:t>
      </w:r>
      <w:r w:rsidR="00E84D90">
        <w:t>включение</w:t>
      </w:r>
      <w:r>
        <w:t xml:space="preserve"> вопрос</w:t>
      </w:r>
      <w:r w:rsidR="00E84D90">
        <w:t>а</w:t>
      </w:r>
      <w:r>
        <w:t xml:space="preserve"> коммуникации </w:t>
      </w:r>
      <w:r w:rsidR="00E84D90">
        <w:t>в качестве</w:t>
      </w:r>
      <w:r>
        <w:t xml:space="preserve"> постоянн</w:t>
      </w:r>
      <w:r w:rsidR="00E84D90">
        <w:t>ого</w:t>
      </w:r>
      <w:r>
        <w:t xml:space="preserve"> пункт</w:t>
      </w:r>
      <w:r w:rsidR="00E84D90">
        <w:t>а</w:t>
      </w:r>
      <w:r>
        <w:t xml:space="preserve"> </w:t>
      </w:r>
      <w:r w:rsidR="00E84D90">
        <w:t xml:space="preserve">в </w:t>
      </w:r>
      <w:r>
        <w:t>их ежегодны</w:t>
      </w:r>
      <w:r w:rsidR="00E84D90">
        <w:t>е</w:t>
      </w:r>
      <w:r>
        <w:t xml:space="preserve"> повестк</w:t>
      </w:r>
      <w:r w:rsidR="00E84D90">
        <w:t>и</w:t>
      </w:r>
      <w:r>
        <w:t xml:space="preserve"> дня и назначить соответствующих координаторов.</w:t>
      </w:r>
    </w:p>
    <w:p w14:paraId="38B91BBE" w14:textId="77777777" w:rsidR="002F48C9" w:rsidRPr="007250D2" w:rsidRDefault="002F48C9" w:rsidP="007250D2">
      <w:pPr>
        <w:pStyle w:val="Para1"/>
        <w:suppressLineNumbers/>
        <w:tabs>
          <w:tab w:val="clear" w:pos="360"/>
        </w:tabs>
        <w:suppressAutoHyphens/>
        <w:kinsoku w:val="0"/>
        <w:overflowPunct w:val="0"/>
        <w:autoSpaceDE w:val="0"/>
        <w:autoSpaceDN w:val="0"/>
        <w:adjustRightInd w:val="0"/>
        <w:snapToGrid w:val="0"/>
        <w:rPr>
          <w:kern w:val="22"/>
          <w:szCs w:val="22"/>
        </w:rPr>
      </w:pPr>
      <w:r>
        <w:lastRenderedPageBreak/>
        <w:t>Музеи естественной истории, ботанические сады, зоопарки и аквариумы формируют еще одну группу, работа которой играет ключевую роль для Конвенции как с точки зрения конкретных природоохранных действий, так и с точки зрения повышения осведомленности о биоразнообразии. Крупным ассоциациям, таким как Всемирная ассоциация зоопарков и аквариумов, Европейская ассоциация зоопарков и аквариумов и Европейская сеть научных центров и музеев, будет предложено координировать коммуникацию.</w:t>
      </w:r>
    </w:p>
    <w:p w14:paraId="306A2C94" w14:textId="77777777" w:rsidR="002F48C9" w:rsidRPr="007250D2" w:rsidRDefault="00013DC0" w:rsidP="007250D2">
      <w:pPr>
        <w:pStyle w:val="Para1"/>
        <w:suppressLineNumbers/>
        <w:tabs>
          <w:tab w:val="clear" w:pos="360"/>
        </w:tabs>
        <w:suppressAutoHyphens/>
        <w:kinsoku w:val="0"/>
        <w:overflowPunct w:val="0"/>
        <w:autoSpaceDE w:val="0"/>
        <w:autoSpaceDN w:val="0"/>
        <w:adjustRightInd w:val="0"/>
        <w:snapToGrid w:val="0"/>
        <w:rPr>
          <w:kern w:val="22"/>
          <w:szCs w:val="22"/>
        </w:rPr>
      </w:pPr>
      <w:r>
        <w:t>Крупные международные неправительственные организации (НПО) с национальными отделениями также являются важными участниками этой работы. Примерами таких организаций являются Международный союз охраны природы (МСОП) и Международный фонд дикой природы. Секретариат и Стороны Конвенции уже продолжительное время сотрудничают с обеими организациями. Эта взаимодействие следует продолжать без ущерба для отношений с другими НПО.</w:t>
      </w:r>
    </w:p>
    <w:p w14:paraId="743CFA76" w14:textId="71102C23" w:rsidR="002F48C9" w:rsidRPr="007250D2" w:rsidRDefault="002F48C9" w:rsidP="007250D2">
      <w:pPr>
        <w:pStyle w:val="Para1"/>
        <w:suppressLineNumbers/>
        <w:tabs>
          <w:tab w:val="clear" w:pos="360"/>
        </w:tabs>
        <w:suppressAutoHyphens/>
        <w:kinsoku w:val="0"/>
        <w:overflowPunct w:val="0"/>
        <w:autoSpaceDE w:val="0"/>
        <w:autoSpaceDN w:val="0"/>
        <w:adjustRightInd w:val="0"/>
        <w:snapToGrid w:val="0"/>
        <w:rPr>
          <w:kern w:val="22"/>
          <w:szCs w:val="22"/>
        </w:rPr>
      </w:pPr>
      <w:r>
        <w:t xml:space="preserve">Ключевыми </w:t>
      </w:r>
      <w:r w:rsidR="0046083D">
        <w:t>партнерами</w:t>
      </w:r>
      <w:r>
        <w:t xml:space="preserve">, которые будут распространять </w:t>
      </w:r>
      <w:r w:rsidR="00853F0B">
        <w:t xml:space="preserve">тезисы </w:t>
      </w:r>
      <w:r>
        <w:t xml:space="preserve">Конвенции и </w:t>
      </w:r>
      <w:r w:rsidR="00ED2F9A">
        <w:t>способствовать популяризации</w:t>
      </w:r>
      <w:r>
        <w:t xml:space="preserve"> повестк</w:t>
      </w:r>
      <w:r w:rsidR="00ED2F9A">
        <w:t>и</w:t>
      </w:r>
      <w:r>
        <w:t xml:space="preserve"> дня в области сохранения биоразнообразия, выступят неправительственные природоохранные организации. Налаживание партнерских связей с такими организаци</w:t>
      </w:r>
      <w:r w:rsidR="008622D1">
        <w:t>ями</w:t>
      </w:r>
      <w:r>
        <w:t xml:space="preserve"> играет решающую роль.</w:t>
      </w:r>
    </w:p>
    <w:p w14:paraId="626172C2" w14:textId="77777777" w:rsidR="002F48C9" w:rsidRPr="007250D2" w:rsidRDefault="002F48C9" w:rsidP="007250D2">
      <w:pPr>
        <w:pStyle w:val="Titre2"/>
        <w:numPr>
          <w:ilvl w:val="0"/>
          <w:numId w:val="33"/>
        </w:numPr>
        <w:suppressLineNumbers/>
        <w:tabs>
          <w:tab w:val="clear" w:pos="720"/>
        </w:tabs>
        <w:suppressAutoHyphens/>
        <w:kinsoku w:val="0"/>
        <w:overflowPunct w:val="0"/>
        <w:autoSpaceDE w:val="0"/>
        <w:autoSpaceDN w:val="0"/>
        <w:adjustRightInd w:val="0"/>
        <w:snapToGrid w:val="0"/>
        <w:rPr>
          <w:kern w:val="22"/>
          <w:szCs w:val="22"/>
        </w:rPr>
      </w:pPr>
      <w:r>
        <w:t>Коренные народы и местные общины</w:t>
      </w:r>
    </w:p>
    <w:p w14:paraId="4F7C59E9" w14:textId="77777777" w:rsidR="002F48C9" w:rsidRPr="007250D2" w:rsidRDefault="002F48C9" w:rsidP="007250D2">
      <w:pPr>
        <w:pStyle w:val="Para1"/>
        <w:suppressLineNumbers/>
        <w:tabs>
          <w:tab w:val="clear" w:pos="360"/>
        </w:tabs>
        <w:suppressAutoHyphens/>
        <w:kinsoku w:val="0"/>
        <w:overflowPunct w:val="0"/>
        <w:autoSpaceDE w:val="0"/>
        <w:autoSpaceDN w:val="0"/>
        <w:adjustRightInd w:val="0"/>
        <w:snapToGrid w:val="0"/>
        <w:rPr>
          <w:kern w:val="22"/>
          <w:szCs w:val="22"/>
        </w:rPr>
      </w:pPr>
      <w:r>
        <w:t>Необходимо расширять взаимодействие с коренными народами и местными общинами, что позволит обозначить их роль в сохранении и устойчивом использовании биоразнообразия и показать вклад их деятельности в осуществление Конвенции и других конвенций, связанных с биоразнообразием. В этой связи коммуникационная стратегия должна поощрять коренные народы и местные общины к популяризации их деятельности в контексте национального осуществления Конвенции и глобальной рамочн</w:t>
      </w:r>
      <w:r w:rsidR="008622D1">
        <w:t>ой</w:t>
      </w:r>
      <w:r>
        <w:t xml:space="preserve"> программ</w:t>
      </w:r>
      <w:r w:rsidR="008622D1">
        <w:t>ы</w:t>
      </w:r>
      <w:r>
        <w:t xml:space="preserve"> в области биоразнообразия на период после 2020 года. При этом усилия коренных народов и местных общин следует рассматривать как источник оригинальных и вдохновляющих идей и методов сохранения биоразнообразия и его устойчивого использования. В этой связи коммуникация должна быть направлена на поощрение коренных народов и местных общин к почитанию, популяризации и распространению традиционных знаний, связанных с сохранением и устойчивым использованием биоразнообразия, на местном, национальном, региональном и глобальном уровнях.</w:t>
      </w:r>
    </w:p>
    <w:p w14:paraId="70922CE3" w14:textId="77777777" w:rsidR="002F48C9" w:rsidRPr="007250D2" w:rsidRDefault="002F48C9" w:rsidP="007250D2">
      <w:pPr>
        <w:pStyle w:val="Titre2"/>
        <w:numPr>
          <w:ilvl w:val="0"/>
          <w:numId w:val="33"/>
        </w:numPr>
        <w:suppressLineNumbers/>
        <w:tabs>
          <w:tab w:val="clear" w:pos="720"/>
        </w:tabs>
        <w:suppressAutoHyphens/>
        <w:kinsoku w:val="0"/>
        <w:overflowPunct w:val="0"/>
        <w:autoSpaceDE w:val="0"/>
        <w:autoSpaceDN w:val="0"/>
        <w:adjustRightInd w:val="0"/>
        <w:snapToGrid w:val="0"/>
        <w:rPr>
          <w:kern w:val="22"/>
          <w:szCs w:val="22"/>
        </w:rPr>
      </w:pPr>
      <w:r>
        <w:t>Общественность и важные группы субъектов деятельности</w:t>
      </w:r>
    </w:p>
    <w:p w14:paraId="32D0FA39" w14:textId="712CB20F" w:rsidR="002F48C9" w:rsidRPr="007250D2" w:rsidRDefault="002F48C9" w:rsidP="007250D2">
      <w:pPr>
        <w:pStyle w:val="Para1"/>
        <w:suppressLineNumbers/>
        <w:tabs>
          <w:tab w:val="clear" w:pos="360"/>
        </w:tabs>
        <w:suppressAutoHyphens/>
        <w:kinsoku w:val="0"/>
        <w:overflowPunct w:val="0"/>
        <w:autoSpaceDE w:val="0"/>
        <w:autoSpaceDN w:val="0"/>
        <w:adjustRightInd w:val="0"/>
        <w:snapToGrid w:val="0"/>
        <w:rPr>
          <w:kern w:val="22"/>
          <w:szCs w:val="22"/>
        </w:rPr>
      </w:pPr>
      <w:r>
        <w:t xml:space="preserve">Нередко отмечается, что о работе Конвенции следует информировать таким образом, чтобы общественность осознавала ее актуальность. Хотя в целом аудитория коммуникационной стратегии действительно носит глобальный характер и должна быть всеобъемлющей, нельзя отрицать тот факт, что понятие единой общественности, которой предназначен </w:t>
      </w:r>
      <w:r w:rsidR="00853F0B">
        <w:t>тезис</w:t>
      </w:r>
      <w:r>
        <w:t>, является слишком упрощенным и скрывает ряд важных отличий между сегментами аудитории. Так называемая «общественность» представляет собой, по сути, целый спектр различных сегментов аудитории, которые отличаются по территориальному, половому, социально-экономическому и языковому признакам. А значит, любые попытки быть услышанными общественностью требуют надлежащего подхода.</w:t>
      </w:r>
    </w:p>
    <w:p w14:paraId="161C3CFE" w14:textId="77777777" w:rsidR="002F48C9" w:rsidRPr="007250D2" w:rsidRDefault="002F48C9" w:rsidP="007250D2">
      <w:pPr>
        <w:pStyle w:val="Para1"/>
        <w:suppressLineNumbers/>
        <w:tabs>
          <w:tab w:val="clear" w:pos="360"/>
        </w:tabs>
        <w:suppressAutoHyphens/>
        <w:kinsoku w:val="0"/>
        <w:overflowPunct w:val="0"/>
        <w:autoSpaceDE w:val="0"/>
        <w:autoSpaceDN w:val="0"/>
        <w:adjustRightInd w:val="0"/>
        <w:snapToGrid w:val="0"/>
        <w:rPr>
          <w:kern w:val="22"/>
          <w:szCs w:val="22"/>
        </w:rPr>
      </w:pPr>
      <w:r>
        <w:t>Наиболее ощутимое разделение на сегменты относится к национальному уровню. Понимание биоразнообразия, экологических функций и экосистемных услуг и их актуальности для общественности формируется преимущественно под влиянием национальных обстоятельств и национального «изложения» информации о людях, природе и о том, какие ценности обеспечивает им биоразнообразие. Следовательно, любые попытки привлечь общественность необходимо осуществлять на национальном уровне, отталкиваясь от базового дискурса. Это означает, что организации кампаний на национальном уровне должно уделяться большое внимание.</w:t>
      </w:r>
    </w:p>
    <w:p w14:paraId="545C9F69" w14:textId="77777777" w:rsidR="00BD2DF1" w:rsidRPr="007250D2" w:rsidRDefault="002F48C9" w:rsidP="007250D2">
      <w:pPr>
        <w:pStyle w:val="Para1"/>
        <w:suppressLineNumbers/>
        <w:tabs>
          <w:tab w:val="clear" w:pos="360"/>
        </w:tabs>
        <w:suppressAutoHyphens/>
        <w:kinsoku w:val="0"/>
        <w:overflowPunct w:val="0"/>
        <w:autoSpaceDE w:val="0"/>
        <w:autoSpaceDN w:val="0"/>
        <w:adjustRightInd w:val="0"/>
        <w:snapToGrid w:val="0"/>
        <w:rPr>
          <w:kern w:val="22"/>
          <w:szCs w:val="22"/>
        </w:rPr>
      </w:pPr>
      <w:r>
        <w:t xml:space="preserve">Важными средствами охвата общественности являются консультации, информационные кампании и средства информации, в частности радио, телевидение, печатные издания и социальные </w:t>
      </w:r>
      <w:r>
        <w:lastRenderedPageBreak/>
        <w:t xml:space="preserve">сети. Следовательно, СМИ следует рассматривать как распространителя и канал информации, а не как аудиторию. Средства информации стремятся создавать контент, который был бы понятен общественности, а значит любые усилия по привлечению СМИ должны </w:t>
      </w:r>
      <w:r w:rsidR="00141E50">
        <w:t>учитывать этот аспект</w:t>
      </w:r>
      <w:r>
        <w:t>.</w:t>
      </w:r>
    </w:p>
    <w:p w14:paraId="005C4F66" w14:textId="5EA8EE3F" w:rsidR="00BD2DF1" w:rsidRPr="007250D2" w:rsidRDefault="00BD2DF1" w:rsidP="007250D2">
      <w:pPr>
        <w:pStyle w:val="Para1"/>
        <w:suppressLineNumbers/>
        <w:tabs>
          <w:tab w:val="clear" w:pos="360"/>
        </w:tabs>
        <w:suppressAutoHyphens/>
        <w:kinsoku w:val="0"/>
        <w:overflowPunct w:val="0"/>
        <w:autoSpaceDE w:val="0"/>
        <w:autoSpaceDN w:val="0"/>
        <w:adjustRightInd w:val="0"/>
        <w:snapToGrid w:val="0"/>
        <w:rPr>
          <w:kern w:val="22"/>
          <w:szCs w:val="22"/>
        </w:rPr>
      </w:pPr>
      <w:r>
        <w:t xml:space="preserve">Следует изучить возможность налаживания партнерских связей со средствами информации на международном и национальном уровнях в целях подготовки и </w:t>
      </w:r>
      <w:r w:rsidR="0005375E">
        <w:t>распространения</w:t>
      </w:r>
      <w:r>
        <w:t xml:space="preserve"> информации, связанной с осуществлением рамочной </w:t>
      </w:r>
      <w:r w:rsidR="00A253DD">
        <w:t>программы</w:t>
      </w:r>
      <w:r>
        <w:t xml:space="preserve">. Следует наладить контакты с такими новостными организациями, как </w:t>
      </w:r>
      <w:proofErr w:type="spellStart"/>
      <w:r>
        <w:t>Mongabay</w:t>
      </w:r>
      <w:proofErr w:type="spellEnd"/>
      <w:r>
        <w:t xml:space="preserve">, </w:t>
      </w:r>
      <w:proofErr w:type="spellStart"/>
      <w:r>
        <w:t>Now</w:t>
      </w:r>
      <w:proofErr w:type="spellEnd"/>
      <w:r>
        <w:t xml:space="preserve"> </w:t>
      </w:r>
      <w:proofErr w:type="spellStart"/>
      <w:r>
        <w:t>This</w:t>
      </w:r>
      <w:proofErr w:type="spellEnd"/>
      <w:r>
        <w:t xml:space="preserve">, </w:t>
      </w:r>
      <w:proofErr w:type="spellStart"/>
      <w:r>
        <w:t>Thomson</w:t>
      </w:r>
      <w:proofErr w:type="spellEnd"/>
      <w:r>
        <w:t xml:space="preserve"> </w:t>
      </w:r>
      <w:proofErr w:type="spellStart"/>
      <w:r>
        <w:t>Reuters</w:t>
      </w:r>
      <w:proofErr w:type="spellEnd"/>
      <w:r>
        <w:t xml:space="preserve">, </w:t>
      </w:r>
      <w:proofErr w:type="spellStart"/>
      <w:r>
        <w:t>Deutsche</w:t>
      </w:r>
      <w:proofErr w:type="spellEnd"/>
      <w:r>
        <w:t xml:space="preserve"> </w:t>
      </w:r>
      <w:proofErr w:type="spellStart"/>
      <w:r>
        <w:t>Welle</w:t>
      </w:r>
      <w:proofErr w:type="spellEnd"/>
      <w:r>
        <w:t xml:space="preserve">, </w:t>
      </w:r>
      <w:proofErr w:type="spellStart"/>
      <w:r>
        <w:t>Xinhua</w:t>
      </w:r>
      <w:proofErr w:type="spellEnd"/>
      <w:r>
        <w:t xml:space="preserve"> и </w:t>
      </w:r>
      <w:r w:rsidR="00435265" w:rsidRPr="007250D2">
        <w:rPr>
          <w:kern w:val="22"/>
          <w:szCs w:val="22"/>
        </w:rPr>
        <w:t>BBC</w:t>
      </w:r>
      <w:r>
        <w:t xml:space="preserve">. Следует также изучить возможности сотрудничества с такими киностудиями и телекомпаниями, как </w:t>
      </w:r>
      <w:proofErr w:type="spellStart"/>
      <w:r>
        <w:t>National</w:t>
      </w:r>
      <w:proofErr w:type="spellEnd"/>
      <w:r>
        <w:t xml:space="preserve"> </w:t>
      </w:r>
      <w:proofErr w:type="spellStart"/>
      <w:r>
        <w:t>Geographic</w:t>
      </w:r>
      <w:proofErr w:type="spellEnd"/>
      <w:r>
        <w:t xml:space="preserve">, </w:t>
      </w:r>
      <w:proofErr w:type="spellStart"/>
      <w:r>
        <w:t>Netflix</w:t>
      </w:r>
      <w:proofErr w:type="spellEnd"/>
      <w:r>
        <w:t xml:space="preserve"> и </w:t>
      </w:r>
      <w:proofErr w:type="spellStart"/>
      <w:r>
        <w:t>Amazon</w:t>
      </w:r>
      <w:proofErr w:type="spellEnd"/>
      <w:r>
        <w:t>.</w:t>
      </w:r>
    </w:p>
    <w:p w14:paraId="705E9DC5" w14:textId="77777777" w:rsidR="002F48C9" w:rsidRPr="007250D2" w:rsidRDefault="002F48C9" w:rsidP="007250D2">
      <w:pPr>
        <w:pStyle w:val="Para1"/>
        <w:suppressLineNumbers/>
        <w:tabs>
          <w:tab w:val="clear" w:pos="360"/>
        </w:tabs>
        <w:suppressAutoHyphens/>
        <w:kinsoku w:val="0"/>
        <w:overflowPunct w:val="0"/>
        <w:autoSpaceDE w:val="0"/>
        <w:autoSpaceDN w:val="0"/>
        <w:adjustRightInd w:val="0"/>
        <w:snapToGrid w:val="0"/>
        <w:rPr>
          <w:kern w:val="22"/>
          <w:szCs w:val="22"/>
        </w:rPr>
      </w:pPr>
      <w:r>
        <w:t>Привлечение средств информации может потребовать значительных усилий. Для наиболее оптимального использования ресурсов коммуникация должна быть сосредоточена на ряде сегментов средств информации, которые связаны с определенными целевыми группами, обозначенными в настоящей стратегии, в том числе:</w:t>
      </w:r>
    </w:p>
    <w:p w14:paraId="78D784BA" w14:textId="77777777" w:rsidR="002F48C9" w:rsidRPr="007250D2" w:rsidRDefault="002F48C9" w:rsidP="007250D2">
      <w:pPr>
        <w:pStyle w:val="Paragraphedeliste"/>
        <w:numPr>
          <w:ilvl w:val="2"/>
          <w:numId w:val="28"/>
        </w:numPr>
        <w:suppressLineNumbers/>
        <w:suppressAutoHyphens/>
        <w:kinsoku w:val="0"/>
        <w:overflowPunct w:val="0"/>
        <w:autoSpaceDE w:val="0"/>
        <w:autoSpaceDN w:val="0"/>
        <w:adjustRightInd w:val="0"/>
        <w:snapToGrid w:val="0"/>
        <w:spacing w:after="120"/>
        <w:ind w:left="0" w:firstLine="720"/>
        <w:contextualSpacing w:val="0"/>
        <w:jc w:val="left"/>
        <w:rPr>
          <w:kern w:val="22"/>
          <w:szCs w:val="22"/>
        </w:rPr>
      </w:pPr>
      <w:r>
        <w:t>СМИ, освещающие экологическую политику;</w:t>
      </w:r>
    </w:p>
    <w:p w14:paraId="7F0BCD07" w14:textId="77777777" w:rsidR="002F48C9" w:rsidRPr="007250D2" w:rsidRDefault="002F48C9" w:rsidP="004C7EB7">
      <w:pPr>
        <w:pStyle w:val="Paragraphedeliste"/>
        <w:numPr>
          <w:ilvl w:val="2"/>
          <w:numId w:val="28"/>
        </w:numPr>
        <w:suppressLineNumbers/>
        <w:suppressAutoHyphens/>
        <w:kinsoku w:val="0"/>
        <w:overflowPunct w:val="0"/>
        <w:autoSpaceDE w:val="0"/>
        <w:autoSpaceDN w:val="0"/>
        <w:adjustRightInd w:val="0"/>
        <w:snapToGrid w:val="0"/>
        <w:spacing w:after="120"/>
        <w:ind w:left="0" w:firstLine="720"/>
        <w:contextualSpacing w:val="0"/>
        <w:rPr>
          <w:kern w:val="22"/>
          <w:szCs w:val="22"/>
        </w:rPr>
      </w:pPr>
      <w:r>
        <w:t>СМИ, освещающие вопросы потребления (образ жизни, источники жизнеобеспечения и устойчивость);</w:t>
      </w:r>
    </w:p>
    <w:p w14:paraId="02C57052" w14:textId="77777777" w:rsidR="002F48C9" w:rsidRPr="007250D2" w:rsidRDefault="002F48C9" w:rsidP="004C7EB7">
      <w:pPr>
        <w:pStyle w:val="Paragraphedeliste"/>
        <w:numPr>
          <w:ilvl w:val="2"/>
          <w:numId w:val="28"/>
        </w:numPr>
        <w:suppressLineNumbers/>
        <w:suppressAutoHyphens/>
        <w:kinsoku w:val="0"/>
        <w:overflowPunct w:val="0"/>
        <w:autoSpaceDE w:val="0"/>
        <w:autoSpaceDN w:val="0"/>
        <w:adjustRightInd w:val="0"/>
        <w:snapToGrid w:val="0"/>
        <w:spacing w:after="120"/>
        <w:ind w:left="0" w:firstLine="720"/>
        <w:contextualSpacing w:val="0"/>
        <w:rPr>
          <w:kern w:val="22"/>
          <w:szCs w:val="22"/>
        </w:rPr>
      </w:pPr>
      <w:r>
        <w:t>СМИ, посвященные вопросам сохранения природы;</w:t>
      </w:r>
    </w:p>
    <w:p w14:paraId="6B72A71E" w14:textId="77777777" w:rsidR="002F48C9" w:rsidRPr="007250D2" w:rsidRDefault="002F48C9" w:rsidP="007250D2">
      <w:pPr>
        <w:pStyle w:val="Paragraphedeliste"/>
        <w:numPr>
          <w:ilvl w:val="2"/>
          <w:numId w:val="28"/>
        </w:numPr>
        <w:suppressLineNumbers/>
        <w:suppressAutoHyphens/>
        <w:kinsoku w:val="0"/>
        <w:overflowPunct w:val="0"/>
        <w:autoSpaceDE w:val="0"/>
        <w:autoSpaceDN w:val="0"/>
        <w:adjustRightInd w:val="0"/>
        <w:snapToGrid w:val="0"/>
        <w:spacing w:after="120"/>
        <w:ind w:left="0" w:firstLine="720"/>
        <w:contextualSpacing w:val="0"/>
        <w:jc w:val="left"/>
        <w:rPr>
          <w:kern w:val="22"/>
          <w:szCs w:val="22"/>
        </w:rPr>
      </w:pPr>
      <w:r>
        <w:t>СМИ, ориентированные на научную тематику;</w:t>
      </w:r>
    </w:p>
    <w:p w14:paraId="288225FC" w14:textId="77777777" w:rsidR="002F48C9" w:rsidRPr="007250D2" w:rsidRDefault="002F48C9" w:rsidP="007250D2">
      <w:pPr>
        <w:pStyle w:val="Paragraphedeliste"/>
        <w:numPr>
          <w:ilvl w:val="2"/>
          <w:numId w:val="28"/>
        </w:numPr>
        <w:suppressLineNumbers/>
        <w:suppressAutoHyphens/>
        <w:kinsoku w:val="0"/>
        <w:overflowPunct w:val="0"/>
        <w:autoSpaceDE w:val="0"/>
        <w:autoSpaceDN w:val="0"/>
        <w:adjustRightInd w:val="0"/>
        <w:snapToGrid w:val="0"/>
        <w:spacing w:after="120"/>
        <w:ind w:left="0" w:firstLine="720"/>
        <w:contextualSpacing w:val="0"/>
        <w:jc w:val="left"/>
        <w:rPr>
          <w:kern w:val="22"/>
          <w:szCs w:val="22"/>
        </w:rPr>
      </w:pPr>
      <w:r>
        <w:t>СМИ, освещающие вопросы предпринимательской деятельности;</w:t>
      </w:r>
    </w:p>
    <w:p w14:paraId="23F7F74F" w14:textId="77777777" w:rsidR="002F48C9" w:rsidRPr="007250D2" w:rsidRDefault="002F48C9" w:rsidP="00771CCD">
      <w:pPr>
        <w:pStyle w:val="Paragraphedeliste"/>
        <w:numPr>
          <w:ilvl w:val="2"/>
          <w:numId w:val="28"/>
        </w:numPr>
        <w:suppressLineNumbers/>
        <w:suppressAutoHyphens/>
        <w:kinsoku w:val="0"/>
        <w:overflowPunct w:val="0"/>
        <w:autoSpaceDE w:val="0"/>
        <w:autoSpaceDN w:val="0"/>
        <w:adjustRightInd w:val="0"/>
        <w:snapToGrid w:val="0"/>
        <w:spacing w:after="120"/>
        <w:ind w:left="0" w:firstLine="720"/>
        <w:contextualSpacing w:val="0"/>
        <w:rPr>
          <w:kern w:val="22"/>
          <w:szCs w:val="22"/>
        </w:rPr>
      </w:pPr>
      <w:r>
        <w:t>СМИ, распространяющие информацию о текущих событиях для широкой общественности.</w:t>
      </w:r>
    </w:p>
    <w:p w14:paraId="7AD76577" w14:textId="77777777" w:rsidR="002F48C9" w:rsidRPr="007250D2" w:rsidRDefault="002F48C9" w:rsidP="007250D2">
      <w:pPr>
        <w:pStyle w:val="Para1"/>
        <w:suppressLineNumbers/>
        <w:tabs>
          <w:tab w:val="clear" w:pos="360"/>
        </w:tabs>
        <w:suppressAutoHyphens/>
        <w:kinsoku w:val="0"/>
        <w:overflowPunct w:val="0"/>
        <w:autoSpaceDE w:val="0"/>
        <w:autoSpaceDN w:val="0"/>
        <w:adjustRightInd w:val="0"/>
        <w:snapToGrid w:val="0"/>
        <w:rPr>
          <w:kern w:val="22"/>
          <w:szCs w:val="22"/>
        </w:rPr>
      </w:pPr>
      <w:r>
        <w:t>Кроме того, существуют определенные группы заинтересованных сторон, которые следует целенаправленно привлекать:</w:t>
      </w:r>
    </w:p>
    <w:p w14:paraId="345C8948" w14:textId="77777777" w:rsidR="002F48C9" w:rsidRPr="007250D2" w:rsidRDefault="00150E89" w:rsidP="007250D2">
      <w:pPr>
        <w:pStyle w:val="Para1"/>
        <w:numPr>
          <w:ilvl w:val="0"/>
          <w:numId w:val="35"/>
        </w:numPr>
        <w:suppressLineNumbers/>
        <w:tabs>
          <w:tab w:val="clear" w:pos="360"/>
        </w:tabs>
        <w:suppressAutoHyphens/>
        <w:kinsoku w:val="0"/>
        <w:overflowPunct w:val="0"/>
        <w:autoSpaceDE w:val="0"/>
        <w:autoSpaceDN w:val="0"/>
        <w:adjustRightInd w:val="0"/>
        <w:snapToGrid w:val="0"/>
        <w:spacing w:before="0"/>
        <w:ind w:firstLine="720"/>
        <w:rPr>
          <w:kern w:val="22"/>
          <w:szCs w:val="22"/>
        </w:rPr>
      </w:pPr>
      <w:r>
        <w:t>м</w:t>
      </w:r>
      <w:r w:rsidR="002F48C9">
        <w:t xml:space="preserve">олодежь также представляет собой ключевую целевую аудиторию. Обращаться к молодежи можно в ходе молодежных мероприятий на уровне системы ООН; посредством развития программы «Зеленая волна» и других подобных инициатив, которые выступают в качестве инструментов реализации Десятилетия; через социальные сети, в том числе </w:t>
      </w:r>
      <w:proofErr w:type="spellStart"/>
      <w:r w:rsidR="002F48C9">
        <w:t>Facebook</w:t>
      </w:r>
      <w:proofErr w:type="spellEnd"/>
      <w:r w:rsidR="002F48C9">
        <w:t xml:space="preserve">, </w:t>
      </w:r>
      <w:proofErr w:type="spellStart"/>
      <w:r w:rsidR="002F48C9">
        <w:t>Twitter</w:t>
      </w:r>
      <w:proofErr w:type="spellEnd"/>
      <w:r w:rsidR="002F48C9">
        <w:t xml:space="preserve">, </w:t>
      </w:r>
      <w:proofErr w:type="spellStart"/>
      <w:r w:rsidR="002F48C9">
        <w:t>Myspace</w:t>
      </w:r>
      <w:proofErr w:type="spellEnd"/>
      <w:r w:rsidR="002F48C9">
        <w:t xml:space="preserve">, </w:t>
      </w:r>
      <w:proofErr w:type="spellStart"/>
      <w:r w:rsidR="002F48C9">
        <w:t>YouTube</w:t>
      </w:r>
      <w:proofErr w:type="spellEnd"/>
      <w:r w:rsidR="002F48C9">
        <w:t xml:space="preserve"> и </w:t>
      </w:r>
      <w:proofErr w:type="gramStart"/>
      <w:r w:rsidR="002F48C9">
        <w:t>т.д.</w:t>
      </w:r>
      <w:proofErr w:type="gramEnd"/>
      <w:r w:rsidR="002F48C9">
        <w:t>, а также в рамках различных конкурсов, в том числе конкурсов рисунка, фотографии, эссе и др.</w:t>
      </w:r>
    </w:p>
    <w:p w14:paraId="5D0B5D28" w14:textId="77777777" w:rsidR="002F48C9" w:rsidRPr="007250D2" w:rsidRDefault="00150E89" w:rsidP="007250D2">
      <w:pPr>
        <w:pStyle w:val="Para1"/>
        <w:numPr>
          <w:ilvl w:val="0"/>
          <w:numId w:val="35"/>
        </w:numPr>
        <w:suppressLineNumbers/>
        <w:tabs>
          <w:tab w:val="clear" w:pos="360"/>
        </w:tabs>
        <w:suppressAutoHyphens/>
        <w:kinsoku w:val="0"/>
        <w:overflowPunct w:val="0"/>
        <w:autoSpaceDE w:val="0"/>
        <w:autoSpaceDN w:val="0"/>
        <w:adjustRightInd w:val="0"/>
        <w:snapToGrid w:val="0"/>
        <w:spacing w:before="0"/>
        <w:ind w:firstLine="720"/>
        <w:rPr>
          <w:kern w:val="22"/>
          <w:szCs w:val="22"/>
        </w:rPr>
      </w:pPr>
      <w:r>
        <w:t>п</w:t>
      </w:r>
      <w:r w:rsidR="002F48C9">
        <w:t>оскольку женщины являются ключевыми субъектами деятельности в сохранении и устойчивом использовании ресурсов, особое внимание следует обращать на учет гендерных аспектов при работе с любой аудиторией.</w:t>
      </w:r>
    </w:p>
    <w:p w14:paraId="1801A4BF" w14:textId="77777777" w:rsidR="002F48C9" w:rsidRPr="007250D2" w:rsidRDefault="002F48C9" w:rsidP="007250D2">
      <w:pPr>
        <w:pStyle w:val="Titre2"/>
        <w:numPr>
          <w:ilvl w:val="0"/>
          <w:numId w:val="33"/>
        </w:numPr>
        <w:suppressLineNumbers/>
        <w:suppressAutoHyphens/>
        <w:kinsoku w:val="0"/>
        <w:overflowPunct w:val="0"/>
        <w:autoSpaceDE w:val="0"/>
        <w:autoSpaceDN w:val="0"/>
        <w:adjustRightInd w:val="0"/>
        <w:snapToGrid w:val="0"/>
        <w:rPr>
          <w:kern w:val="22"/>
          <w:szCs w:val="22"/>
        </w:rPr>
      </w:pPr>
      <w:r>
        <w:t>Консультанты и экспертные организации</w:t>
      </w:r>
    </w:p>
    <w:p w14:paraId="1219E55E" w14:textId="7A73EED0" w:rsidR="002F48C9" w:rsidRPr="007250D2" w:rsidRDefault="002F48C9" w:rsidP="007250D2">
      <w:pPr>
        <w:pStyle w:val="Para1"/>
        <w:suppressLineNumbers/>
        <w:tabs>
          <w:tab w:val="clear" w:pos="360"/>
        </w:tabs>
        <w:suppressAutoHyphens/>
        <w:kinsoku w:val="0"/>
        <w:overflowPunct w:val="0"/>
        <w:autoSpaceDE w:val="0"/>
        <w:autoSpaceDN w:val="0"/>
        <w:adjustRightInd w:val="0"/>
        <w:snapToGrid w:val="0"/>
        <w:rPr>
          <w:kern w:val="22"/>
          <w:szCs w:val="22"/>
        </w:rPr>
      </w:pPr>
      <w:r>
        <w:t xml:space="preserve">Этот сегмент аудитории включает различные сообщества экспертов и учреждений из самых разных сфер науки и техники, которые генерируют и распространяют знания, способствующие осуществлению Конвенции. Установление коммуникации с этим сегментом имеет важное значение для генерирования самых передовых научных знаний и их использования в поддержку осуществления Конвенции. Кроме того, такое сообщество экспертов пользуется большим авторитетом в глазах общественности, и их обращения могут обеспечить Конвенции серьезную поддержку. Важно </w:t>
      </w:r>
      <w:r w:rsidR="00E63DC7">
        <w:t>добиться</w:t>
      </w:r>
      <w:r>
        <w:t xml:space="preserve"> </w:t>
      </w:r>
      <w:r w:rsidR="00E63DC7">
        <w:t>согласованности</w:t>
      </w:r>
      <w:r>
        <w:t xml:space="preserve"> их </w:t>
      </w:r>
      <w:r w:rsidR="005662FE">
        <w:t>тезисов</w:t>
      </w:r>
      <w:r>
        <w:t xml:space="preserve">. По некоторым аспектам эта группа может пересекаться с ключевыми </w:t>
      </w:r>
      <w:r w:rsidR="00E63DC7">
        <w:t>партнерами</w:t>
      </w:r>
      <w:r>
        <w:t xml:space="preserve"> Конвенции, однако она имеет свои особенности.</w:t>
      </w:r>
    </w:p>
    <w:p w14:paraId="0681008C" w14:textId="77777777" w:rsidR="002F48C9" w:rsidRPr="007250D2" w:rsidRDefault="007E090F" w:rsidP="007250D2">
      <w:pPr>
        <w:pStyle w:val="Titre1"/>
        <w:suppressLineNumbers/>
        <w:tabs>
          <w:tab w:val="clear" w:pos="720"/>
          <w:tab w:val="left" w:pos="426"/>
        </w:tabs>
        <w:suppressAutoHyphens/>
        <w:kinsoku w:val="0"/>
        <w:overflowPunct w:val="0"/>
        <w:autoSpaceDE w:val="0"/>
        <w:autoSpaceDN w:val="0"/>
        <w:adjustRightInd w:val="0"/>
        <w:snapToGrid w:val="0"/>
        <w:spacing w:before="120"/>
        <w:rPr>
          <w:bCs/>
          <w:kern w:val="22"/>
          <w:szCs w:val="22"/>
        </w:rPr>
      </w:pPr>
      <w:r>
        <w:t>VI.</w:t>
      </w:r>
      <w:r>
        <w:tab/>
        <w:t>КОММУНИКАЦИОННАЯ «ФЛОТИЛИЯ» И ПРИНЦИПЫ ОТКРЫТЫХ ИСТОЧНИКОВ</w:t>
      </w:r>
    </w:p>
    <w:p w14:paraId="1DFEB395" w14:textId="77777777" w:rsidR="0025304E" w:rsidRPr="007250D2" w:rsidRDefault="002F48C9" w:rsidP="007250D2">
      <w:pPr>
        <w:pStyle w:val="Para1"/>
        <w:suppressLineNumbers/>
        <w:tabs>
          <w:tab w:val="clear" w:pos="360"/>
        </w:tabs>
        <w:suppressAutoHyphens/>
        <w:kinsoku w:val="0"/>
        <w:overflowPunct w:val="0"/>
        <w:autoSpaceDE w:val="0"/>
        <w:autoSpaceDN w:val="0"/>
        <w:adjustRightInd w:val="0"/>
        <w:snapToGrid w:val="0"/>
        <w:rPr>
          <w:kern w:val="22"/>
          <w:szCs w:val="22"/>
        </w:rPr>
      </w:pPr>
      <w:r>
        <w:t xml:space="preserve">Коммуникационная стратегия будет наилучшим образом реализовываться на основе материалов из открытых источников, совместно используемых с «распространителями», </w:t>
      </w:r>
      <w:r>
        <w:lastRenderedPageBreak/>
        <w:t>способными передавать обращения и коммуникацию, охватывая новые регионы, целевые группы и коммуникационные пространства. С учетом глобальной сферы охвата стратегии и существенных национальных и субнациональных нюансов список «распространител</w:t>
      </w:r>
      <w:r w:rsidR="00B6092D">
        <w:t>ей</w:t>
      </w:r>
      <w:r>
        <w:t>» весьма широк. Такими распространителями являются обозначенные в предыдущем разделе группы, однако можно выделить и други</w:t>
      </w:r>
      <w:r w:rsidR="00B6092D">
        <w:t>х участников</w:t>
      </w:r>
      <w:r>
        <w:t>. Примером мобилизации, которая должна структурировать усилия в рамках стратегии, может служить работа «флотилии», созданной в 2020 году, описание которой приводится ниже.</w:t>
      </w:r>
    </w:p>
    <w:p w14:paraId="4F3C21DC" w14:textId="11C8C30D" w:rsidR="00D01C78" w:rsidRPr="007250D2" w:rsidRDefault="001B00B5" w:rsidP="007250D2">
      <w:pPr>
        <w:pStyle w:val="Para1"/>
        <w:suppressLineNumbers/>
        <w:tabs>
          <w:tab w:val="clear" w:pos="360"/>
        </w:tabs>
        <w:suppressAutoHyphens/>
        <w:kinsoku w:val="0"/>
        <w:overflowPunct w:val="0"/>
        <w:autoSpaceDE w:val="0"/>
        <w:autoSpaceDN w:val="0"/>
        <w:adjustRightInd w:val="0"/>
        <w:snapToGrid w:val="0"/>
        <w:rPr>
          <w:kern w:val="22"/>
          <w:szCs w:val="22"/>
        </w:rPr>
      </w:pPr>
      <w:r>
        <w:t>По итогам совещания экспертов, проведенного 21 и 22 ноября 2019 года в ходе 23-го совещания Вспомогательного органа по научным, техническим и технологическим консультациям, организаци</w:t>
      </w:r>
      <w:r w:rsidR="00C911D4">
        <w:t>и</w:t>
      </w:r>
      <w:r>
        <w:t>, включающ</w:t>
      </w:r>
      <w:r w:rsidR="00C911D4">
        <w:t>ие</w:t>
      </w:r>
      <w:r>
        <w:t xml:space="preserve"> Стороны Конвенции, учреждения Организации Объединенных Наций, секретариаты многосторонних природоохранных соглашений, организации гражданского общества, молодежные и женские организации</w:t>
      </w:r>
      <w:r w:rsidR="00AF3C7B">
        <w:t>, а также</w:t>
      </w:r>
      <w:r>
        <w:t xml:space="preserve"> коренные народы и местные общины, объединил</w:t>
      </w:r>
      <w:r w:rsidR="00C911D4">
        <w:t>и</w:t>
      </w:r>
      <w:r>
        <w:t>сь в специальную группу по координации коммуникационной деятельности, названную «Флотилией». Это название использовалось на совещаниях Кембриджской природоохранной инициативы в 2018 году.</w:t>
      </w:r>
    </w:p>
    <w:p w14:paraId="50EBE0BE" w14:textId="5DEF8D3B" w:rsidR="00D01C78" w:rsidRPr="007250D2" w:rsidRDefault="001B00B5" w:rsidP="007250D2">
      <w:pPr>
        <w:pStyle w:val="Para1"/>
        <w:suppressLineNumbers/>
        <w:tabs>
          <w:tab w:val="clear" w:pos="360"/>
        </w:tabs>
        <w:suppressAutoHyphens/>
        <w:kinsoku w:val="0"/>
        <w:overflowPunct w:val="0"/>
        <w:autoSpaceDE w:val="0"/>
        <w:autoSpaceDN w:val="0"/>
        <w:adjustRightInd w:val="0"/>
        <w:snapToGrid w:val="0"/>
        <w:rPr>
          <w:kern w:val="22"/>
          <w:szCs w:val="22"/>
        </w:rPr>
      </w:pPr>
      <w:r>
        <w:t xml:space="preserve">Для группы характерна низкая стоимость участия в работе в плане людских ресурсов, поскольку ее члены могут участвовать в некоторых, а не </w:t>
      </w:r>
      <w:r w:rsidR="00C911D4">
        <w:t xml:space="preserve">во </w:t>
      </w:r>
      <w:r>
        <w:t xml:space="preserve">всех элементах. Принцип открытых источников распространяется на продукты, совместно используемые группой на основе </w:t>
      </w:r>
      <w:proofErr w:type="spellStart"/>
      <w:r>
        <w:t>инклюзивности</w:t>
      </w:r>
      <w:proofErr w:type="spellEnd"/>
      <w:r>
        <w:t xml:space="preserve">, транспарентности и нейтральности. Ее внимание сосредоточено на продвижении повестки дня в области биоразнообразия/природы с целью поддержки переговоров в процессе разработки глобальной рамочной программы в области биоразнообразия на период после 2020 года. </w:t>
      </w:r>
      <w:r w:rsidR="00486532">
        <w:t>Тезисы</w:t>
      </w:r>
      <w:r>
        <w:t xml:space="preserve"> группы разрабатываются в ходе совещаний и мероприятий в течение года при участии различных организаций.</w:t>
      </w:r>
    </w:p>
    <w:p w14:paraId="0419C17A" w14:textId="7D360584" w:rsidR="001B00B5" w:rsidRPr="007250D2" w:rsidRDefault="001B00B5" w:rsidP="007250D2">
      <w:pPr>
        <w:pStyle w:val="Para1"/>
        <w:suppressLineNumbers/>
        <w:tabs>
          <w:tab w:val="clear" w:pos="360"/>
        </w:tabs>
        <w:suppressAutoHyphens/>
        <w:kinsoku w:val="0"/>
        <w:overflowPunct w:val="0"/>
        <w:autoSpaceDE w:val="0"/>
        <w:autoSpaceDN w:val="0"/>
        <w:adjustRightInd w:val="0"/>
        <w:snapToGrid w:val="0"/>
        <w:rPr>
          <w:kern w:val="22"/>
          <w:szCs w:val="22"/>
        </w:rPr>
      </w:pPr>
      <w:r>
        <w:t xml:space="preserve">Координационные и организационные механизмы группы включают список адресов электронной почты, группу в </w:t>
      </w:r>
      <w:proofErr w:type="spellStart"/>
      <w:r>
        <w:t>WhatsApp</w:t>
      </w:r>
      <w:proofErr w:type="spellEnd"/>
      <w:r>
        <w:t>, еженедельные совещания группы и небольшие специальные рабочие группы для изучения различных тем. При наличии ресурсов можно привлечь персонал для выполнения функци</w:t>
      </w:r>
      <w:r w:rsidR="0095190B">
        <w:t>й</w:t>
      </w:r>
      <w:r>
        <w:t xml:space="preserve"> </w:t>
      </w:r>
      <w:r w:rsidR="0095190B">
        <w:t>координатора</w:t>
      </w:r>
      <w:r>
        <w:t xml:space="preserve"> и его вспомогательных сотрудников. Группа определила следующие тактические </w:t>
      </w:r>
      <w:r w:rsidR="002B54AD">
        <w:t>направления</w:t>
      </w:r>
      <w:r>
        <w:t xml:space="preserve"> деятельности:</w:t>
      </w:r>
    </w:p>
    <w:p w14:paraId="6B2020BC" w14:textId="77777777" w:rsidR="001B00B5" w:rsidRPr="007250D2" w:rsidRDefault="001B00B5" w:rsidP="007250D2">
      <w:pPr>
        <w:pStyle w:val="Paragraphedeliste"/>
        <w:numPr>
          <w:ilvl w:val="0"/>
          <w:numId w:val="26"/>
        </w:numPr>
        <w:suppressLineNumbers/>
        <w:suppressAutoHyphens/>
        <w:kinsoku w:val="0"/>
        <w:overflowPunct w:val="0"/>
        <w:autoSpaceDE w:val="0"/>
        <w:autoSpaceDN w:val="0"/>
        <w:adjustRightInd w:val="0"/>
        <w:snapToGrid w:val="0"/>
        <w:spacing w:after="120"/>
        <w:ind w:left="0" w:firstLine="720"/>
        <w:contextualSpacing w:val="0"/>
        <w:rPr>
          <w:spacing w:val="-4"/>
          <w:kern w:val="22"/>
          <w:szCs w:val="22"/>
        </w:rPr>
      </w:pPr>
      <w:r>
        <w:t>периоды активизации партнеров: включая международные дни и другие памятные мероприятия;</w:t>
      </w:r>
    </w:p>
    <w:p w14:paraId="4A94CE13" w14:textId="77777777" w:rsidR="001B00B5" w:rsidRPr="007250D2" w:rsidRDefault="001B00B5" w:rsidP="007250D2">
      <w:pPr>
        <w:pStyle w:val="Paragraphedeliste"/>
        <w:numPr>
          <w:ilvl w:val="0"/>
          <w:numId w:val="26"/>
        </w:numPr>
        <w:suppressLineNumbers/>
        <w:suppressAutoHyphens/>
        <w:kinsoku w:val="0"/>
        <w:overflowPunct w:val="0"/>
        <w:autoSpaceDE w:val="0"/>
        <w:autoSpaceDN w:val="0"/>
        <w:adjustRightInd w:val="0"/>
        <w:snapToGrid w:val="0"/>
        <w:spacing w:after="120"/>
        <w:ind w:left="0" w:firstLine="720"/>
        <w:contextualSpacing w:val="0"/>
        <w:rPr>
          <w:kern w:val="22"/>
          <w:szCs w:val="22"/>
        </w:rPr>
      </w:pPr>
      <w:r>
        <w:t>подготовка материалов с открытым исходным кодом (файлы, сообщения, фотографии, видео, рассказы);</w:t>
      </w:r>
    </w:p>
    <w:p w14:paraId="49B27975" w14:textId="1DE1DF65" w:rsidR="001B00B5" w:rsidRPr="00146E5A" w:rsidRDefault="0095190B" w:rsidP="007250D2">
      <w:pPr>
        <w:pStyle w:val="Paragraphedeliste"/>
        <w:numPr>
          <w:ilvl w:val="0"/>
          <w:numId w:val="26"/>
        </w:numPr>
        <w:suppressLineNumbers/>
        <w:suppressAutoHyphens/>
        <w:kinsoku w:val="0"/>
        <w:overflowPunct w:val="0"/>
        <w:autoSpaceDE w:val="0"/>
        <w:autoSpaceDN w:val="0"/>
        <w:adjustRightInd w:val="0"/>
        <w:snapToGrid w:val="0"/>
        <w:spacing w:after="120"/>
        <w:ind w:left="0" w:firstLine="720"/>
        <w:contextualSpacing w:val="0"/>
        <w:rPr>
          <w:kern w:val="22"/>
          <w:szCs w:val="22"/>
        </w:rPr>
      </w:pPr>
      <w:r w:rsidRPr="00146E5A">
        <w:t>использование</w:t>
      </w:r>
      <w:r w:rsidR="001B00B5" w:rsidRPr="00146E5A">
        <w:t xml:space="preserve"> </w:t>
      </w:r>
      <w:r w:rsidRPr="00146E5A">
        <w:t xml:space="preserve">сильных сторон </w:t>
      </w:r>
      <w:r w:rsidR="001B00B5" w:rsidRPr="00146E5A">
        <w:t>партнеров, включая типовые петиции, ведущих представителей науки, сети лидеров мнений, сет</w:t>
      </w:r>
      <w:r w:rsidR="008B3383" w:rsidRPr="00146E5A">
        <w:t>евого взаимодействия</w:t>
      </w:r>
      <w:r w:rsidR="001B00B5" w:rsidRPr="00146E5A">
        <w:t>, образовательные сообщества и другие;</w:t>
      </w:r>
      <w:r w:rsidRPr="00146E5A">
        <w:t xml:space="preserve"> </w:t>
      </w:r>
    </w:p>
    <w:p w14:paraId="5EEA4D14" w14:textId="77777777" w:rsidR="001B00B5" w:rsidRPr="007250D2" w:rsidRDefault="001B00B5" w:rsidP="007250D2">
      <w:pPr>
        <w:pStyle w:val="Paragraphedeliste"/>
        <w:numPr>
          <w:ilvl w:val="0"/>
          <w:numId w:val="26"/>
        </w:numPr>
        <w:suppressLineNumbers/>
        <w:suppressAutoHyphens/>
        <w:kinsoku w:val="0"/>
        <w:overflowPunct w:val="0"/>
        <w:autoSpaceDE w:val="0"/>
        <w:autoSpaceDN w:val="0"/>
        <w:adjustRightInd w:val="0"/>
        <w:snapToGrid w:val="0"/>
        <w:spacing w:after="120"/>
        <w:ind w:left="0" w:firstLine="720"/>
        <w:contextualSpacing w:val="0"/>
        <w:rPr>
          <w:kern w:val="22"/>
          <w:szCs w:val="22"/>
        </w:rPr>
      </w:pPr>
      <w:r>
        <w:t>акцент на ключевых событиях, крупных мероприятиях и совещаниях;</w:t>
      </w:r>
    </w:p>
    <w:p w14:paraId="5D9BCE5B" w14:textId="77777777" w:rsidR="001B00B5" w:rsidRPr="007250D2" w:rsidRDefault="001B00B5" w:rsidP="007250D2">
      <w:pPr>
        <w:pStyle w:val="Paragraphedeliste"/>
        <w:numPr>
          <w:ilvl w:val="0"/>
          <w:numId w:val="26"/>
        </w:numPr>
        <w:suppressLineNumbers/>
        <w:suppressAutoHyphens/>
        <w:kinsoku w:val="0"/>
        <w:overflowPunct w:val="0"/>
        <w:autoSpaceDE w:val="0"/>
        <w:autoSpaceDN w:val="0"/>
        <w:adjustRightInd w:val="0"/>
        <w:snapToGrid w:val="0"/>
        <w:spacing w:after="120"/>
        <w:ind w:left="0" w:firstLine="720"/>
        <w:contextualSpacing w:val="0"/>
        <w:rPr>
          <w:kern w:val="22"/>
          <w:szCs w:val="22"/>
        </w:rPr>
      </w:pPr>
      <w:r>
        <w:t xml:space="preserve">привлечение </w:t>
      </w:r>
      <w:proofErr w:type="spellStart"/>
      <w:r>
        <w:t>медиапартнеров</w:t>
      </w:r>
      <w:proofErr w:type="spellEnd"/>
      <w:r>
        <w:t xml:space="preserve"> членами «флотилии»;</w:t>
      </w:r>
    </w:p>
    <w:p w14:paraId="3D486DF2" w14:textId="77777777" w:rsidR="001B00B5" w:rsidRPr="007250D2" w:rsidRDefault="001B00B5" w:rsidP="007250D2">
      <w:pPr>
        <w:pStyle w:val="Paragraphedeliste"/>
        <w:numPr>
          <w:ilvl w:val="0"/>
          <w:numId w:val="26"/>
        </w:numPr>
        <w:suppressLineNumbers/>
        <w:suppressAutoHyphens/>
        <w:kinsoku w:val="0"/>
        <w:overflowPunct w:val="0"/>
        <w:autoSpaceDE w:val="0"/>
        <w:autoSpaceDN w:val="0"/>
        <w:adjustRightInd w:val="0"/>
        <w:snapToGrid w:val="0"/>
        <w:spacing w:after="120"/>
        <w:ind w:left="0" w:firstLine="720"/>
        <w:contextualSpacing w:val="0"/>
        <w:rPr>
          <w:kern w:val="22"/>
          <w:szCs w:val="22"/>
        </w:rPr>
      </w:pPr>
      <w:r>
        <w:t>некоторые члены «флотилии» могут подготовить белую книгу и проводить другую информационно-разъяснительную работу в поддержку эффективной коммуникации по вопросам глобальной рамочной программы в области биоразнообразия на период после 2020 года;</w:t>
      </w:r>
    </w:p>
    <w:p w14:paraId="1EAEC48B" w14:textId="77777777" w:rsidR="001B00B5" w:rsidRPr="007250D2" w:rsidRDefault="001B00B5" w:rsidP="007250D2">
      <w:pPr>
        <w:pStyle w:val="Paragraphedeliste"/>
        <w:numPr>
          <w:ilvl w:val="0"/>
          <w:numId w:val="26"/>
        </w:numPr>
        <w:suppressLineNumbers/>
        <w:suppressAutoHyphens/>
        <w:kinsoku w:val="0"/>
        <w:overflowPunct w:val="0"/>
        <w:autoSpaceDE w:val="0"/>
        <w:autoSpaceDN w:val="0"/>
        <w:adjustRightInd w:val="0"/>
        <w:snapToGrid w:val="0"/>
        <w:spacing w:after="120"/>
        <w:ind w:left="0" w:firstLine="720"/>
        <w:contextualSpacing w:val="0"/>
        <w:rPr>
          <w:kern w:val="22"/>
          <w:szCs w:val="22"/>
        </w:rPr>
      </w:pPr>
      <w:r>
        <w:t>поощрение новых и оригинальных мнений;</w:t>
      </w:r>
    </w:p>
    <w:p w14:paraId="31B6C3FE" w14:textId="77777777" w:rsidR="001B00B5" w:rsidRPr="007250D2" w:rsidRDefault="001B00B5" w:rsidP="007250D2">
      <w:pPr>
        <w:pStyle w:val="Paragraphedeliste"/>
        <w:numPr>
          <w:ilvl w:val="0"/>
          <w:numId w:val="26"/>
        </w:numPr>
        <w:suppressLineNumbers/>
        <w:suppressAutoHyphens/>
        <w:kinsoku w:val="0"/>
        <w:overflowPunct w:val="0"/>
        <w:autoSpaceDE w:val="0"/>
        <w:autoSpaceDN w:val="0"/>
        <w:adjustRightInd w:val="0"/>
        <w:snapToGrid w:val="0"/>
        <w:spacing w:after="120"/>
        <w:ind w:left="0" w:firstLine="720"/>
        <w:contextualSpacing w:val="0"/>
        <w:rPr>
          <w:kern w:val="22"/>
          <w:szCs w:val="22"/>
        </w:rPr>
      </w:pPr>
      <w:r>
        <w:t>тактика</w:t>
      </w:r>
      <w:r w:rsidR="008450D0">
        <w:t>, ориентированная на</w:t>
      </w:r>
      <w:r>
        <w:t xml:space="preserve"> целевы</w:t>
      </w:r>
      <w:r w:rsidR="008450D0">
        <w:t>е</w:t>
      </w:r>
      <w:r>
        <w:t xml:space="preserve"> групп</w:t>
      </w:r>
      <w:r w:rsidR="008450D0">
        <w:t>ы</w:t>
      </w:r>
      <w:r>
        <w:t xml:space="preserve"> (например, деловые и религиозные круги, парламентарии);</w:t>
      </w:r>
    </w:p>
    <w:p w14:paraId="4B89A34A" w14:textId="77777777" w:rsidR="002F48C9" w:rsidRPr="007250D2" w:rsidRDefault="001B00B5" w:rsidP="007250D2">
      <w:pPr>
        <w:pStyle w:val="Paragraphedeliste"/>
        <w:numPr>
          <w:ilvl w:val="0"/>
          <w:numId w:val="26"/>
        </w:numPr>
        <w:suppressLineNumbers/>
        <w:suppressAutoHyphens/>
        <w:kinsoku w:val="0"/>
        <w:overflowPunct w:val="0"/>
        <w:autoSpaceDE w:val="0"/>
        <w:autoSpaceDN w:val="0"/>
        <w:adjustRightInd w:val="0"/>
        <w:snapToGrid w:val="0"/>
        <w:spacing w:after="120"/>
        <w:ind w:left="0" w:firstLine="720"/>
        <w:contextualSpacing w:val="0"/>
        <w:rPr>
          <w:kern w:val="22"/>
          <w:szCs w:val="22"/>
        </w:rPr>
      </w:pPr>
      <w:r>
        <w:t>объединение дискуссий по вопросам климата и биоразнообразия.</w:t>
      </w:r>
    </w:p>
    <w:p w14:paraId="7A4A3AAD" w14:textId="77777777" w:rsidR="002F48C9" w:rsidRPr="007250D2" w:rsidRDefault="00AC7F9E" w:rsidP="007250D2">
      <w:pPr>
        <w:pStyle w:val="Titre1"/>
        <w:suppressLineNumbers/>
        <w:tabs>
          <w:tab w:val="clear" w:pos="720"/>
          <w:tab w:val="left" w:pos="567"/>
        </w:tabs>
        <w:suppressAutoHyphens/>
        <w:kinsoku w:val="0"/>
        <w:overflowPunct w:val="0"/>
        <w:autoSpaceDE w:val="0"/>
        <w:autoSpaceDN w:val="0"/>
        <w:adjustRightInd w:val="0"/>
        <w:snapToGrid w:val="0"/>
        <w:spacing w:before="120"/>
        <w:rPr>
          <w:kern w:val="22"/>
          <w:szCs w:val="22"/>
        </w:rPr>
      </w:pPr>
      <w:r>
        <w:lastRenderedPageBreak/>
        <w:t>VII.</w:t>
      </w:r>
      <w:r>
        <w:tab/>
        <w:t>Мероприятия</w:t>
      </w:r>
    </w:p>
    <w:p w14:paraId="0CB9F52A" w14:textId="3F614D05" w:rsidR="002F48C9" w:rsidRPr="007250D2" w:rsidRDefault="002F48C9" w:rsidP="007250D2">
      <w:pPr>
        <w:pStyle w:val="Para1"/>
        <w:suppressLineNumbers/>
        <w:tabs>
          <w:tab w:val="clear" w:pos="360"/>
        </w:tabs>
        <w:suppressAutoHyphens/>
        <w:kinsoku w:val="0"/>
        <w:overflowPunct w:val="0"/>
        <w:autoSpaceDE w:val="0"/>
        <w:autoSpaceDN w:val="0"/>
        <w:adjustRightInd w:val="0"/>
        <w:snapToGrid w:val="0"/>
        <w:rPr>
          <w:kern w:val="22"/>
          <w:szCs w:val="22"/>
        </w:rPr>
      </w:pPr>
      <w:r>
        <w:t xml:space="preserve">Мероприятия открывают широкие коммуникационные возможности, позволяющие распространять </w:t>
      </w:r>
      <w:r w:rsidR="00F63828">
        <w:t xml:space="preserve">коммуникационные </w:t>
      </w:r>
      <w:r w:rsidR="00D9303D">
        <w:t xml:space="preserve">тезисы </w:t>
      </w:r>
      <w:r>
        <w:t>среди различных аудиторий в условиях, когда, как правило, широко представлены СМИ</w:t>
      </w:r>
      <w:r w:rsidR="008450D0">
        <w:t xml:space="preserve">, а </w:t>
      </w:r>
      <w:r>
        <w:t>разны</w:t>
      </w:r>
      <w:r w:rsidR="008450D0">
        <w:t>е</w:t>
      </w:r>
      <w:r>
        <w:t xml:space="preserve"> сообществ</w:t>
      </w:r>
      <w:r w:rsidR="008450D0">
        <w:t>а проявляют к ним повышенный интерес</w:t>
      </w:r>
      <w:r>
        <w:t>. На сегодняшний день основной акцент в усилиях по коммуникации, как правило, делался на крупные международные конференции по вопросам повестки дня в области биоразнообразия. Они по-прежнему несут в себе важные возможности для реализации этой задачи, но не являются единственными. К таким совещаниям относятся:</w:t>
      </w:r>
    </w:p>
    <w:p w14:paraId="54FEF88A" w14:textId="77777777" w:rsidR="002F48C9" w:rsidRPr="007250D2" w:rsidRDefault="002F48C9" w:rsidP="007250D2">
      <w:pPr>
        <w:pStyle w:val="Paragraphedeliste"/>
        <w:numPr>
          <w:ilvl w:val="0"/>
          <w:numId w:val="29"/>
        </w:numPr>
        <w:suppressLineNumbers/>
        <w:suppressAutoHyphens/>
        <w:kinsoku w:val="0"/>
        <w:overflowPunct w:val="0"/>
        <w:autoSpaceDE w:val="0"/>
        <w:autoSpaceDN w:val="0"/>
        <w:adjustRightInd w:val="0"/>
        <w:snapToGrid w:val="0"/>
        <w:spacing w:after="120"/>
        <w:ind w:left="0" w:firstLine="720"/>
        <w:contextualSpacing w:val="0"/>
        <w:jc w:val="left"/>
        <w:rPr>
          <w:kern w:val="22"/>
          <w:szCs w:val="22"/>
        </w:rPr>
      </w:pPr>
      <w:r>
        <w:t>совещания Конференции Сторон Конвенции о биологическом разнообразии</w:t>
      </w:r>
      <w:r w:rsidR="00D13A09">
        <w:t>;</w:t>
      </w:r>
    </w:p>
    <w:p w14:paraId="5491AD62" w14:textId="77777777" w:rsidR="002F48C9" w:rsidRPr="007250D2" w:rsidRDefault="002F48C9" w:rsidP="007250D2">
      <w:pPr>
        <w:pStyle w:val="Paragraphedeliste"/>
        <w:numPr>
          <w:ilvl w:val="0"/>
          <w:numId w:val="29"/>
        </w:numPr>
        <w:suppressLineNumbers/>
        <w:suppressAutoHyphens/>
        <w:kinsoku w:val="0"/>
        <w:overflowPunct w:val="0"/>
        <w:autoSpaceDE w:val="0"/>
        <w:autoSpaceDN w:val="0"/>
        <w:adjustRightInd w:val="0"/>
        <w:snapToGrid w:val="0"/>
        <w:spacing w:after="120"/>
        <w:ind w:left="0" w:firstLine="720"/>
        <w:contextualSpacing w:val="0"/>
        <w:jc w:val="left"/>
        <w:rPr>
          <w:kern w:val="22"/>
          <w:szCs w:val="22"/>
        </w:rPr>
      </w:pPr>
      <w:r>
        <w:t>совещания Рамочной конвенцией Организации Объединенных Наций об изменении климата и Конвенции Организации Объединенных Наций по борьбе с опустыниванием;</w:t>
      </w:r>
    </w:p>
    <w:p w14:paraId="73B56DFA" w14:textId="77777777" w:rsidR="002F48C9" w:rsidRPr="007250D2" w:rsidRDefault="002F48C9" w:rsidP="007250D2">
      <w:pPr>
        <w:pStyle w:val="Paragraphedeliste"/>
        <w:numPr>
          <w:ilvl w:val="0"/>
          <w:numId w:val="29"/>
        </w:numPr>
        <w:suppressLineNumbers/>
        <w:suppressAutoHyphens/>
        <w:kinsoku w:val="0"/>
        <w:overflowPunct w:val="0"/>
        <w:autoSpaceDE w:val="0"/>
        <w:autoSpaceDN w:val="0"/>
        <w:adjustRightInd w:val="0"/>
        <w:snapToGrid w:val="0"/>
        <w:spacing w:after="120"/>
        <w:ind w:left="0" w:firstLine="720"/>
        <w:contextualSpacing w:val="0"/>
        <w:jc w:val="left"/>
        <w:rPr>
          <w:kern w:val="22"/>
          <w:szCs w:val="22"/>
        </w:rPr>
      </w:pPr>
      <w:r>
        <w:t>совещания Конференции Сторон других конвенций, связанных с биоразнообразием;</w:t>
      </w:r>
    </w:p>
    <w:p w14:paraId="124906CF" w14:textId="77777777" w:rsidR="002F48C9" w:rsidRPr="007250D2" w:rsidRDefault="002F48C9" w:rsidP="007250D2">
      <w:pPr>
        <w:pStyle w:val="Paragraphedeliste"/>
        <w:numPr>
          <w:ilvl w:val="0"/>
          <w:numId w:val="29"/>
        </w:numPr>
        <w:suppressLineNumbers/>
        <w:suppressAutoHyphens/>
        <w:kinsoku w:val="0"/>
        <w:overflowPunct w:val="0"/>
        <w:autoSpaceDE w:val="0"/>
        <w:autoSpaceDN w:val="0"/>
        <w:adjustRightInd w:val="0"/>
        <w:snapToGrid w:val="0"/>
        <w:spacing w:after="120"/>
        <w:ind w:left="0" w:firstLine="720"/>
        <w:contextualSpacing w:val="0"/>
        <w:jc w:val="left"/>
        <w:rPr>
          <w:kern w:val="22"/>
          <w:szCs w:val="22"/>
        </w:rPr>
      </w:pPr>
      <w:r>
        <w:t>ежегодные совещания Генеральной Ассамблеи Организации Объединенных Наций, включая Политический форум высокого уровня;</w:t>
      </w:r>
    </w:p>
    <w:p w14:paraId="1696F7C3" w14:textId="77777777" w:rsidR="002F48C9" w:rsidRPr="007250D2" w:rsidRDefault="002F48C9" w:rsidP="007250D2">
      <w:pPr>
        <w:pStyle w:val="Paragraphedeliste"/>
        <w:numPr>
          <w:ilvl w:val="0"/>
          <w:numId w:val="29"/>
        </w:numPr>
        <w:suppressLineNumbers/>
        <w:suppressAutoHyphens/>
        <w:kinsoku w:val="0"/>
        <w:overflowPunct w:val="0"/>
        <w:autoSpaceDE w:val="0"/>
        <w:autoSpaceDN w:val="0"/>
        <w:adjustRightInd w:val="0"/>
        <w:snapToGrid w:val="0"/>
        <w:spacing w:after="120"/>
        <w:ind w:left="0" w:firstLine="720"/>
        <w:contextualSpacing w:val="0"/>
        <w:jc w:val="left"/>
        <w:rPr>
          <w:kern w:val="22"/>
          <w:szCs w:val="22"/>
        </w:rPr>
      </w:pPr>
      <w:r>
        <w:t>совещания Международного союза охраны природы;</w:t>
      </w:r>
    </w:p>
    <w:p w14:paraId="38ABAF09" w14:textId="7D43DAD0" w:rsidR="002F48C9" w:rsidRPr="007250D2" w:rsidRDefault="002F48C9" w:rsidP="007250D2">
      <w:pPr>
        <w:pStyle w:val="Paragraphedeliste"/>
        <w:numPr>
          <w:ilvl w:val="0"/>
          <w:numId w:val="29"/>
        </w:numPr>
        <w:suppressLineNumbers/>
        <w:suppressAutoHyphens/>
        <w:kinsoku w:val="0"/>
        <w:overflowPunct w:val="0"/>
        <w:autoSpaceDE w:val="0"/>
        <w:autoSpaceDN w:val="0"/>
        <w:adjustRightInd w:val="0"/>
        <w:snapToGrid w:val="0"/>
        <w:spacing w:after="120"/>
        <w:ind w:left="0" w:firstLine="720"/>
        <w:contextualSpacing w:val="0"/>
        <w:jc w:val="left"/>
        <w:rPr>
          <w:kern w:val="22"/>
          <w:szCs w:val="22"/>
        </w:rPr>
      </w:pPr>
      <w:r>
        <w:t>совещания Всемирного экономического форума</w:t>
      </w:r>
      <w:r w:rsidR="008B3383">
        <w:t>.</w:t>
      </w:r>
    </w:p>
    <w:p w14:paraId="2D66B2C7" w14:textId="77777777" w:rsidR="002F48C9" w:rsidRPr="007250D2" w:rsidRDefault="00D13A09" w:rsidP="007250D2">
      <w:pPr>
        <w:pStyle w:val="Para1"/>
        <w:suppressLineNumbers/>
        <w:tabs>
          <w:tab w:val="clear" w:pos="360"/>
        </w:tabs>
        <w:suppressAutoHyphens/>
        <w:kinsoku w:val="0"/>
        <w:overflowPunct w:val="0"/>
        <w:autoSpaceDE w:val="0"/>
        <w:autoSpaceDN w:val="0"/>
        <w:adjustRightInd w:val="0"/>
        <w:snapToGrid w:val="0"/>
        <w:rPr>
          <w:kern w:val="22"/>
          <w:szCs w:val="22"/>
        </w:rPr>
      </w:pPr>
      <w:r>
        <w:t>Кроме того, в</w:t>
      </w:r>
      <w:r w:rsidR="002F48C9">
        <w:t xml:space="preserve">ажные коммуникационные возможности открывают национальные мероприятия, </w:t>
      </w:r>
      <w:r>
        <w:t xml:space="preserve">непосредственно </w:t>
      </w:r>
      <w:r w:rsidR="002F48C9">
        <w:t>не связанные с повесткой дня в области биоразнообразия, но потенциально имеющие к ней отношение. Национальные культурные торжества или празднование независимости также следует использовать для демонстрации связи биоразнообразия с национальной самобытностью.</w:t>
      </w:r>
    </w:p>
    <w:p w14:paraId="57E55335" w14:textId="77777777" w:rsidR="002F48C9" w:rsidRPr="007250D2" w:rsidRDefault="002F48C9" w:rsidP="007250D2">
      <w:pPr>
        <w:pStyle w:val="Para1"/>
        <w:suppressLineNumbers/>
        <w:tabs>
          <w:tab w:val="clear" w:pos="360"/>
        </w:tabs>
        <w:suppressAutoHyphens/>
        <w:kinsoku w:val="0"/>
        <w:overflowPunct w:val="0"/>
        <w:autoSpaceDE w:val="0"/>
        <w:autoSpaceDN w:val="0"/>
        <w:adjustRightInd w:val="0"/>
        <w:snapToGrid w:val="0"/>
        <w:rPr>
          <w:kern w:val="22"/>
          <w:szCs w:val="22"/>
        </w:rPr>
      </w:pPr>
      <w:r>
        <w:t>Важными событиями, в ходе которых можно популяризировать и демонстрировать актуальность работы в рамках Конвенции, являются дни Организации Объединенных Наций и другие важные международные дни. Обращения по случаю таких международных дней должны демонстрировать, каким образом осуществление Конвенции может способствовать реализации задач каждого соответствующего дня. В числе наиболее важны</w:t>
      </w:r>
      <w:r w:rsidR="007F08B2">
        <w:t>х</w:t>
      </w:r>
      <w:r>
        <w:t xml:space="preserve"> дней следует рассматривать: Всемирный день водно-болотных угодий, Всемирный день дикой природы, Всемирный день водных ресурсов, Международный день лесов, Международный женский день, Всемирный день здоровья, Час Земли, Всемирный день океанов, День Земли, День Матери-Земли, Всемирный день окружающей среды, Всемирный день по борьбе с опустыниванием и Всемирный день продовольствия.</w:t>
      </w:r>
    </w:p>
    <w:p w14:paraId="13B60D12" w14:textId="77777777" w:rsidR="002F48C9" w:rsidRPr="007250D2" w:rsidRDefault="002F48C9" w:rsidP="007250D2">
      <w:pPr>
        <w:pStyle w:val="Para1"/>
        <w:suppressLineNumbers/>
        <w:tabs>
          <w:tab w:val="clear" w:pos="360"/>
        </w:tabs>
        <w:suppressAutoHyphens/>
        <w:kinsoku w:val="0"/>
        <w:overflowPunct w:val="0"/>
        <w:autoSpaceDE w:val="0"/>
        <w:autoSpaceDN w:val="0"/>
        <w:adjustRightInd w:val="0"/>
        <w:snapToGrid w:val="0"/>
        <w:rPr>
          <w:kern w:val="22"/>
          <w:szCs w:val="22"/>
        </w:rPr>
      </w:pPr>
      <w:r>
        <w:t>Международный день биологического разнообразия, ежегодно отмечаемый 22 мая, также является особо важным событием с точки зрения коммуникации. Опираясь на тему, определенную Исполнительным секретарем, участникам на национальном уровне следует использовать этот день для формулирования национальных концепций и мер реагирования.</w:t>
      </w:r>
    </w:p>
    <w:p w14:paraId="4A2025D5" w14:textId="77777777" w:rsidR="002F48C9" w:rsidRPr="007250D2" w:rsidRDefault="00AC7F9E" w:rsidP="007250D2">
      <w:pPr>
        <w:pStyle w:val="Titre1"/>
        <w:suppressLineNumbers/>
        <w:tabs>
          <w:tab w:val="clear" w:pos="720"/>
          <w:tab w:val="left" w:pos="567"/>
        </w:tabs>
        <w:suppressAutoHyphens/>
        <w:kinsoku w:val="0"/>
        <w:overflowPunct w:val="0"/>
        <w:autoSpaceDE w:val="0"/>
        <w:autoSpaceDN w:val="0"/>
        <w:adjustRightInd w:val="0"/>
        <w:snapToGrid w:val="0"/>
        <w:spacing w:before="120"/>
        <w:rPr>
          <w:kern w:val="22"/>
          <w:szCs w:val="22"/>
        </w:rPr>
      </w:pPr>
      <w:r>
        <w:t>VIII.</w:t>
      </w:r>
      <w:r>
        <w:tab/>
        <w:t>ПРОЦЕСС ДАЛЬНЕЙШЕЙ РАЗРАБОТКИ И ОБНОВЛЕНИЯ СТРАТЕГИИ</w:t>
      </w:r>
    </w:p>
    <w:p w14:paraId="4E58425B" w14:textId="77777777" w:rsidR="002F48C9" w:rsidRPr="007250D2" w:rsidRDefault="002F48C9" w:rsidP="007250D2">
      <w:pPr>
        <w:pStyle w:val="Para1"/>
        <w:suppressLineNumbers/>
        <w:tabs>
          <w:tab w:val="clear" w:pos="360"/>
        </w:tabs>
        <w:suppressAutoHyphens/>
        <w:kinsoku w:val="0"/>
        <w:overflowPunct w:val="0"/>
        <w:autoSpaceDE w:val="0"/>
        <w:autoSpaceDN w:val="0"/>
        <w:adjustRightInd w:val="0"/>
        <w:snapToGrid w:val="0"/>
        <w:rPr>
          <w:kern w:val="22"/>
          <w:szCs w:val="22"/>
        </w:rPr>
      </w:pPr>
      <w:r>
        <w:t>Стратегию необходимо разрабатывать на основе гибкого, итеративного подхода, обеспечивающего широкое участие, с учетом мнений различных организаций и заинтересованных сторон, и на определенных важных этапах вносить в нее коррективы. Разработка должна проходить на основе рекомендаций и консультаций международного уровня под руководством Исполнительного секретаря, результаты которых затем лягут в основу последующих консультаций на региональном, национальном и субнациональном уровнях. В ходе процесса консультаций важную роль будет играть активное участие коренных народов и местных общин, а также необходимость обеспечить полноценный учет гендерных аспектов.</w:t>
      </w:r>
    </w:p>
    <w:p w14:paraId="2AF67F11" w14:textId="77777777" w:rsidR="00FD23FA" w:rsidRPr="007250D2" w:rsidRDefault="00FD23FA" w:rsidP="007250D2">
      <w:pPr>
        <w:pStyle w:val="Para1"/>
        <w:suppressLineNumbers/>
        <w:tabs>
          <w:tab w:val="clear" w:pos="360"/>
        </w:tabs>
        <w:suppressAutoHyphens/>
        <w:kinsoku w:val="0"/>
        <w:overflowPunct w:val="0"/>
        <w:autoSpaceDE w:val="0"/>
        <w:autoSpaceDN w:val="0"/>
        <w:adjustRightInd w:val="0"/>
        <w:snapToGrid w:val="0"/>
        <w:rPr>
          <w:kern w:val="22"/>
          <w:szCs w:val="22"/>
        </w:rPr>
      </w:pPr>
      <w:r>
        <w:t xml:space="preserve">Процесс </w:t>
      </w:r>
      <w:r w:rsidR="00D53A68">
        <w:t>обзора</w:t>
      </w:r>
      <w:r>
        <w:t xml:space="preserve"> будет отвечать следующим задачам:</w:t>
      </w:r>
    </w:p>
    <w:p w14:paraId="4D757921" w14:textId="77777777" w:rsidR="00125485" w:rsidRPr="007250D2" w:rsidRDefault="00125485" w:rsidP="0055222B">
      <w:pPr>
        <w:pStyle w:val="Para2"/>
        <w:numPr>
          <w:ilvl w:val="0"/>
          <w:numId w:val="30"/>
        </w:numPr>
        <w:suppressLineNumbers/>
        <w:suppressAutoHyphens/>
        <w:kinsoku w:val="0"/>
        <w:overflowPunct w:val="0"/>
        <w:adjustRightInd w:val="0"/>
        <w:snapToGrid w:val="0"/>
        <w:spacing w:before="0" w:after="80"/>
        <w:ind w:left="0" w:firstLine="720"/>
        <w:rPr>
          <w:kern w:val="22"/>
          <w:szCs w:val="22"/>
        </w:rPr>
      </w:pPr>
      <w:r>
        <w:lastRenderedPageBreak/>
        <w:t>периодический пересмотр коммуникационной стратегии, согласованной в соответствии с решением Конференции Сторон;</w:t>
      </w:r>
    </w:p>
    <w:p w14:paraId="2EB4CB8B" w14:textId="77777777" w:rsidR="0019459F" w:rsidRPr="007250D2" w:rsidRDefault="00FD23FA" w:rsidP="0055222B">
      <w:pPr>
        <w:pStyle w:val="Para2"/>
        <w:numPr>
          <w:ilvl w:val="0"/>
          <w:numId w:val="30"/>
        </w:numPr>
        <w:suppressLineNumbers/>
        <w:suppressAutoHyphens/>
        <w:kinsoku w:val="0"/>
        <w:overflowPunct w:val="0"/>
        <w:adjustRightInd w:val="0"/>
        <w:snapToGrid w:val="0"/>
        <w:spacing w:before="0" w:after="80"/>
        <w:ind w:left="0" w:firstLine="720"/>
        <w:rPr>
          <w:kern w:val="22"/>
          <w:szCs w:val="22"/>
        </w:rPr>
      </w:pPr>
      <w:r>
        <w:t>краткое представление и оценка основных организованных мероприятий в области коммуникации с целью выявления передового опыта и изменений исходных параметров в области уровня осведомленности, воздействии и эффективности;</w:t>
      </w:r>
    </w:p>
    <w:p w14:paraId="68F16431" w14:textId="77777777" w:rsidR="007F3037" w:rsidRPr="007250D2" w:rsidRDefault="0019459F" w:rsidP="0055222B">
      <w:pPr>
        <w:pStyle w:val="Para2"/>
        <w:numPr>
          <w:ilvl w:val="0"/>
          <w:numId w:val="30"/>
        </w:numPr>
        <w:suppressLineNumbers/>
        <w:suppressAutoHyphens/>
        <w:kinsoku w:val="0"/>
        <w:overflowPunct w:val="0"/>
        <w:adjustRightInd w:val="0"/>
        <w:snapToGrid w:val="0"/>
        <w:spacing w:before="0" w:after="80"/>
        <w:ind w:left="0" w:firstLine="720"/>
        <w:rPr>
          <w:kern w:val="22"/>
          <w:szCs w:val="22"/>
        </w:rPr>
      </w:pPr>
      <w:r>
        <w:t>определение новых направлений для коммуникации или необходимости корректировки существующих стратегий;</w:t>
      </w:r>
    </w:p>
    <w:p w14:paraId="0F9D9DB2" w14:textId="77777777" w:rsidR="007F3037" w:rsidRPr="007250D2" w:rsidRDefault="007F3037" w:rsidP="0055222B">
      <w:pPr>
        <w:pStyle w:val="Para2"/>
        <w:numPr>
          <w:ilvl w:val="0"/>
          <w:numId w:val="30"/>
        </w:numPr>
        <w:suppressLineNumbers/>
        <w:suppressAutoHyphens/>
        <w:kinsoku w:val="0"/>
        <w:overflowPunct w:val="0"/>
        <w:adjustRightInd w:val="0"/>
        <w:snapToGrid w:val="0"/>
        <w:spacing w:before="0" w:after="80"/>
        <w:ind w:left="0" w:firstLine="720"/>
        <w:rPr>
          <w:kern w:val="22"/>
          <w:szCs w:val="22"/>
        </w:rPr>
      </w:pPr>
      <w:r>
        <w:t>отслеживание коммуникации о прогрессе в выполнении задач, достижении целей и реализации миссии на период до 2030 года;</w:t>
      </w:r>
    </w:p>
    <w:p w14:paraId="2CB76CBD" w14:textId="77777777" w:rsidR="007F3037" w:rsidRPr="007250D2" w:rsidRDefault="007F3037" w:rsidP="0055222B">
      <w:pPr>
        <w:pStyle w:val="Para2"/>
        <w:numPr>
          <w:ilvl w:val="0"/>
          <w:numId w:val="30"/>
        </w:numPr>
        <w:suppressLineNumbers/>
        <w:suppressAutoHyphens/>
        <w:kinsoku w:val="0"/>
        <w:overflowPunct w:val="0"/>
        <w:adjustRightInd w:val="0"/>
        <w:snapToGrid w:val="0"/>
        <w:spacing w:before="0" w:after="80"/>
        <w:ind w:left="0" w:firstLine="720"/>
        <w:rPr>
          <w:kern w:val="22"/>
          <w:szCs w:val="22"/>
        </w:rPr>
      </w:pPr>
      <w:r>
        <w:t>определение новых субъектов или партнеров, с которыми следует наладить связи;</w:t>
      </w:r>
    </w:p>
    <w:p w14:paraId="13D3558C" w14:textId="77777777" w:rsidR="007F3037" w:rsidRPr="007250D2" w:rsidRDefault="007F3037" w:rsidP="0055222B">
      <w:pPr>
        <w:pStyle w:val="Para2"/>
        <w:numPr>
          <w:ilvl w:val="0"/>
          <w:numId w:val="30"/>
        </w:numPr>
        <w:suppressLineNumbers/>
        <w:suppressAutoHyphens/>
        <w:kinsoku w:val="0"/>
        <w:overflowPunct w:val="0"/>
        <w:adjustRightInd w:val="0"/>
        <w:snapToGrid w:val="0"/>
        <w:spacing w:before="0" w:after="80"/>
        <w:ind w:left="0" w:firstLine="720"/>
        <w:rPr>
          <w:kern w:val="22"/>
          <w:szCs w:val="22"/>
        </w:rPr>
      </w:pPr>
      <w:r>
        <w:t>определение потребностей в ресурсах.</w:t>
      </w:r>
    </w:p>
    <w:p w14:paraId="2D8588E5" w14:textId="77777777" w:rsidR="002F48C9" w:rsidRPr="007250D2" w:rsidRDefault="00F46626" w:rsidP="007250D2">
      <w:pPr>
        <w:pStyle w:val="Para1"/>
        <w:suppressLineNumbers/>
        <w:tabs>
          <w:tab w:val="clear" w:pos="360"/>
        </w:tabs>
        <w:suppressAutoHyphens/>
        <w:kinsoku w:val="0"/>
        <w:overflowPunct w:val="0"/>
        <w:autoSpaceDE w:val="0"/>
        <w:autoSpaceDN w:val="0"/>
        <w:adjustRightInd w:val="0"/>
        <w:snapToGrid w:val="0"/>
        <w:rPr>
          <w:kern w:val="22"/>
          <w:szCs w:val="22"/>
        </w:rPr>
      </w:pPr>
      <w:r>
        <w:t>Обзор</w:t>
      </w:r>
      <w:r w:rsidR="002F48C9">
        <w:t xml:space="preserve"> будет проводит</w:t>
      </w:r>
      <w:r w:rsidR="002C5FC0">
        <w:t>ь</w:t>
      </w:r>
      <w:r w:rsidR="002F48C9">
        <w:t>ся на регулярной основе и носить цикличный характер. Предлагается включить следующие этапы</w:t>
      </w:r>
      <w:r w:rsidR="00A44DBC">
        <w:t xml:space="preserve">, некоторые из которых </w:t>
      </w:r>
      <w:r w:rsidR="002F48C9">
        <w:t>могут быть объединены в случае необходимости:</w:t>
      </w:r>
    </w:p>
    <w:p w14:paraId="76E17308" w14:textId="77777777" w:rsidR="002F48C9" w:rsidRPr="007250D2" w:rsidRDefault="00E96A6B" w:rsidP="007250D2">
      <w:pPr>
        <w:pStyle w:val="Para2"/>
        <w:numPr>
          <w:ilvl w:val="0"/>
          <w:numId w:val="31"/>
        </w:numPr>
        <w:suppressLineNumbers/>
        <w:suppressAutoHyphens/>
        <w:kinsoku w:val="0"/>
        <w:overflowPunct w:val="0"/>
        <w:adjustRightInd w:val="0"/>
        <w:snapToGrid w:val="0"/>
        <w:spacing w:before="0"/>
        <w:ind w:left="0" w:firstLine="720"/>
        <w:rPr>
          <w:kern w:val="22"/>
          <w:szCs w:val="22"/>
        </w:rPr>
      </w:pPr>
      <w:r>
        <w:t>непосредственно после принятия текста глобальной рамочной программы в области биоразнообразия на период после 2020 года;</w:t>
      </w:r>
    </w:p>
    <w:p w14:paraId="420702CD" w14:textId="77777777" w:rsidR="002F48C9" w:rsidRPr="007250D2" w:rsidRDefault="00E96A6B" w:rsidP="007250D2">
      <w:pPr>
        <w:pStyle w:val="Para2"/>
        <w:numPr>
          <w:ilvl w:val="0"/>
          <w:numId w:val="31"/>
        </w:numPr>
        <w:suppressLineNumbers/>
        <w:suppressAutoHyphens/>
        <w:kinsoku w:val="0"/>
        <w:overflowPunct w:val="0"/>
        <w:adjustRightInd w:val="0"/>
        <w:snapToGrid w:val="0"/>
        <w:spacing w:before="0"/>
        <w:ind w:left="0" w:firstLine="720"/>
        <w:rPr>
          <w:kern w:val="22"/>
          <w:szCs w:val="22"/>
        </w:rPr>
      </w:pPr>
      <w:r>
        <w:t>в преддверии совещаний Вспомогательного органа по осуществлению;</w:t>
      </w:r>
    </w:p>
    <w:p w14:paraId="220346EB" w14:textId="77777777" w:rsidR="002F48C9" w:rsidRPr="007250D2" w:rsidRDefault="00E96A6B" w:rsidP="007250D2">
      <w:pPr>
        <w:pStyle w:val="Para2"/>
        <w:numPr>
          <w:ilvl w:val="0"/>
          <w:numId w:val="31"/>
        </w:numPr>
        <w:suppressLineNumbers/>
        <w:suppressAutoHyphens/>
        <w:kinsoku w:val="0"/>
        <w:overflowPunct w:val="0"/>
        <w:adjustRightInd w:val="0"/>
        <w:snapToGrid w:val="0"/>
        <w:spacing w:before="0"/>
        <w:ind w:left="0" w:firstLine="720"/>
        <w:rPr>
          <w:kern w:val="22"/>
          <w:szCs w:val="22"/>
        </w:rPr>
      </w:pPr>
      <w:r>
        <w:t>в преддверии совещаний Конференции Сторон;</w:t>
      </w:r>
    </w:p>
    <w:p w14:paraId="72C4740B" w14:textId="77777777" w:rsidR="002F48C9" w:rsidRPr="007250D2" w:rsidRDefault="008C363E" w:rsidP="007250D2">
      <w:pPr>
        <w:pStyle w:val="Para2"/>
        <w:numPr>
          <w:ilvl w:val="0"/>
          <w:numId w:val="31"/>
        </w:numPr>
        <w:suppressLineNumbers/>
        <w:suppressAutoHyphens/>
        <w:kinsoku w:val="0"/>
        <w:overflowPunct w:val="0"/>
        <w:adjustRightInd w:val="0"/>
        <w:snapToGrid w:val="0"/>
        <w:spacing w:before="0"/>
        <w:ind w:left="0" w:firstLine="720"/>
        <w:rPr>
          <w:kern w:val="22"/>
          <w:szCs w:val="22"/>
        </w:rPr>
      </w:pPr>
      <w:r>
        <w:t>один раз на ежегодном совещании Неофициального консультативного комитета по вопросам коммуникации, просвещения и информирования общественности;</w:t>
      </w:r>
    </w:p>
    <w:p w14:paraId="75A4BF8E" w14:textId="77777777" w:rsidR="002F48C9" w:rsidRPr="007250D2" w:rsidRDefault="00EB72ED" w:rsidP="007250D2">
      <w:pPr>
        <w:pStyle w:val="Para2"/>
        <w:numPr>
          <w:ilvl w:val="0"/>
          <w:numId w:val="31"/>
        </w:numPr>
        <w:suppressLineNumbers/>
        <w:suppressAutoHyphens/>
        <w:kinsoku w:val="0"/>
        <w:overflowPunct w:val="0"/>
        <w:adjustRightInd w:val="0"/>
        <w:snapToGrid w:val="0"/>
        <w:spacing w:before="0"/>
        <w:ind w:left="0" w:firstLine="720"/>
        <w:rPr>
          <w:kern w:val="22"/>
          <w:szCs w:val="22"/>
        </w:rPr>
      </w:pPr>
      <w:r>
        <w:t>ежегодно в ходе регулярных совещаний Флотилии по коммуникации в области биоразнообразия;</w:t>
      </w:r>
    </w:p>
    <w:p w14:paraId="4C55AAA3" w14:textId="77777777" w:rsidR="002F48C9" w:rsidRPr="007250D2" w:rsidRDefault="00EB72ED" w:rsidP="007250D2">
      <w:pPr>
        <w:pStyle w:val="Para2"/>
        <w:numPr>
          <w:ilvl w:val="0"/>
          <w:numId w:val="31"/>
        </w:numPr>
        <w:suppressLineNumbers/>
        <w:suppressAutoHyphens/>
        <w:kinsoku w:val="0"/>
        <w:overflowPunct w:val="0"/>
        <w:adjustRightInd w:val="0"/>
        <w:snapToGrid w:val="0"/>
        <w:spacing w:before="0"/>
        <w:ind w:left="0" w:firstLine="720"/>
        <w:rPr>
          <w:kern w:val="22"/>
          <w:szCs w:val="22"/>
        </w:rPr>
      </w:pPr>
      <w:r>
        <w:t>ежегодно в рамках Группы Организации Объединенных Наций по вопросам коммуникационной работы в области биоразнообразия;</w:t>
      </w:r>
    </w:p>
    <w:p w14:paraId="0D801964" w14:textId="77777777" w:rsidR="00AA0B1C" w:rsidRPr="007250D2" w:rsidRDefault="00AA0B1C" w:rsidP="007250D2">
      <w:pPr>
        <w:pStyle w:val="Para2"/>
        <w:numPr>
          <w:ilvl w:val="0"/>
          <w:numId w:val="31"/>
        </w:numPr>
        <w:suppressLineNumbers/>
        <w:suppressAutoHyphens/>
        <w:kinsoku w:val="0"/>
        <w:overflowPunct w:val="0"/>
        <w:adjustRightInd w:val="0"/>
        <w:snapToGrid w:val="0"/>
        <w:spacing w:before="0"/>
        <w:ind w:left="0" w:firstLine="720"/>
        <w:rPr>
          <w:kern w:val="22"/>
          <w:szCs w:val="22"/>
        </w:rPr>
      </w:pPr>
      <w:r>
        <w:t>по меньшей мере один раз в два года в ходе совещаний Совместной контактной группы, Контактной группы конвенций, связанных с биоразнообразием, и Группы по рациональному природопользованию;</w:t>
      </w:r>
    </w:p>
    <w:p w14:paraId="065AD392" w14:textId="77777777" w:rsidR="002F48C9" w:rsidRPr="007250D2" w:rsidRDefault="002F48C9" w:rsidP="007250D2">
      <w:pPr>
        <w:pStyle w:val="Para2"/>
        <w:numPr>
          <w:ilvl w:val="0"/>
          <w:numId w:val="31"/>
        </w:numPr>
        <w:suppressLineNumbers/>
        <w:suppressAutoHyphens/>
        <w:kinsoku w:val="0"/>
        <w:overflowPunct w:val="0"/>
        <w:adjustRightInd w:val="0"/>
        <w:snapToGrid w:val="0"/>
        <w:spacing w:before="0"/>
        <w:ind w:left="0" w:firstLine="720"/>
        <w:rPr>
          <w:kern w:val="22"/>
          <w:szCs w:val="22"/>
        </w:rPr>
      </w:pPr>
      <w:r>
        <w:t>ежегодно на национальном и субнациональном уровнях в рамках национального обзора хода осуществления Конвенции.</w:t>
      </w:r>
    </w:p>
    <w:p w14:paraId="65732B07" w14:textId="77777777" w:rsidR="002F48C9" w:rsidRPr="007250D2" w:rsidRDefault="006F484A" w:rsidP="007250D2">
      <w:pPr>
        <w:pStyle w:val="Para1"/>
        <w:suppressLineNumbers/>
        <w:tabs>
          <w:tab w:val="clear" w:pos="360"/>
        </w:tabs>
        <w:suppressAutoHyphens/>
        <w:kinsoku w:val="0"/>
        <w:overflowPunct w:val="0"/>
        <w:autoSpaceDE w:val="0"/>
        <w:autoSpaceDN w:val="0"/>
        <w:adjustRightInd w:val="0"/>
        <w:snapToGrid w:val="0"/>
        <w:rPr>
          <w:kern w:val="22"/>
          <w:szCs w:val="22"/>
        </w:rPr>
      </w:pPr>
      <w:r>
        <w:t>В связи с последним пунктом Сторонам будет необходимо создать обзорные органы на национальном и/или субнациональном уровне. Кроме того, проведение обзора может быть поручено существующим органам по вопросам коммуникации или проводиться в рамках текущей работы по подготовке национальной отчетности или обновлению национальных стратегий и планов действий в области биоразнообразия.</w:t>
      </w:r>
    </w:p>
    <w:p w14:paraId="0E46A514" w14:textId="77777777" w:rsidR="002F48C9" w:rsidRPr="007250D2" w:rsidRDefault="00CA4582" w:rsidP="007250D2">
      <w:pPr>
        <w:pStyle w:val="Titre1"/>
        <w:suppressLineNumbers/>
        <w:tabs>
          <w:tab w:val="clear" w:pos="720"/>
          <w:tab w:val="left" w:pos="426"/>
        </w:tabs>
        <w:suppressAutoHyphens/>
        <w:kinsoku w:val="0"/>
        <w:overflowPunct w:val="0"/>
        <w:autoSpaceDE w:val="0"/>
        <w:autoSpaceDN w:val="0"/>
        <w:adjustRightInd w:val="0"/>
        <w:snapToGrid w:val="0"/>
        <w:spacing w:before="120"/>
        <w:rPr>
          <w:bCs/>
          <w:kern w:val="22"/>
          <w:szCs w:val="22"/>
        </w:rPr>
      </w:pPr>
      <w:r>
        <w:t>IX.</w:t>
      </w:r>
      <w:r>
        <w:tab/>
        <w:t>СООБРАЖЕНИЯ В ОТНОШЕНИИ СОЦИАЛЬНЫХ СЕТЕЙ</w:t>
      </w:r>
    </w:p>
    <w:p w14:paraId="4737BB92" w14:textId="467213C3" w:rsidR="001C43A5" w:rsidRPr="007250D2" w:rsidRDefault="001C43A5" w:rsidP="007250D2">
      <w:pPr>
        <w:pStyle w:val="Para1"/>
        <w:suppressLineNumbers/>
        <w:tabs>
          <w:tab w:val="clear" w:pos="360"/>
        </w:tabs>
        <w:suppressAutoHyphens/>
        <w:kinsoku w:val="0"/>
        <w:overflowPunct w:val="0"/>
        <w:autoSpaceDE w:val="0"/>
        <w:autoSpaceDN w:val="0"/>
        <w:adjustRightInd w:val="0"/>
        <w:snapToGrid w:val="0"/>
        <w:rPr>
          <w:kern w:val="22"/>
          <w:szCs w:val="22"/>
        </w:rPr>
      </w:pPr>
      <w:r>
        <w:t xml:space="preserve">Стратегия должна использовать преимущества существующих социальных сетей и новых технологий. Составление исчерпывающего перечня технологий, которые надлежит использовать, не представляется целесообразным, поскольку платформы для них варьируются в зависимости от региона, а изменения в области социальных сетей происходят с такой скоростью, что некоторые платформы со временем утрачивают свою актуальность. Тем не менее, осуществление этой стратегии должно ориентироваться на внедрение самых современных платформ и технологий, в том числе посредством корпоративных партнерств. Необходимо учитывать вопросы безопасности данных и защиты всех прав </w:t>
      </w:r>
      <w:r w:rsidR="002C5FC0">
        <w:t xml:space="preserve">пользователей </w:t>
      </w:r>
      <w:r>
        <w:t>на неприкосновенность частной жизни, закрепленных в различных законодательных актах.</w:t>
      </w:r>
    </w:p>
    <w:p w14:paraId="40239892" w14:textId="77777777" w:rsidR="002F48C9" w:rsidRPr="007250D2" w:rsidRDefault="00CA4582" w:rsidP="007250D2">
      <w:pPr>
        <w:pStyle w:val="Titre1"/>
        <w:suppressLineNumbers/>
        <w:tabs>
          <w:tab w:val="clear" w:pos="720"/>
          <w:tab w:val="left" w:pos="426"/>
        </w:tabs>
        <w:suppressAutoHyphens/>
        <w:kinsoku w:val="0"/>
        <w:overflowPunct w:val="0"/>
        <w:autoSpaceDE w:val="0"/>
        <w:autoSpaceDN w:val="0"/>
        <w:adjustRightInd w:val="0"/>
        <w:snapToGrid w:val="0"/>
        <w:spacing w:before="120"/>
        <w:rPr>
          <w:kern w:val="22"/>
          <w:szCs w:val="22"/>
        </w:rPr>
      </w:pPr>
      <w:r>
        <w:lastRenderedPageBreak/>
        <w:t>X.</w:t>
      </w:r>
      <w:r>
        <w:tab/>
        <w:t>РЕСУРСЫ</w:t>
      </w:r>
    </w:p>
    <w:p w14:paraId="30A0EC49" w14:textId="3B4DF2F5" w:rsidR="00CA4582" w:rsidRPr="007250D2" w:rsidRDefault="005627D3" w:rsidP="007250D2">
      <w:pPr>
        <w:pStyle w:val="Para1"/>
        <w:suppressLineNumbers/>
        <w:tabs>
          <w:tab w:val="clear" w:pos="360"/>
        </w:tabs>
        <w:suppressAutoHyphens/>
        <w:kinsoku w:val="0"/>
        <w:overflowPunct w:val="0"/>
        <w:autoSpaceDE w:val="0"/>
        <w:autoSpaceDN w:val="0"/>
        <w:adjustRightInd w:val="0"/>
        <w:snapToGrid w:val="0"/>
        <w:rPr>
          <w:szCs w:val="22"/>
        </w:rPr>
      </w:pPr>
      <w:r>
        <w:t xml:space="preserve">Ориентировочный объем ресурсов для осуществления стратегии будет определяться по мере дальнейшей разработки плана. </w:t>
      </w:r>
      <w:r w:rsidR="00F85159">
        <w:t>Для ее реализации п</w:t>
      </w:r>
      <w:r>
        <w:t>отребуются ресурсы на международном уровне, которые будут использоваться Исполнительным секретарем и соответствующими международными участниками процесса</w:t>
      </w:r>
      <w:r w:rsidR="00F85159">
        <w:t xml:space="preserve">, а </w:t>
      </w:r>
      <w:r>
        <w:t>также национальные и субнациональные ресурсы для работы на национальном уровне.</w:t>
      </w:r>
    </w:p>
    <w:p w14:paraId="28957ECB" w14:textId="77777777" w:rsidR="00B3369F" w:rsidRPr="007250D2" w:rsidRDefault="00CA4582" w:rsidP="007250D2">
      <w:pPr>
        <w:pStyle w:val="Para1"/>
        <w:numPr>
          <w:ilvl w:val="0"/>
          <w:numId w:val="0"/>
        </w:numPr>
        <w:suppressLineNumbers/>
        <w:suppressAutoHyphens/>
        <w:kinsoku w:val="0"/>
        <w:overflowPunct w:val="0"/>
        <w:autoSpaceDE w:val="0"/>
        <w:autoSpaceDN w:val="0"/>
        <w:adjustRightInd w:val="0"/>
        <w:snapToGrid w:val="0"/>
        <w:jc w:val="center"/>
        <w:rPr>
          <w:kern w:val="22"/>
          <w:szCs w:val="22"/>
        </w:rPr>
      </w:pPr>
      <w:r>
        <w:t>______</w:t>
      </w:r>
    </w:p>
    <w:sectPr w:rsidR="00B3369F" w:rsidRPr="007250D2" w:rsidSect="007250D2">
      <w:headerReference w:type="even" r:id="rId17"/>
      <w:headerReference w:type="default" r:id="rId18"/>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65403" w14:textId="77777777" w:rsidR="00FF4101" w:rsidRDefault="00FF4101" w:rsidP="00CF1848">
      <w:r>
        <w:separator/>
      </w:r>
    </w:p>
  </w:endnote>
  <w:endnote w:type="continuationSeparator" w:id="0">
    <w:p w14:paraId="59EC21EA" w14:textId="77777777" w:rsidR="00FF4101" w:rsidRDefault="00FF4101" w:rsidP="00CF1848">
      <w:r>
        <w:continuationSeparator/>
      </w:r>
    </w:p>
  </w:endnote>
  <w:endnote w:type="continuationNotice" w:id="1">
    <w:p w14:paraId="28F70045" w14:textId="77777777" w:rsidR="00FF4101" w:rsidRDefault="00FF4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E9CF4" w14:textId="77777777" w:rsidR="00FF4101" w:rsidRDefault="00FF4101" w:rsidP="00CF1848">
      <w:r>
        <w:separator/>
      </w:r>
    </w:p>
  </w:footnote>
  <w:footnote w:type="continuationSeparator" w:id="0">
    <w:p w14:paraId="1508E94B" w14:textId="77777777" w:rsidR="00FF4101" w:rsidRDefault="00FF4101" w:rsidP="00CF1848">
      <w:r>
        <w:continuationSeparator/>
      </w:r>
    </w:p>
  </w:footnote>
  <w:footnote w:type="continuationNotice" w:id="1">
    <w:p w14:paraId="733EC0AE" w14:textId="77777777" w:rsidR="00FF4101" w:rsidRDefault="00FF4101"/>
  </w:footnote>
  <w:footnote w:id="2">
    <w:p w14:paraId="2CC6C9F1" w14:textId="77777777" w:rsidR="00CC71EF" w:rsidRPr="007250D2" w:rsidRDefault="00CC71EF" w:rsidP="007250D2">
      <w:pPr>
        <w:pStyle w:val="Notedebasdepage"/>
        <w:suppressLineNumbers/>
        <w:suppressAutoHyphens/>
        <w:kinsoku w:val="0"/>
        <w:overflowPunct w:val="0"/>
        <w:autoSpaceDE w:val="0"/>
        <w:autoSpaceDN w:val="0"/>
        <w:adjustRightInd w:val="0"/>
        <w:snapToGrid w:val="0"/>
        <w:ind w:firstLine="0"/>
        <w:jc w:val="left"/>
        <w:rPr>
          <w:kern w:val="18"/>
          <w:szCs w:val="18"/>
        </w:rPr>
      </w:pPr>
      <w:r>
        <w:rPr>
          <w:rStyle w:val="Appelnotedebasdep"/>
          <w:sz w:val="18"/>
          <w:szCs w:val="18"/>
        </w:rPr>
        <w:t>*</w:t>
      </w:r>
      <w:r>
        <w:t xml:space="preserve"> CBD/SBI/3/1.</w:t>
      </w:r>
    </w:p>
  </w:footnote>
  <w:footnote w:id="3">
    <w:p w14:paraId="613DF50C" w14:textId="57D8E8DD" w:rsidR="00DE3D5F" w:rsidRPr="007250D2" w:rsidRDefault="00DE3D5F" w:rsidP="007250D2">
      <w:pPr>
        <w:pStyle w:val="Notedebasdepage"/>
        <w:suppressLineNumbers/>
        <w:suppressAutoHyphens/>
        <w:kinsoku w:val="0"/>
        <w:overflowPunct w:val="0"/>
        <w:autoSpaceDE w:val="0"/>
        <w:autoSpaceDN w:val="0"/>
        <w:adjustRightInd w:val="0"/>
        <w:snapToGrid w:val="0"/>
        <w:ind w:firstLine="0"/>
        <w:jc w:val="left"/>
        <w:rPr>
          <w:kern w:val="18"/>
          <w:szCs w:val="18"/>
        </w:rPr>
      </w:pPr>
      <w:r>
        <w:rPr>
          <w:rStyle w:val="Appelnotedebasdep"/>
          <w:kern w:val="18"/>
          <w:sz w:val="18"/>
          <w:szCs w:val="18"/>
        </w:rPr>
        <w:footnoteRef/>
      </w:r>
      <w:r w:rsidR="00342261">
        <w:t xml:space="preserve"> </w:t>
      </w:r>
      <w:r>
        <w:t xml:space="preserve">Резолюция </w:t>
      </w:r>
      <w:hyperlink r:id="rId1" w:history="1">
        <w:r>
          <w:rPr>
            <w:rStyle w:val="Lienhypertexte"/>
          </w:rPr>
          <w:t>73/284</w:t>
        </w:r>
      </w:hyperlink>
      <w:r>
        <w:t xml:space="preserve"> Генеральной Ассамблеи.</w:t>
      </w:r>
    </w:p>
  </w:footnote>
  <w:footnote w:id="4">
    <w:p w14:paraId="20EEA6AD" w14:textId="497AB8B9" w:rsidR="006F3D05" w:rsidRPr="000952F1" w:rsidRDefault="006F3D05" w:rsidP="007250D2">
      <w:pPr>
        <w:pStyle w:val="Notedebasdepage"/>
        <w:suppressLineNumbers/>
        <w:suppressAutoHyphens/>
        <w:kinsoku w:val="0"/>
        <w:overflowPunct w:val="0"/>
        <w:autoSpaceDE w:val="0"/>
        <w:autoSpaceDN w:val="0"/>
        <w:adjustRightInd w:val="0"/>
        <w:snapToGrid w:val="0"/>
        <w:ind w:firstLine="0"/>
        <w:jc w:val="left"/>
        <w:rPr>
          <w:kern w:val="18"/>
          <w:szCs w:val="18"/>
          <w:lang w:val="fr-FR"/>
        </w:rPr>
      </w:pPr>
      <w:r>
        <w:rPr>
          <w:rStyle w:val="Appelnotedebasdep"/>
          <w:kern w:val="18"/>
          <w:sz w:val="18"/>
          <w:szCs w:val="18"/>
        </w:rPr>
        <w:footnoteRef/>
      </w:r>
      <w:r w:rsidR="00342261">
        <w:t xml:space="preserve"> </w:t>
      </w:r>
      <w:r>
        <w:t xml:space="preserve">Резолюция </w:t>
      </w:r>
      <w:hyperlink r:id="rId2" w:history="1">
        <w:r>
          <w:rPr>
            <w:rStyle w:val="Lienhypertexte"/>
          </w:rPr>
          <w:t>70/1</w:t>
        </w:r>
      </w:hyperlink>
      <w:r>
        <w:t xml:space="preserve"> Генеральной Ассамблеи.</w:t>
      </w:r>
    </w:p>
  </w:footnote>
  <w:footnote w:id="5">
    <w:p w14:paraId="7E7D021A" w14:textId="77777777" w:rsidR="00393A48" w:rsidRPr="007250D2" w:rsidRDefault="00393A48" w:rsidP="007250D2">
      <w:pPr>
        <w:pStyle w:val="Notedebasdepage"/>
        <w:suppressLineNumbers/>
        <w:suppressAutoHyphens/>
        <w:kinsoku w:val="0"/>
        <w:overflowPunct w:val="0"/>
        <w:autoSpaceDE w:val="0"/>
        <w:autoSpaceDN w:val="0"/>
        <w:adjustRightInd w:val="0"/>
        <w:snapToGrid w:val="0"/>
        <w:ind w:firstLine="0"/>
        <w:jc w:val="left"/>
        <w:rPr>
          <w:kern w:val="18"/>
          <w:szCs w:val="18"/>
        </w:rPr>
      </w:pPr>
      <w:r>
        <w:rPr>
          <w:rStyle w:val="Appelnotedebasdep"/>
          <w:kern w:val="18"/>
          <w:sz w:val="18"/>
          <w:szCs w:val="18"/>
        </w:rPr>
        <w:footnoteRef/>
      </w:r>
      <w:r>
        <w:t xml:space="preserve">Решение </w:t>
      </w:r>
      <w:hyperlink r:id="rId3" w:history="1">
        <w:r>
          <w:rPr>
            <w:rStyle w:val="Lienhypertexte"/>
          </w:rPr>
          <w:t>X/2</w:t>
        </w:r>
      </w:hyperlink>
      <w:r>
        <w:t xml:space="preserve"> Конференции Сторон.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Предмет"/>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651BCEF3" w14:textId="77777777" w:rsidR="00EF56D1" w:rsidRDefault="00EF56D1" w:rsidP="00534681">
        <w:pPr>
          <w:pStyle w:val="En-tte"/>
        </w:pPr>
        <w:r>
          <w:t>CBD/SBI/3/4/Add.1</w:t>
        </w:r>
      </w:p>
    </w:sdtContent>
  </w:sdt>
  <w:p w14:paraId="76DF1BB0" w14:textId="77777777" w:rsidR="00EF56D1" w:rsidRDefault="00757DAB" w:rsidP="00534681">
    <w:pPr>
      <w:pStyle w:val="En-tte"/>
    </w:pPr>
    <w:r>
      <w:t>Страница</w:t>
    </w:r>
    <w:r w:rsidR="00EF56D1">
      <w:t xml:space="preserve"> </w:t>
    </w:r>
    <w:r w:rsidR="008C6BDE">
      <w:fldChar w:fldCharType="begin"/>
    </w:r>
    <w:r w:rsidR="00EF56D1">
      <w:instrText xml:space="preserve"> PAGE   \* MERGEFORMAT </w:instrText>
    </w:r>
    <w:r w:rsidR="008C6BDE">
      <w:fldChar w:fldCharType="separate"/>
    </w:r>
    <w:r w:rsidR="00F85159">
      <w:rPr>
        <w:noProof/>
      </w:rPr>
      <w:t>12</w:t>
    </w:r>
    <w:r w:rsidR="008C6BDE">
      <w:fldChar w:fldCharType="end"/>
    </w:r>
  </w:p>
  <w:p w14:paraId="68361FDA" w14:textId="77777777" w:rsidR="00EF56D1" w:rsidRDefault="00EF56D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Предмет"/>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8EFA251" w14:textId="77777777" w:rsidR="00EF56D1" w:rsidRDefault="00EF56D1" w:rsidP="009505C9">
        <w:pPr>
          <w:pStyle w:val="En-tte"/>
          <w:jc w:val="right"/>
        </w:pPr>
        <w:r>
          <w:t>CBD/SBI/3/4/Add.1</w:t>
        </w:r>
      </w:p>
    </w:sdtContent>
  </w:sdt>
  <w:p w14:paraId="0C32C7FC" w14:textId="77777777" w:rsidR="00EF56D1" w:rsidRDefault="00757DAB" w:rsidP="009505C9">
    <w:pPr>
      <w:pStyle w:val="En-tte"/>
      <w:jc w:val="right"/>
    </w:pPr>
    <w:r>
      <w:t xml:space="preserve">Страница </w:t>
    </w:r>
    <w:r w:rsidR="008C6BDE">
      <w:fldChar w:fldCharType="begin"/>
    </w:r>
    <w:r w:rsidR="00EF56D1">
      <w:instrText xml:space="preserve"> PAGE   \* MERGEFORMAT </w:instrText>
    </w:r>
    <w:r w:rsidR="008C6BDE">
      <w:fldChar w:fldCharType="separate"/>
    </w:r>
    <w:r w:rsidR="002C5FC0">
      <w:rPr>
        <w:noProof/>
      </w:rPr>
      <w:t>11</w:t>
    </w:r>
    <w:r w:rsidR="008C6BDE">
      <w:fldChar w:fldCharType="end"/>
    </w:r>
  </w:p>
  <w:p w14:paraId="132EB7C3" w14:textId="77777777" w:rsidR="00EF56D1" w:rsidRDefault="00EF56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07F8A"/>
    <w:multiLevelType w:val="hybridMultilevel"/>
    <w:tmpl w:val="37F2BA9C"/>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93C74"/>
    <w:multiLevelType w:val="hybridMultilevel"/>
    <w:tmpl w:val="E5160DAA"/>
    <w:lvl w:ilvl="0" w:tplc="E3E464E0">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205E05"/>
    <w:multiLevelType w:val="hybridMultilevel"/>
    <w:tmpl w:val="3D765E16"/>
    <w:lvl w:ilvl="0" w:tplc="E3E464E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E06985"/>
    <w:multiLevelType w:val="hybridMultilevel"/>
    <w:tmpl w:val="CCE64F0E"/>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137B1293"/>
    <w:multiLevelType w:val="hybridMultilevel"/>
    <w:tmpl w:val="6990113A"/>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0637AFA"/>
    <w:multiLevelType w:val="multilevel"/>
    <w:tmpl w:val="1AAA5DE4"/>
    <w:lvl w:ilvl="0">
      <w:start w:val="1"/>
      <w:numFmt w:val="lowerLetter"/>
      <w:lvlText w:val="(%1)"/>
      <w:lvlJc w:val="left"/>
      <w:pPr>
        <w:tabs>
          <w:tab w:val="num" w:pos="360"/>
        </w:tabs>
        <w:ind w:left="0" w:firstLine="0"/>
      </w:pPr>
      <w:rPr>
        <w:rFonts w:ascii="Times New Roman" w:hAnsi="Times New Roman" w:hint="default"/>
        <w:b w:val="0"/>
        <w:i w:val="0"/>
        <w:caps w:val="0"/>
        <w:strike w:val="0"/>
        <w:dstrike w:val="0"/>
        <w:vanish w:val="0"/>
        <w:color w:val="auto"/>
        <w:sz w:val="22"/>
        <w:vertAlign w:val="baseline"/>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5537195"/>
    <w:multiLevelType w:val="hybridMultilevel"/>
    <w:tmpl w:val="B0C29EE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100461F"/>
    <w:multiLevelType w:val="hybridMultilevel"/>
    <w:tmpl w:val="A3C40B5C"/>
    <w:lvl w:ilvl="0" w:tplc="E3E464E0">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53203CAA"/>
    <w:multiLevelType w:val="hybridMultilevel"/>
    <w:tmpl w:val="8604EA9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6583AD8"/>
    <w:multiLevelType w:val="hybridMultilevel"/>
    <w:tmpl w:val="37F2BA9C"/>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896BD8"/>
    <w:multiLevelType w:val="hybridMultilevel"/>
    <w:tmpl w:val="D0E2E596"/>
    <w:lvl w:ilvl="0" w:tplc="2F402DEA">
      <w:start w:val="1"/>
      <w:numFmt w:val="upp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E40075"/>
    <w:multiLevelType w:val="hybridMultilevel"/>
    <w:tmpl w:val="7F1CF1B2"/>
    <w:lvl w:ilvl="0" w:tplc="E3E464E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CFA5062"/>
    <w:multiLevelType w:val="hybridMultilevel"/>
    <w:tmpl w:val="14265C8E"/>
    <w:lvl w:ilvl="0" w:tplc="E3E464E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D741E0A"/>
    <w:multiLevelType w:val="hybridMultilevel"/>
    <w:tmpl w:val="3306EB7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E3E464E0">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8"/>
  </w:num>
  <w:num w:numId="2">
    <w:abstractNumId w:val="13"/>
  </w:num>
  <w:num w:numId="3">
    <w:abstractNumId w:val="11"/>
  </w:num>
  <w:num w:numId="4">
    <w:abstractNumId w:val="13"/>
  </w:num>
  <w:num w:numId="5">
    <w:abstractNumId w:val="12"/>
  </w:num>
  <w:num w:numId="6">
    <w:abstractNumId w:val="1"/>
  </w:num>
  <w:num w:numId="7">
    <w:abstractNumId w:val="7"/>
  </w:num>
  <w:num w:numId="8">
    <w:abstractNumId w:val="11"/>
    <w:lvlOverride w:ilvl="0">
      <w:startOverride w:val="1"/>
    </w:lvlOverride>
  </w:num>
  <w:num w:numId="9">
    <w:abstractNumId w:val="20"/>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8"/>
  </w:num>
  <w:num w:numId="15">
    <w:abstractNumId w:val="17"/>
  </w:num>
  <w:num w:numId="16">
    <w:abstractNumId w:val="2"/>
  </w:num>
  <w:num w:numId="17">
    <w:abstractNumId w:val="21"/>
  </w:num>
  <w:num w:numId="18">
    <w:abstractNumId w:val="2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5"/>
  </w:num>
  <w:num w:numId="22">
    <w:abstractNumId w:val="6"/>
  </w:num>
  <w:num w:numId="23">
    <w:abstractNumId w:val="1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5"/>
  </w:num>
  <w:num w:numId="26">
    <w:abstractNumId w:val="3"/>
  </w:num>
  <w:num w:numId="27">
    <w:abstractNumId w:val="4"/>
  </w:num>
  <w:num w:numId="28">
    <w:abstractNumId w:val="25"/>
  </w:num>
  <w:num w:numId="29">
    <w:abstractNumId w:val="14"/>
  </w:num>
  <w:num w:numId="30">
    <w:abstractNumId w:val="23"/>
  </w:num>
  <w:num w:numId="31">
    <w:abstractNumId w:val="24"/>
  </w:num>
  <w:num w:numId="32">
    <w:abstractNumId w:val="19"/>
  </w:num>
  <w:num w:numId="33">
    <w:abstractNumId w:val="10"/>
  </w:num>
  <w:num w:numId="34">
    <w:abstractNumId w:val="1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hyphenationZone w:val="425"/>
  <w:evenAndOddHeaders/>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C9161D"/>
    <w:rsid w:val="00002EED"/>
    <w:rsid w:val="0000761C"/>
    <w:rsid w:val="0001192C"/>
    <w:rsid w:val="00013DC0"/>
    <w:rsid w:val="0001426F"/>
    <w:rsid w:val="00014F41"/>
    <w:rsid w:val="0001633E"/>
    <w:rsid w:val="000228DB"/>
    <w:rsid w:val="00023143"/>
    <w:rsid w:val="00024688"/>
    <w:rsid w:val="00030B6D"/>
    <w:rsid w:val="000424B5"/>
    <w:rsid w:val="000519E1"/>
    <w:rsid w:val="0005375E"/>
    <w:rsid w:val="00053B92"/>
    <w:rsid w:val="00054F8F"/>
    <w:rsid w:val="00057166"/>
    <w:rsid w:val="0006237E"/>
    <w:rsid w:val="00067967"/>
    <w:rsid w:val="00075138"/>
    <w:rsid w:val="000952F1"/>
    <w:rsid w:val="000B226B"/>
    <w:rsid w:val="000C1845"/>
    <w:rsid w:val="000C387B"/>
    <w:rsid w:val="000C5026"/>
    <w:rsid w:val="000C5BCA"/>
    <w:rsid w:val="000D3D7C"/>
    <w:rsid w:val="000D5E53"/>
    <w:rsid w:val="000D6A74"/>
    <w:rsid w:val="000E05B9"/>
    <w:rsid w:val="000E0800"/>
    <w:rsid w:val="000E1658"/>
    <w:rsid w:val="000E5859"/>
    <w:rsid w:val="000E673A"/>
    <w:rsid w:val="000F2182"/>
    <w:rsid w:val="000F4ED5"/>
    <w:rsid w:val="000F74F5"/>
    <w:rsid w:val="00105372"/>
    <w:rsid w:val="001140C6"/>
    <w:rsid w:val="00114BB7"/>
    <w:rsid w:val="00120DB3"/>
    <w:rsid w:val="00122D52"/>
    <w:rsid w:val="001244A1"/>
    <w:rsid w:val="00125485"/>
    <w:rsid w:val="00131E7A"/>
    <w:rsid w:val="00135303"/>
    <w:rsid w:val="00141E50"/>
    <w:rsid w:val="00146303"/>
    <w:rsid w:val="00146E5A"/>
    <w:rsid w:val="00150E89"/>
    <w:rsid w:val="001551D5"/>
    <w:rsid w:val="0015553C"/>
    <w:rsid w:val="0016098A"/>
    <w:rsid w:val="00162171"/>
    <w:rsid w:val="00167327"/>
    <w:rsid w:val="001677EC"/>
    <w:rsid w:val="00172AF6"/>
    <w:rsid w:val="00174B55"/>
    <w:rsid w:val="00176CEE"/>
    <w:rsid w:val="00177025"/>
    <w:rsid w:val="00183F52"/>
    <w:rsid w:val="001853BF"/>
    <w:rsid w:val="00185549"/>
    <w:rsid w:val="0019459F"/>
    <w:rsid w:val="001B00B5"/>
    <w:rsid w:val="001B0173"/>
    <w:rsid w:val="001C209C"/>
    <w:rsid w:val="001C43A5"/>
    <w:rsid w:val="001C45B7"/>
    <w:rsid w:val="001C5E55"/>
    <w:rsid w:val="001D127D"/>
    <w:rsid w:val="001D5A07"/>
    <w:rsid w:val="001D60B7"/>
    <w:rsid w:val="001F3566"/>
    <w:rsid w:val="001F5454"/>
    <w:rsid w:val="002007CD"/>
    <w:rsid w:val="00205476"/>
    <w:rsid w:val="00207E03"/>
    <w:rsid w:val="00226940"/>
    <w:rsid w:val="00235E87"/>
    <w:rsid w:val="002509C1"/>
    <w:rsid w:val="0025264D"/>
    <w:rsid w:val="00252EFB"/>
    <w:rsid w:val="0025304E"/>
    <w:rsid w:val="0025534E"/>
    <w:rsid w:val="00264AAB"/>
    <w:rsid w:val="00266BA4"/>
    <w:rsid w:val="00272E81"/>
    <w:rsid w:val="00280E69"/>
    <w:rsid w:val="00293DFE"/>
    <w:rsid w:val="002943C3"/>
    <w:rsid w:val="002A1227"/>
    <w:rsid w:val="002B54AD"/>
    <w:rsid w:val="002B5EED"/>
    <w:rsid w:val="002C3005"/>
    <w:rsid w:val="002C3CAF"/>
    <w:rsid w:val="002C5FC0"/>
    <w:rsid w:val="002C7058"/>
    <w:rsid w:val="002D29C1"/>
    <w:rsid w:val="002D494B"/>
    <w:rsid w:val="002E26AD"/>
    <w:rsid w:val="002E3E92"/>
    <w:rsid w:val="002E7794"/>
    <w:rsid w:val="002F48C9"/>
    <w:rsid w:val="00302405"/>
    <w:rsid w:val="00302AC3"/>
    <w:rsid w:val="00302D68"/>
    <w:rsid w:val="00305494"/>
    <w:rsid w:val="003077D5"/>
    <w:rsid w:val="0031338B"/>
    <w:rsid w:val="00335058"/>
    <w:rsid w:val="003354AC"/>
    <w:rsid w:val="00337DE4"/>
    <w:rsid w:val="00342261"/>
    <w:rsid w:val="00342DE5"/>
    <w:rsid w:val="00342F3D"/>
    <w:rsid w:val="00351AE6"/>
    <w:rsid w:val="00356837"/>
    <w:rsid w:val="00357CC8"/>
    <w:rsid w:val="00363120"/>
    <w:rsid w:val="00370D53"/>
    <w:rsid w:val="00372F74"/>
    <w:rsid w:val="00382D41"/>
    <w:rsid w:val="0038326F"/>
    <w:rsid w:val="00384003"/>
    <w:rsid w:val="00392D2D"/>
    <w:rsid w:val="00393A48"/>
    <w:rsid w:val="00395058"/>
    <w:rsid w:val="003979C3"/>
    <w:rsid w:val="003A357E"/>
    <w:rsid w:val="003A647C"/>
    <w:rsid w:val="003B068A"/>
    <w:rsid w:val="003B356D"/>
    <w:rsid w:val="003B449D"/>
    <w:rsid w:val="003C6214"/>
    <w:rsid w:val="003D5911"/>
    <w:rsid w:val="003D7704"/>
    <w:rsid w:val="003E5CEC"/>
    <w:rsid w:val="003F4435"/>
    <w:rsid w:val="003F7224"/>
    <w:rsid w:val="0040059E"/>
    <w:rsid w:val="00412388"/>
    <w:rsid w:val="0041410A"/>
    <w:rsid w:val="004233A5"/>
    <w:rsid w:val="004234D8"/>
    <w:rsid w:val="00427D21"/>
    <w:rsid w:val="0043219F"/>
    <w:rsid w:val="0043261D"/>
    <w:rsid w:val="00435265"/>
    <w:rsid w:val="00442188"/>
    <w:rsid w:val="00442A54"/>
    <w:rsid w:val="004430F3"/>
    <w:rsid w:val="00447AA7"/>
    <w:rsid w:val="004569D7"/>
    <w:rsid w:val="0046083D"/>
    <w:rsid w:val="00463256"/>
    <w:rsid w:val="00463A88"/>
    <w:rsid w:val="004644C2"/>
    <w:rsid w:val="00465269"/>
    <w:rsid w:val="00467F9C"/>
    <w:rsid w:val="00486532"/>
    <w:rsid w:val="0049449A"/>
    <w:rsid w:val="004949A3"/>
    <w:rsid w:val="004A0920"/>
    <w:rsid w:val="004A2D21"/>
    <w:rsid w:val="004A36FA"/>
    <w:rsid w:val="004B0711"/>
    <w:rsid w:val="004B6E1E"/>
    <w:rsid w:val="004B7A3E"/>
    <w:rsid w:val="004C3B57"/>
    <w:rsid w:val="004C6525"/>
    <w:rsid w:val="004C660D"/>
    <w:rsid w:val="004C7EB7"/>
    <w:rsid w:val="004D0519"/>
    <w:rsid w:val="004E0953"/>
    <w:rsid w:val="004E31A1"/>
    <w:rsid w:val="004E5D60"/>
    <w:rsid w:val="004F5B3F"/>
    <w:rsid w:val="00501D34"/>
    <w:rsid w:val="0050759E"/>
    <w:rsid w:val="005116E7"/>
    <w:rsid w:val="00511C0A"/>
    <w:rsid w:val="005256D9"/>
    <w:rsid w:val="00526EA1"/>
    <w:rsid w:val="0053259F"/>
    <w:rsid w:val="00532CA8"/>
    <w:rsid w:val="00534149"/>
    <w:rsid w:val="00534681"/>
    <w:rsid w:val="00541A75"/>
    <w:rsid w:val="0055222B"/>
    <w:rsid w:val="00553205"/>
    <w:rsid w:val="00554ACA"/>
    <w:rsid w:val="0055741B"/>
    <w:rsid w:val="00557549"/>
    <w:rsid w:val="005627D3"/>
    <w:rsid w:val="005662FE"/>
    <w:rsid w:val="00567B53"/>
    <w:rsid w:val="00572DE5"/>
    <w:rsid w:val="00572F10"/>
    <w:rsid w:val="0057317B"/>
    <w:rsid w:val="00582A8E"/>
    <w:rsid w:val="0058397D"/>
    <w:rsid w:val="005A3B9A"/>
    <w:rsid w:val="005A49AC"/>
    <w:rsid w:val="005A4DEC"/>
    <w:rsid w:val="005B050C"/>
    <w:rsid w:val="005B363C"/>
    <w:rsid w:val="005C7B16"/>
    <w:rsid w:val="005D2F66"/>
    <w:rsid w:val="005D6692"/>
    <w:rsid w:val="005E18F2"/>
    <w:rsid w:val="005F5CDB"/>
    <w:rsid w:val="00604DCA"/>
    <w:rsid w:val="006071DF"/>
    <w:rsid w:val="006122BA"/>
    <w:rsid w:val="0062022E"/>
    <w:rsid w:val="00623C31"/>
    <w:rsid w:val="00645F5C"/>
    <w:rsid w:val="006513CA"/>
    <w:rsid w:val="0066271C"/>
    <w:rsid w:val="0067498C"/>
    <w:rsid w:val="00676F98"/>
    <w:rsid w:val="00677CAE"/>
    <w:rsid w:val="006827CD"/>
    <w:rsid w:val="006A0B14"/>
    <w:rsid w:val="006A0B3A"/>
    <w:rsid w:val="006A2F8D"/>
    <w:rsid w:val="006A5080"/>
    <w:rsid w:val="006B2290"/>
    <w:rsid w:val="006C459A"/>
    <w:rsid w:val="006C575D"/>
    <w:rsid w:val="006D55EC"/>
    <w:rsid w:val="006E0131"/>
    <w:rsid w:val="006E020C"/>
    <w:rsid w:val="006E71DD"/>
    <w:rsid w:val="006F3D05"/>
    <w:rsid w:val="006F484A"/>
    <w:rsid w:val="0070559C"/>
    <w:rsid w:val="00710DAE"/>
    <w:rsid w:val="00711A93"/>
    <w:rsid w:val="00711F38"/>
    <w:rsid w:val="007153FE"/>
    <w:rsid w:val="00717D88"/>
    <w:rsid w:val="00721843"/>
    <w:rsid w:val="00721DC8"/>
    <w:rsid w:val="00722F67"/>
    <w:rsid w:val="007250D2"/>
    <w:rsid w:val="00732468"/>
    <w:rsid w:val="0074127B"/>
    <w:rsid w:val="00744C3F"/>
    <w:rsid w:val="0074760E"/>
    <w:rsid w:val="00752195"/>
    <w:rsid w:val="00755C62"/>
    <w:rsid w:val="00757DAB"/>
    <w:rsid w:val="00767D03"/>
    <w:rsid w:val="00771CCD"/>
    <w:rsid w:val="00772A3F"/>
    <w:rsid w:val="007923DB"/>
    <w:rsid w:val="007940B0"/>
    <w:rsid w:val="007942D3"/>
    <w:rsid w:val="007A09AC"/>
    <w:rsid w:val="007A508F"/>
    <w:rsid w:val="007A57F9"/>
    <w:rsid w:val="007A59F4"/>
    <w:rsid w:val="007A7556"/>
    <w:rsid w:val="007B0378"/>
    <w:rsid w:val="007B03E4"/>
    <w:rsid w:val="007B6C09"/>
    <w:rsid w:val="007C1AA7"/>
    <w:rsid w:val="007C3224"/>
    <w:rsid w:val="007C3D7E"/>
    <w:rsid w:val="007C5610"/>
    <w:rsid w:val="007D11C2"/>
    <w:rsid w:val="007D126C"/>
    <w:rsid w:val="007D2B00"/>
    <w:rsid w:val="007D4F5B"/>
    <w:rsid w:val="007D4F6A"/>
    <w:rsid w:val="007E00E9"/>
    <w:rsid w:val="007E090F"/>
    <w:rsid w:val="007E09DA"/>
    <w:rsid w:val="007E390E"/>
    <w:rsid w:val="007E6331"/>
    <w:rsid w:val="007F08B2"/>
    <w:rsid w:val="007F16A2"/>
    <w:rsid w:val="007F2F42"/>
    <w:rsid w:val="007F3037"/>
    <w:rsid w:val="007F3712"/>
    <w:rsid w:val="008000F5"/>
    <w:rsid w:val="00807503"/>
    <w:rsid w:val="008178B6"/>
    <w:rsid w:val="0082030A"/>
    <w:rsid w:val="008207DF"/>
    <w:rsid w:val="008212E0"/>
    <w:rsid w:val="008216DB"/>
    <w:rsid w:val="008262DF"/>
    <w:rsid w:val="00830C67"/>
    <w:rsid w:val="0083162E"/>
    <w:rsid w:val="00842CC7"/>
    <w:rsid w:val="008450D0"/>
    <w:rsid w:val="0084587F"/>
    <w:rsid w:val="00852049"/>
    <w:rsid w:val="00853F0B"/>
    <w:rsid w:val="008622D1"/>
    <w:rsid w:val="00862DE3"/>
    <w:rsid w:val="008636A7"/>
    <w:rsid w:val="008644E4"/>
    <w:rsid w:val="00865B74"/>
    <w:rsid w:val="00872802"/>
    <w:rsid w:val="00875DFC"/>
    <w:rsid w:val="008A6FC8"/>
    <w:rsid w:val="008A7458"/>
    <w:rsid w:val="008B3383"/>
    <w:rsid w:val="008C1FBC"/>
    <w:rsid w:val="008C363E"/>
    <w:rsid w:val="008C6BDE"/>
    <w:rsid w:val="008E77D2"/>
    <w:rsid w:val="008F0D37"/>
    <w:rsid w:val="008F112B"/>
    <w:rsid w:val="00901585"/>
    <w:rsid w:val="00901DBD"/>
    <w:rsid w:val="00911540"/>
    <w:rsid w:val="009140A8"/>
    <w:rsid w:val="009157F4"/>
    <w:rsid w:val="0092287C"/>
    <w:rsid w:val="009300AD"/>
    <w:rsid w:val="00930BA1"/>
    <w:rsid w:val="0093169E"/>
    <w:rsid w:val="0094173A"/>
    <w:rsid w:val="009438FB"/>
    <w:rsid w:val="00947B55"/>
    <w:rsid w:val="009505C9"/>
    <w:rsid w:val="0095190B"/>
    <w:rsid w:val="0095313F"/>
    <w:rsid w:val="0095418C"/>
    <w:rsid w:val="009554D9"/>
    <w:rsid w:val="00960BB9"/>
    <w:rsid w:val="009635B4"/>
    <w:rsid w:val="00965F50"/>
    <w:rsid w:val="00981D8B"/>
    <w:rsid w:val="00984F40"/>
    <w:rsid w:val="00990B69"/>
    <w:rsid w:val="0099113C"/>
    <w:rsid w:val="00992451"/>
    <w:rsid w:val="009936EB"/>
    <w:rsid w:val="009A52BB"/>
    <w:rsid w:val="009B12CC"/>
    <w:rsid w:val="009B3A07"/>
    <w:rsid w:val="009B44A4"/>
    <w:rsid w:val="009B6C63"/>
    <w:rsid w:val="009D108F"/>
    <w:rsid w:val="009D3DE7"/>
    <w:rsid w:val="009D6548"/>
    <w:rsid w:val="009E238D"/>
    <w:rsid w:val="009E2BB3"/>
    <w:rsid w:val="009F3798"/>
    <w:rsid w:val="009F63AF"/>
    <w:rsid w:val="00A01C37"/>
    <w:rsid w:val="00A039C3"/>
    <w:rsid w:val="00A0464B"/>
    <w:rsid w:val="00A13299"/>
    <w:rsid w:val="00A14BF5"/>
    <w:rsid w:val="00A14C82"/>
    <w:rsid w:val="00A24730"/>
    <w:rsid w:val="00A253DD"/>
    <w:rsid w:val="00A2712F"/>
    <w:rsid w:val="00A30C61"/>
    <w:rsid w:val="00A3387A"/>
    <w:rsid w:val="00A37AAC"/>
    <w:rsid w:val="00A44DBC"/>
    <w:rsid w:val="00A44F91"/>
    <w:rsid w:val="00A46BA9"/>
    <w:rsid w:val="00A52BB2"/>
    <w:rsid w:val="00A66D5E"/>
    <w:rsid w:val="00A758C1"/>
    <w:rsid w:val="00A90846"/>
    <w:rsid w:val="00A91785"/>
    <w:rsid w:val="00A927C6"/>
    <w:rsid w:val="00A940F3"/>
    <w:rsid w:val="00A974DC"/>
    <w:rsid w:val="00AA0B1C"/>
    <w:rsid w:val="00AA203C"/>
    <w:rsid w:val="00AA227C"/>
    <w:rsid w:val="00AC1970"/>
    <w:rsid w:val="00AC7680"/>
    <w:rsid w:val="00AC7F9E"/>
    <w:rsid w:val="00AD30A8"/>
    <w:rsid w:val="00AD3820"/>
    <w:rsid w:val="00AE0D6C"/>
    <w:rsid w:val="00AE24FC"/>
    <w:rsid w:val="00AF293E"/>
    <w:rsid w:val="00AF3C7B"/>
    <w:rsid w:val="00B148AD"/>
    <w:rsid w:val="00B1526B"/>
    <w:rsid w:val="00B1688D"/>
    <w:rsid w:val="00B2184C"/>
    <w:rsid w:val="00B3209E"/>
    <w:rsid w:val="00B3369F"/>
    <w:rsid w:val="00B41635"/>
    <w:rsid w:val="00B4405F"/>
    <w:rsid w:val="00B457C3"/>
    <w:rsid w:val="00B4639F"/>
    <w:rsid w:val="00B5408C"/>
    <w:rsid w:val="00B57829"/>
    <w:rsid w:val="00B57E25"/>
    <w:rsid w:val="00B600CB"/>
    <w:rsid w:val="00B6092D"/>
    <w:rsid w:val="00B632AB"/>
    <w:rsid w:val="00B65892"/>
    <w:rsid w:val="00B74311"/>
    <w:rsid w:val="00B76EB4"/>
    <w:rsid w:val="00B91A58"/>
    <w:rsid w:val="00B942EB"/>
    <w:rsid w:val="00B94F33"/>
    <w:rsid w:val="00BA3977"/>
    <w:rsid w:val="00BA43D2"/>
    <w:rsid w:val="00BA754D"/>
    <w:rsid w:val="00BA769C"/>
    <w:rsid w:val="00BA7BD0"/>
    <w:rsid w:val="00BB3DD6"/>
    <w:rsid w:val="00BB63A7"/>
    <w:rsid w:val="00BC063F"/>
    <w:rsid w:val="00BC3580"/>
    <w:rsid w:val="00BD2053"/>
    <w:rsid w:val="00BD2DF1"/>
    <w:rsid w:val="00BD2E9E"/>
    <w:rsid w:val="00BE0451"/>
    <w:rsid w:val="00BE14DD"/>
    <w:rsid w:val="00BF1521"/>
    <w:rsid w:val="00BF6A1D"/>
    <w:rsid w:val="00C03238"/>
    <w:rsid w:val="00C0344A"/>
    <w:rsid w:val="00C15436"/>
    <w:rsid w:val="00C16337"/>
    <w:rsid w:val="00C20E6B"/>
    <w:rsid w:val="00C214BF"/>
    <w:rsid w:val="00C25AA9"/>
    <w:rsid w:val="00C30465"/>
    <w:rsid w:val="00C308B4"/>
    <w:rsid w:val="00C336E1"/>
    <w:rsid w:val="00C4142E"/>
    <w:rsid w:val="00C4444C"/>
    <w:rsid w:val="00C5461C"/>
    <w:rsid w:val="00C54832"/>
    <w:rsid w:val="00C6279F"/>
    <w:rsid w:val="00C66319"/>
    <w:rsid w:val="00C70F3B"/>
    <w:rsid w:val="00C7786B"/>
    <w:rsid w:val="00C911D4"/>
    <w:rsid w:val="00C9161D"/>
    <w:rsid w:val="00C9491B"/>
    <w:rsid w:val="00C953B2"/>
    <w:rsid w:val="00C967C7"/>
    <w:rsid w:val="00CA1514"/>
    <w:rsid w:val="00CA4582"/>
    <w:rsid w:val="00CA7082"/>
    <w:rsid w:val="00CB07A4"/>
    <w:rsid w:val="00CB4476"/>
    <w:rsid w:val="00CB4DA2"/>
    <w:rsid w:val="00CC516F"/>
    <w:rsid w:val="00CC71EF"/>
    <w:rsid w:val="00CD1F52"/>
    <w:rsid w:val="00CD5932"/>
    <w:rsid w:val="00CD78D1"/>
    <w:rsid w:val="00CE24B8"/>
    <w:rsid w:val="00CE293E"/>
    <w:rsid w:val="00CE3908"/>
    <w:rsid w:val="00CE58C1"/>
    <w:rsid w:val="00CF1848"/>
    <w:rsid w:val="00CF603A"/>
    <w:rsid w:val="00CF6770"/>
    <w:rsid w:val="00D01C78"/>
    <w:rsid w:val="00D0294D"/>
    <w:rsid w:val="00D05761"/>
    <w:rsid w:val="00D06897"/>
    <w:rsid w:val="00D12044"/>
    <w:rsid w:val="00D13A09"/>
    <w:rsid w:val="00D1422A"/>
    <w:rsid w:val="00D20DA3"/>
    <w:rsid w:val="00D222FE"/>
    <w:rsid w:val="00D2688B"/>
    <w:rsid w:val="00D27569"/>
    <w:rsid w:val="00D375A1"/>
    <w:rsid w:val="00D40661"/>
    <w:rsid w:val="00D479BB"/>
    <w:rsid w:val="00D53A68"/>
    <w:rsid w:val="00D61E26"/>
    <w:rsid w:val="00D665DC"/>
    <w:rsid w:val="00D76A18"/>
    <w:rsid w:val="00D870C4"/>
    <w:rsid w:val="00D9303D"/>
    <w:rsid w:val="00DA00D0"/>
    <w:rsid w:val="00DB2092"/>
    <w:rsid w:val="00DB7D65"/>
    <w:rsid w:val="00DC7338"/>
    <w:rsid w:val="00DD118C"/>
    <w:rsid w:val="00DE3D5F"/>
    <w:rsid w:val="00DE3DCC"/>
    <w:rsid w:val="00DE44CE"/>
    <w:rsid w:val="00DF1252"/>
    <w:rsid w:val="00DF2070"/>
    <w:rsid w:val="00E02611"/>
    <w:rsid w:val="00E05E92"/>
    <w:rsid w:val="00E07B7D"/>
    <w:rsid w:val="00E161E8"/>
    <w:rsid w:val="00E25B77"/>
    <w:rsid w:val="00E321B7"/>
    <w:rsid w:val="00E34906"/>
    <w:rsid w:val="00E377C5"/>
    <w:rsid w:val="00E51B9D"/>
    <w:rsid w:val="00E5677A"/>
    <w:rsid w:val="00E63DC7"/>
    <w:rsid w:val="00E64601"/>
    <w:rsid w:val="00E6608C"/>
    <w:rsid w:val="00E66235"/>
    <w:rsid w:val="00E66B41"/>
    <w:rsid w:val="00E829C5"/>
    <w:rsid w:val="00E83C24"/>
    <w:rsid w:val="00E84D90"/>
    <w:rsid w:val="00E927E0"/>
    <w:rsid w:val="00E9318D"/>
    <w:rsid w:val="00E93654"/>
    <w:rsid w:val="00E96A6B"/>
    <w:rsid w:val="00EA39F2"/>
    <w:rsid w:val="00EA6ACE"/>
    <w:rsid w:val="00EA7823"/>
    <w:rsid w:val="00EB4149"/>
    <w:rsid w:val="00EB58AE"/>
    <w:rsid w:val="00EB72ED"/>
    <w:rsid w:val="00EB7805"/>
    <w:rsid w:val="00EC24B7"/>
    <w:rsid w:val="00EC38EB"/>
    <w:rsid w:val="00ED0BCB"/>
    <w:rsid w:val="00ED2F9A"/>
    <w:rsid w:val="00EE0C00"/>
    <w:rsid w:val="00EE2D42"/>
    <w:rsid w:val="00EF3E42"/>
    <w:rsid w:val="00EF56D1"/>
    <w:rsid w:val="00EF7694"/>
    <w:rsid w:val="00EF78A8"/>
    <w:rsid w:val="00EF7CF1"/>
    <w:rsid w:val="00F132DD"/>
    <w:rsid w:val="00F13799"/>
    <w:rsid w:val="00F265C0"/>
    <w:rsid w:val="00F27B3B"/>
    <w:rsid w:val="00F335C3"/>
    <w:rsid w:val="00F35692"/>
    <w:rsid w:val="00F41ED7"/>
    <w:rsid w:val="00F44179"/>
    <w:rsid w:val="00F452B6"/>
    <w:rsid w:val="00F45A6E"/>
    <w:rsid w:val="00F46626"/>
    <w:rsid w:val="00F46D13"/>
    <w:rsid w:val="00F5063B"/>
    <w:rsid w:val="00F54BAD"/>
    <w:rsid w:val="00F54F6B"/>
    <w:rsid w:val="00F55A49"/>
    <w:rsid w:val="00F5640E"/>
    <w:rsid w:val="00F56B25"/>
    <w:rsid w:val="00F6225F"/>
    <w:rsid w:val="00F63828"/>
    <w:rsid w:val="00F773C1"/>
    <w:rsid w:val="00F77F52"/>
    <w:rsid w:val="00F836A5"/>
    <w:rsid w:val="00F83DBD"/>
    <w:rsid w:val="00F85159"/>
    <w:rsid w:val="00F92460"/>
    <w:rsid w:val="00F925EC"/>
    <w:rsid w:val="00F94774"/>
    <w:rsid w:val="00F977D2"/>
    <w:rsid w:val="00FA1056"/>
    <w:rsid w:val="00FA2A5B"/>
    <w:rsid w:val="00FA4C9F"/>
    <w:rsid w:val="00FA60F1"/>
    <w:rsid w:val="00FB385F"/>
    <w:rsid w:val="00FC128A"/>
    <w:rsid w:val="00FC53DB"/>
    <w:rsid w:val="00FC625A"/>
    <w:rsid w:val="00FC68DF"/>
    <w:rsid w:val="00FD0078"/>
    <w:rsid w:val="00FD0964"/>
    <w:rsid w:val="00FD23FA"/>
    <w:rsid w:val="00FD5C56"/>
    <w:rsid w:val="00FD6B31"/>
    <w:rsid w:val="00FE743A"/>
    <w:rsid w:val="00FF09CE"/>
    <w:rsid w:val="00FF1334"/>
    <w:rsid w:val="00FF4101"/>
    <w:rsid w:val="00FF4FD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1F0307F"/>
  <w15:docId w15:val="{2BE65F3D-2F8B-4103-8F8F-F07A22E7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ru-RU"/>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ru-RU"/>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ru-RU"/>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ru-RU"/>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ru-RU"/>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ru-RU"/>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ru-RU"/>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ru-RU"/>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ru-RU"/>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ru-RU"/>
    </w:rPr>
  </w:style>
  <w:style w:type="character" w:styleId="Lienhypertextesuivivisit">
    <w:name w:val="FollowedHyperlink"/>
    <w:rsid w:val="007E09DA"/>
    <w:rPr>
      <w:color w:val="800080"/>
      <w:u w:val="single"/>
    </w:rPr>
  </w:style>
  <w:style w:type="character" w:styleId="Appelnotedebasdep">
    <w:name w:val="footnote reference"/>
    <w:semiHidden/>
    <w:rsid w:val="00427D21"/>
    <w:rPr>
      <w:sz w:val="22"/>
      <w:u w:val="none"/>
      <w:vertAlign w:val="superscript"/>
    </w:rPr>
  </w:style>
  <w:style w:type="paragraph" w:styleId="Notedebasdepage">
    <w:name w:val="footnote text"/>
    <w:basedOn w:val="Normal"/>
    <w:link w:val="NotedebasdepageCar"/>
    <w:semiHidden/>
    <w:rsid w:val="007E09DA"/>
    <w:pPr>
      <w:keepLines/>
      <w:spacing w:after="60"/>
      <w:ind w:firstLine="720"/>
    </w:pPr>
    <w:rPr>
      <w:sz w:val="18"/>
    </w:rPr>
  </w:style>
  <w:style w:type="character" w:customStyle="1" w:styleId="NotedebasdepageCar">
    <w:name w:val="Note de bas de page Car"/>
    <w:basedOn w:val="Policepardfaut"/>
    <w:link w:val="Notedebasdepage"/>
    <w:semiHidden/>
    <w:rsid w:val="007E09DA"/>
    <w:rPr>
      <w:rFonts w:ascii="Times New Roman" w:eastAsia="Times New Roman" w:hAnsi="Times New Roman" w:cs="Times New Roman"/>
      <w:sz w:val="18"/>
      <w:lang w:val="ru-RU"/>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ru-RU"/>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ru-RU"/>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ru-RU"/>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ru-RU"/>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ru-RU"/>
    </w:rPr>
  </w:style>
  <w:style w:type="character" w:customStyle="1" w:styleId="Titre7Car">
    <w:name w:val="Titre 7 Car"/>
    <w:basedOn w:val="Policepardfaut"/>
    <w:link w:val="Titre7"/>
    <w:rsid w:val="007E09DA"/>
    <w:rPr>
      <w:rFonts w:ascii="Univers" w:eastAsia="Times New Roman" w:hAnsi="Univers" w:cs="Times New Roman"/>
      <w:b/>
      <w:sz w:val="28"/>
      <w:lang w:val="ru-RU"/>
    </w:rPr>
  </w:style>
  <w:style w:type="character" w:customStyle="1" w:styleId="Titre8Car">
    <w:name w:val="Titre 8 Car"/>
    <w:basedOn w:val="Policepardfaut"/>
    <w:link w:val="Titre8"/>
    <w:rsid w:val="007E09DA"/>
    <w:rPr>
      <w:rFonts w:ascii="Univers" w:eastAsia="Times New Roman" w:hAnsi="Univers" w:cs="Times New Roman"/>
      <w:b/>
      <w:sz w:val="32"/>
      <w:lang w:val="ru-RU"/>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ru-RU"/>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ru-RU"/>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aliases w:val="table bullets"/>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960BB9"/>
    <w:rPr>
      <w:i/>
    </w:rPr>
  </w:style>
  <w:style w:type="character" w:customStyle="1" w:styleId="ParagraphedelisteCar">
    <w:name w:val="Paragraphe de liste Car"/>
    <w:aliases w:val="table bullets Car"/>
    <w:link w:val="Paragraphedeliste"/>
    <w:uiPriority w:val="34"/>
    <w:qFormat/>
    <w:locked/>
    <w:rsid w:val="002F48C9"/>
    <w:rPr>
      <w:rFonts w:ascii="Times New Roman" w:eastAsia="Times New Roman" w:hAnsi="Times New Roman" w:cs="Times New Roman"/>
      <w:sz w:val="22"/>
      <w:lang w:val="ru-RU"/>
    </w:rPr>
  </w:style>
  <w:style w:type="character" w:customStyle="1" w:styleId="Mentionnonrsolue1">
    <w:name w:val="Mention non résolue1"/>
    <w:basedOn w:val="Policepardfaut"/>
    <w:uiPriority w:val="99"/>
    <w:semiHidden/>
    <w:unhideWhenUsed/>
    <w:rsid w:val="00FD0078"/>
    <w:rPr>
      <w:color w:val="605E5C"/>
      <w:shd w:val="clear" w:color="auto" w:fill="E1DFDD"/>
    </w:rPr>
  </w:style>
  <w:style w:type="character" w:styleId="lev">
    <w:name w:val="Strong"/>
    <w:basedOn w:val="Policepardfaut"/>
    <w:uiPriority w:val="22"/>
    <w:qFormat/>
    <w:rsid w:val="00A758C1"/>
    <w:rPr>
      <w:b/>
      <w:bCs/>
    </w:rPr>
  </w:style>
  <w:style w:type="paragraph" w:styleId="Objetducommentaire">
    <w:name w:val="annotation subject"/>
    <w:basedOn w:val="Commentaire"/>
    <w:next w:val="Commentaire"/>
    <w:link w:val="ObjetducommentaireCar"/>
    <w:uiPriority w:val="99"/>
    <w:semiHidden/>
    <w:unhideWhenUsed/>
    <w:rsid w:val="00911540"/>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911540"/>
    <w:rPr>
      <w:rFonts w:ascii="Times New Roman" w:eastAsia="Times New Roman" w:hAnsi="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98494">
      <w:bodyDiv w:val="1"/>
      <w:marLeft w:val="0"/>
      <w:marRight w:val="0"/>
      <w:marTop w:val="0"/>
      <w:marBottom w:val="0"/>
      <w:divBdr>
        <w:top w:val="none" w:sz="0" w:space="0" w:color="auto"/>
        <w:left w:val="none" w:sz="0" w:space="0" w:color="auto"/>
        <w:bottom w:val="none" w:sz="0" w:space="0" w:color="auto"/>
        <w:right w:val="none" w:sz="0" w:space="0" w:color="auto"/>
      </w:divBdr>
    </w:div>
    <w:div w:id="125896470">
      <w:bodyDiv w:val="1"/>
      <w:marLeft w:val="0"/>
      <w:marRight w:val="0"/>
      <w:marTop w:val="0"/>
      <w:marBottom w:val="0"/>
      <w:divBdr>
        <w:top w:val="none" w:sz="0" w:space="0" w:color="auto"/>
        <w:left w:val="none" w:sz="0" w:space="0" w:color="auto"/>
        <w:bottom w:val="none" w:sz="0" w:space="0" w:color="auto"/>
        <w:right w:val="none" w:sz="0" w:space="0" w:color="auto"/>
      </w:divBdr>
    </w:div>
    <w:div w:id="751975383">
      <w:bodyDiv w:val="1"/>
      <w:marLeft w:val="0"/>
      <w:marRight w:val="0"/>
      <w:marTop w:val="0"/>
      <w:marBottom w:val="0"/>
      <w:divBdr>
        <w:top w:val="none" w:sz="0" w:space="0" w:color="auto"/>
        <w:left w:val="none" w:sz="0" w:space="0" w:color="auto"/>
        <w:bottom w:val="none" w:sz="0" w:space="0" w:color="auto"/>
        <w:right w:val="none" w:sz="0" w:space="0" w:color="auto"/>
      </w:divBdr>
    </w:div>
    <w:div w:id="1084762551">
      <w:bodyDiv w:val="1"/>
      <w:marLeft w:val="0"/>
      <w:marRight w:val="0"/>
      <w:marTop w:val="0"/>
      <w:marBottom w:val="0"/>
      <w:divBdr>
        <w:top w:val="none" w:sz="0" w:space="0" w:color="auto"/>
        <w:left w:val="none" w:sz="0" w:space="0" w:color="auto"/>
        <w:bottom w:val="none" w:sz="0" w:space="0" w:color="auto"/>
        <w:right w:val="none" w:sz="0" w:space="0" w:color="auto"/>
      </w:divBdr>
    </w:div>
    <w:div w:id="1095132846">
      <w:bodyDiv w:val="1"/>
      <w:marLeft w:val="0"/>
      <w:marRight w:val="0"/>
      <w:marTop w:val="0"/>
      <w:marBottom w:val="0"/>
      <w:divBdr>
        <w:top w:val="none" w:sz="0" w:space="0" w:color="auto"/>
        <w:left w:val="none" w:sz="0" w:space="0" w:color="auto"/>
        <w:bottom w:val="none" w:sz="0" w:space="0" w:color="auto"/>
        <w:right w:val="none" w:sz="0" w:space="0" w:color="auto"/>
      </w:divBdr>
    </w:div>
    <w:div w:id="1201627609">
      <w:bodyDiv w:val="1"/>
      <w:marLeft w:val="0"/>
      <w:marRight w:val="0"/>
      <w:marTop w:val="0"/>
      <w:marBottom w:val="0"/>
      <w:divBdr>
        <w:top w:val="none" w:sz="0" w:space="0" w:color="auto"/>
        <w:left w:val="none" w:sz="0" w:space="0" w:color="auto"/>
        <w:bottom w:val="none" w:sz="0" w:space="0" w:color="auto"/>
        <w:right w:val="none" w:sz="0" w:space="0" w:color="auto"/>
      </w:divBdr>
    </w:div>
    <w:div w:id="1697611485">
      <w:bodyDiv w:val="1"/>
      <w:marLeft w:val="0"/>
      <w:marRight w:val="0"/>
      <w:marTop w:val="0"/>
      <w:marBottom w:val="0"/>
      <w:divBdr>
        <w:top w:val="none" w:sz="0" w:space="0" w:color="auto"/>
        <w:left w:val="none" w:sz="0" w:space="0" w:color="auto"/>
        <w:bottom w:val="none" w:sz="0" w:space="0" w:color="auto"/>
        <w:right w:val="none" w:sz="0" w:space="0" w:color="auto"/>
      </w:divBdr>
    </w:div>
    <w:div w:id="1790509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doc/decisions/cop-14/cop-14-dec-34-ru.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c/e0d4/893d/ce23ee7e35c4eefe26f97ffd/post2020-prep-02-01-ru.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cop-10/cop-10-dec-02-ru.pdf" TargetMode="External"/><Relationship Id="rId2" Type="http://schemas.openxmlformats.org/officeDocument/2006/relationships/hyperlink" Target="http://undocs.org/ru/A/RES/70/1" TargetMode="External"/><Relationship Id="rId1" Type="http://schemas.openxmlformats.org/officeDocument/2006/relationships/hyperlink" Target="http://undocs.org/ru/A/RES/73/28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Textedelespacerserv"/>
            </w:rPr>
            <w:t>[Subject]</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Textedelespacerserv"/>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1951F0"/>
    <w:rsid w:val="002D250C"/>
    <w:rsid w:val="00331925"/>
    <w:rsid w:val="003523C5"/>
    <w:rsid w:val="00392BB5"/>
    <w:rsid w:val="00500A2B"/>
    <w:rsid w:val="0058288D"/>
    <w:rsid w:val="006801B3"/>
    <w:rsid w:val="007A2E97"/>
    <w:rsid w:val="007C4FBD"/>
    <w:rsid w:val="00807F12"/>
    <w:rsid w:val="00810A55"/>
    <w:rsid w:val="008943D2"/>
    <w:rsid w:val="008C6619"/>
    <w:rsid w:val="008D420E"/>
    <w:rsid w:val="00917461"/>
    <w:rsid w:val="0098642F"/>
    <w:rsid w:val="009F1C59"/>
    <w:rsid w:val="00AA7B1C"/>
    <w:rsid w:val="00B15D3B"/>
    <w:rsid w:val="00BA5269"/>
    <w:rsid w:val="00F3578B"/>
    <w:rsid w:val="00FA56CC"/>
    <w:rsid w:val="00FC50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0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523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2018-12-12T00:00:00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613BCE-3A36-44EE-97E4-4BD1367F74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CE1042-FCB6-4C87-B766-576E67E06FEA}">
  <ds:schemaRefs>
    <ds:schemaRef ds:uri="http://schemas.openxmlformats.org/officeDocument/2006/bibliography"/>
  </ds:schemaRefs>
</ds:datastoreItem>
</file>

<file path=customXml/itemProps4.xml><?xml version="1.0" encoding="utf-8"?>
<ds:datastoreItem xmlns:ds="http://schemas.openxmlformats.org/officeDocument/2006/customXml" ds:itemID="{4064670B-CECA-4D06-B73C-CCAF212488F7}">
  <ds:schemaRefs>
    <ds:schemaRef ds:uri="http://schemas.microsoft.com/sharepoint/v3/contenttype/forms"/>
  </ds:schemaRefs>
</ds:datastoreItem>
</file>

<file path=customXml/itemProps5.xml><?xml version="1.0" encoding="utf-8"?>
<ds:datastoreItem xmlns:ds="http://schemas.openxmlformats.org/officeDocument/2006/customXml" ds:itemID="{47DA2CD7-596E-4DF2-9ED0-2EC2999A9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5681</Words>
  <Characters>31247</Characters>
  <Application>Microsoft Office Word</Application>
  <DocSecurity>0</DocSecurity>
  <Lines>260</Lines>
  <Paragraphs>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Communication for the post-2020 global biodiversity framework</vt:lpstr>
      <vt:lpstr>Communication for the post-2020 global biodiversity framework</vt:lpstr>
    </vt:vector>
  </TitlesOfParts>
  <Company>United Nations</Company>
  <LinksUpToDate>false</LinksUpToDate>
  <CharactersWithSpaces>36855</CharactersWithSpaces>
  <SharedDoc>false</SharedDoc>
  <HyperlinkBase/>
  <HLinks>
    <vt:vector size="30" baseType="variant">
      <vt:variant>
        <vt:i4>720969</vt:i4>
      </vt:variant>
      <vt:variant>
        <vt:i4>3</vt:i4>
      </vt:variant>
      <vt:variant>
        <vt:i4>0</vt:i4>
      </vt:variant>
      <vt:variant>
        <vt:i4>5</vt:i4>
      </vt:variant>
      <vt:variant>
        <vt:lpwstr>https://www.cbd.int/doc/decisions/cop-14/cop-14-dec-34-en.pdf</vt:lpwstr>
      </vt:variant>
      <vt:variant>
        <vt:lpwstr/>
      </vt:variant>
      <vt:variant>
        <vt:i4>7667835</vt:i4>
      </vt:variant>
      <vt:variant>
        <vt:i4>0</vt:i4>
      </vt:variant>
      <vt:variant>
        <vt:i4>0</vt:i4>
      </vt:variant>
      <vt:variant>
        <vt:i4>5</vt:i4>
      </vt:variant>
      <vt:variant>
        <vt:lpwstr>https://www.cbd.int/doc/c/3064/749a/0f65ac7f9def86707f4eaefa/post2020-prep-02-01-en.pdf</vt:lpwstr>
      </vt:variant>
      <vt:variant>
        <vt:lpwstr/>
      </vt:variant>
      <vt:variant>
        <vt:i4>589902</vt:i4>
      </vt:variant>
      <vt:variant>
        <vt:i4>6</vt:i4>
      </vt:variant>
      <vt:variant>
        <vt:i4>0</vt:i4>
      </vt:variant>
      <vt:variant>
        <vt:i4>5</vt:i4>
      </vt:variant>
      <vt:variant>
        <vt:lpwstr>https://www.cbd.int/doc/decisions/cop-10/cop-10-dec-02-en.pdf</vt:lpwstr>
      </vt:variant>
      <vt:variant>
        <vt:lpwstr/>
      </vt:variant>
      <vt:variant>
        <vt:i4>5111819</vt:i4>
      </vt:variant>
      <vt:variant>
        <vt:i4>3</vt:i4>
      </vt:variant>
      <vt:variant>
        <vt:i4>0</vt:i4>
      </vt:variant>
      <vt:variant>
        <vt:i4>5</vt:i4>
      </vt:variant>
      <vt:variant>
        <vt:lpwstr>http://undocs.org/A/RES/70/1</vt:lpwstr>
      </vt:variant>
      <vt:variant>
        <vt:lpwstr/>
      </vt:variant>
      <vt:variant>
        <vt:i4>7995443</vt:i4>
      </vt:variant>
      <vt:variant>
        <vt:i4>0</vt:i4>
      </vt:variant>
      <vt:variant>
        <vt:i4>0</vt:i4>
      </vt:variant>
      <vt:variant>
        <vt:i4>5</vt:i4>
      </vt:variant>
      <vt:variant>
        <vt:lpwstr>http://undocs.org/A/RES/73/284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for the post-2020 global biodiversity framework</dc:title>
  <dc:subject>CBD/SBI/3/4/Add.1</dc:subject>
  <dc:creator>SCBD</dc:creator>
  <cp:keywords>Subsidiary Body on Implementation, third meeting, Convention on Biological Diversity</cp:keywords>
  <cp:lastModifiedBy>L A</cp:lastModifiedBy>
  <cp:revision>30</cp:revision>
  <dcterms:created xsi:type="dcterms:W3CDTF">2021-03-08T08:16:00Z</dcterms:created>
  <dcterms:modified xsi:type="dcterms:W3CDTF">2021-03-08T08:55:00Z</dcterms:modified>
  <cp:category>Environment</cp:category>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