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F1A75" w14:paraId="54509796" w14:textId="77777777" w:rsidTr="008A1499">
        <w:trPr>
          <w:trHeight w:val="850"/>
        </w:trPr>
        <w:tc>
          <w:tcPr>
            <w:tcW w:w="975" w:type="dxa"/>
            <w:vAlign w:val="bottom"/>
          </w:tcPr>
          <w:p w14:paraId="72EA4708" w14:textId="77777777" w:rsidR="008A1499" w:rsidRPr="003F1A75" w:rsidRDefault="008A1499" w:rsidP="008A1499">
            <w:pPr>
              <w:pStyle w:val="AASmallLogo"/>
            </w:pPr>
            <w:r w:rsidRPr="003F1A75">
              <w:rPr>
                <w:noProof/>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0B3E755" w14:textId="77777777" w:rsidR="008A1499" w:rsidRPr="003F1A75" w:rsidRDefault="008A1499" w:rsidP="008A1499">
            <w:pPr>
              <w:pStyle w:val="AASmallLogo"/>
            </w:pPr>
          </w:p>
        </w:tc>
        <w:tc>
          <w:tcPr>
            <w:tcW w:w="1434" w:type="dxa"/>
            <w:noWrap/>
            <w:vAlign w:val="bottom"/>
          </w:tcPr>
          <w:p w14:paraId="30BE713C" w14:textId="77777777" w:rsidR="008A1499" w:rsidRPr="003F1A75" w:rsidRDefault="008A1499" w:rsidP="008A1499">
            <w:pPr>
              <w:pStyle w:val="AASmallLogo"/>
            </w:pPr>
            <w:r w:rsidRPr="003F1A75">
              <w:rPr>
                <w:noProof/>
              </w:rPr>
              <w:drawing>
                <wp:inline distT="0" distB="0" distL="0" distR="0" wp14:anchorId="593A0233" wp14:editId="21734C39">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50ADDF8" w14:textId="77777777" w:rsidR="008A1499" w:rsidRPr="003F1A75" w:rsidRDefault="008A1499" w:rsidP="008A1499">
            <w:pPr>
              <w:pStyle w:val="AASmallLogo"/>
            </w:pPr>
          </w:p>
        </w:tc>
        <w:tc>
          <w:tcPr>
            <w:tcW w:w="8073" w:type="dxa"/>
            <w:vAlign w:val="bottom"/>
          </w:tcPr>
          <w:p w14:paraId="5CF23E65" w14:textId="4075BC3C" w:rsidR="008A1499" w:rsidRPr="003F1A75" w:rsidRDefault="008A1499" w:rsidP="003F1A75">
            <w:pPr>
              <w:pStyle w:val="ABSymbol"/>
            </w:pPr>
            <w:r w:rsidRPr="003F1A75">
              <w:rPr>
                <w:sz w:val="40"/>
              </w:rPr>
              <w:t>CBD</w:t>
            </w:r>
            <w:r w:rsidRPr="003F1A75">
              <w:t>/</w:t>
            </w:r>
            <w:r w:rsidR="00F041E5">
              <w:t>C</w:t>
            </w:r>
            <w:r w:rsidR="00975047">
              <w:t>P</w:t>
            </w:r>
            <w:r w:rsidRPr="003F1A75">
              <w:t>/</w:t>
            </w:r>
            <w:r w:rsidR="00975047">
              <w:t>MOP/</w:t>
            </w:r>
            <w:r w:rsidR="00F041E5">
              <w:t>12</w:t>
            </w:r>
            <w:r w:rsidR="00975047">
              <w:t>/</w:t>
            </w:r>
            <w:r w:rsidR="000F12D2">
              <w:t>L.9</w:t>
            </w:r>
          </w:p>
        </w:tc>
      </w:tr>
    </w:tbl>
    <w:p w14:paraId="32D428BD"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68564309" w14:textId="77777777" w:rsidTr="008A1499">
        <w:trPr>
          <w:trHeight w:val="1814"/>
        </w:trPr>
        <w:tc>
          <w:tcPr>
            <w:tcW w:w="7370" w:type="dxa"/>
          </w:tcPr>
          <w:p w14:paraId="102BACEF" w14:textId="77777777" w:rsidR="008A1499" w:rsidRPr="003F1A75" w:rsidRDefault="008A1499" w:rsidP="008A1499">
            <w:pPr>
              <w:pStyle w:val="ACLargeLogo"/>
            </w:pPr>
            <w:r w:rsidRPr="003F1A75">
              <w:rPr>
                <w:noProof/>
              </w:rPr>
              <w:drawing>
                <wp:inline distT="0" distB="0" distL="0" distR="0" wp14:anchorId="5F3FFD8C" wp14:editId="34EED1B5">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696113B" w14:textId="77777777" w:rsidR="008A1499" w:rsidRPr="003F1A75" w:rsidRDefault="008A1499" w:rsidP="008A1499">
            <w:pPr>
              <w:pStyle w:val="ACLargeLogo"/>
            </w:pPr>
          </w:p>
        </w:tc>
        <w:tc>
          <w:tcPr>
            <w:tcW w:w="3112" w:type="dxa"/>
          </w:tcPr>
          <w:p w14:paraId="761FFE6A" w14:textId="3AF47E39" w:rsidR="008A1499" w:rsidRPr="003F1A75" w:rsidRDefault="008A1499" w:rsidP="008A1499">
            <w:pPr>
              <w:pStyle w:val="AEDistrNormal"/>
            </w:pPr>
            <w:r w:rsidRPr="003F1A75">
              <w:t xml:space="preserve">Distr.: </w:t>
            </w:r>
            <w:r w:rsidR="001643E3">
              <w:t>Limited</w:t>
            </w:r>
            <w:r w:rsidRPr="003F1A75">
              <w:t xml:space="preserve"> </w:t>
            </w:r>
          </w:p>
          <w:p w14:paraId="44701D9F" w14:textId="7FC31C70" w:rsidR="008A1499" w:rsidRPr="003F1A75" w:rsidRDefault="006712EF" w:rsidP="008A1499">
            <w:pPr>
              <w:pStyle w:val="AEDistrNormal"/>
            </w:pPr>
            <w:r>
              <w:t>2</w:t>
            </w:r>
            <w:r w:rsidR="006D7B26">
              <w:t>3</w:t>
            </w:r>
            <w:r>
              <w:t xml:space="preserve"> October</w:t>
            </w:r>
            <w:r w:rsidR="008D41D3">
              <w:t xml:space="preserve"> 2026</w:t>
            </w:r>
          </w:p>
          <w:p w14:paraId="1C2D3302" w14:textId="77777777" w:rsidR="008A1499" w:rsidRPr="003F1A75" w:rsidRDefault="008A1499" w:rsidP="008A1499">
            <w:pPr>
              <w:pStyle w:val="AEDistrNormal6pt"/>
            </w:pPr>
            <w:r w:rsidRPr="003F1A75">
              <w:t xml:space="preserve">Original: English </w:t>
            </w:r>
          </w:p>
          <w:p w14:paraId="0D0A89D4" w14:textId="77777777" w:rsidR="008A1499" w:rsidRPr="003F1A75" w:rsidRDefault="008A1499" w:rsidP="008A1499">
            <w:pPr>
              <w:pStyle w:val="AEDistrNormal6pt"/>
            </w:pPr>
          </w:p>
        </w:tc>
      </w:tr>
    </w:tbl>
    <w:p w14:paraId="505692E0"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7DD2392B" w14:textId="77777777" w:rsidTr="008A1499">
        <w:trPr>
          <w:trHeight w:val="57"/>
        </w:trPr>
        <w:tc>
          <w:tcPr>
            <w:tcW w:w="6094" w:type="dxa"/>
          </w:tcPr>
          <w:p w14:paraId="244D76B7" w14:textId="77777777" w:rsidR="008A1499" w:rsidRPr="003F1A75" w:rsidRDefault="00975047" w:rsidP="008A1499">
            <w:pPr>
              <w:pStyle w:val="AFCorN12Bold"/>
            </w:pPr>
            <w:r>
              <w:t xml:space="preserve">Conference of the Parties to the Convention on Biological Diversity serving as the meeting of the Parties to the </w:t>
            </w:r>
            <w:r w:rsidR="00F041E5">
              <w:t>Cartagena Protocol on Biosafety</w:t>
            </w:r>
          </w:p>
          <w:p w14:paraId="4AD00E11" w14:textId="77777777" w:rsidR="008A1499" w:rsidRPr="003F1A75" w:rsidRDefault="00F041E5" w:rsidP="008A1499">
            <w:pPr>
              <w:pStyle w:val="AFCorNBold"/>
            </w:pPr>
            <w:r>
              <w:t>Twelfth</w:t>
            </w:r>
            <w:r w:rsidR="008A1499" w:rsidRPr="003F1A75">
              <w:t xml:space="preserve"> meeting </w:t>
            </w:r>
          </w:p>
          <w:p w14:paraId="2AB875DF" w14:textId="77777777" w:rsidR="008A1499" w:rsidRPr="003F1A75" w:rsidRDefault="00975047" w:rsidP="008A1499">
            <w:pPr>
              <w:pStyle w:val="AFCorNNormal"/>
            </w:pPr>
            <w:r w:rsidRPr="00975047">
              <w:t>Yerevan, 19–30 October 2026</w:t>
            </w:r>
          </w:p>
          <w:p w14:paraId="018EC1BC" w14:textId="78EEECCE" w:rsidR="008A1499" w:rsidRPr="003F1A75" w:rsidRDefault="001643E3" w:rsidP="008A1499">
            <w:pPr>
              <w:pStyle w:val="AFCorNNormal"/>
            </w:pPr>
            <w:r>
              <w:t>A</w:t>
            </w:r>
            <w:r w:rsidR="008A1499" w:rsidRPr="003F1A75">
              <w:t>genda</w:t>
            </w:r>
            <w:r>
              <w:t xml:space="preserve"> item</w:t>
            </w:r>
            <w:r w:rsidR="008A1499" w:rsidRPr="003F1A75">
              <w:t xml:space="preserve"> </w:t>
            </w:r>
            <w:r w:rsidR="008A0987">
              <w:t>9</w:t>
            </w:r>
          </w:p>
          <w:p w14:paraId="5CAAF4FB" w14:textId="6019EC00" w:rsidR="0027049E" w:rsidRPr="0027049E" w:rsidRDefault="002978C6" w:rsidP="00363DDA">
            <w:pPr>
              <w:pStyle w:val="AFCorNBold"/>
            </w:pPr>
            <w:r w:rsidRPr="002978C6">
              <w:t xml:space="preserve">Matters related to the financial mechanism </w:t>
            </w:r>
            <w:r w:rsidR="00291D61">
              <w:br/>
            </w:r>
            <w:r w:rsidRPr="002978C6">
              <w:t>and resources</w:t>
            </w:r>
          </w:p>
        </w:tc>
        <w:tc>
          <w:tcPr>
            <w:tcW w:w="4388" w:type="dxa"/>
          </w:tcPr>
          <w:p w14:paraId="2585170E" w14:textId="77777777" w:rsidR="008A1499" w:rsidRPr="003F1A75" w:rsidRDefault="008A1499" w:rsidP="008A1499">
            <w:pPr>
              <w:pStyle w:val="CBDNormal"/>
              <w:jc w:val="left"/>
            </w:pPr>
          </w:p>
        </w:tc>
      </w:tr>
    </w:tbl>
    <w:p w14:paraId="04E81299" w14:textId="3EC04897" w:rsidR="00C9161D" w:rsidRPr="003F1A75" w:rsidRDefault="008F7AA5" w:rsidP="006712EF">
      <w:pPr>
        <w:pStyle w:val="CBDTitle"/>
        <w:rPr>
          <w:caps/>
        </w:rPr>
      </w:pPr>
      <w:sdt>
        <w:sdt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EndPr/>
        <w:sdtContent>
          <w:r w:rsidR="002978C6" w:rsidRPr="0069498E">
            <w:t>Matters related to the financial mechanism and resources</w:t>
          </w:r>
        </w:sdtContent>
      </w:sdt>
      <w:r w:rsidR="00105372" w:rsidRPr="003F1A75">
        <w:rPr>
          <w:caps/>
        </w:rPr>
        <w:t xml:space="preserve"> </w:t>
      </w:r>
    </w:p>
    <w:p w14:paraId="561E2151" w14:textId="374C00F7" w:rsidR="00F6586C" w:rsidRPr="003F1A75" w:rsidRDefault="00726DEC" w:rsidP="00A111D1">
      <w:pPr>
        <w:pStyle w:val="CBDSubTitle"/>
      </w:pPr>
      <w:r>
        <w:t>Draft decision submitted by</w:t>
      </w:r>
      <w:r w:rsidR="0027049E">
        <w:t xml:space="preserve"> the Chair of Working Group II</w:t>
      </w:r>
    </w:p>
    <w:p w14:paraId="74F1B53D" w14:textId="495052AD" w:rsidR="00C72AAE" w:rsidRPr="00850BE4" w:rsidRDefault="00C72AAE" w:rsidP="00C72AAE">
      <w:pPr>
        <w:pStyle w:val="CBDRecommendText"/>
        <w:tabs>
          <w:tab w:val="clear" w:pos="567"/>
        </w:tabs>
        <w:ind w:left="576" w:firstLine="558"/>
        <w:rPr>
          <w:i/>
          <w:iCs/>
          <w:lang w:bidi="ar-SY"/>
        </w:rPr>
      </w:pPr>
      <w:r w:rsidRPr="00850BE4">
        <w:rPr>
          <w:i/>
          <w:iCs/>
          <w:lang w:bidi="ar-SY"/>
        </w:rPr>
        <w:t>The Conference of the Parties serving as the meeting of the Parties to the Cartagena Protocol</w:t>
      </w:r>
      <w:r w:rsidR="00B82040" w:rsidRPr="00363DDA">
        <w:rPr>
          <w:lang w:bidi="ar-SY"/>
        </w:rPr>
        <w:t>,</w:t>
      </w:r>
    </w:p>
    <w:p w14:paraId="511BC30F" w14:textId="5D7F9A2F" w:rsidR="00B82040" w:rsidRPr="00850BE4" w:rsidRDefault="00B82040" w:rsidP="00B82040">
      <w:pPr>
        <w:pStyle w:val="CBDNormalNumber"/>
        <w:numPr>
          <w:ilvl w:val="0"/>
          <w:numId w:val="0"/>
        </w:numPr>
        <w:ind w:left="567" w:firstLine="567"/>
      </w:pPr>
      <w:r w:rsidRPr="00850BE4">
        <w:rPr>
          <w:i/>
          <w:iCs/>
        </w:rPr>
        <w:t xml:space="preserve">Recalling </w:t>
      </w:r>
      <w:r w:rsidR="00AD7F64">
        <w:t>Article</w:t>
      </w:r>
      <w:r w:rsidR="00337297">
        <w:t> </w:t>
      </w:r>
      <w:r w:rsidR="00AD7F64">
        <w:t>21 of the Convention on Biological Diversity</w:t>
      </w:r>
      <w:r w:rsidR="00536E9C">
        <w:rPr>
          <w:rStyle w:val="FootnoteReference"/>
        </w:rPr>
        <w:footnoteReference w:id="1"/>
      </w:r>
      <w:r w:rsidR="00AD7F64" w:rsidRPr="00850BE4">
        <w:t xml:space="preserve"> </w:t>
      </w:r>
      <w:r w:rsidR="00AD7F64">
        <w:t xml:space="preserve">and </w:t>
      </w:r>
      <w:r w:rsidRPr="00850BE4">
        <w:t>Article 28 of the Cartagena Protocol on Biosafety,</w:t>
      </w:r>
      <w:r w:rsidRPr="00850BE4">
        <w:rPr>
          <w:rStyle w:val="FootnoteReference"/>
        </w:rPr>
        <w:footnoteReference w:id="2"/>
      </w:r>
    </w:p>
    <w:p w14:paraId="3116F28A" w14:textId="199806B5" w:rsidR="00B82040" w:rsidRPr="00850BE4" w:rsidRDefault="00B82040" w:rsidP="00B82040">
      <w:pPr>
        <w:pStyle w:val="CBDNormalNumber"/>
        <w:numPr>
          <w:ilvl w:val="0"/>
          <w:numId w:val="0"/>
        </w:numPr>
        <w:ind w:left="567" w:firstLine="567"/>
        <w:rPr>
          <w:i/>
          <w:iCs/>
        </w:rPr>
      </w:pPr>
      <w:r w:rsidRPr="00850BE4">
        <w:rPr>
          <w:i/>
          <w:iCs/>
        </w:rPr>
        <w:t>Having considered</w:t>
      </w:r>
      <w:r w:rsidRPr="00850BE4">
        <w:t xml:space="preserve"> the information on biosafety in the report of the Council of the Global Environment Facility for the seventeenth meeting of the Conference of the Parties to the Convention on Biological Diversity,</w:t>
      </w:r>
      <w:r w:rsidR="00536E9C" w:rsidRPr="00850BE4" w:rsidDel="00536E9C">
        <w:rPr>
          <w:rStyle w:val="FootnoteReference"/>
        </w:rPr>
        <w:t xml:space="preserve"> </w:t>
      </w:r>
      <w:r w:rsidRPr="00850BE4">
        <w:rPr>
          <w:rStyle w:val="FootnoteReference"/>
        </w:rPr>
        <w:footnoteReference w:id="3"/>
      </w:r>
    </w:p>
    <w:p w14:paraId="586354AC" w14:textId="6FFA634D" w:rsidR="00B82040" w:rsidRPr="007A59F7" w:rsidRDefault="00B82040" w:rsidP="00B82040">
      <w:pPr>
        <w:pStyle w:val="CBDNormalNoNumber"/>
        <w:ind w:firstLine="567"/>
        <w:rPr>
          <w:lang w:eastAsia="en-GB"/>
        </w:rPr>
      </w:pPr>
      <w:r w:rsidRPr="007A59F7">
        <w:rPr>
          <w:lang w:eastAsia="en-GB"/>
        </w:rPr>
        <w:t>1.</w:t>
      </w:r>
      <w:r w:rsidRPr="007A59F7">
        <w:rPr>
          <w:i/>
          <w:iCs/>
          <w:lang w:eastAsia="en-GB"/>
        </w:rPr>
        <w:tab/>
        <w:t>Welcomes</w:t>
      </w:r>
      <w:r w:rsidRPr="007A59F7">
        <w:rPr>
          <w:lang w:eastAsia="en-GB"/>
        </w:rPr>
        <w:t xml:space="preserve"> the </w:t>
      </w:r>
      <w:r w:rsidRPr="007A59F7">
        <w:rPr>
          <w:rFonts w:eastAsia="MS Mincho"/>
          <w:iCs/>
        </w:rPr>
        <w:t>ninth</w:t>
      </w:r>
      <w:r w:rsidRPr="007A59F7">
        <w:rPr>
          <w:lang w:eastAsia="en-GB"/>
        </w:rPr>
        <w:t xml:space="preserve"> replenishment of the Global Environment Facility Trust Fund and its programming directions and the support thereby made available to Parties for the implementation of the Cartagena Protocol on Biosafety,</w:t>
      </w:r>
      <w:r w:rsidRPr="00850BE4">
        <w:t xml:space="preserve"> </w:t>
      </w:r>
      <w:r w:rsidRPr="007A59F7">
        <w:rPr>
          <w:lang w:eastAsia="en-GB"/>
        </w:rPr>
        <w:t>expresses its appreciation to the countries that contributed to the replenishment</w:t>
      </w:r>
      <w:r w:rsidR="006329BA">
        <w:rPr>
          <w:lang w:eastAsia="en-GB"/>
        </w:rPr>
        <w:t>,</w:t>
      </w:r>
      <w:r w:rsidR="004812A1">
        <w:rPr>
          <w:lang w:eastAsia="en-GB"/>
        </w:rPr>
        <w:t xml:space="preserve"> </w:t>
      </w:r>
      <w:r w:rsidR="00431157">
        <w:rPr>
          <w:lang w:eastAsia="en-GB"/>
        </w:rPr>
        <w:t>and encourages further contributions to the replenishment</w:t>
      </w:r>
      <w:r w:rsidRPr="007A59F7">
        <w:rPr>
          <w:lang w:eastAsia="en-GB"/>
        </w:rPr>
        <w:t>;</w:t>
      </w:r>
    </w:p>
    <w:p w14:paraId="0ECA79CA" w14:textId="73C07F26" w:rsidR="00C52868" w:rsidRPr="00C52868" w:rsidRDefault="00B82040" w:rsidP="00E913FA">
      <w:pPr>
        <w:pStyle w:val="CBDNormalNoNumber"/>
        <w:ind w:firstLine="567"/>
        <w:rPr>
          <w:lang w:eastAsia="en-GB"/>
        </w:rPr>
      </w:pPr>
      <w:r w:rsidRPr="007A59F7">
        <w:rPr>
          <w:lang w:eastAsia="en-GB"/>
        </w:rPr>
        <w:t>2.</w:t>
      </w:r>
      <w:r w:rsidRPr="007A59F7">
        <w:rPr>
          <w:i/>
          <w:iCs/>
          <w:lang w:eastAsia="en-GB"/>
        </w:rPr>
        <w:tab/>
      </w:r>
      <w:r w:rsidR="00C5162A">
        <w:rPr>
          <w:i/>
          <w:iCs/>
          <w:lang w:eastAsia="en-GB"/>
        </w:rPr>
        <w:t>Takes note</w:t>
      </w:r>
      <w:r w:rsidR="00416230">
        <w:rPr>
          <w:i/>
          <w:iCs/>
          <w:lang w:eastAsia="en-GB"/>
        </w:rPr>
        <w:t xml:space="preserve"> </w:t>
      </w:r>
      <w:r w:rsidRPr="007A59F7">
        <w:rPr>
          <w:i/>
          <w:iCs/>
          <w:lang w:eastAsia="en-GB"/>
        </w:rPr>
        <w:t>with appreciation</w:t>
      </w:r>
      <w:r w:rsidRPr="007A59F7">
        <w:rPr>
          <w:lang w:eastAsia="en-GB"/>
        </w:rPr>
        <w:t xml:space="preserve"> </w:t>
      </w:r>
      <w:r w:rsidR="005F02C7">
        <w:rPr>
          <w:lang w:eastAsia="en-GB"/>
        </w:rPr>
        <w:t xml:space="preserve">of </w:t>
      </w:r>
      <w:r w:rsidRPr="00850BE4">
        <w:t xml:space="preserve">the measures taken by the Global Environment Facility to enhance </w:t>
      </w:r>
      <w:r w:rsidRPr="007A59F7">
        <w:rPr>
          <w:lang w:eastAsia="en-GB"/>
        </w:rPr>
        <w:t>the financial mechanism with respect to biosafety;</w:t>
      </w:r>
    </w:p>
    <w:p w14:paraId="1F492321" w14:textId="3ADADC0D" w:rsidR="00B82040" w:rsidRPr="007A59F7" w:rsidRDefault="00B82040" w:rsidP="00B82040">
      <w:pPr>
        <w:pStyle w:val="CBDNormalNoNumber"/>
        <w:ind w:firstLine="567"/>
        <w:rPr>
          <w:lang w:eastAsia="en-GB"/>
        </w:rPr>
      </w:pPr>
      <w:r w:rsidRPr="007A59F7">
        <w:rPr>
          <w:lang w:eastAsia="en-GB"/>
        </w:rPr>
        <w:t>3.</w:t>
      </w:r>
      <w:r w:rsidRPr="007A59F7">
        <w:rPr>
          <w:i/>
          <w:iCs/>
          <w:lang w:eastAsia="en-GB"/>
        </w:rPr>
        <w:tab/>
        <w:t>Recommends</w:t>
      </w:r>
      <w:r w:rsidRPr="007A59F7">
        <w:rPr>
          <w:lang w:eastAsia="en-GB"/>
        </w:rPr>
        <w:t xml:space="preserve"> that the Conference of the Parties to the Convention on Biological Diversity give full consideration to the Cartagena Protocol in the terms of reference to be adopted for the seventh quadrennial review of the effectiveness of the financial mechanism under the Convention</w:t>
      </w:r>
      <w:r w:rsidR="00E30556" w:rsidRPr="00287C35">
        <w:rPr>
          <w:lang w:val="en-ZA" w:eastAsia="en-GB"/>
        </w:rPr>
        <w:t xml:space="preserve">, including </w:t>
      </w:r>
      <w:r w:rsidR="009D6AB3">
        <w:rPr>
          <w:lang w:val="en-ZA" w:eastAsia="en-GB"/>
        </w:rPr>
        <w:t xml:space="preserve">by identifying barriers that Parties face in </w:t>
      </w:r>
      <w:r w:rsidR="003C6698">
        <w:rPr>
          <w:lang w:val="en-ZA" w:eastAsia="en-GB"/>
        </w:rPr>
        <w:t>their</w:t>
      </w:r>
      <w:r w:rsidR="009D6AB3">
        <w:rPr>
          <w:lang w:val="en-ZA" w:eastAsia="en-GB"/>
        </w:rPr>
        <w:t xml:space="preserve"> access to </w:t>
      </w:r>
      <w:r w:rsidR="00833AA5">
        <w:rPr>
          <w:lang w:val="en-ZA" w:eastAsia="en-GB"/>
        </w:rPr>
        <w:t>and us</w:t>
      </w:r>
      <w:r w:rsidR="003C6698">
        <w:rPr>
          <w:lang w:val="en-ZA" w:eastAsia="en-GB"/>
        </w:rPr>
        <w:t>e of</w:t>
      </w:r>
      <w:r w:rsidR="00833AA5">
        <w:rPr>
          <w:lang w:val="en-ZA" w:eastAsia="en-GB"/>
        </w:rPr>
        <w:t xml:space="preserve"> </w:t>
      </w:r>
      <w:r w:rsidR="00E30556" w:rsidRPr="00287C35">
        <w:rPr>
          <w:lang w:val="en-ZA" w:eastAsia="en-GB"/>
        </w:rPr>
        <w:t>financial resources for biosafety and measures</w:t>
      </w:r>
      <w:r w:rsidR="001E4D8F">
        <w:rPr>
          <w:lang w:val="en-ZA" w:eastAsia="en-GB"/>
        </w:rPr>
        <w:t xml:space="preserve"> that can</w:t>
      </w:r>
      <w:r w:rsidR="00E30556" w:rsidRPr="00287C35">
        <w:rPr>
          <w:lang w:val="en-ZA" w:eastAsia="en-GB"/>
        </w:rPr>
        <w:t xml:space="preserve"> address them</w:t>
      </w:r>
      <w:r w:rsidR="00DC6070">
        <w:rPr>
          <w:lang w:val="en-ZA" w:eastAsia="en-GB"/>
        </w:rPr>
        <w:t>,</w:t>
      </w:r>
      <w:r w:rsidR="005064BE">
        <w:rPr>
          <w:lang w:val="en-ZA" w:eastAsia="en-GB"/>
        </w:rPr>
        <w:t xml:space="preserve"> </w:t>
      </w:r>
      <w:r w:rsidR="003C6698">
        <w:rPr>
          <w:lang w:val="en-ZA" w:eastAsia="en-GB"/>
        </w:rPr>
        <w:t>and by taking into account</w:t>
      </w:r>
      <w:r w:rsidR="005064BE">
        <w:rPr>
          <w:lang w:val="en-ZA" w:eastAsia="en-GB"/>
        </w:rPr>
        <w:t xml:space="preserve"> </w:t>
      </w:r>
      <w:r w:rsidR="005064BE">
        <w:rPr>
          <w:lang w:eastAsia="en-GB"/>
        </w:rPr>
        <w:t>relevant</w:t>
      </w:r>
      <w:r w:rsidR="005064BE" w:rsidRPr="00847980">
        <w:rPr>
          <w:lang w:eastAsia="en-GB"/>
        </w:rPr>
        <w:t xml:space="preserve"> outcomes of the </w:t>
      </w:r>
      <w:r w:rsidR="004879D2">
        <w:rPr>
          <w:lang w:eastAsia="en-GB"/>
        </w:rPr>
        <w:t>fif</w:t>
      </w:r>
      <w:r w:rsidR="005064BE" w:rsidRPr="00847980">
        <w:rPr>
          <w:lang w:eastAsia="en-GB"/>
        </w:rPr>
        <w:t>th assessment and review of the implementation plan for the Protoco</w:t>
      </w:r>
      <w:r w:rsidR="005064BE">
        <w:rPr>
          <w:lang w:eastAsia="en-GB"/>
        </w:rPr>
        <w:t>l</w:t>
      </w:r>
      <w:r w:rsidRPr="007A59F7">
        <w:rPr>
          <w:lang w:eastAsia="en-GB"/>
        </w:rPr>
        <w:t>;</w:t>
      </w:r>
    </w:p>
    <w:p w14:paraId="53D57E55" w14:textId="77777777" w:rsidR="00B82040" w:rsidRPr="007A59F7" w:rsidRDefault="00B82040" w:rsidP="00B82040">
      <w:pPr>
        <w:pStyle w:val="CBDNormalNoNumber"/>
        <w:ind w:firstLine="567"/>
        <w:rPr>
          <w:lang w:eastAsia="en-GB"/>
        </w:rPr>
      </w:pPr>
      <w:r w:rsidRPr="00850BE4">
        <w:t>4.</w:t>
      </w:r>
      <w:r w:rsidRPr="00850BE4">
        <w:tab/>
      </w:r>
      <w:r w:rsidRPr="007A59F7">
        <w:rPr>
          <w:i/>
          <w:iCs/>
          <w:lang w:eastAsia="en-GB"/>
        </w:rPr>
        <w:t>Invites</w:t>
      </w:r>
      <w:r w:rsidRPr="007A59F7">
        <w:rPr>
          <w:lang w:eastAsia="en-GB"/>
        </w:rPr>
        <w:t xml:space="preserve"> Parties to the Cartagena Protocol to contribute to and participate in the seventh quadrennial review of the effectiveness of the financial mechanism;</w:t>
      </w:r>
    </w:p>
    <w:p w14:paraId="405C5873" w14:textId="77777777" w:rsidR="00B82040" w:rsidRDefault="00B82040" w:rsidP="00B82040">
      <w:pPr>
        <w:pStyle w:val="CBDNormalNoNumber"/>
        <w:ind w:firstLine="567"/>
      </w:pPr>
      <w:r w:rsidRPr="00850BE4">
        <w:rPr>
          <w:iCs/>
        </w:rPr>
        <w:t>5.</w:t>
      </w:r>
      <w:r w:rsidRPr="00850BE4">
        <w:rPr>
          <w:i/>
        </w:rPr>
        <w:tab/>
        <w:t xml:space="preserve">Urges </w:t>
      </w:r>
      <w:r w:rsidRPr="00850BE4" w:rsidDel="00211339">
        <w:t>eligible</w:t>
      </w:r>
      <w:r w:rsidRPr="00850BE4">
        <w:t xml:space="preserve"> Parties to use the resources allocated to biosafety activities by the Global Environment Facility through its System for Transparent Allocation of Resources and to integrate </w:t>
      </w:r>
      <w:r w:rsidRPr="00850BE4">
        <w:lastRenderedPageBreak/>
        <w:t>biosafety into their biodiversity projects, in accordance with nationally identified needs and priorities;</w:t>
      </w:r>
    </w:p>
    <w:p w14:paraId="643C9C62" w14:textId="0A0EE87F" w:rsidR="00F14982" w:rsidRPr="007A59F7" w:rsidRDefault="007D5FBC" w:rsidP="00B82040">
      <w:pPr>
        <w:pStyle w:val="CBDNormalNoNumber"/>
        <w:ind w:firstLine="567"/>
        <w:rPr>
          <w:i/>
          <w:iCs/>
          <w:lang w:eastAsia="en-GB"/>
        </w:rPr>
      </w:pPr>
      <w:r>
        <w:t>6</w:t>
      </w:r>
      <w:r w:rsidR="00F14982">
        <w:t>.</w:t>
      </w:r>
      <w:r w:rsidR="0030207E">
        <w:tab/>
      </w:r>
      <w:r w:rsidR="00F14982" w:rsidRPr="0069498E">
        <w:rPr>
          <w:i/>
          <w:iCs/>
        </w:rPr>
        <w:t>Invites</w:t>
      </w:r>
      <w:r w:rsidR="00F14982" w:rsidRPr="00AB3B90">
        <w:t xml:space="preserve"> relevant organizations, including the </w:t>
      </w:r>
      <w:r w:rsidR="00187978">
        <w:t xml:space="preserve">regional and subregional </w:t>
      </w:r>
      <w:r w:rsidR="00F14982" w:rsidRPr="00AB3B90">
        <w:t xml:space="preserve">technical and scientific cooperation support centres, to continue to provide support to </w:t>
      </w:r>
      <w:r w:rsidR="00187978">
        <w:t>P</w:t>
      </w:r>
      <w:r w:rsidR="00F14982" w:rsidRPr="00AB3B90">
        <w:t>arties in the development of biosafety project proposals</w:t>
      </w:r>
      <w:r w:rsidR="00F14982">
        <w:t>;</w:t>
      </w:r>
    </w:p>
    <w:p w14:paraId="31B9F7E3" w14:textId="78FA124C" w:rsidR="00B82040" w:rsidRPr="007A59F7" w:rsidRDefault="007D5FBC" w:rsidP="00B82040">
      <w:pPr>
        <w:pStyle w:val="CBDNormalNoNumber"/>
        <w:keepNext/>
        <w:ind w:firstLine="567"/>
        <w:rPr>
          <w:lang w:eastAsia="en-GB"/>
        </w:rPr>
      </w:pPr>
      <w:r>
        <w:rPr>
          <w:lang w:eastAsia="en-GB"/>
        </w:rPr>
        <w:t>7</w:t>
      </w:r>
      <w:r w:rsidR="00B82040" w:rsidRPr="007A59F7">
        <w:rPr>
          <w:lang w:eastAsia="en-GB"/>
        </w:rPr>
        <w:t>.</w:t>
      </w:r>
      <w:r w:rsidR="00B82040" w:rsidRPr="007A59F7">
        <w:rPr>
          <w:lang w:eastAsia="en-GB"/>
        </w:rPr>
        <w:tab/>
      </w:r>
      <w:r w:rsidR="00B82040" w:rsidRPr="007A59F7">
        <w:rPr>
          <w:i/>
          <w:iCs/>
          <w:lang w:eastAsia="en-GB"/>
        </w:rPr>
        <w:t>Encourages</w:t>
      </w:r>
      <w:r w:rsidR="00B82040" w:rsidRPr="007A59F7">
        <w:rPr>
          <w:lang w:eastAsia="en-GB"/>
        </w:rPr>
        <w:t xml:space="preserve"> eligible Parties:</w:t>
      </w:r>
    </w:p>
    <w:p w14:paraId="46679D93" w14:textId="77777777" w:rsidR="00B82040" w:rsidRPr="00850BE4" w:rsidRDefault="00B82040" w:rsidP="00B82040">
      <w:pPr>
        <w:pStyle w:val="CBDsubpara-item"/>
        <w:ind w:left="567" w:firstLine="567"/>
        <w:jc w:val="both"/>
      </w:pPr>
      <w:r w:rsidRPr="00850BE4">
        <w:t>(a)</w:t>
      </w:r>
      <w:r w:rsidRPr="00850BE4">
        <w:tab/>
        <w:t>To include needs and provisions for the implementation of the Cartagena Protocol in their national biodiversity finance plans;</w:t>
      </w:r>
    </w:p>
    <w:p w14:paraId="1014EFA4" w14:textId="77777777" w:rsidR="00B82040" w:rsidRPr="00850BE4" w:rsidRDefault="00B82040" w:rsidP="00B82040">
      <w:pPr>
        <w:pStyle w:val="CBDsubpara-item"/>
        <w:ind w:left="567" w:firstLine="567"/>
        <w:jc w:val="both"/>
      </w:pPr>
      <w:r w:rsidRPr="00850BE4">
        <w:t>(b)</w:t>
      </w:r>
      <w:r w:rsidRPr="00850BE4">
        <w:tab/>
        <w:t xml:space="preserve">To cooperate at the regional and subregional levels, as appropriate, </w:t>
      </w:r>
      <w:proofErr w:type="gramStart"/>
      <w:r w:rsidRPr="00850BE4">
        <w:t>in order to</w:t>
      </w:r>
      <w:proofErr w:type="gramEnd"/>
      <w:r w:rsidRPr="00850BE4">
        <w:t xml:space="preserve"> prepare requests for support from the Global Environment Facility for joint projects contributing to the cost-effective sharing of resources, information, experiences and expertise and to maximize complementarities and opportunities in that regard;</w:t>
      </w:r>
    </w:p>
    <w:p w14:paraId="0E3A14E3" w14:textId="13786372" w:rsidR="00B82040" w:rsidRPr="007A59F7" w:rsidRDefault="00B82040" w:rsidP="00AE042A">
      <w:pPr>
        <w:pStyle w:val="CBDsubpara-item"/>
        <w:ind w:left="567" w:firstLine="567"/>
        <w:jc w:val="both"/>
        <w:rPr>
          <w:lang w:eastAsia="en-GB"/>
        </w:rPr>
      </w:pPr>
      <w:r w:rsidRPr="00850BE4">
        <w:t>(c)</w:t>
      </w:r>
      <w:r w:rsidRPr="00850BE4">
        <w:tab/>
      </w:r>
      <w:r w:rsidR="0021289B">
        <w:t>To contribute, as appropriate, to the work of the E</w:t>
      </w:r>
      <w:r w:rsidR="009B1B0D">
        <w:t xml:space="preserve">xecutive </w:t>
      </w:r>
      <w:r w:rsidR="0021289B">
        <w:t>S</w:t>
      </w:r>
      <w:r w:rsidR="009B1B0D">
        <w:t>ecretar</w:t>
      </w:r>
      <w:r w:rsidR="00EB717C">
        <w:t>y</w:t>
      </w:r>
      <w:r w:rsidR="0021289B">
        <w:t xml:space="preserve"> on the integration o</w:t>
      </w:r>
      <w:r w:rsidR="00AE042A">
        <w:t xml:space="preserve">f </w:t>
      </w:r>
      <w:r w:rsidRPr="00850BE4">
        <w:t xml:space="preserve">biosafety elements </w:t>
      </w:r>
      <w:r w:rsidR="002760A6">
        <w:t>into</w:t>
      </w:r>
      <w:r w:rsidR="002760A6" w:rsidRPr="00850BE4">
        <w:t xml:space="preserve"> </w:t>
      </w:r>
      <w:r w:rsidRPr="00850BE4">
        <w:t>the four-year outcome-oriented framework of programme priorities related to the use of Global Environment Facility resources for biodiversity for the period from July</w:t>
      </w:r>
      <w:r w:rsidR="00F03C4A">
        <w:t> </w:t>
      </w:r>
      <w:r w:rsidRPr="00850BE4">
        <w:t>2030 to June</w:t>
      </w:r>
      <w:r w:rsidR="00F03C4A">
        <w:t> </w:t>
      </w:r>
      <w:r w:rsidRPr="00850BE4">
        <w:t>2034</w:t>
      </w:r>
      <w:r w:rsidR="00906B4F">
        <w:t xml:space="preserve">, </w:t>
      </w:r>
      <w:r w:rsidR="00906B4F" w:rsidRPr="000038A1">
        <w:t xml:space="preserve">including </w:t>
      </w:r>
      <w:r w:rsidR="00F03C4A">
        <w:t>in relation to</w:t>
      </w:r>
      <w:r w:rsidR="00796846" w:rsidRPr="000038A1">
        <w:t xml:space="preserve"> the implementation of national biosafety frameworks</w:t>
      </w:r>
      <w:r w:rsidR="00796846">
        <w:t>,</w:t>
      </w:r>
      <w:r w:rsidR="00796846" w:rsidRPr="000038A1">
        <w:t xml:space="preserve"> </w:t>
      </w:r>
      <w:r w:rsidR="00906B4F" w:rsidRPr="000038A1">
        <w:t xml:space="preserve">needs related to capacity-building </w:t>
      </w:r>
      <w:r w:rsidR="00235857">
        <w:t>and development</w:t>
      </w:r>
      <w:r w:rsidR="000F55B6">
        <w:t xml:space="preserve">, </w:t>
      </w:r>
      <w:r w:rsidR="007E063D">
        <w:t xml:space="preserve">and </w:t>
      </w:r>
      <w:r w:rsidR="00906B4F" w:rsidRPr="000038A1">
        <w:t>access to and transfer of technology</w:t>
      </w:r>
      <w:r w:rsidR="000F55B6">
        <w:t xml:space="preserve"> and know-how</w:t>
      </w:r>
      <w:r w:rsidR="00906B4F" w:rsidRPr="000038A1">
        <w:t>, in accordance with Article</w:t>
      </w:r>
      <w:r w:rsidR="00336C43">
        <w:t> </w:t>
      </w:r>
      <w:r w:rsidR="00906B4F" w:rsidRPr="000038A1">
        <w:t xml:space="preserve">22 of the </w:t>
      </w:r>
      <w:r w:rsidR="005D01B3">
        <w:t xml:space="preserve">Cartagena </w:t>
      </w:r>
      <w:r w:rsidR="00906B4F" w:rsidRPr="000038A1">
        <w:t>Protocol</w:t>
      </w:r>
      <w:r w:rsidRPr="00850BE4">
        <w:t>;</w:t>
      </w:r>
    </w:p>
    <w:p w14:paraId="654005AE" w14:textId="69DCD706" w:rsidR="00B82040" w:rsidRPr="007A59F7" w:rsidRDefault="007D5FBC" w:rsidP="00B82040">
      <w:pPr>
        <w:pStyle w:val="CBDNormalNoNumber"/>
        <w:keepNext/>
        <w:ind w:firstLine="567"/>
      </w:pPr>
      <w:r>
        <w:rPr>
          <w:iCs/>
        </w:rPr>
        <w:t>8</w:t>
      </w:r>
      <w:r w:rsidR="00B82040" w:rsidRPr="00850BE4">
        <w:rPr>
          <w:iCs/>
        </w:rPr>
        <w:t>.</w:t>
      </w:r>
      <w:r w:rsidR="00B82040" w:rsidRPr="00850BE4">
        <w:rPr>
          <w:i/>
        </w:rPr>
        <w:tab/>
        <w:t>R</w:t>
      </w:r>
      <w:r w:rsidR="00B82040" w:rsidRPr="007A59F7">
        <w:rPr>
          <w:i/>
        </w:rPr>
        <w:t>ecommends</w:t>
      </w:r>
      <w:r w:rsidR="00B82040" w:rsidRPr="007A59F7">
        <w:t xml:space="preserve"> that, in adopting its guidance to the </w:t>
      </w:r>
      <w:r w:rsidR="00B82040" w:rsidRPr="00850BE4">
        <w:t>Global Environment Facility</w:t>
      </w:r>
      <w:r w:rsidR="00B82040" w:rsidRPr="007A59F7">
        <w:t xml:space="preserve"> with respect to support for the implementation of the Cartagena Protocol, the Conference of the Parties to the Convention </w:t>
      </w:r>
      <w:r w:rsidR="00B82040" w:rsidRPr="00850BE4">
        <w:t>request</w:t>
      </w:r>
      <w:r w:rsidR="00B82040" w:rsidRPr="007A59F7">
        <w:t xml:space="preserve"> the Facility:</w:t>
      </w:r>
    </w:p>
    <w:p w14:paraId="6426CD69" w14:textId="20AF9B2D" w:rsidR="00B82040" w:rsidRPr="007A59F7" w:rsidRDefault="00B82040" w:rsidP="00B82040">
      <w:pPr>
        <w:pStyle w:val="CBDRecommendText"/>
        <w:ind w:firstLine="567"/>
      </w:pPr>
      <w:r w:rsidRPr="007A59F7">
        <w:t>(a)</w:t>
      </w:r>
      <w:r w:rsidRPr="007A59F7">
        <w:tab/>
        <w:t xml:space="preserve">To make </w:t>
      </w:r>
      <w:r w:rsidR="0021727E">
        <w:t>dedicated</w:t>
      </w:r>
      <w:r w:rsidRPr="007A59F7">
        <w:t xml:space="preserve"> adequate and timely funding available to eligible Parties</w:t>
      </w:r>
      <w:r w:rsidR="001244A9">
        <w:t xml:space="preserve">, in particular </w:t>
      </w:r>
      <w:r w:rsidR="00BC1786">
        <w:t xml:space="preserve">the </w:t>
      </w:r>
      <w:r w:rsidR="001244A9">
        <w:t>least developed</w:t>
      </w:r>
      <w:r w:rsidR="00FA0346">
        <w:t xml:space="preserve"> countries</w:t>
      </w:r>
      <w:r w:rsidR="001244A9">
        <w:t xml:space="preserve"> and </w:t>
      </w:r>
      <w:r w:rsidR="00334A8D">
        <w:t xml:space="preserve">the </w:t>
      </w:r>
      <w:r w:rsidR="001244A9">
        <w:t xml:space="preserve">small island developing </w:t>
      </w:r>
      <w:r w:rsidR="006D7B26">
        <w:t>S</w:t>
      </w:r>
      <w:r w:rsidR="001244A9">
        <w:t>tates</w:t>
      </w:r>
      <w:r w:rsidR="006C53A5">
        <w:t>,</w:t>
      </w:r>
      <w:r w:rsidRPr="007A59F7">
        <w:t xml:space="preserve"> for putting in place legal, administrative and other measures for implementing</w:t>
      </w:r>
      <w:r w:rsidR="004718A8">
        <w:t xml:space="preserve"> </w:t>
      </w:r>
      <w:r w:rsidRPr="007A59F7">
        <w:t>the Cartagena Protocol</w:t>
      </w:r>
      <w:r w:rsidR="007417EB">
        <w:t>, including the long-term strengthening of national implementation capacities</w:t>
      </w:r>
      <w:r w:rsidRPr="007A59F7">
        <w:t>;</w:t>
      </w:r>
    </w:p>
    <w:p w14:paraId="3FA30FE2" w14:textId="6D0FF8FF" w:rsidR="00B82040" w:rsidRPr="00850BE4" w:rsidRDefault="00B82040" w:rsidP="00B82040">
      <w:pPr>
        <w:pStyle w:val="CBDRecommendText"/>
        <w:ind w:firstLine="567"/>
      </w:pPr>
      <w:r w:rsidRPr="00850BE4">
        <w:t>(b)</w:t>
      </w:r>
      <w:r w:rsidRPr="00850BE4">
        <w:tab/>
        <w:t xml:space="preserve">To continue to provide support for the effective use of the Biosafety </w:t>
      </w:r>
      <w:proofErr w:type="gramStart"/>
      <w:r w:rsidRPr="00850BE4">
        <w:t>Clearing-House</w:t>
      </w:r>
      <w:proofErr w:type="gramEnd"/>
      <w:r w:rsidR="00F5233B">
        <w:t>, as necessary</w:t>
      </w:r>
      <w:r w:rsidRPr="00850BE4">
        <w:t>;</w:t>
      </w:r>
      <w:r w:rsidR="001E749D">
        <w:t xml:space="preserve"> </w:t>
      </w:r>
    </w:p>
    <w:p w14:paraId="6DA529AA" w14:textId="77777777" w:rsidR="00B82040" w:rsidRPr="00850BE4" w:rsidRDefault="00B82040" w:rsidP="00B82040">
      <w:pPr>
        <w:pStyle w:val="CBDRecommendText"/>
        <w:ind w:firstLine="567"/>
      </w:pPr>
      <w:r w:rsidRPr="00850BE4">
        <w:t>(c)</w:t>
      </w:r>
      <w:r w:rsidRPr="00850BE4">
        <w:tab/>
        <w:t>To assist eligible Parties by providing them,</w:t>
      </w:r>
      <w:r w:rsidRPr="00850BE4">
        <w:rPr>
          <w:i/>
          <w:iCs/>
        </w:rPr>
        <w:t xml:space="preserve"> </w:t>
      </w:r>
      <w:r w:rsidRPr="00850BE4">
        <w:t xml:space="preserve">sufficiently in advance of the reporting deadline, with financial support to hold adequate national consultations, thus giving them enough time to prepare </w:t>
      </w:r>
      <w:r w:rsidRPr="00850BE4">
        <w:rPr>
          <w:lang w:eastAsia="en-GB"/>
        </w:rPr>
        <w:t>their sixth</w:t>
      </w:r>
      <w:r w:rsidRPr="00850BE4">
        <w:t xml:space="preserve"> national reports and submit them in a timely manner;</w:t>
      </w:r>
    </w:p>
    <w:p w14:paraId="743C536B" w14:textId="487D4E62" w:rsidR="00B82040" w:rsidRPr="007A59F7" w:rsidRDefault="00B82040" w:rsidP="00B82040">
      <w:pPr>
        <w:pStyle w:val="CBDRecommendText"/>
        <w:ind w:firstLine="567"/>
      </w:pPr>
      <w:r w:rsidRPr="00850BE4">
        <w:t>(d)</w:t>
      </w:r>
      <w:r w:rsidRPr="00850BE4">
        <w:tab/>
        <w:t xml:space="preserve">To </w:t>
      </w:r>
      <w:r w:rsidRPr="007A59F7">
        <w:t xml:space="preserve">make </w:t>
      </w:r>
      <w:r w:rsidR="0021727E">
        <w:t>dedicated</w:t>
      </w:r>
      <w:r w:rsidR="001F7E69">
        <w:t>,</w:t>
      </w:r>
      <w:r w:rsidRPr="007A59F7">
        <w:t xml:space="preserve"> adequate and timely funding available to eligible Parties to implement compliance action plans developed at the request of the Compliance Committee under the Cartagena Protocol;</w:t>
      </w:r>
    </w:p>
    <w:p w14:paraId="49592908" w14:textId="0A34EDE8" w:rsidR="00B82040" w:rsidRDefault="00B82040" w:rsidP="00B82040">
      <w:pPr>
        <w:pStyle w:val="CBDRecommendText"/>
        <w:ind w:firstLine="567"/>
      </w:pPr>
      <w:r w:rsidRPr="007A59F7">
        <w:t>(e)</w:t>
      </w:r>
      <w:r w:rsidRPr="007A59F7">
        <w:tab/>
        <w:t xml:space="preserve">To </w:t>
      </w:r>
      <w:r w:rsidRPr="00850BE4">
        <w:t>continue to support capacity-building and development on biosafety, as part of country-driven projects, including during the ninth replenishment period of its Trust Fund (July 2026−June</w:t>
      </w:r>
      <w:r w:rsidR="004F6490">
        <w:t> </w:t>
      </w:r>
      <w:r w:rsidRPr="00850BE4">
        <w:t xml:space="preserve">2030) and through the Global Biodiversity Framework Fund, according to the mandates of the respective Funds, </w:t>
      </w:r>
      <w:r w:rsidR="00DB14E5">
        <w:t xml:space="preserve">and to strengthen adequate, predictable and dedicated financing for biosafety to contribute to the full and effective implementation of the </w:t>
      </w:r>
      <w:r w:rsidR="005D01B3">
        <w:t xml:space="preserve">Cartagena </w:t>
      </w:r>
      <w:r w:rsidR="00DB14E5">
        <w:t>Protocol</w:t>
      </w:r>
      <w:r w:rsidRPr="00850BE4">
        <w:t>;</w:t>
      </w:r>
    </w:p>
    <w:p w14:paraId="61E48AC0" w14:textId="3D48B723" w:rsidR="00CF27DA" w:rsidRPr="00850BE4" w:rsidRDefault="00CF27DA" w:rsidP="00B82040">
      <w:pPr>
        <w:pStyle w:val="CBDRecommendText"/>
        <w:ind w:firstLine="567"/>
      </w:pPr>
      <w:r>
        <w:t xml:space="preserve">(f) </w:t>
      </w:r>
      <w:r w:rsidR="003240EB">
        <w:tab/>
      </w:r>
      <w:r w:rsidR="003240EB" w:rsidRPr="00511AD0">
        <w:t xml:space="preserve">To continue to explore ways to simplify the process for </w:t>
      </w:r>
      <w:r w:rsidR="00D74889">
        <w:t xml:space="preserve">submitting </w:t>
      </w:r>
      <w:r w:rsidR="003240EB" w:rsidRPr="00511AD0">
        <w:t>biosafety project proposals</w:t>
      </w:r>
      <w:r w:rsidR="00617D4D">
        <w:t>,</w:t>
      </w:r>
      <w:r w:rsidR="00DB14E5">
        <w:t xml:space="preserve"> </w:t>
      </w:r>
      <w:proofErr w:type="gramStart"/>
      <w:r w:rsidR="00DB14E5">
        <w:t>taking into account</w:t>
      </w:r>
      <w:proofErr w:type="gramEnd"/>
      <w:r w:rsidR="00DB14E5">
        <w:t xml:space="preserve"> </w:t>
      </w:r>
      <w:r w:rsidR="00617D4D">
        <w:t xml:space="preserve">the </w:t>
      </w:r>
      <w:r w:rsidR="00DB14E5">
        <w:t xml:space="preserve">experiences </w:t>
      </w:r>
      <w:r w:rsidR="00617D4D">
        <w:t xml:space="preserve">of Parties, </w:t>
      </w:r>
      <w:r w:rsidR="00DB14E5">
        <w:t xml:space="preserve">with a view </w:t>
      </w:r>
      <w:r w:rsidR="0075372B">
        <w:t xml:space="preserve">to </w:t>
      </w:r>
      <w:r w:rsidR="00EB3AA3">
        <w:t>making</w:t>
      </w:r>
      <w:r w:rsidR="00DB14E5">
        <w:t xml:space="preserve"> funding more accessible</w:t>
      </w:r>
      <w:r w:rsidR="009634F8">
        <w:t>;</w:t>
      </w:r>
    </w:p>
    <w:p w14:paraId="7C87E6CD" w14:textId="085CD937" w:rsidR="00B82040" w:rsidRPr="007A59F7" w:rsidRDefault="007D5FBC" w:rsidP="00B82040">
      <w:pPr>
        <w:pStyle w:val="CBDNormalNoNumber"/>
        <w:ind w:firstLine="567"/>
        <w:rPr>
          <w:lang w:eastAsia="en-GB"/>
        </w:rPr>
      </w:pPr>
      <w:r>
        <w:rPr>
          <w:lang w:eastAsia="en-GB"/>
        </w:rPr>
        <w:t>9</w:t>
      </w:r>
      <w:r w:rsidR="00B82040" w:rsidRPr="00850BE4">
        <w:rPr>
          <w:lang w:eastAsia="en-GB"/>
        </w:rPr>
        <w:t>.</w:t>
      </w:r>
      <w:r w:rsidR="00B82040" w:rsidRPr="00850BE4">
        <w:rPr>
          <w:lang w:eastAsia="en-GB"/>
        </w:rPr>
        <w:tab/>
      </w:r>
      <w:r w:rsidR="00B82040" w:rsidRPr="007A59F7">
        <w:rPr>
          <w:i/>
          <w:iCs/>
          <w:lang w:eastAsia="en-GB"/>
        </w:rPr>
        <w:t>Requests</w:t>
      </w:r>
      <w:r w:rsidR="00B82040" w:rsidRPr="007A59F7">
        <w:rPr>
          <w:lang w:eastAsia="en-GB"/>
        </w:rPr>
        <w:t xml:space="preserve"> the Executive Secretary to continue to explore other means for mobilizing additional </w:t>
      </w:r>
      <w:r w:rsidR="00B82040" w:rsidRPr="00850BE4">
        <w:t>financial</w:t>
      </w:r>
      <w:r w:rsidR="00B82040" w:rsidRPr="007A59F7">
        <w:rPr>
          <w:lang w:eastAsia="en-GB"/>
        </w:rPr>
        <w:t xml:space="preserve"> resources</w:t>
      </w:r>
      <w:r w:rsidR="00CB6DA4">
        <w:rPr>
          <w:lang w:eastAsia="en-GB"/>
        </w:rPr>
        <w:t xml:space="preserve"> from all sources</w:t>
      </w:r>
      <w:r w:rsidR="004477D7">
        <w:rPr>
          <w:lang w:eastAsia="en-GB"/>
        </w:rPr>
        <w:t xml:space="preserve"> </w:t>
      </w:r>
      <w:r w:rsidR="00B82040" w:rsidRPr="007A59F7">
        <w:rPr>
          <w:lang w:eastAsia="en-GB"/>
        </w:rPr>
        <w:t>for the implementation of the Cartagena Protocol and report on that work at the thirteenth meeting of the Conference of the Parties serving as the meeting of the Parties to the Protocol.</w:t>
      </w:r>
    </w:p>
    <w:p w14:paraId="4E687CBF" w14:textId="359B5B70" w:rsidR="00A111D1" w:rsidRPr="003F1A75" w:rsidRDefault="00A111D1" w:rsidP="00975047">
      <w:pPr>
        <w:pStyle w:val="Para1"/>
        <w:numPr>
          <w:ilvl w:val="0"/>
          <w:numId w:val="0"/>
        </w:numPr>
        <w:ind w:left="567"/>
        <w:jc w:val="center"/>
      </w:pPr>
      <w:r w:rsidRPr="003F1A75">
        <w:t>_______</w:t>
      </w:r>
      <w:r w:rsidR="004B60B3">
        <w:t>___</w:t>
      </w:r>
    </w:p>
    <w:sectPr w:rsidR="00A111D1" w:rsidRPr="003F1A75" w:rsidSect="00C72AAE">
      <w:headerReference w:type="even" r:id="rId15"/>
      <w:headerReference w:type="default" r:id="rId16"/>
      <w:footerReference w:type="even" r:id="rId17"/>
      <w:footerReference w:type="default" r:id="rId18"/>
      <w:headerReference w:type="first" r:id="rId19"/>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02A6BF" w14:textId="77777777" w:rsidR="008F7AA5" w:rsidRPr="003F1A75" w:rsidRDefault="008F7AA5" w:rsidP="00CF1848">
      <w:r w:rsidRPr="003F1A75">
        <w:separator/>
      </w:r>
    </w:p>
  </w:endnote>
  <w:endnote w:type="continuationSeparator" w:id="0">
    <w:p w14:paraId="6396389B" w14:textId="77777777" w:rsidR="008F7AA5" w:rsidRPr="003F1A75" w:rsidRDefault="008F7AA5"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62440ABB" w14:textId="77777777" w:rsidR="00D75CA6" w:rsidRPr="003F1A75" w:rsidRDefault="00D75CA6" w:rsidP="00D75CA6">
            <w:pPr>
              <w:pStyle w:val="Footer"/>
              <w:jc w:val="left"/>
            </w:pPr>
            <w:r w:rsidRPr="001B36A8">
              <w:rPr>
                <w:szCs w:val="20"/>
              </w:rPr>
              <w:fldChar w:fldCharType="begin"/>
            </w:r>
            <w:r w:rsidRPr="001B36A8">
              <w:rPr>
                <w:szCs w:val="20"/>
              </w:rPr>
              <w:instrText xml:space="preserve"> PAGE </w:instrText>
            </w:r>
            <w:r w:rsidRPr="001B36A8">
              <w:rPr>
                <w:szCs w:val="20"/>
              </w:rPr>
              <w:fldChar w:fldCharType="separate"/>
            </w:r>
            <w:r w:rsidRPr="001B36A8">
              <w:rPr>
                <w:noProof/>
                <w:szCs w:val="20"/>
              </w:rPr>
              <w:t>2</w:t>
            </w:r>
            <w:r w:rsidRPr="001B36A8">
              <w:rPr>
                <w:szCs w:val="20"/>
              </w:rPr>
              <w:fldChar w:fldCharType="end"/>
            </w:r>
            <w:r w:rsidRPr="001B36A8">
              <w:rPr>
                <w:szCs w:val="20"/>
              </w:rPr>
              <w:t>/</w:t>
            </w:r>
            <w:r w:rsidRPr="001B36A8">
              <w:rPr>
                <w:szCs w:val="20"/>
              </w:rPr>
              <w:fldChar w:fldCharType="begin"/>
            </w:r>
            <w:r w:rsidRPr="001B36A8">
              <w:rPr>
                <w:szCs w:val="20"/>
              </w:rPr>
              <w:instrText xml:space="preserve"> NUMPAGES  </w:instrText>
            </w:r>
            <w:r w:rsidRPr="001B36A8">
              <w:rPr>
                <w:szCs w:val="20"/>
              </w:rPr>
              <w:fldChar w:fldCharType="separate"/>
            </w:r>
            <w:r w:rsidRPr="001B36A8">
              <w:rPr>
                <w:noProof/>
                <w:szCs w:val="20"/>
              </w:rPr>
              <w:t>2</w:t>
            </w:r>
            <w:r w:rsidRPr="001B36A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82F7DF2" w14:textId="77777777" w:rsidR="00D75CA6" w:rsidRPr="003F1A75" w:rsidRDefault="00D75CA6" w:rsidP="00D75CA6">
        <w:pPr>
          <w:pStyle w:val="Footer"/>
        </w:pPr>
        <w:r w:rsidRPr="003F1A75">
          <w:rPr>
            <w:b/>
            <w:bCs/>
            <w:szCs w:val="20"/>
          </w:rPr>
          <w:fldChar w:fldCharType="begin"/>
        </w:r>
        <w:r w:rsidRPr="003F1A75">
          <w:rPr>
            <w:b/>
            <w:bCs/>
            <w:szCs w:val="20"/>
          </w:rPr>
          <w:instrText xml:space="preserve"> PAGE </w:instrText>
        </w:r>
        <w:r w:rsidRPr="003F1A75">
          <w:rPr>
            <w:b/>
            <w:bCs/>
            <w:szCs w:val="20"/>
          </w:rPr>
          <w:fldChar w:fldCharType="separate"/>
        </w:r>
        <w:r w:rsidRPr="003F1A75">
          <w:rPr>
            <w:b/>
            <w:bCs/>
            <w:szCs w:val="20"/>
          </w:rPr>
          <w:t>2</w:t>
        </w:r>
        <w:r w:rsidRPr="003F1A75">
          <w:rPr>
            <w:b/>
            <w:bCs/>
            <w:szCs w:val="20"/>
          </w:rPr>
          <w:fldChar w:fldCharType="end"/>
        </w:r>
        <w:r w:rsidRPr="003F1A75">
          <w:rPr>
            <w:szCs w:val="20"/>
          </w:rPr>
          <w:t>/</w:t>
        </w:r>
        <w:r w:rsidRPr="003F1A75">
          <w:rPr>
            <w:b/>
            <w:bCs/>
            <w:szCs w:val="20"/>
          </w:rPr>
          <w:fldChar w:fldCharType="begin"/>
        </w:r>
        <w:r w:rsidRPr="003F1A75">
          <w:rPr>
            <w:b/>
            <w:bCs/>
            <w:szCs w:val="20"/>
          </w:rPr>
          <w:instrText xml:space="preserve"> NUMPAGES  </w:instrText>
        </w:r>
        <w:r w:rsidRPr="003F1A75">
          <w:rPr>
            <w:b/>
            <w:bCs/>
            <w:szCs w:val="20"/>
          </w:rPr>
          <w:fldChar w:fldCharType="separate"/>
        </w:r>
        <w:r w:rsidRPr="003F1A75">
          <w:rPr>
            <w:b/>
            <w:bCs/>
            <w:szCs w:val="20"/>
          </w:rPr>
          <w:t>3</w:t>
        </w:r>
        <w:r w:rsidRPr="003F1A75">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8F6923" w14:textId="77777777" w:rsidR="008F7AA5" w:rsidRPr="003F1A75" w:rsidRDefault="008F7AA5" w:rsidP="00CF1848">
      <w:r w:rsidRPr="003F1A75">
        <w:separator/>
      </w:r>
    </w:p>
  </w:footnote>
  <w:footnote w:type="continuationSeparator" w:id="0">
    <w:p w14:paraId="3D5714BC" w14:textId="77777777" w:rsidR="008F7AA5" w:rsidRPr="003F1A75" w:rsidRDefault="008F7AA5" w:rsidP="00CF1848">
      <w:r w:rsidRPr="003F1A75">
        <w:continuationSeparator/>
      </w:r>
    </w:p>
  </w:footnote>
  <w:footnote w:id="1">
    <w:p w14:paraId="67E1B922" w14:textId="194D6BDC" w:rsidR="00536E9C" w:rsidRPr="00536E9C" w:rsidRDefault="00536E9C">
      <w:pPr>
        <w:pStyle w:val="FootnoteText"/>
      </w:pPr>
      <w:r>
        <w:rPr>
          <w:rStyle w:val="FootnoteReference"/>
        </w:rPr>
        <w:footnoteRef/>
      </w:r>
      <w:r>
        <w:t xml:space="preserve"> </w:t>
      </w:r>
      <w:r w:rsidRPr="007149D0">
        <w:t xml:space="preserve">United Nations, </w:t>
      </w:r>
      <w:r w:rsidRPr="00C869F0">
        <w:rPr>
          <w:i/>
          <w:iCs/>
        </w:rPr>
        <w:t>Treaty Series</w:t>
      </w:r>
      <w:r w:rsidRPr="00363DDA">
        <w:t>,</w:t>
      </w:r>
      <w:r w:rsidRPr="00536E9C">
        <w:t xml:space="preserve"> vol. 1760, No. 30619</w:t>
      </w:r>
    </w:p>
  </w:footnote>
  <w:footnote w:id="2">
    <w:p w14:paraId="04AE50F2" w14:textId="4984A068" w:rsidR="00B82040" w:rsidRPr="00C869F0" w:rsidRDefault="00B82040" w:rsidP="00B82040">
      <w:pPr>
        <w:pStyle w:val="FootnoteText"/>
        <w:rPr>
          <w:lang w:val="en-CA"/>
        </w:rPr>
      </w:pPr>
      <w:r>
        <w:rPr>
          <w:rStyle w:val="FootnoteReference"/>
        </w:rPr>
        <w:footnoteRef/>
      </w:r>
      <w:r>
        <w:t xml:space="preserve"> </w:t>
      </w:r>
      <w:r w:rsidR="00536E9C">
        <w:t>Ibid.</w:t>
      </w:r>
      <w:r w:rsidRPr="007149D0">
        <w:t>, vol. 2226, No. 30619</w:t>
      </w:r>
      <w:r>
        <w:t>.</w:t>
      </w:r>
    </w:p>
  </w:footnote>
  <w:footnote w:id="3">
    <w:p w14:paraId="3539B0C2" w14:textId="77777777" w:rsidR="00B82040" w:rsidRPr="00C869F0" w:rsidRDefault="00B82040" w:rsidP="00B82040">
      <w:pPr>
        <w:pStyle w:val="FootnoteText"/>
        <w:rPr>
          <w:lang w:val="en-CA"/>
        </w:rPr>
      </w:pPr>
      <w:r>
        <w:rPr>
          <w:rStyle w:val="FootnoteReference"/>
        </w:rPr>
        <w:footnoteRef/>
      </w:r>
      <w:r>
        <w:t xml:space="preserve"> </w:t>
      </w:r>
      <w:hyperlink r:id="rId1" w:history="1">
        <w:r w:rsidRPr="00B24E32">
          <w:rPr>
            <w:rStyle w:val="Hyperlink"/>
            <w:lang w:val="en-CA"/>
          </w:rPr>
          <w:t>CBD/COP/17/5/Add.1</w:t>
        </w:r>
      </w:hyperlink>
      <w:r>
        <w:rPr>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5C4C23D" w14:textId="488121D6" w:rsidR="00534681" w:rsidRPr="003F1A75" w:rsidRDefault="006D7B26" w:rsidP="007C4951">
        <w:pPr>
          <w:pStyle w:val="Header"/>
          <w:spacing w:after="240"/>
          <w:rPr>
            <w:szCs w:val="20"/>
          </w:rPr>
        </w:pPr>
        <w:r>
          <w:rPr>
            <w:szCs w:val="20"/>
          </w:rPr>
          <w:t>CBD/CP/MOP/12/L.9</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209F30B7" w14:textId="1CFBE36A" w:rsidR="009505C9" w:rsidRPr="003F1A75" w:rsidRDefault="006D7B26" w:rsidP="007C4951">
        <w:pPr>
          <w:pStyle w:val="Header"/>
          <w:spacing w:after="240"/>
          <w:jc w:val="right"/>
        </w:pPr>
        <w:r>
          <w:t>CBD/CP/MOP/12/L.9</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67A50" w14:textId="77777777" w:rsidR="00B82040" w:rsidRDefault="00B82040" w:rsidP="0069498E">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025FD"/>
    <w:rsid w:val="00004C9B"/>
    <w:rsid w:val="00040CBC"/>
    <w:rsid w:val="0006066B"/>
    <w:rsid w:val="0007171B"/>
    <w:rsid w:val="000921AA"/>
    <w:rsid w:val="000A4A61"/>
    <w:rsid w:val="000C0FB4"/>
    <w:rsid w:val="000C5B7A"/>
    <w:rsid w:val="000D0F68"/>
    <w:rsid w:val="000D19E0"/>
    <w:rsid w:val="000E28FE"/>
    <w:rsid w:val="000E673A"/>
    <w:rsid w:val="000F12D2"/>
    <w:rsid w:val="000F53A9"/>
    <w:rsid w:val="000F55B6"/>
    <w:rsid w:val="000F6945"/>
    <w:rsid w:val="000F74F5"/>
    <w:rsid w:val="000F78FC"/>
    <w:rsid w:val="001031DF"/>
    <w:rsid w:val="00105372"/>
    <w:rsid w:val="001054A6"/>
    <w:rsid w:val="001078A1"/>
    <w:rsid w:val="001172F4"/>
    <w:rsid w:val="001244A9"/>
    <w:rsid w:val="00125112"/>
    <w:rsid w:val="0012660E"/>
    <w:rsid w:val="00130D0E"/>
    <w:rsid w:val="001312AD"/>
    <w:rsid w:val="00131E7A"/>
    <w:rsid w:val="00134846"/>
    <w:rsid w:val="00137B32"/>
    <w:rsid w:val="001643E3"/>
    <w:rsid w:val="00172AF6"/>
    <w:rsid w:val="00176CEE"/>
    <w:rsid w:val="00186DD8"/>
    <w:rsid w:val="00187978"/>
    <w:rsid w:val="0019227D"/>
    <w:rsid w:val="00196086"/>
    <w:rsid w:val="001A2343"/>
    <w:rsid w:val="001A35EC"/>
    <w:rsid w:val="001A5872"/>
    <w:rsid w:val="001B13FE"/>
    <w:rsid w:val="001B36A8"/>
    <w:rsid w:val="001B37B6"/>
    <w:rsid w:val="001B78D3"/>
    <w:rsid w:val="001D092A"/>
    <w:rsid w:val="001D7779"/>
    <w:rsid w:val="001D7A39"/>
    <w:rsid w:val="001E0EAF"/>
    <w:rsid w:val="001E4D8F"/>
    <w:rsid w:val="001E5DDC"/>
    <w:rsid w:val="001E6CF4"/>
    <w:rsid w:val="001E749D"/>
    <w:rsid w:val="001F7E69"/>
    <w:rsid w:val="0021289B"/>
    <w:rsid w:val="0021727E"/>
    <w:rsid w:val="00227D0F"/>
    <w:rsid w:val="0023080C"/>
    <w:rsid w:val="00232FC3"/>
    <w:rsid w:val="00234E9C"/>
    <w:rsid w:val="00235857"/>
    <w:rsid w:val="00246E5F"/>
    <w:rsid w:val="00254EB5"/>
    <w:rsid w:val="00256DF9"/>
    <w:rsid w:val="00261076"/>
    <w:rsid w:val="00266C4D"/>
    <w:rsid w:val="0027049E"/>
    <w:rsid w:val="002760A6"/>
    <w:rsid w:val="00282DB8"/>
    <w:rsid w:val="00286C23"/>
    <w:rsid w:val="00291D61"/>
    <w:rsid w:val="002978C6"/>
    <w:rsid w:val="003008FE"/>
    <w:rsid w:val="0030169D"/>
    <w:rsid w:val="0030207E"/>
    <w:rsid w:val="003060EB"/>
    <w:rsid w:val="003153EB"/>
    <w:rsid w:val="0032136E"/>
    <w:rsid w:val="00321985"/>
    <w:rsid w:val="003240EB"/>
    <w:rsid w:val="00334A8D"/>
    <w:rsid w:val="00336C43"/>
    <w:rsid w:val="00337297"/>
    <w:rsid w:val="00341072"/>
    <w:rsid w:val="0034387E"/>
    <w:rsid w:val="00351205"/>
    <w:rsid w:val="00354430"/>
    <w:rsid w:val="00362434"/>
    <w:rsid w:val="00363A34"/>
    <w:rsid w:val="00363DDA"/>
    <w:rsid w:val="0036559D"/>
    <w:rsid w:val="00372F74"/>
    <w:rsid w:val="00373D1C"/>
    <w:rsid w:val="003763D4"/>
    <w:rsid w:val="00381180"/>
    <w:rsid w:val="00394A53"/>
    <w:rsid w:val="00397407"/>
    <w:rsid w:val="003A3330"/>
    <w:rsid w:val="003C6698"/>
    <w:rsid w:val="003D7AE7"/>
    <w:rsid w:val="003E1C1E"/>
    <w:rsid w:val="003E4CC6"/>
    <w:rsid w:val="003F1A75"/>
    <w:rsid w:val="003F7224"/>
    <w:rsid w:val="00405223"/>
    <w:rsid w:val="00410AC2"/>
    <w:rsid w:val="00416230"/>
    <w:rsid w:val="00427C4A"/>
    <w:rsid w:val="00427D21"/>
    <w:rsid w:val="00431157"/>
    <w:rsid w:val="0043513F"/>
    <w:rsid w:val="004477D7"/>
    <w:rsid w:val="00447F4A"/>
    <w:rsid w:val="00452911"/>
    <w:rsid w:val="00453073"/>
    <w:rsid w:val="00456F67"/>
    <w:rsid w:val="004644C2"/>
    <w:rsid w:val="00467F9C"/>
    <w:rsid w:val="004718A8"/>
    <w:rsid w:val="004800F1"/>
    <w:rsid w:val="004812A1"/>
    <w:rsid w:val="00483EB9"/>
    <w:rsid w:val="004879D2"/>
    <w:rsid w:val="00496876"/>
    <w:rsid w:val="004A189C"/>
    <w:rsid w:val="004B60B3"/>
    <w:rsid w:val="004D6FDF"/>
    <w:rsid w:val="004F5BB3"/>
    <w:rsid w:val="004F5FA7"/>
    <w:rsid w:val="004F6490"/>
    <w:rsid w:val="005064BE"/>
    <w:rsid w:val="005070FB"/>
    <w:rsid w:val="0051006C"/>
    <w:rsid w:val="00522C9D"/>
    <w:rsid w:val="00534681"/>
    <w:rsid w:val="00536E9C"/>
    <w:rsid w:val="00543FD9"/>
    <w:rsid w:val="00544E4A"/>
    <w:rsid w:val="00552F38"/>
    <w:rsid w:val="0056068E"/>
    <w:rsid w:val="00563442"/>
    <w:rsid w:val="0056348E"/>
    <w:rsid w:val="00565B42"/>
    <w:rsid w:val="005A2C94"/>
    <w:rsid w:val="005A6632"/>
    <w:rsid w:val="005A6DAD"/>
    <w:rsid w:val="005B2874"/>
    <w:rsid w:val="005B35E2"/>
    <w:rsid w:val="005B5730"/>
    <w:rsid w:val="005C4CE6"/>
    <w:rsid w:val="005C54C0"/>
    <w:rsid w:val="005D01B3"/>
    <w:rsid w:val="005E1B43"/>
    <w:rsid w:val="005F02C7"/>
    <w:rsid w:val="005F2435"/>
    <w:rsid w:val="00610CA7"/>
    <w:rsid w:val="006122BA"/>
    <w:rsid w:val="00617D4D"/>
    <w:rsid w:val="006329BA"/>
    <w:rsid w:val="00640178"/>
    <w:rsid w:val="0064174C"/>
    <w:rsid w:val="006473CF"/>
    <w:rsid w:val="006478BF"/>
    <w:rsid w:val="006712EF"/>
    <w:rsid w:val="00673BA9"/>
    <w:rsid w:val="006773ED"/>
    <w:rsid w:val="0069498E"/>
    <w:rsid w:val="006A73C1"/>
    <w:rsid w:val="006B2290"/>
    <w:rsid w:val="006C07FD"/>
    <w:rsid w:val="006C09FA"/>
    <w:rsid w:val="006C435C"/>
    <w:rsid w:val="006C53A5"/>
    <w:rsid w:val="006C7FDE"/>
    <w:rsid w:val="006D7761"/>
    <w:rsid w:val="006D7B26"/>
    <w:rsid w:val="006E70F4"/>
    <w:rsid w:val="006F3019"/>
    <w:rsid w:val="00717D88"/>
    <w:rsid w:val="00722CD3"/>
    <w:rsid w:val="00724631"/>
    <w:rsid w:val="00726A43"/>
    <w:rsid w:val="00726DEC"/>
    <w:rsid w:val="00732DB4"/>
    <w:rsid w:val="007417EB"/>
    <w:rsid w:val="0075372B"/>
    <w:rsid w:val="00786056"/>
    <w:rsid w:val="00787352"/>
    <w:rsid w:val="007942D3"/>
    <w:rsid w:val="00796846"/>
    <w:rsid w:val="007B2099"/>
    <w:rsid w:val="007B2676"/>
    <w:rsid w:val="007B6C09"/>
    <w:rsid w:val="007B7741"/>
    <w:rsid w:val="007C4951"/>
    <w:rsid w:val="007D5FBC"/>
    <w:rsid w:val="007E063D"/>
    <w:rsid w:val="007E09DA"/>
    <w:rsid w:val="007E0F8A"/>
    <w:rsid w:val="007E4406"/>
    <w:rsid w:val="007F2E83"/>
    <w:rsid w:val="007F4971"/>
    <w:rsid w:val="007F718D"/>
    <w:rsid w:val="008005FE"/>
    <w:rsid w:val="00801FAD"/>
    <w:rsid w:val="00815B9C"/>
    <w:rsid w:val="008178B6"/>
    <w:rsid w:val="00821916"/>
    <w:rsid w:val="00833AA5"/>
    <w:rsid w:val="00842825"/>
    <w:rsid w:val="00853065"/>
    <w:rsid w:val="00863F28"/>
    <w:rsid w:val="00865B74"/>
    <w:rsid w:val="00866063"/>
    <w:rsid w:val="008974F0"/>
    <w:rsid w:val="008A0987"/>
    <w:rsid w:val="008A1499"/>
    <w:rsid w:val="008A2DD4"/>
    <w:rsid w:val="008B012A"/>
    <w:rsid w:val="008B57B9"/>
    <w:rsid w:val="008C1ED3"/>
    <w:rsid w:val="008D41D3"/>
    <w:rsid w:val="008F7AA5"/>
    <w:rsid w:val="008F7EF0"/>
    <w:rsid w:val="00906B4F"/>
    <w:rsid w:val="00906E17"/>
    <w:rsid w:val="00913699"/>
    <w:rsid w:val="00916FDA"/>
    <w:rsid w:val="00926821"/>
    <w:rsid w:val="00930BA1"/>
    <w:rsid w:val="0093169E"/>
    <w:rsid w:val="0094285E"/>
    <w:rsid w:val="00950380"/>
    <w:rsid w:val="009505C9"/>
    <w:rsid w:val="00950752"/>
    <w:rsid w:val="009516E4"/>
    <w:rsid w:val="00952225"/>
    <w:rsid w:val="009634F8"/>
    <w:rsid w:val="00966424"/>
    <w:rsid w:val="009665AD"/>
    <w:rsid w:val="0097051E"/>
    <w:rsid w:val="009717AD"/>
    <w:rsid w:val="00975047"/>
    <w:rsid w:val="00995C1D"/>
    <w:rsid w:val="00997DE3"/>
    <w:rsid w:val="009A382B"/>
    <w:rsid w:val="009A61EB"/>
    <w:rsid w:val="009B1B0D"/>
    <w:rsid w:val="009C2DE6"/>
    <w:rsid w:val="009C6D27"/>
    <w:rsid w:val="009D2E8F"/>
    <w:rsid w:val="009D585E"/>
    <w:rsid w:val="009D6AB3"/>
    <w:rsid w:val="009F3CE4"/>
    <w:rsid w:val="00A02B52"/>
    <w:rsid w:val="00A111D1"/>
    <w:rsid w:val="00A220D3"/>
    <w:rsid w:val="00A2511B"/>
    <w:rsid w:val="00A25B5F"/>
    <w:rsid w:val="00A33336"/>
    <w:rsid w:val="00A42F30"/>
    <w:rsid w:val="00A73C51"/>
    <w:rsid w:val="00AA6F92"/>
    <w:rsid w:val="00AB2B6A"/>
    <w:rsid w:val="00AB6934"/>
    <w:rsid w:val="00AD38EF"/>
    <w:rsid w:val="00AD7F64"/>
    <w:rsid w:val="00AE042A"/>
    <w:rsid w:val="00AE1597"/>
    <w:rsid w:val="00AF3802"/>
    <w:rsid w:val="00AF42DE"/>
    <w:rsid w:val="00B11C2A"/>
    <w:rsid w:val="00B14041"/>
    <w:rsid w:val="00B24DAB"/>
    <w:rsid w:val="00B3369F"/>
    <w:rsid w:val="00B337BC"/>
    <w:rsid w:val="00B50FAE"/>
    <w:rsid w:val="00B51FC6"/>
    <w:rsid w:val="00B66E53"/>
    <w:rsid w:val="00B82040"/>
    <w:rsid w:val="00B84B89"/>
    <w:rsid w:val="00B94E6C"/>
    <w:rsid w:val="00BB4606"/>
    <w:rsid w:val="00BB6DBC"/>
    <w:rsid w:val="00BC1786"/>
    <w:rsid w:val="00BC69DA"/>
    <w:rsid w:val="00BD6193"/>
    <w:rsid w:val="00BE6AC2"/>
    <w:rsid w:val="00C131BC"/>
    <w:rsid w:val="00C146CF"/>
    <w:rsid w:val="00C174E4"/>
    <w:rsid w:val="00C227CC"/>
    <w:rsid w:val="00C23D2F"/>
    <w:rsid w:val="00C34D44"/>
    <w:rsid w:val="00C443BD"/>
    <w:rsid w:val="00C451C5"/>
    <w:rsid w:val="00C50FD6"/>
    <w:rsid w:val="00C5162A"/>
    <w:rsid w:val="00C52868"/>
    <w:rsid w:val="00C646F3"/>
    <w:rsid w:val="00C664E6"/>
    <w:rsid w:val="00C72AAE"/>
    <w:rsid w:val="00C73729"/>
    <w:rsid w:val="00C76273"/>
    <w:rsid w:val="00C80D89"/>
    <w:rsid w:val="00C830D7"/>
    <w:rsid w:val="00C86077"/>
    <w:rsid w:val="00C90165"/>
    <w:rsid w:val="00C9161D"/>
    <w:rsid w:val="00CA0C1D"/>
    <w:rsid w:val="00CA3A58"/>
    <w:rsid w:val="00CB389A"/>
    <w:rsid w:val="00CB4EC4"/>
    <w:rsid w:val="00CB6DA4"/>
    <w:rsid w:val="00CC0CE8"/>
    <w:rsid w:val="00CC1D7E"/>
    <w:rsid w:val="00CF1848"/>
    <w:rsid w:val="00CF27DA"/>
    <w:rsid w:val="00D00C98"/>
    <w:rsid w:val="00D040BE"/>
    <w:rsid w:val="00D10FE5"/>
    <w:rsid w:val="00D12044"/>
    <w:rsid w:val="00D170D9"/>
    <w:rsid w:val="00D33EFC"/>
    <w:rsid w:val="00D40DBC"/>
    <w:rsid w:val="00D43FA4"/>
    <w:rsid w:val="00D44485"/>
    <w:rsid w:val="00D57CDC"/>
    <w:rsid w:val="00D61C85"/>
    <w:rsid w:val="00D74889"/>
    <w:rsid w:val="00D75CA6"/>
    <w:rsid w:val="00D76A18"/>
    <w:rsid w:val="00D80849"/>
    <w:rsid w:val="00D82E8F"/>
    <w:rsid w:val="00D84906"/>
    <w:rsid w:val="00D85923"/>
    <w:rsid w:val="00DB14E5"/>
    <w:rsid w:val="00DB5E0F"/>
    <w:rsid w:val="00DB6C7D"/>
    <w:rsid w:val="00DC6070"/>
    <w:rsid w:val="00DD04B4"/>
    <w:rsid w:val="00DD118C"/>
    <w:rsid w:val="00DE765C"/>
    <w:rsid w:val="00DF703E"/>
    <w:rsid w:val="00E03A5B"/>
    <w:rsid w:val="00E07180"/>
    <w:rsid w:val="00E17F1F"/>
    <w:rsid w:val="00E30556"/>
    <w:rsid w:val="00E34950"/>
    <w:rsid w:val="00E47FCB"/>
    <w:rsid w:val="00E50938"/>
    <w:rsid w:val="00E56C3B"/>
    <w:rsid w:val="00E66235"/>
    <w:rsid w:val="00E83C24"/>
    <w:rsid w:val="00E86374"/>
    <w:rsid w:val="00E913FA"/>
    <w:rsid w:val="00E9318D"/>
    <w:rsid w:val="00E93F3E"/>
    <w:rsid w:val="00EA25DD"/>
    <w:rsid w:val="00EB197A"/>
    <w:rsid w:val="00EB3AA3"/>
    <w:rsid w:val="00EB3ED5"/>
    <w:rsid w:val="00EB717C"/>
    <w:rsid w:val="00EB7694"/>
    <w:rsid w:val="00ED3111"/>
    <w:rsid w:val="00ED4CC7"/>
    <w:rsid w:val="00EE2752"/>
    <w:rsid w:val="00EE3C8F"/>
    <w:rsid w:val="00EE6B99"/>
    <w:rsid w:val="00EF0A41"/>
    <w:rsid w:val="00EF364B"/>
    <w:rsid w:val="00F018EF"/>
    <w:rsid w:val="00F03C4A"/>
    <w:rsid w:val="00F041E5"/>
    <w:rsid w:val="00F063C2"/>
    <w:rsid w:val="00F10CEB"/>
    <w:rsid w:val="00F14982"/>
    <w:rsid w:val="00F167E1"/>
    <w:rsid w:val="00F2200F"/>
    <w:rsid w:val="00F32041"/>
    <w:rsid w:val="00F340F6"/>
    <w:rsid w:val="00F34136"/>
    <w:rsid w:val="00F47CBF"/>
    <w:rsid w:val="00F51395"/>
    <w:rsid w:val="00F5233B"/>
    <w:rsid w:val="00F53193"/>
    <w:rsid w:val="00F5357E"/>
    <w:rsid w:val="00F538E7"/>
    <w:rsid w:val="00F6586C"/>
    <w:rsid w:val="00F9038B"/>
    <w:rsid w:val="00F90F9B"/>
    <w:rsid w:val="00F94774"/>
    <w:rsid w:val="00FA0346"/>
    <w:rsid w:val="00FA31C1"/>
    <w:rsid w:val="00FA5FD7"/>
    <w:rsid w:val="00FA663B"/>
    <w:rsid w:val="00FC4BBC"/>
    <w:rsid w:val="00FC53DB"/>
    <w:rsid w:val="00FD0A3A"/>
    <w:rsid w:val="00FE468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99789723-4824-4E13-BC5C-F41EE3D93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3F1A75"/>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3F1A75"/>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ocuments/CBD/COP/17/5/ADD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26037"/>
    <w:rsid w:val="000554E2"/>
    <w:rsid w:val="00130D0E"/>
    <w:rsid w:val="001C7BCC"/>
    <w:rsid w:val="00234E9C"/>
    <w:rsid w:val="00246E5F"/>
    <w:rsid w:val="00254EB5"/>
    <w:rsid w:val="00403BFD"/>
    <w:rsid w:val="0040769F"/>
    <w:rsid w:val="004800F1"/>
    <w:rsid w:val="00570795"/>
    <w:rsid w:val="00620857"/>
    <w:rsid w:val="00640178"/>
    <w:rsid w:val="006E5A67"/>
    <w:rsid w:val="006F3019"/>
    <w:rsid w:val="008B57B9"/>
    <w:rsid w:val="008C1ED3"/>
    <w:rsid w:val="008D2EA9"/>
    <w:rsid w:val="008F309E"/>
    <w:rsid w:val="009516E4"/>
    <w:rsid w:val="009B5918"/>
    <w:rsid w:val="00A26017"/>
    <w:rsid w:val="00B50FAE"/>
    <w:rsid w:val="00B66E53"/>
    <w:rsid w:val="00BF3088"/>
    <w:rsid w:val="00C37E94"/>
    <w:rsid w:val="00C95A99"/>
    <w:rsid w:val="00CE4656"/>
    <w:rsid w:val="00D41B1B"/>
    <w:rsid w:val="00D44485"/>
    <w:rsid w:val="00D85923"/>
    <w:rsid w:val="00DC06B3"/>
    <w:rsid w:val="00E458BB"/>
    <w:rsid w:val="00EB3ED5"/>
    <w:rsid w:val="00F20D6A"/>
    <w:rsid w:val="00F8465A"/>
    <w:rsid w:val="00FA46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20C9B10-24BC-4AD1-B6C8-5FC561CA45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Template>
  <TotalTime>0</TotalTime>
  <Pages>2</Pages>
  <Words>872</Words>
  <Characters>4972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5833</CharactersWithSpaces>
  <SharedDoc>false</SharedDoc>
  <HLinks>
    <vt:vector size="6" baseType="variant">
      <vt:variant>
        <vt:i4>7012460</vt:i4>
      </vt:variant>
      <vt:variant>
        <vt:i4>0</vt:i4>
      </vt:variant>
      <vt:variant>
        <vt:i4>0</vt:i4>
      </vt:variant>
      <vt:variant>
        <vt:i4>5</vt:i4>
      </vt:variant>
      <vt:variant>
        <vt:lpwstr>https://www.cbd.int/documents/CBD/COP/17/5/ADD1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financial mechanism and resources</dc:title>
  <dc:subject>CBD/CP/MOP/12/L.9</dc:subject>
  <dc:creator>Veronique Lefebvre</dc:creator>
  <cp:keywords>Convention on Biological Diversity</cp:keywords>
  <cp:lastModifiedBy>Veronique Lefebvre</cp:lastModifiedBy>
  <cp:revision>4</cp:revision>
  <cp:lastPrinted>2026-10-21T15:37:00Z</cp:lastPrinted>
  <dcterms:created xsi:type="dcterms:W3CDTF">2026-10-23T13:12:00Z</dcterms:created>
  <dcterms:modified xsi:type="dcterms:W3CDTF">2026-10-23T13:12:00Z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