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FE7DD7" w:rsidRPr="00EA442C" w14:paraId="707E26C5" w14:textId="77777777" w:rsidTr="00284FCB">
        <w:trPr>
          <w:trHeight w:val="851"/>
        </w:trPr>
        <w:tc>
          <w:tcPr>
            <w:tcW w:w="465" w:type="pct"/>
            <w:tcBorders>
              <w:bottom w:val="single" w:sz="8" w:space="0" w:color="auto"/>
            </w:tcBorders>
            <w:vAlign w:val="bottom"/>
          </w:tcPr>
          <w:p w14:paraId="0E3AA49B" w14:textId="77777777" w:rsidR="00FE7DD7" w:rsidRPr="00550DCE" w:rsidRDefault="00FE7DD7" w:rsidP="00284FCB">
            <w:pPr>
              <w:spacing w:after="120"/>
              <w:jc w:val="left"/>
            </w:pPr>
            <w:bookmarkStart w:id="0" w:name="_Toc522023191"/>
            <w:bookmarkStart w:id="1" w:name="_Hlk2766324"/>
            <w:r w:rsidRPr="00550DCE">
              <w:rPr>
                <w:noProof/>
              </w:rPr>
              <w:drawing>
                <wp:inline distT="0" distB="0" distL="0" distR="0" wp14:anchorId="4FFA9DBF" wp14:editId="5C828D63">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7AC97412" w14:textId="77777777" w:rsidR="00FE7DD7" w:rsidRPr="00550DCE" w:rsidRDefault="00FE7DD7" w:rsidP="00284FCB">
            <w:pPr>
              <w:spacing w:after="120"/>
              <w:jc w:val="left"/>
            </w:pPr>
            <w:r w:rsidRPr="00550DCE">
              <w:rPr>
                <w:noProof/>
              </w:rPr>
              <w:drawing>
                <wp:inline distT="0" distB="0" distL="0" distR="0" wp14:anchorId="1777097A" wp14:editId="4CB3401F">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703" w:type="pct"/>
            <w:tcBorders>
              <w:bottom w:val="single" w:sz="8" w:space="0" w:color="auto"/>
            </w:tcBorders>
            <w:vAlign w:val="bottom"/>
          </w:tcPr>
          <w:p w14:paraId="1D76C55C" w14:textId="01941774" w:rsidR="00FE7DD7" w:rsidRPr="00550DCE" w:rsidRDefault="00FE7DD7" w:rsidP="00284FCB">
            <w:pPr>
              <w:spacing w:after="120"/>
              <w:ind w:left="2021"/>
              <w:jc w:val="right"/>
              <w:rPr>
                <w:szCs w:val="22"/>
              </w:rPr>
            </w:pPr>
            <w:r w:rsidRPr="00B33B1E">
              <w:rPr>
                <w:sz w:val="40"/>
                <w:szCs w:val="40"/>
              </w:rPr>
              <w:t>CBD</w:t>
            </w:r>
            <w:r w:rsidRPr="00015160">
              <w:rPr>
                <w:szCs w:val="22"/>
              </w:rPr>
              <w:t>/</w:t>
            </w:r>
            <w:r w:rsidRPr="00B33B1E">
              <w:rPr>
                <w:szCs w:val="22"/>
              </w:rPr>
              <w:t>SBI</w:t>
            </w:r>
            <w:r w:rsidRPr="00015160">
              <w:rPr>
                <w:szCs w:val="22"/>
              </w:rPr>
              <w:t>/4/</w:t>
            </w:r>
            <w:r>
              <w:rPr>
                <w:szCs w:val="22"/>
              </w:rPr>
              <w:t>16</w:t>
            </w:r>
          </w:p>
        </w:tc>
      </w:tr>
      <w:tr w:rsidR="00FE7DD7" w:rsidRPr="00EA442C" w14:paraId="2CB2138F" w14:textId="77777777" w:rsidTr="00284FCB">
        <w:tc>
          <w:tcPr>
            <w:tcW w:w="2297" w:type="pct"/>
            <w:gridSpan w:val="2"/>
            <w:tcBorders>
              <w:top w:val="single" w:sz="8" w:space="0" w:color="auto"/>
              <w:bottom w:val="single" w:sz="12" w:space="0" w:color="auto"/>
            </w:tcBorders>
          </w:tcPr>
          <w:p w14:paraId="32A2574B" w14:textId="77777777" w:rsidR="00FE7DD7" w:rsidRPr="00550DCE" w:rsidRDefault="00FE7DD7" w:rsidP="00284FCB">
            <w:pPr>
              <w:pStyle w:val="Cornernotation"/>
              <w:suppressLineNumbers/>
              <w:suppressAutoHyphens/>
              <w:spacing w:before="120" w:after="120"/>
              <w:ind w:left="0" w:right="0" w:firstLine="0"/>
            </w:pPr>
            <w:r w:rsidRPr="00550DCE">
              <w:rPr>
                <w:b w:val="0"/>
                <w:bCs/>
                <w:noProof/>
              </w:rPr>
              <w:drawing>
                <wp:inline distT="0" distB="0" distL="0" distR="0" wp14:anchorId="13AFC4F3" wp14:editId="59235007">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703" w:type="pct"/>
            <w:tcBorders>
              <w:top w:val="single" w:sz="8" w:space="0" w:color="auto"/>
              <w:bottom w:val="single" w:sz="12" w:space="0" w:color="auto"/>
            </w:tcBorders>
          </w:tcPr>
          <w:p w14:paraId="18FB9850" w14:textId="77777777" w:rsidR="00FE7DD7" w:rsidRPr="003C6F10" w:rsidRDefault="00FE7DD7" w:rsidP="00284FCB">
            <w:pPr>
              <w:ind w:left="2584"/>
              <w:rPr>
                <w:szCs w:val="22"/>
              </w:rPr>
            </w:pPr>
            <w:r w:rsidRPr="003C6F10">
              <w:rPr>
                <w:szCs w:val="22"/>
              </w:rPr>
              <w:t>Distr.</w:t>
            </w:r>
            <w:r w:rsidRPr="00015160">
              <w:rPr>
                <w:szCs w:val="22"/>
              </w:rPr>
              <w:t>: General</w:t>
            </w:r>
          </w:p>
          <w:p w14:paraId="070EF428" w14:textId="77777777" w:rsidR="00FE7DD7" w:rsidRPr="003C6F10" w:rsidRDefault="00FE7DD7" w:rsidP="00284FCB">
            <w:pPr>
              <w:ind w:left="2584"/>
              <w:rPr>
                <w:szCs w:val="22"/>
              </w:rPr>
            </w:pPr>
            <w:r>
              <w:rPr>
                <w:szCs w:val="22"/>
              </w:rPr>
              <w:t>24 April</w:t>
            </w:r>
            <w:r w:rsidRPr="003C6F10">
              <w:rPr>
                <w:szCs w:val="22"/>
              </w:rPr>
              <w:t xml:space="preserve"> 202</w:t>
            </w:r>
            <w:r>
              <w:rPr>
                <w:szCs w:val="22"/>
              </w:rPr>
              <w:t>4</w:t>
            </w:r>
          </w:p>
          <w:p w14:paraId="63B953C2" w14:textId="77777777" w:rsidR="00FE7DD7" w:rsidRPr="003C6F10" w:rsidRDefault="00FE7DD7" w:rsidP="00284FCB">
            <w:pPr>
              <w:ind w:left="2584"/>
              <w:rPr>
                <w:szCs w:val="22"/>
              </w:rPr>
            </w:pPr>
          </w:p>
          <w:p w14:paraId="57CF2047" w14:textId="77777777" w:rsidR="00FE7DD7" w:rsidRPr="003C6F10" w:rsidRDefault="00FE7DD7" w:rsidP="00284FCB">
            <w:pPr>
              <w:ind w:left="2584"/>
              <w:rPr>
                <w:szCs w:val="22"/>
              </w:rPr>
            </w:pPr>
            <w:r w:rsidRPr="003C6F10">
              <w:rPr>
                <w:szCs w:val="22"/>
              </w:rPr>
              <w:t>Original</w:t>
            </w:r>
            <w:r w:rsidRPr="00015160">
              <w:rPr>
                <w:szCs w:val="22"/>
              </w:rPr>
              <w:t>: English</w:t>
            </w:r>
          </w:p>
          <w:p w14:paraId="401625B9" w14:textId="77777777" w:rsidR="00FE7DD7" w:rsidRPr="00550DCE" w:rsidRDefault="00FE7DD7" w:rsidP="00284FCB"/>
        </w:tc>
      </w:tr>
    </w:tbl>
    <w:p w14:paraId="46A51743" w14:textId="77777777" w:rsidR="00FE7DD7" w:rsidRDefault="00FE7DD7" w:rsidP="00FE7DD7">
      <w:pPr>
        <w:pStyle w:val="Cornernotation"/>
        <w:rPr>
          <w:bCs/>
        </w:rPr>
      </w:pPr>
      <w:r>
        <w:rPr>
          <w:bCs/>
        </w:rPr>
        <w:t>Subsidiary Body on Implementation</w:t>
      </w:r>
    </w:p>
    <w:p w14:paraId="467A35AA" w14:textId="77777777" w:rsidR="00FE7DD7" w:rsidRDefault="00FE7DD7" w:rsidP="00FE7DD7">
      <w:pPr>
        <w:pStyle w:val="Cornernotation"/>
        <w:rPr>
          <w:bCs/>
          <w:sz w:val="22"/>
          <w:szCs w:val="22"/>
        </w:rPr>
      </w:pPr>
      <w:r>
        <w:rPr>
          <w:bCs/>
          <w:sz w:val="22"/>
          <w:szCs w:val="22"/>
        </w:rPr>
        <w:t>Fourth</w:t>
      </w:r>
      <w:r w:rsidRPr="00A96B21">
        <w:rPr>
          <w:bCs/>
          <w:sz w:val="22"/>
          <w:szCs w:val="22"/>
        </w:rPr>
        <w:t xml:space="preserve"> meeting </w:t>
      </w:r>
    </w:p>
    <w:p w14:paraId="596989CE" w14:textId="77777777" w:rsidR="00FE7DD7" w:rsidRPr="00935461" w:rsidRDefault="00FE7DD7" w:rsidP="00FE7DD7">
      <w:pPr>
        <w:pStyle w:val="Venuedate"/>
        <w:rPr>
          <w:lang w:val="en-CA"/>
        </w:rPr>
      </w:pPr>
      <w:r>
        <w:rPr>
          <w:lang w:val="en-CA"/>
        </w:rPr>
        <w:t>Nairobi</w:t>
      </w:r>
      <w:r w:rsidRPr="00935461">
        <w:rPr>
          <w:lang w:val="en-CA"/>
        </w:rPr>
        <w:t xml:space="preserve">, </w:t>
      </w:r>
      <w:r>
        <w:rPr>
          <w:lang w:val="en-CA"/>
        </w:rPr>
        <w:t>21–29 May 2024</w:t>
      </w:r>
    </w:p>
    <w:p w14:paraId="0297A41A" w14:textId="4FC3D17C" w:rsidR="00490865" w:rsidRPr="00B33B1E" w:rsidRDefault="00490865" w:rsidP="00BF6BF7">
      <w:pPr>
        <w:suppressLineNumbers/>
        <w:suppressAutoHyphens/>
        <w:kinsoku w:val="0"/>
        <w:overflowPunct w:val="0"/>
        <w:autoSpaceDE w:val="0"/>
        <w:autoSpaceDN w:val="0"/>
        <w:adjustRightInd w:val="0"/>
        <w:snapToGrid w:val="0"/>
        <w:ind w:left="227" w:right="3831" w:hanging="227"/>
        <w:rPr>
          <w:snapToGrid w:val="0"/>
          <w:kern w:val="22"/>
          <w:szCs w:val="22"/>
          <w:vertAlign w:val="superscript"/>
          <w:lang w:eastAsia="ko-KR"/>
        </w:rPr>
      </w:pPr>
      <w:r w:rsidRPr="00015160">
        <w:rPr>
          <w:snapToGrid w:val="0"/>
          <w:kern w:val="22"/>
          <w:szCs w:val="22"/>
          <w:lang w:eastAsia="ko-KR"/>
        </w:rPr>
        <w:t>Item 1</w:t>
      </w:r>
      <w:r w:rsidR="004B123F" w:rsidRPr="00015160">
        <w:rPr>
          <w:snapToGrid w:val="0"/>
          <w:kern w:val="22"/>
          <w:szCs w:val="22"/>
          <w:lang w:eastAsia="ko-KR"/>
        </w:rPr>
        <w:t>3</w:t>
      </w:r>
      <w:r w:rsidRPr="00015160">
        <w:rPr>
          <w:snapToGrid w:val="0"/>
          <w:kern w:val="22"/>
          <w:szCs w:val="22"/>
          <w:lang w:eastAsia="ko-KR"/>
        </w:rPr>
        <w:t xml:space="preserve"> of the provisional agenda</w:t>
      </w:r>
      <w:r w:rsidRPr="00B33B1E">
        <w:rPr>
          <w:snapToGrid w:val="0"/>
          <w:kern w:val="22"/>
          <w:szCs w:val="22"/>
          <w:vertAlign w:val="superscript"/>
          <w:lang w:eastAsia="ko-KR"/>
        </w:rPr>
        <w:footnoteReference w:customMarkFollows="1" w:id="2"/>
        <w:t>*</w:t>
      </w:r>
    </w:p>
    <w:p w14:paraId="06EC8382" w14:textId="5DD09898" w:rsidR="00ED7580" w:rsidRPr="00B33B1E" w:rsidRDefault="00ED7580" w:rsidP="00BF6BF7">
      <w:pPr>
        <w:suppressLineNumbers/>
        <w:suppressAutoHyphens/>
        <w:kinsoku w:val="0"/>
        <w:overflowPunct w:val="0"/>
        <w:autoSpaceDE w:val="0"/>
        <w:autoSpaceDN w:val="0"/>
        <w:adjustRightInd w:val="0"/>
        <w:snapToGrid w:val="0"/>
        <w:ind w:left="227" w:right="3831" w:hanging="227"/>
        <w:rPr>
          <w:b/>
          <w:bCs/>
          <w:snapToGrid w:val="0"/>
          <w:kern w:val="22"/>
          <w:szCs w:val="22"/>
          <w:lang w:eastAsia="ko-KR"/>
        </w:rPr>
      </w:pPr>
      <w:r w:rsidRPr="00B33B1E">
        <w:rPr>
          <w:b/>
          <w:bCs/>
          <w:snapToGrid w:val="0"/>
          <w:kern w:val="22"/>
          <w:szCs w:val="22"/>
          <w:lang w:eastAsia="ko-KR"/>
        </w:rPr>
        <w:t>Administrative and budgetary matters</w:t>
      </w:r>
    </w:p>
    <w:bookmarkEnd w:id="0"/>
    <w:bookmarkEnd w:id="1"/>
    <w:p w14:paraId="284D464C" w14:textId="551C2E85" w:rsidR="000D4DA8" w:rsidRPr="00FE7DD7" w:rsidRDefault="00B33B1E" w:rsidP="00FE7DD7">
      <w:pPr>
        <w:pStyle w:val="Heading1"/>
        <w:numPr>
          <w:ilvl w:val="0"/>
          <w:numId w:val="0"/>
        </w:numPr>
        <w:suppressLineNumbers/>
        <w:suppressAutoHyphens/>
        <w:kinsoku w:val="0"/>
        <w:overflowPunct w:val="0"/>
        <w:autoSpaceDE w:val="0"/>
        <w:autoSpaceDN w:val="0"/>
        <w:adjustRightInd w:val="0"/>
        <w:snapToGrid w:val="0"/>
        <w:spacing w:after="240"/>
        <w:ind w:left="567"/>
        <w:rPr>
          <w:rStyle w:val="TitleChar"/>
        </w:rPr>
      </w:pPr>
      <w:sdt>
        <w:sdtPr>
          <w:rPr>
            <w:rStyle w:val="TitleChar"/>
          </w:rPr>
          <w:alias w:val="Title"/>
          <w:tag w:val=""/>
          <w:id w:val="-1926644933"/>
          <w:placeholder>
            <w:docPart w:val="24D16D66B82E4B04A826D3351ADD844D"/>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452369" w:rsidRPr="00FE7DD7">
            <w:rPr>
              <w:rStyle w:val="TitleChar"/>
            </w:rPr>
            <w:t>Administrative and budgetary matters</w:t>
          </w:r>
        </w:sdtContent>
      </w:sdt>
    </w:p>
    <w:p w14:paraId="2BBA5D1D" w14:textId="7301371B" w:rsidR="00A53285" w:rsidRPr="00FE7DD7" w:rsidRDefault="00FE7DD7" w:rsidP="00FE7DD7">
      <w:pPr>
        <w:pStyle w:val="Heading2"/>
        <w:suppressLineNumbers/>
        <w:suppressAutoHyphens/>
        <w:kinsoku w:val="0"/>
        <w:overflowPunct w:val="0"/>
        <w:autoSpaceDE w:val="0"/>
        <w:autoSpaceDN w:val="0"/>
        <w:adjustRightInd w:val="0"/>
        <w:snapToGrid w:val="0"/>
        <w:ind w:firstLine="0"/>
        <w:rPr>
          <w:bCs/>
          <w:iCs/>
          <w:snapToGrid w:val="0"/>
          <w:kern w:val="22"/>
        </w:rPr>
      </w:pPr>
      <w:r>
        <w:rPr>
          <w:bCs/>
          <w:iCs/>
          <w:snapToGrid w:val="0"/>
          <w:kern w:val="22"/>
        </w:rPr>
        <w:t>N</w:t>
      </w:r>
      <w:r w:rsidR="00A53285" w:rsidRPr="00FE7DD7">
        <w:rPr>
          <w:bCs/>
          <w:iCs/>
          <w:snapToGrid w:val="0"/>
          <w:kern w:val="22"/>
        </w:rPr>
        <w:t>ote by the Secretar</w:t>
      </w:r>
      <w:r>
        <w:rPr>
          <w:bCs/>
          <w:iCs/>
          <w:snapToGrid w:val="0"/>
          <w:kern w:val="22"/>
        </w:rPr>
        <w:t>iat</w:t>
      </w:r>
    </w:p>
    <w:p w14:paraId="378E91D3" w14:textId="7C3E6D54" w:rsidR="000D4DA8" w:rsidRPr="00BF6BF7" w:rsidRDefault="000D4DA8" w:rsidP="00FE7DD7">
      <w:pPr>
        <w:pStyle w:val="Heading1"/>
        <w:numPr>
          <w:ilvl w:val="0"/>
          <w:numId w:val="6"/>
        </w:numPr>
        <w:suppressLineNumbers/>
        <w:tabs>
          <w:tab w:val="left" w:pos="567"/>
        </w:tabs>
        <w:suppressAutoHyphens/>
        <w:kinsoku w:val="0"/>
        <w:overflowPunct w:val="0"/>
        <w:autoSpaceDE w:val="0"/>
        <w:autoSpaceDN w:val="0"/>
        <w:adjustRightInd w:val="0"/>
        <w:snapToGrid w:val="0"/>
        <w:ind w:left="0" w:firstLine="0"/>
        <w:rPr>
          <w:rFonts w:eastAsia="Times New Roman Bold"/>
          <w:b w:val="0"/>
          <w:caps/>
          <w:snapToGrid w:val="0"/>
          <w:kern w:val="22"/>
          <w:szCs w:val="22"/>
        </w:rPr>
      </w:pPr>
      <w:r w:rsidRPr="00BF6BF7">
        <w:rPr>
          <w:rFonts w:eastAsia="Times New Roman Bold"/>
          <w:snapToGrid w:val="0"/>
          <w:kern w:val="22"/>
          <w:szCs w:val="22"/>
        </w:rPr>
        <w:t>Introduction</w:t>
      </w:r>
    </w:p>
    <w:p w14:paraId="6C839288" w14:textId="07E05F91" w:rsidR="005A1267" w:rsidRPr="005A74AD" w:rsidRDefault="006B7E7E" w:rsidP="00FE7DD7">
      <w:pPr>
        <w:pStyle w:val="Para10"/>
      </w:pPr>
      <w:r>
        <w:t>By</w:t>
      </w:r>
      <w:r w:rsidRPr="00BF6BF7">
        <w:t xml:space="preserve"> </w:t>
      </w:r>
      <w:r w:rsidRPr="00FE7DD7">
        <w:t>its</w:t>
      </w:r>
      <w:r>
        <w:t xml:space="preserve"> </w:t>
      </w:r>
      <w:r w:rsidR="000D4DA8" w:rsidRPr="00BF6BF7">
        <w:t>decision</w:t>
      </w:r>
      <w:r w:rsidR="00324F4B">
        <w:t xml:space="preserve"> </w:t>
      </w:r>
      <w:hyperlink r:id="rId14" w:history="1">
        <w:r w:rsidR="00324F4B" w:rsidRPr="00313824">
          <w:rPr>
            <w:rStyle w:val="Hyperlink"/>
            <w:sz w:val="22"/>
          </w:rPr>
          <w:t>15/34</w:t>
        </w:r>
      </w:hyperlink>
      <w:r w:rsidR="00507067" w:rsidRPr="00BF6BF7">
        <w:t>,</w:t>
      </w:r>
      <w:r w:rsidR="000D4DA8" w:rsidRPr="00BF6BF7">
        <w:t xml:space="preserve"> the Conference of the Parties </w:t>
      </w:r>
      <w:r w:rsidR="006A405B">
        <w:t xml:space="preserve">to the Convention on Biological Diversity </w:t>
      </w:r>
      <w:r w:rsidR="000D4DA8" w:rsidRPr="00BF6BF7">
        <w:t xml:space="preserve">adopted an integrated programme of work and budget for </w:t>
      </w:r>
      <w:r w:rsidR="000D4DA8" w:rsidRPr="005A74AD">
        <w:t xml:space="preserve">the </w:t>
      </w:r>
      <w:r w:rsidR="000D4DA8" w:rsidRPr="00B33B1E">
        <w:t>Convention</w:t>
      </w:r>
      <w:r w:rsidR="00395F3E">
        <w:t>,</w:t>
      </w:r>
      <w:r w:rsidR="000D4DA8" w:rsidRPr="00B33B1E">
        <w:t xml:space="preserve"> </w:t>
      </w:r>
      <w:r w:rsidR="000D4DA8" w:rsidRPr="005A74AD">
        <w:t xml:space="preserve">the Cartagena Protocol on Biosafety and the Nagoya Protocol on Access </w:t>
      </w:r>
      <w:r w:rsidR="002C1298" w:rsidRPr="002C1298">
        <w:t>to Genetic Resources and the Fair and Equitable Sharing of</w:t>
      </w:r>
      <w:r w:rsidR="002C1298">
        <w:t xml:space="preserve"> </w:t>
      </w:r>
      <w:r w:rsidR="000D4DA8" w:rsidRPr="005A74AD">
        <w:t>Benefit</w:t>
      </w:r>
      <w:r w:rsidR="00406F1E">
        <w:t xml:space="preserve"> </w:t>
      </w:r>
      <w:r w:rsidR="00406F1E" w:rsidRPr="00406F1E">
        <w:t>Arising from their Utilization</w:t>
      </w:r>
      <w:r w:rsidR="000D4DA8" w:rsidRPr="005A74AD">
        <w:t xml:space="preserve">. The Conference of the Parties </w:t>
      </w:r>
      <w:r w:rsidR="000D3E7E">
        <w:t xml:space="preserve">to the Convention </w:t>
      </w:r>
      <w:r w:rsidR="000D4DA8" w:rsidRPr="005A74AD">
        <w:t xml:space="preserve">and the </w:t>
      </w:r>
      <w:r w:rsidR="000E5816" w:rsidRPr="005A74AD">
        <w:t>Conference of the Parties serving as the meeting</w:t>
      </w:r>
      <w:r w:rsidRPr="005A74AD">
        <w:t>s</w:t>
      </w:r>
      <w:r w:rsidR="000E5816" w:rsidRPr="005A74AD">
        <w:t xml:space="preserve"> of the </w:t>
      </w:r>
      <w:r w:rsidR="000D4DA8" w:rsidRPr="005A74AD">
        <w:t xml:space="preserve">Parties </w:t>
      </w:r>
      <w:r w:rsidR="00F942FA" w:rsidRPr="005A74AD">
        <w:t xml:space="preserve">to </w:t>
      </w:r>
      <w:r w:rsidR="000D4DA8" w:rsidRPr="005A74AD">
        <w:t xml:space="preserve">the </w:t>
      </w:r>
      <w:r w:rsidR="00411226" w:rsidRPr="005A74AD">
        <w:t xml:space="preserve">two </w:t>
      </w:r>
      <w:r w:rsidR="00F942FA" w:rsidRPr="005A74AD">
        <w:t>P</w:t>
      </w:r>
      <w:r w:rsidR="000D4DA8" w:rsidRPr="005A74AD">
        <w:t>rotocols approved an integrated core budget of</w:t>
      </w:r>
      <w:r w:rsidR="000D4DA8" w:rsidRPr="00B33B1E">
        <w:t xml:space="preserve"> </w:t>
      </w:r>
      <w:r w:rsidR="00830AD6" w:rsidRPr="00293837">
        <w:t>$</w:t>
      </w:r>
      <w:r w:rsidR="00830AD6" w:rsidRPr="005A74AD">
        <w:t>41,646,100 for the biennium 202</w:t>
      </w:r>
      <w:r w:rsidR="00830AD6" w:rsidRPr="00293837">
        <w:t>3–2</w:t>
      </w:r>
      <w:r w:rsidR="00830AD6" w:rsidRPr="005A74AD">
        <w:t>024</w:t>
      </w:r>
      <w:r w:rsidR="00830AD6">
        <w:t xml:space="preserve">, divided as </w:t>
      </w:r>
      <w:r w:rsidR="000D4DA8" w:rsidRPr="00B33B1E">
        <w:t>$</w:t>
      </w:r>
      <w:r w:rsidR="00B957F8" w:rsidRPr="005A74AD">
        <w:t>19,931,600</w:t>
      </w:r>
      <w:r w:rsidR="000D4DA8" w:rsidRPr="005A74AD">
        <w:t xml:space="preserve"> for </w:t>
      </w:r>
      <w:r w:rsidR="000D4DA8" w:rsidRPr="00B33B1E">
        <w:t xml:space="preserve">the year </w:t>
      </w:r>
      <w:r w:rsidR="00B957F8" w:rsidRPr="00B33B1E">
        <w:t>2023</w:t>
      </w:r>
      <w:r w:rsidR="00B957F8" w:rsidRPr="005A74AD">
        <w:t xml:space="preserve"> </w:t>
      </w:r>
      <w:r w:rsidR="000D4DA8" w:rsidRPr="005A74AD">
        <w:t>and</w:t>
      </w:r>
      <w:r w:rsidR="000D4DA8" w:rsidRPr="00B33B1E">
        <w:t xml:space="preserve"> $</w:t>
      </w:r>
      <w:r w:rsidR="00B957F8" w:rsidRPr="005A74AD">
        <w:t>21,</w:t>
      </w:r>
      <w:r w:rsidR="002D0330" w:rsidRPr="005A74AD">
        <w:t>714,500</w:t>
      </w:r>
      <w:r w:rsidR="000D4DA8" w:rsidRPr="005A74AD">
        <w:t xml:space="preserve"> for </w:t>
      </w:r>
      <w:r w:rsidR="000D4DA8" w:rsidRPr="00B33B1E">
        <w:t xml:space="preserve">the year </w:t>
      </w:r>
      <w:r w:rsidR="002D0330" w:rsidRPr="00B33B1E">
        <w:t>2024</w:t>
      </w:r>
      <w:r w:rsidR="00830AD6">
        <w:t>.</w:t>
      </w:r>
    </w:p>
    <w:p w14:paraId="71FA64B0" w14:textId="4245AA7B" w:rsidR="000D4DA8" w:rsidRPr="00BF6BF7" w:rsidRDefault="00502BE1" w:rsidP="00FE7DD7">
      <w:pPr>
        <w:pStyle w:val="Heading1"/>
        <w:numPr>
          <w:ilvl w:val="0"/>
          <w:numId w:val="6"/>
        </w:numPr>
        <w:suppressLineNumbers/>
        <w:tabs>
          <w:tab w:val="left" w:pos="567"/>
        </w:tabs>
        <w:suppressAutoHyphens/>
        <w:kinsoku w:val="0"/>
        <w:overflowPunct w:val="0"/>
        <w:autoSpaceDE w:val="0"/>
        <w:autoSpaceDN w:val="0"/>
        <w:adjustRightInd w:val="0"/>
        <w:snapToGrid w:val="0"/>
        <w:spacing w:before="0"/>
        <w:ind w:left="567" w:hanging="567"/>
        <w:rPr>
          <w:caps/>
          <w:snapToGrid w:val="0"/>
          <w:kern w:val="22"/>
          <w:szCs w:val="22"/>
        </w:rPr>
      </w:pPr>
      <w:r w:rsidRPr="00BF6BF7">
        <w:rPr>
          <w:snapToGrid w:val="0"/>
          <w:kern w:val="22"/>
          <w:szCs w:val="22"/>
        </w:rPr>
        <w:t>S</w:t>
      </w:r>
      <w:r w:rsidR="000D4DA8" w:rsidRPr="00BF6BF7">
        <w:rPr>
          <w:snapToGrid w:val="0"/>
          <w:kern w:val="22"/>
          <w:szCs w:val="22"/>
        </w:rPr>
        <w:t xml:space="preserve">tatus of trust funds under the </w:t>
      </w:r>
      <w:r w:rsidRPr="00BF6BF7">
        <w:rPr>
          <w:snapToGrid w:val="0"/>
          <w:kern w:val="22"/>
          <w:szCs w:val="22"/>
        </w:rPr>
        <w:t>C</w:t>
      </w:r>
      <w:r w:rsidR="000D4DA8" w:rsidRPr="00BF6BF7">
        <w:rPr>
          <w:snapToGrid w:val="0"/>
          <w:kern w:val="22"/>
          <w:szCs w:val="22"/>
        </w:rPr>
        <w:t xml:space="preserve">onvention and its </w:t>
      </w:r>
      <w:r w:rsidRPr="00BF6BF7">
        <w:rPr>
          <w:snapToGrid w:val="0"/>
          <w:kern w:val="22"/>
          <w:szCs w:val="22"/>
        </w:rPr>
        <w:t>P</w:t>
      </w:r>
      <w:r w:rsidR="000D4DA8" w:rsidRPr="00BF6BF7">
        <w:rPr>
          <w:snapToGrid w:val="0"/>
          <w:kern w:val="22"/>
          <w:szCs w:val="22"/>
        </w:rPr>
        <w:t>rotocols</w:t>
      </w:r>
    </w:p>
    <w:p w14:paraId="005C084B" w14:textId="05AA06A1" w:rsidR="000D4DA8" w:rsidRPr="00BF6BF7" w:rsidRDefault="000D4DA8" w:rsidP="00FE7DD7">
      <w:pPr>
        <w:pStyle w:val="Heading2"/>
        <w:numPr>
          <w:ilvl w:val="0"/>
          <w:numId w:val="11"/>
        </w:numPr>
        <w:suppressLineNumbers/>
        <w:suppressAutoHyphens/>
        <w:kinsoku w:val="0"/>
        <w:overflowPunct w:val="0"/>
        <w:autoSpaceDE w:val="0"/>
        <w:autoSpaceDN w:val="0"/>
        <w:adjustRightInd w:val="0"/>
        <w:snapToGrid w:val="0"/>
        <w:spacing w:before="0"/>
        <w:ind w:left="567" w:hanging="567"/>
        <w:rPr>
          <w:rFonts w:eastAsia="Malgun Gothic"/>
          <w:b w:val="0"/>
          <w:iCs/>
          <w:snapToGrid w:val="0"/>
          <w:kern w:val="22"/>
          <w:szCs w:val="22"/>
          <w:lang w:eastAsia="ko-KR"/>
        </w:rPr>
      </w:pPr>
      <w:r w:rsidRPr="00BF6BF7">
        <w:rPr>
          <w:rFonts w:eastAsia="Malgun Gothic"/>
          <w:snapToGrid w:val="0"/>
          <w:kern w:val="22"/>
          <w:szCs w:val="22"/>
          <w:lang w:eastAsia="ko-KR"/>
        </w:rPr>
        <w:t>Core budget of the Convention and Protocols</w:t>
      </w:r>
    </w:p>
    <w:p w14:paraId="3459EF39" w14:textId="66CD0F13" w:rsidR="000D4DA8" w:rsidRPr="00FE7DD7" w:rsidRDefault="000D4DA8" w:rsidP="00FE7DD7">
      <w:pPr>
        <w:pStyle w:val="Heading3"/>
        <w:numPr>
          <w:ilvl w:val="0"/>
          <w:numId w:val="12"/>
        </w:numPr>
        <w:suppressLineNumbers/>
        <w:tabs>
          <w:tab w:val="left" w:pos="567"/>
        </w:tabs>
        <w:suppressAutoHyphens/>
        <w:kinsoku w:val="0"/>
        <w:overflowPunct w:val="0"/>
        <w:autoSpaceDE w:val="0"/>
        <w:autoSpaceDN w:val="0"/>
        <w:adjustRightInd w:val="0"/>
        <w:snapToGrid w:val="0"/>
        <w:spacing w:before="0"/>
        <w:ind w:left="0" w:firstLine="0"/>
        <w:rPr>
          <w:rFonts w:eastAsia="Malgun Gothic"/>
          <w:snapToGrid w:val="0"/>
          <w:kern w:val="22"/>
          <w:lang w:eastAsia="ko-KR"/>
        </w:rPr>
      </w:pPr>
      <w:r w:rsidRPr="00FE7DD7">
        <w:rPr>
          <w:rFonts w:eastAsia="Malgun Gothic"/>
          <w:snapToGrid w:val="0"/>
          <w:kern w:val="22"/>
          <w:lang w:eastAsia="ko-KR"/>
        </w:rPr>
        <w:t>Income</w:t>
      </w:r>
    </w:p>
    <w:p w14:paraId="793B38E4" w14:textId="0938A994" w:rsidR="000D4DA8" w:rsidRPr="00F5039C" w:rsidRDefault="000D4DA8" w:rsidP="00FE7DD7">
      <w:pPr>
        <w:pStyle w:val="Para10"/>
        <w:rPr>
          <w:b/>
          <w:bCs/>
          <w:i/>
          <w:iCs/>
        </w:rPr>
      </w:pPr>
      <w:r w:rsidRPr="00BF6BF7">
        <w:t>After the deduction of savings from prior period</w:t>
      </w:r>
      <w:r w:rsidR="006B7E7E">
        <w:t>s</w:t>
      </w:r>
      <w:r w:rsidRPr="00BF6BF7">
        <w:t xml:space="preserve"> and the contribution of the host country, </w:t>
      </w:r>
      <w:r w:rsidR="004B123F">
        <w:t xml:space="preserve">Canada, </w:t>
      </w:r>
      <w:r w:rsidRPr="00BF6BF7">
        <w:t xml:space="preserve">total assessed contributions for </w:t>
      </w:r>
      <w:r w:rsidR="00EC2CFF">
        <w:t>2023</w:t>
      </w:r>
      <w:r w:rsidR="00EC2CFF" w:rsidRPr="00BF6BF7">
        <w:t xml:space="preserve"> </w:t>
      </w:r>
      <w:r w:rsidRPr="00BF6BF7">
        <w:t xml:space="preserve">and </w:t>
      </w:r>
      <w:r w:rsidR="00EC2CFF">
        <w:t>2024</w:t>
      </w:r>
      <w:r w:rsidR="00EC2CFF" w:rsidRPr="00BF6BF7">
        <w:t xml:space="preserve"> </w:t>
      </w:r>
      <w:r w:rsidRPr="00F5039C">
        <w:t>amounted to</w:t>
      </w:r>
      <w:r w:rsidRPr="00B33B1E">
        <w:t xml:space="preserve"> $</w:t>
      </w:r>
      <w:r w:rsidR="006368BF" w:rsidRPr="00F5039C">
        <w:t>37,9</w:t>
      </w:r>
      <w:r w:rsidR="00CF2355" w:rsidRPr="00F5039C">
        <w:t>3</w:t>
      </w:r>
      <w:r w:rsidR="006368BF" w:rsidRPr="00F5039C">
        <w:t>8,000</w:t>
      </w:r>
      <w:r w:rsidRPr="00F5039C">
        <w:t xml:space="preserve">. </w:t>
      </w:r>
      <w:r w:rsidR="0093052E">
        <w:t>At the time of reporting, no new countries had joined the Cartagena Protocol over the current biennium, while t</w:t>
      </w:r>
      <w:r w:rsidRPr="00F5039C">
        <w:t xml:space="preserve">he assessed contributions of the </w:t>
      </w:r>
      <w:r w:rsidR="005C4CC1">
        <w:t>three countries that</w:t>
      </w:r>
      <w:r w:rsidR="00A33840">
        <w:t xml:space="preserve"> had</w:t>
      </w:r>
      <w:r w:rsidR="005C4CC1">
        <w:t xml:space="preserve"> bec</w:t>
      </w:r>
      <w:r w:rsidR="00A33840">
        <w:t>o</w:t>
      </w:r>
      <w:r w:rsidR="005C4CC1">
        <w:t>me p</w:t>
      </w:r>
      <w:r w:rsidRPr="00F5039C">
        <w:t>art</w:t>
      </w:r>
      <w:r w:rsidR="00F65CB0">
        <w:t>y</w:t>
      </w:r>
      <w:r w:rsidRPr="00F5039C">
        <w:t xml:space="preserve"> to the </w:t>
      </w:r>
      <w:r w:rsidR="00F65CB0">
        <w:t xml:space="preserve">Nagoya </w:t>
      </w:r>
      <w:r w:rsidR="00970CFF" w:rsidRPr="00F5039C">
        <w:t>P</w:t>
      </w:r>
      <w:r w:rsidRPr="00F5039C">
        <w:t xml:space="preserve">rotocol </w:t>
      </w:r>
      <w:r w:rsidR="0093052E">
        <w:t xml:space="preserve">during the same period </w:t>
      </w:r>
      <w:r w:rsidRPr="00F5039C">
        <w:t>amount</w:t>
      </w:r>
      <w:r w:rsidR="00BE0966">
        <w:t>ed</w:t>
      </w:r>
      <w:r w:rsidRPr="00F5039C">
        <w:t xml:space="preserve"> to</w:t>
      </w:r>
      <w:r w:rsidRPr="00B33B1E">
        <w:t xml:space="preserve"> $</w:t>
      </w:r>
      <w:r w:rsidR="00FA1109" w:rsidRPr="00F5039C">
        <w:t>10,400</w:t>
      </w:r>
      <w:r w:rsidR="004A1221">
        <w:t>,</w:t>
      </w:r>
      <w:r w:rsidRPr="00F5039C">
        <w:t xml:space="preserve"> </w:t>
      </w:r>
      <w:r w:rsidR="004A1221">
        <w:t>t</w:t>
      </w:r>
      <w:r w:rsidRPr="00F5039C">
        <w:t xml:space="preserve">hus </w:t>
      </w:r>
      <w:r w:rsidR="004A1221">
        <w:t xml:space="preserve">bringing </w:t>
      </w:r>
      <w:r w:rsidRPr="00F5039C">
        <w:t xml:space="preserve">the total </w:t>
      </w:r>
      <w:r w:rsidR="004A1221">
        <w:t xml:space="preserve">amount of </w:t>
      </w:r>
      <w:r w:rsidRPr="00F5039C">
        <w:t>assess</w:t>
      </w:r>
      <w:r w:rsidR="004A1221">
        <w:t>ed</w:t>
      </w:r>
      <w:r w:rsidRPr="00F5039C">
        <w:t xml:space="preserve"> contributions </w:t>
      </w:r>
      <w:r w:rsidR="004A1221">
        <w:t>to</w:t>
      </w:r>
      <w:r w:rsidR="004A1221" w:rsidRPr="00B33B1E">
        <w:t xml:space="preserve"> </w:t>
      </w:r>
      <w:r w:rsidR="002544C5" w:rsidRPr="00B33B1E">
        <w:t>$</w:t>
      </w:r>
      <w:r w:rsidR="00686EE6" w:rsidRPr="00F5039C">
        <w:t>37,948,400</w:t>
      </w:r>
      <w:r w:rsidRPr="00F5039C">
        <w:t>, comprising</w:t>
      </w:r>
      <w:r w:rsidR="006015BD" w:rsidRPr="00B33B1E">
        <w:t xml:space="preserve"> $</w:t>
      </w:r>
      <w:r w:rsidR="00270726" w:rsidRPr="00F5039C">
        <w:t xml:space="preserve">18,103,400 </w:t>
      </w:r>
      <w:r w:rsidRPr="00F5039C">
        <w:t xml:space="preserve">for </w:t>
      </w:r>
      <w:r w:rsidR="00D650D7" w:rsidRPr="00F5039C">
        <w:t xml:space="preserve">2023 </w:t>
      </w:r>
      <w:r w:rsidRPr="00F5039C">
        <w:t>and</w:t>
      </w:r>
      <w:r w:rsidRPr="00B33B1E">
        <w:t xml:space="preserve"> </w:t>
      </w:r>
      <w:r w:rsidR="004E0530" w:rsidRPr="00B33B1E">
        <w:t>$</w:t>
      </w:r>
      <w:r w:rsidR="00374D95" w:rsidRPr="00F5039C">
        <w:t xml:space="preserve">19,845,000 </w:t>
      </w:r>
      <w:r w:rsidRPr="00F5039C">
        <w:t>for 202</w:t>
      </w:r>
      <w:r w:rsidR="00D650D7" w:rsidRPr="00F5039C">
        <w:t>4</w:t>
      </w:r>
      <w:r w:rsidRPr="00F5039C">
        <w:t xml:space="preserve">. </w:t>
      </w:r>
      <w:r w:rsidR="00C83733">
        <w:t>A</w:t>
      </w:r>
      <w:r w:rsidR="00C83733" w:rsidRPr="00F5039C">
        <w:t xml:space="preserve">s </w:t>
      </w:r>
      <w:proofErr w:type="gramStart"/>
      <w:r w:rsidR="00C83733" w:rsidRPr="00F5039C">
        <w:t>at</w:t>
      </w:r>
      <w:proofErr w:type="gramEnd"/>
      <w:r w:rsidR="00C83733" w:rsidRPr="00F5039C">
        <w:t xml:space="preserve"> 29</w:t>
      </w:r>
      <w:r w:rsidR="00C83733">
        <w:t> </w:t>
      </w:r>
      <w:r w:rsidR="00C83733" w:rsidRPr="00F5039C">
        <w:t xml:space="preserve">February 2024, </w:t>
      </w:r>
      <w:r w:rsidRPr="00F5039C">
        <w:t xml:space="preserve">the Secretariat </w:t>
      </w:r>
      <w:r w:rsidR="007D76BA">
        <w:t xml:space="preserve">of the Convention </w:t>
      </w:r>
      <w:r w:rsidRPr="00F5039C">
        <w:t>ha</w:t>
      </w:r>
      <w:r w:rsidR="00BC7783">
        <w:t>d</w:t>
      </w:r>
      <w:r w:rsidRPr="00F5039C">
        <w:t xml:space="preserve"> received </w:t>
      </w:r>
      <w:r w:rsidR="009815DC">
        <w:t xml:space="preserve">a </w:t>
      </w:r>
      <w:r w:rsidRPr="00F5039C">
        <w:t>total</w:t>
      </w:r>
      <w:r w:rsidRPr="00B33B1E">
        <w:t xml:space="preserve"> </w:t>
      </w:r>
      <w:r w:rsidR="009815DC">
        <w:t xml:space="preserve">of </w:t>
      </w:r>
      <w:r w:rsidRPr="00B33B1E">
        <w:t>$</w:t>
      </w:r>
      <w:r w:rsidR="00374D95" w:rsidRPr="00F5039C">
        <w:t>20,454,300</w:t>
      </w:r>
      <w:r w:rsidR="00C83733">
        <w:t xml:space="preserve"> </w:t>
      </w:r>
      <w:r w:rsidR="009815DC">
        <w:t xml:space="preserve">in </w:t>
      </w:r>
      <w:r w:rsidR="009815DC" w:rsidRPr="00F5039C">
        <w:t xml:space="preserve">contributions </w:t>
      </w:r>
      <w:r w:rsidR="00C83733">
        <w:t>f</w:t>
      </w:r>
      <w:r w:rsidR="00C83733" w:rsidRPr="00F5039C">
        <w:t>or the biennium 202</w:t>
      </w:r>
      <w:r w:rsidR="00C83733" w:rsidRPr="00794EE6">
        <w:t>3</w:t>
      </w:r>
      <w:r w:rsidR="00C83733" w:rsidRPr="00F5039C">
        <w:t>–</w:t>
      </w:r>
      <w:r w:rsidR="00C83733" w:rsidRPr="00794EE6">
        <w:t>2</w:t>
      </w:r>
      <w:r w:rsidR="00C83733" w:rsidRPr="00F5039C">
        <w:t>024</w:t>
      </w:r>
      <w:r w:rsidRPr="00F5039C">
        <w:t>.</w:t>
      </w:r>
    </w:p>
    <w:p w14:paraId="575C1D77" w14:textId="3240B00F" w:rsidR="00101B5D" w:rsidRPr="00F5039C" w:rsidRDefault="00101B5D" w:rsidP="00FE7DD7">
      <w:pPr>
        <w:pStyle w:val="Para10"/>
        <w:rPr>
          <w:b/>
          <w:bCs/>
          <w:i/>
          <w:iCs/>
        </w:rPr>
      </w:pPr>
      <w:r w:rsidRPr="00F5039C">
        <w:t xml:space="preserve">As at </w:t>
      </w:r>
      <w:r w:rsidR="009815DC">
        <w:t>the same date</w:t>
      </w:r>
      <w:r w:rsidRPr="00F5039C">
        <w:t xml:space="preserve">, the collection rate </w:t>
      </w:r>
      <w:r w:rsidR="009815DC">
        <w:t>stood at</w:t>
      </w:r>
      <w:r w:rsidR="009815DC" w:rsidRPr="00F5039C">
        <w:t xml:space="preserve"> </w:t>
      </w:r>
      <w:r w:rsidRPr="00F5039C">
        <w:t xml:space="preserve">90.60 per cent </w:t>
      </w:r>
      <w:r w:rsidR="009815DC" w:rsidRPr="00F5039C">
        <w:t xml:space="preserve">for 2023 </w:t>
      </w:r>
      <w:r w:rsidRPr="00F5039C">
        <w:t>and 20.42 per cent</w:t>
      </w:r>
      <w:r w:rsidR="009815DC" w:rsidRPr="009815DC">
        <w:t xml:space="preserve"> </w:t>
      </w:r>
      <w:r w:rsidR="009815DC" w:rsidRPr="00F5039C">
        <w:t>for 2024</w:t>
      </w:r>
      <w:r w:rsidRPr="00F5039C">
        <w:t xml:space="preserve">, </w:t>
      </w:r>
      <w:r w:rsidR="00C46074">
        <w:t>amounting to</w:t>
      </w:r>
      <w:r w:rsidR="00C46074" w:rsidRPr="00F5039C">
        <w:t xml:space="preserve"> </w:t>
      </w:r>
      <w:r w:rsidRPr="00F5039C">
        <w:t xml:space="preserve">an overall collection rate </w:t>
      </w:r>
      <w:r w:rsidR="00C46074" w:rsidRPr="00F5039C">
        <w:t>of 53.90</w:t>
      </w:r>
      <w:r w:rsidR="00922CC8">
        <w:t> </w:t>
      </w:r>
      <w:r w:rsidR="00C46074" w:rsidRPr="00F5039C">
        <w:t xml:space="preserve">per cent </w:t>
      </w:r>
      <w:r w:rsidRPr="00F5039C">
        <w:t>for the biennium</w:t>
      </w:r>
      <w:r w:rsidR="00C46074">
        <w:t>.</w:t>
      </w:r>
    </w:p>
    <w:p w14:paraId="2300CEFB" w14:textId="76AF0337" w:rsidR="00D41D5A" w:rsidRPr="00B33B1E" w:rsidRDefault="00101B5D" w:rsidP="00B33B1E">
      <w:pPr>
        <w:pStyle w:val="ListParagraph"/>
        <w:keepNext/>
        <w:keepLines/>
        <w:spacing w:before="120" w:after="120"/>
        <w:ind w:left="567"/>
        <w:rPr>
          <w:color w:val="000000" w:themeColor="text1"/>
          <w:szCs w:val="22"/>
          <w:lang w:val="en-CA"/>
        </w:rPr>
      </w:pPr>
      <w:r w:rsidRPr="00B33B1E">
        <w:rPr>
          <w:color w:val="000000" w:themeColor="text1"/>
          <w:szCs w:val="22"/>
          <w:lang w:val="en-CA"/>
        </w:rPr>
        <w:lastRenderedPageBreak/>
        <w:t>Table 1</w:t>
      </w:r>
    </w:p>
    <w:p w14:paraId="419CBD2C" w14:textId="331B5808" w:rsidR="00101B5D" w:rsidRPr="00101B5D" w:rsidRDefault="00101B5D" w:rsidP="00B33B1E">
      <w:pPr>
        <w:pStyle w:val="ListParagraph"/>
        <w:keepNext/>
        <w:keepLines/>
        <w:spacing w:before="120" w:after="120"/>
        <w:ind w:left="567"/>
        <w:rPr>
          <w:b/>
          <w:bCs/>
          <w:szCs w:val="22"/>
        </w:rPr>
      </w:pPr>
      <w:r w:rsidRPr="00B33B1E">
        <w:rPr>
          <w:b/>
          <w:bCs/>
          <w:color w:val="000000" w:themeColor="text1"/>
          <w:szCs w:val="22"/>
          <w:lang w:val="en-CA"/>
        </w:rPr>
        <w:t>O</w:t>
      </w:r>
      <w:r w:rsidRPr="00D41D5A">
        <w:rPr>
          <w:b/>
          <w:bCs/>
          <w:color w:val="000000" w:themeColor="text1"/>
          <w:szCs w:val="22"/>
          <w:lang w:val="en-CA"/>
        </w:rPr>
        <w:t xml:space="preserve">verall </w:t>
      </w:r>
      <w:r w:rsidRPr="00D41D5A">
        <w:rPr>
          <w:b/>
          <w:bCs/>
          <w:szCs w:val="22"/>
        </w:rPr>
        <w:t>status of assessed contributions for the biennium 202</w:t>
      </w:r>
      <w:r w:rsidRPr="00B33B1E">
        <w:rPr>
          <w:b/>
          <w:bCs/>
          <w:szCs w:val="22"/>
        </w:rPr>
        <w:t>3</w:t>
      </w:r>
      <w:r w:rsidR="00D41D5A" w:rsidRPr="00D41D5A">
        <w:t>–</w:t>
      </w:r>
      <w:r w:rsidRPr="00B33B1E">
        <w:rPr>
          <w:b/>
          <w:bCs/>
          <w:szCs w:val="22"/>
        </w:rPr>
        <w:t>2</w:t>
      </w:r>
      <w:r w:rsidRPr="00D41D5A">
        <w:rPr>
          <w:b/>
          <w:bCs/>
          <w:szCs w:val="22"/>
        </w:rPr>
        <w:t>024</w:t>
      </w:r>
    </w:p>
    <w:p w14:paraId="13CC949E" w14:textId="3B0CF8E8" w:rsidR="00101B5D" w:rsidRPr="00CE1187" w:rsidRDefault="00101B5D" w:rsidP="00B33B1E">
      <w:pPr>
        <w:pStyle w:val="ListParagraph"/>
        <w:keepNext/>
        <w:keepLines/>
        <w:spacing w:after="120"/>
        <w:ind w:left="562"/>
        <w:rPr>
          <w:b/>
          <w:bCs/>
          <w:szCs w:val="22"/>
        </w:rPr>
      </w:pPr>
      <w:r w:rsidRPr="00101B5D">
        <w:rPr>
          <w:i/>
          <w:iCs/>
          <w:color w:val="000000"/>
          <w:sz w:val="18"/>
          <w:szCs w:val="18"/>
          <w:lang w:val="en-US"/>
        </w:rPr>
        <w:t>(</w:t>
      </w:r>
      <w:r w:rsidR="00486890">
        <w:rPr>
          <w:i/>
          <w:iCs/>
          <w:color w:val="000000"/>
          <w:sz w:val="18"/>
          <w:szCs w:val="18"/>
          <w:lang w:val="en-US"/>
        </w:rPr>
        <w:t>T</w:t>
      </w:r>
      <w:r w:rsidRPr="00101B5D">
        <w:rPr>
          <w:i/>
          <w:iCs/>
          <w:color w:val="000000"/>
          <w:sz w:val="18"/>
          <w:szCs w:val="18"/>
          <w:lang w:val="en-US"/>
        </w:rPr>
        <w:t xml:space="preserve">housands </w:t>
      </w:r>
      <w:r w:rsidRPr="00015160">
        <w:rPr>
          <w:i/>
          <w:iCs/>
          <w:color w:val="000000"/>
          <w:sz w:val="18"/>
          <w:szCs w:val="18"/>
          <w:lang w:val="en-US"/>
        </w:rPr>
        <w:t>of United States dollars</w:t>
      </w:r>
      <w:r w:rsidRPr="00101B5D">
        <w:rPr>
          <w:i/>
          <w:iCs/>
          <w:color w:val="000000"/>
          <w:sz w:val="18"/>
          <w:szCs w:val="18"/>
          <w:lang w:val="en-US"/>
        </w:rPr>
        <w:t>)</w:t>
      </w:r>
    </w:p>
    <w:tbl>
      <w:tblPr>
        <w:tblW w:w="0" w:type="auto"/>
        <w:tblInd w:w="601" w:type="dxa"/>
        <w:tblLook w:val="04A0" w:firstRow="1" w:lastRow="0" w:firstColumn="1" w:lastColumn="0" w:noHBand="0" w:noVBand="1"/>
      </w:tblPr>
      <w:tblGrid>
        <w:gridCol w:w="3231"/>
        <w:gridCol w:w="1951"/>
      </w:tblGrid>
      <w:tr w:rsidR="00D6508F" w:rsidRPr="00C11849" w14:paraId="07604714" w14:textId="77777777" w:rsidTr="005F7E0B">
        <w:trPr>
          <w:trHeight w:val="491"/>
        </w:trPr>
        <w:tc>
          <w:tcPr>
            <w:tcW w:w="0" w:type="auto"/>
            <w:vMerge w:val="restart"/>
            <w:tcBorders>
              <w:top w:val="single" w:sz="12" w:space="0" w:color="auto"/>
              <w:bottom w:val="single" w:sz="12" w:space="0" w:color="auto"/>
            </w:tcBorders>
            <w:shd w:val="clear" w:color="auto" w:fill="auto"/>
            <w:vAlign w:val="center"/>
            <w:hideMark/>
          </w:tcPr>
          <w:p w14:paraId="2A6E3BF4" w14:textId="77777777" w:rsidR="00CF5A93" w:rsidRPr="00B33B1E" w:rsidRDefault="00CF5A93" w:rsidP="006D2ABA">
            <w:pPr>
              <w:keepNext/>
              <w:keepLines/>
              <w:rPr>
                <w:i/>
                <w:iCs/>
                <w:color w:val="000000"/>
                <w:sz w:val="18"/>
                <w:szCs w:val="18"/>
                <w:lang w:val="en-US" w:eastAsia="zh-CN"/>
              </w:rPr>
            </w:pPr>
            <w:r w:rsidRPr="00B33B1E">
              <w:rPr>
                <w:i/>
                <w:iCs/>
                <w:color w:val="000000"/>
                <w:sz w:val="18"/>
                <w:szCs w:val="18"/>
                <w:lang w:val="en-US" w:eastAsia="zh-CN"/>
              </w:rPr>
              <w:t>Funding source</w:t>
            </w:r>
          </w:p>
        </w:tc>
        <w:tc>
          <w:tcPr>
            <w:tcW w:w="0" w:type="auto"/>
            <w:vMerge w:val="restart"/>
            <w:tcBorders>
              <w:top w:val="single" w:sz="12" w:space="0" w:color="auto"/>
              <w:bottom w:val="single" w:sz="12" w:space="0" w:color="auto"/>
            </w:tcBorders>
            <w:shd w:val="clear" w:color="auto" w:fill="auto"/>
            <w:vAlign w:val="center"/>
            <w:hideMark/>
          </w:tcPr>
          <w:p w14:paraId="61FECF36" w14:textId="3BB22670" w:rsidR="00CF5A93" w:rsidRPr="00B33B1E" w:rsidRDefault="00CF5A93" w:rsidP="00E6035E">
            <w:pPr>
              <w:keepNext/>
              <w:keepLines/>
              <w:jc w:val="center"/>
              <w:rPr>
                <w:i/>
                <w:iCs/>
                <w:color w:val="000000"/>
                <w:sz w:val="18"/>
                <w:szCs w:val="18"/>
                <w:lang w:val="en-US" w:eastAsia="zh-CN"/>
              </w:rPr>
            </w:pPr>
            <w:r w:rsidRPr="00B33B1E">
              <w:rPr>
                <w:i/>
                <w:iCs/>
                <w:color w:val="000000"/>
                <w:sz w:val="18"/>
                <w:szCs w:val="18"/>
                <w:lang w:val="en-US" w:eastAsia="zh-CN"/>
              </w:rPr>
              <w:t xml:space="preserve">Resources </w:t>
            </w:r>
            <w:r>
              <w:rPr>
                <w:i/>
                <w:iCs/>
                <w:color w:val="000000"/>
                <w:sz w:val="18"/>
                <w:szCs w:val="18"/>
                <w:lang w:val="en-US" w:eastAsia="zh-CN"/>
              </w:rPr>
              <w:t>(</w:t>
            </w:r>
            <w:r w:rsidRPr="00B33B1E">
              <w:rPr>
                <w:i/>
                <w:iCs/>
                <w:color w:val="000000"/>
                <w:sz w:val="18"/>
                <w:szCs w:val="18"/>
                <w:lang w:val="en-US" w:eastAsia="zh-CN"/>
              </w:rPr>
              <w:t>2023</w:t>
            </w:r>
            <w:r w:rsidRPr="00C11849">
              <w:t>–</w:t>
            </w:r>
            <w:r w:rsidRPr="00B33B1E">
              <w:rPr>
                <w:i/>
                <w:iCs/>
                <w:color w:val="000000"/>
                <w:sz w:val="18"/>
                <w:szCs w:val="18"/>
                <w:lang w:val="en-US" w:eastAsia="zh-CN"/>
              </w:rPr>
              <w:t>2024</w:t>
            </w:r>
            <w:r>
              <w:rPr>
                <w:i/>
                <w:iCs/>
                <w:color w:val="000000"/>
                <w:sz w:val="18"/>
                <w:szCs w:val="18"/>
                <w:lang w:val="en-US" w:eastAsia="zh-CN"/>
              </w:rPr>
              <w:t>)</w:t>
            </w:r>
          </w:p>
        </w:tc>
      </w:tr>
      <w:tr w:rsidR="00CF5A93" w:rsidRPr="002C3F26" w14:paraId="0BE1D1B2" w14:textId="77777777" w:rsidTr="00B33B1E">
        <w:trPr>
          <w:trHeight w:val="253"/>
        </w:trPr>
        <w:tc>
          <w:tcPr>
            <w:tcW w:w="0" w:type="auto"/>
            <w:vMerge/>
            <w:tcBorders>
              <w:bottom w:val="single" w:sz="12" w:space="0" w:color="auto"/>
            </w:tcBorders>
            <w:vAlign w:val="center"/>
            <w:hideMark/>
          </w:tcPr>
          <w:p w14:paraId="1393726E" w14:textId="77777777" w:rsidR="00CF5A93" w:rsidRPr="002C3F26" w:rsidRDefault="00CF5A93" w:rsidP="006D2ABA">
            <w:pPr>
              <w:keepNext/>
              <w:keepLines/>
              <w:jc w:val="left"/>
              <w:rPr>
                <w:b/>
                <w:bCs/>
                <w:i/>
                <w:iCs/>
                <w:color w:val="000000"/>
                <w:sz w:val="18"/>
                <w:szCs w:val="18"/>
                <w:lang w:val="en-US" w:eastAsia="zh-CN"/>
              </w:rPr>
            </w:pPr>
          </w:p>
        </w:tc>
        <w:tc>
          <w:tcPr>
            <w:tcW w:w="0" w:type="auto"/>
            <w:vMerge/>
            <w:tcBorders>
              <w:bottom w:val="single" w:sz="12" w:space="0" w:color="auto"/>
            </w:tcBorders>
            <w:vAlign w:val="center"/>
            <w:hideMark/>
          </w:tcPr>
          <w:p w14:paraId="1A99A73A" w14:textId="77777777" w:rsidR="00CF5A93" w:rsidRPr="002C3F26" w:rsidRDefault="00CF5A93" w:rsidP="006D2ABA">
            <w:pPr>
              <w:keepNext/>
              <w:keepLines/>
              <w:jc w:val="left"/>
              <w:rPr>
                <w:b/>
                <w:bCs/>
                <w:i/>
                <w:iCs/>
                <w:color w:val="000000"/>
                <w:sz w:val="18"/>
                <w:szCs w:val="18"/>
                <w:lang w:val="en-US" w:eastAsia="zh-CN"/>
              </w:rPr>
            </w:pPr>
          </w:p>
        </w:tc>
      </w:tr>
      <w:tr w:rsidR="00CF5A93" w:rsidRPr="002C3F26" w14:paraId="7F9B0078" w14:textId="77777777" w:rsidTr="00B33B1E">
        <w:trPr>
          <w:trHeight w:val="300"/>
        </w:trPr>
        <w:tc>
          <w:tcPr>
            <w:tcW w:w="0" w:type="auto"/>
            <w:tcBorders>
              <w:top w:val="single" w:sz="12" w:space="0" w:color="auto"/>
            </w:tcBorders>
            <w:shd w:val="clear" w:color="auto" w:fill="auto"/>
            <w:vAlign w:val="center"/>
            <w:hideMark/>
          </w:tcPr>
          <w:p w14:paraId="71366018" w14:textId="77777777" w:rsidR="00CF5A93" w:rsidRPr="002C3F26" w:rsidRDefault="00CF5A93" w:rsidP="006D2ABA">
            <w:pPr>
              <w:keepNext/>
              <w:keepLines/>
              <w:jc w:val="left"/>
              <w:rPr>
                <w:color w:val="000000"/>
                <w:sz w:val="18"/>
                <w:szCs w:val="18"/>
                <w:lang w:val="en-US" w:eastAsia="zh-CN"/>
              </w:rPr>
            </w:pPr>
            <w:r w:rsidRPr="002C3F26">
              <w:rPr>
                <w:color w:val="000000"/>
                <w:sz w:val="18"/>
                <w:szCs w:val="18"/>
                <w:lang w:val="en-US" w:eastAsia="zh-CN"/>
              </w:rPr>
              <w:t>Approved budget</w:t>
            </w:r>
          </w:p>
        </w:tc>
        <w:tc>
          <w:tcPr>
            <w:tcW w:w="0" w:type="auto"/>
            <w:tcBorders>
              <w:top w:val="single" w:sz="12" w:space="0" w:color="auto"/>
            </w:tcBorders>
            <w:shd w:val="clear" w:color="auto" w:fill="auto"/>
            <w:vAlign w:val="center"/>
            <w:hideMark/>
          </w:tcPr>
          <w:p w14:paraId="4E116F08" w14:textId="3C797360" w:rsidR="00CF5A93" w:rsidRPr="002C3F26" w:rsidRDefault="00CF5A93" w:rsidP="00B33B1E">
            <w:pPr>
              <w:keepNext/>
              <w:keepLines/>
              <w:jc w:val="right"/>
              <w:rPr>
                <w:color w:val="000000"/>
                <w:sz w:val="18"/>
                <w:szCs w:val="18"/>
                <w:lang w:val="en-US" w:eastAsia="zh-CN"/>
              </w:rPr>
            </w:pPr>
            <w:r w:rsidRPr="002C3F26">
              <w:rPr>
                <w:color w:val="000000"/>
                <w:sz w:val="18"/>
                <w:szCs w:val="18"/>
                <w:lang w:val="en-US" w:eastAsia="zh-CN"/>
              </w:rPr>
              <w:t>41</w:t>
            </w:r>
            <w:r>
              <w:rPr>
                <w:color w:val="000000"/>
                <w:sz w:val="18"/>
                <w:szCs w:val="18"/>
                <w:lang w:val="en-US" w:eastAsia="zh-CN"/>
              </w:rPr>
              <w:t> </w:t>
            </w:r>
            <w:r w:rsidRPr="002C3F26">
              <w:rPr>
                <w:color w:val="000000"/>
                <w:sz w:val="18"/>
                <w:szCs w:val="18"/>
                <w:lang w:val="en-US" w:eastAsia="zh-CN"/>
              </w:rPr>
              <w:t>646.1</w:t>
            </w:r>
          </w:p>
        </w:tc>
      </w:tr>
      <w:tr w:rsidR="00CF5A93" w:rsidRPr="002C3F26" w14:paraId="20600F93" w14:textId="77777777" w:rsidTr="00B33B1E">
        <w:trPr>
          <w:trHeight w:val="300"/>
        </w:trPr>
        <w:tc>
          <w:tcPr>
            <w:tcW w:w="0" w:type="auto"/>
            <w:shd w:val="clear" w:color="auto" w:fill="auto"/>
            <w:vAlign w:val="center"/>
            <w:hideMark/>
          </w:tcPr>
          <w:p w14:paraId="786E0755" w14:textId="77777777" w:rsidR="00CF5A93" w:rsidRPr="002C3F26" w:rsidRDefault="00CF5A93" w:rsidP="006D2ABA">
            <w:pPr>
              <w:keepNext/>
              <w:keepLines/>
              <w:jc w:val="left"/>
              <w:rPr>
                <w:color w:val="000000"/>
                <w:sz w:val="18"/>
                <w:szCs w:val="18"/>
                <w:lang w:val="en-US" w:eastAsia="zh-CN"/>
              </w:rPr>
            </w:pPr>
            <w:r w:rsidRPr="002C3F26">
              <w:rPr>
                <w:color w:val="000000"/>
                <w:sz w:val="18"/>
                <w:szCs w:val="18"/>
                <w:lang w:val="en-US" w:eastAsia="zh-CN"/>
              </w:rPr>
              <w:t>Host country</w:t>
            </w:r>
          </w:p>
        </w:tc>
        <w:tc>
          <w:tcPr>
            <w:tcW w:w="0" w:type="auto"/>
            <w:shd w:val="clear" w:color="auto" w:fill="auto"/>
            <w:vAlign w:val="center"/>
            <w:hideMark/>
          </w:tcPr>
          <w:p w14:paraId="301C3EF1" w14:textId="6F6E49B6" w:rsidR="00CF5A93" w:rsidRPr="002C3F26" w:rsidRDefault="00CF5A93" w:rsidP="00B33B1E">
            <w:pPr>
              <w:keepNext/>
              <w:keepLines/>
              <w:jc w:val="right"/>
              <w:rPr>
                <w:color w:val="000000"/>
                <w:sz w:val="18"/>
                <w:szCs w:val="18"/>
                <w:lang w:val="en-US" w:eastAsia="zh-CN"/>
              </w:rPr>
            </w:pPr>
            <w:r>
              <w:rPr>
                <w:color w:val="000000"/>
                <w:sz w:val="18"/>
                <w:szCs w:val="18"/>
                <w:lang w:val="en-US" w:eastAsia="zh-CN"/>
              </w:rPr>
              <w:t>(</w:t>
            </w:r>
            <w:r w:rsidRPr="002C3F26">
              <w:rPr>
                <w:color w:val="000000"/>
                <w:sz w:val="18"/>
                <w:szCs w:val="18"/>
                <w:lang w:val="en-US" w:eastAsia="zh-CN"/>
              </w:rPr>
              <w:t>3</w:t>
            </w:r>
            <w:r>
              <w:rPr>
                <w:color w:val="000000"/>
                <w:sz w:val="18"/>
                <w:szCs w:val="18"/>
                <w:lang w:val="en-US" w:eastAsia="zh-CN"/>
              </w:rPr>
              <w:t> </w:t>
            </w:r>
            <w:r w:rsidRPr="002C3F26">
              <w:rPr>
                <w:color w:val="000000"/>
                <w:sz w:val="18"/>
                <w:szCs w:val="18"/>
                <w:lang w:val="en-US" w:eastAsia="zh-CN"/>
              </w:rPr>
              <w:t>298.1</w:t>
            </w:r>
            <w:r>
              <w:rPr>
                <w:color w:val="000000"/>
                <w:sz w:val="18"/>
                <w:szCs w:val="18"/>
                <w:lang w:val="en-US" w:eastAsia="zh-CN"/>
              </w:rPr>
              <w:t>)</w:t>
            </w:r>
          </w:p>
        </w:tc>
      </w:tr>
      <w:tr w:rsidR="00CF5A93" w:rsidRPr="002C3F26" w14:paraId="2892D25C" w14:textId="77777777" w:rsidTr="00B33B1E">
        <w:trPr>
          <w:trHeight w:val="300"/>
        </w:trPr>
        <w:tc>
          <w:tcPr>
            <w:tcW w:w="0" w:type="auto"/>
            <w:shd w:val="clear" w:color="auto" w:fill="auto"/>
            <w:vAlign w:val="center"/>
            <w:hideMark/>
          </w:tcPr>
          <w:p w14:paraId="20423D2A" w14:textId="7DF38E88" w:rsidR="00CF5A93" w:rsidRPr="00123008" w:rsidRDefault="00CF5A93" w:rsidP="006D2ABA">
            <w:pPr>
              <w:keepNext/>
              <w:keepLines/>
              <w:jc w:val="left"/>
              <w:rPr>
                <w:color w:val="000000"/>
                <w:sz w:val="18"/>
                <w:szCs w:val="18"/>
                <w:lang w:val="en-US" w:eastAsia="zh-CN"/>
              </w:rPr>
            </w:pPr>
            <w:r w:rsidRPr="00123008">
              <w:rPr>
                <w:color w:val="000000"/>
                <w:sz w:val="18"/>
                <w:szCs w:val="18"/>
                <w:lang w:val="en-US" w:eastAsia="zh-CN"/>
              </w:rPr>
              <w:t>Savings from prior year</w:t>
            </w:r>
            <w:r w:rsidR="00412BC9">
              <w:rPr>
                <w:color w:val="000000"/>
                <w:sz w:val="18"/>
                <w:szCs w:val="18"/>
                <w:lang w:val="en-US" w:eastAsia="zh-CN"/>
              </w:rPr>
              <w:t>s</w:t>
            </w:r>
          </w:p>
        </w:tc>
        <w:tc>
          <w:tcPr>
            <w:tcW w:w="0" w:type="auto"/>
            <w:shd w:val="clear" w:color="auto" w:fill="auto"/>
            <w:vAlign w:val="center"/>
            <w:hideMark/>
          </w:tcPr>
          <w:p w14:paraId="28314808" w14:textId="750ECDF0" w:rsidR="00CF5A93" w:rsidRPr="00123008" w:rsidRDefault="00CF5A93" w:rsidP="00B33B1E">
            <w:pPr>
              <w:keepNext/>
              <w:keepLines/>
              <w:jc w:val="right"/>
              <w:rPr>
                <w:color w:val="000000"/>
                <w:sz w:val="18"/>
                <w:szCs w:val="18"/>
                <w:lang w:val="en-US" w:eastAsia="zh-CN"/>
              </w:rPr>
            </w:pPr>
            <w:r>
              <w:rPr>
                <w:color w:val="000000"/>
                <w:sz w:val="18"/>
                <w:szCs w:val="18"/>
                <w:lang w:val="en-US" w:eastAsia="zh-CN"/>
              </w:rPr>
              <w:t>(</w:t>
            </w:r>
            <w:r w:rsidRPr="00123008">
              <w:rPr>
                <w:color w:val="000000"/>
                <w:sz w:val="18"/>
                <w:szCs w:val="18"/>
                <w:lang w:val="en-US" w:eastAsia="zh-CN"/>
              </w:rPr>
              <w:t>410.0</w:t>
            </w:r>
            <w:r>
              <w:rPr>
                <w:color w:val="000000"/>
                <w:sz w:val="18"/>
                <w:szCs w:val="18"/>
                <w:lang w:val="en-US" w:eastAsia="zh-CN"/>
              </w:rPr>
              <w:t>)</w:t>
            </w:r>
          </w:p>
        </w:tc>
      </w:tr>
      <w:tr w:rsidR="00CF5A93" w:rsidRPr="002C3F26" w14:paraId="35842C2D" w14:textId="77777777" w:rsidTr="00B33B1E">
        <w:trPr>
          <w:trHeight w:val="300"/>
        </w:trPr>
        <w:tc>
          <w:tcPr>
            <w:tcW w:w="0" w:type="auto"/>
            <w:tcBorders>
              <w:bottom w:val="single" w:sz="12" w:space="0" w:color="auto"/>
            </w:tcBorders>
            <w:shd w:val="clear" w:color="auto" w:fill="auto"/>
            <w:vAlign w:val="center"/>
            <w:hideMark/>
          </w:tcPr>
          <w:p w14:paraId="239CE9AB" w14:textId="53FF7615" w:rsidR="00CF5A93" w:rsidRPr="00123008" w:rsidRDefault="00CF5A93" w:rsidP="006D2ABA">
            <w:pPr>
              <w:keepNext/>
              <w:keepLines/>
              <w:jc w:val="left"/>
              <w:rPr>
                <w:color w:val="000000"/>
                <w:sz w:val="18"/>
                <w:szCs w:val="18"/>
                <w:lang w:val="en-US" w:eastAsia="zh-CN"/>
              </w:rPr>
            </w:pPr>
            <w:r w:rsidRPr="00123008">
              <w:rPr>
                <w:color w:val="000000"/>
                <w:sz w:val="18"/>
                <w:szCs w:val="18"/>
                <w:lang w:val="en-US" w:eastAsia="zh-CN"/>
              </w:rPr>
              <w:t xml:space="preserve">Additional Parties to the </w:t>
            </w:r>
            <w:r w:rsidR="005D2BE4">
              <w:rPr>
                <w:color w:val="000000"/>
                <w:sz w:val="18"/>
                <w:szCs w:val="18"/>
                <w:lang w:val="en-US" w:eastAsia="zh-CN"/>
              </w:rPr>
              <w:t>Nagoya Protocol</w:t>
            </w:r>
          </w:p>
        </w:tc>
        <w:tc>
          <w:tcPr>
            <w:tcW w:w="0" w:type="auto"/>
            <w:tcBorders>
              <w:bottom w:val="single" w:sz="12" w:space="0" w:color="auto"/>
            </w:tcBorders>
            <w:shd w:val="clear" w:color="auto" w:fill="auto"/>
            <w:vAlign w:val="center"/>
            <w:hideMark/>
          </w:tcPr>
          <w:p w14:paraId="55BCFB38" w14:textId="77777777" w:rsidR="00CF5A93" w:rsidRPr="00123008" w:rsidRDefault="00CF5A93" w:rsidP="00B33B1E">
            <w:pPr>
              <w:keepNext/>
              <w:keepLines/>
              <w:jc w:val="right"/>
              <w:rPr>
                <w:color w:val="000000"/>
                <w:sz w:val="18"/>
                <w:szCs w:val="18"/>
                <w:lang w:val="en-US" w:eastAsia="zh-CN"/>
              </w:rPr>
            </w:pPr>
            <w:r w:rsidRPr="00123008">
              <w:rPr>
                <w:color w:val="000000"/>
                <w:sz w:val="18"/>
                <w:szCs w:val="18"/>
                <w:lang w:val="en-US" w:eastAsia="zh-CN"/>
              </w:rPr>
              <w:t>10.4</w:t>
            </w:r>
          </w:p>
        </w:tc>
      </w:tr>
      <w:tr w:rsidR="00CF5A93" w:rsidRPr="002C3F26" w14:paraId="7C96E497" w14:textId="77777777" w:rsidTr="00B33B1E">
        <w:trPr>
          <w:trHeight w:val="300"/>
        </w:trPr>
        <w:tc>
          <w:tcPr>
            <w:tcW w:w="0" w:type="auto"/>
            <w:tcBorders>
              <w:top w:val="single" w:sz="12" w:space="0" w:color="auto"/>
              <w:bottom w:val="single" w:sz="12" w:space="0" w:color="auto"/>
            </w:tcBorders>
            <w:shd w:val="clear" w:color="auto" w:fill="auto"/>
            <w:vAlign w:val="center"/>
            <w:hideMark/>
          </w:tcPr>
          <w:p w14:paraId="2A9F95B0" w14:textId="1C59C973" w:rsidR="00CF5A93" w:rsidRPr="00123008" w:rsidRDefault="00CF5A93" w:rsidP="006D2ABA">
            <w:pPr>
              <w:keepNext/>
              <w:keepLines/>
              <w:rPr>
                <w:b/>
                <w:bCs/>
                <w:color w:val="000000"/>
                <w:sz w:val="18"/>
                <w:szCs w:val="18"/>
                <w:lang w:val="en-US" w:eastAsia="zh-CN"/>
              </w:rPr>
            </w:pPr>
            <w:r>
              <w:rPr>
                <w:b/>
                <w:bCs/>
                <w:color w:val="000000"/>
                <w:sz w:val="18"/>
                <w:szCs w:val="18"/>
                <w:lang w:val="en-US" w:eastAsia="zh-CN"/>
              </w:rPr>
              <w:tab/>
            </w:r>
            <w:r w:rsidRPr="00123008">
              <w:rPr>
                <w:b/>
                <w:bCs/>
                <w:color w:val="000000"/>
                <w:sz w:val="18"/>
                <w:szCs w:val="18"/>
                <w:lang w:val="en-US" w:eastAsia="zh-CN"/>
              </w:rPr>
              <w:t>Total assessment</w:t>
            </w:r>
          </w:p>
        </w:tc>
        <w:tc>
          <w:tcPr>
            <w:tcW w:w="0" w:type="auto"/>
            <w:tcBorders>
              <w:top w:val="single" w:sz="12" w:space="0" w:color="auto"/>
              <w:bottom w:val="single" w:sz="12" w:space="0" w:color="auto"/>
            </w:tcBorders>
            <w:shd w:val="clear" w:color="auto" w:fill="auto"/>
            <w:vAlign w:val="center"/>
            <w:hideMark/>
          </w:tcPr>
          <w:p w14:paraId="473E4486" w14:textId="0A61F440" w:rsidR="00CF5A93" w:rsidRPr="00123008" w:rsidRDefault="00CF5A93" w:rsidP="00B33B1E">
            <w:pPr>
              <w:keepNext/>
              <w:keepLines/>
              <w:jc w:val="right"/>
              <w:rPr>
                <w:b/>
                <w:bCs/>
                <w:color w:val="000000"/>
                <w:sz w:val="18"/>
                <w:szCs w:val="18"/>
                <w:lang w:val="en-US" w:eastAsia="zh-CN"/>
              </w:rPr>
            </w:pPr>
            <w:r w:rsidRPr="00123008">
              <w:rPr>
                <w:b/>
                <w:bCs/>
                <w:color w:val="000000"/>
                <w:sz w:val="18"/>
                <w:szCs w:val="18"/>
                <w:lang w:val="en-US" w:eastAsia="zh-CN"/>
              </w:rPr>
              <w:t>37</w:t>
            </w:r>
            <w:r>
              <w:rPr>
                <w:b/>
                <w:bCs/>
                <w:color w:val="000000"/>
                <w:sz w:val="18"/>
                <w:szCs w:val="18"/>
                <w:lang w:val="en-US" w:eastAsia="zh-CN"/>
              </w:rPr>
              <w:t> </w:t>
            </w:r>
            <w:r w:rsidRPr="00123008">
              <w:rPr>
                <w:b/>
                <w:bCs/>
                <w:color w:val="000000"/>
                <w:sz w:val="18"/>
                <w:szCs w:val="18"/>
                <w:lang w:val="en-US" w:eastAsia="zh-CN"/>
              </w:rPr>
              <w:t>948.4</w:t>
            </w:r>
          </w:p>
        </w:tc>
      </w:tr>
    </w:tbl>
    <w:p w14:paraId="3EDA0DDC" w14:textId="6DFA7858" w:rsidR="000D4DA8" w:rsidRPr="00BF6BF7" w:rsidRDefault="00B91880" w:rsidP="00FE7DD7">
      <w:pPr>
        <w:pStyle w:val="Para10"/>
        <w:rPr>
          <w:kern w:val="22"/>
          <w:szCs w:val="22"/>
        </w:rPr>
      </w:pPr>
      <w:r>
        <w:t>A</w:t>
      </w:r>
      <w:r w:rsidR="009D5455">
        <w:t xml:space="preserve">s </w:t>
      </w:r>
      <w:proofErr w:type="gramStart"/>
      <w:r w:rsidR="009D5455">
        <w:t>at</w:t>
      </w:r>
      <w:proofErr w:type="gramEnd"/>
      <w:r w:rsidR="009D5455">
        <w:t xml:space="preserve"> 29 February 2024</w:t>
      </w:r>
      <w:r>
        <w:t>, a</w:t>
      </w:r>
      <w:r w:rsidR="00907915" w:rsidRPr="0062740B">
        <w:t xml:space="preserve">rrears </w:t>
      </w:r>
      <w:r>
        <w:t>in</w:t>
      </w:r>
      <w:r w:rsidR="00907915" w:rsidRPr="0062740B">
        <w:t xml:space="preserve"> contributions for 20</w:t>
      </w:r>
      <w:r w:rsidR="00907915">
        <w:t>22</w:t>
      </w:r>
      <w:r w:rsidR="00907915" w:rsidRPr="0062740B">
        <w:t xml:space="preserve"> and prior years </w:t>
      </w:r>
      <w:r w:rsidR="00907915" w:rsidRPr="00BA1B3D">
        <w:t>amount</w:t>
      </w:r>
      <w:r>
        <w:t>ed</w:t>
      </w:r>
      <w:r w:rsidR="00907915" w:rsidRPr="00BA1B3D">
        <w:t xml:space="preserve"> to</w:t>
      </w:r>
      <w:r w:rsidR="00907915" w:rsidRPr="00B33B1E">
        <w:t xml:space="preserve"> $</w:t>
      </w:r>
      <w:r w:rsidR="00907915" w:rsidRPr="00BA1B3D">
        <w:t>4</w:t>
      </w:r>
      <w:r w:rsidR="00907915">
        <w:t>,119,709</w:t>
      </w:r>
      <w:r w:rsidR="00907915" w:rsidRPr="0062740B">
        <w:t>, which represent</w:t>
      </w:r>
      <w:r w:rsidR="00A531D5">
        <w:t>ed</w:t>
      </w:r>
      <w:r w:rsidR="00907915" w:rsidRPr="0062740B">
        <w:t xml:space="preserve"> </w:t>
      </w:r>
      <w:r w:rsidR="00907915">
        <w:t>19.06</w:t>
      </w:r>
      <w:r w:rsidR="00907915" w:rsidRPr="00015160">
        <w:t xml:space="preserve"> per cent</w:t>
      </w:r>
      <w:r w:rsidR="00907915">
        <w:t xml:space="preserve"> </w:t>
      </w:r>
      <w:r w:rsidR="00907915" w:rsidRPr="0062740B">
        <w:t>of the total unpaid contributions</w:t>
      </w:r>
      <w:r w:rsidR="009D5455">
        <w:t>.</w:t>
      </w:r>
      <w:r w:rsidR="00907915" w:rsidRPr="0062740B">
        <w:t xml:space="preserve"> </w:t>
      </w:r>
      <w:r w:rsidR="005B610D">
        <w:t>As at the same date</w:t>
      </w:r>
      <w:r w:rsidR="00907915">
        <w:t xml:space="preserve">, </w:t>
      </w:r>
      <w:r w:rsidR="00BF1D20">
        <w:t>seven</w:t>
      </w:r>
      <w:r w:rsidR="00907915" w:rsidRPr="0062740B">
        <w:t xml:space="preserve"> </w:t>
      </w:r>
      <w:r w:rsidR="00907915">
        <w:t>P</w:t>
      </w:r>
      <w:r w:rsidR="00907915" w:rsidRPr="0062740B">
        <w:t xml:space="preserve">arties to the Convention, </w:t>
      </w:r>
      <w:r w:rsidR="00907915">
        <w:t>11</w:t>
      </w:r>
      <w:r w:rsidR="00907915" w:rsidRPr="0062740B">
        <w:t xml:space="preserve"> </w:t>
      </w:r>
      <w:r w:rsidR="00907915">
        <w:t>P</w:t>
      </w:r>
      <w:r w:rsidR="00907915" w:rsidRPr="0062740B">
        <w:t xml:space="preserve">arties to the Cartagena Protocol and </w:t>
      </w:r>
      <w:r w:rsidR="00907915">
        <w:t>40</w:t>
      </w:r>
      <w:r w:rsidR="00907915" w:rsidRPr="0062740B">
        <w:t xml:space="preserve"> </w:t>
      </w:r>
      <w:r w:rsidR="00907915">
        <w:t>P</w:t>
      </w:r>
      <w:r w:rsidR="00907915" w:rsidRPr="0062740B">
        <w:t>arties to the Nagoya Protocol</w:t>
      </w:r>
      <w:r w:rsidR="00370F65" w:rsidRPr="00370F65">
        <w:t xml:space="preserve"> </w:t>
      </w:r>
      <w:r w:rsidR="00370F65">
        <w:t xml:space="preserve">had </w:t>
      </w:r>
      <w:r w:rsidR="00370F65" w:rsidRPr="0062740B">
        <w:t xml:space="preserve">never paid their contributions since they </w:t>
      </w:r>
      <w:r w:rsidR="00370F65">
        <w:t xml:space="preserve">had </w:t>
      </w:r>
      <w:r w:rsidR="00370F65" w:rsidRPr="0062740B">
        <w:t>bec</w:t>
      </w:r>
      <w:r w:rsidR="00370F65">
        <w:t>o</w:t>
      </w:r>
      <w:r w:rsidR="00370F65" w:rsidRPr="0062740B">
        <w:t>me part</w:t>
      </w:r>
      <w:r w:rsidR="00370F65">
        <w:t>y</w:t>
      </w:r>
      <w:r w:rsidR="00370F65" w:rsidRPr="0062740B">
        <w:t xml:space="preserve"> to the Convention </w:t>
      </w:r>
      <w:r w:rsidR="006D6493">
        <w:t>or</w:t>
      </w:r>
      <w:r w:rsidR="00370F65" w:rsidRPr="0062740B">
        <w:t xml:space="preserve"> the </w:t>
      </w:r>
      <w:r w:rsidR="00370F65">
        <w:t>P</w:t>
      </w:r>
      <w:r w:rsidR="00370F65" w:rsidRPr="0062740B">
        <w:t>rotocols</w:t>
      </w:r>
      <w:r w:rsidR="00907915" w:rsidRPr="0062740B">
        <w:t>.</w:t>
      </w:r>
    </w:p>
    <w:p w14:paraId="400CFF02" w14:textId="3CE7AA46" w:rsidR="00123008" w:rsidRPr="00B33B1E" w:rsidRDefault="00473D0B" w:rsidP="00B33B1E">
      <w:pPr>
        <w:pStyle w:val="ListParagraph"/>
        <w:spacing w:before="120" w:line="259" w:lineRule="auto"/>
        <w:ind w:left="567"/>
        <w:rPr>
          <w:color w:val="000000" w:themeColor="text1"/>
          <w:szCs w:val="22"/>
          <w:lang w:val="en-CA"/>
        </w:rPr>
      </w:pPr>
      <w:r w:rsidRPr="00B33B1E">
        <w:rPr>
          <w:color w:val="000000" w:themeColor="text1"/>
          <w:szCs w:val="22"/>
          <w:lang w:val="en-CA"/>
        </w:rPr>
        <w:t>Table 2</w:t>
      </w:r>
    </w:p>
    <w:p w14:paraId="4315B3C8" w14:textId="0369838F" w:rsidR="00473D0B" w:rsidRPr="00473D0B" w:rsidRDefault="00473D0B" w:rsidP="00637321">
      <w:pPr>
        <w:pStyle w:val="ListParagraph"/>
        <w:spacing w:line="259" w:lineRule="auto"/>
        <w:ind w:left="567"/>
        <w:rPr>
          <w:b/>
          <w:bCs/>
          <w:szCs w:val="22"/>
        </w:rPr>
      </w:pPr>
      <w:r w:rsidRPr="00B33B1E">
        <w:rPr>
          <w:b/>
          <w:bCs/>
          <w:szCs w:val="22"/>
        </w:rPr>
        <w:t>S</w:t>
      </w:r>
      <w:r w:rsidRPr="00123008">
        <w:rPr>
          <w:b/>
          <w:bCs/>
          <w:szCs w:val="22"/>
        </w:rPr>
        <w:t xml:space="preserve">tatus </w:t>
      </w:r>
      <w:r w:rsidR="004212F3">
        <w:rPr>
          <w:b/>
          <w:bCs/>
          <w:szCs w:val="22"/>
        </w:rPr>
        <w:t xml:space="preserve">of </w:t>
      </w:r>
      <w:r w:rsidR="00DD5715">
        <w:rPr>
          <w:b/>
          <w:bCs/>
          <w:szCs w:val="22"/>
        </w:rPr>
        <w:t>u</w:t>
      </w:r>
      <w:r w:rsidR="00637321">
        <w:rPr>
          <w:b/>
          <w:bCs/>
          <w:szCs w:val="22"/>
        </w:rPr>
        <w:t>npaid</w:t>
      </w:r>
      <w:r w:rsidR="004212F3" w:rsidRPr="00123008">
        <w:rPr>
          <w:b/>
          <w:bCs/>
          <w:szCs w:val="22"/>
        </w:rPr>
        <w:t xml:space="preserve"> contribution</w:t>
      </w:r>
      <w:r w:rsidR="004212F3" w:rsidRPr="00DB3A6C">
        <w:rPr>
          <w:b/>
          <w:bCs/>
          <w:szCs w:val="22"/>
        </w:rPr>
        <w:t xml:space="preserve">s </w:t>
      </w:r>
      <w:r w:rsidRPr="00123008">
        <w:rPr>
          <w:b/>
          <w:bCs/>
          <w:szCs w:val="22"/>
        </w:rPr>
        <w:t>as at 29 February 2024</w:t>
      </w:r>
    </w:p>
    <w:p w14:paraId="10EB6741" w14:textId="0F3E3A59" w:rsidR="00473D0B" w:rsidRPr="00B208AA" w:rsidRDefault="00473D0B" w:rsidP="00B33B1E">
      <w:pPr>
        <w:pStyle w:val="ListParagraph"/>
        <w:spacing w:before="60" w:after="60"/>
        <w:ind w:left="567"/>
        <w:rPr>
          <w:b/>
          <w:bCs/>
          <w:szCs w:val="22"/>
        </w:rPr>
      </w:pPr>
      <w:r w:rsidRPr="00473D0B">
        <w:rPr>
          <w:i/>
          <w:iCs/>
          <w:color w:val="000000"/>
          <w:sz w:val="18"/>
          <w:szCs w:val="18"/>
          <w:lang w:val="en-US"/>
        </w:rPr>
        <w:t>(U</w:t>
      </w:r>
      <w:r w:rsidRPr="00B208AA">
        <w:rPr>
          <w:i/>
          <w:iCs/>
          <w:color w:val="000000"/>
          <w:sz w:val="18"/>
          <w:szCs w:val="18"/>
          <w:lang w:val="en-US"/>
        </w:rPr>
        <w:t>nited States dollars)</w:t>
      </w:r>
    </w:p>
    <w:tbl>
      <w:tblPr>
        <w:tblStyle w:val="TableGrid"/>
        <w:tblW w:w="8924" w:type="dxa"/>
        <w:tblInd w:w="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4"/>
        <w:gridCol w:w="1260"/>
        <w:gridCol w:w="1980"/>
        <w:gridCol w:w="1800"/>
        <w:gridCol w:w="1710"/>
      </w:tblGrid>
      <w:tr w:rsidR="00603D2F" w:rsidRPr="00B208AA" w14:paraId="02B69876" w14:textId="1A8D2490" w:rsidTr="00B33B1E">
        <w:trPr>
          <w:trHeight w:val="300"/>
        </w:trPr>
        <w:tc>
          <w:tcPr>
            <w:tcW w:w="2174" w:type="dxa"/>
            <w:tcBorders>
              <w:top w:val="single" w:sz="12" w:space="0" w:color="auto"/>
              <w:bottom w:val="single" w:sz="12" w:space="0" w:color="auto"/>
            </w:tcBorders>
            <w:noWrap/>
            <w:hideMark/>
          </w:tcPr>
          <w:p w14:paraId="31E4E741" w14:textId="01E8C265" w:rsidR="007860F9" w:rsidRPr="00B33B1E" w:rsidRDefault="007860F9" w:rsidP="00B33B1E">
            <w:pPr>
              <w:spacing w:line="259" w:lineRule="auto"/>
              <w:jc w:val="left"/>
              <w:rPr>
                <w:i/>
                <w:iCs/>
                <w:lang w:val="en-US"/>
              </w:rPr>
            </w:pPr>
            <w:r w:rsidRPr="004212F3">
              <w:rPr>
                <w:i/>
                <w:iCs/>
              </w:rPr>
              <w:t>Unpaid contributions</w:t>
            </w:r>
          </w:p>
        </w:tc>
        <w:tc>
          <w:tcPr>
            <w:tcW w:w="1260" w:type="dxa"/>
            <w:tcBorders>
              <w:top w:val="single" w:sz="12" w:space="0" w:color="auto"/>
              <w:left w:val="nil"/>
              <w:bottom w:val="single" w:sz="12" w:space="0" w:color="auto"/>
            </w:tcBorders>
            <w:noWrap/>
            <w:hideMark/>
          </w:tcPr>
          <w:p w14:paraId="35887CC2" w14:textId="59764E11" w:rsidR="007860F9" w:rsidRPr="00B33B1E" w:rsidRDefault="007860F9" w:rsidP="00B33B1E">
            <w:pPr>
              <w:spacing w:line="259" w:lineRule="auto"/>
              <w:jc w:val="right"/>
              <w:rPr>
                <w:i/>
                <w:iCs/>
              </w:rPr>
            </w:pPr>
            <w:r w:rsidRPr="00B33B1E">
              <w:rPr>
                <w:i/>
                <w:iCs/>
              </w:rPr>
              <w:t>Convention</w:t>
            </w:r>
          </w:p>
        </w:tc>
        <w:tc>
          <w:tcPr>
            <w:tcW w:w="1980" w:type="dxa"/>
            <w:tcBorders>
              <w:top w:val="single" w:sz="12" w:space="0" w:color="auto"/>
              <w:left w:val="nil"/>
              <w:bottom w:val="single" w:sz="12" w:space="0" w:color="auto"/>
            </w:tcBorders>
            <w:noWrap/>
            <w:hideMark/>
          </w:tcPr>
          <w:p w14:paraId="5026F7A4" w14:textId="77777777" w:rsidR="007860F9" w:rsidRPr="00B33B1E" w:rsidRDefault="007860F9" w:rsidP="00B33B1E">
            <w:pPr>
              <w:spacing w:line="259" w:lineRule="auto"/>
              <w:jc w:val="right"/>
              <w:rPr>
                <w:i/>
                <w:iCs/>
              </w:rPr>
            </w:pPr>
            <w:r w:rsidRPr="00B33B1E">
              <w:rPr>
                <w:i/>
                <w:iCs/>
              </w:rPr>
              <w:t>Cartagena Protocol</w:t>
            </w:r>
          </w:p>
        </w:tc>
        <w:tc>
          <w:tcPr>
            <w:tcW w:w="1800" w:type="dxa"/>
            <w:tcBorders>
              <w:top w:val="single" w:sz="12" w:space="0" w:color="auto"/>
              <w:left w:val="nil"/>
              <w:bottom w:val="single" w:sz="12" w:space="0" w:color="auto"/>
            </w:tcBorders>
            <w:noWrap/>
            <w:hideMark/>
          </w:tcPr>
          <w:p w14:paraId="01F72E44" w14:textId="77777777" w:rsidR="007860F9" w:rsidRPr="00B33B1E" w:rsidRDefault="007860F9" w:rsidP="00B33B1E">
            <w:pPr>
              <w:spacing w:line="259" w:lineRule="auto"/>
              <w:jc w:val="right"/>
              <w:rPr>
                <w:i/>
                <w:iCs/>
              </w:rPr>
            </w:pPr>
            <w:r w:rsidRPr="00B33B1E">
              <w:rPr>
                <w:i/>
                <w:iCs/>
              </w:rPr>
              <w:t>Nagoya Protocol</w:t>
            </w:r>
          </w:p>
        </w:tc>
        <w:tc>
          <w:tcPr>
            <w:tcW w:w="1710" w:type="dxa"/>
            <w:tcBorders>
              <w:top w:val="single" w:sz="12" w:space="0" w:color="auto"/>
              <w:left w:val="nil"/>
              <w:bottom w:val="single" w:sz="12" w:space="0" w:color="auto"/>
            </w:tcBorders>
          </w:tcPr>
          <w:p w14:paraId="33C067ED" w14:textId="6FEF8A32" w:rsidR="007860F9" w:rsidRPr="007860F9" w:rsidRDefault="007860F9">
            <w:pPr>
              <w:spacing w:line="259" w:lineRule="auto"/>
              <w:jc w:val="right"/>
              <w:rPr>
                <w:i/>
                <w:iCs/>
              </w:rPr>
            </w:pPr>
            <w:r>
              <w:rPr>
                <w:i/>
                <w:iCs/>
              </w:rPr>
              <w:t>Total</w:t>
            </w:r>
          </w:p>
        </w:tc>
      </w:tr>
      <w:tr w:rsidR="00603D2F" w:rsidRPr="00B208AA" w14:paraId="6958AC33" w14:textId="566D9778" w:rsidTr="00B33B1E">
        <w:trPr>
          <w:trHeight w:val="300"/>
        </w:trPr>
        <w:tc>
          <w:tcPr>
            <w:tcW w:w="2174" w:type="dxa"/>
            <w:tcBorders>
              <w:top w:val="single" w:sz="12" w:space="0" w:color="auto"/>
            </w:tcBorders>
            <w:noWrap/>
            <w:hideMark/>
          </w:tcPr>
          <w:p w14:paraId="32038B5C" w14:textId="42A9170F" w:rsidR="007860F9" w:rsidRPr="00B208AA" w:rsidRDefault="007860F9" w:rsidP="00284FCB">
            <w:pPr>
              <w:spacing w:line="259" w:lineRule="auto"/>
            </w:pPr>
            <w:r w:rsidRPr="00B208AA">
              <w:t>202</w:t>
            </w:r>
            <w:r w:rsidRPr="00B33B1E">
              <w:t>3</w:t>
            </w:r>
            <w:r w:rsidRPr="00B208AA">
              <w:t>–</w:t>
            </w:r>
            <w:r w:rsidRPr="00B33B1E">
              <w:t>2</w:t>
            </w:r>
            <w:r w:rsidRPr="00B208AA">
              <w:t xml:space="preserve">024 </w:t>
            </w:r>
          </w:p>
        </w:tc>
        <w:tc>
          <w:tcPr>
            <w:tcW w:w="1260" w:type="dxa"/>
            <w:tcBorders>
              <w:top w:val="single" w:sz="12" w:space="0" w:color="auto"/>
              <w:left w:val="nil"/>
            </w:tcBorders>
            <w:noWrap/>
            <w:hideMark/>
          </w:tcPr>
          <w:p w14:paraId="4D062481" w14:textId="70780E79" w:rsidR="007860F9" w:rsidRPr="00B208AA" w:rsidRDefault="007860F9" w:rsidP="00B33B1E">
            <w:pPr>
              <w:spacing w:line="259" w:lineRule="auto"/>
              <w:jc w:val="right"/>
            </w:pPr>
            <w:r w:rsidRPr="00B208AA">
              <w:t>12</w:t>
            </w:r>
            <w:r>
              <w:t> </w:t>
            </w:r>
            <w:r w:rsidRPr="00B208AA">
              <w:t>436</w:t>
            </w:r>
            <w:r>
              <w:t> </w:t>
            </w:r>
            <w:r w:rsidRPr="00B208AA">
              <w:t>763</w:t>
            </w:r>
          </w:p>
        </w:tc>
        <w:tc>
          <w:tcPr>
            <w:tcW w:w="1980" w:type="dxa"/>
            <w:tcBorders>
              <w:top w:val="single" w:sz="12" w:space="0" w:color="auto"/>
              <w:left w:val="nil"/>
            </w:tcBorders>
            <w:noWrap/>
            <w:hideMark/>
          </w:tcPr>
          <w:p w14:paraId="7FB3441F" w14:textId="2735ACC1" w:rsidR="007860F9" w:rsidRPr="00B208AA" w:rsidRDefault="007860F9" w:rsidP="00B33B1E">
            <w:pPr>
              <w:spacing w:line="259" w:lineRule="auto"/>
              <w:jc w:val="right"/>
            </w:pPr>
            <w:r w:rsidRPr="00B208AA">
              <w:t>2</w:t>
            </w:r>
            <w:r>
              <w:t> </w:t>
            </w:r>
            <w:r w:rsidRPr="00B208AA">
              <w:t>598</w:t>
            </w:r>
            <w:r>
              <w:t> </w:t>
            </w:r>
            <w:r w:rsidRPr="00B208AA">
              <w:t>271</w:t>
            </w:r>
          </w:p>
        </w:tc>
        <w:tc>
          <w:tcPr>
            <w:tcW w:w="1800" w:type="dxa"/>
            <w:tcBorders>
              <w:top w:val="single" w:sz="12" w:space="0" w:color="auto"/>
              <w:left w:val="nil"/>
            </w:tcBorders>
            <w:noWrap/>
            <w:hideMark/>
          </w:tcPr>
          <w:p w14:paraId="1B49629C" w14:textId="50C434CF" w:rsidR="007860F9" w:rsidRPr="00B208AA" w:rsidRDefault="007860F9" w:rsidP="00B33B1E">
            <w:pPr>
              <w:spacing w:line="259" w:lineRule="auto"/>
              <w:jc w:val="right"/>
            </w:pPr>
            <w:r w:rsidRPr="00B208AA">
              <w:t>2</w:t>
            </w:r>
            <w:r>
              <w:t> </w:t>
            </w:r>
            <w:r w:rsidRPr="00B208AA">
              <w:t>459</w:t>
            </w:r>
            <w:r>
              <w:t> </w:t>
            </w:r>
            <w:r w:rsidRPr="00B208AA">
              <w:t>099</w:t>
            </w:r>
          </w:p>
        </w:tc>
        <w:tc>
          <w:tcPr>
            <w:tcW w:w="1710" w:type="dxa"/>
            <w:tcBorders>
              <w:top w:val="single" w:sz="12" w:space="0" w:color="auto"/>
              <w:left w:val="nil"/>
            </w:tcBorders>
          </w:tcPr>
          <w:p w14:paraId="4558AE43" w14:textId="2E1D896D" w:rsidR="007860F9" w:rsidRPr="007860F9" w:rsidDel="00964036" w:rsidRDefault="005D2BE4">
            <w:pPr>
              <w:spacing w:line="259" w:lineRule="auto"/>
              <w:jc w:val="right"/>
            </w:pPr>
            <w:r>
              <w:t>17</w:t>
            </w:r>
            <w:r w:rsidR="00E41EB4">
              <w:t> </w:t>
            </w:r>
            <w:r>
              <w:t>494</w:t>
            </w:r>
            <w:r w:rsidR="00E41EB4">
              <w:t> </w:t>
            </w:r>
            <w:r>
              <w:t>133</w:t>
            </w:r>
          </w:p>
        </w:tc>
      </w:tr>
      <w:tr w:rsidR="00603D2F" w:rsidRPr="00B208AA" w14:paraId="2DD00A5C" w14:textId="3A974FE3" w:rsidTr="00B33B1E">
        <w:trPr>
          <w:trHeight w:val="300"/>
        </w:trPr>
        <w:tc>
          <w:tcPr>
            <w:tcW w:w="2174" w:type="dxa"/>
            <w:tcBorders>
              <w:bottom w:val="single" w:sz="12" w:space="0" w:color="auto"/>
            </w:tcBorders>
            <w:noWrap/>
            <w:hideMark/>
          </w:tcPr>
          <w:p w14:paraId="09D2FCD8" w14:textId="20AA657B" w:rsidR="007860F9" w:rsidRPr="00B208AA" w:rsidRDefault="007860F9" w:rsidP="00284FCB">
            <w:pPr>
              <w:spacing w:line="259" w:lineRule="auto"/>
            </w:pPr>
            <w:r>
              <w:t>P</w:t>
            </w:r>
            <w:r w:rsidRPr="00B208AA">
              <w:t>rior years</w:t>
            </w:r>
          </w:p>
        </w:tc>
        <w:tc>
          <w:tcPr>
            <w:tcW w:w="1260" w:type="dxa"/>
            <w:tcBorders>
              <w:left w:val="nil"/>
              <w:bottom w:val="single" w:sz="12" w:space="0" w:color="auto"/>
            </w:tcBorders>
            <w:noWrap/>
            <w:hideMark/>
          </w:tcPr>
          <w:p w14:paraId="7E3A958D" w14:textId="5DB722C8" w:rsidR="007860F9" w:rsidRPr="00B208AA" w:rsidRDefault="007860F9" w:rsidP="00B33B1E">
            <w:pPr>
              <w:spacing w:line="259" w:lineRule="auto"/>
              <w:jc w:val="right"/>
            </w:pPr>
            <w:r w:rsidRPr="00B208AA">
              <w:t>3</w:t>
            </w:r>
            <w:r>
              <w:t> </w:t>
            </w:r>
            <w:r w:rsidRPr="00B208AA">
              <w:t>023</w:t>
            </w:r>
            <w:r>
              <w:t> </w:t>
            </w:r>
            <w:r w:rsidRPr="00B208AA">
              <w:t>509</w:t>
            </w:r>
          </w:p>
        </w:tc>
        <w:tc>
          <w:tcPr>
            <w:tcW w:w="1980" w:type="dxa"/>
            <w:tcBorders>
              <w:left w:val="nil"/>
              <w:bottom w:val="single" w:sz="12" w:space="0" w:color="auto"/>
            </w:tcBorders>
            <w:noWrap/>
            <w:hideMark/>
          </w:tcPr>
          <w:p w14:paraId="28882D12" w14:textId="7F7DEA9C" w:rsidR="007860F9" w:rsidRPr="00B208AA" w:rsidRDefault="007860F9" w:rsidP="00B33B1E">
            <w:pPr>
              <w:spacing w:line="259" w:lineRule="auto"/>
              <w:jc w:val="right"/>
            </w:pPr>
            <w:r w:rsidRPr="00B208AA">
              <w:t>685</w:t>
            </w:r>
            <w:r>
              <w:t> </w:t>
            </w:r>
            <w:r w:rsidRPr="00B208AA">
              <w:t>907</w:t>
            </w:r>
          </w:p>
        </w:tc>
        <w:tc>
          <w:tcPr>
            <w:tcW w:w="1800" w:type="dxa"/>
            <w:tcBorders>
              <w:left w:val="nil"/>
              <w:bottom w:val="single" w:sz="12" w:space="0" w:color="auto"/>
            </w:tcBorders>
            <w:noWrap/>
            <w:hideMark/>
          </w:tcPr>
          <w:p w14:paraId="0B35E648" w14:textId="01B99880" w:rsidR="007860F9" w:rsidRPr="00B208AA" w:rsidRDefault="007860F9" w:rsidP="00B33B1E">
            <w:pPr>
              <w:spacing w:line="259" w:lineRule="auto"/>
              <w:jc w:val="right"/>
            </w:pPr>
            <w:r w:rsidRPr="00B208AA">
              <w:t>410</w:t>
            </w:r>
            <w:r>
              <w:t> </w:t>
            </w:r>
            <w:r w:rsidRPr="00B208AA">
              <w:t>293</w:t>
            </w:r>
          </w:p>
        </w:tc>
        <w:tc>
          <w:tcPr>
            <w:tcW w:w="1710" w:type="dxa"/>
            <w:tcBorders>
              <w:left w:val="nil"/>
              <w:bottom w:val="single" w:sz="12" w:space="0" w:color="auto"/>
            </w:tcBorders>
          </w:tcPr>
          <w:p w14:paraId="59E09C9E" w14:textId="0353314B" w:rsidR="007860F9" w:rsidRPr="007860F9" w:rsidDel="00964036" w:rsidRDefault="005D2BE4">
            <w:pPr>
              <w:spacing w:line="259" w:lineRule="auto"/>
              <w:jc w:val="right"/>
            </w:pPr>
            <w:r>
              <w:t>4</w:t>
            </w:r>
            <w:r w:rsidR="00E41EB4">
              <w:t> </w:t>
            </w:r>
            <w:r>
              <w:t>119</w:t>
            </w:r>
            <w:r w:rsidR="00E41EB4">
              <w:t> </w:t>
            </w:r>
            <w:r>
              <w:t>709</w:t>
            </w:r>
          </w:p>
        </w:tc>
      </w:tr>
      <w:tr w:rsidR="00603D2F" w:rsidRPr="00881F98" w14:paraId="4AD62071" w14:textId="666250BD" w:rsidTr="00B33B1E">
        <w:trPr>
          <w:trHeight w:val="300"/>
        </w:trPr>
        <w:tc>
          <w:tcPr>
            <w:tcW w:w="2174" w:type="dxa"/>
            <w:tcBorders>
              <w:top w:val="single" w:sz="12" w:space="0" w:color="auto"/>
              <w:bottom w:val="single" w:sz="12" w:space="0" w:color="auto"/>
            </w:tcBorders>
            <w:noWrap/>
            <w:hideMark/>
          </w:tcPr>
          <w:p w14:paraId="212A39B9" w14:textId="0078C088" w:rsidR="007860F9" w:rsidRPr="00B208AA" w:rsidRDefault="007860F9" w:rsidP="00284FCB">
            <w:pPr>
              <w:spacing w:line="259" w:lineRule="auto"/>
              <w:rPr>
                <w:b/>
                <w:bCs/>
              </w:rPr>
            </w:pPr>
            <w:r>
              <w:rPr>
                <w:b/>
                <w:bCs/>
              </w:rPr>
              <w:tab/>
            </w:r>
            <w:r w:rsidRPr="00B208AA">
              <w:rPr>
                <w:b/>
                <w:bCs/>
              </w:rPr>
              <w:t>Total</w:t>
            </w:r>
          </w:p>
        </w:tc>
        <w:tc>
          <w:tcPr>
            <w:tcW w:w="1260" w:type="dxa"/>
            <w:tcBorders>
              <w:top w:val="single" w:sz="12" w:space="0" w:color="auto"/>
              <w:left w:val="nil"/>
              <w:bottom w:val="single" w:sz="12" w:space="0" w:color="auto"/>
            </w:tcBorders>
            <w:noWrap/>
            <w:hideMark/>
          </w:tcPr>
          <w:p w14:paraId="6BF540ED" w14:textId="1DD98F84" w:rsidR="007860F9" w:rsidRPr="00B208AA" w:rsidRDefault="007860F9" w:rsidP="00B33B1E">
            <w:pPr>
              <w:spacing w:line="259" w:lineRule="auto"/>
              <w:jc w:val="right"/>
              <w:rPr>
                <w:b/>
                <w:bCs/>
              </w:rPr>
            </w:pPr>
            <w:r w:rsidRPr="00B208AA">
              <w:rPr>
                <w:b/>
                <w:bCs/>
              </w:rPr>
              <w:t>15</w:t>
            </w:r>
            <w:r>
              <w:rPr>
                <w:b/>
                <w:bCs/>
              </w:rPr>
              <w:t> </w:t>
            </w:r>
            <w:r w:rsidRPr="00B208AA">
              <w:rPr>
                <w:b/>
                <w:bCs/>
              </w:rPr>
              <w:t>460</w:t>
            </w:r>
            <w:r>
              <w:rPr>
                <w:b/>
                <w:bCs/>
              </w:rPr>
              <w:t> </w:t>
            </w:r>
            <w:r w:rsidRPr="00B208AA">
              <w:rPr>
                <w:b/>
                <w:bCs/>
              </w:rPr>
              <w:t>272</w:t>
            </w:r>
          </w:p>
        </w:tc>
        <w:tc>
          <w:tcPr>
            <w:tcW w:w="1980" w:type="dxa"/>
            <w:tcBorders>
              <w:top w:val="single" w:sz="12" w:space="0" w:color="auto"/>
              <w:left w:val="nil"/>
              <w:bottom w:val="single" w:sz="12" w:space="0" w:color="auto"/>
            </w:tcBorders>
            <w:noWrap/>
            <w:hideMark/>
          </w:tcPr>
          <w:p w14:paraId="3AC8B251" w14:textId="5D6FA88C" w:rsidR="007860F9" w:rsidRPr="00B208AA" w:rsidRDefault="007860F9" w:rsidP="00B33B1E">
            <w:pPr>
              <w:spacing w:line="259" w:lineRule="auto"/>
              <w:jc w:val="right"/>
              <w:rPr>
                <w:b/>
                <w:bCs/>
              </w:rPr>
            </w:pPr>
            <w:r w:rsidRPr="00B208AA">
              <w:rPr>
                <w:b/>
                <w:bCs/>
              </w:rPr>
              <w:t>3</w:t>
            </w:r>
            <w:r>
              <w:rPr>
                <w:b/>
                <w:bCs/>
              </w:rPr>
              <w:t> </w:t>
            </w:r>
            <w:r w:rsidRPr="00B208AA">
              <w:rPr>
                <w:b/>
                <w:bCs/>
              </w:rPr>
              <w:t>284</w:t>
            </w:r>
            <w:r>
              <w:rPr>
                <w:b/>
                <w:bCs/>
              </w:rPr>
              <w:t> </w:t>
            </w:r>
            <w:r w:rsidRPr="00B208AA">
              <w:rPr>
                <w:b/>
                <w:bCs/>
              </w:rPr>
              <w:t>178</w:t>
            </w:r>
          </w:p>
        </w:tc>
        <w:tc>
          <w:tcPr>
            <w:tcW w:w="1800" w:type="dxa"/>
            <w:tcBorders>
              <w:top w:val="single" w:sz="12" w:space="0" w:color="auto"/>
              <w:left w:val="nil"/>
              <w:bottom w:val="single" w:sz="12" w:space="0" w:color="auto"/>
            </w:tcBorders>
            <w:noWrap/>
            <w:hideMark/>
          </w:tcPr>
          <w:p w14:paraId="406DAEC2" w14:textId="2CE8CDDC" w:rsidR="007860F9" w:rsidRPr="00881F98" w:rsidRDefault="007860F9" w:rsidP="00B33B1E">
            <w:pPr>
              <w:spacing w:line="259" w:lineRule="auto"/>
              <w:jc w:val="right"/>
              <w:rPr>
                <w:b/>
                <w:bCs/>
              </w:rPr>
            </w:pPr>
            <w:r w:rsidRPr="00B208AA">
              <w:rPr>
                <w:b/>
                <w:bCs/>
              </w:rPr>
              <w:t>2</w:t>
            </w:r>
            <w:r>
              <w:rPr>
                <w:b/>
                <w:bCs/>
              </w:rPr>
              <w:t> </w:t>
            </w:r>
            <w:r w:rsidRPr="00B208AA">
              <w:rPr>
                <w:b/>
                <w:bCs/>
              </w:rPr>
              <w:t>869</w:t>
            </w:r>
            <w:r>
              <w:rPr>
                <w:b/>
                <w:bCs/>
              </w:rPr>
              <w:t> </w:t>
            </w:r>
            <w:r w:rsidRPr="00B208AA">
              <w:rPr>
                <w:b/>
                <w:bCs/>
              </w:rPr>
              <w:t>392</w:t>
            </w:r>
          </w:p>
        </w:tc>
        <w:tc>
          <w:tcPr>
            <w:tcW w:w="1710" w:type="dxa"/>
            <w:tcBorders>
              <w:top w:val="single" w:sz="12" w:space="0" w:color="auto"/>
              <w:left w:val="nil"/>
              <w:bottom w:val="single" w:sz="12" w:space="0" w:color="auto"/>
            </w:tcBorders>
          </w:tcPr>
          <w:p w14:paraId="64C05A18" w14:textId="01221C21" w:rsidR="007860F9" w:rsidRPr="007860F9" w:rsidDel="00964036" w:rsidRDefault="005D2BE4" w:rsidP="005D2BE4">
            <w:pPr>
              <w:spacing w:line="259" w:lineRule="auto"/>
              <w:jc w:val="right"/>
              <w:rPr>
                <w:b/>
                <w:bCs/>
              </w:rPr>
            </w:pPr>
            <w:r w:rsidRPr="005D2BE4">
              <w:rPr>
                <w:b/>
                <w:bCs/>
              </w:rPr>
              <w:t>2</w:t>
            </w:r>
            <w:r>
              <w:rPr>
                <w:b/>
                <w:bCs/>
              </w:rPr>
              <w:t>1</w:t>
            </w:r>
            <w:r w:rsidRPr="005D2BE4">
              <w:rPr>
                <w:b/>
                <w:bCs/>
              </w:rPr>
              <w:t> </w:t>
            </w:r>
            <w:r>
              <w:rPr>
                <w:b/>
                <w:bCs/>
              </w:rPr>
              <w:t>613</w:t>
            </w:r>
            <w:r w:rsidRPr="005D2BE4">
              <w:rPr>
                <w:b/>
                <w:bCs/>
              </w:rPr>
              <w:t> </w:t>
            </w:r>
            <w:r>
              <w:rPr>
                <w:b/>
                <w:bCs/>
              </w:rPr>
              <w:t>842</w:t>
            </w:r>
          </w:p>
        </w:tc>
      </w:tr>
    </w:tbl>
    <w:p w14:paraId="1A8BCAD3" w14:textId="7A2E2F42" w:rsidR="0043104B" w:rsidRPr="0059246D" w:rsidRDefault="0043104B" w:rsidP="00FE7DD7">
      <w:pPr>
        <w:pStyle w:val="Para10"/>
      </w:pPr>
      <w:r w:rsidRPr="0059246D">
        <w:t xml:space="preserve">In </w:t>
      </w:r>
      <w:r w:rsidR="00765C17">
        <w:t xml:space="preserve">its </w:t>
      </w:r>
      <w:r w:rsidRPr="0059246D">
        <w:t xml:space="preserve">decision 15/34, the Conference of the Parties urged Parties that had still not paid their </w:t>
      </w:r>
      <w:r w:rsidRPr="007E3A14">
        <w:t xml:space="preserve">contributions to the core budgets for 2022 and prior years to do so without delay or conditionalities. The Executive Secretary </w:t>
      </w:r>
      <w:r w:rsidR="00FB594D">
        <w:t xml:space="preserve">was also requested </w:t>
      </w:r>
      <w:r w:rsidR="00382352">
        <w:t>to</w:t>
      </w:r>
      <w:r w:rsidR="00382352" w:rsidRPr="007E3A14">
        <w:t xml:space="preserve"> </w:t>
      </w:r>
      <w:r w:rsidRPr="007E3A14">
        <w:t>take follow-up action</w:t>
      </w:r>
      <w:r w:rsidR="00BA5823">
        <w:t>,</w:t>
      </w:r>
      <w:r w:rsidRPr="007E3A14">
        <w:t xml:space="preserve"> together with the </w:t>
      </w:r>
      <w:r w:rsidRPr="00B33B1E">
        <w:t>United Nations Environment Programme</w:t>
      </w:r>
      <w:r w:rsidRPr="007E3A14">
        <w:t xml:space="preserve"> </w:t>
      </w:r>
      <w:r w:rsidR="00F13A9D">
        <w:t xml:space="preserve">(UNEP) </w:t>
      </w:r>
      <w:r w:rsidRPr="007E3A14">
        <w:t>and the President of the Conference of the Parties, in line with paragraphs 18 to 24 of the decision.</w:t>
      </w:r>
      <w:r w:rsidRPr="0059246D">
        <w:t xml:space="preserve"> </w:t>
      </w:r>
    </w:p>
    <w:p w14:paraId="7FF0B39A" w14:textId="70EA692E" w:rsidR="0043104B" w:rsidRPr="0059246D" w:rsidRDefault="0043104B" w:rsidP="00FE7DD7">
      <w:pPr>
        <w:pStyle w:val="Para10"/>
      </w:pPr>
      <w:r w:rsidRPr="0059246D">
        <w:t xml:space="preserve">The tables of assessed contributions to the core budgets for the Convention and </w:t>
      </w:r>
      <w:r w:rsidR="00860795">
        <w:t xml:space="preserve">the </w:t>
      </w:r>
      <w:r w:rsidRPr="0059246D">
        <w:t xml:space="preserve">Protocols </w:t>
      </w:r>
      <w:r w:rsidR="005E5445">
        <w:t xml:space="preserve">are </w:t>
      </w:r>
      <w:r w:rsidR="00BC70B5">
        <w:t>available</w:t>
      </w:r>
      <w:r w:rsidR="00BC70B5" w:rsidRPr="0059246D">
        <w:t xml:space="preserve"> </w:t>
      </w:r>
      <w:r w:rsidRPr="0059246D">
        <w:t>on the Secretariat’s website</w:t>
      </w:r>
      <w:r w:rsidRPr="0059246D">
        <w:rPr>
          <w:color w:val="000000" w:themeColor="text1"/>
          <w:kern w:val="20"/>
        </w:rPr>
        <w:t>.</w:t>
      </w:r>
      <w:r w:rsidR="007E3A14">
        <w:rPr>
          <w:rStyle w:val="FootnoteReference"/>
          <w:color w:val="000000" w:themeColor="text1"/>
          <w:kern w:val="20"/>
        </w:rPr>
        <w:footnoteReference w:id="3"/>
      </w:r>
    </w:p>
    <w:p w14:paraId="19AD80E2" w14:textId="5CE1233F" w:rsidR="000D4DA8" w:rsidRPr="00BF6BF7" w:rsidRDefault="000D4DA8" w:rsidP="00FE7DD7">
      <w:pPr>
        <w:pStyle w:val="Heading3"/>
        <w:numPr>
          <w:ilvl w:val="0"/>
          <w:numId w:val="12"/>
        </w:numPr>
        <w:suppressLineNumbers/>
        <w:tabs>
          <w:tab w:val="left" w:pos="426"/>
        </w:tabs>
        <w:suppressAutoHyphens/>
        <w:kinsoku w:val="0"/>
        <w:overflowPunct w:val="0"/>
        <w:autoSpaceDE w:val="0"/>
        <w:autoSpaceDN w:val="0"/>
        <w:adjustRightInd w:val="0"/>
        <w:snapToGrid w:val="0"/>
        <w:ind w:left="567" w:hanging="567"/>
        <w:rPr>
          <w:rFonts w:eastAsia="Malgun Gothic"/>
          <w:i/>
          <w:snapToGrid w:val="0"/>
          <w:kern w:val="22"/>
          <w:lang w:eastAsia="ko-KR"/>
        </w:rPr>
      </w:pPr>
      <w:r w:rsidRPr="00BF6BF7">
        <w:rPr>
          <w:rFonts w:eastAsia="Malgun Gothic"/>
          <w:snapToGrid w:val="0"/>
          <w:kern w:val="22"/>
          <w:lang w:eastAsia="ko-KR"/>
        </w:rPr>
        <w:t>Expenditure</w:t>
      </w:r>
    </w:p>
    <w:p w14:paraId="61A30E6D" w14:textId="3CFD79C4" w:rsidR="00864092" w:rsidRPr="00D74B26" w:rsidRDefault="005E7D27" w:rsidP="00FE7DD7">
      <w:pPr>
        <w:pStyle w:val="Para10"/>
        <w:rPr>
          <w:color w:val="000000"/>
        </w:rPr>
      </w:pPr>
      <w:r>
        <w:t xml:space="preserve">As </w:t>
      </w:r>
      <w:proofErr w:type="gramStart"/>
      <w:r>
        <w:t>at</w:t>
      </w:r>
      <w:proofErr w:type="gramEnd"/>
      <w:r w:rsidR="00321005" w:rsidRPr="001F7A23">
        <w:t xml:space="preserve"> </w:t>
      </w:r>
      <w:r w:rsidR="00B75958">
        <w:t>29 February 2024</w:t>
      </w:r>
      <w:r w:rsidR="00321005" w:rsidRPr="001F7A23">
        <w:t xml:space="preserve">, </w:t>
      </w:r>
      <w:r w:rsidR="00A326B7">
        <w:t xml:space="preserve">expenditure </w:t>
      </w:r>
      <w:r>
        <w:t xml:space="preserve">for the biennium </w:t>
      </w:r>
      <w:r w:rsidR="00A326B7">
        <w:t xml:space="preserve">amounted to </w:t>
      </w:r>
      <w:r w:rsidR="00E52FED">
        <w:t>nearly $22</w:t>
      </w:r>
      <w:r w:rsidR="00AE3D4A" w:rsidRPr="00BA1B3D">
        <w:rPr>
          <w:color w:val="000000"/>
        </w:rPr>
        <w:t xml:space="preserve"> </w:t>
      </w:r>
      <w:r w:rsidR="00321005" w:rsidRPr="00BA1B3D">
        <w:rPr>
          <w:color w:val="000000"/>
        </w:rPr>
        <w:t>million</w:t>
      </w:r>
      <w:r w:rsidR="00321005" w:rsidRPr="001F7A23">
        <w:t xml:space="preserve"> (see table </w:t>
      </w:r>
      <w:r w:rsidR="008158E1">
        <w:t>3</w:t>
      </w:r>
      <w:r w:rsidR="00321005" w:rsidRPr="001F7A23">
        <w:t>).</w:t>
      </w:r>
    </w:p>
    <w:p w14:paraId="708FD7B5" w14:textId="15632236" w:rsidR="00864092" w:rsidRPr="00B33B1E" w:rsidRDefault="009B6746" w:rsidP="00B33B1E">
      <w:pPr>
        <w:pStyle w:val="Heading3"/>
        <w:numPr>
          <w:ilvl w:val="0"/>
          <w:numId w:val="0"/>
        </w:numPr>
        <w:suppressLineNumbers/>
        <w:tabs>
          <w:tab w:val="left" w:pos="1080"/>
        </w:tabs>
        <w:suppressAutoHyphens/>
        <w:kinsoku w:val="0"/>
        <w:overflowPunct w:val="0"/>
        <w:autoSpaceDE w:val="0"/>
        <w:autoSpaceDN w:val="0"/>
        <w:adjustRightInd w:val="0"/>
        <w:snapToGrid w:val="0"/>
        <w:ind w:left="567"/>
        <w:rPr>
          <w:rFonts w:eastAsia="Malgun Gothic"/>
          <w:b w:val="0"/>
          <w:bCs w:val="0"/>
          <w:snapToGrid w:val="0"/>
          <w:kern w:val="22"/>
          <w:lang w:eastAsia="ko-KR"/>
        </w:rPr>
      </w:pPr>
      <w:r w:rsidRPr="00B33B1E">
        <w:rPr>
          <w:rFonts w:eastAsia="Malgun Gothic"/>
          <w:snapToGrid w:val="0"/>
          <w:kern w:val="22"/>
          <w:lang w:eastAsia="ko-KR"/>
        </w:rPr>
        <w:t>(a)</w:t>
      </w:r>
      <w:r w:rsidRPr="00B33B1E">
        <w:rPr>
          <w:rFonts w:eastAsia="Malgun Gothic"/>
          <w:snapToGrid w:val="0"/>
          <w:kern w:val="22"/>
          <w:lang w:eastAsia="ko-KR"/>
        </w:rPr>
        <w:tab/>
      </w:r>
      <w:r w:rsidR="00864092" w:rsidRPr="00B33B1E">
        <w:rPr>
          <w:rFonts w:eastAsia="Malgun Gothic"/>
          <w:snapToGrid w:val="0"/>
          <w:kern w:val="22"/>
          <w:lang w:eastAsia="ko-KR"/>
        </w:rPr>
        <w:t>Staff costs</w:t>
      </w:r>
    </w:p>
    <w:p w14:paraId="701D5626" w14:textId="3024AC76" w:rsidR="00C341B7" w:rsidRPr="00FE7DD7" w:rsidRDefault="005A521E" w:rsidP="00FE7DD7">
      <w:pPr>
        <w:pStyle w:val="Para10"/>
      </w:pPr>
      <w:r w:rsidRPr="00113472">
        <w:t>At its</w:t>
      </w:r>
      <w:r w:rsidR="001B3853" w:rsidRPr="00113472">
        <w:t xml:space="preserve"> fifteenth meeting</w:t>
      </w:r>
      <w:r w:rsidR="005E5445" w:rsidRPr="00113472">
        <w:t>,</w:t>
      </w:r>
      <w:r w:rsidR="001B3853" w:rsidRPr="00113472">
        <w:t xml:space="preserve"> the Conference approved </w:t>
      </w:r>
      <w:r w:rsidR="00690E02">
        <w:t xml:space="preserve">a budget of $24.1 million for a staffing table of </w:t>
      </w:r>
      <w:r w:rsidR="009B6AA7">
        <w:t xml:space="preserve">82 </w:t>
      </w:r>
      <w:r w:rsidR="00690E02">
        <w:t xml:space="preserve">posts </w:t>
      </w:r>
      <w:r w:rsidR="009B6AA7">
        <w:t>(</w:t>
      </w:r>
      <w:r w:rsidR="009558BF">
        <w:t>53</w:t>
      </w:r>
      <w:r w:rsidR="006C454E">
        <w:t xml:space="preserve"> posts </w:t>
      </w:r>
      <w:r w:rsidR="00A67454">
        <w:t xml:space="preserve">in the Professional </w:t>
      </w:r>
      <w:r w:rsidR="009136BE">
        <w:t xml:space="preserve">and higher </w:t>
      </w:r>
      <w:r w:rsidR="00A67454">
        <w:t>categor</w:t>
      </w:r>
      <w:r w:rsidR="009136BE">
        <w:t>ies</w:t>
      </w:r>
      <w:r w:rsidR="00A67454">
        <w:t xml:space="preserve"> </w:t>
      </w:r>
      <w:r w:rsidR="006C454E">
        <w:t>and 29</w:t>
      </w:r>
      <w:r w:rsidR="003E361F">
        <w:t> </w:t>
      </w:r>
      <w:r w:rsidR="006A0693">
        <w:t>posts</w:t>
      </w:r>
      <w:r w:rsidR="00A67454">
        <w:t xml:space="preserve"> in the General Service category</w:t>
      </w:r>
      <w:r w:rsidR="006C454E">
        <w:t xml:space="preserve">). </w:t>
      </w:r>
      <w:r w:rsidR="0037140B">
        <w:t>A</w:t>
      </w:r>
      <w:r w:rsidR="0023182C">
        <w:t>s</w:t>
      </w:r>
      <w:r w:rsidR="0037140B">
        <w:t xml:space="preserve"> </w:t>
      </w:r>
      <w:proofErr w:type="gramStart"/>
      <w:r w:rsidR="0037140B">
        <w:t>at</w:t>
      </w:r>
      <w:proofErr w:type="gramEnd"/>
      <w:r w:rsidR="0037140B">
        <w:t xml:space="preserve"> 29</w:t>
      </w:r>
      <w:r w:rsidR="0023182C">
        <w:t> </w:t>
      </w:r>
      <w:r w:rsidR="0037140B">
        <w:t>Febr</w:t>
      </w:r>
      <w:r w:rsidR="0023182C">
        <w:t xml:space="preserve">uary 2024, </w:t>
      </w:r>
      <w:r w:rsidR="00690E02">
        <w:t xml:space="preserve">expenditure </w:t>
      </w:r>
      <w:r w:rsidR="008713B3">
        <w:t>amounted to</w:t>
      </w:r>
      <w:r w:rsidR="00690E02">
        <w:t xml:space="preserve"> $13.8 million</w:t>
      </w:r>
      <w:r w:rsidR="008640DF">
        <w:t>.</w:t>
      </w:r>
    </w:p>
    <w:p w14:paraId="3C574C26" w14:textId="09F903E3" w:rsidR="00990912" w:rsidRPr="00B33B1E" w:rsidRDefault="00D54D12" w:rsidP="00B33B1E">
      <w:pPr>
        <w:pStyle w:val="Heading3"/>
        <w:numPr>
          <w:ilvl w:val="0"/>
          <w:numId w:val="0"/>
        </w:numPr>
        <w:suppressLineNumbers/>
        <w:tabs>
          <w:tab w:val="left" w:pos="426"/>
          <w:tab w:val="left" w:pos="1080"/>
        </w:tabs>
        <w:suppressAutoHyphens/>
        <w:kinsoku w:val="0"/>
        <w:overflowPunct w:val="0"/>
        <w:autoSpaceDE w:val="0"/>
        <w:autoSpaceDN w:val="0"/>
        <w:adjustRightInd w:val="0"/>
        <w:snapToGrid w:val="0"/>
        <w:ind w:left="567"/>
        <w:rPr>
          <w:rFonts w:eastAsia="Malgun Gothic"/>
          <w:b w:val="0"/>
          <w:bCs w:val="0"/>
          <w:snapToGrid w:val="0"/>
          <w:kern w:val="22"/>
          <w:lang w:eastAsia="ko-KR"/>
        </w:rPr>
      </w:pPr>
      <w:r w:rsidRPr="00B33B1E">
        <w:rPr>
          <w:rFonts w:eastAsia="Malgun Gothic"/>
          <w:snapToGrid w:val="0"/>
          <w:kern w:val="22"/>
          <w:lang w:eastAsia="ko-KR"/>
        </w:rPr>
        <w:t>(</w:t>
      </w:r>
      <w:r w:rsidR="00C15914" w:rsidRPr="00B33B1E">
        <w:rPr>
          <w:rFonts w:eastAsia="Malgun Gothic"/>
          <w:snapToGrid w:val="0"/>
          <w:kern w:val="22"/>
          <w:lang w:eastAsia="ko-KR"/>
        </w:rPr>
        <w:t>b</w:t>
      </w:r>
      <w:r w:rsidRPr="00B33B1E">
        <w:rPr>
          <w:rFonts w:eastAsia="Malgun Gothic"/>
          <w:snapToGrid w:val="0"/>
          <w:kern w:val="22"/>
          <w:lang w:eastAsia="ko-KR"/>
        </w:rPr>
        <w:t>)</w:t>
      </w:r>
      <w:r w:rsidR="00C15914" w:rsidRPr="00B33B1E">
        <w:rPr>
          <w:rFonts w:eastAsia="Malgun Gothic"/>
          <w:snapToGrid w:val="0"/>
          <w:kern w:val="22"/>
          <w:lang w:eastAsia="ko-KR"/>
        </w:rPr>
        <w:tab/>
      </w:r>
      <w:r w:rsidR="00864092" w:rsidRPr="00B33B1E">
        <w:rPr>
          <w:rFonts w:eastAsia="Malgun Gothic"/>
          <w:snapToGrid w:val="0"/>
          <w:kern w:val="22"/>
          <w:lang w:eastAsia="ko-KR"/>
        </w:rPr>
        <w:t>Meeting</w:t>
      </w:r>
      <w:r w:rsidR="005E5445" w:rsidRPr="00B33B1E">
        <w:rPr>
          <w:rFonts w:eastAsia="Malgun Gothic"/>
          <w:snapToGrid w:val="0"/>
          <w:kern w:val="22"/>
          <w:lang w:eastAsia="ko-KR"/>
        </w:rPr>
        <w:t>s</w:t>
      </w:r>
      <w:r w:rsidR="00864092" w:rsidRPr="00B33B1E">
        <w:rPr>
          <w:rFonts w:eastAsia="Malgun Gothic"/>
          <w:snapToGrid w:val="0"/>
          <w:kern w:val="22"/>
          <w:lang w:eastAsia="ko-KR"/>
        </w:rPr>
        <w:t xml:space="preserve"> </w:t>
      </w:r>
      <w:r w:rsidR="00A73D53" w:rsidRPr="00B33B1E">
        <w:rPr>
          <w:rFonts w:eastAsia="Malgun Gothic"/>
          <w:snapToGrid w:val="0"/>
          <w:kern w:val="22"/>
          <w:lang w:eastAsia="ko-KR"/>
        </w:rPr>
        <w:t>of intergovernmental bodies</w:t>
      </w:r>
    </w:p>
    <w:p w14:paraId="27E424C6" w14:textId="24BB69FA" w:rsidR="00A25735" w:rsidRPr="00FE7DD7" w:rsidRDefault="007143EF" w:rsidP="00FE7DD7">
      <w:pPr>
        <w:pStyle w:val="Para10"/>
        <w:rPr>
          <w:color w:val="000000"/>
        </w:rPr>
      </w:pPr>
      <w:r w:rsidRPr="005F2461">
        <w:t>The Conference of the Parties approved</w:t>
      </w:r>
      <w:r w:rsidR="00A63AC8" w:rsidRPr="005F2461">
        <w:t xml:space="preserve"> a budget of $5,584,600</w:t>
      </w:r>
      <w:r w:rsidR="00726626" w:rsidRPr="005F2461">
        <w:t xml:space="preserve"> for the </w:t>
      </w:r>
      <w:r w:rsidR="00724A24" w:rsidRPr="005F2461">
        <w:t>biennium</w:t>
      </w:r>
      <w:r w:rsidR="00726626" w:rsidRPr="005F2461">
        <w:t xml:space="preserve"> to cover the conference costs of the </w:t>
      </w:r>
      <w:r w:rsidR="0080551C" w:rsidRPr="00F63FF1">
        <w:t>meetings</w:t>
      </w:r>
      <w:r w:rsidR="005E5445" w:rsidRPr="00F63FF1">
        <w:t xml:space="preserve"> of </w:t>
      </w:r>
      <w:r w:rsidR="00E91086">
        <w:t xml:space="preserve">the </w:t>
      </w:r>
      <w:r w:rsidR="005E5445" w:rsidRPr="00F63FF1">
        <w:t>subsidiary bodies</w:t>
      </w:r>
      <w:r w:rsidR="001105A9" w:rsidRPr="00F63FF1">
        <w:t xml:space="preserve">, </w:t>
      </w:r>
      <w:r w:rsidR="00D2645B" w:rsidRPr="00F63FF1">
        <w:t>the</w:t>
      </w:r>
      <w:r w:rsidR="0080551C" w:rsidRPr="00F63FF1">
        <w:t xml:space="preserve"> </w:t>
      </w:r>
      <w:r w:rsidR="005E5445" w:rsidRPr="00F63FF1">
        <w:rPr>
          <w:rFonts w:asciiTheme="majorBidi" w:hAnsiTheme="majorBidi" w:cstheme="majorBidi"/>
          <w:color w:val="000000"/>
        </w:rPr>
        <w:t>s</w:t>
      </w:r>
      <w:r w:rsidR="00DA7989" w:rsidRPr="00F63FF1">
        <w:rPr>
          <w:rFonts w:asciiTheme="majorBidi" w:hAnsiTheme="majorBidi" w:cstheme="majorBidi"/>
          <w:color w:val="000000"/>
        </w:rPr>
        <w:t xml:space="preserve">ixteenth meeting of the </w:t>
      </w:r>
      <w:r w:rsidR="00DA7989" w:rsidRPr="00B33B1E">
        <w:rPr>
          <w:rFonts w:asciiTheme="majorBidi" w:hAnsiTheme="majorBidi" w:cstheme="majorBidi"/>
          <w:color w:val="000000"/>
        </w:rPr>
        <w:t>Conference of the Parties to the Convention</w:t>
      </w:r>
      <w:r w:rsidR="00860795">
        <w:rPr>
          <w:rFonts w:asciiTheme="majorBidi" w:hAnsiTheme="majorBidi" w:cstheme="majorBidi"/>
          <w:color w:val="000000"/>
        </w:rPr>
        <w:t>,</w:t>
      </w:r>
      <w:r w:rsidR="00DA7989" w:rsidRPr="00B33B1E">
        <w:rPr>
          <w:rFonts w:asciiTheme="majorBidi" w:hAnsiTheme="majorBidi" w:cstheme="majorBidi"/>
          <w:color w:val="000000"/>
        </w:rPr>
        <w:t xml:space="preserve"> </w:t>
      </w:r>
      <w:r w:rsidR="00DA7989" w:rsidRPr="00F63FF1">
        <w:rPr>
          <w:rFonts w:asciiTheme="majorBidi" w:hAnsiTheme="majorBidi" w:cstheme="majorBidi"/>
          <w:color w:val="000000"/>
        </w:rPr>
        <w:t xml:space="preserve">the </w:t>
      </w:r>
      <w:r w:rsidR="005E5445" w:rsidRPr="00F63FF1">
        <w:rPr>
          <w:rFonts w:asciiTheme="majorBidi" w:hAnsiTheme="majorBidi" w:cstheme="majorBidi"/>
          <w:color w:val="000000"/>
        </w:rPr>
        <w:t>e</w:t>
      </w:r>
      <w:r w:rsidR="00DA7989" w:rsidRPr="00F63FF1">
        <w:rPr>
          <w:rFonts w:asciiTheme="majorBidi" w:hAnsiTheme="majorBidi" w:cstheme="majorBidi"/>
          <w:color w:val="000000"/>
        </w:rPr>
        <w:t xml:space="preserve">leventh meeting of the Conference of the Parties serving as the meeting of the Parties to the Cartagena Protocol and the </w:t>
      </w:r>
      <w:r w:rsidR="005E5445" w:rsidRPr="00F63FF1">
        <w:rPr>
          <w:rFonts w:asciiTheme="majorBidi" w:hAnsiTheme="majorBidi" w:cstheme="majorBidi"/>
          <w:color w:val="000000"/>
        </w:rPr>
        <w:t>f</w:t>
      </w:r>
      <w:r w:rsidR="00DA7989" w:rsidRPr="00F63FF1">
        <w:rPr>
          <w:rFonts w:asciiTheme="majorBidi" w:hAnsiTheme="majorBidi" w:cstheme="majorBidi"/>
          <w:color w:val="000000"/>
        </w:rPr>
        <w:t>ifth meeting of the Conference of the Parties serving as the meeting of the Parties to the Nagoya Protocol</w:t>
      </w:r>
      <w:r w:rsidR="002474DB">
        <w:rPr>
          <w:rFonts w:asciiTheme="majorBidi" w:hAnsiTheme="majorBidi" w:cstheme="majorBidi"/>
          <w:color w:val="000000"/>
        </w:rPr>
        <w:t>.</w:t>
      </w:r>
      <w:r w:rsidR="0080551C" w:rsidRPr="00B33B1E">
        <w:t xml:space="preserve"> </w:t>
      </w:r>
      <w:r w:rsidR="00C35AAB">
        <w:t xml:space="preserve">A total of </w:t>
      </w:r>
      <w:r w:rsidR="007102F6" w:rsidRPr="00B33B1E">
        <w:t>$</w:t>
      </w:r>
      <w:r w:rsidR="007102F6" w:rsidRPr="00F63FF1">
        <w:t xml:space="preserve">1.3 million was spent to </w:t>
      </w:r>
      <w:r w:rsidR="007102F6" w:rsidRPr="00F63FF1">
        <w:lastRenderedPageBreak/>
        <w:t xml:space="preserve">cover the costs of </w:t>
      </w:r>
      <w:r w:rsidR="00A25735" w:rsidRPr="00F63FF1">
        <w:rPr>
          <w:lang w:val="en-US"/>
        </w:rPr>
        <w:t xml:space="preserve">the </w:t>
      </w:r>
      <w:r w:rsidR="005E5445" w:rsidRPr="00F63FF1">
        <w:t>t</w:t>
      </w:r>
      <w:r w:rsidR="00A25735" w:rsidRPr="00F63FF1">
        <w:t xml:space="preserve">wenty-fifth meeting of the </w:t>
      </w:r>
      <w:r w:rsidR="00A25735" w:rsidRPr="00B33B1E">
        <w:t>Subsidiary Body on Scientific, Technical and Technological Advice</w:t>
      </w:r>
      <w:r w:rsidR="00A25735" w:rsidRPr="00F63FF1">
        <w:t xml:space="preserve">, </w:t>
      </w:r>
      <w:r w:rsidR="00A25735" w:rsidRPr="00F63FF1">
        <w:rPr>
          <w:lang w:val="en-US"/>
        </w:rPr>
        <w:t xml:space="preserve">the </w:t>
      </w:r>
      <w:r w:rsidR="005E5445" w:rsidRPr="00F63FF1">
        <w:t>r</w:t>
      </w:r>
      <w:r w:rsidR="00A25735" w:rsidRPr="00F63FF1">
        <w:t>esumed second part</w:t>
      </w:r>
      <w:r w:rsidR="00CC34AB">
        <w:t>s</w:t>
      </w:r>
      <w:r w:rsidR="00A25735" w:rsidRPr="00F63FF1">
        <w:t xml:space="preserve"> of the fifteenth meeting of the </w:t>
      </w:r>
      <w:r w:rsidR="00A25735" w:rsidRPr="00B33B1E">
        <w:t>Conference of the Parties to the Convention</w:t>
      </w:r>
      <w:r w:rsidR="00860795">
        <w:t>,</w:t>
      </w:r>
      <w:r w:rsidR="00A25735" w:rsidRPr="00B33B1E">
        <w:t xml:space="preserve"> </w:t>
      </w:r>
      <w:r w:rsidR="000E3493" w:rsidRPr="000E3493">
        <w:t xml:space="preserve">the tenth meeting of the Conference of the Parties serving as the meeting of the Parties to the Cartagena Protocol </w:t>
      </w:r>
      <w:r w:rsidR="00191EA9">
        <w:t xml:space="preserve">and </w:t>
      </w:r>
      <w:r w:rsidR="00253836" w:rsidRPr="00253836">
        <w:t>the fourth meeting of the Conference of the Parties serving as the meeting of the Parties to the Nagoya Protocol</w:t>
      </w:r>
      <w:r w:rsidR="000E3493">
        <w:t>,</w:t>
      </w:r>
      <w:r w:rsidR="00191EA9" w:rsidRPr="00191EA9">
        <w:t xml:space="preserve"> </w:t>
      </w:r>
      <w:r w:rsidR="00191EA9" w:rsidRPr="00F63FF1">
        <w:t xml:space="preserve">which were </w:t>
      </w:r>
      <w:r w:rsidR="00707DFC">
        <w:t xml:space="preserve">all </w:t>
      </w:r>
      <w:r w:rsidR="00191EA9" w:rsidRPr="00F63FF1">
        <w:t>held</w:t>
      </w:r>
      <w:r w:rsidR="0039449B">
        <w:t xml:space="preserve"> </w:t>
      </w:r>
      <w:r w:rsidR="00191EA9" w:rsidRPr="00F63FF1">
        <w:t>in October 2023</w:t>
      </w:r>
      <w:r w:rsidR="0039449B">
        <w:t xml:space="preserve">, and </w:t>
      </w:r>
      <w:r w:rsidR="00A25735" w:rsidRPr="00F63FF1">
        <w:t xml:space="preserve">the </w:t>
      </w:r>
      <w:r w:rsidR="005E5445" w:rsidRPr="00F63FF1">
        <w:t>t</w:t>
      </w:r>
      <w:r w:rsidR="00A25735" w:rsidRPr="00F63FF1">
        <w:t>welfth meeting of the Ad Hoc Open-ended Intersessional Working Group o</w:t>
      </w:r>
      <w:r w:rsidR="00A25735" w:rsidRPr="00B33B1E">
        <w:t>n Article</w:t>
      </w:r>
      <w:r w:rsidR="00A25735" w:rsidRPr="00F63FF1">
        <w:t xml:space="preserve"> 8(j) and Related Provisions of the </w:t>
      </w:r>
      <w:r w:rsidR="00A25735" w:rsidRPr="00B33B1E">
        <w:t>Convention</w:t>
      </w:r>
      <w:r w:rsidR="00D73FAF">
        <w:t>,</w:t>
      </w:r>
      <w:r w:rsidR="00A25735" w:rsidRPr="00B33B1E">
        <w:t xml:space="preserve"> </w:t>
      </w:r>
      <w:r w:rsidR="00321005" w:rsidRPr="00F63FF1">
        <w:t xml:space="preserve">which </w:t>
      </w:r>
      <w:r w:rsidR="0039449B">
        <w:t>was</w:t>
      </w:r>
      <w:r w:rsidR="0039449B" w:rsidRPr="00F63FF1">
        <w:t xml:space="preserve"> </w:t>
      </w:r>
      <w:r w:rsidR="00141334" w:rsidRPr="00F63FF1">
        <w:t>held</w:t>
      </w:r>
      <w:r w:rsidR="0016254B">
        <w:t xml:space="preserve"> the following month</w:t>
      </w:r>
      <w:r w:rsidR="00141334" w:rsidRPr="00F63FF1">
        <w:t xml:space="preserve">. </w:t>
      </w:r>
      <w:r w:rsidR="005E5445" w:rsidRPr="00F63FF1">
        <w:t>The costs of the first meeting of the Ad Hoc Open</w:t>
      </w:r>
      <w:r w:rsidR="005E5445" w:rsidRPr="005E5445">
        <w:t>-ended Working Group on Benefit-sharing from the Use of Digital Sequence Information on Genetic Resources</w:t>
      </w:r>
      <w:r w:rsidR="00F80BF5">
        <w:t>, also held in November 2023,</w:t>
      </w:r>
      <w:r w:rsidR="005E5445" w:rsidRPr="005E5445">
        <w:t xml:space="preserve"> </w:t>
      </w:r>
      <w:r w:rsidR="005E5445">
        <w:t xml:space="preserve">were covered by </w:t>
      </w:r>
      <w:r w:rsidR="004B123F">
        <w:t xml:space="preserve">a </w:t>
      </w:r>
      <w:r w:rsidR="005E5445">
        <w:t>voluntary contribution</w:t>
      </w:r>
      <w:r w:rsidR="004B123F">
        <w:t xml:space="preserve"> from the Government of Norway</w:t>
      </w:r>
      <w:r w:rsidR="005E5445">
        <w:t>.</w:t>
      </w:r>
    </w:p>
    <w:p w14:paraId="06579A20" w14:textId="16B9E7B8" w:rsidR="007D0C53" w:rsidRPr="00B33B1E" w:rsidRDefault="00D54D12" w:rsidP="00B33B1E">
      <w:pPr>
        <w:pStyle w:val="Heading3"/>
        <w:numPr>
          <w:ilvl w:val="0"/>
          <w:numId w:val="0"/>
        </w:numPr>
        <w:suppressLineNumbers/>
        <w:tabs>
          <w:tab w:val="left" w:pos="1080"/>
        </w:tabs>
        <w:suppressAutoHyphens/>
        <w:kinsoku w:val="0"/>
        <w:overflowPunct w:val="0"/>
        <w:autoSpaceDE w:val="0"/>
        <w:autoSpaceDN w:val="0"/>
        <w:adjustRightInd w:val="0"/>
        <w:snapToGrid w:val="0"/>
        <w:ind w:left="567"/>
        <w:rPr>
          <w:rFonts w:eastAsia="Malgun Gothic"/>
          <w:b w:val="0"/>
          <w:bCs w:val="0"/>
          <w:snapToGrid w:val="0"/>
          <w:kern w:val="22"/>
          <w:lang w:eastAsia="ko-KR"/>
        </w:rPr>
      </w:pPr>
      <w:r w:rsidRPr="00B33B1E">
        <w:rPr>
          <w:rFonts w:eastAsia="Malgun Gothic"/>
          <w:snapToGrid w:val="0"/>
          <w:kern w:val="22"/>
          <w:lang w:eastAsia="ko-KR"/>
        </w:rPr>
        <w:t>(c)</w:t>
      </w:r>
      <w:r w:rsidRPr="00B33B1E">
        <w:rPr>
          <w:rFonts w:eastAsia="Malgun Gothic"/>
          <w:snapToGrid w:val="0"/>
          <w:kern w:val="22"/>
          <w:lang w:eastAsia="ko-KR"/>
        </w:rPr>
        <w:tab/>
      </w:r>
      <w:r w:rsidR="007D0C53" w:rsidRPr="00B33B1E">
        <w:rPr>
          <w:rFonts w:eastAsia="Malgun Gothic"/>
          <w:snapToGrid w:val="0"/>
          <w:kern w:val="22"/>
          <w:lang w:eastAsia="ko-KR"/>
        </w:rPr>
        <w:t>Bureau meetings</w:t>
      </w:r>
    </w:p>
    <w:p w14:paraId="24130166" w14:textId="272FE34C" w:rsidR="007D0C53" w:rsidRDefault="00C770AD" w:rsidP="00FE7DD7">
      <w:pPr>
        <w:pStyle w:val="Para10"/>
      </w:pPr>
      <w:r>
        <w:t xml:space="preserve">During the period </w:t>
      </w:r>
      <w:r w:rsidR="00AA32AD">
        <w:t xml:space="preserve">from </w:t>
      </w:r>
      <w:r>
        <w:t>January 2023</w:t>
      </w:r>
      <w:r w:rsidR="005E5445">
        <w:t xml:space="preserve"> to </w:t>
      </w:r>
      <w:r w:rsidR="006604AE" w:rsidRPr="00C720F8">
        <w:t xml:space="preserve">February 2024, two </w:t>
      </w:r>
      <w:r w:rsidR="005E5445" w:rsidRPr="00C720F8">
        <w:t xml:space="preserve">meetings of the </w:t>
      </w:r>
      <w:r w:rsidR="006604AE" w:rsidRPr="00C720F8">
        <w:t>Bureau</w:t>
      </w:r>
      <w:r w:rsidR="005E5445" w:rsidRPr="00C720F8">
        <w:t xml:space="preserve"> of the Conference of the Parties</w:t>
      </w:r>
      <w:r w:rsidR="000C669D" w:rsidRPr="00C720F8">
        <w:t>,</w:t>
      </w:r>
      <w:r w:rsidR="006604AE" w:rsidRPr="00C720F8">
        <w:t xml:space="preserve"> one </w:t>
      </w:r>
      <w:r w:rsidR="005E5445" w:rsidRPr="00C720F8">
        <w:t xml:space="preserve">meeting of the </w:t>
      </w:r>
      <w:r w:rsidR="006604AE" w:rsidRPr="00C720F8">
        <w:t xml:space="preserve">Bureau </w:t>
      </w:r>
      <w:r w:rsidR="005E5445" w:rsidRPr="00C720F8">
        <w:t xml:space="preserve">of the </w:t>
      </w:r>
      <w:r w:rsidR="005E5445" w:rsidRPr="00B33B1E">
        <w:t xml:space="preserve">Subsidiary Body on Scientific, Technical and Technological Advice </w:t>
      </w:r>
      <w:r w:rsidR="000C669D" w:rsidRPr="00B33B1E">
        <w:t>and</w:t>
      </w:r>
      <w:r w:rsidR="000C669D" w:rsidRPr="00C720F8">
        <w:t xml:space="preserve"> one joint </w:t>
      </w:r>
      <w:r w:rsidR="006604AE" w:rsidRPr="00C720F8">
        <w:t>meeting</w:t>
      </w:r>
      <w:r w:rsidR="000C669D" w:rsidRPr="00C720F8">
        <w:t xml:space="preserve"> </w:t>
      </w:r>
      <w:r w:rsidR="005E5445" w:rsidRPr="00C720F8">
        <w:t xml:space="preserve">of the two Bureaux </w:t>
      </w:r>
      <w:r w:rsidR="000C669D" w:rsidRPr="00C720F8">
        <w:t xml:space="preserve">were </w:t>
      </w:r>
      <w:r w:rsidR="005E5314" w:rsidRPr="00C720F8">
        <w:t>held in person</w:t>
      </w:r>
      <w:r w:rsidR="00144932" w:rsidRPr="00C720F8">
        <w:t>.</w:t>
      </w:r>
      <w:r w:rsidR="00144932" w:rsidRPr="00B33B1E">
        <w:t xml:space="preserve"> </w:t>
      </w:r>
      <w:r w:rsidR="00D07D90">
        <w:t xml:space="preserve">A total of </w:t>
      </w:r>
      <w:r w:rsidR="00FB5219" w:rsidRPr="00B33B1E">
        <w:t>$</w:t>
      </w:r>
      <w:r w:rsidR="00B44592" w:rsidRPr="00C720F8">
        <w:t>123,000</w:t>
      </w:r>
      <w:r w:rsidR="00FB5219" w:rsidRPr="00C720F8">
        <w:t xml:space="preserve"> </w:t>
      </w:r>
      <w:r w:rsidR="00B44592" w:rsidRPr="00C720F8">
        <w:t>was</w:t>
      </w:r>
      <w:r w:rsidR="00FB5219" w:rsidRPr="00C720F8">
        <w:t xml:space="preserve"> spent to </w:t>
      </w:r>
      <w:r w:rsidR="00B44592" w:rsidRPr="00C720F8">
        <w:t xml:space="preserve">facilitate the travel of the </w:t>
      </w:r>
      <w:r w:rsidR="00B61DB7">
        <w:t>B</w:t>
      </w:r>
      <w:r w:rsidR="00B44592" w:rsidRPr="00C720F8">
        <w:t xml:space="preserve">ureau members from developing </w:t>
      </w:r>
      <w:r w:rsidR="005E5445" w:rsidRPr="00C720F8">
        <w:t xml:space="preserve">country </w:t>
      </w:r>
      <w:r w:rsidR="00B44592" w:rsidRPr="00C720F8">
        <w:t>Parties.</w:t>
      </w:r>
      <w:r w:rsidR="006175CD">
        <w:t xml:space="preserve"> </w:t>
      </w:r>
    </w:p>
    <w:p w14:paraId="7E5AF807" w14:textId="7CE3C70E" w:rsidR="00480E23" w:rsidRPr="00B33B1E" w:rsidRDefault="00D54D12" w:rsidP="00B33B1E">
      <w:pPr>
        <w:pStyle w:val="Heading3"/>
        <w:numPr>
          <w:ilvl w:val="0"/>
          <w:numId w:val="0"/>
        </w:numPr>
        <w:suppressLineNumbers/>
        <w:tabs>
          <w:tab w:val="left" w:pos="1080"/>
        </w:tabs>
        <w:suppressAutoHyphens/>
        <w:kinsoku w:val="0"/>
        <w:overflowPunct w:val="0"/>
        <w:autoSpaceDE w:val="0"/>
        <w:autoSpaceDN w:val="0"/>
        <w:adjustRightInd w:val="0"/>
        <w:snapToGrid w:val="0"/>
        <w:ind w:left="567"/>
        <w:rPr>
          <w:rFonts w:eastAsia="Malgun Gothic"/>
          <w:b w:val="0"/>
          <w:bCs w:val="0"/>
          <w:snapToGrid w:val="0"/>
          <w:kern w:val="22"/>
          <w:lang w:eastAsia="ko-KR"/>
        </w:rPr>
      </w:pPr>
      <w:r w:rsidRPr="00B33B1E">
        <w:rPr>
          <w:rFonts w:eastAsia="Malgun Gothic"/>
          <w:snapToGrid w:val="0"/>
          <w:kern w:val="22"/>
          <w:lang w:eastAsia="ko-KR"/>
        </w:rPr>
        <w:t>(d)</w:t>
      </w:r>
      <w:r w:rsidRPr="00B33B1E">
        <w:rPr>
          <w:rFonts w:eastAsia="Malgun Gothic"/>
          <w:snapToGrid w:val="0"/>
          <w:kern w:val="22"/>
          <w:lang w:eastAsia="ko-KR"/>
        </w:rPr>
        <w:tab/>
      </w:r>
      <w:r w:rsidR="00480E23" w:rsidRPr="00B33B1E">
        <w:rPr>
          <w:rFonts w:eastAsia="Malgun Gothic"/>
          <w:snapToGrid w:val="0"/>
          <w:kern w:val="22"/>
          <w:lang w:eastAsia="ko-KR"/>
        </w:rPr>
        <w:t>Expert meetings</w:t>
      </w:r>
    </w:p>
    <w:p w14:paraId="6DB4C7CF" w14:textId="6D7C87BA" w:rsidR="000344A8" w:rsidRPr="008F41D2" w:rsidRDefault="00A73716" w:rsidP="00FE7DD7">
      <w:pPr>
        <w:pStyle w:val="Para10"/>
        <w:rPr>
          <w:bCs/>
          <w:i/>
          <w:iCs/>
          <w:kern w:val="22"/>
        </w:rPr>
      </w:pPr>
      <w:r>
        <w:t xml:space="preserve">At its fifteenth meeting, the Conference of the Parties approved </w:t>
      </w:r>
      <w:r w:rsidR="00B7778B">
        <w:t xml:space="preserve">a budget </w:t>
      </w:r>
      <w:r w:rsidR="00B7778B" w:rsidRPr="003F5E1F">
        <w:t>of</w:t>
      </w:r>
      <w:r w:rsidR="00B7778B" w:rsidRPr="00B33B1E">
        <w:t xml:space="preserve"> </w:t>
      </w:r>
      <w:r w:rsidRPr="00B33B1E">
        <w:t>$</w:t>
      </w:r>
      <w:r w:rsidR="00E4458B" w:rsidRPr="003F5E1F">
        <w:t>480</w:t>
      </w:r>
      <w:r w:rsidR="00E4458B">
        <w:t>,00</w:t>
      </w:r>
      <w:r w:rsidR="00545382">
        <w:t xml:space="preserve">0 </w:t>
      </w:r>
      <w:r>
        <w:t xml:space="preserve">to organize </w:t>
      </w:r>
      <w:r w:rsidR="00C6168C">
        <w:t>several</w:t>
      </w:r>
      <w:r>
        <w:t xml:space="preserve"> expert meetings</w:t>
      </w:r>
      <w:r w:rsidR="00B7778B">
        <w:t xml:space="preserve"> </w:t>
      </w:r>
      <w:r w:rsidR="00B7778B" w:rsidRPr="003F5E1F">
        <w:t>in 202</w:t>
      </w:r>
      <w:r w:rsidR="00B7778B" w:rsidRPr="00B33B1E">
        <w:t>3</w:t>
      </w:r>
      <w:r w:rsidR="003F5E1F" w:rsidRPr="00B33B1E">
        <w:t>–</w:t>
      </w:r>
      <w:r w:rsidR="00B7778B" w:rsidRPr="00B33B1E">
        <w:t>2</w:t>
      </w:r>
      <w:r w:rsidR="00B7778B" w:rsidRPr="003F5E1F">
        <w:t>024</w:t>
      </w:r>
      <w:r w:rsidRPr="003F5E1F">
        <w:t xml:space="preserve">. </w:t>
      </w:r>
      <w:r w:rsidR="00DE501A" w:rsidRPr="003F5E1F">
        <w:rPr>
          <w:kern w:val="22"/>
        </w:rPr>
        <w:t>During</w:t>
      </w:r>
      <w:r w:rsidR="00DE501A" w:rsidRPr="00DD3312">
        <w:rPr>
          <w:kern w:val="22"/>
        </w:rPr>
        <w:t xml:space="preserve"> the period </w:t>
      </w:r>
      <w:r w:rsidR="00131F40">
        <w:rPr>
          <w:kern w:val="22"/>
        </w:rPr>
        <w:t xml:space="preserve">from </w:t>
      </w:r>
      <w:r w:rsidR="00DE501A" w:rsidRPr="00DD3312">
        <w:rPr>
          <w:kern w:val="22"/>
        </w:rPr>
        <w:t>January 2023</w:t>
      </w:r>
      <w:r w:rsidR="005E5445">
        <w:rPr>
          <w:kern w:val="22"/>
        </w:rPr>
        <w:t xml:space="preserve"> to </w:t>
      </w:r>
      <w:r w:rsidR="00DE501A" w:rsidRPr="00DD3312">
        <w:rPr>
          <w:kern w:val="22"/>
        </w:rPr>
        <w:t xml:space="preserve">February 2024, the Secretariat </w:t>
      </w:r>
      <w:r w:rsidR="00AD28AC">
        <w:rPr>
          <w:kern w:val="22"/>
        </w:rPr>
        <w:t xml:space="preserve">organized the following </w:t>
      </w:r>
      <w:bookmarkStart w:id="2" w:name="_Hlk165274162"/>
      <w:r w:rsidR="00AD28AC">
        <w:rPr>
          <w:kern w:val="22"/>
        </w:rPr>
        <w:t>expert meeting</w:t>
      </w:r>
      <w:r w:rsidR="00320D9B">
        <w:rPr>
          <w:kern w:val="22"/>
        </w:rPr>
        <w:t>s</w:t>
      </w:r>
      <w:bookmarkEnd w:id="2"/>
      <w:r w:rsidR="00320D9B">
        <w:rPr>
          <w:kern w:val="22"/>
        </w:rPr>
        <w:t xml:space="preserve">, for </w:t>
      </w:r>
      <w:r w:rsidR="00834266">
        <w:rPr>
          <w:kern w:val="22"/>
        </w:rPr>
        <w:t>a</w:t>
      </w:r>
      <w:r w:rsidR="00320D9B">
        <w:rPr>
          <w:kern w:val="22"/>
        </w:rPr>
        <w:t xml:space="preserve"> total </w:t>
      </w:r>
      <w:r w:rsidR="00320D9B" w:rsidRPr="008F41D2">
        <w:rPr>
          <w:kern w:val="22"/>
        </w:rPr>
        <w:t>cost</w:t>
      </w:r>
      <w:r w:rsidR="00694BD0" w:rsidRPr="008F41D2">
        <w:rPr>
          <w:kern w:val="22"/>
        </w:rPr>
        <w:t xml:space="preserve"> </w:t>
      </w:r>
      <w:r w:rsidR="00834266" w:rsidRPr="008F41D2">
        <w:rPr>
          <w:kern w:val="22"/>
        </w:rPr>
        <w:t>of</w:t>
      </w:r>
      <w:r w:rsidR="00320D9B" w:rsidRPr="00B33B1E">
        <w:rPr>
          <w:kern w:val="22"/>
        </w:rPr>
        <w:t xml:space="preserve"> </w:t>
      </w:r>
      <w:r w:rsidR="00694BD0" w:rsidRPr="00B33B1E">
        <w:rPr>
          <w:kern w:val="22"/>
        </w:rPr>
        <w:t>$</w:t>
      </w:r>
      <w:r w:rsidR="00AD28AC" w:rsidRPr="008F41D2">
        <w:rPr>
          <w:kern w:val="22"/>
        </w:rPr>
        <w:t>278,000</w:t>
      </w:r>
      <w:r w:rsidR="000344A8" w:rsidRPr="008F41D2">
        <w:rPr>
          <w:kern w:val="22"/>
        </w:rPr>
        <w:t>:</w:t>
      </w:r>
    </w:p>
    <w:p w14:paraId="68AFBBA3" w14:textId="77777777" w:rsidR="00395C65" w:rsidRPr="00D74B26" w:rsidRDefault="00395C65" w:rsidP="00B33B1E">
      <w:pPr>
        <w:pStyle w:val="ListParagraph"/>
        <w:numPr>
          <w:ilvl w:val="0"/>
          <w:numId w:val="14"/>
        </w:numPr>
        <w:spacing w:before="120" w:after="120"/>
        <w:ind w:left="990" w:hanging="450"/>
        <w:contextualSpacing w:val="0"/>
        <w:rPr>
          <w:rFonts w:asciiTheme="majorBidi" w:hAnsiTheme="majorBidi" w:cstheme="majorBidi"/>
          <w:szCs w:val="22"/>
        </w:rPr>
      </w:pPr>
      <w:r w:rsidRPr="00F342AD">
        <w:rPr>
          <w:rFonts w:asciiTheme="majorBidi" w:hAnsiTheme="majorBidi" w:cstheme="majorBidi"/>
          <w:spacing w:val="6"/>
          <w:szCs w:val="22"/>
        </w:rPr>
        <w:t xml:space="preserve">Twelfth meeting of the Informal Advisory Committee on the Biosafety </w:t>
      </w:r>
      <w:proofErr w:type="gramStart"/>
      <w:r w:rsidRPr="00F342AD">
        <w:rPr>
          <w:rFonts w:asciiTheme="majorBidi" w:hAnsiTheme="majorBidi" w:cstheme="majorBidi"/>
          <w:spacing w:val="6"/>
          <w:szCs w:val="22"/>
        </w:rPr>
        <w:t>Clearing-House</w:t>
      </w:r>
      <w:proofErr w:type="gramEnd"/>
      <w:r>
        <w:rPr>
          <w:rFonts w:asciiTheme="majorBidi" w:hAnsiTheme="majorBidi" w:cstheme="majorBidi"/>
          <w:spacing w:val="6"/>
          <w:szCs w:val="22"/>
        </w:rPr>
        <w:t xml:space="preserve"> (</w:t>
      </w:r>
      <w:r>
        <w:t>15 and 16 May 2023</w:t>
      </w:r>
      <w:r>
        <w:rPr>
          <w:rFonts w:asciiTheme="majorBidi" w:hAnsiTheme="majorBidi" w:cstheme="majorBidi"/>
          <w:spacing w:val="6"/>
          <w:szCs w:val="22"/>
        </w:rPr>
        <w:t>)</w:t>
      </w:r>
    </w:p>
    <w:p w14:paraId="3724C8F7" w14:textId="5D6FDC63" w:rsidR="00270DF5" w:rsidRPr="00F342AD" w:rsidRDefault="009E6095" w:rsidP="00B33B1E">
      <w:pPr>
        <w:pStyle w:val="ListParagraph"/>
        <w:numPr>
          <w:ilvl w:val="0"/>
          <w:numId w:val="14"/>
        </w:numPr>
        <w:spacing w:before="120" w:after="120"/>
        <w:ind w:left="990" w:hanging="450"/>
        <w:contextualSpacing w:val="0"/>
        <w:rPr>
          <w:rFonts w:asciiTheme="majorBidi" w:hAnsiTheme="majorBidi" w:cstheme="majorBidi"/>
          <w:spacing w:val="6"/>
          <w:szCs w:val="22"/>
        </w:rPr>
      </w:pPr>
      <w:r w:rsidRPr="001543C7">
        <w:rPr>
          <w:rFonts w:asciiTheme="majorBidi" w:hAnsiTheme="majorBidi" w:cstheme="majorBidi"/>
          <w:spacing w:val="6"/>
          <w:szCs w:val="22"/>
        </w:rPr>
        <w:t>First m</w:t>
      </w:r>
      <w:r w:rsidR="00270DF5" w:rsidRPr="001543C7">
        <w:rPr>
          <w:rFonts w:asciiTheme="majorBidi" w:hAnsiTheme="majorBidi" w:cstheme="majorBidi"/>
          <w:spacing w:val="6"/>
          <w:szCs w:val="22"/>
        </w:rPr>
        <w:t>e</w:t>
      </w:r>
      <w:r w:rsidR="00270DF5" w:rsidRPr="00F342AD">
        <w:rPr>
          <w:rFonts w:asciiTheme="majorBidi" w:hAnsiTheme="majorBidi" w:cstheme="majorBidi"/>
          <w:spacing w:val="6"/>
          <w:szCs w:val="22"/>
        </w:rPr>
        <w:t>eting of the Informal Advisory Group on Technical and Scientific Cooperation</w:t>
      </w:r>
      <w:r w:rsidR="0035662A">
        <w:rPr>
          <w:rFonts w:asciiTheme="majorBidi" w:hAnsiTheme="majorBidi" w:cstheme="majorBidi"/>
          <w:spacing w:val="6"/>
          <w:szCs w:val="22"/>
        </w:rPr>
        <w:t xml:space="preserve"> (</w:t>
      </w:r>
      <w:r w:rsidR="0035662A">
        <w:t>14–16 June 2023</w:t>
      </w:r>
      <w:r w:rsidR="001543C7">
        <w:t>)</w:t>
      </w:r>
    </w:p>
    <w:p w14:paraId="27DDE460" w14:textId="77777777" w:rsidR="00395C65" w:rsidRPr="00F342AD" w:rsidRDefault="00395C65" w:rsidP="00B33B1E">
      <w:pPr>
        <w:pStyle w:val="ListParagraph"/>
        <w:numPr>
          <w:ilvl w:val="0"/>
          <w:numId w:val="14"/>
        </w:numPr>
        <w:spacing w:before="120" w:after="120"/>
        <w:ind w:left="990" w:hanging="450"/>
        <w:contextualSpacing w:val="0"/>
        <w:rPr>
          <w:rFonts w:asciiTheme="majorBidi" w:hAnsiTheme="majorBidi" w:cstheme="majorBidi"/>
          <w:spacing w:val="6"/>
          <w:szCs w:val="22"/>
        </w:rPr>
      </w:pPr>
      <w:r>
        <w:rPr>
          <w:rFonts w:asciiTheme="majorBidi" w:hAnsiTheme="majorBidi" w:cstheme="majorBidi"/>
          <w:spacing w:val="6"/>
          <w:szCs w:val="22"/>
        </w:rPr>
        <w:t xml:space="preserve">Fifth meeting of the </w:t>
      </w:r>
      <w:r w:rsidRPr="00F342AD">
        <w:rPr>
          <w:rFonts w:asciiTheme="majorBidi" w:hAnsiTheme="majorBidi" w:cstheme="majorBidi"/>
          <w:spacing w:val="6"/>
          <w:szCs w:val="22"/>
        </w:rPr>
        <w:t>Informal Advisory Committee on Capacity-building for the Implementation of the Nagoya Protocol</w:t>
      </w:r>
      <w:r>
        <w:rPr>
          <w:rFonts w:asciiTheme="majorBidi" w:hAnsiTheme="majorBidi" w:cstheme="majorBidi"/>
          <w:spacing w:val="6"/>
          <w:szCs w:val="22"/>
        </w:rPr>
        <w:t xml:space="preserve"> (</w:t>
      </w:r>
      <w:r>
        <w:t>20–22 June 2023</w:t>
      </w:r>
      <w:r>
        <w:rPr>
          <w:rFonts w:asciiTheme="majorBidi" w:hAnsiTheme="majorBidi" w:cstheme="majorBidi"/>
          <w:spacing w:val="6"/>
          <w:szCs w:val="22"/>
        </w:rPr>
        <w:t>)</w:t>
      </w:r>
    </w:p>
    <w:p w14:paraId="08AB3342" w14:textId="77777777" w:rsidR="00A23F35" w:rsidRPr="00F342AD" w:rsidRDefault="00A23F35" w:rsidP="00B33B1E">
      <w:pPr>
        <w:pStyle w:val="ListParagraph"/>
        <w:numPr>
          <w:ilvl w:val="0"/>
          <w:numId w:val="14"/>
        </w:numPr>
        <w:spacing w:before="120" w:after="120"/>
        <w:ind w:left="990" w:hanging="450"/>
        <w:contextualSpacing w:val="0"/>
        <w:rPr>
          <w:rFonts w:asciiTheme="majorBidi" w:hAnsiTheme="majorBidi" w:cstheme="majorBidi"/>
          <w:spacing w:val="6"/>
          <w:szCs w:val="22"/>
        </w:rPr>
      </w:pPr>
      <w:r>
        <w:rPr>
          <w:rFonts w:asciiTheme="majorBidi" w:hAnsiTheme="majorBidi" w:cstheme="majorBidi"/>
          <w:spacing w:val="6"/>
          <w:szCs w:val="22"/>
        </w:rPr>
        <w:t>First m</w:t>
      </w:r>
      <w:r w:rsidRPr="00F342AD">
        <w:rPr>
          <w:rFonts w:asciiTheme="majorBidi" w:hAnsiTheme="majorBidi" w:cstheme="majorBidi"/>
          <w:spacing w:val="6"/>
          <w:szCs w:val="22"/>
        </w:rPr>
        <w:t>eeting of the Advisory Committee on Resource Mobilization</w:t>
      </w:r>
      <w:r>
        <w:rPr>
          <w:rFonts w:asciiTheme="majorBidi" w:hAnsiTheme="majorBidi" w:cstheme="majorBidi"/>
          <w:spacing w:val="6"/>
          <w:szCs w:val="22"/>
        </w:rPr>
        <w:t xml:space="preserve"> (</w:t>
      </w:r>
      <w:r>
        <w:t>25</w:t>
      </w:r>
      <w:r>
        <w:noBreakHyphen/>
        <w:t>29 September 2023</w:t>
      </w:r>
      <w:r>
        <w:rPr>
          <w:rFonts w:asciiTheme="majorBidi" w:hAnsiTheme="majorBidi" w:cstheme="majorBidi"/>
          <w:spacing w:val="6"/>
          <w:szCs w:val="22"/>
        </w:rPr>
        <w:t>)</w:t>
      </w:r>
    </w:p>
    <w:p w14:paraId="64135D36" w14:textId="20E45FA5" w:rsidR="008713B3" w:rsidRPr="00B33B1E" w:rsidRDefault="00270DF5" w:rsidP="00B33B1E">
      <w:pPr>
        <w:pStyle w:val="ListParagraph"/>
        <w:numPr>
          <w:ilvl w:val="0"/>
          <w:numId w:val="14"/>
        </w:numPr>
        <w:spacing w:before="120" w:after="120"/>
        <w:ind w:left="990" w:hanging="450"/>
        <w:contextualSpacing w:val="0"/>
        <w:rPr>
          <w:rFonts w:asciiTheme="majorBidi" w:hAnsiTheme="majorBidi" w:cstheme="majorBidi"/>
          <w:spacing w:val="6"/>
          <w:szCs w:val="22"/>
        </w:rPr>
      </w:pPr>
      <w:r w:rsidRPr="008713B3">
        <w:rPr>
          <w:rFonts w:asciiTheme="majorBidi" w:hAnsiTheme="majorBidi" w:cstheme="majorBidi"/>
          <w:spacing w:val="6"/>
          <w:szCs w:val="22"/>
        </w:rPr>
        <w:t>Eighteenth meeting of the Compliance Committee under the Cartagena Protocol</w:t>
      </w:r>
      <w:r w:rsidR="00D5370A" w:rsidRPr="008713B3">
        <w:rPr>
          <w:rFonts w:asciiTheme="majorBidi" w:hAnsiTheme="majorBidi" w:cstheme="majorBidi"/>
          <w:spacing w:val="6"/>
          <w:szCs w:val="22"/>
        </w:rPr>
        <w:t xml:space="preserve"> (</w:t>
      </w:r>
      <w:r w:rsidR="00D5370A" w:rsidRPr="008713B3">
        <w:t>24</w:t>
      </w:r>
      <w:r w:rsidR="001A67DF" w:rsidRPr="008713B3">
        <w:noBreakHyphen/>
      </w:r>
      <w:r w:rsidR="00D5370A" w:rsidRPr="008713B3">
        <w:t>26 October 2023)</w:t>
      </w:r>
    </w:p>
    <w:p w14:paraId="2CC0B3CB" w14:textId="1FCA591D" w:rsidR="00977BC4" w:rsidRPr="008713B3" w:rsidRDefault="00977BC4" w:rsidP="00B33B1E">
      <w:pPr>
        <w:pStyle w:val="ListParagraph"/>
        <w:numPr>
          <w:ilvl w:val="0"/>
          <w:numId w:val="14"/>
        </w:numPr>
        <w:spacing w:before="120" w:after="120"/>
        <w:ind w:left="990" w:hanging="450"/>
        <w:contextualSpacing w:val="0"/>
        <w:rPr>
          <w:rFonts w:asciiTheme="majorBidi" w:hAnsiTheme="majorBidi" w:cstheme="majorBidi"/>
          <w:spacing w:val="6"/>
          <w:szCs w:val="22"/>
        </w:rPr>
      </w:pPr>
      <w:bookmarkStart w:id="3" w:name="_Hlk165274121"/>
      <w:r w:rsidRPr="008713B3">
        <w:rPr>
          <w:rFonts w:asciiTheme="majorBidi" w:hAnsiTheme="majorBidi" w:cstheme="majorBidi"/>
          <w:spacing w:val="6"/>
          <w:szCs w:val="22"/>
        </w:rPr>
        <w:t>Fifth meeting of the Informal Advisory Committee to the Access and Benefit-sharing Clearing-House (13–15 February 2024)</w:t>
      </w:r>
    </w:p>
    <w:bookmarkEnd w:id="3"/>
    <w:p w14:paraId="247122FB" w14:textId="426E88CC" w:rsidR="00A504BA" w:rsidRPr="00D74B26" w:rsidRDefault="00E1050B" w:rsidP="00FE7DD7">
      <w:pPr>
        <w:pStyle w:val="Para10"/>
        <w:rPr>
          <w:rStyle w:val="ui-provider"/>
          <w:rFonts w:asciiTheme="majorBidi" w:hAnsiTheme="majorBidi" w:cstheme="majorBidi"/>
          <w:spacing w:val="6"/>
          <w:szCs w:val="22"/>
        </w:rPr>
      </w:pPr>
      <w:r>
        <w:t xml:space="preserve">Additional meetings of </w:t>
      </w:r>
      <w:r w:rsidRPr="00B33B1E">
        <w:t>the committee</w:t>
      </w:r>
      <w:r w:rsidRPr="00DD72BB">
        <w:t xml:space="preserve">s and </w:t>
      </w:r>
      <w:r w:rsidR="00320D9B" w:rsidRPr="00DD72BB">
        <w:t xml:space="preserve">meetings </w:t>
      </w:r>
      <w:r w:rsidRPr="00DD72BB">
        <w:t>of other expert groups were organized with funding from voluntary contributions</w:t>
      </w:r>
      <w:r w:rsidR="00080E27" w:rsidRPr="00DD72BB">
        <w:t>.</w:t>
      </w:r>
      <w:r w:rsidR="00B940CF" w:rsidRPr="00DD72BB">
        <w:t xml:space="preserve"> </w:t>
      </w:r>
      <w:r w:rsidR="00320D9B" w:rsidRPr="00DD72BB">
        <w:t xml:space="preserve">Some of the committees and expert groups also held </w:t>
      </w:r>
      <w:r w:rsidR="00B940CF" w:rsidRPr="00DD72BB">
        <w:t>meetings online</w:t>
      </w:r>
      <w:r w:rsidR="00482C96" w:rsidRPr="00DD72BB">
        <w:t>.</w:t>
      </w:r>
    </w:p>
    <w:p w14:paraId="309DFA47" w14:textId="505B1F08" w:rsidR="00D00909" w:rsidRPr="00B33B1E" w:rsidRDefault="00D54D12" w:rsidP="00B33B1E">
      <w:pPr>
        <w:pStyle w:val="Heading3"/>
        <w:numPr>
          <w:ilvl w:val="0"/>
          <w:numId w:val="0"/>
        </w:numPr>
        <w:suppressLineNumbers/>
        <w:tabs>
          <w:tab w:val="left" w:pos="1080"/>
        </w:tabs>
        <w:suppressAutoHyphens/>
        <w:kinsoku w:val="0"/>
        <w:overflowPunct w:val="0"/>
        <w:autoSpaceDE w:val="0"/>
        <w:autoSpaceDN w:val="0"/>
        <w:adjustRightInd w:val="0"/>
        <w:snapToGrid w:val="0"/>
        <w:ind w:left="567"/>
        <w:rPr>
          <w:rFonts w:eastAsia="Malgun Gothic"/>
          <w:b w:val="0"/>
          <w:bCs w:val="0"/>
          <w:snapToGrid w:val="0"/>
          <w:kern w:val="22"/>
          <w:lang w:eastAsia="ko-KR"/>
        </w:rPr>
      </w:pPr>
      <w:r w:rsidRPr="00B33B1E">
        <w:rPr>
          <w:rFonts w:eastAsia="Malgun Gothic"/>
          <w:snapToGrid w:val="0"/>
          <w:kern w:val="22"/>
          <w:lang w:eastAsia="ko-KR"/>
        </w:rPr>
        <w:t>(e)</w:t>
      </w:r>
      <w:r w:rsidRPr="00B33B1E">
        <w:rPr>
          <w:rFonts w:eastAsia="Malgun Gothic"/>
          <w:snapToGrid w:val="0"/>
          <w:kern w:val="22"/>
          <w:lang w:eastAsia="ko-KR"/>
        </w:rPr>
        <w:tab/>
      </w:r>
      <w:r w:rsidR="00846701" w:rsidRPr="00B33B1E">
        <w:rPr>
          <w:rFonts w:eastAsia="Malgun Gothic"/>
          <w:snapToGrid w:val="0"/>
          <w:kern w:val="22"/>
          <w:lang w:eastAsia="ko-KR"/>
        </w:rPr>
        <w:t>T</w:t>
      </w:r>
      <w:r w:rsidR="00D00909" w:rsidRPr="00B33B1E">
        <w:rPr>
          <w:rFonts w:eastAsia="Malgun Gothic"/>
          <w:snapToGrid w:val="0"/>
          <w:kern w:val="22"/>
          <w:lang w:eastAsia="ko-KR"/>
        </w:rPr>
        <w:t>ravel</w:t>
      </w:r>
      <w:r w:rsidR="00846701" w:rsidRPr="00B33B1E">
        <w:rPr>
          <w:rFonts w:eastAsia="Malgun Gothic"/>
          <w:snapToGrid w:val="0"/>
          <w:kern w:val="22"/>
          <w:lang w:eastAsia="ko-KR"/>
        </w:rPr>
        <w:t xml:space="preserve"> on official business</w:t>
      </w:r>
    </w:p>
    <w:p w14:paraId="4D70EA06" w14:textId="6A03D4F4" w:rsidR="0082113E" w:rsidRPr="0082113E" w:rsidRDefault="0082113E" w:rsidP="00FE7DD7">
      <w:pPr>
        <w:pStyle w:val="Para10"/>
        <w:rPr>
          <w:sz w:val="24"/>
          <w:lang w:eastAsia="zh-CN"/>
        </w:rPr>
      </w:pPr>
      <w:r>
        <w:t xml:space="preserve">Participation in </w:t>
      </w:r>
      <w:r w:rsidR="00320D9B">
        <w:t xml:space="preserve">the meetings </w:t>
      </w:r>
      <w:r w:rsidR="00320D9B" w:rsidRPr="00DD72BB">
        <w:t xml:space="preserve">and events of </w:t>
      </w:r>
      <w:r w:rsidRPr="00DD72BB">
        <w:t xml:space="preserve">other organizations is one of the important ways of achieving synergies </w:t>
      </w:r>
      <w:r w:rsidR="00320D9B" w:rsidRPr="00DD72BB">
        <w:t xml:space="preserve">with the work of the Convention and its Protocols </w:t>
      </w:r>
      <w:r w:rsidRPr="00DD72BB">
        <w:t xml:space="preserve">and </w:t>
      </w:r>
      <w:r w:rsidR="00494DB4">
        <w:t xml:space="preserve">the </w:t>
      </w:r>
      <w:r w:rsidRPr="00DD72BB">
        <w:t>integrated</w:t>
      </w:r>
      <w:r w:rsidRPr="00B33B1E">
        <w:t xml:space="preserve"> programme</w:t>
      </w:r>
      <w:r w:rsidRPr="00DD72BB">
        <w:t>s</w:t>
      </w:r>
      <w:r w:rsidR="00005224">
        <w:t xml:space="preserve"> of work</w:t>
      </w:r>
      <w:r w:rsidRPr="00DD72BB">
        <w:t xml:space="preserve">. As a result, </w:t>
      </w:r>
      <w:r w:rsidR="00575357" w:rsidRPr="00DD72BB">
        <w:t>s</w:t>
      </w:r>
      <w:r w:rsidRPr="00DD72BB">
        <w:t>taff members of the Secretariat travelled to various meetings and events to represent the Convention and its Protocols. A total amount of</w:t>
      </w:r>
      <w:r w:rsidRPr="00B33B1E">
        <w:t xml:space="preserve"> $</w:t>
      </w:r>
      <w:r w:rsidRPr="00DD72BB">
        <w:t xml:space="preserve">520,000 was spent </w:t>
      </w:r>
      <w:r w:rsidR="00D03E15">
        <w:t xml:space="preserve">to that end </w:t>
      </w:r>
      <w:r w:rsidRPr="00DD72BB">
        <w:t xml:space="preserve">during the period </w:t>
      </w:r>
      <w:r w:rsidR="00131F40">
        <w:t>from</w:t>
      </w:r>
      <w:r w:rsidR="00131F40" w:rsidRPr="00DD72BB">
        <w:t xml:space="preserve"> </w:t>
      </w:r>
      <w:r w:rsidRPr="00DD72BB">
        <w:t xml:space="preserve">January 2023 to February 2024. </w:t>
      </w:r>
      <w:r w:rsidR="00DD72BB" w:rsidRPr="00B33B1E">
        <w:t xml:space="preserve">Owing </w:t>
      </w:r>
      <w:r w:rsidRPr="00B33B1E">
        <w:t>to</w:t>
      </w:r>
      <w:r w:rsidRPr="00DD72BB">
        <w:t xml:space="preserve"> the continuing </w:t>
      </w:r>
      <w:proofErr w:type="gramStart"/>
      <w:r w:rsidRPr="00DD72BB">
        <w:t>and increasing demands on the Secretariat to attend meetings and events, it</w:t>
      </w:r>
      <w:proofErr w:type="gramEnd"/>
      <w:r w:rsidRPr="00DD72BB">
        <w:t xml:space="preserve"> is </w:t>
      </w:r>
      <w:r w:rsidR="00F00104">
        <w:t>expected</w:t>
      </w:r>
      <w:r w:rsidR="00F00104" w:rsidRPr="00DD72BB">
        <w:t xml:space="preserve"> </w:t>
      </w:r>
      <w:r w:rsidRPr="00DD72BB">
        <w:t>that the approved budget of</w:t>
      </w:r>
      <w:r w:rsidRPr="00B33B1E">
        <w:t xml:space="preserve"> $</w:t>
      </w:r>
      <w:r w:rsidRPr="00DD72BB">
        <w:t>640</w:t>
      </w:r>
      <w:r>
        <w:t>,000 for th</w:t>
      </w:r>
      <w:r w:rsidR="00F00104">
        <w:t>e</w:t>
      </w:r>
      <w:r>
        <w:t xml:space="preserve"> biennium will be overrun</w:t>
      </w:r>
      <w:r w:rsidR="00575357">
        <w:t>.</w:t>
      </w:r>
      <w:r>
        <w:t xml:space="preserve"> It should be noted that the budget for travel for </w:t>
      </w:r>
      <w:r w:rsidR="00081DF5">
        <w:t xml:space="preserve">the current biennium </w:t>
      </w:r>
      <w:r w:rsidR="0037566B">
        <w:t xml:space="preserve">is significantly lower than those for </w:t>
      </w:r>
      <w:r>
        <w:t xml:space="preserve">prior </w:t>
      </w:r>
      <w:proofErr w:type="spellStart"/>
      <w:r>
        <w:t>biennium</w:t>
      </w:r>
      <w:r w:rsidR="00320D9B">
        <w:t>s</w:t>
      </w:r>
      <w:proofErr w:type="spellEnd"/>
      <w:r w:rsidR="0037566B">
        <w:t>,</w:t>
      </w:r>
      <w:r>
        <w:t xml:space="preserve"> </w:t>
      </w:r>
      <w:r w:rsidR="0037566B">
        <w:t xml:space="preserve">which </w:t>
      </w:r>
      <w:r w:rsidR="00320D9B">
        <w:t xml:space="preserve">varied </w:t>
      </w:r>
      <w:r w:rsidRPr="00DD72BB">
        <w:t>between</w:t>
      </w:r>
      <w:r w:rsidRPr="00B33B1E">
        <w:t xml:space="preserve"> </w:t>
      </w:r>
      <w:r w:rsidR="005B2B1F" w:rsidRPr="00B33B1E">
        <w:t>$</w:t>
      </w:r>
      <w:r w:rsidRPr="00DD72BB">
        <w:t>800</w:t>
      </w:r>
      <w:r w:rsidR="005B2B1F" w:rsidRPr="00DD72BB">
        <w:t>,000</w:t>
      </w:r>
      <w:r w:rsidRPr="00DD72BB">
        <w:t xml:space="preserve"> </w:t>
      </w:r>
      <w:r w:rsidR="00320D9B" w:rsidRPr="00DD72BB">
        <w:t>and</w:t>
      </w:r>
      <w:r w:rsidRPr="00DD72BB">
        <w:t xml:space="preserve"> </w:t>
      </w:r>
      <w:r w:rsidR="005B2B1F" w:rsidRPr="00DD72BB">
        <w:t>$</w:t>
      </w:r>
      <w:r w:rsidRPr="00DD72BB">
        <w:t>900</w:t>
      </w:r>
      <w:r w:rsidR="005B2B1F" w:rsidRPr="00DD72BB">
        <w:t>,000</w:t>
      </w:r>
      <w:r w:rsidR="00A92F65">
        <w:t>.</w:t>
      </w:r>
    </w:p>
    <w:p w14:paraId="2EB34C96" w14:textId="138FBA18" w:rsidR="000D4DA8" w:rsidRPr="00B33B1E" w:rsidRDefault="000D4DA8" w:rsidP="00B33B1E">
      <w:pPr>
        <w:pStyle w:val="ListParagraph"/>
        <w:keepNext/>
        <w:keepLines/>
        <w:suppressLineNumbers/>
        <w:suppressAutoHyphens/>
        <w:kinsoku w:val="0"/>
        <w:overflowPunct w:val="0"/>
        <w:autoSpaceDE w:val="0"/>
        <w:autoSpaceDN w:val="0"/>
        <w:adjustRightInd w:val="0"/>
        <w:snapToGrid w:val="0"/>
        <w:spacing w:before="240" w:after="120"/>
        <w:ind w:left="0"/>
        <w:contextualSpacing w:val="0"/>
        <w:jc w:val="left"/>
        <w:rPr>
          <w:bCs/>
          <w:snapToGrid w:val="0"/>
          <w:kern w:val="22"/>
          <w:sz w:val="18"/>
          <w:szCs w:val="18"/>
        </w:rPr>
      </w:pPr>
      <w:r w:rsidRPr="00B33B1E">
        <w:rPr>
          <w:bCs/>
          <w:iCs/>
          <w:snapToGrid w:val="0"/>
          <w:kern w:val="22"/>
          <w:szCs w:val="22"/>
        </w:rPr>
        <w:lastRenderedPageBreak/>
        <w:t>Table 3</w:t>
      </w:r>
      <w:r w:rsidR="004A7334" w:rsidRPr="00DD3312">
        <w:rPr>
          <w:b/>
          <w:iCs/>
          <w:snapToGrid w:val="0"/>
          <w:kern w:val="22"/>
          <w:szCs w:val="22"/>
        </w:rPr>
        <w:br/>
      </w:r>
      <w:r w:rsidRPr="00DD3312">
        <w:rPr>
          <w:b/>
          <w:iCs/>
          <w:snapToGrid w:val="0"/>
          <w:kern w:val="22"/>
          <w:szCs w:val="22"/>
        </w:rPr>
        <w:t xml:space="preserve">Projected expenditure by object of expenditure in relation to the </w:t>
      </w:r>
      <w:r w:rsidR="00793574" w:rsidRPr="00DD72BB">
        <w:rPr>
          <w:b/>
          <w:iCs/>
          <w:snapToGrid w:val="0"/>
          <w:kern w:val="22"/>
          <w:szCs w:val="22"/>
        </w:rPr>
        <w:t>202</w:t>
      </w:r>
      <w:r w:rsidR="00793574" w:rsidRPr="00B33B1E">
        <w:rPr>
          <w:b/>
          <w:iCs/>
          <w:snapToGrid w:val="0"/>
          <w:kern w:val="22"/>
          <w:szCs w:val="22"/>
        </w:rPr>
        <w:t>3</w:t>
      </w:r>
      <w:r w:rsidR="00DD72BB" w:rsidRPr="00DD72BB">
        <w:t>–</w:t>
      </w:r>
      <w:r w:rsidR="00793574" w:rsidRPr="00B33B1E">
        <w:rPr>
          <w:b/>
          <w:iCs/>
          <w:snapToGrid w:val="0"/>
          <w:kern w:val="22"/>
          <w:szCs w:val="22"/>
        </w:rPr>
        <w:t>2</w:t>
      </w:r>
      <w:r w:rsidR="00793574" w:rsidRPr="00DD72BB">
        <w:rPr>
          <w:b/>
          <w:iCs/>
          <w:snapToGrid w:val="0"/>
          <w:kern w:val="22"/>
          <w:szCs w:val="22"/>
        </w:rPr>
        <w:t>024</w:t>
      </w:r>
      <w:r w:rsidRPr="00DD3312">
        <w:rPr>
          <w:b/>
          <w:iCs/>
          <w:snapToGrid w:val="0"/>
          <w:kern w:val="22"/>
          <w:szCs w:val="22"/>
        </w:rPr>
        <w:t xml:space="preserve"> approved integrated budget</w:t>
      </w:r>
      <w:r w:rsidR="004A7334" w:rsidRPr="00DD3312">
        <w:rPr>
          <w:snapToGrid w:val="0"/>
          <w:color w:val="000000"/>
          <w:kern w:val="22"/>
          <w:szCs w:val="22"/>
          <w:lang w:eastAsia="en-CA"/>
        </w:rPr>
        <w:br/>
      </w:r>
      <w:r w:rsidRPr="00B33B1E">
        <w:rPr>
          <w:snapToGrid w:val="0"/>
          <w:color w:val="000000"/>
          <w:kern w:val="22"/>
          <w:sz w:val="18"/>
          <w:szCs w:val="18"/>
          <w:lang w:eastAsia="en-CA"/>
        </w:rPr>
        <w:t>(Thousands of United States dollars)</w:t>
      </w:r>
    </w:p>
    <w:tbl>
      <w:tblPr>
        <w:tblW w:w="0" w:type="auto"/>
        <w:jc w:val="center"/>
        <w:tblLook w:val="04A0" w:firstRow="1" w:lastRow="0" w:firstColumn="1" w:lastColumn="0" w:noHBand="0" w:noVBand="1"/>
      </w:tblPr>
      <w:tblGrid>
        <w:gridCol w:w="416"/>
        <w:gridCol w:w="3758"/>
        <w:gridCol w:w="1349"/>
        <w:gridCol w:w="2783"/>
        <w:gridCol w:w="1054"/>
      </w:tblGrid>
      <w:tr w:rsidR="00AF183C" w:rsidRPr="00E9050B" w14:paraId="6DD444B6" w14:textId="77777777" w:rsidTr="00B33B1E">
        <w:trPr>
          <w:cantSplit/>
          <w:jc w:val="center"/>
        </w:trPr>
        <w:tc>
          <w:tcPr>
            <w:tcW w:w="0" w:type="auto"/>
            <w:tcBorders>
              <w:top w:val="single" w:sz="12" w:space="0" w:color="auto"/>
              <w:bottom w:val="single" w:sz="12" w:space="0" w:color="auto"/>
            </w:tcBorders>
          </w:tcPr>
          <w:p w14:paraId="3FC4C30B" w14:textId="77777777" w:rsidR="00AF183C" w:rsidRPr="00AF183C" w:rsidRDefault="00AF183C">
            <w:pPr>
              <w:suppressLineNumbers/>
              <w:suppressAutoHyphens/>
              <w:kinsoku w:val="0"/>
              <w:overflowPunct w:val="0"/>
              <w:autoSpaceDE w:val="0"/>
              <w:autoSpaceDN w:val="0"/>
              <w:adjustRightInd w:val="0"/>
              <w:snapToGrid w:val="0"/>
              <w:jc w:val="left"/>
              <w:rPr>
                <w:i/>
                <w:iCs/>
                <w:snapToGrid w:val="0"/>
                <w:color w:val="000000"/>
                <w:kern w:val="22"/>
                <w:sz w:val="20"/>
                <w:szCs w:val="20"/>
                <w:lang w:eastAsia="en-CA"/>
              </w:rPr>
            </w:pPr>
          </w:p>
        </w:tc>
        <w:tc>
          <w:tcPr>
            <w:tcW w:w="0" w:type="auto"/>
            <w:tcBorders>
              <w:top w:val="single" w:sz="12" w:space="0" w:color="auto"/>
              <w:bottom w:val="single" w:sz="12" w:space="0" w:color="auto"/>
            </w:tcBorders>
            <w:shd w:val="clear" w:color="auto" w:fill="auto"/>
            <w:vAlign w:val="bottom"/>
            <w:hideMark/>
          </w:tcPr>
          <w:p w14:paraId="3A5BDE2E" w14:textId="4FE92F34" w:rsidR="00AF183C" w:rsidRPr="00B33B1E" w:rsidRDefault="00AF183C" w:rsidP="00B33B1E">
            <w:pPr>
              <w:suppressLineNumbers/>
              <w:suppressAutoHyphens/>
              <w:kinsoku w:val="0"/>
              <w:overflowPunct w:val="0"/>
              <w:autoSpaceDE w:val="0"/>
              <w:autoSpaceDN w:val="0"/>
              <w:adjustRightInd w:val="0"/>
              <w:snapToGrid w:val="0"/>
              <w:jc w:val="left"/>
              <w:rPr>
                <w:i/>
                <w:iCs/>
                <w:snapToGrid w:val="0"/>
                <w:color w:val="000000"/>
                <w:kern w:val="22"/>
                <w:sz w:val="20"/>
                <w:szCs w:val="20"/>
                <w:lang w:eastAsia="en-CA"/>
              </w:rPr>
            </w:pPr>
            <w:r w:rsidRPr="00B33B1E">
              <w:rPr>
                <w:i/>
                <w:iCs/>
                <w:snapToGrid w:val="0"/>
                <w:color w:val="000000"/>
                <w:kern w:val="22"/>
                <w:sz w:val="20"/>
                <w:szCs w:val="20"/>
                <w:lang w:eastAsia="en-CA"/>
              </w:rPr>
              <w:t>Object of expenditure</w:t>
            </w:r>
          </w:p>
        </w:tc>
        <w:tc>
          <w:tcPr>
            <w:tcW w:w="0" w:type="auto"/>
            <w:tcBorders>
              <w:top w:val="single" w:sz="12" w:space="0" w:color="auto"/>
              <w:bottom w:val="single" w:sz="12" w:space="0" w:color="auto"/>
            </w:tcBorders>
            <w:shd w:val="clear" w:color="auto" w:fill="auto"/>
            <w:vAlign w:val="bottom"/>
            <w:hideMark/>
          </w:tcPr>
          <w:p w14:paraId="716756AF" w14:textId="77777777" w:rsidR="00AF183C" w:rsidRPr="00B33B1E" w:rsidRDefault="00AF183C" w:rsidP="00B33B1E">
            <w:pPr>
              <w:suppressLineNumbers/>
              <w:suppressAutoHyphens/>
              <w:kinsoku w:val="0"/>
              <w:overflowPunct w:val="0"/>
              <w:autoSpaceDE w:val="0"/>
              <w:autoSpaceDN w:val="0"/>
              <w:adjustRightInd w:val="0"/>
              <w:snapToGrid w:val="0"/>
              <w:jc w:val="right"/>
              <w:rPr>
                <w:i/>
                <w:iCs/>
                <w:snapToGrid w:val="0"/>
                <w:color w:val="000000"/>
                <w:kern w:val="22"/>
                <w:sz w:val="20"/>
                <w:szCs w:val="20"/>
                <w:lang w:eastAsia="en-CA"/>
              </w:rPr>
            </w:pPr>
            <w:r w:rsidRPr="00B33B1E">
              <w:rPr>
                <w:i/>
                <w:iCs/>
                <w:snapToGrid w:val="0"/>
                <w:color w:val="000000"/>
                <w:kern w:val="22"/>
                <w:sz w:val="20"/>
                <w:szCs w:val="20"/>
                <w:lang w:eastAsia="en-CA"/>
              </w:rPr>
              <w:t>Total approved budget</w:t>
            </w:r>
          </w:p>
        </w:tc>
        <w:tc>
          <w:tcPr>
            <w:tcW w:w="0" w:type="auto"/>
            <w:tcBorders>
              <w:top w:val="single" w:sz="12" w:space="0" w:color="auto"/>
              <w:bottom w:val="single" w:sz="12" w:space="0" w:color="auto"/>
            </w:tcBorders>
            <w:shd w:val="clear" w:color="auto" w:fill="auto"/>
            <w:vAlign w:val="bottom"/>
          </w:tcPr>
          <w:p w14:paraId="24757ED2" w14:textId="68670811" w:rsidR="00AF183C" w:rsidRPr="00B33B1E" w:rsidRDefault="00AF183C" w:rsidP="00B33B1E">
            <w:pPr>
              <w:suppressLineNumbers/>
              <w:suppressAutoHyphens/>
              <w:kinsoku w:val="0"/>
              <w:overflowPunct w:val="0"/>
              <w:autoSpaceDE w:val="0"/>
              <w:autoSpaceDN w:val="0"/>
              <w:adjustRightInd w:val="0"/>
              <w:snapToGrid w:val="0"/>
              <w:jc w:val="right"/>
              <w:rPr>
                <w:i/>
                <w:iCs/>
                <w:snapToGrid w:val="0"/>
                <w:color w:val="000000"/>
                <w:kern w:val="22"/>
                <w:sz w:val="20"/>
                <w:szCs w:val="20"/>
                <w:lang w:eastAsia="en-CA"/>
              </w:rPr>
            </w:pPr>
            <w:r w:rsidRPr="00B33B1E">
              <w:rPr>
                <w:i/>
                <w:iCs/>
                <w:snapToGrid w:val="0"/>
                <w:color w:val="000000"/>
                <w:kern w:val="22"/>
                <w:sz w:val="20"/>
                <w:szCs w:val="20"/>
                <w:lang w:eastAsia="en-CA"/>
              </w:rPr>
              <w:t>Total expenditure commitments</w:t>
            </w:r>
            <w:r>
              <w:rPr>
                <w:i/>
                <w:iCs/>
                <w:snapToGrid w:val="0"/>
                <w:color w:val="000000"/>
                <w:kern w:val="22"/>
                <w:sz w:val="20"/>
                <w:szCs w:val="20"/>
                <w:lang w:eastAsia="en-CA"/>
              </w:rPr>
              <w:t xml:space="preserve"> </w:t>
            </w:r>
            <w:r w:rsidRPr="00B33B1E">
              <w:rPr>
                <w:i/>
                <w:iCs/>
                <w:snapToGrid w:val="0"/>
                <w:color w:val="000000"/>
                <w:kern w:val="22"/>
                <w:sz w:val="20"/>
                <w:szCs w:val="20"/>
                <w:lang w:eastAsia="en-CA"/>
              </w:rPr>
              <w:t>(1 January 2023</w:t>
            </w:r>
            <w:r w:rsidRPr="00B33B1E">
              <w:rPr>
                <w:sz w:val="20"/>
                <w:szCs w:val="20"/>
              </w:rPr>
              <w:t>–</w:t>
            </w:r>
            <w:r w:rsidRPr="00B33B1E">
              <w:rPr>
                <w:i/>
                <w:iCs/>
                <w:snapToGrid w:val="0"/>
                <w:color w:val="000000"/>
                <w:kern w:val="22"/>
                <w:sz w:val="20"/>
                <w:szCs w:val="20"/>
                <w:lang w:eastAsia="en-CA"/>
              </w:rPr>
              <w:t>29</w:t>
            </w:r>
            <w:r>
              <w:rPr>
                <w:i/>
                <w:iCs/>
                <w:snapToGrid w:val="0"/>
                <w:color w:val="000000"/>
                <w:kern w:val="22"/>
                <w:sz w:val="20"/>
                <w:szCs w:val="20"/>
                <w:lang w:eastAsia="en-CA"/>
              </w:rPr>
              <w:t> </w:t>
            </w:r>
            <w:r w:rsidRPr="00B33B1E">
              <w:rPr>
                <w:i/>
                <w:iCs/>
                <w:snapToGrid w:val="0"/>
                <w:color w:val="000000"/>
                <w:kern w:val="22"/>
                <w:sz w:val="20"/>
                <w:szCs w:val="20"/>
                <w:lang w:eastAsia="en-CA"/>
              </w:rPr>
              <w:t>February 2024)</w:t>
            </w:r>
          </w:p>
        </w:tc>
        <w:tc>
          <w:tcPr>
            <w:tcW w:w="0" w:type="auto"/>
            <w:tcBorders>
              <w:top w:val="single" w:sz="12" w:space="0" w:color="auto"/>
              <w:bottom w:val="single" w:sz="12" w:space="0" w:color="auto"/>
            </w:tcBorders>
            <w:shd w:val="clear" w:color="auto" w:fill="auto"/>
            <w:vAlign w:val="bottom"/>
          </w:tcPr>
          <w:p w14:paraId="4A8F12E2" w14:textId="77777777" w:rsidR="00AF183C" w:rsidRPr="00B33B1E" w:rsidRDefault="00AF183C" w:rsidP="00B33B1E">
            <w:pPr>
              <w:suppressLineNumbers/>
              <w:suppressAutoHyphens/>
              <w:kinsoku w:val="0"/>
              <w:overflowPunct w:val="0"/>
              <w:autoSpaceDE w:val="0"/>
              <w:autoSpaceDN w:val="0"/>
              <w:adjustRightInd w:val="0"/>
              <w:snapToGrid w:val="0"/>
              <w:jc w:val="right"/>
              <w:rPr>
                <w:i/>
                <w:iCs/>
                <w:snapToGrid w:val="0"/>
                <w:color w:val="000000"/>
                <w:kern w:val="22"/>
                <w:sz w:val="20"/>
                <w:szCs w:val="20"/>
                <w:lang w:eastAsia="en-CA"/>
              </w:rPr>
            </w:pPr>
            <w:r w:rsidRPr="00B33B1E">
              <w:rPr>
                <w:i/>
                <w:iCs/>
                <w:snapToGrid w:val="0"/>
                <w:color w:val="000000"/>
                <w:kern w:val="22"/>
                <w:sz w:val="20"/>
                <w:szCs w:val="20"/>
                <w:lang w:eastAsia="en-CA"/>
              </w:rPr>
              <w:t>Variance</w:t>
            </w:r>
          </w:p>
        </w:tc>
      </w:tr>
      <w:tr w:rsidR="00AF183C" w:rsidRPr="00E9050B" w14:paraId="682BF8EF" w14:textId="77777777" w:rsidTr="00B33B1E">
        <w:trPr>
          <w:cantSplit/>
          <w:jc w:val="center"/>
        </w:trPr>
        <w:tc>
          <w:tcPr>
            <w:tcW w:w="0" w:type="auto"/>
            <w:tcBorders>
              <w:top w:val="single" w:sz="12" w:space="0" w:color="auto"/>
            </w:tcBorders>
          </w:tcPr>
          <w:p w14:paraId="1B999416" w14:textId="3823773A" w:rsidR="00AF183C" w:rsidRPr="00AF183C" w:rsidRDefault="00AF183C"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 w:val="20"/>
                <w:szCs w:val="20"/>
                <w:lang w:eastAsia="en-CA"/>
              </w:rPr>
            </w:pPr>
            <w:r>
              <w:rPr>
                <w:snapToGrid w:val="0"/>
                <w:color w:val="000000"/>
                <w:kern w:val="22"/>
                <w:sz w:val="20"/>
                <w:szCs w:val="20"/>
                <w:lang w:eastAsia="en-CA"/>
              </w:rPr>
              <w:t>I</w:t>
            </w:r>
          </w:p>
        </w:tc>
        <w:tc>
          <w:tcPr>
            <w:tcW w:w="0" w:type="auto"/>
            <w:tcBorders>
              <w:top w:val="single" w:sz="12" w:space="0" w:color="auto"/>
            </w:tcBorders>
            <w:shd w:val="clear" w:color="auto" w:fill="auto"/>
            <w:hideMark/>
          </w:tcPr>
          <w:p w14:paraId="035CE771" w14:textId="69B338DE" w:rsidR="00AF183C" w:rsidRPr="00B33B1E" w:rsidRDefault="00AF183C"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 w:val="20"/>
                <w:szCs w:val="20"/>
                <w:lang w:eastAsia="en-CA"/>
              </w:rPr>
            </w:pPr>
            <w:r w:rsidRPr="00B33B1E">
              <w:rPr>
                <w:snapToGrid w:val="0"/>
                <w:color w:val="000000"/>
                <w:kern w:val="22"/>
                <w:sz w:val="20"/>
                <w:szCs w:val="20"/>
                <w:lang w:eastAsia="en-CA"/>
              </w:rPr>
              <w:t>A.</w:t>
            </w:r>
            <w:r w:rsidRPr="00B33B1E">
              <w:rPr>
                <w:snapToGrid w:val="0"/>
                <w:color w:val="000000"/>
                <w:kern w:val="22"/>
                <w:sz w:val="20"/>
                <w:szCs w:val="20"/>
                <w:lang w:eastAsia="en-CA"/>
              </w:rPr>
              <w:tab/>
              <w:t>Staff costs</w:t>
            </w:r>
          </w:p>
        </w:tc>
        <w:tc>
          <w:tcPr>
            <w:tcW w:w="0" w:type="auto"/>
            <w:tcBorders>
              <w:top w:val="single" w:sz="12" w:space="0" w:color="auto"/>
            </w:tcBorders>
            <w:shd w:val="clear" w:color="auto" w:fill="auto"/>
            <w:hideMark/>
          </w:tcPr>
          <w:p w14:paraId="1E278E21" w14:textId="153CD50C" w:rsidR="00AF183C" w:rsidRPr="00B33B1E" w:rsidRDefault="00AF183C" w:rsidP="00B33B1E">
            <w:pPr>
              <w:suppressLineNumbers/>
              <w:suppressAutoHyphens/>
              <w:kinsoku w:val="0"/>
              <w:overflowPunct w:val="0"/>
              <w:autoSpaceDE w:val="0"/>
              <w:autoSpaceDN w:val="0"/>
              <w:adjustRightInd w:val="0"/>
              <w:snapToGrid w:val="0"/>
              <w:ind w:right="79"/>
              <w:jc w:val="right"/>
              <w:rPr>
                <w:snapToGrid w:val="0"/>
                <w:color w:val="000000"/>
                <w:kern w:val="22"/>
                <w:sz w:val="20"/>
                <w:szCs w:val="20"/>
                <w:lang w:eastAsia="en-CA"/>
              </w:rPr>
            </w:pPr>
            <w:r w:rsidRPr="00B33B1E">
              <w:rPr>
                <w:snapToGrid w:val="0"/>
                <w:color w:val="000000"/>
                <w:kern w:val="22"/>
                <w:sz w:val="20"/>
                <w:szCs w:val="20"/>
                <w:lang w:eastAsia="en-CA"/>
              </w:rPr>
              <w:t>24 157.3</w:t>
            </w:r>
            <w:r>
              <w:rPr>
                <w:snapToGrid w:val="0"/>
                <w:color w:val="000000"/>
                <w:kern w:val="22"/>
                <w:sz w:val="20"/>
                <w:szCs w:val="20"/>
                <w:lang w:eastAsia="en-CA"/>
              </w:rPr>
              <w:t>0</w:t>
            </w:r>
          </w:p>
        </w:tc>
        <w:tc>
          <w:tcPr>
            <w:tcW w:w="0" w:type="auto"/>
            <w:tcBorders>
              <w:top w:val="single" w:sz="12" w:space="0" w:color="auto"/>
            </w:tcBorders>
            <w:shd w:val="clear" w:color="auto" w:fill="auto"/>
          </w:tcPr>
          <w:p w14:paraId="6E8444AD" w14:textId="53AD5B47" w:rsidR="00AF183C" w:rsidRPr="00B33B1E" w:rsidRDefault="00AF183C" w:rsidP="00B33B1E">
            <w:pPr>
              <w:suppressLineNumbers/>
              <w:suppressAutoHyphens/>
              <w:kinsoku w:val="0"/>
              <w:overflowPunct w:val="0"/>
              <w:autoSpaceDE w:val="0"/>
              <w:autoSpaceDN w:val="0"/>
              <w:adjustRightInd w:val="0"/>
              <w:snapToGrid w:val="0"/>
              <w:jc w:val="right"/>
              <w:rPr>
                <w:snapToGrid w:val="0"/>
                <w:color w:val="000000"/>
                <w:kern w:val="22"/>
                <w:sz w:val="20"/>
                <w:szCs w:val="20"/>
                <w:lang w:eastAsia="en-CA"/>
              </w:rPr>
            </w:pPr>
            <w:r w:rsidRPr="00B33B1E">
              <w:rPr>
                <w:snapToGrid w:val="0"/>
                <w:color w:val="000000"/>
                <w:kern w:val="22"/>
                <w:sz w:val="20"/>
                <w:szCs w:val="20"/>
                <w:lang w:eastAsia="en-CA"/>
              </w:rPr>
              <w:t>13</w:t>
            </w:r>
            <w:r>
              <w:rPr>
                <w:snapToGrid w:val="0"/>
                <w:color w:val="000000"/>
                <w:kern w:val="22"/>
                <w:sz w:val="20"/>
                <w:szCs w:val="20"/>
                <w:lang w:eastAsia="en-CA"/>
              </w:rPr>
              <w:t> </w:t>
            </w:r>
            <w:r w:rsidRPr="00B33B1E">
              <w:rPr>
                <w:snapToGrid w:val="0"/>
                <w:color w:val="000000"/>
                <w:kern w:val="22"/>
                <w:sz w:val="20"/>
                <w:szCs w:val="20"/>
                <w:lang w:eastAsia="en-CA"/>
              </w:rPr>
              <w:t>789.70</w:t>
            </w:r>
          </w:p>
        </w:tc>
        <w:tc>
          <w:tcPr>
            <w:tcW w:w="0" w:type="auto"/>
            <w:tcBorders>
              <w:top w:val="single" w:sz="12" w:space="0" w:color="auto"/>
            </w:tcBorders>
            <w:shd w:val="clear" w:color="auto" w:fill="auto"/>
          </w:tcPr>
          <w:p w14:paraId="634BA5FE" w14:textId="3C938A3C" w:rsidR="00AF183C" w:rsidRPr="00B33B1E" w:rsidRDefault="00AF183C" w:rsidP="00B33B1E">
            <w:pPr>
              <w:suppressLineNumbers/>
              <w:suppressAutoHyphens/>
              <w:kinsoku w:val="0"/>
              <w:overflowPunct w:val="0"/>
              <w:autoSpaceDE w:val="0"/>
              <w:autoSpaceDN w:val="0"/>
              <w:adjustRightInd w:val="0"/>
              <w:snapToGrid w:val="0"/>
              <w:ind w:right="38"/>
              <w:jc w:val="right"/>
              <w:rPr>
                <w:snapToGrid w:val="0"/>
                <w:color w:val="000000"/>
                <w:kern w:val="22"/>
                <w:sz w:val="20"/>
                <w:szCs w:val="20"/>
                <w:lang w:eastAsia="en-CA"/>
              </w:rPr>
            </w:pPr>
            <w:r w:rsidRPr="00B33B1E">
              <w:rPr>
                <w:snapToGrid w:val="0"/>
                <w:color w:val="000000"/>
                <w:kern w:val="22"/>
                <w:sz w:val="20"/>
                <w:szCs w:val="20"/>
                <w:lang w:eastAsia="en-CA"/>
              </w:rPr>
              <w:t>10</w:t>
            </w:r>
            <w:r>
              <w:rPr>
                <w:snapToGrid w:val="0"/>
                <w:color w:val="000000"/>
                <w:kern w:val="22"/>
                <w:sz w:val="20"/>
                <w:szCs w:val="20"/>
                <w:lang w:eastAsia="en-CA"/>
              </w:rPr>
              <w:t> </w:t>
            </w:r>
            <w:r w:rsidRPr="00B33B1E">
              <w:rPr>
                <w:snapToGrid w:val="0"/>
                <w:color w:val="000000"/>
                <w:kern w:val="22"/>
                <w:sz w:val="20"/>
                <w:szCs w:val="20"/>
                <w:lang w:eastAsia="en-CA"/>
              </w:rPr>
              <w:t>367.6</w:t>
            </w:r>
            <w:r>
              <w:rPr>
                <w:snapToGrid w:val="0"/>
                <w:color w:val="000000"/>
                <w:kern w:val="22"/>
                <w:sz w:val="20"/>
                <w:szCs w:val="20"/>
                <w:lang w:eastAsia="en-CA"/>
              </w:rPr>
              <w:t>0</w:t>
            </w:r>
          </w:p>
        </w:tc>
      </w:tr>
      <w:tr w:rsidR="00AF183C" w:rsidRPr="00E9050B" w14:paraId="4ADA6960" w14:textId="77777777" w:rsidTr="00B33B1E">
        <w:trPr>
          <w:cantSplit/>
          <w:jc w:val="center"/>
        </w:trPr>
        <w:tc>
          <w:tcPr>
            <w:tcW w:w="0" w:type="auto"/>
          </w:tcPr>
          <w:p w14:paraId="6796A480" w14:textId="77777777" w:rsidR="00AF183C" w:rsidRPr="00AF183C" w:rsidRDefault="00AF183C"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 w:val="20"/>
                <w:szCs w:val="20"/>
                <w:lang w:eastAsia="en-CA"/>
              </w:rPr>
            </w:pPr>
          </w:p>
        </w:tc>
        <w:tc>
          <w:tcPr>
            <w:tcW w:w="0" w:type="auto"/>
            <w:shd w:val="clear" w:color="auto" w:fill="auto"/>
            <w:hideMark/>
          </w:tcPr>
          <w:p w14:paraId="79F9C5BB" w14:textId="6084F422" w:rsidR="00AF183C" w:rsidRPr="00B33B1E" w:rsidRDefault="00AF183C"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 w:val="20"/>
                <w:szCs w:val="20"/>
                <w:lang w:eastAsia="en-CA"/>
              </w:rPr>
            </w:pPr>
            <w:r w:rsidRPr="00B33B1E">
              <w:rPr>
                <w:snapToGrid w:val="0"/>
                <w:color w:val="000000"/>
                <w:kern w:val="22"/>
                <w:sz w:val="20"/>
                <w:szCs w:val="20"/>
                <w:lang w:eastAsia="en-CA"/>
              </w:rPr>
              <w:t>B.</w:t>
            </w:r>
            <w:r w:rsidRPr="00B33B1E">
              <w:rPr>
                <w:snapToGrid w:val="0"/>
                <w:color w:val="000000"/>
                <w:kern w:val="22"/>
                <w:sz w:val="20"/>
                <w:szCs w:val="20"/>
                <w:lang w:eastAsia="en-CA"/>
              </w:rPr>
              <w:tab/>
              <w:t>Temporary assistance/overtime</w:t>
            </w:r>
          </w:p>
        </w:tc>
        <w:tc>
          <w:tcPr>
            <w:tcW w:w="0" w:type="auto"/>
            <w:shd w:val="clear" w:color="auto" w:fill="auto"/>
            <w:hideMark/>
          </w:tcPr>
          <w:p w14:paraId="7E23A020" w14:textId="6AB7F814" w:rsidR="00AF183C" w:rsidRPr="00B33B1E" w:rsidRDefault="00AF183C" w:rsidP="00B33B1E">
            <w:pPr>
              <w:suppressLineNumbers/>
              <w:suppressAutoHyphens/>
              <w:kinsoku w:val="0"/>
              <w:overflowPunct w:val="0"/>
              <w:autoSpaceDE w:val="0"/>
              <w:autoSpaceDN w:val="0"/>
              <w:adjustRightInd w:val="0"/>
              <w:snapToGrid w:val="0"/>
              <w:ind w:right="79"/>
              <w:jc w:val="right"/>
              <w:rPr>
                <w:snapToGrid w:val="0"/>
                <w:color w:val="000000"/>
                <w:kern w:val="22"/>
                <w:sz w:val="20"/>
                <w:szCs w:val="20"/>
                <w:lang w:eastAsia="en-CA"/>
              </w:rPr>
            </w:pPr>
            <w:r w:rsidRPr="00B33B1E">
              <w:rPr>
                <w:snapToGrid w:val="0"/>
                <w:color w:val="000000"/>
                <w:kern w:val="22"/>
                <w:sz w:val="20"/>
                <w:szCs w:val="20"/>
                <w:lang w:eastAsia="en-CA"/>
              </w:rPr>
              <w:t>200.0</w:t>
            </w:r>
            <w:r>
              <w:rPr>
                <w:snapToGrid w:val="0"/>
                <w:color w:val="000000"/>
                <w:kern w:val="22"/>
                <w:sz w:val="20"/>
                <w:szCs w:val="20"/>
                <w:lang w:eastAsia="en-CA"/>
              </w:rPr>
              <w:t>0</w:t>
            </w:r>
          </w:p>
        </w:tc>
        <w:tc>
          <w:tcPr>
            <w:tcW w:w="0" w:type="auto"/>
            <w:shd w:val="clear" w:color="auto" w:fill="auto"/>
          </w:tcPr>
          <w:p w14:paraId="37C2DBF1" w14:textId="032AF8AA" w:rsidR="00AF183C" w:rsidRPr="00B33B1E" w:rsidRDefault="00AF183C" w:rsidP="00B33B1E">
            <w:pPr>
              <w:suppressLineNumbers/>
              <w:suppressAutoHyphens/>
              <w:kinsoku w:val="0"/>
              <w:overflowPunct w:val="0"/>
              <w:autoSpaceDE w:val="0"/>
              <w:autoSpaceDN w:val="0"/>
              <w:adjustRightInd w:val="0"/>
              <w:snapToGrid w:val="0"/>
              <w:jc w:val="right"/>
              <w:rPr>
                <w:snapToGrid w:val="0"/>
                <w:color w:val="000000"/>
                <w:kern w:val="22"/>
                <w:sz w:val="20"/>
                <w:szCs w:val="20"/>
                <w:lang w:eastAsia="en-CA"/>
              </w:rPr>
            </w:pPr>
            <w:r w:rsidRPr="00B33B1E">
              <w:rPr>
                <w:snapToGrid w:val="0"/>
                <w:color w:val="000000"/>
                <w:kern w:val="22"/>
                <w:sz w:val="20"/>
                <w:szCs w:val="20"/>
                <w:lang w:eastAsia="en-CA"/>
              </w:rPr>
              <w:t>119.00</w:t>
            </w:r>
          </w:p>
        </w:tc>
        <w:tc>
          <w:tcPr>
            <w:tcW w:w="0" w:type="auto"/>
            <w:shd w:val="clear" w:color="auto" w:fill="auto"/>
          </w:tcPr>
          <w:p w14:paraId="497C912E" w14:textId="647B8CAE" w:rsidR="00AF183C" w:rsidRPr="00B33B1E" w:rsidRDefault="00AF183C" w:rsidP="00B33B1E">
            <w:pPr>
              <w:suppressLineNumbers/>
              <w:suppressAutoHyphens/>
              <w:kinsoku w:val="0"/>
              <w:overflowPunct w:val="0"/>
              <w:autoSpaceDE w:val="0"/>
              <w:autoSpaceDN w:val="0"/>
              <w:adjustRightInd w:val="0"/>
              <w:snapToGrid w:val="0"/>
              <w:ind w:right="38"/>
              <w:jc w:val="right"/>
              <w:rPr>
                <w:snapToGrid w:val="0"/>
                <w:color w:val="000000"/>
                <w:kern w:val="22"/>
                <w:sz w:val="20"/>
                <w:szCs w:val="20"/>
                <w:lang w:eastAsia="en-CA"/>
              </w:rPr>
            </w:pPr>
            <w:r w:rsidRPr="00B33B1E">
              <w:rPr>
                <w:snapToGrid w:val="0"/>
                <w:color w:val="000000"/>
                <w:kern w:val="22"/>
                <w:sz w:val="20"/>
                <w:szCs w:val="20"/>
                <w:lang w:eastAsia="en-CA"/>
              </w:rPr>
              <w:t>81.00</w:t>
            </w:r>
          </w:p>
        </w:tc>
      </w:tr>
      <w:tr w:rsidR="00AF183C" w:rsidRPr="00E9050B" w14:paraId="43CD7E41" w14:textId="77777777" w:rsidTr="00B33B1E">
        <w:trPr>
          <w:cantSplit/>
          <w:jc w:val="center"/>
        </w:trPr>
        <w:tc>
          <w:tcPr>
            <w:tcW w:w="0" w:type="auto"/>
          </w:tcPr>
          <w:p w14:paraId="3153532E" w14:textId="77777777" w:rsidR="00AF183C" w:rsidRPr="00AF183C" w:rsidRDefault="00AF183C"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 w:val="20"/>
                <w:szCs w:val="20"/>
                <w:lang w:eastAsia="en-CA"/>
              </w:rPr>
            </w:pPr>
          </w:p>
        </w:tc>
        <w:tc>
          <w:tcPr>
            <w:tcW w:w="0" w:type="auto"/>
            <w:shd w:val="clear" w:color="auto" w:fill="auto"/>
            <w:hideMark/>
          </w:tcPr>
          <w:p w14:paraId="380975A5" w14:textId="0DC7494A" w:rsidR="00AF183C" w:rsidRPr="00B33B1E" w:rsidRDefault="00AF183C"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 w:val="20"/>
                <w:szCs w:val="20"/>
                <w:lang w:eastAsia="en-CA"/>
              </w:rPr>
            </w:pPr>
            <w:r w:rsidRPr="00B33B1E">
              <w:rPr>
                <w:snapToGrid w:val="0"/>
                <w:color w:val="000000"/>
                <w:kern w:val="22"/>
                <w:sz w:val="20"/>
                <w:szCs w:val="20"/>
                <w:lang w:eastAsia="en-CA"/>
              </w:rPr>
              <w:t>C.</w:t>
            </w:r>
            <w:r w:rsidRPr="00B33B1E">
              <w:rPr>
                <w:snapToGrid w:val="0"/>
                <w:color w:val="000000"/>
                <w:kern w:val="22"/>
                <w:sz w:val="20"/>
                <w:szCs w:val="20"/>
                <w:lang w:eastAsia="en-CA"/>
              </w:rPr>
              <w:tab/>
              <w:t>Consultants/subcontractors</w:t>
            </w:r>
          </w:p>
        </w:tc>
        <w:tc>
          <w:tcPr>
            <w:tcW w:w="0" w:type="auto"/>
            <w:shd w:val="clear" w:color="auto" w:fill="auto"/>
            <w:hideMark/>
          </w:tcPr>
          <w:p w14:paraId="5DF318C0" w14:textId="6A5C15D8" w:rsidR="00AF183C" w:rsidRPr="00B33B1E" w:rsidRDefault="00AF183C" w:rsidP="00B33B1E">
            <w:pPr>
              <w:suppressLineNumbers/>
              <w:suppressAutoHyphens/>
              <w:kinsoku w:val="0"/>
              <w:overflowPunct w:val="0"/>
              <w:autoSpaceDE w:val="0"/>
              <w:autoSpaceDN w:val="0"/>
              <w:adjustRightInd w:val="0"/>
              <w:snapToGrid w:val="0"/>
              <w:ind w:right="79"/>
              <w:jc w:val="right"/>
              <w:rPr>
                <w:snapToGrid w:val="0"/>
                <w:color w:val="000000"/>
                <w:kern w:val="22"/>
                <w:sz w:val="20"/>
                <w:szCs w:val="20"/>
                <w:lang w:eastAsia="en-CA"/>
              </w:rPr>
            </w:pPr>
            <w:r w:rsidRPr="00B33B1E">
              <w:rPr>
                <w:snapToGrid w:val="0"/>
                <w:color w:val="000000"/>
                <w:kern w:val="22"/>
                <w:sz w:val="20"/>
                <w:szCs w:val="20"/>
                <w:lang w:eastAsia="en-CA"/>
              </w:rPr>
              <w:t>100.0</w:t>
            </w:r>
            <w:r>
              <w:rPr>
                <w:snapToGrid w:val="0"/>
                <w:color w:val="000000"/>
                <w:kern w:val="22"/>
                <w:sz w:val="20"/>
                <w:szCs w:val="20"/>
                <w:lang w:eastAsia="en-CA"/>
              </w:rPr>
              <w:t>0</w:t>
            </w:r>
          </w:p>
        </w:tc>
        <w:tc>
          <w:tcPr>
            <w:tcW w:w="0" w:type="auto"/>
            <w:shd w:val="clear" w:color="auto" w:fill="auto"/>
          </w:tcPr>
          <w:p w14:paraId="52096779" w14:textId="62E98447" w:rsidR="00AF183C" w:rsidRPr="00B33B1E" w:rsidRDefault="00AF183C" w:rsidP="00B33B1E">
            <w:pPr>
              <w:suppressLineNumbers/>
              <w:suppressAutoHyphens/>
              <w:kinsoku w:val="0"/>
              <w:overflowPunct w:val="0"/>
              <w:autoSpaceDE w:val="0"/>
              <w:autoSpaceDN w:val="0"/>
              <w:adjustRightInd w:val="0"/>
              <w:snapToGrid w:val="0"/>
              <w:jc w:val="right"/>
              <w:rPr>
                <w:snapToGrid w:val="0"/>
                <w:color w:val="000000"/>
                <w:kern w:val="22"/>
                <w:sz w:val="20"/>
                <w:szCs w:val="20"/>
                <w:lang w:eastAsia="en-CA"/>
              </w:rPr>
            </w:pPr>
            <w:r w:rsidRPr="00B33B1E">
              <w:rPr>
                <w:snapToGrid w:val="0"/>
                <w:color w:val="000000"/>
                <w:kern w:val="22"/>
                <w:sz w:val="20"/>
                <w:szCs w:val="20"/>
                <w:lang w:eastAsia="en-CA"/>
              </w:rPr>
              <w:t>2.80</w:t>
            </w:r>
          </w:p>
        </w:tc>
        <w:tc>
          <w:tcPr>
            <w:tcW w:w="0" w:type="auto"/>
            <w:shd w:val="clear" w:color="auto" w:fill="auto"/>
          </w:tcPr>
          <w:p w14:paraId="4DD3721C" w14:textId="21182315" w:rsidR="00AF183C" w:rsidRPr="00B33B1E" w:rsidRDefault="00AF183C" w:rsidP="00B33B1E">
            <w:pPr>
              <w:suppressLineNumbers/>
              <w:suppressAutoHyphens/>
              <w:kinsoku w:val="0"/>
              <w:overflowPunct w:val="0"/>
              <w:autoSpaceDE w:val="0"/>
              <w:autoSpaceDN w:val="0"/>
              <w:adjustRightInd w:val="0"/>
              <w:snapToGrid w:val="0"/>
              <w:ind w:right="38"/>
              <w:jc w:val="right"/>
              <w:rPr>
                <w:snapToGrid w:val="0"/>
                <w:color w:val="000000"/>
                <w:kern w:val="22"/>
                <w:sz w:val="20"/>
                <w:szCs w:val="20"/>
                <w:lang w:eastAsia="en-CA"/>
              </w:rPr>
            </w:pPr>
            <w:r w:rsidRPr="00B33B1E">
              <w:rPr>
                <w:snapToGrid w:val="0"/>
                <w:color w:val="000000"/>
                <w:kern w:val="22"/>
                <w:sz w:val="20"/>
                <w:szCs w:val="20"/>
                <w:lang w:eastAsia="en-CA"/>
              </w:rPr>
              <w:t>97.20</w:t>
            </w:r>
          </w:p>
        </w:tc>
      </w:tr>
      <w:tr w:rsidR="00AF183C" w:rsidRPr="00E9050B" w14:paraId="1A37297F" w14:textId="77777777" w:rsidTr="00B33B1E">
        <w:trPr>
          <w:cantSplit/>
          <w:jc w:val="center"/>
        </w:trPr>
        <w:tc>
          <w:tcPr>
            <w:tcW w:w="0" w:type="auto"/>
          </w:tcPr>
          <w:p w14:paraId="75D1049F" w14:textId="77777777" w:rsidR="00AF183C" w:rsidRPr="00AF183C" w:rsidRDefault="00AF183C"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 w:val="20"/>
                <w:szCs w:val="20"/>
                <w:lang w:eastAsia="en-CA"/>
              </w:rPr>
            </w:pPr>
          </w:p>
        </w:tc>
        <w:tc>
          <w:tcPr>
            <w:tcW w:w="0" w:type="auto"/>
            <w:shd w:val="clear" w:color="auto" w:fill="auto"/>
            <w:hideMark/>
          </w:tcPr>
          <w:p w14:paraId="3D715489" w14:textId="43D5A2BD" w:rsidR="00AF183C" w:rsidRPr="00B33B1E" w:rsidRDefault="00AF183C"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 w:val="20"/>
                <w:szCs w:val="20"/>
                <w:lang w:eastAsia="en-CA"/>
              </w:rPr>
            </w:pPr>
            <w:r w:rsidRPr="00B33B1E">
              <w:rPr>
                <w:snapToGrid w:val="0"/>
                <w:color w:val="000000"/>
                <w:kern w:val="22"/>
                <w:sz w:val="20"/>
                <w:szCs w:val="20"/>
                <w:lang w:eastAsia="en-CA"/>
              </w:rPr>
              <w:t>D.</w:t>
            </w:r>
            <w:r w:rsidRPr="00B33B1E">
              <w:rPr>
                <w:snapToGrid w:val="0"/>
                <w:color w:val="000000"/>
                <w:kern w:val="22"/>
                <w:sz w:val="20"/>
                <w:szCs w:val="20"/>
                <w:lang w:eastAsia="en-CA"/>
              </w:rPr>
              <w:tab/>
              <w:t>Training</w:t>
            </w:r>
          </w:p>
        </w:tc>
        <w:tc>
          <w:tcPr>
            <w:tcW w:w="0" w:type="auto"/>
            <w:shd w:val="clear" w:color="auto" w:fill="auto"/>
            <w:hideMark/>
          </w:tcPr>
          <w:p w14:paraId="3FC4EC34" w14:textId="69068160" w:rsidR="00AF183C" w:rsidRPr="00B33B1E" w:rsidRDefault="00AF183C" w:rsidP="00B33B1E">
            <w:pPr>
              <w:suppressLineNumbers/>
              <w:suppressAutoHyphens/>
              <w:kinsoku w:val="0"/>
              <w:overflowPunct w:val="0"/>
              <w:autoSpaceDE w:val="0"/>
              <w:autoSpaceDN w:val="0"/>
              <w:adjustRightInd w:val="0"/>
              <w:snapToGrid w:val="0"/>
              <w:ind w:right="79"/>
              <w:jc w:val="right"/>
              <w:rPr>
                <w:snapToGrid w:val="0"/>
                <w:color w:val="000000"/>
                <w:kern w:val="22"/>
                <w:sz w:val="20"/>
                <w:szCs w:val="20"/>
                <w:lang w:eastAsia="en-CA"/>
              </w:rPr>
            </w:pPr>
            <w:r w:rsidRPr="00B33B1E">
              <w:rPr>
                <w:snapToGrid w:val="0"/>
                <w:color w:val="000000"/>
                <w:kern w:val="22"/>
                <w:sz w:val="20"/>
                <w:szCs w:val="20"/>
                <w:lang w:eastAsia="en-CA"/>
              </w:rPr>
              <w:t>10.0</w:t>
            </w:r>
            <w:r>
              <w:rPr>
                <w:snapToGrid w:val="0"/>
                <w:color w:val="000000"/>
                <w:kern w:val="22"/>
                <w:sz w:val="20"/>
                <w:szCs w:val="20"/>
                <w:lang w:eastAsia="en-CA"/>
              </w:rPr>
              <w:t>0</w:t>
            </w:r>
          </w:p>
        </w:tc>
        <w:tc>
          <w:tcPr>
            <w:tcW w:w="0" w:type="auto"/>
            <w:shd w:val="clear" w:color="auto" w:fill="auto"/>
          </w:tcPr>
          <w:p w14:paraId="00A657F8" w14:textId="7C023A45" w:rsidR="00AF183C" w:rsidRPr="00B33B1E" w:rsidRDefault="00AF183C" w:rsidP="00B33B1E">
            <w:pPr>
              <w:suppressLineNumbers/>
              <w:suppressAutoHyphens/>
              <w:kinsoku w:val="0"/>
              <w:overflowPunct w:val="0"/>
              <w:autoSpaceDE w:val="0"/>
              <w:autoSpaceDN w:val="0"/>
              <w:adjustRightInd w:val="0"/>
              <w:snapToGrid w:val="0"/>
              <w:jc w:val="right"/>
              <w:rPr>
                <w:snapToGrid w:val="0"/>
                <w:color w:val="000000"/>
                <w:kern w:val="22"/>
                <w:sz w:val="20"/>
                <w:szCs w:val="20"/>
                <w:lang w:eastAsia="en-CA"/>
              </w:rPr>
            </w:pPr>
            <w:r w:rsidRPr="00B33B1E">
              <w:rPr>
                <w:snapToGrid w:val="0"/>
                <w:color w:val="000000"/>
                <w:kern w:val="22"/>
                <w:sz w:val="20"/>
                <w:szCs w:val="20"/>
                <w:lang w:eastAsia="en-CA"/>
              </w:rPr>
              <w:t>7.30</w:t>
            </w:r>
          </w:p>
        </w:tc>
        <w:tc>
          <w:tcPr>
            <w:tcW w:w="0" w:type="auto"/>
            <w:shd w:val="clear" w:color="auto" w:fill="auto"/>
          </w:tcPr>
          <w:p w14:paraId="088966BE" w14:textId="35FBE74A" w:rsidR="00AF183C" w:rsidRPr="00B33B1E" w:rsidRDefault="00AF183C" w:rsidP="00B33B1E">
            <w:pPr>
              <w:suppressLineNumbers/>
              <w:suppressAutoHyphens/>
              <w:kinsoku w:val="0"/>
              <w:overflowPunct w:val="0"/>
              <w:autoSpaceDE w:val="0"/>
              <w:autoSpaceDN w:val="0"/>
              <w:adjustRightInd w:val="0"/>
              <w:snapToGrid w:val="0"/>
              <w:ind w:right="38"/>
              <w:jc w:val="right"/>
              <w:rPr>
                <w:snapToGrid w:val="0"/>
                <w:color w:val="000000"/>
                <w:kern w:val="22"/>
                <w:sz w:val="20"/>
                <w:szCs w:val="20"/>
                <w:lang w:eastAsia="en-CA"/>
              </w:rPr>
            </w:pPr>
            <w:r w:rsidRPr="00B33B1E">
              <w:rPr>
                <w:snapToGrid w:val="0"/>
                <w:color w:val="000000"/>
                <w:kern w:val="22"/>
                <w:sz w:val="20"/>
                <w:szCs w:val="20"/>
                <w:lang w:eastAsia="en-CA"/>
              </w:rPr>
              <w:t>2.70</w:t>
            </w:r>
          </w:p>
        </w:tc>
      </w:tr>
      <w:tr w:rsidR="00AF183C" w:rsidRPr="00E9050B" w14:paraId="0413B7F1" w14:textId="77777777" w:rsidTr="00B33B1E">
        <w:trPr>
          <w:cantSplit/>
          <w:jc w:val="center"/>
        </w:trPr>
        <w:tc>
          <w:tcPr>
            <w:tcW w:w="0" w:type="auto"/>
          </w:tcPr>
          <w:p w14:paraId="422C5EBC" w14:textId="77777777" w:rsidR="00AF183C" w:rsidRPr="00AF183C" w:rsidRDefault="00AF183C"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 w:val="20"/>
                <w:szCs w:val="20"/>
                <w:lang w:eastAsia="en-CA"/>
              </w:rPr>
            </w:pPr>
          </w:p>
        </w:tc>
        <w:tc>
          <w:tcPr>
            <w:tcW w:w="0" w:type="auto"/>
            <w:shd w:val="clear" w:color="auto" w:fill="auto"/>
            <w:hideMark/>
          </w:tcPr>
          <w:p w14:paraId="513F9B08" w14:textId="796566F9" w:rsidR="00AF183C" w:rsidRPr="00B33B1E" w:rsidRDefault="00AF183C"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 w:val="20"/>
                <w:szCs w:val="20"/>
                <w:lang w:eastAsia="en-CA"/>
              </w:rPr>
            </w:pPr>
            <w:r w:rsidRPr="00B33B1E">
              <w:rPr>
                <w:snapToGrid w:val="0"/>
                <w:color w:val="000000"/>
                <w:kern w:val="22"/>
                <w:sz w:val="20"/>
                <w:szCs w:val="20"/>
                <w:lang w:eastAsia="en-CA"/>
              </w:rPr>
              <w:t>E.</w:t>
            </w:r>
            <w:r w:rsidRPr="00B33B1E">
              <w:rPr>
                <w:snapToGrid w:val="0"/>
                <w:color w:val="000000"/>
                <w:kern w:val="22"/>
                <w:sz w:val="20"/>
                <w:szCs w:val="20"/>
                <w:lang w:eastAsia="en-CA"/>
              </w:rPr>
              <w:tab/>
              <w:t>Structural review</w:t>
            </w:r>
          </w:p>
        </w:tc>
        <w:tc>
          <w:tcPr>
            <w:tcW w:w="0" w:type="auto"/>
            <w:shd w:val="clear" w:color="auto" w:fill="auto"/>
            <w:hideMark/>
          </w:tcPr>
          <w:p w14:paraId="102B5258" w14:textId="1E0363E2" w:rsidR="00AF183C" w:rsidRPr="00B33B1E" w:rsidRDefault="00AF183C" w:rsidP="00B33B1E">
            <w:pPr>
              <w:suppressLineNumbers/>
              <w:suppressAutoHyphens/>
              <w:kinsoku w:val="0"/>
              <w:overflowPunct w:val="0"/>
              <w:autoSpaceDE w:val="0"/>
              <w:autoSpaceDN w:val="0"/>
              <w:adjustRightInd w:val="0"/>
              <w:snapToGrid w:val="0"/>
              <w:ind w:right="79"/>
              <w:jc w:val="right"/>
              <w:rPr>
                <w:snapToGrid w:val="0"/>
                <w:color w:val="000000"/>
                <w:kern w:val="22"/>
                <w:sz w:val="20"/>
                <w:szCs w:val="20"/>
                <w:lang w:eastAsia="en-CA"/>
              </w:rPr>
            </w:pPr>
            <w:r w:rsidRPr="00B33B1E">
              <w:rPr>
                <w:snapToGrid w:val="0"/>
                <w:color w:val="000000"/>
                <w:kern w:val="22"/>
                <w:sz w:val="20"/>
                <w:szCs w:val="20"/>
                <w:lang w:eastAsia="en-CA"/>
              </w:rPr>
              <w:t>250.0</w:t>
            </w:r>
            <w:r>
              <w:rPr>
                <w:snapToGrid w:val="0"/>
                <w:color w:val="000000"/>
                <w:kern w:val="22"/>
                <w:sz w:val="20"/>
                <w:szCs w:val="20"/>
                <w:lang w:eastAsia="en-CA"/>
              </w:rPr>
              <w:t>0</w:t>
            </w:r>
          </w:p>
        </w:tc>
        <w:tc>
          <w:tcPr>
            <w:tcW w:w="0" w:type="auto"/>
            <w:shd w:val="clear" w:color="auto" w:fill="auto"/>
          </w:tcPr>
          <w:p w14:paraId="6902C040" w14:textId="7C825B8E" w:rsidR="00AF183C" w:rsidRPr="00B33B1E" w:rsidRDefault="00AF183C" w:rsidP="00B33B1E">
            <w:pPr>
              <w:suppressLineNumbers/>
              <w:suppressAutoHyphens/>
              <w:kinsoku w:val="0"/>
              <w:overflowPunct w:val="0"/>
              <w:autoSpaceDE w:val="0"/>
              <w:autoSpaceDN w:val="0"/>
              <w:adjustRightInd w:val="0"/>
              <w:snapToGrid w:val="0"/>
              <w:jc w:val="right"/>
              <w:rPr>
                <w:snapToGrid w:val="0"/>
                <w:color w:val="000000"/>
                <w:kern w:val="22"/>
                <w:sz w:val="20"/>
                <w:szCs w:val="20"/>
                <w:lang w:eastAsia="en-CA"/>
              </w:rPr>
            </w:pPr>
            <w:r>
              <w:rPr>
                <w:snapToGrid w:val="0"/>
                <w:color w:val="000000"/>
                <w:kern w:val="22"/>
                <w:sz w:val="20"/>
                <w:szCs w:val="20"/>
                <w:lang w:eastAsia="en-CA"/>
              </w:rPr>
              <w:t>–</w:t>
            </w:r>
          </w:p>
        </w:tc>
        <w:tc>
          <w:tcPr>
            <w:tcW w:w="0" w:type="auto"/>
            <w:shd w:val="clear" w:color="auto" w:fill="auto"/>
          </w:tcPr>
          <w:p w14:paraId="29963FA0" w14:textId="06761612" w:rsidR="00AF183C" w:rsidRPr="00B33B1E" w:rsidRDefault="00AF183C" w:rsidP="00B33B1E">
            <w:pPr>
              <w:suppressLineNumbers/>
              <w:suppressAutoHyphens/>
              <w:kinsoku w:val="0"/>
              <w:overflowPunct w:val="0"/>
              <w:autoSpaceDE w:val="0"/>
              <w:autoSpaceDN w:val="0"/>
              <w:adjustRightInd w:val="0"/>
              <w:snapToGrid w:val="0"/>
              <w:ind w:right="38"/>
              <w:jc w:val="right"/>
              <w:rPr>
                <w:snapToGrid w:val="0"/>
                <w:color w:val="000000"/>
                <w:kern w:val="22"/>
                <w:sz w:val="20"/>
                <w:szCs w:val="20"/>
                <w:lang w:eastAsia="en-CA"/>
              </w:rPr>
            </w:pPr>
            <w:r w:rsidRPr="00B33B1E">
              <w:rPr>
                <w:snapToGrid w:val="0"/>
                <w:color w:val="000000"/>
                <w:kern w:val="22"/>
                <w:sz w:val="20"/>
                <w:szCs w:val="20"/>
                <w:lang w:eastAsia="en-CA"/>
              </w:rPr>
              <w:t>250.0</w:t>
            </w:r>
            <w:r>
              <w:rPr>
                <w:snapToGrid w:val="0"/>
                <w:color w:val="000000"/>
                <w:kern w:val="22"/>
                <w:sz w:val="20"/>
                <w:szCs w:val="20"/>
                <w:lang w:eastAsia="en-CA"/>
              </w:rPr>
              <w:t>0</w:t>
            </w:r>
          </w:p>
        </w:tc>
      </w:tr>
      <w:tr w:rsidR="00AF183C" w:rsidRPr="00E9050B" w14:paraId="5E0D2174" w14:textId="77777777" w:rsidTr="00B33B1E">
        <w:trPr>
          <w:cantSplit/>
          <w:jc w:val="center"/>
        </w:trPr>
        <w:tc>
          <w:tcPr>
            <w:tcW w:w="0" w:type="auto"/>
          </w:tcPr>
          <w:p w14:paraId="08E46D0B" w14:textId="77777777" w:rsidR="00AF183C" w:rsidRPr="00AF183C" w:rsidRDefault="00AF183C"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 w:val="20"/>
                <w:szCs w:val="20"/>
                <w:lang w:eastAsia="en-CA"/>
              </w:rPr>
            </w:pPr>
          </w:p>
        </w:tc>
        <w:tc>
          <w:tcPr>
            <w:tcW w:w="0" w:type="auto"/>
            <w:shd w:val="clear" w:color="auto" w:fill="auto"/>
            <w:hideMark/>
          </w:tcPr>
          <w:p w14:paraId="038451BA" w14:textId="3F966D1B" w:rsidR="00AF183C" w:rsidRPr="00B33B1E" w:rsidRDefault="00AF183C"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 w:val="20"/>
                <w:szCs w:val="20"/>
                <w:lang w:eastAsia="en-CA"/>
              </w:rPr>
            </w:pPr>
            <w:r w:rsidRPr="00B33B1E">
              <w:rPr>
                <w:snapToGrid w:val="0"/>
                <w:color w:val="000000"/>
                <w:kern w:val="22"/>
                <w:sz w:val="20"/>
                <w:szCs w:val="20"/>
                <w:lang w:eastAsia="en-CA"/>
              </w:rPr>
              <w:t>F.</w:t>
            </w:r>
            <w:r w:rsidRPr="00B33B1E">
              <w:rPr>
                <w:snapToGrid w:val="0"/>
                <w:color w:val="000000"/>
                <w:kern w:val="22"/>
                <w:sz w:val="20"/>
                <w:szCs w:val="20"/>
                <w:lang w:eastAsia="en-CA"/>
              </w:rPr>
              <w:tab/>
              <w:t>Bureau meeting</w:t>
            </w:r>
          </w:p>
        </w:tc>
        <w:tc>
          <w:tcPr>
            <w:tcW w:w="0" w:type="auto"/>
            <w:shd w:val="clear" w:color="auto" w:fill="auto"/>
            <w:hideMark/>
          </w:tcPr>
          <w:p w14:paraId="063FF064" w14:textId="256F001D" w:rsidR="00AF183C" w:rsidRPr="00B33B1E" w:rsidRDefault="00AF183C" w:rsidP="00B33B1E">
            <w:pPr>
              <w:suppressLineNumbers/>
              <w:suppressAutoHyphens/>
              <w:kinsoku w:val="0"/>
              <w:overflowPunct w:val="0"/>
              <w:autoSpaceDE w:val="0"/>
              <w:autoSpaceDN w:val="0"/>
              <w:adjustRightInd w:val="0"/>
              <w:snapToGrid w:val="0"/>
              <w:ind w:right="79"/>
              <w:jc w:val="right"/>
              <w:rPr>
                <w:snapToGrid w:val="0"/>
                <w:color w:val="000000"/>
                <w:kern w:val="22"/>
                <w:sz w:val="20"/>
                <w:szCs w:val="20"/>
                <w:lang w:eastAsia="en-CA"/>
              </w:rPr>
            </w:pPr>
            <w:r w:rsidRPr="00B33B1E">
              <w:rPr>
                <w:snapToGrid w:val="0"/>
                <w:color w:val="000000"/>
                <w:kern w:val="22"/>
                <w:sz w:val="20"/>
                <w:szCs w:val="20"/>
                <w:lang w:eastAsia="en-CA"/>
              </w:rPr>
              <w:t>278.9.0</w:t>
            </w:r>
            <w:r>
              <w:rPr>
                <w:snapToGrid w:val="0"/>
                <w:color w:val="000000"/>
                <w:kern w:val="22"/>
                <w:sz w:val="20"/>
                <w:szCs w:val="20"/>
                <w:lang w:eastAsia="en-CA"/>
              </w:rPr>
              <w:t>0</w:t>
            </w:r>
          </w:p>
        </w:tc>
        <w:tc>
          <w:tcPr>
            <w:tcW w:w="0" w:type="auto"/>
            <w:shd w:val="clear" w:color="auto" w:fill="auto"/>
          </w:tcPr>
          <w:p w14:paraId="5DF5D90F" w14:textId="6F167321" w:rsidR="00AF183C" w:rsidRPr="00B33B1E" w:rsidRDefault="00AF183C" w:rsidP="00B33B1E">
            <w:pPr>
              <w:suppressLineNumbers/>
              <w:suppressAutoHyphens/>
              <w:kinsoku w:val="0"/>
              <w:overflowPunct w:val="0"/>
              <w:autoSpaceDE w:val="0"/>
              <w:autoSpaceDN w:val="0"/>
              <w:adjustRightInd w:val="0"/>
              <w:snapToGrid w:val="0"/>
              <w:jc w:val="right"/>
              <w:rPr>
                <w:snapToGrid w:val="0"/>
                <w:color w:val="000000"/>
                <w:kern w:val="22"/>
                <w:sz w:val="20"/>
                <w:szCs w:val="20"/>
                <w:lang w:eastAsia="en-CA"/>
              </w:rPr>
            </w:pPr>
            <w:r w:rsidRPr="00B33B1E">
              <w:rPr>
                <w:snapToGrid w:val="0"/>
                <w:color w:val="000000"/>
                <w:kern w:val="22"/>
                <w:sz w:val="20"/>
                <w:szCs w:val="20"/>
                <w:lang w:eastAsia="en-CA"/>
              </w:rPr>
              <w:t>123.00</w:t>
            </w:r>
          </w:p>
        </w:tc>
        <w:tc>
          <w:tcPr>
            <w:tcW w:w="0" w:type="auto"/>
            <w:shd w:val="clear" w:color="auto" w:fill="auto"/>
          </w:tcPr>
          <w:p w14:paraId="3B94FF26" w14:textId="3CCF04D4" w:rsidR="00AF183C" w:rsidRPr="00B33B1E" w:rsidRDefault="00AF183C" w:rsidP="00B33B1E">
            <w:pPr>
              <w:suppressLineNumbers/>
              <w:suppressAutoHyphens/>
              <w:kinsoku w:val="0"/>
              <w:overflowPunct w:val="0"/>
              <w:autoSpaceDE w:val="0"/>
              <w:autoSpaceDN w:val="0"/>
              <w:adjustRightInd w:val="0"/>
              <w:snapToGrid w:val="0"/>
              <w:ind w:right="38"/>
              <w:jc w:val="right"/>
              <w:rPr>
                <w:snapToGrid w:val="0"/>
                <w:color w:val="000000"/>
                <w:kern w:val="22"/>
                <w:sz w:val="20"/>
                <w:szCs w:val="20"/>
                <w:lang w:eastAsia="en-CA"/>
              </w:rPr>
            </w:pPr>
            <w:r w:rsidRPr="00B33B1E">
              <w:rPr>
                <w:snapToGrid w:val="0"/>
                <w:color w:val="000000"/>
                <w:kern w:val="22"/>
                <w:sz w:val="20"/>
                <w:szCs w:val="20"/>
                <w:lang w:eastAsia="en-CA"/>
              </w:rPr>
              <w:t>155.9</w:t>
            </w:r>
            <w:r>
              <w:rPr>
                <w:snapToGrid w:val="0"/>
                <w:color w:val="000000"/>
                <w:kern w:val="22"/>
                <w:sz w:val="20"/>
                <w:szCs w:val="20"/>
                <w:lang w:eastAsia="en-CA"/>
              </w:rPr>
              <w:t>0</w:t>
            </w:r>
          </w:p>
        </w:tc>
      </w:tr>
      <w:tr w:rsidR="00AF183C" w:rsidRPr="00E9050B" w14:paraId="70A95039" w14:textId="77777777" w:rsidTr="00B33B1E">
        <w:trPr>
          <w:cantSplit/>
          <w:jc w:val="center"/>
        </w:trPr>
        <w:tc>
          <w:tcPr>
            <w:tcW w:w="0" w:type="auto"/>
          </w:tcPr>
          <w:p w14:paraId="73EECA81" w14:textId="77777777" w:rsidR="00AF183C" w:rsidRPr="00AF183C" w:rsidRDefault="00AF183C"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 w:val="20"/>
                <w:szCs w:val="20"/>
                <w:lang w:eastAsia="en-CA"/>
              </w:rPr>
            </w:pPr>
          </w:p>
        </w:tc>
        <w:tc>
          <w:tcPr>
            <w:tcW w:w="0" w:type="auto"/>
            <w:shd w:val="clear" w:color="auto" w:fill="auto"/>
            <w:hideMark/>
          </w:tcPr>
          <w:p w14:paraId="38C95860" w14:textId="2959C532" w:rsidR="00AF183C" w:rsidRPr="00B33B1E" w:rsidRDefault="00AF183C"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 w:val="20"/>
                <w:szCs w:val="20"/>
                <w:lang w:eastAsia="en-CA"/>
              </w:rPr>
            </w:pPr>
            <w:r w:rsidRPr="00B33B1E">
              <w:rPr>
                <w:snapToGrid w:val="0"/>
                <w:color w:val="000000"/>
                <w:kern w:val="22"/>
                <w:sz w:val="20"/>
                <w:szCs w:val="20"/>
                <w:lang w:eastAsia="en-CA"/>
              </w:rPr>
              <w:t>G.</w:t>
            </w:r>
            <w:r w:rsidRPr="00B33B1E">
              <w:rPr>
                <w:snapToGrid w:val="0"/>
                <w:color w:val="000000"/>
                <w:kern w:val="22"/>
                <w:sz w:val="20"/>
                <w:szCs w:val="20"/>
                <w:lang w:eastAsia="en-CA"/>
              </w:rPr>
              <w:tab/>
              <w:t>Expert meetings</w:t>
            </w:r>
          </w:p>
        </w:tc>
        <w:tc>
          <w:tcPr>
            <w:tcW w:w="0" w:type="auto"/>
            <w:shd w:val="clear" w:color="auto" w:fill="auto"/>
            <w:hideMark/>
          </w:tcPr>
          <w:p w14:paraId="1F5030AC" w14:textId="5F768290" w:rsidR="00AF183C" w:rsidRPr="00B33B1E" w:rsidRDefault="00AF183C" w:rsidP="00B33B1E">
            <w:pPr>
              <w:suppressLineNumbers/>
              <w:suppressAutoHyphens/>
              <w:kinsoku w:val="0"/>
              <w:overflowPunct w:val="0"/>
              <w:autoSpaceDE w:val="0"/>
              <w:autoSpaceDN w:val="0"/>
              <w:adjustRightInd w:val="0"/>
              <w:snapToGrid w:val="0"/>
              <w:ind w:right="79"/>
              <w:jc w:val="right"/>
              <w:rPr>
                <w:snapToGrid w:val="0"/>
                <w:color w:val="000000"/>
                <w:kern w:val="22"/>
                <w:sz w:val="20"/>
                <w:szCs w:val="20"/>
                <w:lang w:eastAsia="en-CA"/>
              </w:rPr>
            </w:pPr>
            <w:r w:rsidRPr="00B33B1E">
              <w:rPr>
                <w:snapToGrid w:val="0"/>
                <w:color w:val="000000"/>
                <w:kern w:val="22"/>
                <w:sz w:val="20"/>
                <w:szCs w:val="20"/>
                <w:lang w:eastAsia="en-CA"/>
              </w:rPr>
              <w:t>480.0</w:t>
            </w:r>
            <w:r>
              <w:rPr>
                <w:snapToGrid w:val="0"/>
                <w:color w:val="000000"/>
                <w:kern w:val="22"/>
                <w:sz w:val="20"/>
                <w:szCs w:val="20"/>
                <w:lang w:eastAsia="en-CA"/>
              </w:rPr>
              <w:t>0</w:t>
            </w:r>
          </w:p>
        </w:tc>
        <w:tc>
          <w:tcPr>
            <w:tcW w:w="0" w:type="auto"/>
            <w:shd w:val="clear" w:color="auto" w:fill="auto"/>
          </w:tcPr>
          <w:p w14:paraId="6267E922" w14:textId="225C7F87" w:rsidR="00AF183C" w:rsidRPr="00B33B1E" w:rsidRDefault="00AF183C" w:rsidP="00B33B1E">
            <w:pPr>
              <w:suppressLineNumbers/>
              <w:suppressAutoHyphens/>
              <w:kinsoku w:val="0"/>
              <w:overflowPunct w:val="0"/>
              <w:autoSpaceDE w:val="0"/>
              <w:autoSpaceDN w:val="0"/>
              <w:adjustRightInd w:val="0"/>
              <w:snapToGrid w:val="0"/>
              <w:jc w:val="right"/>
              <w:rPr>
                <w:snapToGrid w:val="0"/>
                <w:color w:val="000000"/>
                <w:kern w:val="22"/>
                <w:sz w:val="20"/>
                <w:szCs w:val="20"/>
                <w:lang w:eastAsia="en-CA"/>
              </w:rPr>
            </w:pPr>
            <w:r w:rsidRPr="00B33B1E">
              <w:rPr>
                <w:snapToGrid w:val="0"/>
                <w:color w:val="000000"/>
                <w:kern w:val="22"/>
                <w:sz w:val="20"/>
                <w:szCs w:val="20"/>
                <w:lang w:eastAsia="en-CA"/>
              </w:rPr>
              <w:t>278.00</w:t>
            </w:r>
          </w:p>
        </w:tc>
        <w:tc>
          <w:tcPr>
            <w:tcW w:w="0" w:type="auto"/>
            <w:shd w:val="clear" w:color="auto" w:fill="auto"/>
          </w:tcPr>
          <w:p w14:paraId="4767B576" w14:textId="4BA1B6F3" w:rsidR="00AF183C" w:rsidRPr="00B33B1E" w:rsidRDefault="00AF183C" w:rsidP="00B33B1E">
            <w:pPr>
              <w:suppressLineNumbers/>
              <w:suppressAutoHyphens/>
              <w:kinsoku w:val="0"/>
              <w:overflowPunct w:val="0"/>
              <w:autoSpaceDE w:val="0"/>
              <w:autoSpaceDN w:val="0"/>
              <w:adjustRightInd w:val="0"/>
              <w:snapToGrid w:val="0"/>
              <w:ind w:right="38"/>
              <w:jc w:val="right"/>
              <w:rPr>
                <w:snapToGrid w:val="0"/>
                <w:color w:val="000000"/>
                <w:kern w:val="22"/>
                <w:sz w:val="20"/>
                <w:szCs w:val="20"/>
                <w:lang w:eastAsia="en-CA"/>
              </w:rPr>
            </w:pPr>
            <w:r w:rsidRPr="00B33B1E">
              <w:rPr>
                <w:snapToGrid w:val="0"/>
                <w:color w:val="000000"/>
                <w:kern w:val="22"/>
                <w:sz w:val="20"/>
                <w:szCs w:val="20"/>
                <w:lang w:eastAsia="en-CA"/>
              </w:rPr>
              <w:t>202.0</w:t>
            </w:r>
            <w:r>
              <w:rPr>
                <w:snapToGrid w:val="0"/>
                <w:color w:val="000000"/>
                <w:kern w:val="22"/>
                <w:sz w:val="20"/>
                <w:szCs w:val="20"/>
                <w:lang w:eastAsia="en-CA"/>
              </w:rPr>
              <w:t>0</w:t>
            </w:r>
          </w:p>
        </w:tc>
      </w:tr>
      <w:tr w:rsidR="00AF183C" w:rsidRPr="00E9050B" w14:paraId="28492AA3" w14:textId="77777777" w:rsidTr="00B33B1E">
        <w:trPr>
          <w:cantSplit/>
          <w:jc w:val="center"/>
        </w:trPr>
        <w:tc>
          <w:tcPr>
            <w:tcW w:w="0" w:type="auto"/>
          </w:tcPr>
          <w:p w14:paraId="034FF23A" w14:textId="77777777" w:rsidR="00AF183C" w:rsidRPr="00AF183C" w:rsidRDefault="00AF183C"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 w:val="20"/>
                <w:szCs w:val="20"/>
                <w:lang w:eastAsia="en-CA"/>
              </w:rPr>
            </w:pPr>
          </w:p>
        </w:tc>
        <w:tc>
          <w:tcPr>
            <w:tcW w:w="0" w:type="auto"/>
            <w:shd w:val="clear" w:color="auto" w:fill="auto"/>
            <w:hideMark/>
          </w:tcPr>
          <w:p w14:paraId="2A778B2D" w14:textId="1962EDF8" w:rsidR="00AF183C" w:rsidRPr="00B33B1E" w:rsidRDefault="00AF183C"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 w:val="20"/>
                <w:szCs w:val="20"/>
                <w:lang w:eastAsia="en-CA"/>
              </w:rPr>
            </w:pPr>
            <w:r w:rsidRPr="00B33B1E">
              <w:rPr>
                <w:snapToGrid w:val="0"/>
                <w:color w:val="000000"/>
                <w:kern w:val="22"/>
                <w:sz w:val="20"/>
                <w:szCs w:val="20"/>
                <w:lang w:eastAsia="en-CA"/>
              </w:rPr>
              <w:t>H.</w:t>
            </w:r>
            <w:r w:rsidRPr="00B33B1E">
              <w:rPr>
                <w:snapToGrid w:val="0"/>
                <w:color w:val="000000"/>
                <w:kern w:val="22"/>
                <w:sz w:val="20"/>
                <w:szCs w:val="20"/>
                <w:lang w:eastAsia="en-CA"/>
              </w:rPr>
              <w:tab/>
              <w:t xml:space="preserve">Meetings of intergovernmental bodies </w:t>
            </w:r>
          </w:p>
        </w:tc>
        <w:tc>
          <w:tcPr>
            <w:tcW w:w="0" w:type="auto"/>
            <w:shd w:val="clear" w:color="auto" w:fill="auto"/>
            <w:hideMark/>
          </w:tcPr>
          <w:p w14:paraId="4723098D" w14:textId="456C1EDD" w:rsidR="00AF183C" w:rsidRPr="00B33B1E" w:rsidRDefault="00AF183C" w:rsidP="00B33B1E">
            <w:pPr>
              <w:suppressLineNumbers/>
              <w:suppressAutoHyphens/>
              <w:kinsoku w:val="0"/>
              <w:overflowPunct w:val="0"/>
              <w:autoSpaceDE w:val="0"/>
              <w:autoSpaceDN w:val="0"/>
              <w:adjustRightInd w:val="0"/>
              <w:snapToGrid w:val="0"/>
              <w:ind w:right="79"/>
              <w:jc w:val="right"/>
              <w:rPr>
                <w:snapToGrid w:val="0"/>
                <w:color w:val="000000"/>
                <w:kern w:val="22"/>
                <w:sz w:val="20"/>
                <w:szCs w:val="20"/>
                <w:lang w:eastAsia="en-CA"/>
              </w:rPr>
            </w:pPr>
            <w:r w:rsidRPr="00B33B1E">
              <w:rPr>
                <w:snapToGrid w:val="0"/>
                <w:color w:val="000000"/>
                <w:kern w:val="22"/>
                <w:sz w:val="20"/>
                <w:szCs w:val="20"/>
                <w:lang w:eastAsia="en-CA"/>
              </w:rPr>
              <w:t>5 584.60</w:t>
            </w:r>
          </w:p>
        </w:tc>
        <w:tc>
          <w:tcPr>
            <w:tcW w:w="0" w:type="auto"/>
            <w:shd w:val="clear" w:color="auto" w:fill="auto"/>
          </w:tcPr>
          <w:p w14:paraId="263235A6" w14:textId="4B4BBCB6" w:rsidR="00AF183C" w:rsidRPr="00B33B1E" w:rsidRDefault="00AF183C" w:rsidP="00B33B1E">
            <w:pPr>
              <w:suppressLineNumbers/>
              <w:suppressAutoHyphens/>
              <w:kinsoku w:val="0"/>
              <w:overflowPunct w:val="0"/>
              <w:autoSpaceDE w:val="0"/>
              <w:autoSpaceDN w:val="0"/>
              <w:adjustRightInd w:val="0"/>
              <w:snapToGrid w:val="0"/>
              <w:jc w:val="right"/>
              <w:rPr>
                <w:snapToGrid w:val="0"/>
                <w:color w:val="000000"/>
                <w:kern w:val="22"/>
                <w:sz w:val="20"/>
                <w:szCs w:val="20"/>
                <w:lang w:eastAsia="en-CA"/>
              </w:rPr>
            </w:pPr>
            <w:r w:rsidRPr="00B33B1E">
              <w:rPr>
                <w:snapToGrid w:val="0"/>
                <w:color w:val="000000"/>
                <w:kern w:val="22"/>
                <w:sz w:val="20"/>
                <w:szCs w:val="20"/>
                <w:lang w:eastAsia="en-CA"/>
              </w:rPr>
              <w:t>1</w:t>
            </w:r>
            <w:r>
              <w:rPr>
                <w:snapToGrid w:val="0"/>
                <w:color w:val="000000"/>
                <w:kern w:val="22"/>
                <w:sz w:val="20"/>
                <w:szCs w:val="20"/>
                <w:lang w:eastAsia="en-CA"/>
              </w:rPr>
              <w:t> </w:t>
            </w:r>
            <w:r w:rsidRPr="00B33B1E">
              <w:rPr>
                <w:snapToGrid w:val="0"/>
                <w:color w:val="000000"/>
                <w:kern w:val="22"/>
                <w:sz w:val="20"/>
                <w:szCs w:val="20"/>
                <w:lang w:eastAsia="en-CA"/>
              </w:rPr>
              <w:t>273.30</w:t>
            </w:r>
          </w:p>
        </w:tc>
        <w:tc>
          <w:tcPr>
            <w:tcW w:w="0" w:type="auto"/>
            <w:shd w:val="clear" w:color="auto" w:fill="auto"/>
          </w:tcPr>
          <w:p w14:paraId="6F40E975" w14:textId="3393788C" w:rsidR="00AF183C" w:rsidRPr="00B33B1E" w:rsidRDefault="00AF183C" w:rsidP="00B33B1E">
            <w:pPr>
              <w:suppressLineNumbers/>
              <w:suppressAutoHyphens/>
              <w:kinsoku w:val="0"/>
              <w:overflowPunct w:val="0"/>
              <w:autoSpaceDE w:val="0"/>
              <w:autoSpaceDN w:val="0"/>
              <w:adjustRightInd w:val="0"/>
              <w:snapToGrid w:val="0"/>
              <w:ind w:right="38"/>
              <w:jc w:val="right"/>
              <w:rPr>
                <w:snapToGrid w:val="0"/>
                <w:color w:val="000000"/>
                <w:kern w:val="22"/>
                <w:sz w:val="20"/>
                <w:szCs w:val="20"/>
                <w:lang w:eastAsia="en-CA"/>
              </w:rPr>
            </w:pPr>
            <w:r w:rsidRPr="00B33B1E">
              <w:rPr>
                <w:snapToGrid w:val="0"/>
                <w:color w:val="000000"/>
                <w:kern w:val="22"/>
                <w:sz w:val="20"/>
                <w:szCs w:val="20"/>
                <w:lang w:eastAsia="en-CA"/>
              </w:rPr>
              <w:t>4</w:t>
            </w:r>
            <w:r>
              <w:rPr>
                <w:snapToGrid w:val="0"/>
                <w:color w:val="000000"/>
                <w:kern w:val="22"/>
                <w:sz w:val="20"/>
                <w:szCs w:val="20"/>
                <w:lang w:eastAsia="en-CA"/>
              </w:rPr>
              <w:t> </w:t>
            </w:r>
            <w:r w:rsidRPr="00B33B1E">
              <w:rPr>
                <w:snapToGrid w:val="0"/>
                <w:color w:val="000000"/>
                <w:kern w:val="22"/>
                <w:sz w:val="20"/>
                <w:szCs w:val="20"/>
                <w:lang w:eastAsia="en-CA"/>
              </w:rPr>
              <w:t>311.3</w:t>
            </w:r>
            <w:r>
              <w:rPr>
                <w:snapToGrid w:val="0"/>
                <w:color w:val="000000"/>
                <w:kern w:val="22"/>
                <w:sz w:val="20"/>
                <w:szCs w:val="20"/>
                <w:lang w:eastAsia="en-CA"/>
              </w:rPr>
              <w:t>0</w:t>
            </w:r>
          </w:p>
        </w:tc>
      </w:tr>
      <w:tr w:rsidR="00AF183C" w:rsidRPr="00E9050B" w14:paraId="61960904" w14:textId="77777777" w:rsidTr="00B33B1E">
        <w:trPr>
          <w:cantSplit/>
          <w:jc w:val="center"/>
        </w:trPr>
        <w:tc>
          <w:tcPr>
            <w:tcW w:w="0" w:type="auto"/>
          </w:tcPr>
          <w:p w14:paraId="4F1306CA" w14:textId="77777777" w:rsidR="00AF183C" w:rsidRPr="00AF183C" w:rsidRDefault="00AF183C"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 w:val="20"/>
                <w:szCs w:val="20"/>
                <w:lang w:eastAsia="en-CA"/>
              </w:rPr>
            </w:pPr>
          </w:p>
        </w:tc>
        <w:tc>
          <w:tcPr>
            <w:tcW w:w="0" w:type="auto"/>
            <w:shd w:val="clear" w:color="auto" w:fill="auto"/>
            <w:hideMark/>
          </w:tcPr>
          <w:p w14:paraId="19F56FE1" w14:textId="326B07B2" w:rsidR="00AF183C" w:rsidRPr="00B33B1E" w:rsidRDefault="00AF183C"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 w:val="20"/>
                <w:szCs w:val="20"/>
                <w:lang w:eastAsia="en-CA"/>
              </w:rPr>
            </w:pPr>
            <w:r w:rsidRPr="00B33B1E">
              <w:rPr>
                <w:snapToGrid w:val="0"/>
                <w:color w:val="000000"/>
                <w:kern w:val="22"/>
                <w:sz w:val="20"/>
                <w:szCs w:val="20"/>
                <w:lang w:eastAsia="en-CA"/>
              </w:rPr>
              <w:t>I.</w:t>
            </w:r>
            <w:r w:rsidRPr="00B33B1E">
              <w:rPr>
                <w:snapToGrid w:val="0"/>
                <w:color w:val="000000"/>
                <w:kern w:val="22"/>
                <w:sz w:val="20"/>
                <w:szCs w:val="20"/>
                <w:lang w:eastAsia="en-CA"/>
              </w:rPr>
              <w:tab/>
              <w:t>Public awareness material</w:t>
            </w:r>
          </w:p>
        </w:tc>
        <w:tc>
          <w:tcPr>
            <w:tcW w:w="0" w:type="auto"/>
            <w:shd w:val="clear" w:color="auto" w:fill="auto"/>
            <w:hideMark/>
          </w:tcPr>
          <w:p w14:paraId="77D1DB35" w14:textId="361DCF8E" w:rsidR="00AF183C" w:rsidRPr="00B33B1E" w:rsidRDefault="00AF183C" w:rsidP="00B33B1E">
            <w:pPr>
              <w:suppressLineNumbers/>
              <w:suppressAutoHyphens/>
              <w:kinsoku w:val="0"/>
              <w:overflowPunct w:val="0"/>
              <w:autoSpaceDE w:val="0"/>
              <w:autoSpaceDN w:val="0"/>
              <w:adjustRightInd w:val="0"/>
              <w:snapToGrid w:val="0"/>
              <w:ind w:right="79"/>
              <w:jc w:val="right"/>
              <w:rPr>
                <w:snapToGrid w:val="0"/>
                <w:color w:val="000000"/>
                <w:kern w:val="22"/>
                <w:sz w:val="20"/>
                <w:szCs w:val="20"/>
                <w:lang w:eastAsia="en-CA"/>
              </w:rPr>
            </w:pPr>
            <w:r w:rsidRPr="00B33B1E">
              <w:rPr>
                <w:snapToGrid w:val="0"/>
                <w:color w:val="000000"/>
                <w:kern w:val="22"/>
                <w:sz w:val="20"/>
                <w:szCs w:val="20"/>
                <w:lang w:eastAsia="en-CA"/>
              </w:rPr>
              <w:t>100.0</w:t>
            </w:r>
            <w:r>
              <w:rPr>
                <w:snapToGrid w:val="0"/>
                <w:color w:val="000000"/>
                <w:kern w:val="22"/>
                <w:sz w:val="20"/>
                <w:szCs w:val="20"/>
                <w:lang w:eastAsia="en-CA"/>
              </w:rPr>
              <w:t>0</w:t>
            </w:r>
          </w:p>
        </w:tc>
        <w:tc>
          <w:tcPr>
            <w:tcW w:w="0" w:type="auto"/>
            <w:shd w:val="clear" w:color="auto" w:fill="auto"/>
          </w:tcPr>
          <w:p w14:paraId="48D3839A" w14:textId="451F62C0" w:rsidR="00AF183C" w:rsidRPr="00B33B1E" w:rsidRDefault="00AF183C" w:rsidP="00B33B1E">
            <w:pPr>
              <w:suppressLineNumbers/>
              <w:suppressAutoHyphens/>
              <w:kinsoku w:val="0"/>
              <w:overflowPunct w:val="0"/>
              <w:autoSpaceDE w:val="0"/>
              <w:autoSpaceDN w:val="0"/>
              <w:adjustRightInd w:val="0"/>
              <w:snapToGrid w:val="0"/>
              <w:jc w:val="right"/>
              <w:rPr>
                <w:snapToGrid w:val="0"/>
                <w:color w:val="000000"/>
                <w:kern w:val="22"/>
                <w:sz w:val="20"/>
                <w:szCs w:val="20"/>
                <w:lang w:eastAsia="en-CA"/>
              </w:rPr>
            </w:pPr>
            <w:r w:rsidRPr="00B33B1E">
              <w:rPr>
                <w:snapToGrid w:val="0"/>
                <w:color w:val="000000"/>
                <w:kern w:val="22"/>
                <w:sz w:val="20"/>
                <w:szCs w:val="20"/>
                <w:lang w:eastAsia="en-CA"/>
              </w:rPr>
              <w:t>17.10</w:t>
            </w:r>
          </w:p>
        </w:tc>
        <w:tc>
          <w:tcPr>
            <w:tcW w:w="0" w:type="auto"/>
            <w:shd w:val="clear" w:color="auto" w:fill="auto"/>
          </w:tcPr>
          <w:p w14:paraId="756C94D1" w14:textId="37F0D417" w:rsidR="00AF183C" w:rsidRPr="00B33B1E" w:rsidRDefault="00AF183C" w:rsidP="00B33B1E">
            <w:pPr>
              <w:suppressLineNumbers/>
              <w:suppressAutoHyphens/>
              <w:kinsoku w:val="0"/>
              <w:overflowPunct w:val="0"/>
              <w:autoSpaceDE w:val="0"/>
              <w:autoSpaceDN w:val="0"/>
              <w:adjustRightInd w:val="0"/>
              <w:snapToGrid w:val="0"/>
              <w:ind w:right="38"/>
              <w:jc w:val="right"/>
              <w:rPr>
                <w:snapToGrid w:val="0"/>
                <w:color w:val="000000"/>
                <w:kern w:val="22"/>
                <w:sz w:val="20"/>
                <w:szCs w:val="20"/>
                <w:lang w:eastAsia="en-CA"/>
              </w:rPr>
            </w:pPr>
            <w:r w:rsidRPr="00B33B1E">
              <w:rPr>
                <w:snapToGrid w:val="0"/>
                <w:color w:val="000000"/>
                <w:kern w:val="22"/>
                <w:sz w:val="20"/>
                <w:szCs w:val="20"/>
                <w:lang w:eastAsia="en-CA"/>
              </w:rPr>
              <w:t>82.9</w:t>
            </w:r>
            <w:r>
              <w:rPr>
                <w:snapToGrid w:val="0"/>
                <w:color w:val="000000"/>
                <w:kern w:val="22"/>
                <w:sz w:val="20"/>
                <w:szCs w:val="20"/>
                <w:lang w:eastAsia="en-CA"/>
              </w:rPr>
              <w:t>0</w:t>
            </w:r>
          </w:p>
        </w:tc>
      </w:tr>
      <w:tr w:rsidR="00AF183C" w:rsidRPr="00E9050B" w14:paraId="5B14F0ED" w14:textId="77777777" w:rsidTr="00B33B1E">
        <w:trPr>
          <w:cantSplit/>
          <w:jc w:val="center"/>
        </w:trPr>
        <w:tc>
          <w:tcPr>
            <w:tcW w:w="0" w:type="auto"/>
          </w:tcPr>
          <w:p w14:paraId="2FB83253" w14:textId="77777777" w:rsidR="00AF183C" w:rsidRPr="00AF183C" w:rsidRDefault="00AF183C">
            <w:pPr>
              <w:suppressLineNumbers/>
              <w:tabs>
                <w:tab w:val="left" w:pos="425"/>
              </w:tabs>
              <w:suppressAutoHyphens/>
              <w:kinsoku w:val="0"/>
              <w:overflowPunct w:val="0"/>
              <w:autoSpaceDE w:val="0"/>
              <w:autoSpaceDN w:val="0"/>
              <w:adjustRightInd w:val="0"/>
              <w:snapToGrid w:val="0"/>
              <w:ind w:left="452" w:hanging="452"/>
              <w:jc w:val="left"/>
              <w:rPr>
                <w:snapToGrid w:val="0"/>
                <w:color w:val="000000"/>
                <w:kern w:val="22"/>
                <w:sz w:val="20"/>
                <w:szCs w:val="20"/>
                <w:lang w:eastAsia="en-CA"/>
              </w:rPr>
            </w:pPr>
          </w:p>
        </w:tc>
        <w:tc>
          <w:tcPr>
            <w:tcW w:w="0" w:type="auto"/>
            <w:shd w:val="clear" w:color="auto" w:fill="auto"/>
            <w:hideMark/>
          </w:tcPr>
          <w:p w14:paraId="53E4B84B" w14:textId="5E48AEDE" w:rsidR="00AF183C" w:rsidRPr="00B33B1E" w:rsidRDefault="00AF183C" w:rsidP="00B33B1E">
            <w:pPr>
              <w:suppressLineNumbers/>
              <w:tabs>
                <w:tab w:val="left" w:pos="425"/>
              </w:tabs>
              <w:suppressAutoHyphens/>
              <w:kinsoku w:val="0"/>
              <w:overflowPunct w:val="0"/>
              <w:autoSpaceDE w:val="0"/>
              <w:autoSpaceDN w:val="0"/>
              <w:adjustRightInd w:val="0"/>
              <w:snapToGrid w:val="0"/>
              <w:ind w:left="452" w:hanging="452"/>
              <w:jc w:val="left"/>
              <w:rPr>
                <w:snapToGrid w:val="0"/>
                <w:color w:val="000000"/>
                <w:kern w:val="22"/>
                <w:sz w:val="20"/>
                <w:szCs w:val="20"/>
                <w:lang w:eastAsia="en-CA"/>
              </w:rPr>
            </w:pPr>
            <w:r w:rsidRPr="00B33B1E">
              <w:rPr>
                <w:snapToGrid w:val="0"/>
                <w:color w:val="000000"/>
                <w:kern w:val="22"/>
                <w:sz w:val="20"/>
                <w:szCs w:val="20"/>
                <w:lang w:eastAsia="en-CA"/>
              </w:rPr>
              <w:t>J.</w:t>
            </w:r>
            <w:r w:rsidRPr="00B33B1E">
              <w:rPr>
                <w:snapToGrid w:val="0"/>
                <w:color w:val="000000"/>
                <w:kern w:val="22"/>
                <w:sz w:val="20"/>
                <w:szCs w:val="20"/>
                <w:lang w:eastAsia="en-CA"/>
              </w:rPr>
              <w:tab/>
              <w:t>Translation of clearing-house mechanism website/website projects</w:t>
            </w:r>
          </w:p>
        </w:tc>
        <w:tc>
          <w:tcPr>
            <w:tcW w:w="0" w:type="auto"/>
            <w:shd w:val="clear" w:color="auto" w:fill="auto"/>
            <w:hideMark/>
          </w:tcPr>
          <w:p w14:paraId="087EE6EC" w14:textId="6C63CF1C" w:rsidR="00AF183C" w:rsidRPr="00B33B1E" w:rsidRDefault="00AF183C" w:rsidP="00B33B1E">
            <w:pPr>
              <w:suppressLineNumbers/>
              <w:suppressAutoHyphens/>
              <w:kinsoku w:val="0"/>
              <w:overflowPunct w:val="0"/>
              <w:autoSpaceDE w:val="0"/>
              <w:autoSpaceDN w:val="0"/>
              <w:adjustRightInd w:val="0"/>
              <w:snapToGrid w:val="0"/>
              <w:ind w:right="79"/>
              <w:jc w:val="right"/>
              <w:rPr>
                <w:snapToGrid w:val="0"/>
                <w:color w:val="000000"/>
                <w:kern w:val="22"/>
                <w:sz w:val="20"/>
                <w:szCs w:val="20"/>
                <w:lang w:eastAsia="en-CA"/>
              </w:rPr>
            </w:pPr>
            <w:r w:rsidRPr="00B33B1E">
              <w:rPr>
                <w:snapToGrid w:val="0"/>
                <w:color w:val="000000"/>
                <w:kern w:val="22"/>
                <w:sz w:val="20"/>
                <w:szCs w:val="20"/>
                <w:lang w:eastAsia="en-CA"/>
              </w:rPr>
              <w:t>130.0</w:t>
            </w:r>
            <w:r>
              <w:rPr>
                <w:snapToGrid w:val="0"/>
                <w:color w:val="000000"/>
                <w:kern w:val="22"/>
                <w:sz w:val="20"/>
                <w:szCs w:val="20"/>
                <w:lang w:eastAsia="en-CA"/>
              </w:rPr>
              <w:t>0</w:t>
            </w:r>
          </w:p>
        </w:tc>
        <w:tc>
          <w:tcPr>
            <w:tcW w:w="0" w:type="auto"/>
            <w:shd w:val="clear" w:color="auto" w:fill="auto"/>
          </w:tcPr>
          <w:p w14:paraId="076D9EC4" w14:textId="247CD7AC" w:rsidR="00AF183C" w:rsidRPr="00B33B1E" w:rsidRDefault="00AF183C" w:rsidP="00B33B1E">
            <w:pPr>
              <w:suppressLineNumbers/>
              <w:suppressAutoHyphens/>
              <w:kinsoku w:val="0"/>
              <w:overflowPunct w:val="0"/>
              <w:autoSpaceDE w:val="0"/>
              <w:autoSpaceDN w:val="0"/>
              <w:adjustRightInd w:val="0"/>
              <w:snapToGrid w:val="0"/>
              <w:jc w:val="right"/>
              <w:rPr>
                <w:snapToGrid w:val="0"/>
                <w:color w:val="000000"/>
                <w:kern w:val="22"/>
                <w:sz w:val="20"/>
                <w:szCs w:val="20"/>
                <w:lang w:eastAsia="en-CA"/>
              </w:rPr>
            </w:pPr>
            <w:r w:rsidRPr="00B33B1E">
              <w:rPr>
                <w:snapToGrid w:val="0"/>
                <w:color w:val="000000"/>
                <w:kern w:val="22"/>
                <w:sz w:val="20"/>
                <w:szCs w:val="20"/>
                <w:lang w:eastAsia="en-CA"/>
              </w:rPr>
              <w:t>18.5</w:t>
            </w:r>
            <w:r>
              <w:rPr>
                <w:snapToGrid w:val="0"/>
                <w:color w:val="000000"/>
                <w:kern w:val="22"/>
                <w:sz w:val="20"/>
                <w:szCs w:val="20"/>
                <w:lang w:eastAsia="en-CA"/>
              </w:rPr>
              <w:t>0</w:t>
            </w:r>
          </w:p>
        </w:tc>
        <w:tc>
          <w:tcPr>
            <w:tcW w:w="0" w:type="auto"/>
            <w:shd w:val="clear" w:color="auto" w:fill="auto"/>
          </w:tcPr>
          <w:p w14:paraId="13706D11" w14:textId="25461F55" w:rsidR="00AF183C" w:rsidRPr="00B33B1E" w:rsidRDefault="00AF183C" w:rsidP="00B33B1E">
            <w:pPr>
              <w:suppressLineNumbers/>
              <w:suppressAutoHyphens/>
              <w:kinsoku w:val="0"/>
              <w:overflowPunct w:val="0"/>
              <w:autoSpaceDE w:val="0"/>
              <w:autoSpaceDN w:val="0"/>
              <w:adjustRightInd w:val="0"/>
              <w:snapToGrid w:val="0"/>
              <w:ind w:right="38"/>
              <w:jc w:val="right"/>
              <w:rPr>
                <w:snapToGrid w:val="0"/>
                <w:color w:val="000000"/>
                <w:kern w:val="22"/>
                <w:sz w:val="20"/>
                <w:szCs w:val="20"/>
                <w:lang w:eastAsia="en-CA"/>
              </w:rPr>
            </w:pPr>
            <w:r w:rsidRPr="00B33B1E">
              <w:rPr>
                <w:snapToGrid w:val="0"/>
                <w:color w:val="000000"/>
                <w:kern w:val="22"/>
                <w:sz w:val="20"/>
                <w:szCs w:val="20"/>
                <w:lang w:eastAsia="en-CA"/>
              </w:rPr>
              <w:t>111.50</w:t>
            </w:r>
          </w:p>
        </w:tc>
      </w:tr>
      <w:tr w:rsidR="00AF183C" w:rsidRPr="00E9050B" w14:paraId="48B1D95F" w14:textId="77777777" w:rsidTr="00B33B1E">
        <w:trPr>
          <w:cantSplit/>
          <w:jc w:val="center"/>
        </w:trPr>
        <w:tc>
          <w:tcPr>
            <w:tcW w:w="0" w:type="auto"/>
          </w:tcPr>
          <w:p w14:paraId="5F6318FB" w14:textId="77777777" w:rsidR="00AF183C" w:rsidRPr="00AF183C" w:rsidRDefault="00AF183C"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 w:val="20"/>
                <w:szCs w:val="20"/>
                <w:lang w:eastAsia="en-CA"/>
              </w:rPr>
            </w:pPr>
          </w:p>
        </w:tc>
        <w:tc>
          <w:tcPr>
            <w:tcW w:w="0" w:type="auto"/>
            <w:shd w:val="clear" w:color="auto" w:fill="auto"/>
            <w:hideMark/>
          </w:tcPr>
          <w:p w14:paraId="4D6BA670" w14:textId="37F22430" w:rsidR="00AF183C" w:rsidRPr="00B33B1E" w:rsidRDefault="00AF183C"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 w:val="20"/>
                <w:szCs w:val="20"/>
                <w:lang w:eastAsia="en-CA"/>
              </w:rPr>
            </w:pPr>
            <w:r w:rsidRPr="00B33B1E">
              <w:rPr>
                <w:snapToGrid w:val="0"/>
                <w:color w:val="000000"/>
                <w:kern w:val="22"/>
                <w:sz w:val="20"/>
                <w:szCs w:val="20"/>
                <w:lang w:eastAsia="en-CA"/>
              </w:rPr>
              <w:t>K.</w:t>
            </w:r>
            <w:r w:rsidRPr="00B33B1E">
              <w:rPr>
                <w:snapToGrid w:val="0"/>
                <w:color w:val="000000"/>
                <w:kern w:val="22"/>
                <w:sz w:val="20"/>
                <w:szCs w:val="20"/>
                <w:lang w:eastAsia="en-CA"/>
              </w:rPr>
              <w:tab/>
              <w:t>Travel on official business</w:t>
            </w:r>
          </w:p>
        </w:tc>
        <w:tc>
          <w:tcPr>
            <w:tcW w:w="0" w:type="auto"/>
            <w:shd w:val="clear" w:color="auto" w:fill="auto"/>
            <w:hideMark/>
          </w:tcPr>
          <w:p w14:paraId="35DCF792" w14:textId="389C5682" w:rsidR="00AF183C" w:rsidRPr="00B33B1E" w:rsidRDefault="00AF183C" w:rsidP="00B33B1E">
            <w:pPr>
              <w:suppressLineNumbers/>
              <w:suppressAutoHyphens/>
              <w:kinsoku w:val="0"/>
              <w:overflowPunct w:val="0"/>
              <w:autoSpaceDE w:val="0"/>
              <w:autoSpaceDN w:val="0"/>
              <w:adjustRightInd w:val="0"/>
              <w:snapToGrid w:val="0"/>
              <w:ind w:right="79"/>
              <w:jc w:val="right"/>
              <w:rPr>
                <w:snapToGrid w:val="0"/>
                <w:color w:val="000000"/>
                <w:kern w:val="22"/>
                <w:sz w:val="20"/>
                <w:szCs w:val="20"/>
                <w:lang w:eastAsia="en-CA"/>
              </w:rPr>
            </w:pPr>
            <w:r w:rsidRPr="00B33B1E">
              <w:rPr>
                <w:snapToGrid w:val="0"/>
                <w:color w:val="000000"/>
                <w:kern w:val="22"/>
                <w:sz w:val="20"/>
                <w:szCs w:val="20"/>
                <w:lang w:eastAsia="en-CA"/>
              </w:rPr>
              <w:t>640.0</w:t>
            </w:r>
            <w:r>
              <w:rPr>
                <w:snapToGrid w:val="0"/>
                <w:color w:val="000000"/>
                <w:kern w:val="22"/>
                <w:sz w:val="20"/>
                <w:szCs w:val="20"/>
                <w:lang w:eastAsia="en-CA"/>
              </w:rPr>
              <w:t>0</w:t>
            </w:r>
          </w:p>
        </w:tc>
        <w:tc>
          <w:tcPr>
            <w:tcW w:w="0" w:type="auto"/>
            <w:shd w:val="clear" w:color="auto" w:fill="auto"/>
          </w:tcPr>
          <w:p w14:paraId="7912708E" w14:textId="23B1350A" w:rsidR="00AF183C" w:rsidRPr="00B33B1E" w:rsidRDefault="00AF183C" w:rsidP="00B33B1E">
            <w:pPr>
              <w:suppressLineNumbers/>
              <w:suppressAutoHyphens/>
              <w:kinsoku w:val="0"/>
              <w:overflowPunct w:val="0"/>
              <w:autoSpaceDE w:val="0"/>
              <w:autoSpaceDN w:val="0"/>
              <w:adjustRightInd w:val="0"/>
              <w:snapToGrid w:val="0"/>
              <w:jc w:val="right"/>
              <w:rPr>
                <w:snapToGrid w:val="0"/>
                <w:color w:val="000000"/>
                <w:kern w:val="22"/>
                <w:sz w:val="20"/>
                <w:szCs w:val="20"/>
                <w:lang w:eastAsia="en-CA"/>
              </w:rPr>
            </w:pPr>
            <w:r w:rsidRPr="00B33B1E">
              <w:rPr>
                <w:snapToGrid w:val="0"/>
                <w:color w:val="000000"/>
                <w:kern w:val="22"/>
                <w:sz w:val="20"/>
                <w:szCs w:val="20"/>
                <w:lang w:eastAsia="en-CA"/>
              </w:rPr>
              <w:t>520.00</w:t>
            </w:r>
          </w:p>
        </w:tc>
        <w:tc>
          <w:tcPr>
            <w:tcW w:w="0" w:type="auto"/>
            <w:shd w:val="clear" w:color="auto" w:fill="auto"/>
          </w:tcPr>
          <w:p w14:paraId="5374F397" w14:textId="51888888" w:rsidR="00AF183C" w:rsidRPr="00B33B1E" w:rsidRDefault="00AF183C" w:rsidP="00B33B1E">
            <w:pPr>
              <w:suppressLineNumbers/>
              <w:suppressAutoHyphens/>
              <w:kinsoku w:val="0"/>
              <w:overflowPunct w:val="0"/>
              <w:autoSpaceDE w:val="0"/>
              <w:autoSpaceDN w:val="0"/>
              <w:adjustRightInd w:val="0"/>
              <w:snapToGrid w:val="0"/>
              <w:ind w:right="38"/>
              <w:jc w:val="right"/>
              <w:rPr>
                <w:snapToGrid w:val="0"/>
                <w:color w:val="000000"/>
                <w:kern w:val="22"/>
                <w:sz w:val="20"/>
                <w:szCs w:val="20"/>
                <w:lang w:eastAsia="en-CA"/>
              </w:rPr>
            </w:pPr>
            <w:r w:rsidRPr="00B33B1E">
              <w:rPr>
                <w:snapToGrid w:val="0"/>
                <w:color w:val="000000"/>
                <w:kern w:val="22"/>
                <w:sz w:val="20"/>
                <w:szCs w:val="20"/>
                <w:lang w:eastAsia="en-CA"/>
              </w:rPr>
              <w:t>120</w:t>
            </w:r>
            <w:r>
              <w:rPr>
                <w:snapToGrid w:val="0"/>
                <w:color w:val="000000"/>
                <w:kern w:val="22"/>
                <w:sz w:val="20"/>
                <w:szCs w:val="20"/>
                <w:lang w:eastAsia="en-CA"/>
              </w:rPr>
              <w:t>.00</w:t>
            </w:r>
          </w:p>
        </w:tc>
      </w:tr>
      <w:tr w:rsidR="00AF183C" w:rsidRPr="00E9050B" w14:paraId="6B61953A" w14:textId="77777777" w:rsidTr="00B33B1E">
        <w:trPr>
          <w:cantSplit/>
          <w:jc w:val="center"/>
        </w:trPr>
        <w:tc>
          <w:tcPr>
            <w:tcW w:w="0" w:type="auto"/>
          </w:tcPr>
          <w:p w14:paraId="69729D9C" w14:textId="77777777" w:rsidR="00AF183C" w:rsidRPr="00AF183C" w:rsidRDefault="00AF183C"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 w:val="20"/>
                <w:szCs w:val="20"/>
                <w:lang w:eastAsia="en-CA"/>
              </w:rPr>
            </w:pPr>
          </w:p>
        </w:tc>
        <w:tc>
          <w:tcPr>
            <w:tcW w:w="0" w:type="auto"/>
            <w:shd w:val="clear" w:color="auto" w:fill="auto"/>
            <w:hideMark/>
          </w:tcPr>
          <w:p w14:paraId="69ECF277" w14:textId="2A06FF08" w:rsidR="00AF183C" w:rsidRPr="00B33B1E" w:rsidRDefault="00AF183C"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 w:val="20"/>
                <w:szCs w:val="20"/>
                <w:lang w:eastAsia="en-CA"/>
              </w:rPr>
            </w:pPr>
            <w:r w:rsidRPr="00B33B1E">
              <w:rPr>
                <w:snapToGrid w:val="0"/>
                <w:color w:val="000000"/>
                <w:kern w:val="22"/>
                <w:sz w:val="20"/>
                <w:szCs w:val="20"/>
                <w:lang w:eastAsia="en-CA"/>
              </w:rPr>
              <w:t>L.</w:t>
            </w:r>
            <w:r w:rsidRPr="00B33B1E">
              <w:rPr>
                <w:snapToGrid w:val="0"/>
                <w:color w:val="000000"/>
                <w:kern w:val="22"/>
                <w:sz w:val="20"/>
                <w:szCs w:val="20"/>
                <w:lang w:eastAsia="en-CA"/>
              </w:rPr>
              <w:tab/>
              <w:t>Rent and associated costs</w:t>
            </w:r>
          </w:p>
        </w:tc>
        <w:tc>
          <w:tcPr>
            <w:tcW w:w="0" w:type="auto"/>
            <w:shd w:val="clear" w:color="auto" w:fill="auto"/>
            <w:hideMark/>
          </w:tcPr>
          <w:p w14:paraId="421EC115" w14:textId="096855ED" w:rsidR="00AF183C" w:rsidRPr="00B33B1E" w:rsidRDefault="00AF183C" w:rsidP="00B33B1E">
            <w:pPr>
              <w:suppressLineNumbers/>
              <w:suppressAutoHyphens/>
              <w:kinsoku w:val="0"/>
              <w:overflowPunct w:val="0"/>
              <w:autoSpaceDE w:val="0"/>
              <w:autoSpaceDN w:val="0"/>
              <w:adjustRightInd w:val="0"/>
              <w:snapToGrid w:val="0"/>
              <w:ind w:right="79"/>
              <w:jc w:val="right"/>
              <w:rPr>
                <w:snapToGrid w:val="0"/>
                <w:color w:val="000000"/>
                <w:kern w:val="22"/>
                <w:sz w:val="20"/>
                <w:szCs w:val="20"/>
                <w:lang w:eastAsia="en-CA"/>
              </w:rPr>
            </w:pPr>
            <w:r w:rsidRPr="00B33B1E">
              <w:rPr>
                <w:snapToGrid w:val="0"/>
                <w:color w:val="000000"/>
                <w:kern w:val="22"/>
                <w:sz w:val="20"/>
                <w:szCs w:val="20"/>
                <w:lang w:eastAsia="en-CA"/>
              </w:rPr>
              <w:t>2 918.7</w:t>
            </w:r>
            <w:r>
              <w:rPr>
                <w:snapToGrid w:val="0"/>
                <w:color w:val="000000"/>
                <w:kern w:val="22"/>
                <w:sz w:val="20"/>
                <w:szCs w:val="20"/>
                <w:lang w:eastAsia="en-CA"/>
              </w:rPr>
              <w:t>0</w:t>
            </w:r>
          </w:p>
        </w:tc>
        <w:tc>
          <w:tcPr>
            <w:tcW w:w="0" w:type="auto"/>
            <w:shd w:val="clear" w:color="auto" w:fill="auto"/>
          </w:tcPr>
          <w:p w14:paraId="30E21427" w14:textId="25696174" w:rsidR="00AF183C" w:rsidRPr="00B33B1E" w:rsidRDefault="00AF183C" w:rsidP="00B33B1E">
            <w:pPr>
              <w:suppressLineNumbers/>
              <w:suppressAutoHyphens/>
              <w:kinsoku w:val="0"/>
              <w:overflowPunct w:val="0"/>
              <w:autoSpaceDE w:val="0"/>
              <w:autoSpaceDN w:val="0"/>
              <w:adjustRightInd w:val="0"/>
              <w:snapToGrid w:val="0"/>
              <w:jc w:val="right"/>
              <w:rPr>
                <w:snapToGrid w:val="0"/>
                <w:color w:val="000000"/>
                <w:kern w:val="22"/>
                <w:sz w:val="20"/>
                <w:szCs w:val="20"/>
                <w:lang w:eastAsia="en-CA"/>
              </w:rPr>
            </w:pPr>
            <w:r w:rsidRPr="00B33B1E">
              <w:rPr>
                <w:snapToGrid w:val="0"/>
                <w:color w:val="000000"/>
                <w:kern w:val="22"/>
                <w:sz w:val="20"/>
                <w:szCs w:val="20"/>
                <w:lang w:eastAsia="en-CA"/>
              </w:rPr>
              <w:t>1</w:t>
            </w:r>
            <w:r>
              <w:rPr>
                <w:snapToGrid w:val="0"/>
                <w:color w:val="000000"/>
                <w:kern w:val="22"/>
                <w:sz w:val="20"/>
                <w:szCs w:val="20"/>
                <w:lang w:eastAsia="en-CA"/>
              </w:rPr>
              <w:t> </w:t>
            </w:r>
            <w:r w:rsidRPr="00B33B1E">
              <w:rPr>
                <w:snapToGrid w:val="0"/>
                <w:color w:val="000000"/>
                <w:kern w:val="22"/>
                <w:sz w:val="20"/>
                <w:szCs w:val="20"/>
                <w:lang w:eastAsia="en-CA"/>
              </w:rPr>
              <w:t>799.7</w:t>
            </w:r>
            <w:r>
              <w:rPr>
                <w:snapToGrid w:val="0"/>
                <w:color w:val="000000"/>
                <w:kern w:val="22"/>
                <w:sz w:val="20"/>
                <w:szCs w:val="20"/>
                <w:lang w:eastAsia="en-CA"/>
              </w:rPr>
              <w:t>0</w:t>
            </w:r>
          </w:p>
        </w:tc>
        <w:tc>
          <w:tcPr>
            <w:tcW w:w="0" w:type="auto"/>
            <w:shd w:val="clear" w:color="auto" w:fill="auto"/>
          </w:tcPr>
          <w:p w14:paraId="6C2BE79E" w14:textId="56CC5AB5" w:rsidR="00AF183C" w:rsidRPr="00B33B1E" w:rsidRDefault="00AF183C" w:rsidP="00B33B1E">
            <w:pPr>
              <w:suppressLineNumbers/>
              <w:suppressAutoHyphens/>
              <w:kinsoku w:val="0"/>
              <w:overflowPunct w:val="0"/>
              <w:autoSpaceDE w:val="0"/>
              <w:autoSpaceDN w:val="0"/>
              <w:adjustRightInd w:val="0"/>
              <w:snapToGrid w:val="0"/>
              <w:ind w:right="38"/>
              <w:jc w:val="right"/>
              <w:rPr>
                <w:snapToGrid w:val="0"/>
                <w:color w:val="000000"/>
                <w:kern w:val="22"/>
                <w:sz w:val="20"/>
                <w:szCs w:val="20"/>
                <w:lang w:eastAsia="en-CA"/>
              </w:rPr>
            </w:pPr>
            <w:r w:rsidRPr="00B33B1E">
              <w:rPr>
                <w:snapToGrid w:val="0"/>
                <w:color w:val="000000"/>
                <w:kern w:val="22"/>
                <w:sz w:val="20"/>
                <w:szCs w:val="20"/>
                <w:lang w:eastAsia="en-CA"/>
              </w:rPr>
              <w:t>1</w:t>
            </w:r>
            <w:r>
              <w:rPr>
                <w:snapToGrid w:val="0"/>
                <w:color w:val="000000"/>
                <w:kern w:val="22"/>
                <w:sz w:val="20"/>
                <w:szCs w:val="20"/>
                <w:lang w:eastAsia="en-CA"/>
              </w:rPr>
              <w:t> </w:t>
            </w:r>
            <w:r w:rsidRPr="00B33B1E">
              <w:rPr>
                <w:snapToGrid w:val="0"/>
                <w:color w:val="000000"/>
                <w:kern w:val="22"/>
                <w:sz w:val="20"/>
                <w:szCs w:val="20"/>
                <w:lang w:eastAsia="en-CA"/>
              </w:rPr>
              <w:t>119</w:t>
            </w:r>
            <w:r>
              <w:rPr>
                <w:snapToGrid w:val="0"/>
                <w:color w:val="000000"/>
                <w:kern w:val="22"/>
                <w:sz w:val="20"/>
                <w:szCs w:val="20"/>
                <w:lang w:eastAsia="en-CA"/>
              </w:rPr>
              <w:t>.00</w:t>
            </w:r>
          </w:p>
        </w:tc>
      </w:tr>
      <w:tr w:rsidR="00AF183C" w:rsidRPr="00E9050B" w14:paraId="1C078FCE" w14:textId="77777777" w:rsidTr="00B33B1E">
        <w:trPr>
          <w:cantSplit/>
          <w:jc w:val="center"/>
        </w:trPr>
        <w:tc>
          <w:tcPr>
            <w:tcW w:w="0" w:type="auto"/>
          </w:tcPr>
          <w:p w14:paraId="5702EB34" w14:textId="77777777" w:rsidR="00AF183C" w:rsidRPr="00AF183C" w:rsidRDefault="00AF183C"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 w:val="20"/>
                <w:szCs w:val="20"/>
                <w:lang w:eastAsia="en-CA"/>
              </w:rPr>
            </w:pPr>
          </w:p>
        </w:tc>
        <w:tc>
          <w:tcPr>
            <w:tcW w:w="0" w:type="auto"/>
            <w:shd w:val="clear" w:color="auto" w:fill="auto"/>
            <w:hideMark/>
          </w:tcPr>
          <w:p w14:paraId="19A6C397" w14:textId="2F011156" w:rsidR="00AF183C" w:rsidRPr="00B33B1E" w:rsidRDefault="00AF183C"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 w:val="20"/>
                <w:szCs w:val="20"/>
                <w:lang w:eastAsia="en-CA"/>
              </w:rPr>
            </w:pPr>
            <w:r w:rsidRPr="00B33B1E">
              <w:rPr>
                <w:snapToGrid w:val="0"/>
                <w:color w:val="000000"/>
                <w:kern w:val="22"/>
                <w:sz w:val="20"/>
                <w:szCs w:val="20"/>
                <w:lang w:eastAsia="en-CA"/>
              </w:rPr>
              <w:t>M.</w:t>
            </w:r>
            <w:r w:rsidRPr="00B33B1E">
              <w:rPr>
                <w:snapToGrid w:val="0"/>
                <w:color w:val="000000"/>
                <w:kern w:val="22"/>
                <w:sz w:val="20"/>
                <w:szCs w:val="20"/>
                <w:lang w:eastAsia="en-CA"/>
              </w:rPr>
              <w:tab/>
              <w:t>Information technology</w:t>
            </w:r>
          </w:p>
        </w:tc>
        <w:tc>
          <w:tcPr>
            <w:tcW w:w="0" w:type="auto"/>
            <w:shd w:val="clear" w:color="auto" w:fill="auto"/>
            <w:hideMark/>
          </w:tcPr>
          <w:p w14:paraId="2DAA3287" w14:textId="48124E40" w:rsidR="00AF183C" w:rsidRPr="00B33B1E" w:rsidRDefault="00AF183C" w:rsidP="00B33B1E">
            <w:pPr>
              <w:suppressLineNumbers/>
              <w:suppressAutoHyphens/>
              <w:kinsoku w:val="0"/>
              <w:overflowPunct w:val="0"/>
              <w:autoSpaceDE w:val="0"/>
              <w:autoSpaceDN w:val="0"/>
              <w:adjustRightInd w:val="0"/>
              <w:snapToGrid w:val="0"/>
              <w:ind w:right="79"/>
              <w:jc w:val="right"/>
              <w:rPr>
                <w:snapToGrid w:val="0"/>
                <w:color w:val="000000"/>
                <w:kern w:val="22"/>
                <w:sz w:val="20"/>
                <w:szCs w:val="20"/>
                <w:lang w:eastAsia="en-CA"/>
              </w:rPr>
            </w:pPr>
            <w:r w:rsidRPr="00B33B1E">
              <w:rPr>
                <w:snapToGrid w:val="0"/>
                <w:color w:val="000000"/>
                <w:kern w:val="22"/>
                <w:sz w:val="20"/>
                <w:szCs w:val="20"/>
                <w:lang w:eastAsia="en-CA"/>
              </w:rPr>
              <w:t>130.0</w:t>
            </w:r>
            <w:r>
              <w:rPr>
                <w:snapToGrid w:val="0"/>
                <w:color w:val="000000"/>
                <w:kern w:val="22"/>
                <w:sz w:val="20"/>
                <w:szCs w:val="20"/>
                <w:lang w:eastAsia="en-CA"/>
              </w:rPr>
              <w:t>0</w:t>
            </w:r>
          </w:p>
        </w:tc>
        <w:tc>
          <w:tcPr>
            <w:tcW w:w="0" w:type="auto"/>
            <w:shd w:val="clear" w:color="auto" w:fill="auto"/>
          </w:tcPr>
          <w:p w14:paraId="75612122" w14:textId="49B04170" w:rsidR="00AF183C" w:rsidRPr="00B33B1E" w:rsidRDefault="00AF183C" w:rsidP="00B33B1E">
            <w:pPr>
              <w:suppressLineNumbers/>
              <w:suppressAutoHyphens/>
              <w:kinsoku w:val="0"/>
              <w:overflowPunct w:val="0"/>
              <w:autoSpaceDE w:val="0"/>
              <w:autoSpaceDN w:val="0"/>
              <w:adjustRightInd w:val="0"/>
              <w:snapToGrid w:val="0"/>
              <w:jc w:val="right"/>
              <w:rPr>
                <w:snapToGrid w:val="0"/>
                <w:color w:val="000000"/>
                <w:kern w:val="22"/>
                <w:sz w:val="20"/>
                <w:szCs w:val="20"/>
                <w:lang w:eastAsia="en-CA"/>
              </w:rPr>
            </w:pPr>
            <w:r w:rsidRPr="00B33B1E">
              <w:rPr>
                <w:snapToGrid w:val="0"/>
                <w:color w:val="000000"/>
                <w:kern w:val="22"/>
                <w:sz w:val="20"/>
                <w:szCs w:val="20"/>
                <w:lang w:eastAsia="en-CA"/>
              </w:rPr>
              <w:t>32.00</w:t>
            </w:r>
          </w:p>
        </w:tc>
        <w:tc>
          <w:tcPr>
            <w:tcW w:w="0" w:type="auto"/>
            <w:shd w:val="clear" w:color="auto" w:fill="auto"/>
          </w:tcPr>
          <w:p w14:paraId="2A41091E" w14:textId="5FAB44EB" w:rsidR="00AF183C" w:rsidRPr="00B33B1E" w:rsidRDefault="00AF183C" w:rsidP="00B33B1E">
            <w:pPr>
              <w:suppressLineNumbers/>
              <w:suppressAutoHyphens/>
              <w:kinsoku w:val="0"/>
              <w:overflowPunct w:val="0"/>
              <w:autoSpaceDE w:val="0"/>
              <w:autoSpaceDN w:val="0"/>
              <w:adjustRightInd w:val="0"/>
              <w:snapToGrid w:val="0"/>
              <w:ind w:right="38"/>
              <w:jc w:val="right"/>
              <w:rPr>
                <w:snapToGrid w:val="0"/>
                <w:color w:val="000000"/>
                <w:kern w:val="22"/>
                <w:sz w:val="20"/>
                <w:szCs w:val="20"/>
                <w:lang w:eastAsia="en-CA"/>
              </w:rPr>
            </w:pPr>
            <w:r w:rsidRPr="00B33B1E">
              <w:rPr>
                <w:snapToGrid w:val="0"/>
                <w:color w:val="000000"/>
                <w:kern w:val="22"/>
                <w:sz w:val="20"/>
                <w:szCs w:val="20"/>
                <w:lang w:eastAsia="en-CA"/>
              </w:rPr>
              <w:t>98.0</w:t>
            </w:r>
            <w:r>
              <w:rPr>
                <w:snapToGrid w:val="0"/>
                <w:color w:val="000000"/>
                <w:kern w:val="22"/>
                <w:sz w:val="20"/>
                <w:szCs w:val="20"/>
                <w:lang w:eastAsia="en-CA"/>
              </w:rPr>
              <w:t>0</w:t>
            </w:r>
          </w:p>
        </w:tc>
      </w:tr>
      <w:tr w:rsidR="00AF183C" w:rsidRPr="00E9050B" w14:paraId="68FB9C8E" w14:textId="77777777" w:rsidTr="00B33B1E">
        <w:trPr>
          <w:cantSplit/>
          <w:jc w:val="center"/>
        </w:trPr>
        <w:tc>
          <w:tcPr>
            <w:tcW w:w="0" w:type="auto"/>
            <w:tcBorders>
              <w:bottom w:val="single" w:sz="12" w:space="0" w:color="auto"/>
            </w:tcBorders>
          </w:tcPr>
          <w:p w14:paraId="7E707B60" w14:textId="77777777" w:rsidR="00AF183C" w:rsidRPr="00AF183C" w:rsidRDefault="00AF183C"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 w:val="20"/>
                <w:szCs w:val="20"/>
                <w:lang w:eastAsia="en-CA"/>
              </w:rPr>
            </w:pPr>
          </w:p>
        </w:tc>
        <w:tc>
          <w:tcPr>
            <w:tcW w:w="0" w:type="auto"/>
            <w:tcBorders>
              <w:bottom w:val="single" w:sz="12" w:space="0" w:color="auto"/>
            </w:tcBorders>
            <w:shd w:val="clear" w:color="auto" w:fill="auto"/>
          </w:tcPr>
          <w:p w14:paraId="4524337F" w14:textId="14D6BD20" w:rsidR="00AF183C" w:rsidRPr="00B33B1E" w:rsidRDefault="00AF183C"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 w:val="20"/>
                <w:szCs w:val="20"/>
                <w:lang w:eastAsia="en-CA"/>
              </w:rPr>
            </w:pPr>
            <w:r w:rsidRPr="00B33B1E">
              <w:rPr>
                <w:snapToGrid w:val="0"/>
                <w:color w:val="000000"/>
                <w:kern w:val="22"/>
                <w:sz w:val="20"/>
                <w:szCs w:val="20"/>
                <w:lang w:eastAsia="en-CA"/>
              </w:rPr>
              <w:t>N.</w:t>
            </w:r>
            <w:r w:rsidRPr="00B33B1E">
              <w:rPr>
                <w:snapToGrid w:val="0"/>
                <w:color w:val="000000"/>
                <w:kern w:val="22"/>
                <w:sz w:val="20"/>
                <w:szCs w:val="20"/>
                <w:lang w:eastAsia="en-CA"/>
              </w:rPr>
              <w:tab/>
              <w:t>General operating expenses</w:t>
            </w:r>
          </w:p>
        </w:tc>
        <w:tc>
          <w:tcPr>
            <w:tcW w:w="0" w:type="auto"/>
            <w:tcBorders>
              <w:bottom w:val="single" w:sz="12" w:space="0" w:color="auto"/>
            </w:tcBorders>
            <w:shd w:val="clear" w:color="auto" w:fill="auto"/>
          </w:tcPr>
          <w:p w14:paraId="18D87065" w14:textId="264C1165" w:rsidR="00AF183C" w:rsidRPr="00B33B1E" w:rsidRDefault="00AF183C" w:rsidP="00B33B1E">
            <w:pPr>
              <w:suppressLineNumbers/>
              <w:suppressAutoHyphens/>
              <w:kinsoku w:val="0"/>
              <w:overflowPunct w:val="0"/>
              <w:autoSpaceDE w:val="0"/>
              <w:autoSpaceDN w:val="0"/>
              <w:adjustRightInd w:val="0"/>
              <w:snapToGrid w:val="0"/>
              <w:ind w:right="79"/>
              <w:jc w:val="right"/>
              <w:rPr>
                <w:snapToGrid w:val="0"/>
                <w:color w:val="000000"/>
                <w:kern w:val="22"/>
                <w:sz w:val="20"/>
                <w:szCs w:val="20"/>
                <w:lang w:eastAsia="en-CA"/>
              </w:rPr>
            </w:pPr>
            <w:r w:rsidRPr="00B33B1E">
              <w:rPr>
                <w:snapToGrid w:val="0"/>
                <w:color w:val="000000"/>
                <w:kern w:val="22"/>
                <w:sz w:val="20"/>
                <w:szCs w:val="20"/>
                <w:lang w:eastAsia="en-CA"/>
              </w:rPr>
              <w:t>1 453.2</w:t>
            </w:r>
            <w:r>
              <w:rPr>
                <w:snapToGrid w:val="0"/>
                <w:color w:val="000000"/>
                <w:kern w:val="22"/>
                <w:sz w:val="20"/>
                <w:szCs w:val="20"/>
                <w:lang w:eastAsia="en-CA"/>
              </w:rPr>
              <w:t>0</w:t>
            </w:r>
          </w:p>
        </w:tc>
        <w:tc>
          <w:tcPr>
            <w:tcW w:w="0" w:type="auto"/>
            <w:tcBorders>
              <w:bottom w:val="single" w:sz="12" w:space="0" w:color="auto"/>
            </w:tcBorders>
            <w:shd w:val="clear" w:color="auto" w:fill="auto"/>
          </w:tcPr>
          <w:p w14:paraId="425CA3B0" w14:textId="0D221EAA" w:rsidR="00AF183C" w:rsidRPr="00B33B1E" w:rsidDel="007439DE" w:rsidRDefault="00AF183C" w:rsidP="00B33B1E">
            <w:pPr>
              <w:suppressLineNumbers/>
              <w:suppressAutoHyphens/>
              <w:kinsoku w:val="0"/>
              <w:overflowPunct w:val="0"/>
              <w:autoSpaceDE w:val="0"/>
              <w:autoSpaceDN w:val="0"/>
              <w:adjustRightInd w:val="0"/>
              <w:snapToGrid w:val="0"/>
              <w:jc w:val="right"/>
              <w:rPr>
                <w:snapToGrid w:val="0"/>
                <w:color w:val="000000"/>
                <w:kern w:val="22"/>
                <w:sz w:val="20"/>
                <w:szCs w:val="20"/>
                <w:lang w:eastAsia="en-CA"/>
              </w:rPr>
            </w:pPr>
            <w:r w:rsidRPr="00B33B1E">
              <w:rPr>
                <w:snapToGrid w:val="0"/>
                <w:color w:val="000000"/>
                <w:kern w:val="22"/>
                <w:sz w:val="20"/>
                <w:szCs w:val="20"/>
                <w:lang w:eastAsia="en-CA"/>
              </w:rPr>
              <w:t>1</w:t>
            </w:r>
            <w:r>
              <w:rPr>
                <w:snapToGrid w:val="0"/>
                <w:color w:val="000000"/>
                <w:kern w:val="22"/>
                <w:sz w:val="20"/>
                <w:szCs w:val="20"/>
                <w:lang w:eastAsia="en-CA"/>
              </w:rPr>
              <w:t> </w:t>
            </w:r>
            <w:r w:rsidRPr="00B33B1E">
              <w:rPr>
                <w:snapToGrid w:val="0"/>
                <w:color w:val="000000"/>
                <w:kern w:val="22"/>
                <w:sz w:val="20"/>
                <w:szCs w:val="20"/>
                <w:lang w:eastAsia="en-CA"/>
              </w:rPr>
              <w:t>061.7</w:t>
            </w:r>
            <w:r>
              <w:rPr>
                <w:snapToGrid w:val="0"/>
                <w:color w:val="000000"/>
                <w:kern w:val="22"/>
                <w:sz w:val="20"/>
                <w:szCs w:val="20"/>
                <w:lang w:eastAsia="en-CA"/>
              </w:rPr>
              <w:t>0</w:t>
            </w:r>
          </w:p>
        </w:tc>
        <w:tc>
          <w:tcPr>
            <w:tcW w:w="0" w:type="auto"/>
            <w:tcBorders>
              <w:bottom w:val="single" w:sz="12" w:space="0" w:color="auto"/>
            </w:tcBorders>
            <w:shd w:val="clear" w:color="auto" w:fill="auto"/>
          </w:tcPr>
          <w:p w14:paraId="77007E56" w14:textId="521203D4" w:rsidR="00AF183C" w:rsidRPr="00B33B1E" w:rsidDel="007439DE" w:rsidRDefault="00AF183C" w:rsidP="00B33B1E">
            <w:pPr>
              <w:suppressLineNumbers/>
              <w:suppressAutoHyphens/>
              <w:kinsoku w:val="0"/>
              <w:overflowPunct w:val="0"/>
              <w:autoSpaceDE w:val="0"/>
              <w:autoSpaceDN w:val="0"/>
              <w:adjustRightInd w:val="0"/>
              <w:snapToGrid w:val="0"/>
              <w:ind w:right="38"/>
              <w:jc w:val="right"/>
              <w:rPr>
                <w:snapToGrid w:val="0"/>
                <w:color w:val="000000"/>
                <w:kern w:val="22"/>
                <w:sz w:val="20"/>
                <w:szCs w:val="20"/>
                <w:lang w:eastAsia="en-CA"/>
              </w:rPr>
            </w:pPr>
            <w:r w:rsidRPr="00B33B1E">
              <w:rPr>
                <w:snapToGrid w:val="0"/>
                <w:color w:val="000000"/>
                <w:kern w:val="22"/>
                <w:sz w:val="20"/>
                <w:szCs w:val="20"/>
                <w:lang w:eastAsia="en-CA"/>
              </w:rPr>
              <w:t>391.5</w:t>
            </w:r>
            <w:r>
              <w:rPr>
                <w:snapToGrid w:val="0"/>
                <w:color w:val="000000"/>
                <w:kern w:val="22"/>
                <w:sz w:val="20"/>
                <w:szCs w:val="20"/>
                <w:lang w:eastAsia="en-CA"/>
              </w:rPr>
              <w:t>0</w:t>
            </w:r>
          </w:p>
        </w:tc>
      </w:tr>
      <w:tr w:rsidR="00AF183C" w:rsidRPr="00E9050B" w14:paraId="01692C62" w14:textId="77777777" w:rsidTr="00B33B1E">
        <w:trPr>
          <w:cantSplit/>
          <w:jc w:val="center"/>
        </w:trPr>
        <w:tc>
          <w:tcPr>
            <w:tcW w:w="0" w:type="auto"/>
            <w:tcBorders>
              <w:top w:val="single" w:sz="12" w:space="0" w:color="auto"/>
              <w:bottom w:val="single" w:sz="12" w:space="0" w:color="auto"/>
            </w:tcBorders>
          </w:tcPr>
          <w:p w14:paraId="6AFF34E5" w14:textId="77777777" w:rsidR="00AF183C" w:rsidRDefault="00AF183C" w:rsidP="00BF6BF7">
            <w:pPr>
              <w:suppressLineNumbers/>
              <w:tabs>
                <w:tab w:val="left" w:pos="425"/>
              </w:tabs>
              <w:suppressAutoHyphens/>
              <w:kinsoku w:val="0"/>
              <w:overflowPunct w:val="0"/>
              <w:autoSpaceDE w:val="0"/>
              <w:autoSpaceDN w:val="0"/>
              <w:adjustRightInd w:val="0"/>
              <w:snapToGrid w:val="0"/>
              <w:jc w:val="left"/>
              <w:rPr>
                <w:b/>
                <w:bCs/>
                <w:snapToGrid w:val="0"/>
                <w:color w:val="000000"/>
                <w:kern w:val="22"/>
                <w:sz w:val="20"/>
                <w:szCs w:val="20"/>
                <w:lang w:eastAsia="en-CA"/>
              </w:rPr>
            </w:pPr>
          </w:p>
        </w:tc>
        <w:tc>
          <w:tcPr>
            <w:tcW w:w="0" w:type="auto"/>
            <w:tcBorders>
              <w:top w:val="single" w:sz="12" w:space="0" w:color="auto"/>
              <w:bottom w:val="single" w:sz="12" w:space="0" w:color="auto"/>
            </w:tcBorders>
            <w:shd w:val="clear" w:color="auto" w:fill="auto"/>
            <w:hideMark/>
          </w:tcPr>
          <w:p w14:paraId="69248562" w14:textId="70FF0F69" w:rsidR="00AF183C" w:rsidRPr="00B33B1E" w:rsidRDefault="00AF183C" w:rsidP="00BF6BF7">
            <w:pPr>
              <w:suppressLineNumbers/>
              <w:tabs>
                <w:tab w:val="left" w:pos="425"/>
              </w:tabs>
              <w:suppressAutoHyphens/>
              <w:kinsoku w:val="0"/>
              <w:overflowPunct w:val="0"/>
              <w:autoSpaceDE w:val="0"/>
              <w:autoSpaceDN w:val="0"/>
              <w:adjustRightInd w:val="0"/>
              <w:snapToGrid w:val="0"/>
              <w:jc w:val="left"/>
              <w:rPr>
                <w:b/>
                <w:bCs/>
                <w:snapToGrid w:val="0"/>
                <w:color w:val="000000"/>
                <w:kern w:val="22"/>
                <w:sz w:val="20"/>
                <w:szCs w:val="20"/>
                <w:lang w:eastAsia="en-CA"/>
              </w:rPr>
            </w:pPr>
            <w:r>
              <w:rPr>
                <w:b/>
                <w:bCs/>
                <w:snapToGrid w:val="0"/>
                <w:color w:val="000000"/>
                <w:kern w:val="22"/>
                <w:sz w:val="20"/>
                <w:szCs w:val="20"/>
                <w:lang w:eastAsia="en-CA"/>
              </w:rPr>
              <w:tab/>
            </w:r>
            <w:r w:rsidRPr="00B33B1E">
              <w:rPr>
                <w:b/>
                <w:bCs/>
                <w:snapToGrid w:val="0"/>
                <w:color w:val="000000"/>
                <w:kern w:val="22"/>
                <w:sz w:val="20"/>
                <w:szCs w:val="20"/>
                <w:lang w:eastAsia="en-CA"/>
              </w:rPr>
              <w:t>Subtotal (I)</w:t>
            </w:r>
          </w:p>
        </w:tc>
        <w:tc>
          <w:tcPr>
            <w:tcW w:w="0" w:type="auto"/>
            <w:tcBorders>
              <w:top w:val="single" w:sz="12" w:space="0" w:color="auto"/>
              <w:bottom w:val="single" w:sz="12" w:space="0" w:color="auto"/>
            </w:tcBorders>
            <w:shd w:val="clear" w:color="auto" w:fill="auto"/>
            <w:hideMark/>
          </w:tcPr>
          <w:p w14:paraId="391DFF9B" w14:textId="6B2EDBB2" w:rsidR="00AF183C" w:rsidRPr="00B33B1E" w:rsidRDefault="00AF183C" w:rsidP="00B33B1E">
            <w:pPr>
              <w:suppressLineNumbers/>
              <w:suppressAutoHyphens/>
              <w:kinsoku w:val="0"/>
              <w:overflowPunct w:val="0"/>
              <w:autoSpaceDE w:val="0"/>
              <w:autoSpaceDN w:val="0"/>
              <w:adjustRightInd w:val="0"/>
              <w:snapToGrid w:val="0"/>
              <w:ind w:right="79"/>
              <w:jc w:val="right"/>
              <w:rPr>
                <w:b/>
                <w:bCs/>
                <w:snapToGrid w:val="0"/>
                <w:color w:val="000000"/>
                <w:kern w:val="22"/>
                <w:sz w:val="20"/>
                <w:szCs w:val="20"/>
                <w:lang w:eastAsia="en-CA"/>
              </w:rPr>
            </w:pPr>
            <w:r w:rsidRPr="00B33B1E">
              <w:rPr>
                <w:b/>
                <w:bCs/>
                <w:snapToGrid w:val="0"/>
                <w:color w:val="000000"/>
                <w:kern w:val="22"/>
                <w:sz w:val="20"/>
                <w:szCs w:val="20"/>
                <w:lang w:eastAsia="en-CA"/>
              </w:rPr>
              <w:t>36 432.7</w:t>
            </w:r>
            <w:r>
              <w:rPr>
                <w:b/>
                <w:bCs/>
                <w:snapToGrid w:val="0"/>
                <w:color w:val="000000"/>
                <w:kern w:val="22"/>
                <w:sz w:val="20"/>
                <w:szCs w:val="20"/>
                <w:lang w:eastAsia="en-CA"/>
              </w:rPr>
              <w:t>0</w:t>
            </w:r>
          </w:p>
        </w:tc>
        <w:tc>
          <w:tcPr>
            <w:tcW w:w="0" w:type="auto"/>
            <w:tcBorders>
              <w:top w:val="single" w:sz="12" w:space="0" w:color="auto"/>
              <w:bottom w:val="single" w:sz="12" w:space="0" w:color="auto"/>
            </w:tcBorders>
            <w:shd w:val="clear" w:color="auto" w:fill="auto"/>
          </w:tcPr>
          <w:p w14:paraId="4EE3B294" w14:textId="03FF1D11" w:rsidR="00AF183C" w:rsidRPr="00B33B1E" w:rsidRDefault="00AF183C" w:rsidP="00B33B1E">
            <w:pPr>
              <w:suppressLineNumbers/>
              <w:suppressAutoHyphens/>
              <w:kinsoku w:val="0"/>
              <w:overflowPunct w:val="0"/>
              <w:autoSpaceDE w:val="0"/>
              <w:autoSpaceDN w:val="0"/>
              <w:adjustRightInd w:val="0"/>
              <w:snapToGrid w:val="0"/>
              <w:jc w:val="right"/>
              <w:rPr>
                <w:b/>
                <w:bCs/>
                <w:snapToGrid w:val="0"/>
                <w:color w:val="000000"/>
                <w:kern w:val="22"/>
                <w:sz w:val="20"/>
                <w:szCs w:val="20"/>
                <w:lang w:eastAsia="en-CA"/>
              </w:rPr>
            </w:pPr>
            <w:r w:rsidRPr="00B33B1E">
              <w:rPr>
                <w:b/>
                <w:bCs/>
                <w:snapToGrid w:val="0"/>
                <w:color w:val="000000"/>
                <w:kern w:val="22"/>
                <w:sz w:val="20"/>
                <w:szCs w:val="20"/>
                <w:lang w:eastAsia="en-CA"/>
              </w:rPr>
              <w:t>19</w:t>
            </w:r>
            <w:r>
              <w:rPr>
                <w:b/>
                <w:bCs/>
                <w:snapToGrid w:val="0"/>
                <w:color w:val="000000"/>
                <w:kern w:val="22"/>
                <w:sz w:val="20"/>
                <w:szCs w:val="20"/>
                <w:lang w:eastAsia="en-CA"/>
              </w:rPr>
              <w:t> </w:t>
            </w:r>
            <w:r w:rsidRPr="00B33B1E">
              <w:rPr>
                <w:b/>
                <w:bCs/>
                <w:snapToGrid w:val="0"/>
                <w:color w:val="000000"/>
                <w:kern w:val="22"/>
                <w:sz w:val="20"/>
                <w:szCs w:val="20"/>
                <w:lang w:eastAsia="en-CA"/>
              </w:rPr>
              <w:t>042.1</w:t>
            </w:r>
            <w:r>
              <w:rPr>
                <w:b/>
                <w:bCs/>
                <w:snapToGrid w:val="0"/>
                <w:color w:val="000000"/>
                <w:kern w:val="22"/>
                <w:sz w:val="20"/>
                <w:szCs w:val="20"/>
                <w:lang w:eastAsia="en-CA"/>
              </w:rPr>
              <w:t>0</w:t>
            </w:r>
          </w:p>
        </w:tc>
        <w:tc>
          <w:tcPr>
            <w:tcW w:w="0" w:type="auto"/>
            <w:tcBorders>
              <w:top w:val="single" w:sz="12" w:space="0" w:color="auto"/>
              <w:bottom w:val="single" w:sz="12" w:space="0" w:color="auto"/>
            </w:tcBorders>
            <w:shd w:val="clear" w:color="auto" w:fill="auto"/>
          </w:tcPr>
          <w:p w14:paraId="1046A65E" w14:textId="6D0ADAA2" w:rsidR="00AF183C" w:rsidRPr="00B33B1E" w:rsidRDefault="00AF183C" w:rsidP="00B33B1E">
            <w:pPr>
              <w:suppressLineNumbers/>
              <w:suppressAutoHyphens/>
              <w:kinsoku w:val="0"/>
              <w:overflowPunct w:val="0"/>
              <w:autoSpaceDE w:val="0"/>
              <w:autoSpaceDN w:val="0"/>
              <w:adjustRightInd w:val="0"/>
              <w:snapToGrid w:val="0"/>
              <w:ind w:right="38"/>
              <w:jc w:val="right"/>
              <w:rPr>
                <w:b/>
                <w:bCs/>
                <w:snapToGrid w:val="0"/>
                <w:color w:val="000000"/>
                <w:kern w:val="22"/>
                <w:sz w:val="20"/>
                <w:szCs w:val="20"/>
                <w:lang w:eastAsia="en-CA"/>
              </w:rPr>
            </w:pPr>
            <w:r w:rsidRPr="00B33B1E">
              <w:rPr>
                <w:b/>
                <w:bCs/>
                <w:snapToGrid w:val="0"/>
                <w:color w:val="000000"/>
                <w:kern w:val="22"/>
                <w:sz w:val="20"/>
                <w:szCs w:val="20"/>
                <w:lang w:eastAsia="en-CA"/>
              </w:rPr>
              <w:t>17</w:t>
            </w:r>
            <w:r>
              <w:rPr>
                <w:b/>
                <w:bCs/>
                <w:snapToGrid w:val="0"/>
                <w:color w:val="000000"/>
                <w:kern w:val="22"/>
                <w:sz w:val="20"/>
                <w:szCs w:val="20"/>
                <w:lang w:eastAsia="en-CA"/>
              </w:rPr>
              <w:t> </w:t>
            </w:r>
            <w:r w:rsidRPr="00B33B1E">
              <w:rPr>
                <w:b/>
                <w:bCs/>
                <w:snapToGrid w:val="0"/>
                <w:color w:val="000000"/>
                <w:kern w:val="22"/>
                <w:sz w:val="20"/>
                <w:szCs w:val="20"/>
                <w:lang w:eastAsia="en-CA"/>
              </w:rPr>
              <w:t>390.6</w:t>
            </w:r>
            <w:r>
              <w:rPr>
                <w:b/>
                <w:bCs/>
                <w:snapToGrid w:val="0"/>
                <w:color w:val="000000"/>
                <w:kern w:val="22"/>
                <w:sz w:val="20"/>
                <w:szCs w:val="20"/>
                <w:lang w:eastAsia="en-CA"/>
              </w:rPr>
              <w:t>0</w:t>
            </w:r>
          </w:p>
        </w:tc>
      </w:tr>
      <w:tr w:rsidR="00AF183C" w:rsidRPr="00E9050B" w14:paraId="467C027D" w14:textId="77777777" w:rsidTr="00B33B1E">
        <w:trPr>
          <w:cantSplit/>
          <w:jc w:val="center"/>
        </w:trPr>
        <w:tc>
          <w:tcPr>
            <w:tcW w:w="0" w:type="auto"/>
            <w:tcBorders>
              <w:top w:val="single" w:sz="12" w:space="0" w:color="auto"/>
              <w:bottom w:val="single" w:sz="12" w:space="0" w:color="auto"/>
            </w:tcBorders>
          </w:tcPr>
          <w:p w14:paraId="46616181" w14:textId="7924D547" w:rsidR="00AF183C" w:rsidRPr="00AF183C" w:rsidRDefault="00AF183C"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 w:val="20"/>
                <w:szCs w:val="20"/>
                <w:lang w:eastAsia="en-CA"/>
              </w:rPr>
            </w:pPr>
            <w:r>
              <w:rPr>
                <w:snapToGrid w:val="0"/>
                <w:color w:val="000000"/>
                <w:kern w:val="22"/>
                <w:sz w:val="20"/>
                <w:szCs w:val="20"/>
                <w:lang w:eastAsia="en-CA"/>
              </w:rPr>
              <w:t>II</w:t>
            </w:r>
          </w:p>
        </w:tc>
        <w:tc>
          <w:tcPr>
            <w:tcW w:w="0" w:type="auto"/>
            <w:tcBorders>
              <w:top w:val="single" w:sz="12" w:space="0" w:color="auto"/>
              <w:bottom w:val="single" w:sz="12" w:space="0" w:color="auto"/>
            </w:tcBorders>
            <w:shd w:val="clear" w:color="auto" w:fill="auto"/>
            <w:hideMark/>
          </w:tcPr>
          <w:p w14:paraId="3AD862F9" w14:textId="430BA8E7" w:rsidR="00AF183C" w:rsidRPr="00B33B1E" w:rsidRDefault="00AF183C"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 w:val="20"/>
                <w:szCs w:val="20"/>
                <w:lang w:eastAsia="en-CA"/>
              </w:rPr>
            </w:pPr>
            <w:r w:rsidRPr="00B33B1E">
              <w:rPr>
                <w:snapToGrid w:val="0"/>
                <w:color w:val="000000"/>
                <w:kern w:val="22"/>
                <w:sz w:val="20"/>
                <w:szCs w:val="20"/>
                <w:lang w:eastAsia="en-CA"/>
              </w:rPr>
              <w:t>Programme support costs (13 per cent)</w:t>
            </w:r>
          </w:p>
        </w:tc>
        <w:tc>
          <w:tcPr>
            <w:tcW w:w="0" w:type="auto"/>
            <w:tcBorders>
              <w:top w:val="single" w:sz="12" w:space="0" w:color="auto"/>
              <w:bottom w:val="single" w:sz="12" w:space="0" w:color="auto"/>
            </w:tcBorders>
            <w:shd w:val="clear" w:color="auto" w:fill="auto"/>
            <w:hideMark/>
          </w:tcPr>
          <w:p w14:paraId="1A59CD37" w14:textId="02B17220" w:rsidR="00AF183C" w:rsidRPr="00B33B1E" w:rsidRDefault="00AF183C" w:rsidP="00B33B1E">
            <w:pPr>
              <w:suppressLineNumbers/>
              <w:suppressAutoHyphens/>
              <w:kinsoku w:val="0"/>
              <w:overflowPunct w:val="0"/>
              <w:autoSpaceDE w:val="0"/>
              <w:autoSpaceDN w:val="0"/>
              <w:adjustRightInd w:val="0"/>
              <w:snapToGrid w:val="0"/>
              <w:ind w:right="79"/>
              <w:jc w:val="right"/>
              <w:rPr>
                <w:snapToGrid w:val="0"/>
                <w:color w:val="000000"/>
                <w:kern w:val="22"/>
                <w:sz w:val="20"/>
                <w:szCs w:val="20"/>
                <w:lang w:eastAsia="en-CA"/>
              </w:rPr>
            </w:pPr>
            <w:r w:rsidRPr="00B33B1E">
              <w:rPr>
                <w:snapToGrid w:val="0"/>
                <w:color w:val="000000"/>
                <w:kern w:val="22"/>
                <w:sz w:val="20"/>
                <w:szCs w:val="20"/>
                <w:lang w:eastAsia="en-CA"/>
              </w:rPr>
              <w:t>4 736.2</w:t>
            </w:r>
            <w:r>
              <w:rPr>
                <w:snapToGrid w:val="0"/>
                <w:color w:val="000000"/>
                <w:kern w:val="22"/>
                <w:sz w:val="20"/>
                <w:szCs w:val="20"/>
                <w:lang w:eastAsia="en-CA"/>
              </w:rPr>
              <w:t>0</w:t>
            </w:r>
          </w:p>
        </w:tc>
        <w:tc>
          <w:tcPr>
            <w:tcW w:w="0" w:type="auto"/>
            <w:tcBorders>
              <w:top w:val="single" w:sz="12" w:space="0" w:color="auto"/>
              <w:bottom w:val="single" w:sz="12" w:space="0" w:color="auto"/>
            </w:tcBorders>
            <w:shd w:val="clear" w:color="auto" w:fill="auto"/>
          </w:tcPr>
          <w:p w14:paraId="0222855C" w14:textId="315B8F45" w:rsidR="00AF183C" w:rsidRPr="00B33B1E" w:rsidRDefault="00AF183C" w:rsidP="00B33B1E">
            <w:pPr>
              <w:suppressLineNumbers/>
              <w:suppressAutoHyphens/>
              <w:kinsoku w:val="0"/>
              <w:overflowPunct w:val="0"/>
              <w:autoSpaceDE w:val="0"/>
              <w:autoSpaceDN w:val="0"/>
              <w:adjustRightInd w:val="0"/>
              <w:snapToGrid w:val="0"/>
              <w:jc w:val="right"/>
              <w:rPr>
                <w:snapToGrid w:val="0"/>
                <w:color w:val="000000"/>
                <w:kern w:val="22"/>
                <w:sz w:val="20"/>
                <w:szCs w:val="20"/>
                <w:lang w:eastAsia="en-CA"/>
              </w:rPr>
            </w:pPr>
            <w:r w:rsidRPr="00B33B1E">
              <w:rPr>
                <w:snapToGrid w:val="0"/>
                <w:color w:val="000000"/>
                <w:kern w:val="22"/>
                <w:sz w:val="20"/>
                <w:szCs w:val="20"/>
                <w:lang w:eastAsia="en-CA"/>
              </w:rPr>
              <w:t>2 475.5</w:t>
            </w:r>
            <w:r>
              <w:rPr>
                <w:snapToGrid w:val="0"/>
                <w:color w:val="000000"/>
                <w:kern w:val="22"/>
                <w:sz w:val="20"/>
                <w:szCs w:val="20"/>
                <w:lang w:eastAsia="en-CA"/>
              </w:rPr>
              <w:t>0</w:t>
            </w:r>
          </w:p>
        </w:tc>
        <w:tc>
          <w:tcPr>
            <w:tcW w:w="0" w:type="auto"/>
            <w:tcBorders>
              <w:top w:val="single" w:sz="12" w:space="0" w:color="auto"/>
              <w:bottom w:val="single" w:sz="12" w:space="0" w:color="auto"/>
            </w:tcBorders>
            <w:shd w:val="clear" w:color="auto" w:fill="auto"/>
          </w:tcPr>
          <w:p w14:paraId="0162CDC0" w14:textId="20940C61" w:rsidR="00AF183C" w:rsidRPr="00B33B1E" w:rsidRDefault="00AF183C" w:rsidP="00B33B1E">
            <w:pPr>
              <w:suppressLineNumbers/>
              <w:suppressAutoHyphens/>
              <w:kinsoku w:val="0"/>
              <w:overflowPunct w:val="0"/>
              <w:autoSpaceDE w:val="0"/>
              <w:autoSpaceDN w:val="0"/>
              <w:adjustRightInd w:val="0"/>
              <w:snapToGrid w:val="0"/>
              <w:ind w:right="38"/>
              <w:jc w:val="right"/>
              <w:rPr>
                <w:snapToGrid w:val="0"/>
                <w:color w:val="000000"/>
                <w:kern w:val="22"/>
                <w:sz w:val="20"/>
                <w:szCs w:val="20"/>
                <w:lang w:eastAsia="en-CA"/>
              </w:rPr>
            </w:pPr>
            <w:r w:rsidRPr="00B33B1E">
              <w:rPr>
                <w:snapToGrid w:val="0"/>
                <w:color w:val="000000"/>
                <w:kern w:val="22"/>
                <w:sz w:val="20"/>
                <w:szCs w:val="20"/>
                <w:lang w:eastAsia="en-CA"/>
              </w:rPr>
              <w:t>2 260.7</w:t>
            </w:r>
            <w:r>
              <w:rPr>
                <w:snapToGrid w:val="0"/>
                <w:color w:val="000000"/>
                <w:kern w:val="22"/>
                <w:sz w:val="20"/>
                <w:szCs w:val="20"/>
                <w:lang w:eastAsia="en-CA"/>
              </w:rPr>
              <w:t>0</w:t>
            </w:r>
          </w:p>
        </w:tc>
      </w:tr>
      <w:tr w:rsidR="00AF183C" w:rsidRPr="00E9050B" w14:paraId="71567E28" w14:textId="77777777" w:rsidTr="00B33B1E">
        <w:trPr>
          <w:cantSplit/>
          <w:jc w:val="center"/>
        </w:trPr>
        <w:tc>
          <w:tcPr>
            <w:tcW w:w="0" w:type="auto"/>
            <w:tcBorders>
              <w:top w:val="single" w:sz="12" w:space="0" w:color="auto"/>
              <w:bottom w:val="single" w:sz="12" w:space="0" w:color="auto"/>
            </w:tcBorders>
          </w:tcPr>
          <w:p w14:paraId="2F00FE31" w14:textId="77777777" w:rsidR="00AF183C" w:rsidRDefault="00AF183C" w:rsidP="00BF6BF7">
            <w:pPr>
              <w:suppressLineNumbers/>
              <w:tabs>
                <w:tab w:val="left" w:pos="425"/>
              </w:tabs>
              <w:suppressAutoHyphens/>
              <w:kinsoku w:val="0"/>
              <w:overflowPunct w:val="0"/>
              <w:autoSpaceDE w:val="0"/>
              <w:autoSpaceDN w:val="0"/>
              <w:adjustRightInd w:val="0"/>
              <w:snapToGrid w:val="0"/>
              <w:jc w:val="left"/>
              <w:rPr>
                <w:b/>
                <w:bCs/>
                <w:snapToGrid w:val="0"/>
                <w:color w:val="000000"/>
                <w:kern w:val="22"/>
                <w:sz w:val="20"/>
                <w:szCs w:val="20"/>
                <w:lang w:eastAsia="en-CA"/>
              </w:rPr>
            </w:pPr>
          </w:p>
        </w:tc>
        <w:tc>
          <w:tcPr>
            <w:tcW w:w="0" w:type="auto"/>
            <w:tcBorders>
              <w:top w:val="single" w:sz="12" w:space="0" w:color="auto"/>
              <w:bottom w:val="single" w:sz="12" w:space="0" w:color="auto"/>
            </w:tcBorders>
            <w:shd w:val="clear" w:color="auto" w:fill="auto"/>
            <w:hideMark/>
          </w:tcPr>
          <w:p w14:paraId="1E7847AE" w14:textId="6AABB58F" w:rsidR="00AF183C" w:rsidRPr="00B33B1E" w:rsidRDefault="00AF183C" w:rsidP="00BF6BF7">
            <w:pPr>
              <w:suppressLineNumbers/>
              <w:tabs>
                <w:tab w:val="left" w:pos="425"/>
              </w:tabs>
              <w:suppressAutoHyphens/>
              <w:kinsoku w:val="0"/>
              <w:overflowPunct w:val="0"/>
              <w:autoSpaceDE w:val="0"/>
              <w:autoSpaceDN w:val="0"/>
              <w:adjustRightInd w:val="0"/>
              <w:snapToGrid w:val="0"/>
              <w:jc w:val="left"/>
              <w:rPr>
                <w:b/>
                <w:bCs/>
                <w:snapToGrid w:val="0"/>
                <w:color w:val="000000"/>
                <w:kern w:val="22"/>
                <w:sz w:val="20"/>
                <w:szCs w:val="20"/>
                <w:lang w:eastAsia="en-CA"/>
              </w:rPr>
            </w:pPr>
            <w:r>
              <w:rPr>
                <w:b/>
                <w:bCs/>
                <w:snapToGrid w:val="0"/>
                <w:color w:val="000000"/>
                <w:kern w:val="22"/>
                <w:sz w:val="20"/>
                <w:szCs w:val="20"/>
                <w:lang w:eastAsia="en-CA"/>
              </w:rPr>
              <w:tab/>
            </w:r>
            <w:r w:rsidRPr="00B33B1E">
              <w:rPr>
                <w:b/>
                <w:bCs/>
                <w:snapToGrid w:val="0"/>
                <w:color w:val="000000"/>
                <w:kern w:val="22"/>
                <w:sz w:val="20"/>
                <w:szCs w:val="20"/>
                <w:lang w:eastAsia="en-CA"/>
              </w:rPr>
              <w:t>Sub</w:t>
            </w:r>
            <w:r>
              <w:rPr>
                <w:b/>
                <w:bCs/>
                <w:snapToGrid w:val="0"/>
                <w:color w:val="000000"/>
                <w:kern w:val="22"/>
                <w:sz w:val="20"/>
                <w:szCs w:val="20"/>
                <w:lang w:eastAsia="en-CA"/>
              </w:rPr>
              <w:t>t</w:t>
            </w:r>
            <w:r w:rsidRPr="00B33B1E">
              <w:rPr>
                <w:b/>
                <w:bCs/>
                <w:snapToGrid w:val="0"/>
                <w:color w:val="000000"/>
                <w:kern w:val="22"/>
                <w:sz w:val="20"/>
                <w:szCs w:val="20"/>
                <w:lang w:eastAsia="en-CA"/>
              </w:rPr>
              <w:t>otal (I + II)</w:t>
            </w:r>
          </w:p>
        </w:tc>
        <w:tc>
          <w:tcPr>
            <w:tcW w:w="0" w:type="auto"/>
            <w:tcBorders>
              <w:top w:val="single" w:sz="12" w:space="0" w:color="auto"/>
              <w:bottom w:val="single" w:sz="12" w:space="0" w:color="auto"/>
            </w:tcBorders>
            <w:shd w:val="clear" w:color="auto" w:fill="auto"/>
            <w:hideMark/>
          </w:tcPr>
          <w:p w14:paraId="07628F84" w14:textId="3FE18270" w:rsidR="00AF183C" w:rsidRPr="00B33B1E" w:rsidRDefault="00AF183C" w:rsidP="00B33B1E">
            <w:pPr>
              <w:suppressLineNumbers/>
              <w:suppressAutoHyphens/>
              <w:kinsoku w:val="0"/>
              <w:overflowPunct w:val="0"/>
              <w:autoSpaceDE w:val="0"/>
              <w:autoSpaceDN w:val="0"/>
              <w:adjustRightInd w:val="0"/>
              <w:snapToGrid w:val="0"/>
              <w:ind w:right="79"/>
              <w:jc w:val="right"/>
              <w:rPr>
                <w:b/>
                <w:bCs/>
                <w:snapToGrid w:val="0"/>
                <w:color w:val="000000"/>
                <w:kern w:val="22"/>
                <w:sz w:val="20"/>
                <w:szCs w:val="20"/>
                <w:lang w:eastAsia="en-CA"/>
              </w:rPr>
            </w:pPr>
            <w:r w:rsidRPr="00B33B1E">
              <w:rPr>
                <w:b/>
                <w:bCs/>
                <w:snapToGrid w:val="0"/>
                <w:color w:val="000000"/>
                <w:kern w:val="22"/>
                <w:sz w:val="20"/>
                <w:szCs w:val="20"/>
                <w:lang w:eastAsia="en-CA"/>
              </w:rPr>
              <w:t>41 168.9</w:t>
            </w:r>
            <w:r>
              <w:rPr>
                <w:b/>
                <w:bCs/>
                <w:snapToGrid w:val="0"/>
                <w:color w:val="000000"/>
                <w:kern w:val="22"/>
                <w:sz w:val="20"/>
                <w:szCs w:val="20"/>
                <w:lang w:eastAsia="en-CA"/>
              </w:rPr>
              <w:t>0</w:t>
            </w:r>
          </w:p>
        </w:tc>
        <w:tc>
          <w:tcPr>
            <w:tcW w:w="0" w:type="auto"/>
            <w:tcBorders>
              <w:top w:val="single" w:sz="12" w:space="0" w:color="auto"/>
              <w:bottom w:val="single" w:sz="12" w:space="0" w:color="auto"/>
            </w:tcBorders>
            <w:shd w:val="clear" w:color="auto" w:fill="auto"/>
          </w:tcPr>
          <w:p w14:paraId="6B28825C" w14:textId="5861245C" w:rsidR="00AF183C" w:rsidRPr="00B33B1E" w:rsidRDefault="00AF183C" w:rsidP="00B33B1E">
            <w:pPr>
              <w:suppressLineNumbers/>
              <w:suppressAutoHyphens/>
              <w:kinsoku w:val="0"/>
              <w:overflowPunct w:val="0"/>
              <w:autoSpaceDE w:val="0"/>
              <w:autoSpaceDN w:val="0"/>
              <w:adjustRightInd w:val="0"/>
              <w:snapToGrid w:val="0"/>
              <w:jc w:val="right"/>
              <w:rPr>
                <w:b/>
                <w:bCs/>
                <w:snapToGrid w:val="0"/>
                <w:color w:val="000000"/>
                <w:kern w:val="22"/>
                <w:sz w:val="20"/>
                <w:szCs w:val="20"/>
                <w:lang w:eastAsia="en-CA"/>
              </w:rPr>
            </w:pPr>
            <w:r w:rsidRPr="00B33B1E">
              <w:rPr>
                <w:b/>
                <w:bCs/>
                <w:snapToGrid w:val="0"/>
                <w:color w:val="000000"/>
                <w:kern w:val="22"/>
                <w:sz w:val="20"/>
                <w:szCs w:val="20"/>
                <w:lang w:eastAsia="en-CA"/>
              </w:rPr>
              <w:t>21</w:t>
            </w:r>
            <w:r>
              <w:rPr>
                <w:b/>
                <w:bCs/>
                <w:snapToGrid w:val="0"/>
                <w:color w:val="000000"/>
                <w:kern w:val="22"/>
                <w:sz w:val="20"/>
                <w:szCs w:val="20"/>
                <w:lang w:eastAsia="en-CA"/>
              </w:rPr>
              <w:t> </w:t>
            </w:r>
            <w:r w:rsidRPr="00B33B1E">
              <w:rPr>
                <w:b/>
                <w:bCs/>
                <w:snapToGrid w:val="0"/>
                <w:color w:val="000000"/>
                <w:kern w:val="22"/>
                <w:sz w:val="20"/>
                <w:szCs w:val="20"/>
                <w:lang w:eastAsia="en-CA"/>
              </w:rPr>
              <w:t>517.6</w:t>
            </w:r>
            <w:r>
              <w:rPr>
                <w:b/>
                <w:bCs/>
                <w:snapToGrid w:val="0"/>
                <w:color w:val="000000"/>
                <w:kern w:val="22"/>
                <w:sz w:val="20"/>
                <w:szCs w:val="20"/>
                <w:lang w:eastAsia="en-CA"/>
              </w:rPr>
              <w:t>0</w:t>
            </w:r>
          </w:p>
        </w:tc>
        <w:tc>
          <w:tcPr>
            <w:tcW w:w="0" w:type="auto"/>
            <w:tcBorders>
              <w:top w:val="single" w:sz="12" w:space="0" w:color="auto"/>
              <w:bottom w:val="single" w:sz="12" w:space="0" w:color="auto"/>
            </w:tcBorders>
            <w:shd w:val="clear" w:color="auto" w:fill="auto"/>
          </w:tcPr>
          <w:p w14:paraId="0C1DE13C" w14:textId="636FCD3D" w:rsidR="00AF183C" w:rsidRPr="00B33B1E" w:rsidRDefault="00AF183C" w:rsidP="00B33B1E">
            <w:pPr>
              <w:suppressLineNumbers/>
              <w:suppressAutoHyphens/>
              <w:kinsoku w:val="0"/>
              <w:overflowPunct w:val="0"/>
              <w:autoSpaceDE w:val="0"/>
              <w:autoSpaceDN w:val="0"/>
              <w:adjustRightInd w:val="0"/>
              <w:snapToGrid w:val="0"/>
              <w:ind w:right="38"/>
              <w:jc w:val="right"/>
              <w:rPr>
                <w:b/>
                <w:bCs/>
                <w:snapToGrid w:val="0"/>
                <w:color w:val="000000"/>
                <w:kern w:val="22"/>
                <w:sz w:val="20"/>
                <w:szCs w:val="20"/>
                <w:lang w:eastAsia="en-CA"/>
              </w:rPr>
            </w:pPr>
            <w:r w:rsidRPr="00B33B1E">
              <w:rPr>
                <w:b/>
                <w:bCs/>
                <w:snapToGrid w:val="0"/>
                <w:color w:val="000000"/>
                <w:kern w:val="22"/>
                <w:sz w:val="20"/>
                <w:szCs w:val="20"/>
                <w:lang w:eastAsia="en-CA"/>
              </w:rPr>
              <w:t>19</w:t>
            </w:r>
            <w:r>
              <w:rPr>
                <w:b/>
                <w:bCs/>
                <w:snapToGrid w:val="0"/>
                <w:color w:val="000000"/>
                <w:kern w:val="22"/>
                <w:sz w:val="20"/>
                <w:szCs w:val="20"/>
                <w:lang w:eastAsia="en-CA"/>
              </w:rPr>
              <w:t> </w:t>
            </w:r>
            <w:r w:rsidRPr="00B33B1E">
              <w:rPr>
                <w:b/>
                <w:bCs/>
                <w:snapToGrid w:val="0"/>
                <w:color w:val="000000"/>
                <w:kern w:val="22"/>
                <w:sz w:val="20"/>
                <w:szCs w:val="20"/>
                <w:lang w:eastAsia="en-CA"/>
              </w:rPr>
              <w:t>651.3</w:t>
            </w:r>
            <w:r>
              <w:rPr>
                <w:b/>
                <w:bCs/>
                <w:snapToGrid w:val="0"/>
                <w:color w:val="000000"/>
                <w:kern w:val="22"/>
                <w:sz w:val="20"/>
                <w:szCs w:val="20"/>
                <w:lang w:eastAsia="en-CA"/>
              </w:rPr>
              <w:t>0</w:t>
            </w:r>
          </w:p>
        </w:tc>
      </w:tr>
      <w:tr w:rsidR="00AF183C" w:rsidRPr="00E9050B" w14:paraId="78377C74" w14:textId="77777777" w:rsidTr="00B33B1E">
        <w:trPr>
          <w:cantSplit/>
          <w:jc w:val="center"/>
        </w:trPr>
        <w:tc>
          <w:tcPr>
            <w:tcW w:w="0" w:type="auto"/>
            <w:tcBorders>
              <w:top w:val="single" w:sz="12" w:space="0" w:color="auto"/>
              <w:bottom w:val="single" w:sz="12" w:space="0" w:color="auto"/>
            </w:tcBorders>
          </w:tcPr>
          <w:p w14:paraId="3CD9DA3F" w14:textId="20828ECE" w:rsidR="00AF183C" w:rsidRPr="00AF183C" w:rsidRDefault="00AF183C"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 w:val="20"/>
                <w:szCs w:val="20"/>
                <w:lang w:eastAsia="en-CA"/>
              </w:rPr>
            </w:pPr>
            <w:r>
              <w:rPr>
                <w:snapToGrid w:val="0"/>
                <w:color w:val="000000"/>
                <w:kern w:val="22"/>
                <w:sz w:val="20"/>
                <w:szCs w:val="20"/>
                <w:lang w:eastAsia="en-CA"/>
              </w:rPr>
              <w:t>III</w:t>
            </w:r>
          </w:p>
        </w:tc>
        <w:tc>
          <w:tcPr>
            <w:tcW w:w="0" w:type="auto"/>
            <w:tcBorders>
              <w:top w:val="single" w:sz="12" w:space="0" w:color="auto"/>
              <w:bottom w:val="single" w:sz="12" w:space="0" w:color="auto"/>
            </w:tcBorders>
            <w:shd w:val="clear" w:color="auto" w:fill="auto"/>
            <w:hideMark/>
          </w:tcPr>
          <w:p w14:paraId="1E32A9B0" w14:textId="5321822A" w:rsidR="00AF183C" w:rsidRPr="00B33B1E" w:rsidRDefault="00AF183C"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 w:val="20"/>
                <w:szCs w:val="20"/>
                <w:lang w:eastAsia="en-CA"/>
              </w:rPr>
            </w:pPr>
            <w:r w:rsidRPr="00B33B1E">
              <w:rPr>
                <w:snapToGrid w:val="0"/>
                <w:color w:val="000000"/>
                <w:kern w:val="22"/>
                <w:sz w:val="20"/>
                <w:szCs w:val="20"/>
                <w:lang w:eastAsia="en-CA"/>
              </w:rPr>
              <w:t>Working capital reserve</w:t>
            </w:r>
          </w:p>
        </w:tc>
        <w:tc>
          <w:tcPr>
            <w:tcW w:w="0" w:type="auto"/>
            <w:tcBorders>
              <w:top w:val="single" w:sz="12" w:space="0" w:color="auto"/>
              <w:bottom w:val="single" w:sz="12" w:space="0" w:color="auto"/>
            </w:tcBorders>
            <w:shd w:val="clear" w:color="auto" w:fill="auto"/>
            <w:hideMark/>
          </w:tcPr>
          <w:p w14:paraId="18A480CF" w14:textId="02EDFD5D" w:rsidR="00AF183C" w:rsidRPr="00B33B1E" w:rsidRDefault="00AF183C" w:rsidP="00B33B1E">
            <w:pPr>
              <w:suppressLineNumbers/>
              <w:suppressAutoHyphens/>
              <w:kinsoku w:val="0"/>
              <w:overflowPunct w:val="0"/>
              <w:autoSpaceDE w:val="0"/>
              <w:autoSpaceDN w:val="0"/>
              <w:adjustRightInd w:val="0"/>
              <w:snapToGrid w:val="0"/>
              <w:ind w:right="79"/>
              <w:jc w:val="right"/>
              <w:rPr>
                <w:snapToGrid w:val="0"/>
                <w:color w:val="000000"/>
                <w:kern w:val="22"/>
                <w:sz w:val="20"/>
                <w:szCs w:val="20"/>
                <w:lang w:eastAsia="en-CA"/>
              </w:rPr>
            </w:pPr>
            <w:r w:rsidRPr="00B33B1E">
              <w:rPr>
                <w:snapToGrid w:val="0"/>
                <w:color w:val="000000"/>
                <w:kern w:val="22"/>
                <w:sz w:val="20"/>
                <w:szCs w:val="20"/>
                <w:lang w:eastAsia="en-CA"/>
              </w:rPr>
              <w:t>477.2</w:t>
            </w:r>
            <w:r>
              <w:rPr>
                <w:snapToGrid w:val="0"/>
                <w:color w:val="000000"/>
                <w:kern w:val="22"/>
                <w:sz w:val="20"/>
                <w:szCs w:val="20"/>
                <w:lang w:eastAsia="en-CA"/>
              </w:rPr>
              <w:t>0</w:t>
            </w:r>
          </w:p>
        </w:tc>
        <w:tc>
          <w:tcPr>
            <w:tcW w:w="0" w:type="auto"/>
            <w:tcBorders>
              <w:top w:val="single" w:sz="12" w:space="0" w:color="auto"/>
              <w:bottom w:val="single" w:sz="12" w:space="0" w:color="auto"/>
            </w:tcBorders>
            <w:shd w:val="clear" w:color="auto" w:fill="auto"/>
          </w:tcPr>
          <w:p w14:paraId="79EE3DB1" w14:textId="58017626" w:rsidR="00AF183C" w:rsidRPr="00B33B1E" w:rsidRDefault="00AF183C" w:rsidP="00B33B1E">
            <w:pPr>
              <w:suppressLineNumbers/>
              <w:suppressAutoHyphens/>
              <w:kinsoku w:val="0"/>
              <w:overflowPunct w:val="0"/>
              <w:autoSpaceDE w:val="0"/>
              <w:autoSpaceDN w:val="0"/>
              <w:adjustRightInd w:val="0"/>
              <w:snapToGrid w:val="0"/>
              <w:jc w:val="right"/>
              <w:rPr>
                <w:snapToGrid w:val="0"/>
                <w:color w:val="000000"/>
                <w:kern w:val="22"/>
                <w:sz w:val="20"/>
                <w:szCs w:val="20"/>
                <w:lang w:eastAsia="en-CA"/>
              </w:rPr>
            </w:pPr>
            <w:r w:rsidRPr="00B33B1E">
              <w:rPr>
                <w:snapToGrid w:val="0"/>
                <w:color w:val="000000"/>
                <w:kern w:val="22"/>
                <w:sz w:val="20"/>
                <w:szCs w:val="20"/>
                <w:lang w:eastAsia="en-CA"/>
              </w:rPr>
              <w:t>477.2</w:t>
            </w:r>
            <w:r>
              <w:rPr>
                <w:snapToGrid w:val="0"/>
                <w:color w:val="000000"/>
                <w:kern w:val="22"/>
                <w:sz w:val="20"/>
                <w:szCs w:val="20"/>
                <w:lang w:eastAsia="en-CA"/>
              </w:rPr>
              <w:t>0</w:t>
            </w:r>
          </w:p>
        </w:tc>
        <w:tc>
          <w:tcPr>
            <w:tcW w:w="0" w:type="auto"/>
            <w:tcBorders>
              <w:top w:val="single" w:sz="12" w:space="0" w:color="auto"/>
              <w:bottom w:val="single" w:sz="12" w:space="0" w:color="auto"/>
            </w:tcBorders>
            <w:shd w:val="clear" w:color="auto" w:fill="auto"/>
          </w:tcPr>
          <w:p w14:paraId="43C1ADDB" w14:textId="478B5967" w:rsidR="00AF183C" w:rsidRPr="00B33B1E" w:rsidRDefault="00AF183C" w:rsidP="00B33B1E">
            <w:pPr>
              <w:suppressLineNumbers/>
              <w:suppressAutoHyphens/>
              <w:kinsoku w:val="0"/>
              <w:overflowPunct w:val="0"/>
              <w:autoSpaceDE w:val="0"/>
              <w:autoSpaceDN w:val="0"/>
              <w:adjustRightInd w:val="0"/>
              <w:snapToGrid w:val="0"/>
              <w:ind w:right="38"/>
              <w:jc w:val="right"/>
              <w:rPr>
                <w:snapToGrid w:val="0"/>
                <w:color w:val="000000"/>
                <w:kern w:val="22"/>
                <w:sz w:val="20"/>
                <w:szCs w:val="20"/>
                <w:lang w:eastAsia="en-CA"/>
              </w:rPr>
            </w:pPr>
            <w:r>
              <w:rPr>
                <w:snapToGrid w:val="0"/>
                <w:color w:val="000000"/>
                <w:kern w:val="22"/>
                <w:sz w:val="20"/>
                <w:szCs w:val="20"/>
                <w:lang w:eastAsia="en-CA"/>
              </w:rPr>
              <w:t>–</w:t>
            </w:r>
          </w:p>
        </w:tc>
      </w:tr>
      <w:tr w:rsidR="00AF183C" w:rsidRPr="00E9050B" w14:paraId="56F8BB5A" w14:textId="77777777" w:rsidTr="00B33B1E">
        <w:trPr>
          <w:cantSplit/>
          <w:jc w:val="center"/>
        </w:trPr>
        <w:tc>
          <w:tcPr>
            <w:tcW w:w="0" w:type="auto"/>
            <w:tcBorders>
              <w:top w:val="single" w:sz="12" w:space="0" w:color="auto"/>
              <w:bottom w:val="single" w:sz="12" w:space="0" w:color="auto"/>
            </w:tcBorders>
          </w:tcPr>
          <w:p w14:paraId="411284EE" w14:textId="77777777" w:rsidR="00AF183C" w:rsidRDefault="00AF183C" w:rsidP="00BF6BF7">
            <w:pPr>
              <w:suppressLineNumbers/>
              <w:tabs>
                <w:tab w:val="left" w:pos="425"/>
              </w:tabs>
              <w:suppressAutoHyphens/>
              <w:kinsoku w:val="0"/>
              <w:overflowPunct w:val="0"/>
              <w:autoSpaceDE w:val="0"/>
              <w:autoSpaceDN w:val="0"/>
              <w:adjustRightInd w:val="0"/>
              <w:snapToGrid w:val="0"/>
              <w:jc w:val="left"/>
              <w:rPr>
                <w:b/>
                <w:bCs/>
                <w:snapToGrid w:val="0"/>
                <w:color w:val="000000"/>
                <w:kern w:val="22"/>
                <w:sz w:val="20"/>
                <w:szCs w:val="20"/>
                <w:lang w:eastAsia="en-CA"/>
              </w:rPr>
            </w:pPr>
          </w:p>
        </w:tc>
        <w:tc>
          <w:tcPr>
            <w:tcW w:w="0" w:type="auto"/>
            <w:tcBorders>
              <w:top w:val="single" w:sz="12" w:space="0" w:color="auto"/>
              <w:bottom w:val="single" w:sz="12" w:space="0" w:color="auto"/>
            </w:tcBorders>
            <w:shd w:val="clear" w:color="auto" w:fill="auto"/>
            <w:hideMark/>
          </w:tcPr>
          <w:p w14:paraId="03AE5C70" w14:textId="47F19D95" w:rsidR="00AF183C" w:rsidRPr="00B33B1E" w:rsidRDefault="00AF183C" w:rsidP="00BF6BF7">
            <w:pPr>
              <w:suppressLineNumbers/>
              <w:tabs>
                <w:tab w:val="left" w:pos="425"/>
              </w:tabs>
              <w:suppressAutoHyphens/>
              <w:kinsoku w:val="0"/>
              <w:overflowPunct w:val="0"/>
              <w:autoSpaceDE w:val="0"/>
              <w:autoSpaceDN w:val="0"/>
              <w:adjustRightInd w:val="0"/>
              <w:snapToGrid w:val="0"/>
              <w:jc w:val="left"/>
              <w:rPr>
                <w:b/>
                <w:bCs/>
                <w:snapToGrid w:val="0"/>
                <w:color w:val="000000"/>
                <w:kern w:val="22"/>
                <w:sz w:val="20"/>
                <w:szCs w:val="20"/>
                <w:lang w:eastAsia="en-CA"/>
              </w:rPr>
            </w:pPr>
            <w:r>
              <w:rPr>
                <w:b/>
                <w:bCs/>
                <w:snapToGrid w:val="0"/>
                <w:color w:val="000000"/>
                <w:kern w:val="22"/>
                <w:sz w:val="20"/>
                <w:szCs w:val="20"/>
                <w:lang w:eastAsia="en-CA"/>
              </w:rPr>
              <w:tab/>
            </w:r>
            <w:r w:rsidRPr="00B33B1E">
              <w:rPr>
                <w:b/>
                <w:bCs/>
                <w:snapToGrid w:val="0"/>
                <w:color w:val="000000"/>
                <w:kern w:val="22"/>
                <w:sz w:val="20"/>
                <w:szCs w:val="20"/>
                <w:lang w:eastAsia="en-CA"/>
              </w:rPr>
              <w:t>Total (I + II + II)</w:t>
            </w:r>
          </w:p>
        </w:tc>
        <w:tc>
          <w:tcPr>
            <w:tcW w:w="0" w:type="auto"/>
            <w:tcBorders>
              <w:top w:val="single" w:sz="12" w:space="0" w:color="auto"/>
              <w:bottom w:val="single" w:sz="12" w:space="0" w:color="auto"/>
            </w:tcBorders>
            <w:shd w:val="clear" w:color="auto" w:fill="auto"/>
            <w:hideMark/>
          </w:tcPr>
          <w:p w14:paraId="531CF68C" w14:textId="56C71F83" w:rsidR="00AF183C" w:rsidRPr="00B33B1E" w:rsidRDefault="00AF183C" w:rsidP="00B33B1E">
            <w:pPr>
              <w:suppressLineNumbers/>
              <w:suppressAutoHyphens/>
              <w:kinsoku w:val="0"/>
              <w:overflowPunct w:val="0"/>
              <w:autoSpaceDE w:val="0"/>
              <w:autoSpaceDN w:val="0"/>
              <w:adjustRightInd w:val="0"/>
              <w:snapToGrid w:val="0"/>
              <w:ind w:right="79"/>
              <w:jc w:val="right"/>
              <w:rPr>
                <w:b/>
                <w:bCs/>
                <w:snapToGrid w:val="0"/>
                <w:color w:val="000000"/>
                <w:kern w:val="22"/>
                <w:sz w:val="20"/>
                <w:szCs w:val="20"/>
                <w:lang w:eastAsia="en-CA"/>
              </w:rPr>
            </w:pPr>
            <w:r w:rsidRPr="00B33B1E">
              <w:rPr>
                <w:b/>
                <w:bCs/>
                <w:snapToGrid w:val="0"/>
                <w:color w:val="000000"/>
                <w:kern w:val="22"/>
                <w:sz w:val="20"/>
                <w:szCs w:val="20"/>
                <w:lang w:eastAsia="en-CA"/>
              </w:rPr>
              <w:t>41 616.1</w:t>
            </w:r>
            <w:r>
              <w:rPr>
                <w:b/>
                <w:bCs/>
                <w:snapToGrid w:val="0"/>
                <w:color w:val="000000"/>
                <w:kern w:val="22"/>
                <w:sz w:val="20"/>
                <w:szCs w:val="20"/>
                <w:lang w:eastAsia="en-CA"/>
              </w:rPr>
              <w:t>0</w:t>
            </w:r>
          </w:p>
        </w:tc>
        <w:tc>
          <w:tcPr>
            <w:tcW w:w="0" w:type="auto"/>
            <w:tcBorders>
              <w:top w:val="single" w:sz="12" w:space="0" w:color="auto"/>
              <w:bottom w:val="single" w:sz="12" w:space="0" w:color="auto"/>
            </w:tcBorders>
            <w:shd w:val="clear" w:color="auto" w:fill="auto"/>
          </w:tcPr>
          <w:p w14:paraId="192B4C1A" w14:textId="1B373CD1" w:rsidR="00AF183C" w:rsidRPr="00B33B1E" w:rsidRDefault="00AF183C" w:rsidP="00B33B1E">
            <w:pPr>
              <w:suppressLineNumbers/>
              <w:suppressAutoHyphens/>
              <w:kinsoku w:val="0"/>
              <w:overflowPunct w:val="0"/>
              <w:autoSpaceDE w:val="0"/>
              <w:autoSpaceDN w:val="0"/>
              <w:adjustRightInd w:val="0"/>
              <w:snapToGrid w:val="0"/>
              <w:jc w:val="right"/>
              <w:rPr>
                <w:b/>
                <w:bCs/>
                <w:snapToGrid w:val="0"/>
                <w:color w:val="000000"/>
                <w:kern w:val="22"/>
                <w:sz w:val="20"/>
                <w:szCs w:val="20"/>
                <w:lang w:eastAsia="en-CA"/>
              </w:rPr>
            </w:pPr>
            <w:r w:rsidRPr="00B33B1E">
              <w:rPr>
                <w:b/>
                <w:bCs/>
                <w:snapToGrid w:val="0"/>
                <w:color w:val="000000"/>
                <w:kern w:val="22"/>
                <w:sz w:val="20"/>
                <w:szCs w:val="20"/>
                <w:lang w:eastAsia="en-CA"/>
              </w:rPr>
              <w:t>21</w:t>
            </w:r>
            <w:r>
              <w:rPr>
                <w:b/>
                <w:bCs/>
                <w:snapToGrid w:val="0"/>
                <w:color w:val="000000"/>
                <w:kern w:val="22"/>
                <w:sz w:val="20"/>
                <w:szCs w:val="20"/>
                <w:lang w:eastAsia="en-CA"/>
              </w:rPr>
              <w:t> </w:t>
            </w:r>
            <w:r w:rsidRPr="00B33B1E">
              <w:rPr>
                <w:b/>
                <w:bCs/>
                <w:snapToGrid w:val="0"/>
                <w:color w:val="000000"/>
                <w:kern w:val="22"/>
                <w:sz w:val="20"/>
                <w:szCs w:val="20"/>
                <w:lang w:eastAsia="en-CA"/>
              </w:rPr>
              <w:t>994.8</w:t>
            </w:r>
            <w:r>
              <w:rPr>
                <w:b/>
                <w:bCs/>
                <w:snapToGrid w:val="0"/>
                <w:color w:val="000000"/>
                <w:kern w:val="22"/>
                <w:sz w:val="20"/>
                <w:szCs w:val="20"/>
                <w:lang w:eastAsia="en-CA"/>
              </w:rPr>
              <w:t>0</w:t>
            </w:r>
          </w:p>
        </w:tc>
        <w:tc>
          <w:tcPr>
            <w:tcW w:w="0" w:type="auto"/>
            <w:tcBorders>
              <w:top w:val="single" w:sz="12" w:space="0" w:color="auto"/>
              <w:bottom w:val="single" w:sz="12" w:space="0" w:color="auto"/>
            </w:tcBorders>
            <w:shd w:val="clear" w:color="auto" w:fill="auto"/>
          </w:tcPr>
          <w:p w14:paraId="2D1342DC" w14:textId="3124CFAE" w:rsidR="00AF183C" w:rsidRPr="00B33B1E" w:rsidRDefault="00AF183C" w:rsidP="00B33B1E">
            <w:pPr>
              <w:suppressLineNumbers/>
              <w:suppressAutoHyphens/>
              <w:kinsoku w:val="0"/>
              <w:overflowPunct w:val="0"/>
              <w:autoSpaceDE w:val="0"/>
              <w:autoSpaceDN w:val="0"/>
              <w:adjustRightInd w:val="0"/>
              <w:snapToGrid w:val="0"/>
              <w:ind w:right="38"/>
              <w:jc w:val="right"/>
              <w:rPr>
                <w:b/>
                <w:bCs/>
                <w:snapToGrid w:val="0"/>
                <w:color w:val="000000"/>
                <w:kern w:val="22"/>
                <w:sz w:val="20"/>
                <w:szCs w:val="20"/>
                <w:lang w:eastAsia="en-CA"/>
              </w:rPr>
            </w:pPr>
            <w:r w:rsidRPr="00B33B1E">
              <w:rPr>
                <w:b/>
                <w:bCs/>
                <w:snapToGrid w:val="0"/>
                <w:color w:val="000000"/>
                <w:kern w:val="22"/>
                <w:sz w:val="20"/>
                <w:szCs w:val="20"/>
                <w:lang w:eastAsia="en-CA"/>
              </w:rPr>
              <w:t>19</w:t>
            </w:r>
            <w:r>
              <w:rPr>
                <w:b/>
                <w:bCs/>
                <w:snapToGrid w:val="0"/>
                <w:color w:val="000000"/>
                <w:kern w:val="22"/>
                <w:sz w:val="20"/>
                <w:szCs w:val="20"/>
                <w:lang w:eastAsia="en-CA"/>
              </w:rPr>
              <w:t> </w:t>
            </w:r>
            <w:r w:rsidRPr="00B33B1E">
              <w:rPr>
                <w:b/>
                <w:bCs/>
                <w:snapToGrid w:val="0"/>
                <w:color w:val="000000"/>
                <w:kern w:val="22"/>
                <w:sz w:val="20"/>
                <w:szCs w:val="20"/>
                <w:lang w:eastAsia="en-CA"/>
              </w:rPr>
              <w:t>651.3</w:t>
            </w:r>
            <w:r>
              <w:rPr>
                <w:b/>
                <w:bCs/>
                <w:snapToGrid w:val="0"/>
                <w:color w:val="000000"/>
                <w:kern w:val="22"/>
                <w:sz w:val="20"/>
                <w:szCs w:val="20"/>
                <w:lang w:eastAsia="en-CA"/>
              </w:rPr>
              <w:t>0</w:t>
            </w:r>
          </w:p>
        </w:tc>
      </w:tr>
    </w:tbl>
    <w:p w14:paraId="5C7426A1" w14:textId="77777777" w:rsidR="000D4DA8" w:rsidRPr="00BF6BF7" w:rsidRDefault="000D4DA8" w:rsidP="00BF6BF7">
      <w:pPr>
        <w:pStyle w:val="ListParagraph"/>
        <w:suppressLineNumbers/>
        <w:suppressAutoHyphens/>
        <w:kinsoku w:val="0"/>
        <w:overflowPunct w:val="0"/>
        <w:autoSpaceDE w:val="0"/>
        <w:autoSpaceDN w:val="0"/>
        <w:adjustRightInd w:val="0"/>
        <w:snapToGrid w:val="0"/>
        <w:ind w:left="0"/>
        <w:contextualSpacing w:val="0"/>
        <w:rPr>
          <w:rFonts w:eastAsia="Malgun Gothic"/>
          <w:iCs/>
          <w:snapToGrid w:val="0"/>
          <w:color w:val="000000"/>
          <w:kern w:val="22"/>
          <w:szCs w:val="22"/>
          <w:lang w:eastAsia="ko-KR"/>
        </w:rPr>
      </w:pPr>
    </w:p>
    <w:p w14:paraId="6EFAD344" w14:textId="0682BCAF" w:rsidR="000D4DA8" w:rsidRPr="00BF6BF7" w:rsidRDefault="000D4DA8" w:rsidP="00FE7DD7">
      <w:pPr>
        <w:pStyle w:val="Heading2"/>
        <w:numPr>
          <w:ilvl w:val="0"/>
          <w:numId w:val="11"/>
        </w:numPr>
        <w:suppressLineNumbers/>
        <w:suppressAutoHyphens/>
        <w:kinsoku w:val="0"/>
        <w:overflowPunct w:val="0"/>
        <w:autoSpaceDE w:val="0"/>
        <w:autoSpaceDN w:val="0"/>
        <w:adjustRightInd w:val="0"/>
        <w:snapToGrid w:val="0"/>
        <w:ind w:left="567" w:hanging="567"/>
        <w:rPr>
          <w:rFonts w:eastAsia="Malgun Gothic"/>
          <w:iCs/>
          <w:snapToGrid w:val="0"/>
          <w:kern w:val="22"/>
          <w:szCs w:val="22"/>
          <w:lang w:eastAsia="ko-KR"/>
        </w:rPr>
      </w:pPr>
      <w:r w:rsidRPr="00BF6BF7">
        <w:rPr>
          <w:rFonts w:eastAsia="Malgun Gothic"/>
          <w:snapToGrid w:val="0"/>
          <w:kern w:val="22"/>
          <w:szCs w:val="22"/>
          <w:lang w:eastAsia="ko-KR"/>
        </w:rPr>
        <w:t xml:space="preserve">Special </w:t>
      </w:r>
      <w:r w:rsidR="00456CD4">
        <w:rPr>
          <w:rFonts w:eastAsia="Malgun Gothic"/>
          <w:snapToGrid w:val="0"/>
          <w:kern w:val="22"/>
          <w:szCs w:val="22"/>
          <w:lang w:eastAsia="ko-KR"/>
        </w:rPr>
        <w:t>v</w:t>
      </w:r>
      <w:r w:rsidRPr="00197592">
        <w:rPr>
          <w:rFonts w:eastAsia="Malgun Gothic"/>
          <w:snapToGrid w:val="0"/>
          <w:kern w:val="22"/>
          <w:szCs w:val="22"/>
          <w:lang w:eastAsia="ko-KR"/>
        </w:rPr>
        <w:t xml:space="preserve">oluntary </w:t>
      </w:r>
      <w:r w:rsidR="00456CD4">
        <w:rPr>
          <w:rFonts w:eastAsia="Malgun Gothic"/>
          <w:snapToGrid w:val="0"/>
          <w:kern w:val="22"/>
          <w:szCs w:val="22"/>
          <w:lang w:eastAsia="ko-KR"/>
        </w:rPr>
        <w:t>t</w:t>
      </w:r>
      <w:r w:rsidRPr="00B33B1E">
        <w:rPr>
          <w:rFonts w:eastAsia="Malgun Gothic"/>
          <w:snapToGrid w:val="0"/>
          <w:kern w:val="22"/>
          <w:szCs w:val="22"/>
          <w:lang w:eastAsia="ko-KR"/>
        </w:rPr>
        <w:t xml:space="preserve">rust </w:t>
      </w:r>
      <w:r w:rsidR="00456CD4">
        <w:rPr>
          <w:rFonts w:eastAsia="Malgun Gothic"/>
          <w:snapToGrid w:val="0"/>
          <w:kern w:val="22"/>
          <w:szCs w:val="22"/>
          <w:lang w:eastAsia="ko-KR"/>
        </w:rPr>
        <w:t>f</w:t>
      </w:r>
      <w:r w:rsidRPr="00B33B1E">
        <w:rPr>
          <w:rFonts w:eastAsia="Malgun Gothic"/>
          <w:snapToGrid w:val="0"/>
          <w:kern w:val="22"/>
          <w:szCs w:val="22"/>
          <w:lang w:eastAsia="ko-KR"/>
        </w:rPr>
        <w:t>und</w:t>
      </w:r>
      <w:r w:rsidRPr="00197592">
        <w:rPr>
          <w:rFonts w:eastAsia="Malgun Gothic"/>
          <w:snapToGrid w:val="0"/>
          <w:kern w:val="22"/>
          <w:szCs w:val="22"/>
          <w:lang w:eastAsia="ko-KR"/>
        </w:rPr>
        <w:t xml:space="preserve"> in </w:t>
      </w:r>
      <w:r w:rsidR="00456CD4">
        <w:rPr>
          <w:rFonts w:eastAsia="Malgun Gothic"/>
          <w:snapToGrid w:val="0"/>
          <w:kern w:val="22"/>
          <w:szCs w:val="22"/>
          <w:lang w:eastAsia="ko-KR"/>
        </w:rPr>
        <w:t>s</w:t>
      </w:r>
      <w:r w:rsidRPr="00197592">
        <w:rPr>
          <w:rFonts w:eastAsia="Malgun Gothic"/>
          <w:snapToGrid w:val="0"/>
          <w:kern w:val="22"/>
          <w:szCs w:val="22"/>
          <w:lang w:eastAsia="ko-KR"/>
        </w:rPr>
        <w:t xml:space="preserve">upport of </w:t>
      </w:r>
      <w:r w:rsidR="00456CD4">
        <w:rPr>
          <w:rFonts w:eastAsia="Malgun Gothic"/>
          <w:snapToGrid w:val="0"/>
          <w:kern w:val="22"/>
          <w:szCs w:val="22"/>
          <w:lang w:eastAsia="ko-KR"/>
        </w:rPr>
        <w:t>a</w:t>
      </w:r>
      <w:r w:rsidRPr="00197592">
        <w:rPr>
          <w:rFonts w:eastAsia="Malgun Gothic"/>
          <w:snapToGrid w:val="0"/>
          <w:kern w:val="22"/>
          <w:szCs w:val="22"/>
          <w:lang w:eastAsia="ko-KR"/>
        </w:rPr>
        <w:t xml:space="preserve">pproved </w:t>
      </w:r>
      <w:r w:rsidR="00456CD4">
        <w:rPr>
          <w:rFonts w:eastAsia="Malgun Gothic"/>
          <w:snapToGrid w:val="0"/>
          <w:kern w:val="22"/>
          <w:szCs w:val="22"/>
          <w:lang w:eastAsia="ko-KR"/>
        </w:rPr>
        <w:t>a</w:t>
      </w:r>
      <w:r w:rsidRPr="00197592">
        <w:rPr>
          <w:rFonts w:eastAsia="Malgun Gothic"/>
          <w:snapToGrid w:val="0"/>
          <w:kern w:val="22"/>
          <w:szCs w:val="22"/>
          <w:lang w:eastAsia="ko-KR"/>
        </w:rPr>
        <w:t>ctivities for the period 201</w:t>
      </w:r>
      <w:r w:rsidRPr="00B33B1E">
        <w:rPr>
          <w:rFonts w:eastAsia="Malgun Gothic"/>
          <w:snapToGrid w:val="0"/>
          <w:kern w:val="22"/>
          <w:szCs w:val="22"/>
          <w:lang w:eastAsia="ko-KR"/>
        </w:rPr>
        <w:t>9</w:t>
      </w:r>
      <w:r w:rsidR="00197592" w:rsidRPr="00197592">
        <w:t>–</w:t>
      </w:r>
      <w:r w:rsidRPr="00B33B1E">
        <w:rPr>
          <w:rFonts w:eastAsia="Malgun Gothic"/>
          <w:snapToGrid w:val="0"/>
          <w:kern w:val="22"/>
          <w:szCs w:val="22"/>
          <w:lang w:eastAsia="ko-KR"/>
        </w:rPr>
        <w:t>2</w:t>
      </w:r>
      <w:r w:rsidRPr="00197592">
        <w:rPr>
          <w:rFonts w:eastAsia="Malgun Gothic"/>
          <w:snapToGrid w:val="0"/>
          <w:kern w:val="22"/>
          <w:szCs w:val="22"/>
          <w:lang w:eastAsia="ko-KR"/>
        </w:rPr>
        <w:t>020</w:t>
      </w:r>
    </w:p>
    <w:p w14:paraId="2787BD4F" w14:textId="17DECBF8" w:rsidR="000D4DA8" w:rsidRPr="009E1D82" w:rsidRDefault="000D4DA8" w:rsidP="00FE7DD7">
      <w:pPr>
        <w:pStyle w:val="Para10"/>
      </w:pPr>
      <w:r w:rsidRPr="00BF6BF7">
        <w:t xml:space="preserve">The Conference of the Parties and </w:t>
      </w:r>
      <w:r w:rsidR="0019688E" w:rsidRPr="00BF6BF7">
        <w:t>t</w:t>
      </w:r>
      <w:r w:rsidR="00144F09" w:rsidRPr="00BF6BF7">
        <w:t xml:space="preserve">he Conference of the Parties serving as the </w:t>
      </w:r>
      <w:r w:rsidRPr="00BF6BF7">
        <w:t xml:space="preserve">meetings of the Parties </w:t>
      </w:r>
      <w:r w:rsidR="002D4729" w:rsidRPr="00BF6BF7">
        <w:t xml:space="preserve">to </w:t>
      </w:r>
      <w:r w:rsidRPr="00BF6BF7">
        <w:t xml:space="preserve">the </w:t>
      </w:r>
      <w:r w:rsidR="002D4729" w:rsidRPr="00BF6BF7">
        <w:t>P</w:t>
      </w:r>
      <w:r w:rsidRPr="00BF6BF7">
        <w:t>rotocols acknowledge</w:t>
      </w:r>
      <w:r w:rsidR="00320D9B">
        <w:t>d</w:t>
      </w:r>
      <w:r w:rsidRPr="00BF6BF7">
        <w:t xml:space="preserve"> </w:t>
      </w:r>
      <w:r w:rsidRPr="00197592">
        <w:t>funding estimates of</w:t>
      </w:r>
      <w:r w:rsidRPr="00B33B1E">
        <w:t xml:space="preserve"> $</w:t>
      </w:r>
      <w:r w:rsidR="003762F1" w:rsidRPr="00197592">
        <w:t>22</w:t>
      </w:r>
      <w:r w:rsidR="001F40CE" w:rsidRPr="00197592">
        <w:t>,207,099</w:t>
      </w:r>
      <w:r w:rsidRPr="00197592">
        <w:t xml:space="preserve"> for the </w:t>
      </w:r>
      <w:r w:rsidR="00456CD4">
        <w:t>t</w:t>
      </w:r>
      <w:r w:rsidRPr="00B33B1E">
        <w:t xml:space="preserve">rust </w:t>
      </w:r>
      <w:r w:rsidR="00456CD4">
        <w:t>f</w:t>
      </w:r>
      <w:r w:rsidRPr="00B33B1E">
        <w:t>und</w:t>
      </w:r>
      <w:r w:rsidRPr="00197592">
        <w:t xml:space="preserve"> for </w:t>
      </w:r>
      <w:r w:rsidR="00456CD4">
        <w:t>a</w:t>
      </w:r>
      <w:r w:rsidRPr="00197592">
        <w:t xml:space="preserve">dditional </w:t>
      </w:r>
      <w:r w:rsidR="00456CD4">
        <w:t>v</w:t>
      </w:r>
      <w:r w:rsidRPr="00197592">
        <w:t xml:space="preserve">oluntary </w:t>
      </w:r>
      <w:r w:rsidR="00456CD4">
        <w:t>c</w:t>
      </w:r>
      <w:r w:rsidRPr="00197592">
        <w:t xml:space="preserve">ontributions in </w:t>
      </w:r>
      <w:r w:rsidR="00456CD4">
        <w:t>s</w:t>
      </w:r>
      <w:r w:rsidRPr="00197592">
        <w:t xml:space="preserve">upport of </w:t>
      </w:r>
      <w:r w:rsidR="00456CD4">
        <w:t>a</w:t>
      </w:r>
      <w:r w:rsidRPr="00197592">
        <w:t xml:space="preserve">pproved </w:t>
      </w:r>
      <w:r w:rsidR="00456CD4">
        <w:t>a</w:t>
      </w:r>
      <w:r w:rsidRPr="00197592">
        <w:t xml:space="preserve">ctivities under the Convention and its </w:t>
      </w:r>
      <w:r w:rsidRPr="009E1D82">
        <w:t xml:space="preserve">Protocols </w:t>
      </w:r>
      <w:r w:rsidR="00320D9B" w:rsidRPr="009E1D82">
        <w:t>(</w:t>
      </w:r>
      <w:r w:rsidR="00320D9B" w:rsidRPr="00B33B1E">
        <w:t>BE</w:t>
      </w:r>
      <w:r w:rsidR="00320D9B" w:rsidRPr="009E1D82">
        <w:t xml:space="preserve"> </w:t>
      </w:r>
      <w:r w:rsidR="00456CD4">
        <w:t>t</w:t>
      </w:r>
      <w:r w:rsidR="00320D9B" w:rsidRPr="00B33B1E">
        <w:t xml:space="preserve">rust </w:t>
      </w:r>
      <w:r w:rsidR="00456CD4">
        <w:t>f</w:t>
      </w:r>
      <w:r w:rsidR="00320D9B" w:rsidRPr="00B33B1E">
        <w:t>und</w:t>
      </w:r>
      <w:r w:rsidR="00320D9B" w:rsidRPr="009E1D82">
        <w:t xml:space="preserve">) </w:t>
      </w:r>
      <w:r w:rsidRPr="009E1D82">
        <w:t xml:space="preserve">for the </w:t>
      </w:r>
      <w:r w:rsidR="00A04EF0" w:rsidRPr="009E1D82">
        <w:t>p</w:t>
      </w:r>
      <w:r w:rsidRPr="009E1D82">
        <w:t xml:space="preserve">eriod </w:t>
      </w:r>
      <w:r w:rsidR="001F40CE" w:rsidRPr="009E1D82">
        <w:t>202</w:t>
      </w:r>
      <w:r w:rsidR="001F40CE" w:rsidRPr="00B33B1E">
        <w:t>3</w:t>
      </w:r>
      <w:r w:rsidR="00197592" w:rsidRPr="009E1D82">
        <w:t>–</w:t>
      </w:r>
      <w:r w:rsidR="001F40CE" w:rsidRPr="00B33B1E">
        <w:t>2</w:t>
      </w:r>
      <w:r w:rsidR="001F40CE" w:rsidRPr="009E1D82">
        <w:t>024</w:t>
      </w:r>
      <w:r w:rsidRPr="009E1D82">
        <w:t>.</w:t>
      </w:r>
    </w:p>
    <w:p w14:paraId="1CA850BB" w14:textId="6A9736CC" w:rsidR="00D903C6" w:rsidRPr="009E1D82" w:rsidRDefault="000D4DA8" w:rsidP="00FE7DD7">
      <w:pPr>
        <w:pStyle w:val="Para10"/>
      </w:pPr>
      <w:r w:rsidRPr="009E1D82">
        <w:t xml:space="preserve">As </w:t>
      </w:r>
      <w:proofErr w:type="gramStart"/>
      <w:r w:rsidRPr="009E1D82">
        <w:t>at</w:t>
      </w:r>
      <w:proofErr w:type="gramEnd"/>
      <w:r w:rsidRPr="009E1D82">
        <w:t xml:space="preserve"> </w:t>
      </w:r>
      <w:r w:rsidR="001F40CE" w:rsidRPr="009E1D82">
        <w:t>29 February 2024</w:t>
      </w:r>
      <w:r w:rsidRPr="009E1D82">
        <w:t>, contributions amounting to</w:t>
      </w:r>
      <w:r w:rsidRPr="00B33B1E">
        <w:t xml:space="preserve"> $</w:t>
      </w:r>
      <w:r w:rsidR="002C70BB" w:rsidRPr="009E1D82">
        <w:t>13 milli</w:t>
      </w:r>
      <w:r w:rsidR="00C90C26" w:rsidRPr="009E1D82">
        <w:t>on</w:t>
      </w:r>
      <w:r w:rsidRPr="009E1D82">
        <w:t xml:space="preserve"> ha</w:t>
      </w:r>
      <w:r w:rsidR="00970872">
        <w:t>d</w:t>
      </w:r>
      <w:r w:rsidRPr="009E1D82">
        <w:t xml:space="preserve"> been received </w:t>
      </w:r>
      <w:r w:rsidR="005E75DD" w:rsidRPr="009E1D82">
        <w:t>for</w:t>
      </w:r>
      <w:r w:rsidRPr="009E1D82">
        <w:t xml:space="preserve"> </w:t>
      </w:r>
      <w:r w:rsidRPr="00B33B1E">
        <w:t>the BE</w:t>
      </w:r>
      <w:r w:rsidR="00BF22AD">
        <w:t> </w:t>
      </w:r>
      <w:r w:rsidR="00456CD4">
        <w:t>t</w:t>
      </w:r>
      <w:r w:rsidRPr="00B33B1E">
        <w:t xml:space="preserve">rust </w:t>
      </w:r>
      <w:r w:rsidR="00456CD4">
        <w:t>f</w:t>
      </w:r>
      <w:r w:rsidRPr="00B33B1E">
        <w:t>und</w:t>
      </w:r>
      <w:r w:rsidRPr="009E1D82">
        <w:t xml:space="preserve">. </w:t>
      </w:r>
      <w:r w:rsidR="000D4266" w:rsidRPr="009E1D82">
        <w:t>This amount include</w:t>
      </w:r>
      <w:r w:rsidR="00970872">
        <w:t>d</w:t>
      </w:r>
      <w:r w:rsidR="000D4266" w:rsidRPr="00B33B1E">
        <w:t xml:space="preserve"> </w:t>
      </w:r>
      <w:r w:rsidR="00DA0D3E">
        <w:t>$8.9</w:t>
      </w:r>
      <w:r w:rsidR="00765C17" w:rsidRPr="009E1D82">
        <w:t xml:space="preserve"> million from the </w:t>
      </w:r>
      <w:r w:rsidR="00BA61BB" w:rsidRPr="009E1D82">
        <w:t>multi-year</w:t>
      </w:r>
      <w:r w:rsidR="00152B2F" w:rsidRPr="009E1D82">
        <w:t xml:space="preserve"> </w:t>
      </w:r>
      <w:r w:rsidR="000D4266" w:rsidRPr="009E1D82">
        <w:t xml:space="preserve">pledges </w:t>
      </w:r>
      <w:r w:rsidR="00765C17" w:rsidRPr="009E1D82">
        <w:t xml:space="preserve">of the Governments of </w:t>
      </w:r>
      <w:r w:rsidR="00DA0D3E">
        <w:t xml:space="preserve">Canada, </w:t>
      </w:r>
      <w:r w:rsidR="00765C17" w:rsidRPr="009E1D82">
        <w:t>Denmark, Japan (though the Japan Biodiversity Fund)</w:t>
      </w:r>
      <w:r w:rsidR="007E14E4">
        <w:t xml:space="preserve"> and Norway and </w:t>
      </w:r>
      <w:r w:rsidR="00911097">
        <w:t>of</w:t>
      </w:r>
      <w:r w:rsidR="007E14E4">
        <w:t xml:space="preserve"> the </w:t>
      </w:r>
      <w:r w:rsidR="007E14E4" w:rsidRPr="009E1D82">
        <w:t>European Union</w:t>
      </w:r>
      <w:r w:rsidR="00A359B1" w:rsidRPr="009E1D82">
        <w:t>.</w:t>
      </w:r>
      <w:r w:rsidR="00BA61BB" w:rsidRPr="009E1D82">
        <w:t xml:space="preserve"> </w:t>
      </w:r>
      <w:r w:rsidRPr="009E1D82">
        <w:t xml:space="preserve">The </w:t>
      </w:r>
      <w:r w:rsidR="00977BC4">
        <w:t>areas of work</w:t>
      </w:r>
      <w:r w:rsidR="00977BC4" w:rsidRPr="009E1D82">
        <w:t xml:space="preserve"> </w:t>
      </w:r>
      <w:r w:rsidRPr="009E1D82">
        <w:t>with the largest voluntary contributions are listed in</w:t>
      </w:r>
      <w:r w:rsidRPr="00B33B1E">
        <w:t xml:space="preserve"> </w:t>
      </w:r>
      <w:r w:rsidR="009E1D82" w:rsidRPr="00B33B1E">
        <w:t>t</w:t>
      </w:r>
      <w:r w:rsidRPr="00B33B1E">
        <w:t>able 4</w:t>
      </w:r>
      <w:r w:rsidR="00D54D12">
        <w:t>.</w:t>
      </w:r>
    </w:p>
    <w:p w14:paraId="0DF009FD" w14:textId="650E0E5D" w:rsidR="00DE6900" w:rsidRDefault="00DE6900" w:rsidP="00B33B1E">
      <w:pPr>
        <w:suppressLineNumbers/>
        <w:suppressAutoHyphens/>
        <w:kinsoku w:val="0"/>
        <w:overflowPunct w:val="0"/>
        <w:autoSpaceDE w:val="0"/>
        <w:autoSpaceDN w:val="0"/>
        <w:adjustRightInd w:val="0"/>
        <w:snapToGrid w:val="0"/>
        <w:ind w:left="567"/>
        <w:rPr>
          <w:snapToGrid w:val="0"/>
          <w:kern w:val="22"/>
          <w:szCs w:val="22"/>
        </w:rPr>
      </w:pPr>
      <w:r>
        <w:rPr>
          <w:snapToGrid w:val="0"/>
          <w:kern w:val="22"/>
          <w:szCs w:val="22"/>
        </w:rPr>
        <w:t>Table 4</w:t>
      </w:r>
    </w:p>
    <w:p w14:paraId="4BC79BE7" w14:textId="0F331E9C" w:rsidR="00DE6900" w:rsidRDefault="00977BC4" w:rsidP="00B33B1E">
      <w:pPr>
        <w:ind w:left="562"/>
        <w:rPr>
          <w:b/>
          <w:bCs/>
        </w:rPr>
      </w:pPr>
      <w:r>
        <w:rPr>
          <w:b/>
          <w:bCs/>
        </w:rPr>
        <w:t>Areas of work</w:t>
      </w:r>
      <w:r w:rsidR="00E9050B" w:rsidRPr="00B33B1E">
        <w:rPr>
          <w:b/>
          <w:bCs/>
        </w:rPr>
        <w:t xml:space="preserve"> with the largest voluntary contributions</w:t>
      </w:r>
    </w:p>
    <w:p w14:paraId="1AB24FE4" w14:textId="32E94C0D" w:rsidR="00AD7FBF" w:rsidRPr="00B33B1E" w:rsidRDefault="00AD7FBF" w:rsidP="00B33B1E">
      <w:pPr>
        <w:spacing w:after="120"/>
        <w:ind w:left="567"/>
        <w:rPr>
          <w:sz w:val="18"/>
          <w:szCs w:val="18"/>
        </w:rPr>
      </w:pPr>
      <w:r w:rsidRPr="00B33B1E">
        <w:rPr>
          <w:sz w:val="18"/>
          <w:szCs w:val="18"/>
        </w:rPr>
        <w:t>(</w:t>
      </w:r>
      <w:r w:rsidR="00597BDE">
        <w:rPr>
          <w:sz w:val="18"/>
          <w:szCs w:val="18"/>
        </w:rPr>
        <w:t xml:space="preserve">Thousands of </w:t>
      </w:r>
      <w:r w:rsidRPr="00B33B1E">
        <w:rPr>
          <w:sz w:val="18"/>
          <w:szCs w:val="18"/>
        </w:rPr>
        <w:t>United States dollars)</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2"/>
        <w:gridCol w:w="1737"/>
      </w:tblGrid>
      <w:tr w:rsidR="005F7E0B" w:rsidRPr="005360DE" w14:paraId="2F760FB9" w14:textId="77777777" w:rsidTr="005F7E0B">
        <w:trPr>
          <w:tblHeader/>
        </w:trPr>
        <w:tc>
          <w:tcPr>
            <w:tcW w:w="0" w:type="auto"/>
            <w:tcBorders>
              <w:top w:val="single" w:sz="12" w:space="0" w:color="auto"/>
              <w:bottom w:val="single" w:sz="12" w:space="0" w:color="auto"/>
            </w:tcBorders>
          </w:tcPr>
          <w:p w14:paraId="2880F919" w14:textId="255DC8A6" w:rsidR="00103F5F" w:rsidRPr="00B33B1E" w:rsidRDefault="00103F5F" w:rsidP="00B33B1E">
            <w:pPr>
              <w:jc w:val="left"/>
              <w:rPr>
                <w:rFonts w:cs="Times New Roman"/>
                <w:i/>
                <w:iCs/>
                <w:sz w:val="20"/>
                <w:szCs w:val="20"/>
              </w:rPr>
            </w:pPr>
            <w:r w:rsidRPr="00B33B1E">
              <w:rPr>
                <w:i/>
                <w:iCs/>
                <w:color w:val="000000"/>
                <w:sz w:val="20"/>
                <w:szCs w:val="20"/>
              </w:rPr>
              <w:t xml:space="preserve">Thematic </w:t>
            </w:r>
            <w:r w:rsidR="00765C17" w:rsidRPr="00B33B1E">
              <w:rPr>
                <w:i/>
                <w:iCs/>
                <w:color w:val="000000"/>
                <w:sz w:val="20"/>
                <w:szCs w:val="20"/>
              </w:rPr>
              <w:t>a</w:t>
            </w:r>
            <w:r w:rsidRPr="00B33B1E">
              <w:rPr>
                <w:i/>
                <w:iCs/>
                <w:color w:val="000000"/>
                <w:sz w:val="20"/>
                <w:szCs w:val="20"/>
              </w:rPr>
              <w:t>rea</w:t>
            </w:r>
          </w:p>
        </w:tc>
        <w:tc>
          <w:tcPr>
            <w:tcW w:w="0" w:type="auto"/>
            <w:tcBorders>
              <w:top w:val="single" w:sz="12" w:space="0" w:color="auto"/>
              <w:bottom w:val="single" w:sz="12" w:space="0" w:color="auto"/>
            </w:tcBorders>
            <w:vAlign w:val="bottom"/>
          </w:tcPr>
          <w:p w14:paraId="76E0F724" w14:textId="3D0AC761" w:rsidR="00103F5F" w:rsidRPr="00B33B1E" w:rsidRDefault="00103F5F" w:rsidP="00B33B1E">
            <w:pPr>
              <w:jc w:val="right"/>
              <w:rPr>
                <w:rFonts w:cs="Times New Roman"/>
                <w:i/>
                <w:iCs/>
                <w:sz w:val="20"/>
                <w:szCs w:val="20"/>
              </w:rPr>
            </w:pPr>
            <w:r w:rsidRPr="00B33B1E">
              <w:rPr>
                <w:i/>
                <w:iCs/>
                <w:color w:val="000000"/>
                <w:sz w:val="20"/>
                <w:szCs w:val="20"/>
              </w:rPr>
              <w:t>Total contributions</w:t>
            </w:r>
          </w:p>
        </w:tc>
      </w:tr>
      <w:tr w:rsidR="005F7E0B" w:rsidRPr="005360DE" w14:paraId="0BB7B3FB" w14:textId="77777777" w:rsidTr="005F7E0B">
        <w:tc>
          <w:tcPr>
            <w:tcW w:w="0" w:type="auto"/>
            <w:tcBorders>
              <w:top w:val="single" w:sz="12" w:space="0" w:color="auto"/>
            </w:tcBorders>
            <w:vAlign w:val="bottom"/>
          </w:tcPr>
          <w:p w14:paraId="5F45F88F" w14:textId="58503AAF" w:rsidR="006D2ABA" w:rsidRPr="00B33B1E" w:rsidRDefault="006D2ABA" w:rsidP="006D2ABA">
            <w:pPr>
              <w:rPr>
                <w:rFonts w:cs="Times New Roman"/>
                <w:sz w:val="20"/>
                <w:szCs w:val="20"/>
              </w:rPr>
            </w:pPr>
            <w:r w:rsidRPr="00B33B1E">
              <w:rPr>
                <w:color w:val="000000"/>
                <w:sz w:val="20"/>
                <w:szCs w:val="20"/>
              </w:rPr>
              <w:t>Protected areas</w:t>
            </w:r>
          </w:p>
        </w:tc>
        <w:tc>
          <w:tcPr>
            <w:tcW w:w="0" w:type="auto"/>
            <w:tcBorders>
              <w:top w:val="single" w:sz="12" w:space="0" w:color="auto"/>
            </w:tcBorders>
            <w:vAlign w:val="bottom"/>
          </w:tcPr>
          <w:p w14:paraId="1A5D6350" w14:textId="2E6280E5" w:rsidR="006D2ABA" w:rsidRPr="00B33B1E" w:rsidRDefault="006D2ABA" w:rsidP="00B33B1E">
            <w:pPr>
              <w:jc w:val="right"/>
              <w:rPr>
                <w:rFonts w:cs="Times New Roman"/>
                <w:sz w:val="20"/>
                <w:szCs w:val="20"/>
              </w:rPr>
            </w:pPr>
            <w:r w:rsidRPr="00B33B1E">
              <w:rPr>
                <w:color w:val="000000"/>
                <w:sz w:val="20"/>
                <w:szCs w:val="20"/>
              </w:rPr>
              <w:t>409.50</w:t>
            </w:r>
          </w:p>
        </w:tc>
      </w:tr>
      <w:tr w:rsidR="005F7E0B" w:rsidRPr="005360DE" w14:paraId="3DE152F5" w14:textId="77777777" w:rsidTr="005F7E0B">
        <w:tc>
          <w:tcPr>
            <w:tcW w:w="0" w:type="auto"/>
            <w:vAlign w:val="bottom"/>
          </w:tcPr>
          <w:p w14:paraId="21805557" w14:textId="18E83C7E" w:rsidR="006D2ABA" w:rsidRPr="00B33B1E" w:rsidRDefault="006D2ABA" w:rsidP="006D2ABA">
            <w:pPr>
              <w:rPr>
                <w:rFonts w:cs="Times New Roman"/>
                <w:sz w:val="20"/>
                <w:szCs w:val="20"/>
              </w:rPr>
            </w:pPr>
            <w:r w:rsidRPr="00B33B1E">
              <w:rPr>
                <w:color w:val="000000"/>
                <w:sz w:val="20"/>
                <w:szCs w:val="20"/>
              </w:rPr>
              <w:t>Invasive alien species</w:t>
            </w:r>
          </w:p>
        </w:tc>
        <w:tc>
          <w:tcPr>
            <w:tcW w:w="0" w:type="auto"/>
            <w:vAlign w:val="bottom"/>
          </w:tcPr>
          <w:p w14:paraId="5356A413" w14:textId="4D9464A8" w:rsidR="006D2ABA" w:rsidRPr="00B33B1E" w:rsidRDefault="006D2ABA" w:rsidP="00B33B1E">
            <w:pPr>
              <w:jc w:val="right"/>
              <w:rPr>
                <w:rFonts w:cs="Times New Roman"/>
                <w:sz w:val="20"/>
                <w:szCs w:val="20"/>
              </w:rPr>
            </w:pPr>
            <w:r w:rsidRPr="00B33B1E">
              <w:rPr>
                <w:color w:val="000000"/>
                <w:sz w:val="20"/>
                <w:szCs w:val="20"/>
              </w:rPr>
              <w:t>430.70</w:t>
            </w:r>
          </w:p>
        </w:tc>
      </w:tr>
      <w:tr w:rsidR="005F7E0B" w:rsidRPr="005360DE" w14:paraId="5B091E5C" w14:textId="77777777" w:rsidTr="005F7E0B">
        <w:tc>
          <w:tcPr>
            <w:tcW w:w="0" w:type="auto"/>
            <w:vAlign w:val="bottom"/>
          </w:tcPr>
          <w:p w14:paraId="0838439E" w14:textId="20657D59" w:rsidR="006D2ABA" w:rsidRPr="00B33B1E" w:rsidRDefault="006D2ABA" w:rsidP="006D2ABA">
            <w:pPr>
              <w:rPr>
                <w:rFonts w:cs="Times New Roman"/>
                <w:sz w:val="20"/>
                <w:szCs w:val="20"/>
              </w:rPr>
            </w:pPr>
            <w:r w:rsidRPr="00B33B1E">
              <w:rPr>
                <w:color w:val="000000"/>
                <w:sz w:val="20"/>
                <w:szCs w:val="20"/>
              </w:rPr>
              <w:t>Nagoya Protocol</w:t>
            </w:r>
          </w:p>
        </w:tc>
        <w:tc>
          <w:tcPr>
            <w:tcW w:w="0" w:type="auto"/>
            <w:vAlign w:val="bottom"/>
          </w:tcPr>
          <w:p w14:paraId="7186CA3B" w14:textId="681ACC7D" w:rsidR="006D2ABA" w:rsidRPr="00B33B1E" w:rsidRDefault="006D2ABA" w:rsidP="00B33B1E">
            <w:pPr>
              <w:jc w:val="right"/>
              <w:rPr>
                <w:rFonts w:cs="Times New Roman"/>
                <w:sz w:val="20"/>
                <w:szCs w:val="20"/>
              </w:rPr>
            </w:pPr>
            <w:r w:rsidRPr="00B33B1E">
              <w:rPr>
                <w:color w:val="000000"/>
                <w:sz w:val="20"/>
                <w:szCs w:val="20"/>
              </w:rPr>
              <w:t>415.80</w:t>
            </w:r>
          </w:p>
        </w:tc>
      </w:tr>
      <w:tr w:rsidR="005F7E0B" w:rsidRPr="005360DE" w14:paraId="358013DE" w14:textId="77777777" w:rsidTr="005F7E0B">
        <w:tc>
          <w:tcPr>
            <w:tcW w:w="0" w:type="auto"/>
            <w:vAlign w:val="bottom"/>
          </w:tcPr>
          <w:p w14:paraId="07DEA30A" w14:textId="7086956C" w:rsidR="006D2ABA" w:rsidRPr="00B33B1E" w:rsidRDefault="006D2ABA" w:rsidP="006D2ABA">
            <w:pPr>
              <w:rPr>
                <w:rFonts w:cs="Times New Roman"/>
                <w:sz w:val="20"/>
                <w:szCs w:val="20"/>
              </w:rPr>
            </w:pPr>
            <w:r w:rsidRPr="00B33B1E">
              <w:rPr>
                <w:color w:val="000000"/>
                <w:sz w:val="20"/>
                <w:szCs w:val="20"/>
              </w:rPr>
              <w:t>Planning, monitoring, reporting and review</w:t>
            </w:r>
          </w:p>
        </w:tc>
        <w:tc>
          <w:tcPr>
            <w:tcW w:w="0" w:type="auto"/>
            <w:vAlign w:val="bottom"/>
          </w:tcPr>
          <w:p w14:paraId="03217487" w14:textId="2732BCBE" w:rsidR="006D2ABA" w:rsidRPr="00B33B1E" w:rsidRDefault="006D2ABA" w:rsidP="00B33B1E">
            <w:pPr>
              <w:jc w:val="right"/>
              <w:rPr>
                <w:rFonts w:cs="Times New Roman"/>
                <w:sz w:val="20"/>
                <w:szCs w:val="20"/>
              </w:rPr>
            </w:pPr>
            <w:r w:rsidRPr="00B33B1E">
              <w:rPr>
                <w:color w:val="000000"/>
                <w:sz w:val="20"/>
                <w:szCs w:val="20"/>
              </w:rPr>
              <w:t>758.30</w:t>
            </w:r>
          </w:p>
        </w:tc>
      </w:tr>
      <w:tr w:rsidR="005F7E0B" w:rsidRPr="005360DE" w14:paraId="2E949C25" w14:textId="77777777" w:rsidTr="005F7E0B">
        <w:tc>
          <w:tcPr>
            <w:tcW w:w="0" w:type="auto"/>
            <w:vAlign w:val="bottom"/>
          </w:tcPr>
          <w:p w14:paraId="0D8707AB" w14:textId="761F451F" w:rsidR="006D2ABA" w:rsidRPr="00B33B1E" w:rsidRDefault="006D2ABA" w:rsidP="006D2ABA">
            <w:pPr>
              <w:rPr>
                <w:rFonts w:cs="Times New Roman"/>
                <w:sz w:val="20"/>
                <w:szCs w:val="20"/>
              </w:rPr>
            </w:pPr>
            <w:r w:rsidRPr="00B33B1E">
              <w:rPr>
                <w:color w:val="000000"/>
                <w:sz w:val="20"/>
                <w:szCs w:val="20"/>
              </w:rPr>
              <w:t>Agricultural and inland waters biodiversity</w:t>
            </w:r>
          </w:p>
        </w:tc>
        <w:tc>
          <w:tcPr>
            <w:tcW w:w="0" w:type="auto"/>
            <w:vAlign w:val="bottom"/>
          </w:tcPr>
          <w:p w14:paraId="103DD156" w14:textId="40959B61" w:rsidR="006D2ABA" w:rsidRPr="00B33B1E" w:rsidRDefault="006D2ABA" w:rsidP="00B33B1E">
            <w:pPr>
              <w:jc w:val="right"/>
              <w:rPr>
                <w:rFonts w:cs="Times New Roman"/>
                <w:sz w:val="20"/>
                <w:szCs w:val="20"/>
              </w:rPr>
            </w:pPr>
            <w:r w:rsidRPr="00B33B1E">
              <w:rPr>
                <w:color w:val="000000"/>
                <w:sz w:val="20"/>
                <w:szCs w:val="20"/>
              </w:rPr>
              <w:t xml:space="preserve">135.60 </w:t>
            </w:r>
          </w:p>
        </w:tc>
      </w:tr>
      <w:tr w:rsidR="005F7E0B" w:rsidRPr="005360DE" w14:paraId="29D1B04C" w14:textId="77777777" w:rsidTr="005F7E0B">
        <w:tc>
          <w:tcPr>
            <w:tcW w:w="0" w:type="auto"/>
            <w:vAlign w:val="bottom"/>
          </w:tcPr>
          <w:p w14:paraId="1637115C" w14:textId="28AB9DE4" w:rsidR="006D2ABA" w:rsidRPr="00B33B1E" w:rsidRDefault="006D2ABA" w:rsidP="006D2ABA">
            <w:pPr>
              <w:rPr>
                <w:rFonts w:cs="Times New Roman"/>
                <w:sz w:val="20"/>
                <w:szCs w:val="20"/>
              </w:rPr>
            </w:pPr>
            <w:r w:rsidRPr="00B33B1E">
              <w:rPr>
                <w:color w:val="000000"/>
                <w:sz w:val="20"/>
                <w:szCs w:val="20"/>
              </w:rPr>
              <w:t>Biosafety</w:t>
            </w:r>
          </w:p>
        </w:tc>
        <w:tc>
          <w:tcPr>
            <w:tcW w:w="0" w:type="auto"/>
            <w:vAlign w:val="bottom"/>
          </w:tcPr>
          <w:p w14:paraId="59A1A8B3" w14:textId="69FDF787" w:rsidR="006D2ABA" w:rsidRPr="00B33B1E" w:rsidRDefault="006D2ABA" w:rsidP="00B33B1E">
            <w:pPr>
              <w:jc w:val="right"/>
              <w:rPr>
                <w:rFonts w:cs="Times New Roman"/>
                <w:sz w:val="20"/>
                <w:szCs w:val="20"/>
              </w:rPr>
            </w:pPr>
            <w:r w:rsidRPr="00B33B1E">
              <w:rPr>
                <w:color w:val="000000"/>
                <w:sz w:val="20"/>
                <w:szCs w:val="20"/>
              </w:rPr>
              <w:t xml:space="preserve">623.30 </w:t>
            </w:r>
          </w:p>
        </w:tc>
      </w:tr>
      <w:tr w:rsidR="005F7E0B" w:rsidRPr="005360DE" w14:paraId="2E5E1792" w14:textId="77777777" w:rsidTr="005F7E0B">
        <w:tc>
          <w:tcPr>
            <w:tcW w:w="0" w:type="auto"/>
            <w:vAlign w:val="bottom"/>
          </w:tcPr>
          <w:p w14:paraId="6C652235" w14:textId="4F0DE084" w:rsidR="006D2ABA" w:rsidRPr="00B33B1E" w:rsidRDefault="006D2ABA" w:rsidP="006D2ABA">
            <w:pPr>
              <w:rPr>
                <w:rFonts w:cs="Times New Roman"/>
                <w:sz w:val="20"/>
                <w:szCs w:val="20"/>
              </w:rPr>
            </w:pPr>
            <w:r w:rsidRPr="00B33B1E">
              <w:rPr>
                <w:color w:val="000000"/>
                <w:sz w:val="20"/>
                <w:szCs w:val="20"/>
              </w:rPr>
              <w:t>Capacity</w:t>
            </w:r>
            <w:r w:rsidR="001E6517" w:rsidRPr="00B33B1E">
              <w:rPr>
                <w:color w:val="000000"/>
                <w:sz w:val="20"/>
                <w:szCs w:val="20"/>
              </w:rPr>
              <w:t>-</w:t>
            </w:r>
            <w:r w:rsidRPr="00B33B1E">
              <w:rPr>
                <w:color w:val="000000"/>
                <w:sz w:val="20"/>
                <w:szCs w:val="20"/>
              </w:rPr>
              <w:t>building and development</w:t>
            </w:r>
          </w:p>
        </w:tc>
        <w:tc>
          <w:tcPr>
            <w:tcW w:w="0" w:type="auto"/>
            <w:vAlign w:val="bottom"/>
          </w:tcPr>
          <w:p w14:paraId="7EDE39D8" w14:textId="774E6806" w:rsidR="006D2ABA" w:rsidRPr="00B33B1E" w:rsidRDefault="006D2ABA" w:rsidP="00B33B1E">
            <w:pPr>
              <w:jc w:val="right"/>
              <w:rPr>
                <w:rFonts w:cs="Times New Roman"/>
                <w:sz w:val="20"/>
                <w:szCs w:val="20"/>
              </w:rPr>
            </w:pPr>
            <w:r w:rsidRPr="00B33B1E">
              <w:rPr>
                <w:color w:val="000000"/>
                <w:sz w:val="20"/>
                <w:szCs w:val="20"/>
              </w:rPr>
              <w:t xml:space="preserve">248.60 </w:t>
            </w:r>
          </w:p>
        </w:tc>
      </w:tr>
      <w:tr w:rsidR="005F7E0B" w:rsidRPr="005360DE" w14:paraId="5B31BEDA" w14:textId="77777777" w:rsidTr="005F7E0B">
        <w:tc>
          <w:tcPr>
            <w:tcW w:w="0" w:type="auto"/>
            <w:vAlign w:val="bottom"/>
          </w:tcPr>
          <w:p w14:paraId="6F82D2BA" w14:textId="35F0DF0B" w:rsidR="006D2ABA" w:rsidRPr="00B33B1E" w:rsidRDefault="006D2ABA" w:rsidP="006D2ABA">
            <w:pPr>
              <w:rPr>
                <w:rFonts w:cs="Times New Roman"/>
                <w:sz w:val="20"/>
                <w:szCs w:val="20"/>
              </w:rPr>
            </w:pPr>
            <w:r w:rsidRPr="00B33B1E">
              <w:rPr>
                <w:color w:val="000000"/>
                <w:sz w:val="20"/>
                <w:szCs w:val="20"/>
              </w:rPr>
              <w:t>Knowledge management</w:t>
            </w:r>
          </w:p>
        </w:tc>
        <w:tc>
          <w:tcPr>
            <w:tcW w:w="0" w:type="auto"/>
            <w:vAlign w:val="bottom"/>
          </w:tcPr>
          <w:p w14:paraId="08DB2BF3" w14:textId="717F7779" w:rsidR="006D2ABA" w:rsidRPr="00B33B1E" w:rsidRDefault="006D2ABA" w:rsidP="00B33B1E">
            <w:pPr>
              <w:jc w:val="right"/>
              <w:rPr>
                <w:rFonts w:cs="Times New Roman"/>
                <w:sz w:val="20"/>
                <w:szCs w:val="20"/>
              </w:rPr>
            </w:pPr>
            <w:r w:rsidRPr="00B33B1E">
              <w:rPr>
                <w:color w:val="000000"/>
                <w:sz w:val="20"/>
                <w:szCs w:val="20"/>
              </w:rPr>
              <w:t xml:space="preserve">349.90 </w:t>
            </w:r>
          </w:p>
        </w:tc>
      </w:tr>
      <w:tr w:rsidR="005F7E0B" w:rsidRPr="005360DE" w14:paraId="7508790B" w14:textId="77777777" w:rsidTr="005F7E0B">
        <w:tc>
          <w:tcPr>
            <w:tcW w:w="0" w:type="auto"/>
            <w:vAlign w:val="bottom"/>
          </w:tcPr>
          <w:p w14:paraId="1E73862B" w14:textId="19E74214" w:rsidR="006D2ABA" w:rsidRPr="00B33B1E" w:rsidRDefault="006D2ABA" w:rsidP="006D2ABA">
            <w:pPr>
              <w:rPr>
                <w:rFonts w:cs="Times New Roman"/>
                <w:sz w:val="20"/>
                <w:szCs w:val="20"/>
              </w:rPr>
            </w:pPr>
            <w:r w:rsidRPr="00B33B1E">
              <w:rPr>
                <w:color w:val="000000"/>
                <w:sz w:val="20"/>
                <w:szCs w:val="20"/>
              </w:rPr>
              <w:t>Stakeholder engagement</w:t>
            </w:r>
          </w:p>
        </w:tc>
        <w:tc>
          <w:tcPr>
            <w:tcW w:w="0" w:type="auto"/>
            <w:vAlign w:val="bottom"/>
          </w:tcPr>
          <w:p w14:paraId="50EED259" w14:textId="44C00ECF" w:rsidR="006D2ABA" w:rsidRPr="00B33B1E" w:rsidRDefault="006D2ABA" w:rsidP="00B33B1E">
            <w:pPr>
              <w:jc w:val="right"/>
              <w:rPr>
                <w:rFonts w:cs="Times New Roman"/>
                <w:sz w:val="20"/>
                <w:szCs w:val="20"/>
              </w:rPr>
            </w:pPr>
            <w:r w:rsidRPr="00B33B1E">
              <w:rPr>
                <w:color w:val="000000"/>
                <w:sz w:val="20"/>
                <w:szCs w:val="20"/>
              </w:rPr>
              <w:t xml:space="preserve">470.00 </w:t>
            </w:r>
          </w:p>
        </w:tc>
      </w:tr>
      <w:tr w:rsidR="005F7E0B" w:rsidRPr="005360DE" w14:paraId="387826C4" w14:textId="77777777" w:rsidTr="005F7E0B">
        <w:tc>
          <w:tcPr>
            <w:tcW w:w="0" w:type="auto"/>
            <w:vAlign w:val="bottom"/>
          </w:tcPr>
          <w:p w14:paraId="1759FA74" w14:textId="22868606" w:rsidR="006D2ABA" w:rsidRPr="00B33B1E" w:rsidRDefault="006D2ABA" w:rsidP="006D2ABA">
            <w:pPr>
              <w:rPr>
                <w:rFonts w:cs="Times New Roman"/>
                <w:sz w:val="20"/>
                <w:szCs w:val="20"/>
              </w:rPr>
            </w:pPr>
            <w:r w:rsidRPr="00B33B1E">
              <w:rPr>
                <w:color w:val="000000"/>
                <w:sz w:val="20"/>
                <w:szCs w:val="20"/>
              </w:rPr>
              <w:t>Climate change</w:t>
            </w:r>
          </w:p>
        </w:tc>
        <w:tc>
          <w:tcPr>
            <w:tcW w:w="0" w:type="auto"/>
            <w:vAlign w:val="bottom"/>
          </w:tcPr>
          <w:p w14:paraId="71E9FC12" w14:textId="1A235612" w:rsidR="006D2ABA" w:rsidRPr="00B33B1E" w:rsidRDefault="006D2ABA" w:rsidP="00B33B1E">
            <w:pPr>
              <w:jc w:val="right"/>
              <w:rPr>
                <w:rFonts w:cs="Times New Roman"/>
                <w:sz w:val="20"/>
                <w:szCs w:val="20"/>
              </w:rPr>
            </w:pPr>
            <w:r w:rsidRPr="00B33B1E">
              <w:rPr>
                <w:color w:val="000000"/>
                <w:sz w:val="20"/>
                <w:szCs w:val="20"/>
              </w:rPr>
              <w:t xml:space="preserve">200.00 </w:t>
            </w:r>
          </w:p>
        </w:tc>
      </w:tr>
      <w:tr w:rsidR="005F7E0B" w:rsidRPr="005360DE" w14:paraId="29DD2F78" w14:textId="77777777" w:rsidTr="005F7E0B">
        <w:tc>
          <w:tcPr>
            <w:tcW w:w="0" w:type="auto"/>
            <w:vAlign w:val="bottom"/>
          </w:tcPr>
          <w:p w14:paraId="3FB096CA" w14:textId="1DD0633B" w:rsidR="006D2ABA" w:rsidRPr="00B33B1E" w:rsidRDefault="006D2ABA" w:rsidP="00B33B1E">
            <w:pPr>
              <w:jc w:val="left"/>
              <w:rPr>
                <w:rFonts w:cs="Times New Roman"/>
                <w:sz w:val="20"/>
                <w:szCs w:val="20"/>
              </w:rPr>
            </w:pPr>
            <w:r w:rsidRPr="00B33B1E">
              <w:rPr>
                <w:color w:val="000000"/>
                <w:sz w:val="20"/>
                <w:szCs w:val="20"/>
              </w:rPr>
              <w:t>Digital sequence information on genetic resources</w:t>
            </w:r>
          </w:p>
        </w:tc>
        <w:tc>
          <w:tcPr>
            <w:tcW w:w="0" w:type="auto"/>
            <w:vAlign w:val="bottom"/>
          </w:tcPr>
          <w:p w14:paraId="74959760" w14:textId="55E58D43" w:rsidR="006D2ABA" w:rsidRPr="00B33B1E" w:rsidRDefault="006D2ABA" w:rsidP="00B33B1E">
            <w:pPr>
              <w:jc w:val="right"/>
              <w:rPr>
                <w:rFonts w:cs="Times New Roman"/>
                <w:sz w:val="20"/>
                <w:szCs w:val="20"/>
              </w:rPr>
            </w:pPr>
            <w:r w:rsidRPr="00B33B1E">
              <w:rPr>
                <w:color w:val="000000"/>
                <w:sz w:val="20"/>
                <w:szCs w:val="20"/>
              </w:rPr>
              <w:t>1</w:t>
            </w:r>
            <w:r w:rsidR="00C7644C">
              <w:rPr>
                <w:color w:val="000000"/>
                <w:sz w:val="20"/>
                <w:szCs w:val="20"/>
              </w:rPr>
              <w:t> </w:t>
            </w:r>
            <w:r w:rsidRPr="00B33B1E">
              <w:rPr>
                <w:color w:val="000000"/>
                <w:sz w:val="20"/>
                <w:szCs w:val="20"/>
              </w:rPr>
              <w:t xml:space="preserve">569.40 </w:t>
            </w:r>
          </w:p>
        </w:tc>
      </w:tr>
      <w:tr w:rsidR="005F7E0B" w:rsidRPr="005360DE" w14:paraId="7058F5C8" w14:textId="77777777" w:rsidTr="005F7E0B">
        <w:tc>
          <w:tcPr>
            <w:tcW w:w="0" w:type="auto"/>
            <w:vAlign w:val="bottom"/>
          </w:tcPr>
          <w:p w14:paraId="66AF099D" w14:textId="5E7B9A1C" w:rsidR="006D2ABA" w:rsidRPr="00B33B1E" w:rsidRDefault="006D2ABA" w:rsidP="006D2ABA">
            <w:pPr>
              <w:rPr>
                <w:rFonts w:cs="Times New Roman"/>
                <w:sz w:val="20"/>
                <w:szCs w:val="20"/>
              </w:rPr>
            </w:pPr>
            <w:r w:rsidRPr="00B33B1E">
              <w:rPr>
                <w:color w:val="000000"/>
                <w:sz w:val="20"/>
                <w:szCs w:val="20"/>
              </w:rPr>
              <w:lastRenderedPageBreak/>
              <w:t>Resource mobilization</w:t>
            </w:r>
          </w:p>
        </w:tc>
        <w:tc>
          <w:tcPr>
            <w:tcW w:w="0" w:type="auto"/>
            <w:vAlign w:val="bottom"/>
          </w:tcPr>
          <w:p w14:paraId="6410B768" w14:textId="47E16333" w:rsidR="006D2ABA" w:rsidRPr="00B33B1E" w:rsidRDefault="006D2ABA" w:rsidP="00B33B1E">
            <w:pPr>
              <w:jc w:val="right"/>
              <w:rPr>
                <w:rFonts w:cs="Times New Roman"/>
                <w:sz w:val="20"/>
                <w:szCs w:val="20"/>
              </w:rPr>
            </w:pPr>
            <w:r w:rsidRPr="00B33B1E">
              <w:rPr>
                <w:color w:val="000000"/>
                <w:sz w:val="20"/>
                <w:szCs w:val="20"/>
              </w:rPr>
              <w:t xml:space="preserve">706.20 </w:t>
            </w:r>
          </w:p>
        </w:tc>
      </w:tr>
      <w:tr w:rsidR="005F7E0B" w:rsidRPr="005360DE" w14:paraId="12F9799D" w14:textId="77777777" w:rsidTr="005F7E0B">
        <w:tc>
          <w:tcPr>
            <w:tcW w:w="0" w:type="auto"/>
            <w:tcBorders>
              <w:bottom w:val="single" w:sz="12" w:space="0" w:color="auto"/>
            </w:tcBorders>
            <w:vAlign w:val="bottom"/>
          </w:tcPr>
          <w:p w14:paraId="4AACADCA" w14:textId="46D40F8B" w:rsidR="006D2ABA" w:rsidRPr="00B33B1E" w:rsidRDefault="006D2ABA" w:rsidP="006D2ABA">
            <w:pPr>
              <w:rPr>
                <w:rFonts w:cs="Times New Roman"/>
                <w:sz w:val="20"/>
                <w:szCs w:val="20"/>
              </w:rPr>
            </w:pPr>
            <w:r w:rsidRPr="00B33B1E">
              <w:rPr>
                <w:color w:val="000000"/>
                <w:sz w:val="20"/>
                <w:szCs w:val="20"/>
              </w:rPr>
              <w:t>Marine and coastal biodiversity</w:t>
            </w:r>
          </w:p>
        </w:tc>
        <w:tc>
          <w:tcPr>
            <w:tcW w:w="0" w:type="auto"/>
            <w:tcBorders>
              <w:bottom w:val="single" w:sz="12" w:space="0" w:color="auto"/>
            </w:tcBorders>
            <w:vAlign w:val="bottom"/>
          </w:tcPr>
          <w:p w14:paraId="5D9407BB" w14:textId="6C6F6FD3" w:rsidR="006D2ABA" w:rsidRPr="00B33B1E" w:rsidRDefault="006D2ABA" w:rsidP="00B33B1E">
            <w:pPr>
              <w:jc w:val="right"/>
              <w:rPr>
                <w:rFonts w:cs="Times New Roman"/>
                <w:sz w:val="20"/>
                <w:szCs w:val="20"/>
              </w:rPr>
            </w:pPr>
            <w:r w:rsidRPr="00B33B1E">
              <w:rPr>
                <w:color w:val="000000"/>
                <w:sz w:val="20"/>
                <w:szCs w:val="20"/>
              </w:rPr>
              <w:t xml:space="preserve">956.00 </w:t>
            </w:r>
          </w:p>
        </w:tc>
      </w:tr>
      <w:tr w:rsidR="005F7E0B" w:rsidRPr="005360DE" w14:paraId="6A17EDC3" w14:textId="77777777" w:rsidTr="005F7E0B">
        <w:tc>
          <w:tcPr>
            <w:tcW w:w="0" w:type="auto"/>
            <w:tcBorders>
              <w:top w:val="single" w:sz="12" w:space="0" w:color="auto"/>
              <w:bottom w:val="single" w:sz="12" w:space="0" w:color="auto"/>
            </w:tcBorders>
            <w:vAlign w:val="bottom"/>
          </w:tcPr>
          <w:p w14:paraId="2CEF0E80" w14:textId="6F1FBA6F" w:rsidR="006D2ABA" w:rsidRPr="00B33B1E" w:rsidRDefault="002B7FF0" w:rsidP="006D2ABA">
            <w:pPr>
              <w:rPr>
                <w:rFonts w:cs="Times New Roman"/>
                <w:sz w:val="20"/>
                <w:szCs w:val="20"/>
              </w:rPr>
            </w:pPr>
            <w:r>
              <w:rPr>
                <w:b/>
                <w:bCs/>
                <w:color w:val="000000"/>
                <w:sz w:val="20"/>
                <w:szCs w:val="20"/>
              </w:rPr>
              <w:tab/>
            </w:r>
            <w:r w:rsidR="006D2ABA" w:rsidRPr="00B33B1E">
              <w:rPr>
                <w:b/>
                <w:bCs/>
                <w:color w:val="000000"/>
                <w:sz w:val="20"/>
                <w:szCs w:val="20"/>
              </w:rPr>
              <w:t>Total</w:t>
            </w:r>
          </w:p>
        </w:tc>
        <w:tc>
          <w:tcPr>
            <w:tcW w:w="0" w:type="auto"/>
            <w:tcBorders>
              <w:top w:val="single" w:sz="12" w:space="0" w:color="auto"/>
              <w:bottom w:val="single" w:sz="12" w:space="0" w:color="auto"/>
            </w:tcBorders>
            <w:vAlign w:val="bottom"/>
          </w:tcPr>
          <w:p w14:paraId="6A0C0490" w14:textId="602F024C" w:rsidR="006D2ABA" w:rsidRPr="00B33B1E" w:rsidRDefault="006D2ABA" w:rsidP="00B33B1E">
            <w:pPr>
              <w:jc w:val="right"/>
              <w:rPr>
                <w:rFonts w:cs="Times New Roman"/>
                <w:sz w:val="20"/>
                <w:szCs w:val="20"/>
              </w:rPr>
            </w:pPr>
            <w:r w:rsidRPr="00B33B1E">
              <w:rPr>
                <w:b/>
                <w:bCs/>
                <w:color w:val="000000"/>
                <w:sz w:val="20"/>
                <w:szCs w:val="20"/>
              </w:rPr>
              <w:t>7</w:t>
            </w:r>
            <w:r w:rsidR="00C7644C">
              <w:rPr>
                <w:b/>
                <w:bCs/>
                <w:color w:val="000000"/>
                <w:sz w:val="20"/>
                <w:szCs w:val="20"/>
              </w:rPr>
              <w:t> </w:t>
            </w:r>
            <w:r w:rsidRPr="00B33B1E">
              <w:rPr>
                <w:b/>
                <w:bCs/>
                <w:color w:val="000000"/>
                <w:sz w:val="20"/>
                <w:szCs w:val="20"/>
              </w:rPr>
              <w:t>273.30</w:t>
            </w:r>
          </w:p>
        </w:tc>
      </w:tr>
    </w:tbl>
    <w:p w14:paraId="78244C59" w14:textId="0CE9BE85" w:rsidR="000D4DA8" w:rsidRPr="00DF161A" w:rsidRDefault="000D4DA8" w:rsidP="00B33B1E">
      <w:pPr>
        <w:pStyle w:val="Heading2"/>
        <w:numPr>
          <w:ilvl w:val="0"/>
          <w:numId w:val="11"/>
        </w:numPr>
        <w:suppressLineNumbers/>
        <w:suppressAutoHyphens/>
        <w:kinsoku w:val="0"/>
        <w:overflowPunct w:val="0"/>
        <w:autoSpaceDE w:val="0"/>
        <w:autoSpaceDN w:val="0"/>
        <w:adjustRightInd w:val="0"/>
        <w:snapToGrid w:val="0"/>
        <w:spacing w:before="240"/>
        <w:ind w:left="567" w:hanging="567"/>
        <w:jc w:val="left"/>
        <w:rPr>
          <w:rFonts w:eastAsia="Malgun Gothic"/>
          <w:iCs/>
          <w:snapToGrid w:val="0"/>
          <w:kern w:val="22"/>
          <w:szCs w:val="22"/>
          <w:lang w:eastAsia="ko-KR"/>
        </w:rPr>
      </w:pPr>
      <w:r w:rsidRPr="00DF161A">
        <w:rPr>
          <w:rFonts w:eastAsia="Malgun Gothic"/>
          <w:snapToGrid w:val="0"/>
          <w:kern w:val="22"/>
          <w:szCs w:val="22"/>
        </w:rPr>
        <w:t xml:space="preserve">General </w:t>
      </w:r>
      <w:r w:rsidR="00456CD4">
        <w:rPr>
          <w:rFonts w:eastAsia="Malgun Gothic"/>
          <w:snapToGrid w:val="0"/>
          <w:kern w:val="22"/>
          <w:szCs w:val="22"/>
        </w:rPr>
        <w:t>t</w:t>
      </w:r>
      <w:r w:rsidRPr="00B33B1E">
        <w:rPr>
          <w:rFonts w:eastAsia="Malgun Gothic"/>
          <w:snapToGrid w:val="0"/>
          <w:kern w:val="22"/>
          <w:szCs w:val="22"/>
        </w:rPr>
        <w:t xml:space="preserve">rust </w:t>
      </w:r>
      <w:r w:rsidR="00456CD4">
        <w:rPr>
          <w:rFonts w:eastAsia="Malgun Gothic"/>
          <w:snapToGrid w:val="0"/>
          <w:kern w:val="22"/>
          <w:szCs w:val="22"/>
        </w:rPr>
        <w:t>f</w:t>
      </w:r>
      <w:r w:rsidRPr="00B33B1E">
        <w:rPr>
          <w:rFonts w:eastAsia="Malgun Gothic"/>
          <w:snapToGrid w:val="0"/>
          <w:kern w:val="22"/>
          <w:szCs w:val="22"/>
        </w:rPr>
        <w:t>und</w:t>
      </w:r>
      <w:r w:rsidRPr="00DF161A">
        <w:rPr>
          <w:rFonts w:eastAsia="Malgun Gothic"/>
          <w:snapToGrid w:val="0"/>
          <w:kern w:val="22"/>
          <w:szCs w:val="22"/>
        </w:rPr>
        <w:t xml:space="preserve"> for </w:t>
      </w:r>
      <w:r w:rsidR="00456CD4">
        <w:rPr>
          <w:rFonts w:eastAsia="Malgun Gothic"/>
          <w:snapToGrid w:val="0"/>
          <w:kern w:val="22"/>
          <w:szCs w:val="22"/>
        </w:rPr>
        <w:t>v</w:t>
      </w:r>
      <w:r w:rsidRPr="00DF161A">
        <w:rPr>
          <w:rFonts w:eastAsia="Malgun Gothic"/>
          <w:snapToGrid w:val="0"/>
          <w:kern w:val="22"/>
          <w:szCs w:val="22"/>
        </w:rPr>
        <w:t xml:space="preserve">oluntary </w:t>
      </w:r>
      <w:r w:rsidR="00456CD4">
        <w:rPr>
          <w:rFonts w:eastAsia="Malgun Gothic"/>
          <w:snapToGrid w:val="0"/>
          <w:kern w:val="22"/>
          <w:szCs w:val="22"/>
        </w:rPr>
        <w:t>c</w:t>
      </w:r>
      <w:r w:rsidRPr="00DF161A">
        <w:rPr>
          <w:rFonts w:eastAsia="Malgun Gothic"/>
          <w:snapToGrid w:val="0"/>
          <w:kern w:val="22"/>
          <w:szCs w:val="22"/>
        </w:rPr>
        <w:t xml:space="preserve">ontributions to </w:t>
      </w:r>
      <w:r w:rsidR="00456CD4">
        <w:rPr>
          <w:rFonts w:eastAsia="Malgun Gothic"/>
          <w:snapToGrid w:val="0"/>
          <w:kern w:val="22"/>
          <w:szCs w:val="22"/>
        </w:rPr>
        <w:t>f</w:t>
      </w:r>
      <w:r w:rsidRPr="00DF161A">
        <w:rPr>
          <w:rFonts w:eastAsia="Malgun Gothic"/>
          <w:snapToGrid w:val="0"/>
          <w:kern w:val="22"/>
          <w:szCs w:val="22"/>
        </w:rPr>
        <w:t xml:space="preserve">acilitate the </w:t>
      </w:r>
      <w:r w:rsidR="00456CD4">
        <w:rPr>
          <w:rFonts w:eastAsia="Malgun Gothic"/>
          <w:snapToGrid w:val="0"/>
          <w:kern w:val="22"/>
          <w:szCs w:val="22"/>
        </w:rPr>
        <w:t>p</w:t>
      </w:r>
      <w:r w:rsidRPr="00DF161A">
        <w:rPr>
          <w:rFonts w:eastAsia="Malgun Gothic"/>
          <w:snapToGrid w:val="0"/>
          <w:kern w:val="22"/>
          <w:szCs w:val="22"/>
        </w:rPr>
        <w:t xml:space="preserve">articipation of </w:t>
      </w:r>
      <w:r w:rsidR="00456CD4">
        <w:rPr>
          <w:rFonts w:eastAsia="Malgun Gothic"/>
          <w:snapToGrid w:val="0"/>
          <w:kern w:val="22"/>
          <w:szCs w:val="22"/>
          <w:lang w:eastAsia="ko-KR"/>
        </w:rPr>
        <w:t>i</w:t>
      </w:r>
      <w:r w:rsidRPr="00DF161A">
        <w:rPr>
          <w:rFonts w:eastAsia="Malgun Gothic"/>
          <w:snapToGrid w:val="0"/>
          <w:kern w:val="22"/>
          <w:szCs w:val="22"/>
          <w:lang w:eastAsia="ko-KR"/>
        </w:rPr>
        <w:t xml:space="preserve">ndigenous </w:t>
      </w:r>
      <w:r w:rsidR="00456CD4">
        <w:rPr>
          <w:rFonts w:eastAsia="Malgun Gothic"/>
          <w:snapToGrid w:val="0"/>
          <w:kern w:val="22"/>
          <w:szCs w:val="22"/>
          <w:lang w:eastAsia="ko-KR"/>
        </w:rPr>
        <w:t>p</w:t>
      </w:r>
      <w:r w:rsidRPr="00DF161A">
        <w:rPr>
          <w:rFonts w:eastAsia="Malgun Gothic"/>
          <w:snapToGrid w:val="0"/>
          <w:kern w:val="22"/>
          <w:szCs w:val="22"/>
          <w:lang w:eastAsia="ko-KR"/>
        </w:rPr>
        <w:t xml:space="preserve">eoples and </w:t>
      </w:r>
      <w:r w:rsidR="00456CD4">
        <w:rPr>
          <w:rFonts w:eastAsia="Malgun Gothic"/>
          <w:snapToGrid w:val="0"/>
          <w:kern w:val="22"/>
          <w:szCs w:val="22"/>
          <w:lang w:eastAsia="ko-KR"/>
        </w:rPr>
        <w:t>l</w:t>
      </w:r>
      <w:r w:rsidRPr="00DF161A">
        <w:rPr>
          <w:rFonts w:eastAsia="Malgun Gothic"/>
          <w:snapToGrid w:val="0"/>
          <w:kern w:val="22"/>
          <w:szCs w:val="22"/>
          <w:lang w:eastAsia="ko-KR"/>
        </w:rPr>
        <w:t xml:space="preserve">ocal </w:t>
      </w:r>
      <w:r w:rsidR="00456CD4">
        <w:rPr>
          <w:rFonts w:eastAsia="Malgun Gothic"/>
          <w:snapToGrid w:val="0"/>
          <w:kern w:val="22"/>
          <w:szCs w:val="22"/>
          <w:lang w:eastAsia="ko-KR"/>
        </w:rPr>
        <w:t>c</w:t>
      </w:r>
      <w:r w:rsidRPr="00DF161A">
        <w:rPr>
          <w:rFonts w:eastAsia="Malgun Gothic"/>
          <w:snapToGrid w:val="0"/>
          <w:kern w:val="22"/>
          <w:szCs w:val="22"/>
          <w:lang w:eastAsia="ko-KR"/>
        </w:rPr>
        <w:t>ommunities (</w:t>
      </w:r>
      <w:r w:rsidRPr="00B33B1E">
        <w:rPr>
          <w:rFonts w:eastAsia="Malgun Gothic"/>
          <w:snapToGrid w:val="0"/>
          <w:kern w:val="22"/>
          <w:szCs w:val="22"/>
          <w:lang w:eastAsia="ko-KR"/>
        </w:rPr>
        <w:t>VB</w:t>
      </w:r>
      <w:r w:rsidRPr="00DF161A">
        <w:rPr>
          <w:rFonts w:eastAsia="Malgun Gothic"/>
          <w:snapToGrid w:val="0"/>
          <w:kern w:val="22"/>
          <w:szCs w:val="22"/>
          <w:lang w:eastAsia="ko-KR"/>
        </w:rPr>
        <w:t xml:space="preserve">) for the period </w:t>
      </w:r>
      <w:r w:rsidR="00485648" w:rsidRPr="00DF161A">
        <w:rPr>
          <w:rFonts w:eastAsia="Malgun Gothic"/>
          <w:snapToGrid w:val="0"/>
          <w:kern w:val="22"/>
          <w:szCs w:val="22"/>
          <w:lang w:eastAsia="ko-KR"/>
        </w:rPr>
        <w:t>202</w:t>
      </w:r>
      <w:r w:rsidR="00485648" w:rsidRPr="00B33B1E">
        <w:rPr>
          <w:rFonts w:eastAsia="Malgun Gothic"/>
          <w:snapToGrid w:val="0"/>
          <w:kern w:val="22"/>
          <w:szCs w:val="22"/>
          <w:lang w:eastAsia="ko-KR"/>
        </w:rPr>
        <w:t>3</w:t>
      </w:r>
      <w:r w:rsidR="00DF161A" w:rsidRPr="00DF161A">
        <w:t>–</w:t>
      </w:r>
      <w:r w:rsidR="00485648" w:rsidRPr="00B33B1E">
        <w:rPr>
          <w:rFonts w:eastAsia="Malgun Gothic"/>
          <w:snapToGrid w:val="0"/>
          <w:kern w:val="22"/>
          <w:szCs w:val="22"/>
          <w:lang w:eastAsia="ko-KR"/>
        </w:rPr>
        <w:t>2</w:t>
      </w:r>
      <w:r w:rsidR="00485648" w:rsidRPr="00DF161A">
        <w:rPr>
          <w:rFonts w:eastAsia="Malgun Gothic"/>
          <w:snapToGrid w:val="0"/>
          <w:kern w:val="22"/>
          <w:szCs w:val="22"/>
          <w:lang w:eastAsia="ko-KR"/>
        </w:rPr>
        <w:t>024</w:t>
      </w:r>
    </w:p>
    <w:p w14:paraId="2EDEEB40" w14:textId="0F384C2B" w:rsidR="000D4DA8" w:rsidRPr="00DF161A" w:rsidRDefault="000D4DA8" w:rsidP="00FE7DD7">
      <w:pPr>
        <w:pStyle w:val="Para10"/>
      </w:pPr>
      <w:r w:rsidRPr="00BF6BF7">
        <w:t xml:space="preserve">The Conference </w:t>
      </w:r>
      <w:r w:rsidRPr="00DF161A">
        <w:t xml:space="preserve">of the Parties and </w:t>
      </w:r>
      <w:r w:rsidR="006C6BA4" w:rsidRPr="00DF161A">
        <w:t>the Conference of the Parties serving as the</w:t>
      </w:r>
      <w:r w:rsidRPr="00DF161A">
        <w:t xml:space="preserve"> meeting</w:t>
      </w:r>
      <w:r w:rsidR="007D7889" w:rsidRPr="00DF161A">
        <w:t>s</w:t>
      </w:r>
      <w:r w:rsidRPr="00DF161A">
        <w:t xml:space="preserve"> of the Parties </w:t>
      </w:r>
      <w:r w:rsidR="00A40935" w:rsidRPr="00DF161A">
        <w:t xml:space="preserve">to </w:t>
      </w:r>
      <w:r w:rsidRPr="00DF161A">
        <w:t xml:space="preserve">the </w:t>
      </w:r>
      <w:r w:rsidR="00A40935" w:rsidRPr="00DF161A">
        <w:t>P</w:t>
      </w:r>
      <w:r w:rsidRPr="00DF161A">
        <w:t>rotocols acknowledge</w:t>
      </w:r>
      <w:r w:rsidR="00320D9B" w:rsidRPr="00DF161A">
        <w:t>d</w:t>
      </w:r>
      <w:r w:rsidRPr="00DF161A">
        <w:t xml:space="preserve"> funding estimates of</w:t>
      </w:r>
      <w:r w:rsidRPr="00B33B1E">
        <w:t xml:space="preserve"> $</w:t>
      </w:r>
      <w:r w:rsidR="000D34B4" w:rsidRPr="00DF161A">
        <w:t>895,400</w:t>
      </w:r>
      <w:r w:rsidRPr="00DF161A">
        <w:t xml:space="preserve"> for the </w:t>
      </w:r>
      <w:r w:rsidR="00382109">
        <w:t>g</w:t>
      </w:r>
      <w:r w:rsidRPr="00DF161A">
        <w:t xml:space="preserve">eneral </w:t>
      </w:r>
      <w:r w:rsidR="00C20098">
        <w:t>t</w:t>
      </w:r>
      <w:r w:rsidRPr="00B33B1E">
        <w:t xml:space="preserve">rust </w:t>
      </w:r>
      <w:r w:rsidR="00382109">
        <w:t>f</w:t>
      </w:r>
      <w:r w:rsidRPr="00B33B1E">
        <w:t>und</w:t>
      </w:r>
      <w:r w:rsidRPr="00DF161A">
        <w:t xml:space="preserve"> (</w:t>
      </w:r>
      <w:r w:rsidRPr="00B33B1E">
        <w:t>VB</w:t>
      </w:r>
      <w:r w:rsidR="00BF22AD">
        <w:t> </w:t>
      </w:r>
      <w:r w:rsidR="001D6C5E">
        <w:t>trust fund</w:t>
      </w:r>
      <w:r w:rsidRPr="00DF161A">
        <w:t xml:space="preserve">) for </w:t>
      </w:r>
      <w:r w:rsidR="00382109">
        <w:t>v</w:t>
      </w:r>
      <w:r w:rsidRPr="00DF161A">
        <w:t xml:space="preserve">oluntary </w:t>
      </w:r>
      <w:r w:rsidR="00382109">
        <w:t>c</w:t>
      </w:r>
      <w:r w:rsidRPr="00DF161A">
        <w:t xml:space="preserve">ontributions to </w:t>
      </w:r>
      <w:r w:rsidR="00382109">
        <w:t>f</w:t>
      </w:r>
      <w:r w:rsidRPr="00DF161A">
        <w:t xml:space="preserve">acilitate the </w:t>
      </w:r>
      <w:r w:rsidR="00382109">
        <w:t>p</w:t>
      </w:r>
      <w:r w:rsidRPr="00DF161A">
        <w:t xml:space="preserve">articipation of </w:t>
      </w:r>
      <w:r w:rsidR="00382109">
        <w:t>i</w:t>
      </w:r>
      <w:r w:rsidRPr="00DF161A">
        <w:t xml:space="preserve">ndigenous </w:t>
      </w:r>
      <w:r w:rsidR="00382109">
        <w:t>p</w:t>
      </w:r>
      <w:r w:rsidRPr="00DF161A">
        <w:t xml:space="preserve">eoples and </w:t>
      </w:r>
      <w:r w:rsidR="00382109">
        <w:t>l</w:t>
      </w:r>
      <w:r w:rsidRPr="00DF161A">
        <w:t xml:space="preserve">ocal </w:t>
      </w:r>
      <w:r w:rsidR="00382109">
        <w:t>c</w:t>
      </w:r>
      <w:r w:rsidRPr="00DF161A">
        <w:t>ommunities</w:t>
      </w:r>
      <w:r w:rsidR="007D7889" w:rsidRPr="00DF161A">
        <w:t xml:space="preserve"> for the period 202</w:t>
      </w:r>
      <w:r w:rsidR="007D7889" w:rsidRPr="00B33B1E">
        <w:t>3</w:t>
      </w:r>
      <w:r w:rsidR="00DF161A" w:rsidRPr="00DF161A">
        <w:t>–</w:t>
      </w:r>
      <w:r w:rsidR="007D7889" w:rsidRPr="00B33B1E">
        <w:t>2</w:t>
      </w:r>
      <w:r w:rsidR="007D7889" w:rsidRPr="00DF161A">
        <w:t>024</w:t>
      </w:r>
      <w:r w:rsidRPr="00DF161A">
        <w:t>.</w:t>
      </w:r>
    </w:p>
    <w:p w14:paraId="38F3D3E9" w14:textId="58033B0C" w:rsidR="000D4DA8" w:rsidRPr="00DF161A" w:rsidRDefault="009F43A8" w:rsidP="00FE7DD7">
      <w:pPr>
        <w:pStyle w:val="Para10"/>
      </w:pPr>
      <w:r>
        <w:t>A</w:t>
      </w:r>
      <w:r w:rsidR="00603D2F">
        <w:t>t</w:t>
      </w:r>
      <w:r>
        <w:t xml:space="preserve"> </w:t>
      </w:r>
      <w:r w:rsidR="00603D2F">
        <w:t>the time of reporting</w:t>
      </w:r>
      <w:r w:rsidR="000D4DA8" w:rsidRPr="00DF161A">
        <w:t xml:space="preserve">, the Secretariat </w:t>
      </w:r>
      <w:r w:rsidR="008E3745" w:rsidRPr="00DF161A">
        <w:t>ha</w:t>
      </w:r>
      <w:r>
        <w:t>d</w:t>
      </w:r>
      <w:r w:rsidR="008E3745" w:rsidRPr="00DF161A">
        <w:t xml:space="preserve"> </w:t>
      </w:r>
      <w:r w:rsidR="000D4DA8" w:rsidRPr="00DF161A">
        <w:t>receive</w:t>
      </w:r>
      <w:r w:rsidR="001A7AF0" w:rsidRPr="00DF161A">
        <w:t>d</w:t>
      </w:r>
      <w:r w:rsidR="000D4DA8" w:rsidRPr="00DF161A">
        <w:t xml:space="preserve"> contributions totalling</w:t>
      </w:r>
      <w:r w:rsidR="000D4DA8" w:rsidRPr="00B33B1E">
        <w:t xml:space="preserve"> $</w:t>
      </w:r>
      <w:r w:rsidR="00962265" w:rsidRPr="00DF161A">
        <w:t>344,000</w:t>
      </w:r>
      <w:r>
        <w:t xml:space="preserve"> for the current biennium</w:t>
      </w:r>
      <w:r w:rsidR="00765C17" w:rsidRPr="00DF161A">
        <w:t>. Th</w:t>
      </w:r>
      <w:r w:rsidR="00CC34AB">
        <w:t>e</w:t>
      </w:r>
      <w:r w:rsidR="000D4DA8" w:rsidRPr="00DF161A">
        <w:t xml:space="preserve"> </w:t>
      </w:r>
      <w:r w:rsidR="00CC34AB">
        <w:t xml:space="preserve">contributions </w:t>
      </w:r>
      <w:r w:rsidR="000D4DA8" w:rsidRPr="00DF161A">
        <w:t>facilitate</w:t>
      </w:r>
      <w:r w:rsidR="001A7AF0" w:rsidRPr="00DF161A">
        <w:t>d</w:t>
      </w:r>
      <w:r w:rsidR="000D4DA8" w:rsidRPr="00DF161A">
        <w:t xml:space="preserve"> the travel of </w:t>
      </w:r>
      <w:r w:rsidR="00A108A8" w:rsidRPr="00DF161A">
        <w:t xml:space="preserve">48 </w:t>
      </w:r>
      <w:r w:rsidR="000D4DA8" w:rsidRPr="00DF161A">
        <w:t xml:space="preserve">participants from </w:t>
      </w:r>
      <w:r w:rsidR="000D4DA8" w:rsidRPr="00B33B1E">
        <w:t>indigenous people</w:t>
      </w:r>
      <w:r w:rsidR="000D4DA8" w:rsidRPr="00DF161A">
        <w:t xml:space="preserve">s and </w:t>
      </w:r>
      <w:r w:rsidR="00A40935" w:rsidRPr="00DF161A">
        <w:t>l</w:t>
      </w:r>
      <w:r w:rsidR="000D4DA8" w:rsidRPr="00DF161A">
        <w:t xml:space="preserve">ocal </w:t>
      </w:r>
      <w:r w:rsidR="00A40935" w:rsidRPr="00DF161A">
        <w:t>c</w:t>
      </w:r>
      <w:r w:rsidR="000D4DA8" w:rsidRPr="00DF161A">
        <w:t xml:space="preserve">ommunities to attend </w:t>
      </w:r>
      <w:r w:rsidR="00C00218" w:rsidRPr="00DF161A">
        <w:rPr>
          <w:lang w:val="en-US"/>
        </w:rPr>
        <w:t xml:space="preserve">the </w:t>
      </w:r>
      <w:r w:rsidR="00320D9B" w:rsidRPr="00DF161A">
        <w:t>t</w:t>
      </w:r>
      <w:r w:rsidR="00C00218" w:rsidRPr="00DF161A">
        <w:t xml:space="preserve">wenty-fifth meeting of the </w:t>
      </w:r>
      <w:r w:rsidR="00C00218" w:rsidRPr="00B33B1E">
        <w:t>Subsidiary Body on Scientific, Technical and Technological Advice</w:t>
      </w:r>
      <w:r w:rsidR="00C00218" w:rsidRPr="00DF161A">
        <w:t xml:space="preserve">, </w:t>
      </w:r>
      <w:r w:rsidR="00C00218" w:rsidRPr="00DF161A">
        <w:rPr>
          <w:lang w:val="en-US"/>
        </w:rPr>
        <w:t xml:space="preserve">the </w:t>
      </w:r>
      <w:r w:rsidR="00320D9B" w:rsidRPr="00DF161A">
        <w:t>r</w:t>
      </w:r>
      <w:r w:rsidR="00C00218" w:rsidRPr="00DF161A">
        <w:t>esumed second part</w:t>
      </w:r>
      <w:r w:rsidR="00CC34AB">
        <w:t>s</w:t>
      </w:r>
      <w:r w:rsidR="00C00218" w:rsidRPr="00DF161A">
        <w:t xml:space="preserve"> of the fifteenth meeting of the </w:t>
      </w:r>
      <w:r w:rsidR="00C00218" w:rsidRPr="00B33B1E">
        <w:t>Conference of the Parties to the Convention</w:t>
      </w:r>
      <w:r w:rsidR="00D73FAF">
        <w:t>,</w:t>
      </w:r>
      <w:r w:rsidR="00C00218" w:rsidRPr="00B33B1E">
        <w:t xml:space="preserve"> </w:t>
      </w:r>
      <w:r w:rsidR="00CC34AB" w:rsidRPr="000E3493">
        <w:t xml:space="preserve">the tenth meeting of the Conference of the Parties serving as the meeting of the Parties to the Cartagena Protocol </w:t>
      </w:r>
      <w:r w:rsidR="00CC34AB">
        <w:t xml:space="preserve">and </w:t>
      </w:r>
      <w:r w:rsidR="00CC34AB" w:rsidRPr="00253836">
        <w:t>the fourth meeting of the Conference of the Parties serving as the meeting of the Parties to the Nagoya Protocol</w:t>
      </w:r>
      <w:r w:rsidR="00CC34AB">
        <w:t>,</w:t>
      </w:r>
      <w:r w:rsidR="00CC34AB" w:rsidRPr="00191EA9">
        <w:t xml:space="preserve"> </w:t>
      </w:r>
      <w:r w:rsidR="00C00218" w:rsidRPr="00DF161A">
        <w:t xml:space="preserve">the </w:t>
      </w:r>
      <w:r w:rsidR="00320D9B" w:rsidRPr="00DF161A">
        <w:t>t</w:t>
      </w:r>
      <w:r w:rsidR="00C00218" w:rsidRPr="00DF161A">
        <w:t>welfth meeting of the Working Group o</w:t>
      </w:r>
      <w:r w:rsidR="00C00218" w:rsidRPr="00B33B1E">
        <w:t>n Article</w:t>
      </w:r>
      <w:r w:rsidR="00C00218" w:rsidRPr="00DF161A">
        <w:t xml:space="preserve"> 8(j) and Related Provisions</w:t>
      </w:r>
      <w:r w:rsidR="00474542">
        <w:t>,</w:t>
      </w:r>
      <w:r w:rsidR="00C00218" w:rsidRPr="00DF161A">
        <w:t xml:space="preserve"> the </w:t>
      </w:r>
      <w:r w:rsidR="00320D9B" w:rsidRPr="00DF161A">
        <w:t>f</w:t>
      </w:r>
      <w:r w:rsidR="00C00218" w:rsidRPr="00DF161A">
        <w:t>irst meeting of the Ad</w:t>
      </w:r>
      <w:r w:rsidR="001E2FAF">
        <w:t> </w:t>
      </w:r>
      <w:r w:rsidR="00C00218" w:rsidRPr="00DF161A">
        <w:t xml:space="preserve">Hoc Open-ended Working Group on Benefit-sharing from the Use of Digital Sequence Information on Genetic Resources, the </w:t>
      </w:r>
      <w:r w:rsidR="00320D9B" w:rsidRPr="00DF161A">
        <w:t>t</w:t>
      </w:r>
      <w:r w:rsidR="00C00218" w:rsidRPr="00DF161A">
        <w:t xml:space="preserve">wenty-sixth meeting of the </w:t>
      </w:r>
      <w:r w:rsidR="00C00218" w:rsidRPr="00B33B1E">
        <w:t>Subsidiary Body on Scientific, Technical and Technological Advice</w:t>
      </w:r>
      <w:r w:rsidR="00C00218" w:rsidRPr="00DF161A">
        <w:t xml:space="preserve"> and the </w:t>
      </w:r>
      <w:r w:rsidR="00320D9B" w:rsidRPr="00DF161A">
        <w:t>f</w:t>
      </w:r>
      <w:r w:rsidR="00C00218" w:rsidRPr="00DF161A">
        <w:t>ourth meeting of the Subsidiary Body on Implementation</w:t>
      </w:r>
      <w:r w:rsidR="000D4DA8" w:rsidRPr="00DF161A">
        <w:t>.</w:t>
      </w:r>
      <w:r w:rsidR="00C8655B" w:rsidRPr="00DF161A">
        <w:t xml:space="preserve"> </w:t>
      </w:r>
    </w:p>
    <w:p w14:paraId="3A14025B" w14:textId="669A04C6" w:rsidR="000D4DA8" w:rsidRPr="00DF161A" w:rsidRDefault="000D4DA8" w:rsidP="00FE7DD7">
      <w:pPr>
        <w:pStyle w:val="Heading2"/>
        <w:numPr>
          <w:ilvl w:val="0"/>
          <w:numId w:val="11"/>
        </w:numPr>
        <w:suppressLineNumbers/>
        <w:suppressAutoHyphens/>
        <w:kinsoku w:val="0"/>
        <w:overflowPunct w:val="0"/>
        <w:autoSpaceDE w:val="0"/>
        <w:autoSpaceDN w:val="0"/>
        <w:adjustRightInd w:val="0"/>
        <w:snapToGrid w:val="0"/>
        <w:ind w:left="567" w:hanging="567"/>
        <w:jc w:val="left"/>
        <w:rPr>
          <w:rFonts w:eastAsia="Malgun Gothic"/>
          <w:iCs/>
          <w:snapToGrid w:val="0"/>
          <w:kern w:val="22"/>
          <w:szCs w:val="22"/>
        </w:rPr>
      </w:pPr>
      <w:r w:rsidRPr="00DF161A">
        <w:rPr>
          <w:rFonts w:eastAsia="Malgun Gothic"/>
          <w:snapToGrid w:val="0"/>
          <w:kern w:val="22"/>
          <w:szCs w:val="22"/>
          <w:lang w:eastAsia="ko-KR"/>
        </w:rPr>
        <w:t xml:space="preserve">Special </w:t>
      </w:r>
      <w:r w:rsidR="00382109">
        <w:rPr>
          <w:rFonts w:eastAsia="Malgun Gothic"/>
          <w:snapToGrid w:val="0"/>
          <w:kern w:val="22"/>
          <w:szCs w:val="22"/>
          <w:lang w:eastAsia="ko-KR"/>
        </w:rPr>
        <w:t>v</w:t>
      </w:r>
      <w:r w:rsidRPr="00DF161A">
        <w:rPr>
          <w:rFonts w:eastAsia="Malgun Gothic"/>
          <w:snapToGrid w:val="0"/>
          <w:kern w:val="22"/>
          <w:szCs w:val="22"/>
          <w:lang w:eastAsia="ko-KR"/>
        </w:rPr>
        <w:t xml:space="preserve">oluntary </w:t>
      </w:r>
      <w:r w:rsidR="00382109">
        <w:rPr>
          <w:rFonts w:eastAsia="Malgun Gothic"/>
          <w:snapToGrid w:val="0"/>
          <w:kern w:val="22"/>
          <w:szCs w:val="22"/>
          <w:lang w:eastAsia="ko-KR"/>
        </w:rPr>
        <w:t>t</w:t>
      </w:r>
      <w:r w:rsidRPr="00B33B1E">
        <w:rPr>
          <w:rFonts w:eastAsia="Malgun Gothic"/>
          <w:snapToGrid w:val="0"/>
          <w:kern w:val="22"/>
          <w:szCs w:val="22"/>
          <w:lang w:eastAsia="ko-KR"/>
        </w:rPr>
        <w:t xml:space="preserve">rust </w:t>
      </w:r>
      <w:r w:rsidR="00382109">
        <w:rPr>
          <w:rFonts w:eastAsia="Malgun Gothic"/>
          <w:snapToGrid w:val="0"/>
          <w:kern w:val="22"/>
          <w:szCs w:val="22"/>
          <w:lang w:eastAsia="ko-KR"/>
        </w:rPr>
        <w:t>f</w:t>
      </w:r>
      <w:r w:rsidRPr="00B33B1E">
        <w:rPr>
          <w:rFonts w:eastAsia="Malgun Gothic"/>
          <w:snapToGrid w:val="0"/>
          <w:kern w:val="22"/>
          <w:szCs w:val="22"/>
          <w:lang w:eastAsia="ko-KR"/>
        </w:rPr>
        <w:t>und</w:t>
      </w:r>
      <w:r w:rsidRPr="00DF161A">
        <w:rPr>
          <w:rFonts w:eastAsia="Malgun Gothic"/>
          <w:snapToGrid w:val="0"/>
          <w:kern w:val="22"/>
          <w:szCs w:val="22"/>
          <w:lang w:eastAsia="ko-KR"/>
        </w:rPr>
        <w:t xml:space="preserve"> for </w:t>
      </w:r>
      <w:r w:rsidR="00382109">
        <w:rPr>
          <w:rFonts w:eastAsia="Malgun Gothic"/>
          <w:snapToGrid w:val="0"/>
          <w:kern w:val="22"/>
          <w:szCs w:val="22"/>
          <w:lang w:eastAsia="ko-KR"/>
        </w:rPr>
        <w:t>f</w:t>
      </w:r>
      <w:r w:rsidRPr="00DF161A">
        <w:rPr>
          <w:rFonts w:eastAsia="Malgun Gothic"/>
          <w:snapToGrid w:val="0"/>
          <w:kern w:val="22"/>
          <w:szCs w:val="22"/>
          <w:lang w:eastAsia="ko-KR"/>
        </w:rPr>
        <w:t xml:space="preserve">acilitating </w:t>
      </w:r>
      <w:r w:rsidR="001677E5" w:rsidRPr="00DF161A">
        <w:rPr>
          <w:rFonts w:eastAsia="Malgun Gothic"/>
          <w:snapToGrid w:val="0"/>
          <w:kern w:val="22"/>
          <w:szCs w:val="22"/>
          <w:lang w:eastAsia="ko-KR"/>
        </w:rPr>
        <w:t xml:space="preserve">the </w:t>
      </w:r>
      <w:r w:rsidR="00382109">
        <w:rPr>
          <w:rFonts w:eastAsia="Malgun Gothic"/>
          <w:snapToGrid w:val="0"/>
          <w:kern w:val="22"/>
          <w:szCs w:val="22"/>
          <w:lang w:eastAsia="ko-KR"/>
        </w:rPr>
        <w:t>p</w:t>
      </w:r>
      <w:r w:rsidRPr="00DF161A">
        <w:rPr>
          <w:rFonts w:eastAsia="Malgun Gothic"/>
          <w:snapToGrid w:val="0"/>
          <w:kern w:val="22"/>
          <w:szCs w:val="22"/>
          <w:lang w:eastAsia="ko-KR"/>
        </w:rPr>
        <w:t xml:space="preserve">articipation of Parties </w:t>
      </w:r>
      <w:r w:rsidR="00A714DC" w:rsidRPr="00DF161A">
        <w:rPr>
          <w:rFonts w:eastAsia="Malgun Gothic"/>
          <w:snapToGrid w:val="0"/>
          <w:kern w:val="22"/>
          <w:szCs w:val="22"/>
          <w:lang w:eastAsia="ko-KR"/>
        </w:rPr>
        <w:t xml:space="preserve">in the </w:t>
      </w:r>
      <w:r w:rsidR="00382109">
        <w:rPr>
          <w:rFonts w:eastAsia="Malgun Gothic"/>
          <w:snapToGrid w:val="0"/>
          <w:kern w:val="22"/>
          <w:szCs w:val="22"/>
          <w:lang w:eastAsia="ko-KR"/>
        </w:rPr>
        <w:t>p</w:t>
      </w:r>
      <w:r w:rsidR="00FE7FF1" w:rsidRPr="00DF161A">
        <w:rPr>
          <w:rFonts w:eastAsia="Malgun Gothic"/>
          <w:snapToGrid w:val="0"/>
          <w:kern w:val="22"/>
          <w:szCs w:val="22"/>
          <w:lang w:eastAsia="ko-KR"/>
        </w:rPr>
        <w:t xml:space="preserve">rocess of the </w:t>
      </w:r>
      <w:r w:rsidR="00A714DC" w:rsidRPr="00DF161A">
        <w:rPr>
          <w:rFonts w:eastAsia="Malgun Gothic"/>
          <w:snapToGrid w:val="0"/>
          <w:kern w:val="22"/>
          <w:szCs w:val="22"/>
          <w:lang w:eastAsia="ko-KR"/>
        </w:rPr>
        <w:t xml:space="preserve">Convention </w:t>
      </w:r>
      <w:r w:rsidRPr="00DF161A">
        <w:rPr>
          <w:rFonts w:eastAsia="Malgun Gothic"/>
          <w:snapToGrid w:val="0"/>
          <w:kern w:val="22"/>
          <w:szCs w:val="22"/>
          <w:lang w:eastAsia="ko-KR"/>
        </w:rPr>
        <w:t xml:space="preserve">for the period </w:t>
      </w:r>
      <w:r w:rsidR="00155693" w:rsidRPr="00DF161A">
        <w:rPr>
          <w:rFonts w:eastAsia="Malgun Gothic"/>
          <w:snapToGrid w:val="0"/>
          <w:kern w:val="22"/>
          <w:szCs w:val="22"/>
          <w:lang w:eastAsia="ko-KR"/>
        </w:rPr>
        <w:t>202</w:t>
      </w:r>
      <w:r w:rsidR="00155693" w:rsidRPr="00B33B1E">
        <w:rPr>
          <w:rFonts w:eastAsia="Malgun Gothic"/>
          <w:snapToGrid w:val="0"/>
          <w:kern w:val="22"/>
          <w:szCs w:val="22"/>
          <w:lang w:eastAsia="ko-KR"/>
        </w:rPr>
        <w:t>3</w:t>
      </w:r>
      <w:r w:rsidR="00DF161A" w:rsidRPr="00DF161A">
        <w:t>–</w:t>
      </w:r>
      <w:r w:rsidR="00155693" w:rsidRPr="00B33B1E">
        <w:rPr>
          <w:rFonts w:eastAsia="Malgun Gothic"/>
          <w:snapToGrid w:val="0"/>
          <w:kern w:val="22"/>
          <w:szCs w:val="22"/>
          <w:lang w:eastAsia="ko-KR"/>
        </w:rPr>
        <w:t>2</w:t>
      </w:r>
      <w:r w:rsidR="00155693" w:rsidRPr="00DF161A">
        <w:rPr>
          <w:rFonts w:eastAsia="Malgun Gothic"/>
          <w:snapToGrid w:val="0"/>
          <w:kern w:val="22"/>
          <w:szCs w:val="22"/>
          <w:lang w:eastAsia="ko-KR"/>
        </w:rPr>
        <w:t>024</w:t>
      </w:r>
    </w:p>
    <w:p w14:paraId="1BB3595B" w14:textId="45579420" w:rsidR="00446A0E" w:rsidRPr="00DF161A" w:rsidRDefault="000D4DA8" w:rsidP="00FE7DD7">
      <w:pPr>
        <w:pStyle w:val="Para10"/>
      </w:pPr>
      <w:r w:rsidRPr="00BF6BF7">
        <w:t xml:space="preserve">The </w:t>
      </w:r>
      <w:r w:rsidRPr="00DF161A">
        <w:t xml:space="preserve">Conference of the Parties </w:t>
      </w:r>
      <w:r w:rsidR="00DC5F7B">
        <w:t xml:space="preserve">to the Convention </w:t>
      </w:r>
      <w:r w:rsidRPr="00DF161A">
        <w:t xml:space="preserve">and </w:t>
      </w:r>
      <w:r w:rsidR="00FE4BA0" w:rsidRPr="00DF161A">
        <w:t xml:space="preserve">the Conference of the Parties serving as the </w:t>
      </w:r>
      <w:r w:rsidRPr="00DF161A">
        <w:t>meeting</w:t>
      </w:r>
      <w:r w:rsidR="007D7889" w:rsidRPr="00DF161A">
        <w:t>s</w:t>
      </w:r>
      <w:r w:rsidRPr="00DF161A">
        <w:t xml:space="preserve"> of the Parties </w:t>
      </w:r>
      <w:r w:rsidR="00FE4BA0" w:rsidRPr="00DF161A">
        <w:t xml:space="preserve">to </w:t>
      </w:r>
      <w:r w:rsidRPr="00DF161A">
        <w:t xml:space="preserve">the </w:t>
      </w:r>
      <w:r w:rsidR="00FE4BA0" w:rsidRPr="00DF161A">
        <w:t>P</w:t>
      </w:r>
      <w:r w:rsidRPr="00DF161A">
        <w:t>rotocols acknowledge</w:t>
      </w:r>
      <w:r w:rsidR="00320D9B" w:rsidRPr="00DF161A">
        <w:t>d</w:t>
      </w:r>
      <w:r w:rsidRPr="00DF161A">
        <w:t xml:space="preserve"> funding estimates of</w:t>
      </w:r>
      <w:r w:rsidRPr="00B33B1E">
        <w:t xml:space="preserve"> $</w:t>
      </w:r>
      <w:r w:rsidR="00155693" w:rsidRPr="00DF161A">
        <w:t>8,604,400</w:t>
      </w:r>
      <w:r w:rsidRPr="00DF161A">
        <w:t xml:space="preserve"> for the </w:t>
      </w:r>
      <w:r w:rsidR="00705D56">
        <w:t>s</w:t>
      </w:r>
      <w:r w:rsidRPr="00DF161A">
        <w:t xml:space="preserve">pecial </w:t>
      </w:r>
      <w:r w:rsidR="00705D56">
        <w:t>v</w:t>
      </w:r>
      <w:r w:rsidRPr="00DF161A">
        <w:t xml:space="preserve">oluntary </w:t>
      </w:r>
      <w:r w:rsidR="00382109">
        <w:t>t</w:t>
      </w:r>
      <w:r w:rsidRPr="00B33B1E">
        <w:t xml:space="preserve">rust </w:t>
      </w:r>
      <w:r w:rsidR="00382109">
        <w:t>f</w:t>
      </w:r>
      <w:r w:rsidRPr="00B33B1E">
        <w:t>und</w:t>
      </w:r>
      <w:r w:rsidRPr="00DF161A">
        <w:t xml:space="preserve"> (</w:t>
      </w:r>
      <w:r w:rsidRPr="00B33B1E">
        <w:t>BZ</w:t>
      </w:r>
      <w:r w:rsidR="001D6C5E">
        <w:t xml:space="preserve"> trust fund</w:t>
      </w:r>
      <w:r w:rsidRPr="00DF161A">
        <w:t xml:space="preserve">) for </w:t>
      </w:r>
      <w:r w:rsidR="00382109">
        <w:t>f</w:t>
      </w:r>
      <w:r w:rsidRPr="00DF161A">
        <w:t xml:space="preserve">acilitating the </w:t>
      </w:r>
      <w:r w:rsidR="00382109">
        <w:t>p</w:t>
      </w:r>
      <w:r w:rsidRPr="00DF161A">
        <w:t>articipation of Parties</w:t>
      </w:r>
      <w:r w:rsidR="00686F70" w:rsidRPr="00DF161A">
        <w:t xml:space="preserve"> in the </w:t>
      </w:r>
      <w:r w:rsidR="00382109">
        <w:t>p</w:t>
      </w:r>
      <w:r w:rsidR="00FE7FF1" w:rsidRPr="00DF161A">
        <w:t>rocess of the Convention</w:t>
      </w:r>
      <w:r w:rsidR="00765C17" w:rsidRPr="00DF161A">
        <w:t xml:space="preserve"> for the period 202</w:t>
      </w:r>
      <w:r w:rsidR="00765C17" w:rsidRPr="00B33B1E">
        <w:t>3</w:t>
      </w:r>
      <w:r w:rsidR="00DF161A" w:rsidRPr="00DF161A">
        <w:t>–</w:t>
      </w:r>
      <w:r w:rsidR="00765C17" w:rsidRPr="00B33B1E">
        <w:t>2</w:t>
      </w:r>
      <w:r w:rsidR="00765C17" w:rsidRPr="00DF161A">
        <w:t>024</w:t>
      </w:r>
      <w:r w:rsidRPr="00DF161A">
        <w:t>.</w:t>
      </w:r>
      <w:r w:rsidR="00293D1C">
        <w:t xml:space="preserve"> </w:t>
      </w:r>
      <w:r w:rsidR="008713B3">
        <w:t>At the time of reporting</w:t>
      </w:r>
      <w:r w:rsidRPr="00DF161A">
        <w:t xml:space="preserve">, </w:t>
      </w:r>
      <w:r w:rsidR="005B3C7B" w:rsidRPr="00DF161A">
        <w:t xml:space="preserve">the Secretariat </w:t>
      </w:r>
      <w:r w:rsidR="00765C17" w:rsidRPr="00DF161A">
        <w:t>ha</w:t>
      </w:r>
      <w:r w:rsidR="00705D56">
        <w:t>d</w:t>
      </w:r>
      <w:r w:rsidR="00765C17" w:rsidRPr="00DF161A">
        <w:t xml:space="preserve"> </w:t>
      </w:r>
      <w:r w:rsidR="005B3C7B" w:rsidRPr="00DF161A">
        <w:t xml:space="preserve">received </w:t>
      </w:r>
      <w:r w:rsidR="00125FDF" w:rsidRPr="00DF161A">
        <w:t>contributions totalling</w:t>
      </w:r>
      <w:r w:rsidRPr="00B33B1E">
        <w:t xml:space="preserve"> $</w:t>
      </w:r>
      <w:r w:rsidR="00FC28F2" w:rsidRPr="00DF161A">
        <w:t>1.6 million</w:t>
      </w:r>
      <w:r w:rsidR="00705D56">
        <w:t xml:space="preserve"> for the curren</w:t>
      </w:r>
      <w:r w:rsidR="00A268EA">
        <w:t>t biennium</w:t>
      </w:r>
      <w:r w:rsidR="00575E53" w:rsidRPr="00DF161A">
        <w:t>.</w:t>
      </w:r>
      <w:r w:rsidR="00FC28F2" w:rsidRPr="00B33B1E">
        <w:t xml:space="preserve"> </w:t>
      </w:r>
      <w:r w:rsidR="00A268EA">
        <w:t xml:space="preserve">An amount of </w:t>
      </w:r>
      <w:r w:rsidR="002F3EAA" w:rsidRPr="00B33B1E">
        <w:t>$</w:t>
      </w:r>
      <w:r w:rsidR="002F3EAA" w:rsidRPr="00DF161A">
        <w:t xml:space="preserve">2.1 million </w:t>
      </w:r>
      <w:r w:rsidR="00765C17" w:rsidRPr="00DF161A">
        <w:t>ha</w:t>
      </w:r>
      <w:r w:rsidR="00A268EA">
        <w:t>d</w:t>
      </w:r>
      <w:r w:rsidR="00765C17" w:rsidRPr="00DF161A">
        <w:t xml:space="preserve"> been</w:t>
      </w:r>
      <w:r w:rsidR="002F3EAA" w:rsidRPr="00DF161A">
        <w:t xml:space="preserve"> spent to finance the participation of </w:t>
      </w:r>
      <w:r w:rsidR="00D81469" w:rsidRPr="00DF161A">
        <w:t>430</w:t>
      </w:r>
      <w:r w:rsidR="00A268EA">
        <w:t> </w:t>
      </w:r>
      <w:r w:rsidRPr="00DF161A">
        <w:t xml:space="preserve">delegates </w:t>
      </w:r>
      <w:r w:rsidR="006E280D" w:rsidRPr="00DF161A">
        <w:t>(of 520</w:t>
      </w:r>
      <w:r w:rsidR="003E2E9A" w:rsidRPr="00DF161A">
        <w:t xml:space="preserve"> requests for funding submitted to the Secretariat) </w:t>
      </w:r>
      <w:r w:rsidRPr="00DF161A">
        <w:t xml:space="preserve">from developing countries to attend </w:t>
      </w:r>
      <w:r w:rsidR="00E3457F" w:rsidRPr="00DF161A">
        <w:rPr>
          <w:lang w:val="en-US"/>
        </w:rPr>
        <w:t xml:space="preserve">the </w:t>
      </w:r>
      <w:r w:rsidR="006A0693" w:rsidRPr="00DF161A">
        <w:t>t</w:t>
      </w:r>
      <w:r w:rsidR="00E3457F" w:rsidRPr="00DF161A">
        <w:t xml:space="preserve">wenty-fifth meeting of the </w:t>
      </w:r>
      <w:r w:rsidR="00E3457F" w:rsidRPr="00B33B1E">
        <w:t>Subsidiary Body on Scientific, Technical and Technological Advice</w:t>
      </w:r>
      <w:r w:rsidR="00E3457F" w:rsidRPr="00DF161A">
        <w:t xml:space="preserve">, </w:t>
      </w:r>
      <w:r w:rsidR="00E3457F" w:rsidRPr="00DF161A">
        <w:rPr>
          <w:lang w:val="en-US"/>
        </w:rPr>
        <w:t xml:space="preserve">the </w:t>
      </w:r>
      <w:r w:rsidR="006A0693" w:rsidRPr="00DF161A">
        <w:t>r</w:t>
      </w:r>
      <w:r w:rsidR="00E3457F" w:rsidRPr="00DF161A">
        <w:t>esumed second part</w:t>
      </w:r>
      <w:r w:rsidR="00FF6520">
        <w:t>s</w:t>
      </w:r>
      <w:r w:rsidR="00E3457F" w:rsidRPr="00DF161A">
        <w:t xml:space="preserve"> of the fifteenth meeting of the </w:t>
      </w:r>
      <w:r w:rsidR="00E3457F" w:rsidRPr="00B33B1E">
        <w:t>Conference of the Parties to the Convention</w:t>
      </w:r>
      <w:r w:rsidR="00CA789D">
        <w:t>,</w:t>
      </w:r>
      <w:r w:rsidR="00E3457F" w:rsidRPr="00DF161A">
        <w:t xml:space="preserve"> </w:t>
      </w:r>
      <w:r w:rsidR="00FF6520" w:rsidRPr="000E3493">
        <w:t xml:space="preserve">the tenth meeting of the Conference of the Parties serving as the meeting of the Parties to the Cartagena Protocol </w:t>
      </w:r>
      <w:r w:rsidR="00FF6520">
        <w:t xml:space="preserve">and </w:t>
      </w:r>
      <w:r w:rsidR="00FF6520" w:rsidRPr="00253836">
        <w:t>the fourth meeting of the Conference of the Parties serving as the meeting of the Parties to the Nagoya Protocol</w:t>
      </w:r>
      <w:r w:rsidR="00FF6520">
        <w:t>,</w:t>
      </w:r>
      <w:r w:rsidR="00FF6520" w:rsidRPr="00191EA9">
        <w:t xml:space="preserve"> </w:t>
      </w:r>
      <w:r w:rsidR="00E3457F" w:rsidRPr="00DF161A">
        <w:t xml:space="preserve">the </w:t>
      </w:r>
      <w:r w:rsidR="006A0693" w:rsidRPr="00DF161A">
        <w:t>t</w:t>
      </w:r>
      <w:r w:rsidR="00E3457F" w:rsidRPr="00DF161A">
        <w:t>welfth meeting of the Working Group o</w:t>
      </w:r>
      <w:r w:rsidR="00E3457F" w:rsidRPr="00B33B1E">
        <w:t>n Article</w:t>
      </w:r>
      <w:r w:rsidR="00E3457F" w:rsidRPr="00DF161A">
        <w:t xml:space="preserve"> 8(j) and Related Provisions</w:t>
      </w:r>
      <w:r w:rsidR="00474542">
        <w:t>,</w:t>
      </w:r>
      <w:r w:rsidR="00E3457F" w:rsidRPr="00DF161A">
        <w:t xml:space="preserve"> the </w:t>
      </w:r>
      <w:r w:rsidR="006A0693" w:rsidRPr="00DF161A">
        <w:t>f</w:t>
      </w:r>
      <w:r w:rsidR="00E3457F" w:rsidRPr="00DF161A">
        <w:t>irst meeting of the Ad</w:t>
      </w:r>
      <w:r w:rsidR="00293D1C">
        <w:t> </w:t>
      </w:r>
      <w:r w:rsidR="00E3457F" w:rsidRPr="00DF161A">
        <w:t xml:space="preserve">Hoc Open-ended Working Group on Benefit-sharing from the Use of Digital Sequence Information on Genetic Resources, the </w:t>
      </w:r>
      <w:r w:rsidR="006A0693" w:rsidRPr="00DF161A">
        <w:t>t</w:t>
      </w:r>
      <w:r w:rsidR="00E3457F" w:rsidRPr="00DF161A">
        <w:t xml:space="preserve">wenty-sixth meeting of the </w:t>
      </w:r>
      <w:r w:rsidR="00E3457F" w:rsidRPr="00B33B1E">
        <w:t>Subsidiary Body on Scientific, Technical and Technological Advice</w:t>
      </w:r>
      <w:r w:rsidR="00E3457F" w:rsidRPr="00DF161A">
        <w:t xml:space="preserve"> and the </w:t>
      </w:r>
      <w:r w:rsidR="006A0693" w:rsidRPr="00DF161A">
        <w:t>f</w:t>
      </w:r>
      <w:r w:rsidR="00E3457F" w:rsidRPr="00DF161A">
        <w:t>ourth meeting of the Subsidiary Body on Implementation</w:t>
      </w:r>
      <w:r w:rsidRPr="00DF161A">
        <w:t xml:space="preserve">. Pursuant to the procedure </w:t>
      </w:r>
      <w:r w:rsidR="00442446" w:rsidRPr="00DF161A">
        <w:t xml:space="preserve">for </w:t>
      </w:r>
      <w:r w:rsidRPr="00DF161A">
        <w:t xml:space="preserve">allocation of funding from </w:t>
      </w:r>
      <w:r w:rsidRPr="00B33B1E">
        <w:t>the BZ</w:t>
      </w:r>
      <w:r w:rsidRPr="00DF161A">
        <w:t xml:space="preserve"> </w:t>
      </w:r>
      <w:r w:rsidR="00382109">
        <w:t>t</w:t>
      </w:r>
      <w:r w:rsidRPr="00B33B1E">
        <w:t xml:space="preserve">rust </w:t>
      </w:r>
      <w:r w:rsidR="00382109">
        <w:t>f</w:t>
      </w:r>
      <w:r w:rsidRPr="00B33B1E">
        <w:t>und</w:t>
      </w:r>
      <w:r w:rsidRPr="00DF161A">
        <w:t xml:space="preserve"> adopted by the Conference of the Parties at its ninth meeting (decision </w:t>
      </w:r>
      <w:hyperlink r:id="rId15" w:history="1">
        <w:r w:rsidRPr="00433E00">
          <w:rPr>
            <w:rStyle w:val="Hyperlink"/>
            <w:sz w:val="22"/>
          </w:rPr>
          <w:t>IX/34</w:t>
        </w:r>
      </w:hyperlink>
      <w:r w:rsidRPr="00DF161A">
        <w:t>, para</w:t>
      </w:r>
      <w:r w:rsidR="00991111" w:rsidRPr="00DF161A">
        <w:t>.</w:t>
      </w:r>
      <w:r w:rsidRPr="00DF161A">
        <w:t xml:space="preserve"> 31), priority </w:t>
      </w:r>
      <w:r w:rsidR="00920BF0">
        <w:t xml:space="preserve">was given </w:t>
      </w:r>
      <w:r w:rsidRPr="00DF161A">
        <w:t xml:space="preserve">to </w:t>
      </w:r>
      <w:r w:rsidR="00920BF0">
        <w:t xml:space="preserve">funding </w:t>
      </w:r>
      <w:r w:rsidR="003771FA">
        <w:t>delegates from</w:t>
      </w:r>
      <w:r w:rsidRPr="00DF161A">
        <w:t xml:space="preserve"> least developed countries and </w:t>
      </w:r>
      <w:r w:rsidRPr="00B33B1E">
        <w:t xml:space="preserve">small island developing </w:t>
      </w:r>
      <w:r w:rsidR="00991111" w:rsidRPr="00B33B1E">
        <w:t>S</w:t>
      </w:r>
      <w:r w:rsidRPr="00B33B1E">
        <w:t>tates</w:t>
      </w:r>
      <w:r w:rsidRPr="00DF161A">
        <w:t>.</w:t>
      </w:r>
    </w:p>
    <w:p w14:paraId="14C9C4DE" w14:textId="59BD50BB" w:rsidR="00C15351" w:rsidRPr="00ED31A1" w:rsidRDefault="005E7C3D" w:rsidP="00FE7DD7">
      <w:pPr>
        <w:pStyle w:val="Para10"/>
        <w:rPr>
          <w:kern w:val="22"/>
        </w:rPr>
      </w:pPr>
      <w:r w:rsidRPr="00ED31A1">
        <w:rPr>
          <w:kern w:val="22"/>
        </w:rPr>
        <w:t xml:space="preserve">Additional resources </w:t>
      </w:r>
      <w:r w:rsidR="00087304" w:rsidRPr="00ED31A1">
        <w:rPr>
          <w:kern w:val="22"/>
        </w:rPr>
        <w:t>are needed to</w:t>
      </w:r>
      <w:r w:rsidR="006E7B2F" w:rsidRPr="00ED31A1">
        <w:rPr>
          <w:kern w:val="22"/>
        </w:rPr>
        <w:t xml:space="preserve"> facilitate the</w:t>
      </w:r>
      <w:r w:rsidR="00A55A53" w:rsidRPr="00ED31A1">
        <w:rPr>
          <w:lang w:val="en-US"/>
        </w:rPr>
        <w:t xml:space="preserve"> participation of developing country Parties</w:t>
      </w:r>
      <w:r w:rsidR="00A55A53" w:rsidRPr="00ED31A1">
        <w:rPr>
          <w:kern w:val="22"/>
        </w:rPr>
        <w:t xml:space="preserve"> </w:t>
      </w:r>
      <w:r w:rsidR="00C15351" w:rsidRPr="00ED31A1">
        <w:rPr>
          <w:kern w:val="22"/>
        </w:rPr>
        <w:t xml:space="preserve">in the </w:t>
      </w:r>
      <w:r w:rsidR="006A0693" w:rsidRPr="00ED31A1">
        <w:t>s</w:t>
      </w:r>
      <w:r w:rsidR="00BD0D01" w:rsidRPr="00ED31A1">
        <w:t>econd meeting of the Ad Hoc Open-ended Working Group on Benefit-sharing from the Use of Digital Sequence Information on Genetic Resources</w:t>
      </w:r>
      <w:r w:rsidR="00BA2A0D" w:rsidRPr="00ED31A1">
        <w:t xml:space="preserve">, </w:t>
      </w:r>
      <w:r w:rsidR="006A0693" w:rsidRPr="00ED31A1">
        <w:t>the s</w:t>
      </w:r>
      <w:r w:rsidR="00F02B27" w:rsidRPr="00ED31A1">
        <w:t xml:space="preserve">ixteenth meeting of the </w:t>
      </w:r>
      <w:r w:rsidR="00F02B27" w:rsidRPr="00B33B1E">
        <w:t>Conference of the Parties to the Convention</w:t>
      </w:r>
      <w:r w:rsidR="00CA789D">
        <w:t>,</w:t>
      </w:r>
      <w:r w:rsidR="00F02B27" w:rsidRPr="00B33B1E">
        <w:t xml:space="preserve"> </w:t>
      </w:r>
      <w:r w:rsidR="00F02B27" w:rsidRPr="00ED31A1">
        <w:t xml:space="preserve">the </w:t>
      </w:r>
      <w:r w:rsidR="006A0693" w:rsidRPr="00ED31A1">
        <w:t>e</w:t>
      </w:r>
      <w:r w:rsidR="00F02B27" w:rsidRPr="00ED31A1">
        <w:t xml:space="preserve">leventh meeting of the Conference of the Parties serving as the meeting of the Parties to the Cartagena Protocol and the </w:t>
      </w:r>
      <w:r w:rsidR="006A0693" w:rsidRPr="00ED31A1">
        <w:t>f</w:t>
      </w:r>
      <w:r w:rsidR="00F02B27" w:rsidRPr="00ED31A1">
        <w:t>ifth meeting of the Conference of the Parties serving as the meeting of the Parties to the Nagoya Protocol</w:t>
      </w:r>
      <w:r w:rsidR="002474DB">
        <w:t>.</w:t>
      </w:r>
    </w:p>
    <w:p w14:paraId="430C3A75" w14:textId="61332924" w:rsidR="00573190" w:rsidRDefault="00765C17" w:rsidP="00FE7DD7">
      <w:pPr>
        <w:pStyle w:val="Para10"/>
      </w:pPr>
      <w:r w:rsidRPr="00ED31A1">
        <w:t>On 24 April 2024, t</w:t>
      </w:r>
      <w:r w:rsidR="00D67079" w:rsidRPr="00ED31A1">
        <w:t>he Secretariat issued</w:t>
      </w:r>
      <w:r w:rsidR="007D7889" w:rsidRPr="00ED31A1">
        <w:t xml:space="preserve"> </w:t>
      </w:r>
      <w:r w:rsidR="00D67079" w:rsidRPr="00ED31A1">
        <w:t>a</w:t>
      </w:r>
      <w:r w:rsidR="00874EEC" w:rsidRPr="00ED31A1">
        <w:t xml:space="preserve"> letter to </w:t>
      </w:r>
      <w:r w:rsidR="00CD3251" w:rsidRPr="00ED31A1">
        <w:t xml:space="preserve">all </w:t>
      </w:r>
      <w:r w:rsidR="001F6DCB" w:rsidRPr="00ED31A1">
        <w:t>Parties</w:t>
      </w:r>
      <w:r w:rsidR="004C0B75" w:rsidRPr="00ED31A1">
        <w:t xml:space="preserve"> </w:t>
      </w:r>
      <w:r w:rsidR="006824C3" w:rsidRPr="00ED31A1">
        <w:t xml:space="preserve">to </w:t>
      </w:r>
      <w:r w:rsidR="00302A43" w:rsidRPr="00ED31A1">
        <w:t>seek</w:t>
      </w:r>
      <w:r w:rsidR="003E2D9C" w:rsidRPr="00ED31A1">
        <w:t xml:space="preserve"> </w:t>
      </w:r>
      <w:r w:rsidRPr="00ED31A1">
        <w:t>additional</w:t>
      </w:r>
      <w:r w:rsidR="003E2D9C" w:rsidRPr="00ED31A1">
        <w:t xml:space="preserve"> contributions </w:t>
      </w:r>
      <w:r w:rsidR="007D7889" w:rsidRPr="00ED31A1">
        <w:t xml:space="preserve">to </w:t>
      </w:r>
      <w:r w:rsidR="003E2D9C" w:rsidRPr="00ED31A1">
        <w:t xml:space="preserve">replenish </w:t>
      </w:r>
      <w:r w:rsidR="003E2D9C" w:rsidRPr="00B33B1E">
        <w:t>the BZ</w:t>
      </w:r>
      <w:r w:rsidR="003E2D9C" w:rsidRPr="00ED31A1">
        <w:t xml:space="preserve"> </w:t>
      </w:r>
      <w:r w:rsidR="00382109">
        <w:t>t</w:t>
      </w:r>
      <w:r w:rsidR="003E2D9C" w:rsidRPr="00B33B1E">
        <w:t xml:space="preserve">rust </w:t>
      </w:r>
      <w:r w:rsidR="00382109">
        <w:t>f</w:t>
      </w:r>
      <w:r w:rsidR="003E2D9C" w:rsidRPr="00B33B1E">
        <w:t>und</w:t>
      </w:r>
      <w:r w:rsidR="003E2D9C" w:rsidRPr="00ED31A1">
        <w:t xml:space="preserve"> </w:t>
      </w:r>
      <w:proofErr w:type="gramStart"/>
      <w:r w:rsidRPr="00ED31A1">
        <w:t xml:space="preserve">in order </w:t>
      </w:r>
      <w:r w:rsidR="003E2D9C" w:rsidRPr="00ED31A1">
        <w:t>to</w:t>
      </w:r>
      <w:proofErr w:type="gramEnd"/>
      <w:r w:rsidR="003E2D9C" w:rsidRPr="00D74B26">
        <w:t xml:space="preserve"> enable</w:t>
      </w:r>
      <w:r w:rsidR="00D67079" w:rsidRPr="00D74B26">
        <w:t xml:space="preserve"> </w:t>
      </w:r>
      <w:r w:rsidR="00044332" w:rsidRPr="0059691E">
        <w:rPr>
          <w:lang w:val="en-US"/>
        </w:rPr>
        <w:t xml:space="preserve">the full and effective participation of developing </w:t>
      </w:r>
      <w:r w:rsidR="00044332" w:rsidRPr="0059691E">
        <w:rPr>
          <w:lang w:val="en-US"/>
        </w:rPr>
        <w:lastRenderedPageBreak/>
        <w:t xml:space="preserve">country Parties, in particular least developed </w:t>
      </w:r>
      <w:r w:rsidR="00044332" w:rsidRPr="00ED31A1">
        <w:rPr>
          <w:lang w:val="en-US"/>
        </w:rPr>
        <w:t xml:space="preserve">countries and </w:t>
      </w:r>
      <w:r w:rsidR="00044332" w:rsidRPr="00B33B1E">
        <w:rPr>
          <w:lang w:val="en-US"/>
        </w:rPr>
        <w:t>small island developing States</w:t>
      </w:r>
      <w:r w:rsidR="00044332" w:rsidRPr="00ED31A1">
        <w:rPr>
          <w:lang w:val="en-US"/>
        </w:rPr>
        <w:t>,</w:t>
      </w:r>
      <w:r w:rsidR="00044332" w:rsidRPr="0059691E">
        <w:rPr>
          <w:lang w:val="en-US"/>
        </w:rPr>
        <w:t xml:space="preserve"> as well as countries with economies in transition</w:t>
      </w:r>
      <w:r w:rsidR="003771FA">
        <w:rPr>
          <w:lang w:val="en-US"/>
        </w:rPr>
        <w:t>,</w:t>
      </w:r>
      <w:r>
        <w:rPr>
          <w:lang w:val="en-US"/>
        </w:rPr>
        <w:t xml:space="preserve"> in th</w:t>
      </w:r>
      <w:r w:rsidR="003771FA">
        <w:rPr>
          <w:lang w:val="en-US"/>
        </w:rPr>
        <w:t>o</w:t>
      </w:r>
      <w:r>
        <w:rPr>
          <w:lang w:val="en-US"/>
        </w:rPr>
        <w:t>se meetings</w:t>
      </w:r>
      <w:r w:rsidR="003B26C7" w:rsidRPr="0059691E">
        <w:rPr>
          <w:lang w:val="en-US"/>
        </w:rPr>
        <w:t>.</w:t>
      </w:r>
      <w:r w:rsidR="00044332" w:rsidRPr="0059691E">
        <w:rPr>
          <w:lang w:val="en-US"/>
        </w:rPr>
        <w:t xml:space="preserve"> </w:t>
      </w:r>
    </w:p>
    <w:p w14:paraId="21964E72" w14:textId="4E499863" w:rsidR="00355F2A" w:rsidRPr="00BF6BF7" w:rsidRDefault="00355F2A" w:rsidP="00355F2A">
      <w:pPr>
        <w:pStyle w:val="Heading1"/>
        <w:numPr>
          <w:ilvl w:val="0"/>
          <w:numId w:val="6"/>
        </w:numPr>
        <w:suppressLineNumbers/>
        <w:tabs>
          <w:tab w:val="left" w:pos="567"/>
        </w:tabs>
        <w:suppressAutoHyphens/>
        <w:kinsoku w:val="0"/>
        <w:overflowPunct w:val="0"/>
        <w:autoSpaceDE w:val="0"/>
        <w:autoSpaceDN w:val="0"/>
        <w:adjustRightInd w:val="0"/>
        <w:snapToGrid w:val="0"/>
        <w:ind w:left="0" w:firstLine="0"/>
        <w:rPr>
          <w:rFonts w:eastAsia="Times New Roman Bold"/>
          <w:b w:val="0"/>
          <w:caps/>
          <w:snapToGrid w:val="0"/>
          <w:kern w:val="22"/>
          <w:szCs w:val="22"/>
        </w:rPr>
      </w:pPr>
      <w:r>
        <w:rPr>
          <w:rFonts w:eastAsia="Times New Roman Bold"/>
          <w:snapToGrid w:val="0"/>
          <w:kern w:val="22"/>
          <w:szCs w:val="22"/>
        </w:rPr>
        <w:t>Other matters</w:t>
      </w:r>
    </w:p>
    <w:p w14:paraId="749CA678" w14:textId="2D240D6E" w:rsidR="000D4DA8" w:rsidRPr="00BF6BF7" w:rsidRDefault="00217EFF" w:rsidP="00FE7DD7">
      <w:pPr>
        <w:pStyle w:val="Heading2"/>
        <w:rPr>
          <w:snapToGrid w:val="0"/>
        </w:rPr>
      </w:pPr>
      <w:r>
        <w:rPr>
          <w:snapToGrid w:val="0"/>
        </w:rPr>
        <w:t>A</w:t>
      </w:r>
      <w:r w:rsidR="009D23C9" w:rsidRPr="00BF6BF7">
        <w:rPr>
          <w:snapToGrid w:val="0"/>
        </w:rPr>
        <w:t>.</w:t>
      </w:r>
      <w:r w:rsidR="00FE7DD7">
        <w:rPr>
          <w:snapToGrid w:val="0"/>
        </w:rPr>
        <w:tab/>
      </w:r>
      <w:r w:rsidR="000D4DA8" w:rsidRPr="00BF6BF7">
        <w:rPr>
          <w:snapToGrid w:val="0"/>
        </w:rPr>
        <w:t>Result</w:t>
      </w:r>
      <w:r w:rsidR="003B0886">
        <w:rPr>
          <w:snapToGrid w:val="0"/>
        </w:rPr>
        <w:t>s</w:t>
      </w:r>
      <w:r w:rsidR="000D4DA8" w:rsidRPr="00BF6BF7">
        <w:rPr>
          <w:snapToGrid w:val="0"/>
        </w:rPr>
        <w:t>-based budget</w:t>
      </w:r>
      <w:r w:rsidR="000B65BA">
        <w:rPr>
          <w:snapToGrid w:val="0"/>
        </w:rPr>
        <w:t>ing</w:t>
      </w:r>
      <w:r w:rsidR="00F05621">
        <w:rPr>
          <w:snapToGrid w:val="0"/>
        </w:rPr>
        <w:t xml:space="preserve"> </w:t>
      </w:r>
    </w:p>
    <w:p w14:paraId="34493B37" w14:textId="156ED7E5" w:rsidR="00B627F8" w:rsidRPr="00ED31A1" w:rsidRDefault="00B627F8" w:rsidP="00FE7DD7">
      <w:pPr>
        <w:pStyle w:val="Para10"/>
      </w:pPr>
      <w:r w:rsidRPr="00D74B26">
        <w:t xml:space="preserve">In response to </w:t>
      </w:r>
      <w:r w:rsidR="00BC70B5">
        <w:t xml:space="preserve">a request by the Conference of the Parties in its </w:t>
      </w:r>
      <w:r w:rsidRPr="00D74B26">
        <w:t xml:space="preserve">decision </w:t>
      </w:r>
      <w:hyperlink r:id="rId16" w:history="1">
        <w:r w:rsidRPr="00B157F7">
          <w:rPr>
            <w:rStyle w:val="Hyperlink"/>
            <w:sz w:val="22"/>
          </w:rPr>
          <w:t>14/37</w:t>
        </w:r>
      </w:hyperlink>
      <w:r w:rsidRPr="00D74B26">
        <w:t xml:space="preserve"> and to audit recommendations, the Secretariat has developed a results-based framework for its work programming and budgeting. The </w:t>
      </w:r>
      <w:r w:rsidRPr="00ED31A1">
        <w:t>framework has been gradually introduced since early 2023 with the aim to be</w:t>
      </w:r>
      <w:r w:rsidR="000D26EA">
        <w:t>come</w:t>
      </w:r>
      <w:r w:rsidRPr="00ED31A1">
        <w:t xml:space="preserve"> fully operational during the 202</w:t>
      </w:r>
      <w:r w:rsidRPr="00B33B1E">
        <w:t>5</w:t>
      </w:r>
      <w:r w:rsidR="00ED31A1" w:rsidRPr="00ED31A1">
        <w:t>–</w:t>
      </w:r>
      <w:r w:rsidRPr="00B33B1E">
        <w:t>2</w:t>
      </w:r>
      <w:r w:rsidRPr="00ED31A1">
        <w:t xml:space="preserve">026 biennium. It will be updated on a regular basis, </w:t>
      </w:r>
      <w:r w:rsidRPr="00ED31A1">
        <w:rPr>
          <w:color w:val="000000"/>
        </w:rPr>
        <w:t xml:space="preserve">especially after major meetings, to ensure that planning is aligned and adjusted </w:t>
      </w:r>
      <w:proofErr w:type="gramStart"/>
      <w:r w:rsidR="000D26EA">
        <w:rPr>
          <w:color w:val="000000"/>
        </w:rPr>
        <w:t xml:space="preserve">on the </w:t>
      </w:r>
      <w:r w:rsidRPr="00ED31A1">
        <w:rPr>
          <w:color w:val="000000"/>
        </w:rPr>
        <w:t>bas</w:t>
      </w:r>
      <w:r w:rsidR="000D26EA">
        <w:rPr>
          <w:color w:val="000000"/>
        </w:rPr>
        <w:t>is</w:t>
      </w:r>
      <w:r w:rsidRPr="00ED31A1">
        <w:rPr>
          <w:color w:val="000000"/>
        </w:rPr>
        <w:t xml:space="preserve"> o</w:t>
      </w:r>
      <w:r w:rsidR="000D26EA">
        <w:rPr>
          <w:color w:val="000000"/>
        </w:rPr>
        <w:t>f</w:t>
      </w:r>
      <w:proofErr w:type="gramEnd"/>
      <w:r w:rsidRPr="00ED31A1">
        <w:rPr>
          <w:color w:val="000000"/>
        </w:rPr>
        <w:t xml:space="preserve"> decisions</w:t>
      </w:r>
      <w:r w:rsidR="006A0693" w:rsidRPr="00ED31A1">
        <w:rPr>
          <w:color w:val="000000"/>
        </w:rPr>
        <w:t xml:space="preserve"> of the Conference of the Parties to the Convention and </w:t>
      </w:r>
      <w:r w:rsidR="0058728C">
        <w:rPr>
          <w:color w:val="000000"/>
        </w:rPr>
        <w:t xml:space="preserve">the </w:t>
      </w:r>
      <w:r w:rsidR="00CA789D" w:rsidRPr="00ED31A1">
        <w:rPr>
          <w:color w:val="000000"/>
        </w:rPr>
        <w:t xml:space="preserve">Conference of the Parties </w:t>
      </w:r>
      <w:r w:rsidR="0058728C">
        <w:rPr>
          <w:color w:val="000000"/>
        </w:rPr>
        <w:t xml:space="preserve">serving as </w:t>
      </w:r>
      <w:r w:rsidR="006A0693" w:rsidRPr="00ED31A1">
        <w:rPr>
          <w:color w:val="000000"/>
        </w:rPr>
        <w:t>the meetings of the Parties to the Protocols</w:t>
      </w:r>
      <w:r w:rsidRPr="00ED31A1">
        <w:rPr>
          <w:color w:val="000000"/>
        </w:rPr>
        <w:t>.</w:t>
      </w:r>
      <w:r w:rsidRPr="00ED31A1">
        <w:t xml:space="preserve"> The </w:t>
      </w:r>
      <w:r w:rsidR="00C41597">
        <w:t>framework</w:t>
      </w:r>
      <w:r w:rsidR="00C41597" w:rsidRPr="00ED31A1">
        <w:t xml:space="preserve"> </w:t>
      </w:r>
      <w:r w:rsidRPr="00ED31A1">
        <w:t xml:space="preserve">is expected to guide the Secretariat in determining its resource requirements and to further </w:t>
      </w:r>
      <w:r w:rsidRPr="00B33B1E">
        <w:t>optimi</w:t>
      </w:r>
      <w:r w:rsidR="00ED31A1" w:rsidRPr="00B33B1E">
        <w:t>z</w:t>
      </w:r>
      <w:r w:rsidRPr="00B33B1E">
        <w:t>e</w:t>
      </w:r>
      <w:r w:rsidRPr="00ED31A1">
        <w:t xml:space="preserve"> the use of voluntary funds for the </w:t>
      </w:r>
      <w:r w:rsidR="006E2071">
        <w:t>achievement</w:t>
      </w:r>
      <w:r w:rsidR="006E2071" w:rsidRPr="00ED31A1">
        <w:t xml:space="preserve"> </w:t>
      </w:r>
      <w:r w:rsidRPr="00ED31A1">
        <w:t>of results.</w:t>
      </w:r>
    </w:p>
    <w:p w14:paraId="267AA3C7" w14:textId="090FF391" w:rsidR="000922C7" w:rsidRPr="00ED31A1" w:rsidRDefault="00B627F8" w:rsidP="00FE7DD7">
      <w:pPr>
        <w:pStyle w:val="Para10"/>
      </w:pPr>
      <w:r w:rsidRPr="00ED31A1">
        <w:t>The Secretariat has started to use the result</w:t>
      </w:r>
      <w:r w:rsidR="003B0886">
        <w:t>s</w:t>
      </w:r>
      <w:r w:rsidRPr="00ED31A1">
        <w:t xml:space="preserve">-based framework </w:t>
      </w:r>
      <w:r w:rsidR="006B1D1D">
        <w:t xml:space="preserve">to ensure the </w:t>
      </w:r>
      <w:r w:rsidRPr="00ED31A1">
        <w:t xml:space="preserve">optimized implementation of its activities and </w:t>
      </w:r>
      <w:r w:rsidR="00AB5E52">
        <w:t xml:space="preserve">of the </w:t>
      </w:r>
      <w:r w:rsidRPr="00ED31A1">
        <w:t xml:space="preserve">voluntary funds. The framework will also enable the Secretariat </w:t>
      </w:r>
      <w:r w:rsidRPr="00B33B1E">
        <w:t xml:space="preserve">to </w:t>
      </w:r>
      <w:r w:rsidRPr="00ED31A1">
        <w:t xml:space="preserve">monitor </w:t>
      </w:r>
      <w:r w:rsidRPr="00ED31A1">
        <w:rPr>
          <w:color w:val="000000"/>
        </w:rPr>
        <w:t xml:space="preserve">the implementation of its activities </w:t>
      </w:r>
      <w:r w:rsidRPr="00ED31A1">
        <w:t>and to report on results</w:t>
      </w:r>
      <w:r w:rsidR="00B90C84" w:rsidRPr="00B90C84">
        <w:t xml:space="preserve"> </w:t>
      </w:r>
      <w:r w:rsidR="00B90C84" w:rsidRPr="00300242">
        <w:t>effectively</w:t>
      </w:r>
      <w:r w:rsidRPr="00ED31A1">
        <w:t xml:space="preserve">. </w:t>
      </w:r>
    </w:p>
    <w:p w14:paraId="71C75630" w14:textId="666686D3" w:rsidR="00B21730" w:rsidRDefault="00A77A1F" w:rsidP="00FE7DD7">
      <w:pPr>
        <w:pStyle w:val="Heading2"/>
      </w:pPr>
      <w:r>
        <w:t>B.</w:t>
      </w:r>
      <w:r w:rsidR="00FE7DD7">
        <w:tab/>
      </w:r>
      <w:r w:rsidR="00B21730" w:rsidRPr="00D74B26">
        <w:t xml:space="preserve">Introduction </w:t>
      </w:r>
      <w:r w:rsidR="00B21730" w:rsidRPr="00087F29">
        <w:t xml:space="preserve">of </w:t>
      </w:r>
      <w:r w:rsidR="00AB5E52">
        <w:t xml:space="preserve">a </w:t>
      </w:r>
      <w:r w:rsidR="00B21730" w:rsidRPr="00AB5E52">
        <w:t>new</w:t>
      </w:r>
      <w:r w:rsidR="00B21730" w:rsidRPr="00087F29">
        <w:t xml:space="preserve"> </w:t>
      </w:r>
      <w:r w:rsidR="00B21730" w:rsidRPr="00B33B1E">
        <w:t>program</w:t>
      </w:r>
      <w:r w:rsidR="00087F29" w:rsidRPr="00B33B1E">
        <w:t>me</w:t>
      </w:r>
      <w:r w:rsidR="00B21730" w:rsidRPr="00B33B1E">
        <w:t xml:space="preserve"> </w:t>
      </w:r>
      <w:r w:rsidR="00B21730" w:rsidRPr="00087F29">
        <w:t>monitoring tool</w:t>
      </w:r>
    </w:p>
    <w:p w14:paraId="03ECB7B6" w14:textId="0BEF5B55" w:rsidR="007C1562" w:rsidRPr="00D74B26" w:rsidRDefault="007C1562" w:rsidP="00FE7DD7">
      <w:pPr>
        <w:pStyle w:val="Para10"/>
        <w:rPr>
          <w:color w:val="505A7E"/>
          <w:lang w:eastAsia="zh-CN"/>
        </w:rPr>
      </w:pPr>
      <w:r w:rsidRPr="00EC6265">
        <w:t xml:space="preserve">The </w:t>
      </w:r>
      <w:r w:rsidRPr="00B33B1E">
        <w:t>United Nations Secretariat</w:t>
      </w:r>
      <w:r w:rsidRPr="00D74B26">
        <w:t xml:space="preserve"> has introduced the </w:t>
      </w:r>
      <w:r w:rsidR="008A7881">
        <w:t>i</w:t>
      </w:r>
      <w:r w:rsidRPr="00D74B26">
        <w:t xml:space="preserve">ntegrated </w:t>
      </w:r>
      <w:r w:rsidR="008A7881">
        <w:t>p</w:t>
      </w:r>
      <w:r w:rsidRPr="00D74B26">
        <w:t xml:space="preserve">lanning, </w:t>
      </w:r>
      <w:r w:rsidR="008A7881">
        <w:t>m</w:t>
      </w:r>
      <w:r w:rsidRPr="00D74B26">
        <w:t xml:space="preserve">anagement and </w:t>
      </w:r>
      <w:r w:rsidR="008A7881">
        <w:t>r</w:t>
      </w:r>
      <w:r w:rsidRPr="00006C3B">
        <w:t>eporting solution</w:t>
      </w:r>
      <w:r w:rsidR="008A7881">
        <w:t>,</w:t>
      </w:r>
      <w:r w:rsidRPr="00006C3B">
        <w:t xml:space="preserve"> in line with the vision </w:t>
      </w:r>
      <w:r w:rsidR="00586A0A">
        <w:t xml:space="preserve">of the </w:t>
      </w:r>
      <w:r w:rsidR="00586A0A" w:rsidRPr="00300242">
        <w:t>Secretary-General</w:t>
      </w:r>
      <w:r w:rsidR="00586A0A" w:rsidRPr="00006C3B">
        <w:t xml:space="preserve"> </w:t>
      </w:r>
      <w:r w:rsidR="00586A0A">
        <w:t xml:space="preserve">of the </w:t>
      </w:r>
      <w:r w:rsidR="00586A0A" w:rsidRPr="00300242">
        <w:t xml:space="preserve">United Nations </w:t>
      </w:r>
      <w:r w:rsidRPr="00006C3B">
        <w:t xml:space="preserve">for a more agile and decentralized </w:t>
      </w:r>
      <w:r w:rsidR="0044432A">
        <w:t xml:space="preserve">United Nations </w:t>
      </w:r>
      <w:r w:rsidRPr="00006C3B">
        <w:t xml:space="preserve">Secretariat. In its resolution 74/271 on </w:t>
      </w:r>
      <w:r w:rsidR="001535CC">
        <w:t>p</w:t>
      </w:r>
      <w:r w:rsidRPr="00006C3B">
        <w:t xml:space="preserve">rogress towards an accountability system in the </w:t>
      </w:r>
      <w:r w:rsidRPr="00B33B1E">
        <w:t>United Nations Secretariat</w:t>
      </w:r>
      <w:r w:rsidR="001535CC">
        <w:t>,</w:t>
      </w:r>
      <w:r w:rsidRPr="00006C3B">
        <w:t xml:space="preserve"> the </w:t>
      </w:r>
      <w:r w:rsidRPr="00B33B1E">
        <w:t>General Assembly</w:t>
      </w:r>
      <w:r w:rsidRPr="00006C3B">
        <w:t xml:space="preserve"> requested the Secretary-General to continue his efforts aimed at strengthening the implementation of </w:t>
      </w:r>
      <w:r w:rsidRPr="00F13A9D">
        <w:t xml:space="preserve">results-based management. The solution is built to facilitate </w:t>
      </w:r>
      <w:r w:rsidR="00EB2273">
        <w:t xml:space="preserve">the </w:t>
      </w:r>
      <w:r w:rsidRPr="00F13A9D">
        <w:t>implementation of results-based projects following the logical framework approach, in accordance with results-based management principles</w:t>
      </w:r>
      <w:r w:rsidR="00D625C5">
        <w:t>,</w:t>
      </w:r>
      <w:r w:rsidRPr="00F13A9D">
        <w:t xml:space="preserve"> and will thus support the commitment and efforts </w:t>
      </w:r>
      <w:r w:rsidR="00D625C5">
        <w:t xml:space="preserve">of the </w:t>
      </w:r>
      <w:r w:rsidR="00D625C5" w:rsidRPr="00F13A9D">
        <w:t xml:space="preserve">Secretary-General </w:t>
      </w:r>
      <w:r w:rsidR="00D625C5">
        <w:t>to</w:t>
      </w:r>
      <w:r w:rsidRPr="00F13A9D">
        <w:t xml:space="preserve"> implement a </w:t>
      </w:r>
      <w:r w:rsidR="00006C3B" w:rsidRPr="00F13A9D">
        <w:t xml:space="preserve">results-based management </w:t>
      </w:r>
      <w:r w:rsidRPr="00F13A9D">
        <w:t>culture.</w:t>
      </w:r>
    </w:p>
    <w:p w14:paraId="37B09BB0" w14:textId="130B3A16" w:rsidR="00DD7270" w:rsidRPr="00FE7DD7" w:rsidRDefault="007C1562" w:rsidP="00FE7DD7">
      <w:pPr>
        <w:pStyle w:val="Para10"/>
      </w:pPr>
      <w:r w:rsidRPr="006253AD">
        <w:t xml:space="preserve">In March 2024, </w:t>
      </w:r>
      <w:r w:rsidRPr="00B33B1E">
        <w:t>UNEP</w:t>
      </w:r>
      <w:r w:rsidRPr="006253AD">
        <w:t xml:space="preserve"> </w:t>
      </w:r>
      <w:r w:rsidR="00BA200A">
        <w:t>held</w:t>
      </w:r>
      <w:r w:rsidR="00BA200A" w:rsidRPr="006253AD">
        <w:t xml:space="preserve"> </w:t>
      </w:r>
      <w:r w:rsidRPr="006253AD">
        <w:t>a training session</w:t>
      </w:r>
      <w:r w:rsidR="00334A43">
        <w:t>,</w:t>
      </w:r>
      <w:r w:rsidRPr="006253AD">
        <w:t xml:space="preserve"> </w:t>
      </w:r>
      <w:r w:rsidR="00BA200A" w:rsidRPr="006253AD">
        <w:t xml:space="preserve">hosted by </w:t>
      </w:r>
      <w:r w:rsidR="00BA200A" w:rsidRPr="006018B6">
        <w:t xml:space="preserve">the </w:t>
      </w:r>
      <w:r w:rsidR="00BA200A" w:rsidRPr="006253AD">
        <w:t>Secretariat of the Convention</w:t>
      </w:r>
      <w:r w:rsidR="00334A43">
        <w:t>,</w:t>
      </w:r>
      <w:r w:rsidR="00BA200A" w:rsidRPr="006253AD">
        <w:t xml:space="preserve"> </w:t>
      </w:r>
      <w:r w:rsidRPr="006253AD">
        <w:t xml:space="preserve">on </w:t>
      </w:r>
      <w:r w:rsidR="00DF7E67" w:rsidRPr="006253AD">
        <w:t xml:space="preserve">the </w:t>
      </w:r>
      <w:r w:rsidR="00BA200A">
        <w:t>i</w:t>
      </w:r>
      <w:r w:rsidR="00DF7E67" w:rsidRPr="006253AD">
        <w:t xml:space="preserve">ntegrated </w:t>
      </w:r>
      <w:r w:rsidR="00BA200A">
        <w:t>p</w:t>
      </w:r>
      <w:r w:rsidR="00DF7E67" w:rsidRPr="006253AD">
        <w:t xml:space="preserve">lanning, </w:t>
      </w:r>
      <w:r w:rsidR="00BA200A">
        <w:t>m</w:t>
      </w:r>
      <w:r w:rsidR="00DF7E67" w:rsidRPr="006253AD">
        <w:t xml:space="preserve">anagement and </w:t>
      </w:r>
      <w:r w:rsidR="00BA200A">
        <w:t>r</w:t>
      </w:r>
      <w:r w:rsidR="00DF7E67" w:rsidRPr="006253AD">
        <w:t xml:space="preserve">eporting solution </w:t>
      </w:r>
      <w:r w:rsidRPr="006253AD">
        <w:t xml:space="preserve">for </w:t>
      </w:r>
      <w:r w:rsidRPr="00B33B1E">
        <w:t>the UNEP</w:t>
      </w:r>
      <w:r w:rsidRPr="006253AD">
        <w:t xml:space="preserve">-administered </w:t>
      </w:r>
      <w:r w:rsidR="00BC70B5" w:rsidRPr="006253AD">
        <w:t>multilateral environmental agreement secretariats</w:t>
      </w:r>
      <w:r w:rsidRPr="006253AD">
        <w:t xml:space="preserve">, in support of their transition to </w:t>
      </w:r>
      <w:r w:rsidRPr="00B33B1E">
        <w:t xml:space="preserve">the </w:t>
      </w:r>
      <w:r w:rsidRPr="006253AD">
        <w:t>solution</w:t>
      </w:r>
      <w:r w:rsidRPr="00D74B26">
        <w:t xml:space="preserve">. The Secretariat </w:t>
      </w:r>
      <w:r w:rsidR="00AC420B" w:rsidRPr="006253AD">
        <w:t>of the Convention</w:t>
      </w:r>
      <w:r w:rsidR="00AC420B" w:rsidRPr="00D74B26">
        <w:t xml:space="preserve"> </w:t>
      </w:r>
      <w:r w:rsidRPr="00D74B26">
        <w:t>has started to roll</w:t>
      </w:r>
      <w:r w:rsidR="003B50ED">
        <w:t xml:space="preserve"> </w:t>
      </w:r>
      <w:r w:rsidRPr="00D74B26">
        <w:t>out th</w:t>
      </w:r>
      <w:r w:rsidR="003B50ED">
        <w:t>e</w:t>
      </w:r>
      <w:r w:rsidRPr="00D74B26">
        <w:t xml:space="preserve"> new system and will use </w:t>
      </w:r>
      <w:r w:rsidR="00D01559">
        <w:t>it</w:t>
      </w:r>
      <w:r w:rsidR="002F1C8B" w:rsidRPr="006340A7">
        <w:t xml:space="preserve"> </w:t>
      </w:r>
      <w:r w:rsidRPr="006340A7">
        <w:t xml:space="preserve">for the management of its programme of work. </w:t>
      </w:r>
      <w:r w:rsidR="00220D6F" w:rsidRPr="006340A7">
        <w:t>The</w:t>
      </w:r>
      <w:r w:rsidR="00FA0EE8" w:rsidRPr="006340A7">
        <w:t xml:space="preserve"> solution</w:t>
      </w:r>
      <w:r w:rsidR="00220D6F" w:rsidRPr="006340A7">
        <w:t xml:space="preserve"> </w:t>
      </w:r>
      <w:r w:rsidRPr="006340A7">
        <w:t>will support a</w:t>
      </w:r>
      <w:r w:rsidRPr="00D74B26">
        <w:t>nd strengthen the implementation of the result</w:t>
      </w:r>
      <w:r w:rsidR="003B0886">
        <w:t>s</w:t>
      </w:r>
      <w:r w:rsidRPr="00D74B26">
        <w:t>-based framework</w:t>
      </w:r>
      <w:r w:rsidR="00562EA4">
        <w:t xml:space="preserve"> of the </w:t>
      </w:r>
      <w:r w:rsidR="00562EA4" w:rsidRPr="00D74B26">
        <w:t>Secretariat</w:t>
      </w:r>
      <w:r w:rsidRPr="00D74B26">
        <w:t xml:space="preserve">. </w:t>
      </w:r>
    </w:p>
    <w:p w14:paraId="5190A93D" w14:textId="5867963E" w:rsidR="000D4DA8" w:rsidRPr="00015160" w:rsidRDefault="00D34255" w:rsidP="00FE7DD7">
      <w:pPr>
        <w:pStyle w:val="Heading2"/>
        <w:rPr>
          <w:snapToGrid w:val="0"/>
          <w:highlight w:val="yellow"/>
          <w:u w:val="single"/>
        </w:rPr>
      </w:pPr>
      <w:r>
        <w:rPr>
          <w:snapToGrid w:val="0"/>
        </w:rPr>
        <w:t>C</w:t>
      </w:r>
      <w:r w:rsidR="009D23C9" w:rsidRPr="00BF6BF7">
        <w:rPr>
          <w:snapToGrid w:val="0"/>
        </w:rPr>
        <w:t>.</w:t>
      </w:r>
      <w:r w:rsidR="009D23C9" w:rsidRPr="00BF6BF7">
        <w:rPr>
          <w:snapToGrid w:val="0"/>
        </w:rPr>
        <w:tab/>
      </w:r>
      <w:r w:rsidR="000D4DA8" w:rsidRPr="00BF6BF7">
        <w:rPr>
          <w:snapToGrid w:val="0"/>
        </w:rPr>
        <w:t>Staffing</w:t>
      </w:r>
    </w:p>
    <w:p w14:paraId="1234089F" w14:textId="04794FAD" w:rsidR="009146DF" w:rsidRPr="00FE7DD7" w:rsidRDefault="009146DF" w:rsidP="00FE7DD7">
      <w:pPr>
        <w:pStyle w:val="Para10"/>
        <w:rPr>
          <w:sz w:val="24"/>
          <w:lang w:val="en-US" w:eastAsia="zh-CN"/>
        </w:rPr>
      </w:pPr>
      <w:r w:rsidRPr="00832854">
        <w:t xml:space="preserve">At its fifteenth meeting, in </w:t>
      </w:r>
      <w:r w:rsidR="002365C7" w:rsidRPr="00832854">
        <w:t>paragraph 8</w:t>
      </w:r>
      <w:r w:rsidR="002365C7">
        <w:t xml:space="preserve"> of</w:t>
      </w:r>
      <w:r w:rsidR="002365C7" w:rsidRPr="00832854">
        <w:t xml:space="preserve"> </w:t>
      </w:r>
      <w:r w:rsidR="006A0693">
        <w:t xml:space="preserve">its </w:t>
      </w:r>
      <w:r w:rsidRPr="00832854">
        <w:t xml:space="preserve">decision 15/34, the Conference of the Parties </w:t>
      </w:r>
      <w:r w:rsidR="0052119F">
        <w:t>adopted</w:t>
      </w:r>
      <w:r w:rsidR="0052119F" w:rsidRPr="00832854">
        <w:t xml:space="preserve"> </w:t>
      </w:r>
      <w:r w:rsidRPr="00832854">
        <w:t xml:space="preserve">a staffing table of 53 posts </w:t>
      </w:r>
      <w:r w:rsidR="00D63B5A">
        <w:t xml:space="preserve">in the </w:t>
      </w:r>
      <w:r w:rsidR="00D63B5A" w:rsidRPr="00832854">
        <w:t xml:space="preserve">Professional </w:t>
      </w:r>
      <w:r w:rsidR="00C04A92">
        <w:t xml:space="preserve">and higher </w:t>
      </w:r>
      <w:r w:rsidR="00D63B5A">
        <w:t>categor</w:t>
      </w:r>
      <w:r w:rsidR="00C04A92">
        <w:t>ies</w:t>
      </w:r>
      <w:r w:rsidR="00D63B5A">
        <w:t xml:space="preserve"> </w:t>
      </w:r>
      <w:r w:rsidRPr="00832854">
        <w:t xml:space="preserve">and 29 posts </w:t>
      </w:r>
      <w:r w:rsidR="00D63B5A">
        <w:t xml:space="preserve">in the </w:t>
      </w:r>
      <w:r w:rsidR="00D63B5A" w:rsidRPr="00832854">
        <w:t xml:space="preserve">General Service </w:t>
      </w:r>
      <w:r w:rsidR="00D63B5A">
        <w:t xml:space="preserve">category </w:t>
      </w:r>
      <w:r w:rsidRPr="00832854">
        <w:t xml:space="preserve">under the integrated core budget for the Convention and its Protocols. </w:t>
      </w:r>
      <w:r w:rsidR="00C41597">
        <w:t>At the time of reporting</w:t>
      </w:r>
      <w:r w:rsidR="000A51B9">
        <w:t>, t</w:t>
      </w:r>
      <w:r w:rsidRPr="00832854">
        <w:t xml:space="preserve">here </w:t>
      </w:r>
      <w:r w:rsidR="000A51B9">
        <w:t xml:space="preserve">were </w:t>
      </w:r>
      <w:r w:rsidRPr="00832854">
        <w:t xml:space="preserve">eight vacant posts </w:t>
      </w:r>
      <w:r w:rsidR="001842B5">
        <w:t xml:space="preserve">in the </w:t>
      </w:r>
      <w:r w:rsidR="001842B5" w:rsidRPr="00832854">
        <w:t xml:space="preserve">Professional </w:t>
      </w:r>
      <w:r w:rsidR="00C41597">
        <w:t xml:space="preserve">and higher </w:t>
      </w:r>
      <w:r w:rsidR="001842B5">
        <w:t>categor</w:t>
      </w:r>
      <w:r w:rsidR="00C41597">
        <w:t>ies</w:t>
      </w:r>
      <w:r w:rsidR="001842B5">
        <w:t xml:space="preserve"> </w:t>
      </w:r>
      <w:r w:rsidRPr="00832854">
        <w:t xml:space="preserve">and two </w:t>
      </w:r>
      <w:r w:rsidR="001842B5">
        <w:t xml:space="preserve">vacant </w:t>
      </w:r>
      <w:r w:rsidRPr="00832854">
        <w:t>posts</w:t>
      </w:r>
      <w:r w:rsidR="00F84F66" w:rsidRPr="00832854">
        <w:t xml:space="preserve"> </w:t>
      </w:r>
      <w:r w:rsidR="001842B5">
        <w:t xml:space="preserve">in the </w:t>
      </w:r>
      <w:r w:rsidR="001842B5" w:rsidRPr="00832854">
        <w:t xml:space="preserve">General Service </w:t>
      </w:r>
      <w:r w:rsidR="001842B5">
        <w:t>category</w:t>
      </w:r>
      <w:r w:rsidR="001C5D4D">
        <w:t>,</w:t>
      </w:r>
      <w:r w:rsidR="001842B5">
        <w:t xml:space="preserve"> </w:t>
      </w:r>
      <w:r w:rsidR="00F84F66" w:rsidRPr="00832854">
        <w:t xml:space="preserve">for which </w:t>
      </w:r>
      <w:r w:rsidRPr="00832854">
        <w:t xml:space="preserve">recruitment </w:t>
      </w:r>
      <w:r w:rsidR="00BA3F5E">
        <w:t>wa</w:t>
      </w:r>
      <w:r w:rsidRPr="00832854">
        <w:t xml:space="preserve">s in </w:t>
      </w:r>
      <w:r w:rsidR="001C5D4D">
        <w:t>progress</w:t>
      </w:r>
      <w:r w:rsidR="001C5D4D" w:rsidRPr="00832854">
        <w:t xml:space="preserve"> </w:t>
      </w:r>
      <w:r w:rsidR="00F84F66" w:rsidRPr="00832854">
        <w:t>and at various stages</w:t>
      </w:r>
      <w:r w:rsidRPr="00832854">
        <w:t xml:space="preserve">. </w:t>
      </w:r>
      <w:r w:rsidR="008D306D" w:rsidRPr="008D306D">
        <w:t>All vacant positions are expected to be filled by the end of 2024</w:t>
      </w:r>
      <w:r w:rsidR="008D306D">
        <w:t>.</w:t>
      </w:r>
    </w:p>
    <w:p w14:paraId="782301C1" w14:textId="7D1709CB" w:rsidR="004C5AE3" w:rsidRPr="00832854" w:rsidRDefault="009146DF" w:rsidP="00FE7DD7">
      <w:pPr>
        <w:pStyle w:val="Para10"/>
      </w:pPr>
      <w:r w:rsidRPr="00F13A9D">
        <w:t xml:space="preserve">In addition to the posts funded under the </w:t>
      </w:r>
      <w:r w:rsidR="0063383E">
        <w:t xml:space="preserve">integrated </w:t>
      </w:r>
      <w:r w:rsidRPr="00F13A9D">
        <w:t xml:space="preserve">core budget, there are </w:t>
      </w:r>
      <w:r w:rsidR="003357AA" w:rsidRPr="00F13A9D">
        <w:t xml:space="preserve">17 </w:t>
      </w:r>
      <w:r w:rsidRPr="00F13A9D">
        <w:t xml:space="preserve">posts (4 </w:t>
      </w:r>
      <w:r w:rsidR="005B6492">
        <w:t xml:space="preserve">in the </w:t>
      </w:r>
      <w:r w:rsidRPr="00F13A9D">
        <w:t xml:space="preserve">Professional </w:t>
      </w:r>
      <w:r w:rsidR="00D12F8F">
        <w:t xml:space="preserve">category </w:t>
      </w:r>
      <w:r w:rsidRPr="00F13A9D">
        <w:t xml:space="preserve">and </w:t>
      </w:r>
      <w:r w:rsidR="003357AA" w:rsidRPr="00F13A9D">
        <w:t xml:space="preserve">13 </w:t>
      </w:r>
      <w:r w:rsidR="00D12F8F">
        <w:t xml:space="preserve">in the </w:t>
      </w:r>
      <w:r w:rsidRPr="00F13A9D">
        <w:t>General Service</w:t>
      </w:r>
      <w:r w:rsidR="00D12F8F">
        <w:t xml:space="preserve"> category</w:t>
      </w:r>
      <w:r w:rsidRPr="00F13A9D">
        <w:t xml:space="preserve">) in the Administration, Finance and Conference Services Division </w:t>
      </w:r>
      <w:r w:rsidR="00344466">
        <w:t xml:space="preserve">that </w:t>
      </w:r>
      <w:r w:rsidRPr="00F13A9D">
        <w:t xml:space="preserve">are funded from </w:t>
      </w:r>
      <w:r w:rsidR="000C4C2D">
        <w:t xml:space="preserve">the </w:t>
      </w:r>
      <w:r w:rsidRPr="00B33B1E">
        <w:t>UNEP</w:t>
      </w:r>
      <w:r w:rsidRPr="00F13A9D">
        <w:t xml:space="preserve"> </w:t>
      </w:r>
      <w:r w:rsidR="00382109" w:rsidRPr="00382109">
        <w:t>o</w:t>
      </w:r>
      <w:r w:rsidRPr="00382109">
        <w:t xml:space="preserve">verhead </w:t>
      </w:r>
      <w:r w:rsidR="00382109" w:rsidRPr="00382109">
        <w:t>t</w:t>
      </w:r>
      <w:r w:rsidRPr="00B33B1E">
        <w:t xml:space="preserve">rust </w:t>
      </w:r>
      <w:r w:rsidR="00382109" w:rsidRPr="00382109">
        <w:t>f</w:t>
      </w:r>
      <w:r w:rsidRPr="00B33B1E">
        <w:t>und</w:t>
      </w:r>
      <w:r w:rsidRPr="00F13A9D">
        <w:t>,</w:t>
      </w:r>
      <w:r w:rsidRPr="00B33B1E">
        <w:t xml:space="preserve"> 5 posts</w:t>
      </w:r>
      <w:r w:rsidRPr="00F13A9D">
        <w:t xml:space="preserve"> from</w:t>
      </w:r>
      <w:r w:rsidR="00D07435">
        <w:t>,</w:t>
      </w:r>
      <w:r w:rsidRPr="00F13A9D">
        <w:t xml:space="preserve"> </w:t>
      </w:r>
      <w:r w:rsidR="00B84DBD" w:rsidRPr="00F13A9D">
        <w:t>and as part of</w:t>
      </w:r>
      <w:r w:rsidR="00D07435">
        <w:t>,</w:t>
      </w:r>
      <w:r w:rsidR="00B84DBD" w:rsidRPr="00F13A9D">
        <w:t xml:space="preserve"> </w:t>
      </w:r>
      <w:r w:rsidRPr="00F13A9D">
        <w:t xml:space="preserve">the Japan Biodiversity </w:t>
      </w:r>
      <w:r w:rsidRPr="00B33B1E">
        <w:t xml:space="preserve">Fund </w:t>
      </w:r>
      <w:r w:rsidRPr="00F13A9D">
        <w:t xml:space="preserve">(3 </w:t>
      </w:r>
      <w:r w:rsidR="007A4CB2">
        <w:t xml:space="preserve">in the </w:t>
      </w:r>
      <w:r w:rsidRPr="00F13A9D">
        <w:t xml:space="preserve">Professional </w:t>
      </w:r>
      <w:r w:rsidR="007A4CB2">
        <w:t xml:space="preserve">category </w:t>
      </w:r>
      <w:r w:rsidRPr="00F13A9D">
        <w:t xml:space="preserve">and 2 </w:t>
      </w:r>
      <w:r w:rsidR="007A4CB2">
        <w:t xml:space="preserve">in the </w:t>
      </w:r>
      <w:r w:rsidRPr="00F13A9D">
        <w:t>General Service</w:t>
      </w:r>
      <w:r w:rsidR="007A4CB2">
        <w:t xml:space="preserve"> category</w:t>
      </w:r>
      <w:r w:rsidRPr="00F13A9D">
        <w:t>),</w:t>
      </w:r>
      <w:r w:rsidRPr="00B33B1E">
        <w:t xml:space="preserve"> </w:t>
      </w:r>
      <w:r w:rsidR="00275A02" w:rsidRPr="00B33B1E">
        <w:t xml:space="preserve">2 </w:t>
      </w:r>
      <w:r w:rsidRPr="00F13A9D">
        <w:t>posts</w:t>
      </w:r>
      <w:r w:rsidRPr="003F3E25">
        <w:t xml:space="preserve"> </w:t>
      </w:r>
      <w:r w:rsidR="007A4CB2">
        <w:t>in the P</w:t>
      </w:r>
      <w:r w:rsidR="007A4CB2" w:rsidRPr="00F13A9D">
        <w:t xml:space="preserve">rofessional </w:t>
      </w:r>
      <w:r w:rsidR="007A4CB2">
        <w:t xml:space="preserve">category </w:t>
      </w:r>
      <w:r w:rsidRPr="003F3E25">
        <w:t xml:space="preserve">financed by </w:t>
      </w:r>
      <w:r w:rsidR="00031213">
        <w:t xml:space="preserve">voluntary contributions provided by </w:t>
      </w:r>
      <w:r w:rsidRPr="003F3E25">
        <w:t xml:space="preserve">the European </w:t>
      </w:r>
      <w:r w:rsidRPr="00D324A8">
        <w:t>Union and</w:t>
      </w:r>
      <w:r w:rsidRPr="00B33B1E">
        <w:t xml:space="preserve"> 2 posts</w:t>
      </w:r>
      <w:r w:rsidRPr="00D324A8">
        <w:t xml:space="preserve"> funded by the Republic of Korea through the </w:t>
      </w:r>
      <w:r w:rsidRPr="00B33B1E">
        <w:t>Bio-</w:t>
      </w:r>
      <w:r w:rsidR="00ED6723">
        <w:t>B</w:t>
      </w:r>
      <w:r w:rsidRPr="00D324A8">
        <w:t>ridge Initiative project</w:t>
      </w:r>
      <w:r w:rsidR="002B51BF">
        <w:t xml:space="preserve"> (</w:t>
      </w:r>
      <w:r w:rsidR="002B51BF" w:rsidRPr="00D324A8">
        <w:t xml:space="preserve">1 </w:t>
      </w:r>
      <w:r w:rsidR="002B51BF">
        <w:t xml:space="preserve">in the </w:t>
      </w:r>
      <w:r w:rsidR="002B51BF" w:rsidRPr="00D324A8">
        <w:t xml:space="preserve">Professional </w:t>
      </w:r>
      <w:r w:rsidR="002B51BF">
        <w:t xml:space="preserve">category </w:t>
      </w:r>
      <w:r w:rsidR="002B51BF" w:rsidRPr="00D324A8">
        <w:t xml:space="preserve">and 1 </w:t>
      </w:r>
      <w:r w:rsidR="002B51BF">
        <w:t xml:space="preserve">in the </w:t>
      </w:r>
      <w:r w:rsidR="002B51BF" w:rsidRPr="00D324A8">
        <w:t>General Service</w:t>
      </w:r>
      <w:r w:rsidR="002B51BF">
        <w:t xml:space="preserve"> category</w:t>
      </w:r>
      <w:r w:rsidR="002B51BF" w:rsidRPr="00D324A8">
        <w:t>)</w:t>
      </w:r>
      <w:r w:rsidRPr="00D324A8">
        <w:t xml:space="preserve">. </w:t>
      </w:r>
      <w:r w:rsidR="00B84DBD" w:rsidRPr="00D324A8">
        <w:t xml:space="preserve">The </w:t>
      </w:r>
      <w:r w:rsidRPr="00D324A8">
        <w:t>Republic of Korea is also directly funding one professional expert</w:t>
      </w:r>
      <w:r w:rsidR="00B84DBD" w:rsidRPr="00D324A8">
        <w:t xml:space="preserve"> on mission</w:t>
      </w:r>
      <w:r w:rsidRPr="00D324A8">
        <w:t>.</w:t>
      </w:r>
    </w:p>
    <w:p w14:paraId="11F8F3E2" w14:textId="31E53D9E" w:rsidR="009146DF" w:rsidRDefault="00C72465" w:rsidP="00FE7DD7">
      <w:pPr>
        <w:pStyle w:val="Para10"/>
      </w:pPr>
      <w:r w:rsidRPr="003F3E25">
        <w:lastRenderedPageBreak/>
        <w:t xml:space="preserve">Furthermore, three </w:t>
      </w:r>
      <w:r w:rsidR="008730B3" w:rsidRPr="003F3E25">
        <w:t>J</w:t>
      </w:r>
      <w:r w:rsidRPr="003F3E25">
        <w:t xml:space="preserve">unior </w:t>
      </w:r>
      <w:r w:rsidR="00B84DBD">
        <w:t>P</w:t>
      </w:r>
      <w:r w:rsidRPr="003F3E25">
        <w:t xml:space="preserve">rofessional </w:t>
      </w:r>
      <w:r w:rsidR="00B84DBD">
        <w:t>O</w:t>
      </w:r>
      <w:r w:rsidRPr="003F3E25">
        <w:t>fficers s</w:t>
      </w:r>
      <w:r w:rsidR="008730B3" w:rsidRPr="003F3E25">
        <w:t>ponsored by t</w:t>
      </w:r>
      <w:r w:rsidR="004C5AE3" w:rsidRPr="003F3E25">
        <w:t xml:space="preserve">he </w:t>
      </w:r>
      <w:r w:rsidR="004075D1" w:rsidRPr="003F3E25">
        <w:t>G</w:t>
      </w:r>
      <w:r w:rsidR="004C5AE3" w:rsidRPr="003F3E25">
        <w:t xml:space="preserve">overnment of Japan </w:t>
      </w:r>
      <w:r w:rsidR="007D7889">
        <w:t xml:space="preserve">(two) </w:t>
      </w:r>
      <w:r w:rsidR="004C5AE3" w:rsidRPr="003F3E25">
        <w:t>and</w:t>
      </w:r>
      <w:r w:rsidR="004075D1" w:rsidRPr="003F3E25">
        <w:t xml:space="preserve"> the Government of Italy </w:t>
      </w:r>
      <w:r w:rsidR="007D7889">
        <w:t xml:space="preserve">(one) </w:t>
      </w:r>
      <w:r w:rsidR="008730B3" w:rsidRPr="003F3E25">
        <w:t xml:space="preserve">are currently </w:t>
      </w:r>
      <w:r w:rsidR="009266DC" w:rsidRPr="003F3E25">
        <w:t>supporting</w:t>
      </w:r>
      <w:r w:rsidR="0051145B" w:rsidRPr="003F3E25">
        <w:t xml:space="preserve"> the Secretari</w:t>
      </w:r>
      <w:r w:rsidR="009266DC" w:rsidRPr="003F3E25">
        <w:t>a</w:t>
      </w:r>
      <w:r w:rsidR="00E908F8">
        <w:t>t</w:t>
      </w:r>
      <w:r w:rsidR="009266DC" w:rsidRPr="003F3E25">
        <w:t xml:space="preserve"> in the implementation of the program</w:t>
      </w:r>
      <w:r w:rsidR="007D7889">
        <w:t>me</w:t>
      </w:r>
      <w:r w:rsidR="009266DC" w:rsidRPr="003F3E25">
        <w:t xml:space="preserve"> of work.</w:t>
      </w:r>
    </w:p>
    <w:p w14:paraId="7B3DF6CA" w14:textId="1B735FC4" w:rsidR="00D44AAB" w:rsidRPr="00FE7DD7" w:rsidRDefault="00E71B75" w:rsidP="00FE7DD7">
      <w:pPr>
        <w:pStyle w:val="Para10"/>
        <w:rPr>
          <w:szCs w:val="22"/>
        </w:rPr>
      </w:pPr>
      <w:r>
        <w:t xml:space="preserve">As </w:t>
      </w:r>
      <w:proofErr w:type="gramStart"/>
      <w:r>
        <w:t>at</w:t>
      </w:r>
      <w:proofErr w:type="gramEnd"/>
      <w:r>
        <w:t xml:space="preserve"> </w:t>
      </w:r>
      <w:r w:rsidR="00894294">
        <w:t>2</w:t>
      </w:r>
      <w:r>
        <w:t>9 February 2024</w:t>
      </w:r>
      <w:r w:rsidR="009146DF" w:rsidRPr="00944410">
        <w:t>, the Secretariat ha</w:t>
      </w:r>
      <w:r>
        <w:t>d</w:t>
      </w:r>
      <w:r w:rsidR="009146DF" w:rsidRPr="00944410">
        <w:t xml:space="preserve"> used the services of 43 consultants and individual contractors </w:t>
      </w:r>
      <w:r w:rsidR="000F4E7D">
        <w:t>over the biennium</w:t>
      </w:r>
      <w:r w:rsidR="009146DF" w:rsidRPr="00944410">
        <w:t>, mainly</w:t>
      </w:r>
      <w:r w:rsidR="009146DF">
        <w:t xml:space="preserve"> funded from voluntary contributions, as additional resources to implement the programme of work and manage short-term staffing needs.</w:t>
      </w:r>
    </w:p>
    <w:p w14:paraId="219C01F8" w14:textId="4FCD4632" w:rsidR="00447848" w:rsidRPr="00F5039C" w:rsidRDefault="00BE19E9" w:rsidP="00FE7DD7">
      <w:pPr>
        <w:pStyle w:val="Para10"/>
      </w:pPr>
      <w:r>
        <w:t xml:space="preserve">The </w:t>
      </w:r>
      <w:r w:rsidR="00D24ED5">
        <w:t xml:space="preserve">process </w:t>
      </w:r>
      <w:r w:rsidR="00B84DBD">
        <w:t xml:space="preserve">for the recruitment </w:t>
      </w:r>
      <w:r w:rsidR="00D24ED5">
        <w:t xml:space="preserve">of the Executive </w:t>
      </w:r>
      <w:r w:rsidR="00C933E2" w:rsidRPr="00F5039C">
        <w:t xml:space="preserve">Secretary </w:t>
      </w:r>
      <w:r w:rsidR="002B7A29">
        <w:t>was</w:t>
      </w:r>
      <w:r w:rsidR="00D24ED5" w:rsidRPr="00F5039C">
        <w:t xml:space="preserve"> undertaken by </w:t>
      </w:r>
      <w:r w:rsidR="00D24ED5" w:rsidRPr="00B33B1E">
        <w:t>UNEP</w:t>
      </w:r>
      <w:r w:rsidR="00B131F7">
        <w:t>,</w:t>
      </w:r>
      <w:r w:rsidR="00D24ED5" w:rsidRPr="00F5039C">
        <w:t xml:space="preserve"> and </w:t>
      </w:r>
      <w:r w:rsidR="00720815" w:rsidRPr="00F5039C">
        <w:t xml:space="preserve">the </w:t>
      </w:r>
      <w:r w:rsidR="002B7A29" w:rsidRPr="006C6F47">
        <w:t>Secretary-General</w:t>
      </w:r>
      <w:r w:rsidR="002B7A29" w:rsidRPr="00F5039C">
        <w:t xml:space="preserve"> </w:t>
      </w:r>
      <w:r w:rsidR="00720815" w:rsidRPr="00F5039C">
        <w:t>appoint</w:t>
      </w:r>
      <w:r w:rsidR="002B7A29">
        <w:t>ed</w:t>
      </w:r>
      <w:r w:rsidR="00B84DBD" w:rsidRPr="00F5039C">
        <w:t xml:space="preserve"> Astrid Schomaker as the Executive Secretary </w:t>
      </w:r>
      <w:r w:rsidR="00720815" w:rsidRPr="00F5039C">
        <w:t xml:space="preserve">on </w:t>
      </w:r>
      <w:r w:rsidR="00B84DBD" w:rsidRPr="00F5039C">
        <w:t xml:space="preserve">2 </w:t>
      </w:r>
      <w:r w:rsidR="00AB4A2F" w:rsidRPr="00F5039C">
        <w:t>April 2</w:t>
      </w:r>
      <w:r w:rsidR="00B84DBD" w:rsidRPr="00F5039C">
        <w:t>024</w:t>
      </w:r>
      <w:r w:rsidR="00AB4A2F" w:rsidRPr="00F5039C">
        <w:t xml:space="preserve">. </w:t>
      </w:r>
      <w:r w:rsidR="008071F0" w:rsidRPr="00F5039C">
        <w:t xml:space="preserve">The </w:t>
      </w:r>
      <w:r w:rsidR="00D43068" w:rsidRPr="00F5039C">
        <w:t xml:space="preserve">new </w:t>
      </w:r>
      <w:r w:rsidR="00447848" w:rsidRPr="00F5039C">
        <w:t>E</w:t>
      </w:r>
      <w:r w:rsidR="00D43068" w:rsidRPr="00F5039C">
        <w:t xml:space="preserve">xecutive </w:t>
      </w:r>
      <w:r w:rsidR="00447848" w:rsidRPr="00F5039C">
        <w:t>S</w:t>
      </w:r>
      <w:r w:rsidR="00D43068" w:rsidRPr="00F5039C">
        <w:t xml:space="preserve">ecretary is expected to take office in </w:t>
      </w:r>
      <w:r w:rsidR="00B478A3" w:rsidRPr="00F5039C">
        <w:t xml:space="preserve">the </w:t>
      </w:r>
      <w:r w:rsidR="00D43068" w:rsidRPr="00F5039C">
        <w:t>coming weeks.</w:t>
      </w:r>
    </w:p>
    <w:p w14:paraId="5B739F14" w14:textId="71ED18B7" w:rsidR="005C48E8" w:rsidRPr="00B33B1E" w:rsidRDefault="00447848" w:rsidP="00B33B1E">
      <w:pPr>
        <w:pStyle w:val="Para10"/>
        <w:rPr>
          <w:color w:val="201F1E"/>
          <w:kern w:val="22"/>
          <w:szCs w:val="22"/>
        </w:rPr>
      </w:pPr>
      <w:r w:rsidRPr="00941856">
        <w:t xml:space="preserve">In its </w:t>
      </w:r>
      <w:r w:rsidRPr="00F5039C">
        <w:t xml:space="preserve">decision 15/34, the Conference of the Parties requested the Executive Secretary to undertake an external in-depth functional review of the structure of the Secretariat, with a view to updating its structure and posts in the light of the </w:t>
      </w:r>
      <w:r w:rsidRPr="00B33B1E">
        <w:t>Kunming-Montreal Global Biodiversity Framework</w:t>
      </w:r>
      <w:r w:rsidR="0010733C">
        <w:t>,</w:t>
      </w:r>
      <w:r w:rsidRPr="00F5039C">
        <w:t xml:space="preserve"> for consideration by the Conference of the Parties at its sixteenth meeting. </w:t>
      </w:r>
      <w:r w:rsidR="00F5039C" w:rsidRPr="00B33B1E">
        <w:t xml:space="preserve">Owing </w:t>
      </w:r>
      <w:r w:rsidRPr="00B33B1E">
        <w:t>to</w:t>
      </w:r>
      <w:r w:rsidRPr="00F5039C">
        <w:t xml:space="preserve"> the </w:t>
      </w:r>
      <w:r w:rsidR="0083283B">
        <w:t>heavy</w:t>
      </w:r>
      <w:r w:rsidR="0083283B" w:rsidRPr="00F5039C">
        <w:t xml:space="preserve"> </w:t>
      </w:r>
      <w:r w:rsidRPr="00F5039C">
        <w:t>workload, capacity constraints</w:t>
      </w:r>
      <w:r w:rsidRPr="00B33B1E">
        <w:t xml:space="preserve"> and</w:t>
      </w:r>
      <w:r w:rsidRPr="00F5039C">
        <w:t xml:space="preserve"> the extended process </w:t>
      </w:r>
      <w:r w:rsidR="009E32A1">
        <w:t xml:space="preserve">for </w:t>
      </w:r>
      <w:r w:rsidRPr="00F5039C">
        <w:t xml:space="preserve">and uncertainty </w:t>
      </w:r>
      <w:r w:rsidR="009E32A1">
        <w:t xml:space="preserve">with </w:t>
      </w:r>
      <w:r w:rsidRPr="00F5039C">
        <w:t>the timing of the recruitment of the Executive Secretary, the functional review has not yet been undertaken.</w:t>
      </w:r>
    </w:p>
    <w:p w14:paraId="751E67A1" w14:textId="5A1E5FB5" w:rsidR="00165403" w:rsidRPr="00BF6BF7" w:rsidRDefault="00B43012" w:rsidP="00BF6BF7">
      <w:pPr>
        <w:pStyle w:val="ListParagraph"/>
        <w:suppressLineNumbers/>
        <w:suppressAutoHyphens/>
        <w:kinsoku w:val="0"/>
        <w:overflowPunct w:val="0"/>
        <w:autoSpaceDE w:val="0"/>
        <w:autoSpaceDN w:val="0"/>
        <w:adjustRightInd w:val="0"/>
        <w:snapToGrid w:val="0"/>
        <w:spacing w:before="120" w:after="120"/>
        <w:ind w:left="0"/>
        <w:contextualSpacing w:val="0"/>
        <w:jc w:val="center"/>
        <w:rPr>
          <w:snapToGrid w:val="0"/>
          <w:kern w:val="22"/>
          <w:szCs w:val="22"/>
        </w:rPr>
      </w:pPr>
      <w:r w:rsidRPr="00BF6BF7">
        <w:rPr>
          <w:snapToGrid w:val="0"/>
          <w:kern w:val="22"/>
          <w:szCs w:val="22"/>
        </w:rPr>
        <w:t>__________</w:t>
      </w:r>
    </w:p>
    <w:sectPr w:rsidR="00165403" w:rsidRPr="00BF6BF7" w:rsidSect="001F5005">
      <w:headerReference w:type="even" r:id="rId17"/>
      <w:headerReference w:type="default" r:id="rId18"/>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337C9" w14:textId="77777777" w:rsidR="001F5005" w:rsidRDefault="001F5005">
      <w:r>
        <w:separator/>
      </w:r>
    </w:p>
  </w:endnote>
  <w:endnote w:type="continuationSeparator" w:id="0">
    <w:p w14:paraId="4C8D4453" w14:textId="77777777" w:rsidR="001F5005" w:rsidRDefault="001F5005">
      <w:r>
        <w:continuationSeparator/>
      </w:r>
    </w:p>
  </w:endnote>
  <w:endnote w:type="continuationNotice" w:id="1">
    <w:p w14:paraId="561D4D88" w14:textId="77777777" w:rsidR="001F5005" w:rsidRDefault="001F5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Lucida Grande">
    <w:altName w:val="Segoe UI"/>
    <w:charset w:val="00"/>
    <w:family w:val="auto"/>
    <w:pitch w:val="default"/>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pitch w:val="fixed"/>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27760" w14:textId="77777777" w:rsidR="001F5005" w:rsidRDefault="001F5005">
      <w:r>
        <w:separator/>
      </w:r>
    </w:p>
  </w:footnote>
  <w:footnote w:type="continuationSeparator" w:id="0">
    <w:p w14:paraId="50FC2127" w14:textId="77777777" w:rsidR="001F5005" w:rsidRDefault="001F5005">
      <w:r>
        <w:continuationSeparator/>
      </w:r>
    </w:p>
  </w:footnote>
  <w:footnote w:type="continuationNotice" w:id="1">
    <w:p w14:paraId="135131FA" w14:textId="77777777" w:rsidR="001F5005" w:rsidRDefault="001F5005"/>
  </w:footnote>
  <w:footnote w:id="2">
    <w:p w14:paraId="77ADD0F3" w14:textId="407F1774" w:rsidR="00490046" w:rsidRPr="001F7A23" w:rsidRDefault="00490046" w:rsidP="001F7A23">
      <w:pPr>
        <w:pStyle w:val="FootnoteText"/>
        <w:suppressLineNumbers/>
        <w:suppressAutoHyphens/>
        <w:kinsoku w:val="0"/>
        <w:overflowPunct w:val="0"/>
        <w:autoSpaceDE w:val="0"/>
        <w:autoSpaceDN w:val="0"/>
        <w:adjustRightInd w:val="0"/>
        <w:snapToGrid w:val="0"/>
        <w:jc w:val="left"/>
        <w:rPr>
          <w:snapToGrid w:val="0"/>
          <w:kern w:val="18"/>
          <w:szCs w:val="18"/>
        </w:rPr>
      </w:pPr>
      <w:r w:rsidRPr="001F7A23">
        <w:rPr>
          <w:rStyle w:val="FootnoteReference"/>
          <w:snapToGrid w:val="0"/>
          <w:kern w:val="18"/>
          <w:sz w:val="18"/>
          <w:szCs w:val="18"/>
        </w:rPr>
        <w:t>*</w:t>
      </w:r>
      <w:r w:rsidRPr="001F7A23">
        <w:rPr>
          <w:snapToGrid w:val="0"/>
          <w:kern w:val="18"/>
          <w:szCs w:val="18"/>
        </w:rPr>
        <w:t xml:space="preserve"> </w:t>
      </w:r>
      <w:r w:rsidRPr="00B33B1E">
        <w:rPr>
          <w:snapToGrid w:val="0"/>
          <w:kern w:val="18"/>
          <w:sz w:val="18"/>
          <w:szCs w:val="18"/>
        </w:rPr>
        <w:t>CBD/SBI/4/1.</w:t>
      </w:r>
    </w:p>
  </w:footnote>
  <w:footnote w:id="3">
    <w:p w14:paraId="46D0ABCF" w14:textId="002D22B6" w:rsidR="00490046" w:rsidRPr="00B33B1E" w:rsidRDefault="00490046">
      <w:pPr>
        <w:pStyle w:val="FootnoteText"/>
        <w:rPr>
          <w:lang w:val="en-US"/>
        </w:rPr>
      </w:pPr>
      <w:r>
        <w:rPr>
          <w:rStyle w:val="FootnoteReference"/>
        </w:rPr>
        <w:footnoteRef/>
      </w:r>
      <w:r>
        <w:t xml:space="preserve"> See </w:t>
      </w:r>
      <w:hyperlink r:id="rId1" w:history="1">
        <w:r w:rsidRPr="00B33B1E">
          <w:rPr>
            <w:rStyle w:val="Hyperlink"/>
            <w:rFonts w:asciiTheme="majorBidi" w:hAnsiTheme="majorBidi" w:cstheme="majorBidi"/>
            <w:szCs w:val="18"/>
          </w:rPr>
          <w:t>www.cbd.int/information/adm-fin/</w:t>
        </w:r>
      </w:hyperlink>
      <w:r w:rsidRPr="00B33B1E">
        <w:rPr>
          <w:color w:val="000000" w:themeColor="text1"/>
          <w:kern w:val="20"/>
          <w:sz w:val="18"/>
          <w:szCs w:val="18"/>
          <w:lang w:eastAsia="x-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color w:val="000000"/>
        <w:kern w:val="22"/>
        <w:sz w:val="20"/>
        <w:szCs w:val="20"/>
      </w:rPr>
      <w:alias w:val="Subject"/>
      <w:tag w:val=""/>
      <w:id w:val="-1681427792"/>
      <w:placeholder>
        <w:docPart w:val="9919A4354EBC4BE1BA94F6627C7FA73F"/>
      </w:placeholder>
      <w:dataBinding w:prefixMappings="xmlns:ns0='http://purl.org/dc/elements/1.1/' xmlns:ns1='http://schemas.openxmlformats.org/package/2006/metadata/core-properties' " w:xpath="/ns1:coreProperties[1]/ns0:subject[1]" w:storeItemID="{6C3C8BC8-F283-45AE-878A-BAB7291924A1}"/>
      <w:text/>
    </w:sdtPr>
    <w:sdtEndPr/>
    <w:sdtContent>
      <w:p w14:paraId="7B0E8751" w14:textId="1B8F7FC5" w:rsidR="00490046" w:rsidRPr="00B33B1E" w:rsidRDefault="00490046" w:rsidP="00FE7DD7">
        <w:pPr>
          <w:suppressLineNumbers/>
          <w:pBdr>
            <w:bottom w:val="single" w:sz="4" w:space="1" w:color="auto"/>
          </w:pBdr>
          <w:suppressAutoHyphens/>
          <w:spacing w:after="240"/>
          <w:ind w:right="4"/>
          <w:rPr>
            <w:noProof/>
            <w:color w:val="000000"/>
            <w:kern w:val="22"/>
            <w:sz w:val="20"/>
            <w:szCs w:val="20"/>
          </w:rPr>
        </w:pPr>
        <w:r w:rsidRPr="00B33B1E">
          <w:rPr>
            <w:noProof/>
            <w:color w:val="000000"/>
            <w:kern w:val="22"/>
            <w:sz w:val="20"/>
            <w:szCs w:val="20"/>
          </w:rPr>
          <w:t>CBD/SBI/4/16</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color w:val="000000"/>
        <w:kern w:val="20"/>
        <w:sz w:val="20"/>
        <w:szCs w:val="20"/>
      </w:rPr>
      <w:alias w:val="Subject"/>
      <w:tag w:val=""/>
      <w:id w:val="-593560817"/>
      <w:placeholder>
        <w:docPart w:val="A845CFAF5A0D4443A20DDFE7D502BA94"/>
      </w:placeholder>
      <w:dataBinding w:prefixMappings="xmlns:ns0='http://purl.org/dc/elements/1.1/' xmlns:ns1='http://schemas.openxmlformats.org/package/2006/metadata/core-properties' " w:xpath="/ns1:coreProperties[1]/ns0:subject[1]" w:storeItemID="{6C3C8BC8-F283-45AE-878A-BAB7291924A1}"/>
      <w:text/>
    </w:sdtPr>
    <w:sdtEndPr/>
    <w:sdtContent>
      <w:p w14:paraId="750FF8AC" w14:textId="7A5586AC" w:rsidR="00490046" w:rsidRPr="00B33B1E" w:rsidRDefault="00490046" w:rsidP="00FE7DD7">
        <w:pPr>
          <w:suppressLineNumbers/>
          <w:pBdr>
            <w:bottom w:val="single" w:sz="4" w:space="1" w:color="auto"/>
          </w:pBdr>
          <w:suppressAutoHyphens/>
          <w:spacing w:after="240"/>
          <w:ind w:right="4"/>
          <w:jc w:val="right"/>
          <w:rPr>
            <w:noProof/>
            <w:color w:val="000000"/>
            <w:kern w:val="20"/>
            <w:sz w:val="20"/>
            <w:szCs w:val="20"/>
          </w:rPr>
        </w:pPr>
        <w:r w:rsidRPr="00B33B1E">
          <w:rPr>
            <w:noProof/>
            <w:color w:val="000000"/>
            <w:kern w:val="20"/>
            <w:sz w:val="20"/>
            <w:szCs w:val="20"/>
          </w:rPr>
          <w:t>CBD/SBI/4/16</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396"/>
    <w:multiLevelType w:val="hybridMultilevel"/>
    <w:tmpl w:val="72D843A8"/>
    <w:lvl w:ilvl="0" w:tplc="E9BA1F98">
      <w:start w:val="1"/>
      <w:numFmt w:val="upperRoman"/>
      <w:lvlText w:val="%1."/>
      <w:lvlJc w:val="left"/>
      <w:pPr>
        <w:ind w:left="1080" w:hanging="72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7E3E3A"/>
    <w:multiLevelType w:val="hybridMultilevel"/>
    <w:tmpl w:val="E80CC72C"/>
    <w:lvl w:ilvl="0" w:tplc="366E62F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2504EF"/>
    <w:multiLevelType w:val="hybridMultilevel"/>
    <w:tmpl w:val="63867624"/>
    <w:lvl w:ilvl="0" w:tplc="A1EED66C">
      <w:start w:val="1"/>
      <w:numFmt w:val="decimal"/>
      <w:lvlText w:val="%1."/>
      <w:lvlJc w:val="left"/>
      <w:pPr>
        <w:ind w:left="720" w:hanging="360"/>
      </w:pPr>
      <w:rPr>
        <w:rFonts w:ascii="Times New Roman" w:hAnsi="Times New Roman"/>
        <w:b w:val="0"/>
        <w:bCs w:val="0"/>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6B132F"/>
    <w:multiLevelType w:val="hybridMultilevel"/>
    <w:tmpl w:val="30BAA3BE"/>
    <w:lvl w:ilvl="0" w:tplc="CE0E80C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B00225"/>
    <w:multiLevelType w:val="hybridMultilevel"/>
    <w:tmpl w:val="EE5E2732"/>
    <w:lvl w:ilvl="0" w:tplc="0854CD12">
      <w:start w:val="1"/>
      <w:numFmt w:val="bullet"/>
      <w:lvlText w:val=""/>
      <w:lvlJc w:val="left"/>
      <w:pPr>
        <w:ind w:left="720" w:hanging="360"/>
      </w:pPr>
      <w:rPr>
        <w:rFonts w:ascii="Symbol" w:hAnsi="Symbol"/>
      </w:rPr>
    </w:lvl>
    <w:lvl w:ilvl="1" w:tplc="ACEC571A">
      <w:start w:val="1"/>
      <w:numFmt w:val="bullet"/>
      <w:lvlText w:val=""/>
      <w:lvlJc w:val="left"/>
      <w:pPr>
        <w:ind w:left="720" w:hanging="360"/>
      </w:pPr>
      <w:rPr>
        <w:rFonts w:ascii="Symbol" w:hAnsi="Symbol"/>
      </w:rPr>
    </w:lvl>
    <w:lvl w:ilvl="2" w:tplc="F55A3D8E">
      <w:start w:val="1"/>
      <w:numFmt w:val="bullet"/>
      <w:lvlText w:val=""/>
      <w:lvlJc w:val="left"/>
      <w:pPr>
        <w:ind w:left="720" w:hanging="360"/>
      </w:pPr>
      <w:rPr>
        <w:rFonts w:ascii="Symbol" w:hAnsi="Symbol"/>
      </w:rPr>
    </w:lvl>
    <w:lvl w:ilvl="3" w:tplc="CC16F7EE">
      <w:start w:val="1"/>
      <w:numFmt w:val="bullet"/>
      <w:lvlText w:val=""/>
      <w:lvlJc w:val="left"/>
      <w:pPr>
        <w:ind w:left="720" w:hanging="360"/>
      </w:pPr>
      <w:rPr>
        <w:rFonts w:ascii="Symbol" w:hAnsi="Symbol"/>
      </w:rPr>
    </w:lvl>
    <w:lvl w:ilvl="4" w:tplc="FBA0EDA8">
      <w:start w:val="1"/>
      <w:numFmt w:val="bullet"/>
      <w:lvlText w:val=""/>
      <w:lvlJc w:val="left"/>
      <w:pPr>
        <w:ind w:left="720" w:hanging="360"/>
      </w:pPr>
      <w:rPr>
        <w:rFonts w:ascii="Symbol" w:hAnsi="Symbol"/>
      </w:rPr>
    </w:lvl>
    <w:lvl w:ilvl="5" w:tplc="E172526C">
      <w:start w:val="1"/>
      <w:numFmt w:val="bullet"/>
      <w:lvlText w:val=""/>
      <w:lvlJc w:val="left"/>
      <w:pPr>
        <w:ind w:left="720" w:hanging="360"/>
      </w:pPr>
      <w:rPr>
        <w:rFonts w:ascii="Symbol" w:hAnsi="Symbol"/>
      </w:rPr>
    </w:lvl>
    <w:lvl w:ilvl="6" w:tplc="7B88A51E">
      <w:start w:val="1"/>
      <w:numFmt w:val="bullet"/>
      <w:lvlText w:val=""/>
      <w:lvlJc w:val="left"/>
      <w:pPr>
        <w:ind w:left="720" w:hanging="360"/>
      </w:pPr>
      <w:rPr>
        <w:rFonts w:ascii="Symbol" w:hAnsi="Symbol"/>
      </w:rPr>
    </w:lvl>
    <w:lvl w:ilvl="7" w:tplc="20EA074C">
      <w:start w:val="1"/>
      <w:numFmt w:val="bullet"/>
      <w:lvlText w:val=""/>
      <w:lvlJc w:val="left"/>
      <w:pPr>
        <w:ind w:left="720" w:hanging="360"/>
      </w:pPr>
      <w:rPr>
        <w:rFonts w:ascii="Symbol" w:hAnsi="Symbol"/>
      </w:rPr>
    </w:lvl>
    <w:lvl w:ilvl="8" w:tplc="3C10BD34">
      <w:start w:val="1"/>
      <w:numFmt w:val="bullet"/>
      <w:lvlText w:val=""/>
      <w:lvlJc w:val="left"/>
      <w:pPr>
        <w:ind w:left="720" w:hanging="360"/>
      </w:pPr>
      <w:rPr>
        <w:rFonts w:ascii="Symbol" w:hAnsi="Symbol"/>
      </w:rPr>
    </w:lvl>
  </w:abstractNum>
  <w:abstractNum w:abstractNumId="5" w15:restartNumberingAfterBreak="0">
    <w:nsid w:val="180652D3"/>
    <w:multiLevelType w:val="hybridMultilevel"/>
    <w:tmpl w:val="3E62812A"/>
    <w:lvl w:ilvl="0" w:tplc="AEFC7200">
      <w:start w:val="1"/>
      <w:numFmt w:val="bullet"/>
      <w:lvlText w:val=""/>
      <w:lvlJc w:val="left"/>
      <w:pPr>
        <w:ind w:left="720" w:hanging="360"/>
      </w:pPr>
      <w:rPr>
        <w:rFonts w:ascii="Symbol" w:hAnsi="Symbol"/>
      </w:rPr>
    </w:lvl>
    <w:lvl w:ilvl="1" w:tplc="078E3188">
      <w:start w:val="1"/>
      <w:numFmt w:val="bullet"/>
      <w:lvlText w:val=""/>
      <w:lvlJc w:val="left"/>
      <w:pPr>
        <w:ind w:left="720" w:hanging="360"/>
      </w:pPr>
      <w:rPr>
        <w:rFonts w:ascii="Symbol" w:hAnsi="Symbol"/>
      </w:rPr>
    </w:lvl>
    <w:lvl w:ilvl="2" w:tplc="7C9877FA">
      <w:start w:val="1"/>
      <w:numFmt w:val="bullet"/>
      <w:lvlText w:val=""/>
      <w:lvlJc w:val="left"/>
      <w:pPr>
        <w:ind w:left="720" w:hanging="360"/>
      </w:pPr>
      <w:rPr>
        <w:rFonts w:ascii="Symbol" w:hAnsi="Symbol"/>
      </w:rPr>
    </w:lvl>
    <w:lvl w:ilvl="3" w:tplc="2B6E886A">
      <w:start w:val="1"/>
      <w:numFmt w:val="bullet"/>
      <w:lvlText w:val=""/>
      <w:lvlJc w:val="left"/>
      <w:pPr>
        <w:ind w:left="720" w:hanging="360"/>
      </w:pPr>
      <w:rPr>
        <w:rFonts w:ascii="Symbol" w:hAnsi="Symbol"/>
      </w:rPr>
    </w:lvl>
    <w:lvl w:ilvl="4" w:tplc="BD608A66">
      <w:start w:val="1"/>
      <w:numFmt w:val="bullet"/>
      <w:lvlText w:val=""/>
      <w:lvlJc w:val="left"/>
      <w:pPr>
        <w:ind w:left="720" w:hanging="360"/>
      </w:pPr>
      <w:rPr>
        <w:rFonts w:ascii="Symbol" w:hAnsi="Symbol"/>
      </w:rPr>
    </w:lvl>
    <w:lvl w:ilvl="5" w:tplc="D63EB6D6">
      <w:start w:val="1"/>
      <w:numFmt w:val="bullet"/>
      <w:lvlText w:val=""/>
      <w:lvlJc w:val="left"/>
      <w:pPr>
        <w:ind w:left="720" w:hanging="360"/>
      </w:pPr>
      <w:rPr>
        <w:rFonts w:ascii="Symbol" w:hAnsi="Symbol"/>
      </w:rPr>
    </w:lvl>
    <w:lvl w:ilvl="6" w:tplc="B420A5EE">
      <w:start w:val="1"/>
      <w:numFmt w:val="bullet"/>
      <w:lvlText w:val=""/>
      <w:lvlJc w:val="left"/>
      <w:pPr>
        <w:ind w:left="720" w:hanging="360"/>
      </w:pPr>
      <w:rPr>
        <w:rFonts w:ascii="Symbol" w:hAnsi="Symbol"/>
      </w:rPr>
    </w:lvl>
    <w:lvl w:ilvl="7" w:tplc="06EAB31A">
      <w:start w:val="1"/>
      <w:numFmt w:val="bullet"/>
      <w:lvlText w:val=""/>
      <w:lvlJc w:val="left"/>
      <w:pPr>
        <w:ind w:left="720" w:hanging="360"/>
      </w:pPr>
      <w:rPr>
        <w:rFonts w:ascii="Symbol" w:hAnsi="Symbol"/>
      </w:rPr>
    </w:lvl>
    <w:lvl w:ilvl="8" w:tplc="7A7A2F50">
      <w:start w:val="1"/>
      <w:numFmt w:val="bullet"/>
      <w:lvlText w:val=""/>
      <w:lvlJc w:val="left"/>
      <w:pPr>
        <w:ind w:left="720" w:hanging="360"/>
      </w:pPr>
      <w:rPr>
        <w:rFonts w:ascii="Symbol" w:hAnsi="Symbol"/>
      </w:rPr>
    </w:lvl>
  </w:abstractNum>
  <w:abstractNum w:abstractNumId="6" w15:restartNumberingAfterBreak="0">
    <w:nsid w:val="1F6F2BCB"/>
    <w:multiLevelType w:val="hybridMultilevel"/>
    <w:tmpl w:val="AF6C6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617158B"/>
    <w:multiLevelType w:val="hybridMultilevel"/>
    <w:tmpl w:val="2DAEBC5C"/>
    <w:lvl w:ilvl="0" w:tplc="945E66FE">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6463234"/>
    <w:multiLevelType w:val="hybridMultilevel"/>
    <w:tmpl w:val="E80CC72C"/>
    <w:lvl w:ilvl="0" w:tplc="366E62F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D8400F3"/>
    <w:multiLevelType w:val="hybridMultilevel"/>
    <w:tmpl w:val="55CE2C4C"/>
    <w:lvl w:ilvl="0" w:tplc="DBFAB6CA">
      <w:start w:val="1"/>
      <w:numFmt w:val="bullet"/>
      <w:lvlText w:val=""/>
      <w:lvlJc w:val="left"/>
      <w:pPr>
        <w:ind w:left="720" w:hanging="360"/>
      </w:pPr>
      <w:rPr>
        <w:rFonts w:ascii="Symbol" w:hAnsi="Symbol"/>
      </w:rPr>
    </w:lvl>
    <w:lvl w:ilvl="1" w:tplc="F45888EA">
      <w:start w:val="1"/>
      <w:numFmt w:val="bullet"/>
      <w:lvlText w:val=""/>
      <w:lvlJc w:val="left"/>
      <w:pPr>
        <w:ind w:left="720" w:hanging="360"/>
      </w:pPr>
      <w:rPr>
        <w:rFonts w:ascii="Symbol" w:hAnsi="Symbol"/>
      </w:rPr>
    </w:lvl>
    <w:lvl w:ilvl="2" w:tplc="F6BE9C5A">
      <w:start w:val="1"/>
      <w:numFmt w:val="bullet"/>
      <w:lvlText w:val=""/>
      <w:lvlJc w:val="left"/>
      <w:pPr>
        <w:ind w:left="720" w:hanging="360"/>
      </w:pPr>
      <w:rPr>
        <w:rFonts w:ascii="Symbol" w:hAnsi="Symbol"/>
      </w:rPr>
    </w:lvl>
    <w:lvl w:ilvl="3" w:tplc="978C6EE4">
      <w:start w:val="1"/>
      <w:numFmt w:val="bullet"/>
      <w:lvlText w:val=""/>
      <w:lvlJc w:val="left"/>
      <w:pPr>
        <w:ind w:left="720" w:hanging="360"/>
      </w:pPr>
      <w:rPr>
        <w:rFonts w:ascii="Symbol" w:hAnsi="Symbol"/>
      </w:rPr>
    </w:lvl>
    <w:lvl w:ilvl="4" w:tplc="B762C39C">
      <w:start w:val="1"/>
      <w:numFmt w:val="bullet"/>
      <w:lvlText w:val=""/>
      <w:lvlJc w:val="left"/>
      <w:pPr>
        <w:ind w:left="720" w:hanging="360"/>
      </w:pPr>
      <w:rPr>
        <w:rFonts w:ascii="Symbol" w:hAnsi="Symbol"/>
      </w:rPr>
    </w:lvl>
    <w:lvl w:ilvl="5" w:tplc="E0D04BB0">
      <w:start w:val="1"/>
      <w:numFmt w:val="bullet"/>
      <w:lvlText w:val=""/>
      <w:lvlJc w:val="left"/>
      <w:pPr>
        <w:ind w:left="720" w:hanging="360"/>
      </w:pPr>
      <w:rPr>
        <w:rFonts w:ascii="Symbol" w:hAnsi="Symbol"/>
      </w:rPr>
    </w:lvl>
    <w:lvl w:ilvl="6" w:tplc="3328056E">
      <w:start w:val="1"/>
      <w:numFmt w:val="bullet"/>
      <w:lvlText w:val=""/>
      <w:lvlJc w:val="left"/>
      <w:pPr>
        <w:ind w:left="720" w:hanging="360"/>
      </w:pPr>
      <w:rPr>
        <w:rFonts w:ascii="Symbol" w:hAnsi="Symbol"/>
      </w:rPr>
    </w:lvl>
    <w:lvl w:ilvl="7" w:tplc="A0C2CDB0">
      <w:start w:val="1"/>
      <w:numFmt w:val="bullet"/>
      <w:lvlText w:val=""/>
      <w:lvlJc w:val="left"/>
      <w:pPr>
        <w:ind w:left="720" w:hanging="360"/>
      </w:pPr>
      <w:rPr>
        <w:rFonts w:ascii="Symbol" w:hAnsi="Symbol"/>
      </w:rPr>
    </w:lvl>
    <w:lvl w:ilvl="8" w:tplc="61E62E58">
      <w:start w:val="1"/>
      <w:numFmt w:val="bullet"/>
      <w:lvlText w:val=""/>
      <w:lvlJc w:val="left"/>
      <w:pPr>
        <w:ind w:left="720" w:hanging="360"/>
      </w:pPr>
      <w:rPr>
        <w:rFonts w:ascii="Symbol" w:hAnsi="Symbol"/>
      </w:r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E863B53"/>
    <w:multiLevelType w:val="hybridMultilevel"/>
    <w:tmpl w:val="4E9C1730"/>
    <w:lvl w:ilvl="0" w:tplc="14601414">
      <w:start w:val="1"/>
      <w:numFmt w:val="bullet"/>
      <w:lvlText w:val=""/>
      <w:lvlJc w:val="left"/>
      <w:pPr>
        <w:ind w:left="720" w:hanging="360"/>
      </w:pPr>
      <w:rPr>
        <w:rFonts w:ascii="Symbol" w:hAnsi="Symbol"/>
      </w:rPr>
    </w:lvl>
    <w:lvl w:ilvl="1" w:tplc="CBA05DE2">
      <w:start w:val="1"/>
      <w:numFmt w:val="bullet"/>
      <w:lvlText w:val=""/>
      <w:lvlJc w:val="left"/>
      <w:pPr>
        <w:ind w:left="720" w:hanging="360"/>
      </w:pPr>
      <w:rPr>
        <w:rFonts w:ascii="Symbol" w:hAnsi="Symbol"/>
      </w:rPr>
    </w:lvl>
    <w:lvl w:ilvl="2" w:tplc="F97E1B16">
      <w:start w:val="1"/>
      <w:numFmt w:val="bullet"/>
      <w:lvlText w:val=""/>
      <w:lvlJc w:val="left"/>
      <w:pPr>
        <w:ind w:left="720" w:hanging="360"/>
      </w:pPr>
      <w:rPr>
        <w:rFonts w:ascii="Symbol" w:hAnsi="Symbol"/>
      </w:rPr>
    </w:lvl>
    <w:lvl w:ilvl="3" w:tplc="7DF22AE0">
      <w:start w:val="1"/>
      <w:numFmt w:val="bullet"/>
      <w:lvlText w:val=""/>
      <w:lvlJc w:val="left"/>
      <w:pPr>
        <w:ind w:left="720" w:hanging="360"/>
      </w:pPr>
      <w:rPr>
        <w:rFonts w:ascii="Symbol" w:hAnsi="Symbol"/>
      </w:rPr>
    </w:lvl>
    <w:lvl w:ilvl="4" w:tplc="3438D0A2">
      <w:start w:val="1"/>
      <w:numFmt w:val="bullet"/>
      <w:lvlText w:val=""/>
      <w:lvlJc w:val="left"/>
      <w:pPr>
        <w:ind w:left="720" w:hanging="360"/>
      </w:pPr>
      <w:rPr>
        <w:rFonts w:ascii="Symbol" w:hAnsi="Symbol"/>
      </w:rPr>
    </w:lvl>
    <w:lvl w:ilvl="5" w:tplc="60D8CB40">
      <w:start w:val="1"/>
      <w:numFmt w:val="bullet"/>
      <w:lvlText w:val=""/>
      <w:lvlJc w:val="left"/>
      <w:pPr>
        <w:ind w:left="720" w:hanging="360"/>
      </w:pPr>
      <w:rPr>
        <w:rFonts w:ascii="Symbol" w:hAnsi="Symbol"/>
      </w:rPr>
    </w:lvl>
    <w:lvl w:ilvl="6" w:tplc="D352AB16">
      <w:start w:val="1"/>
      <w:numFmt w:val="bullet"/>
      <w:lvlText w:val=""/>
      <w:lvlJc w:val="left"/>
      <w:pPr>
        <w:ind w:left="720" w:hanging="360"/>
      </w:pPr>
      <w:rPr>
        <w:rFonts w:ascii="Symbol" w:hAnsi="Symbol"/>
      </w:rPr>
    </w:lvl>
    <w:lvl w:ilvl="7" w:tplc="1024B1FC">
      <w:start w:val="1"/>
      <w:numFmt w:val="bullet"/>
      <w:lvlText w:val=""/>
      <w:lvlJc w:val="left"/>
      <w:pPr>
        <w:ind w:left="720" w:hanging="360"/>
      </w:pPr>
      <w:rPr>
        <w:rFonts w:ascii="Symbol" w:hAnsi="Symbol"/>
      </w:rPr>
    </w:lvl>
    <w:lvl w:ilvl="8" w:tplc="A470DA50">
      <w:start w:val="1"/>
      <w:numFmt w:val="bullet"/>
      <w:lvlText w:val=""/>
      <w:lvlJc w:val="left"/>
      <w:pPr>
        <w:ind w:left="720" w:hanging="360"/>
      </w:pPr>
      <w:rPr>
        <w:rFonts w:ascii="Symbol" w:hAnsi="Symbol"/>
      </w:rPr>
    </w:lvl>
  </w:abstractNum>
  <w:abstractNum w:abstractNumId="15" w15:restartNumberingAfterBreak="0">
    <w:nsid w:val="504D6AE4"/>
    <w:multiLevelType w:val="hybridMultilevel"/>
    <w:tmpl w:val="D8889D02"/>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9F854D6"/>
    <w:multiLevelType w:val="hybridMultilevel"/>
    <w:tmpl w:val="B8ECC764"/>
    <w:lvl w:ilvl="0" w:tplc="E8F23F10">
      <w:start w:val="1"/>
      <w:numFmt w:val="bullet"/>
      <w:lvlText w:val=""/>
      <w:lvlJc w:val="left"/>
      <w:pPr>
        <w:ind w:left="720" w:hanging="360"/>
      </w:pPr>
      <w:rPr>
        <w:rFonts w:ascii="Symbol" w:hAnsi="Symbol"/>
      </w:rPr>
    </w:lvl>
    <w:lvl w:ilvl="1" w:tplc="D74E7220">
      <w:start w:val="1"/>
      <w:numFmt w:val="bullet"/>
      <w:lvlText w:val=""/>
      <w:lvlJc w:val="left"/>
      <w:pPr>
        <w:ind w:left="720" w:hanging="360"/>
      </w:pPr>
      <w:rPr>
        <w:rFonts w:ascii="Symbol" w:hAnsi="Symbol"/>
      </w:rPr>
    </w:lvl>
    <w:lvl w:ilvl="2" w:tplc="C53C358C">
      <w:start w:val="1"/>
      <w:numFmt w:val="bullet"/>
      <w:lvlText w:val=""/>
      <w:lvlJc w:val="left"/>
      <w:pPr>
        <w:ind w:left="720" w:hanging="360"/>
      </w:pPr>
      <w:rPr>
        <w:rFonts w:ascii="Symbol" w:hAnsi="Symbol"/>
      </w:rPr>
    </w:lvl>
    <w:lvl w:ilvl="3" w:tplc="B3321304">
      <w:start w:val="1"/>
      <w:numFmt w:val="bullet"/>
      <w:lvlText w:val=""/>
      <w:lvlJc w:val="left"/>
      <w:pPr>
        <w:ind w:left="720" w:hanging="360"/>
      </w:pPr>
      <w:rPr>
        <w:rFonts w:ascii="Symbol" w:hAnsi="Symbol"/>
      </w:rPr>
    </w:lvl>
    <w:lvl w:ilvl="4" w:tplc="F6107AC6">
      <w:start w:val="1"/>
      <w:numFmt w:val="bullet"/>
      <w:lvlText w:val=""/>
      <w:lvlJc w:val="left"/>
      <w:pPr>
        <w:ind w:left="720" w:hanging="360"/>
      </w:pPr>
      <w:rPr>
        <w:rFonts w:ascii="Symbol" w:hAnsi="Symbol"/>
      </w:rPr>
    </w:lvl>
    <w:lvl w:ilvl="5" w:tplc="8846571C">
      <w:start w:val="1"/>
      <w:numFmt w:val="bullet"/>
      <w:lvlText w:val=""/>
      <w:lvlJc w:val="left"/>
      <w:pPr>
        <w:ind w:left="720" w:hanging="360"/>
      </w:pPr>
      <w:rPr>
        <w:rFonts w:ascii="Symbol" w:hAnsi="Symbol"/>
      </w:rPr>
    </w:lvl>
    <w:lvl w:ilvl="6" w:tplc="1F487676">
      <w:start w:val="1"/>
      <w:numFmt w:val="bullet"/>
      <w:lvlText w:val=""/>
      <w:lvlJc w:val="left"/>
      <w:pPr>
        <w:ind w:left="720" w:hanging="360"/>
      </w:pPr>
      <w:rPr>
        <w:rFonts w:ascii="Symbol" w:hAnsi="Symbol"/>
      </w:rPr>
    </w:lvl>
    <w:lvl w:ilvl="7" w:tplc="110C5A46">
      <w:start w:val="1"/>
      <w:numFmt w:val="bullet"/>
      <w:lvlText w:val=""/>
      <w:lvlJc w:val="left"/>
      <w:pPr>
        <w:ind w:left="720" w:hanging="360"/>
      </w:pPr>
      <w:rPr>
        <w:rFonts w:ascii="Symbol" w:hAnsi="Symbol"/>
      </w:rPr>
    </w:lvl>
    <w:lvl w:ilvl="8" w:tplc="B6461BBA">
      <w:start w:val="1"/>
      <w:numFmt w:val="bullet"/>
      <w:lvlText w:val=""/>
      <w:lvlJc w:val="left"/>
      <w:pPr>
        <w:ind w:left="720" w:hanging="360"/>
      </w:pPr>
      <w:rPr>
        <w:rFonts w:ascii="Symbol" w:hAnsi="Symbol"/>
      </w:rPr>
    </w:lvl>
  </w:abstractNum>
  <w:abstractNum w:abstractNumId="18" w15:restartNumberingAfterBreak="0">
    <w:nsid w:val="5A9E2288"/>
    <w:multiLevelType w:val="hybridMultilevel"/>
    <w:tmpl w:val="F4BC57A8"/>
    <w:lvl w:ilvl="0" w:tplc="3E300800">
      <w:start w:val="1"/>
      <w:numFmt w:val="bullet"/>
      <w:lvlText w:val=""/>
      <w:lvlJc w:val="left"/>
      <w:pPr>
        <w:ind w:left="720" w:hanging="360"/>
      </w:pPr>
      <w:rPr>
        <w:rFonts w:ascii="Symbol" w:hAnsi="Symbol"/>
      </w:rPr>
    </w:lvl>
    <w:lvl w:ilvl="1" w:tplc="3792361A">
      <w:start w:val="1"/>
      <w:numFmt w:val="bullet"/>
      <w:lvlText w:val=""/>
      <w:lvlJc w:val="left"/>
      <w:pPr>
        <w:ind w:left="720" w:hanging="360"/>
      </w:pPr>
      <w:rPr>
        <w:rFonts w:ascii="Symbol" w:hAnsi="Symbol"/>
      </w:rPr>
    </w:lvl>
    <w:lvl w:ilvl="2" w:tplc="E47020C6">
      <w:start w:val="1"/>
      <w:numFmt w:val="bullet"/>
      <w:lvlText w:val=""/>
      <w:lvlJc w:val="left"/>
      <w:pPr>
        <w:ind w:left="720" w:hanging="360"/>
      </w:pPr>
      <w:rPr>
        <w:rFonts w:ascii="Symbol" w:hAnsi="Symbol"/>
      </w:rPr>
    </w:lvl>
    <w:lvl w:ilvl="3" w:tplc="A0461A48">
      <w:start w:val="1"/>
      <w:numFmt w:val="bullet"/>
      <w:lvlText w:val=""/>
      <w:lvlJc w:val="left"/>
      <w:pPr>
        <w:ind w:left="720" w:hanging="360"/>
      </w:pPr>
      <w:rPr>
        <w:rFonts w:ascii="Symbol" w:hAnsi="Symbol"/>
      </w:rPr>
    </w:lvl>
    <w:lvl w:ilvl="4" w:tplc="A772640A">
      <w:start w:val="1"/>
      <w:numFmt w:val="bullet"/>
      <w:lvlText w:val=""/>
      <w:lvlJc w:val="left"/>
      <w:pPr>
        <w:ind w:left="720" w:hanging="360"/>
      </w:pPr>
      <w:rPr>
        <w:rFonts w:ascii="Symbol" w:hAnsi="Symbol"/>
      </w:rPr>
    </w:lvl>
    <w:lvl w:ilvl="5" w:tplc="6F38385C">
      <w:start w:val="1"/>
      <w:numFmt w:val="bullet"/>
      <w:lvlText w:val=""/>
      <w:lvlJc w:val="left"/>
      <w:pPr>
        <w:ind w:left="720" w:hanging="360"/>
      </w:pPr>
      <w:rPr>
        <w:rFonts w:ascii="Symbol" w:hAnsi="Symbol"/>
      </w:rPr>
    </w:lvl>
    <w:lvl w:ilvl="6" w:tplc="90F0C094">
      <w:start w:val="1"/>
      <w:numFmt w:val="bullet"/>
      <w:lvlText w:val=""/>
      <w:lvlJc w:val="left"/>
      <w:pPr>
        <w:ind w:left="720" w:hanging="360"/>
      </w:pPr>
      <w:rPr>
        <w:rFonts w:ascii="Symbol" w:hAnsi="Symbol"/>
      </w:rPr>
    </w:lvl>
    <w:lvl w:ilvl="7" w:tplc="7150798C">
      <w:start w:val="1"/>
      <w:numFmt w:val="bullet"/>
      <w:lvlText w:val=""/>
      <w:lvlJc w:val="left"/>
      <w:pPr>
        <w:ind w:left="720" w:hanging="360"/>
      </w:pPr>
      <w:rPr>
        <w:rFonts w:ascii="Symbol" w:hAnsi="Symbol"/>
      </w:rPr>
    </w:lvl>
    <w:lvl w:ilvl="8" w:tplc="4EA6B072">
      <w:start w:val="1"/>
      <w:numFmt w:val="bullet"/>
      <w:lvlText w:val=""/>
      <w:lvlJc w:val="left"/>
      <w:pPr>
        <w:ind w:left="720" w:hanging="360"/>
      </w:pPr>
      <w:rPr>
        <w:rFonts w:ascii="Symbol" w:hAnsi="Symbol"/>
      </w:rPr>
    </w:lvl>
  </w:abstractNum>
  <w:abstractNum w:abstractNumId="19" w15:restartNumberingAfterBreak="0">
    <w:nsid w:val="5D635B69"/>
    <w:multiLevelType w:val="hybridMultilevel"/>
    <w:tmpl w:val="F97A519E"/>
    <w:lvl w:ilvl="0" w:tplc="A386BEBC">
      <w:start w:val="1"/>
      <w:numFmt w:val="decimal"/>
      <w:lvlText w:val="%1."/>
      <w:lvlJc w:val="left"/>
      <w:pPr>
        <w:ind w:left="720" w:hanging="360"/>
      </w:pPr>
      <w:rPr>
        <w:rFonts w:hint="default"/>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546C68"/>
    <w:multiLevelType w:val="hybridMultilevel"/>
    <w:tmpl w:val="4C76AE36"/>
    <w:lvl w:ilvl="0" w:tplc="ECF65FCE">
      <w:start w:val="1"/>
      <w:numFmt w:val="upperLetter"/>
      <w:lvlText w:val="%1."/>
      <w:lvlJc w:val="left"/>
      <w:pPr>
        <w:ind w:left="25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8B70991"/>
    <w:multiLevelType w:val="hybridMultilevel"/>
    <w:tmpl w:val="0E08B490"/>
    <w:lvl w:ilvl="0" w:tplc="93E64524">
      <w:start w:val="1"/>
      <w:numFmt w:val="decimal"/>
      <w:pStyle w:val="Para10"/>
      <w:lvlText w:val="%1."/>
      <w:lvlJc w:val="left"/>
      <w:pPr>
        <w:ind w:left="927" w:hanging="360"/>
      </w:pPr>
      <w:rPr>
        <w:rFonts w:hint="default"/>
        <w:b w:val="0"/>
        <w:bCs w:val="0"/>
        <w:i w:val="0"/>
        <w:iCs w:val="0"/>
        <w:color w:val="auto"/>
        <w:sz w:val="22"/>
        <w:szCs w:val="22"/>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2" w15:restartNumberingAfterBreak="0">
    <w:nsid w:val="6AD669BA"/>
    <w:multiLevelType w:val="hybridMultilevel"/>
    <w:tmpl w:val="C4D0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B16658"/>
    <w:multiLevelType w:val="hybridMultilevel"/>
    <w:tmpl w:val="F6CC9B22"/>
    <w:lvl w:ilvl="0" w:tplc="105CEECA">
      <w:start w:val="1"/>
      <w:numFmt w:val="bullet"/>
      <w:lvlText w:val=""/>
      <w:lvlJc w:val="left"/>
      <w:pPr>
        <w:ind w:left="720" w:hanging="360"/>
      </w:pPr>
      <w:rPr>
        <w:rFonts w:ascii="Symbol" w:hAnsi="Symbol"/>
      </w:rPr>
    </w:lvl>
    <w:lvl w:ilvl="1" w:tplc="6248D51A">
      <w:start w:val="1"/>
      <w:numFmt w:val="bullet"/>
      <w:lvlText w:val=""/>
      <w:lvlJc w:val="left"/>
      <w:pPr>
        <w:ind w:left="720" w:hanging="360"/>
      </w:pPr>
      <w:rPr>
        <w:rFonts w:ascii="Symbol" w:hAnsi="Symbol"/>
      </w:rPr>
    </w:lvl>
    <w:lvl w:ilvl="2" w:tplc="F8BE3066">
      <w:start w:val="1"/>
      <w:numFmt w:val="bullet"/>
      <w:lvlText w:val=""/>
      <w:lvlJc w:val="left"/>
      <w:pPr>
        <w:ind w:left="720" w:hanging="360"/>
      </w:pPr>
      <w:rPr>
        <w:rFonts w:ascii="Symbol" w:hAnsi="Symbol"/>
      </w:rPr>
    </w:lvl>
    <w:lvl w:ilvl="3" w:tplc="1360A736">
      <w:start w:val="1"/>
      <w:numFmt w:val="bullet"/>
      <w:lvlText w:val=""/>
      <w:lvlJc w:val="left"/>
      <w:pPr>
        <w:ind w:left="720" w:hanging="360"/>
      </w:pPr>
      <w:rPr>
        <w:rFonts w:ascii="Symbol" w:hAnsi="Symbol"/>
      </w:rPr>
    </w:lvl>
    <w:lvl w:ilvl="4" w:tplc="46A8FA40">
      <w:start w:val="1"/>
      <w:numFmt w:val="bullet"/>
      <w:lvlText w:val=""/>
      <w:lvlJc w:val="left"/>
      <w:pPr>
        <w:ind w:left="720" w:hanging="360"/>
      </w:pPr>
      <w:rPr>
        <w:rFonts w:ascii="Symbol" w:hAnsi="Symbol"/>
      </w:rPr>
    </w:lvl>
    <w:lvl w:ilvl="5" w:tplc="31C49E34">
      <w:start w:val="1"/>
      <w:numFmt w:val="bullet"/>
      <w:lvlText w:val=""/>
      <w:lvlJc w:val="left"/>
      <w:pPr>
        <w:ind w:left="720" w:hanging="360"/>
      </w:pPr>
      <w:rPr>
        <w:rFonts w:ascii="Symbol" w:hAnsi="Symbol"/>
      </w:rPr>
    </w:lvl>
    <w:lvl w:ilvl="6" w:tplc="AB124ACA">
      <w:start w:val="1"/>
      <w:numFmt w:val="bullet"/>
      <w:lvlText w:val=""/>
      <w:lvlJc w:val="left"/>
      <w:pPr>
        <w:ind w:left="720" w:hanging="360"/>
      </w:pPr>
      <w:rPr>
        <w:rFonts w:ascii="Symbol" w:hAnsi="Symbol"/>
      </w:rPr>
    </w:lvl>
    <w:lvl w:ilvl="7" w:tplc="7C7C0F96">
      <w:start w:val="1"/>
      <w:numFmt w:val="bullet"/>
      <w:lvlText w:val=""/>
      <w:lvlJc w:val="left"/>
      <w:pPr>
        <w:ind w:left="720" w:hanging="360"/>
      </w:pPr>
      <w:rPr>
        <w:rFonts w:ascii="Symbol" w:hAnsi="Symbol"/>
      </w:rPr>
    </w:lvl>
    <w:lvl w:ilvl="8" w:tplc="6DEA2160">
      <w:start w:val="1"/>
      <w:numFmt w:val="bullet"/>
      <w:lvlText w:val=""/>
      <w:lvlJc w:val="left"/>
      <w:pPr>
        <w:ind w:left="720" w:hanging="360"/>
      </w:pPr>
      <w:rPr>
        <w:rFonts w:ascii="Symbol" w:hAnsi="Symbol"/>
      </w:rPr>
    </w:lvl>
  </w:abstractNum>
  <w:abstractNum w:abstractNumId="25" w15:restartNumberingAfterBreak="0">
    <w:nsid w:val="7A100938"/>
    <w:multiLevelType w:val="hybridMultilevel"/>
    <w:tmpl w:val="A358ECEA"/>
    <w:lvl w:ilvl="0" w:tplc="9586BA2E">
      <w:start w:val="1"/>
      <w:numFmt w:val="bullet"/>
      <w:lvlText w:val=""/>
      <w:lvlJc w:val="left"/>
      <w:pPr>
        <w:ind w:left="720" w:hanging="360"/>
      </w:pPr>
      <w:rPr>
        <w:rFonts w:ascii="Symbol" w:hAnsi="Symbol"/>
      </w:rPr>
    </w:lvl>
    <w:lvl w:ilvl="1" w:tplc="1DAE08D8">
      <w:start w:val="1"/>
      <w:numFmt w:val="bullet"/>
      <w:lvlText w:val=""/>
      <w:lvlJc w:val="left"/>
      <w:pPr>
        <w:ind w:left="720" w:hanging="360"/>
      </w:pPr>
      <w:rPr>
        <w:rFonts w:ascii="Symbol" w:hAnsi="Symbol"/>
      </w:rPr>
    </w:lvl>
    <w:lvl w:ilvl="2" w:tplc="A748F47E">
      <w:start w:val="1"/>
      <w:numFmt w:val="bullet"/>
      <w:lvlText w:val=""/>
      <w:lvlJc w:val="left"/>
      <w:pPr>
        <w:ind w:left="720" w:hanging="360"/>
      </w:pPr>
      <w:rPr>
        <w:rFonts w:ascii="Symbol" w:hAnsi="Symbol"/>
      </w:rPr>
    </w:lvl>
    <w:lvl w:ilvl="3" w:tplc="21726334">
      <w:start w:val="1"/>
      <w:numFmt w:val="bullet"/>
      <w:lvlText w:val=""/>
      <w:lvlJc w:val="left"/>
      <w:pPr>
        <w:ind w:left="720" w:hanging="360"/>
      </w:pPr>
      <w:rPr>
        <w:rFonts w:ascii="Symbol" w:hAnsi="Symbol"/>
      </w:rPr>
    </w:lvl>
    <w:lvl w:ilvl="4" w:tplc="1C461CA6">
      <w:start w:val="1"/>
      <w:numFmt w:val="bullet"/>
      <w:lvlText w:val=""/>
      <w:lvlJc w:val="left"/>
      <w:pPr>
        <w:ind w:left="720" w:hanging="360"/>
      </w:pPr>
      <w:rPr>
        <w:rFonts w:ascii="Symbol" w:hAnsi="Symbol"/>
      </w:rPr>
    </w:lvl>
    <w:lvl w:ilvl="5" w:tplc="5C8AB500">
      <w:start w:val="1"/>
      <w:numFmt w:val="bullet"/>
      <w:lvlText w:val=""/>
      <w:lvlJc w:val="left"/>
      <w:pPr>
        <w:ind w:left="720" w:hanging="360"/>
      </w:pPr>
      <w:rPr>
        <w:rFonts w:ascii="Symbol" w:hAnsi="Symbol"/>
      </w:rPr>
    </w:lvl>
    <w:lvl w:ilvl="6" w:tplc="5846FB42">
      <w:start w:val="1"/>
      <w:numFmt w:val="bullet"/>
      <w:lvlText w:val=""/>
      <w:lvlJc w:val="left"/>
      <w:pPr>
        <w:ind w:left="720" w:hanging="360"/>
      </w:pPr>
      <w:rPr>
        <w:rFonts w:ascii="Symbol" w:hAnsi="Symbol"/>
      </w:rPr>
    </w:lvl>
    <w:lvl w:ilvl="7" w:tplc="96E8DE64">
      <w:start w:val="1"/>
      <w:numFmt w:val="bullet"/>
      <w:lvlText w:val=""/>
      <w:lvlJc w:val="left"/>
      <w:pPr>
        <w:ind w:left="720" w:hanging="360"/>
      </w:pPr>
      <w:rPr>
        <w:rFonts w:ascii="Symbol" w:hAnsi="Symbol"/>
      </w:rPr>
    </w:lvl>
    <w:lvl w:ilvl="8" w:tplc="64A474F8">
      <w:start w:val="1"/>
      <w:numFmt w:val="bullet"/>
      <w:lvlText w:val=""/>
      <w:lvlJc w:val="left"/>
      <w:pPr>
        <w:ind w:left="720" w:hanging="360"/>
      </w:pPr>
      <w:rPr>
        <w:rFonts w:ascii="Symbol" w:hAnsi="Symbol"/>
      </w:rPr>
    </w:lvl>
  </w:abstractNum>
  <w:num w:numId="1" w16cid:durableId="1986742108">
    <w:abstractNumId w:val="2"/>
  </w:num>
  <w:num w:numId="2" w16cid:durableId="1393965318">
    <w:abstractNumId w:val="1"/>
  </w:num>
  <w:num w:numId="3" w16cid:durableId="1429960065">
    <w:abstractNumId w:val="8"/>
  </w:num>
  <w:num w:numId="4" w16cid:durableId="1970820612">
    <w:abstractNumId w:val="9"/>
  </w:num>
  <w:num w:numId="5" w16cid:durableId="2109080623">
    <w:abstractNumId w:val="3"/>
  </w:num>
  <w:num w:numId="6" w16cid:durableId="1252350988">
    <w:abstractNumId w:val="0"/>
  </w:num>
  <w:num w:numId="7" w16cid:durableId="929699893">
    <w:abstractNumId w:val="23"/>
  </w:num>
  <w:num w:numId="8" w16cid:durableId="998313226">
    <w:abstractNumId w:val="7"/>
  </w:num>
  <w:num w:numId="9" w16cid:durableId="799104651">
    <w:abstractNumId w:val="13"/>
  </w:num>
  <w:num w:numId="10" w16cid:durableId="1615166118">
    <w:abstractNumId w:val="11"/>
  </w:num>
  <w:num w:numId="11" w16cid:durableId="161088396">
    <w:abstractNumId w:val="20"/>
  </w:num>
  <w:num w:numId="12" w16cid:durableId="2023706190">
    <w:abstractNumId w:val="19"/>
  </w:num>
  <w:num w:numId="13" w16cid:durableId="404839355">
    <w:abstractNumId w:val="22"/>
  </w:num>
  <w:num w:numId="14" w16cid:durableId="1561591880">
    <w:abstractNumId w:val="6"/>
  </w:num>
  <w:num w:numId="15" w16cid:durableId="21386384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7912537">
    <w:abstractNumId w:val="15"/>
  </w:num>
  <w:num w:numId="17" w16cid:durableId="1672681583">
    <w:abstractNumId w:val="10"/>
  </w:num>
  <w:num w:numId="18" w16cid:durableId="1759641829">
    <w:abstractNumId w:val="16"/>
  </w:num>
  <w:num w:numId="19" w16cid:durableId="1261254454">
    <w:abstractNumId w:val="21"/>
  </w:num>
  <w:num w:numId="20" w16cid:durableId="1297684817">
    <w:abstractNumId w:val="21"/>
  </w:num>
  <w:num w:numId="21" w16cid:durableId="1787117643">
    <w:abstractNumId w:val="12"/>
  </w:num>
  <w:num w:numId="22" w16cid:durableId="1927374714">
    <w:abstractNumId w:val="4"/>
  </w:num>
  <w:num w:numId="23" w16cid:durableId="290746531">
    <w:abstractNumId w:val="5"/>
  </w:num>
  <w:num w:numId="24" w16cid:durableId="1790471728">
    <w:abstractNumId w:val="14"/>
  </w:num>
  <w:num w:numId="25" w16cid:durableId="1718814699">
    <w:abstractNumId w:val="25"/>
  </w:num>
  <w:num w:numId="26" w16cid:durableId="1570114976">
    <w:abstractNumId w:val="17"/>
  </w:num>
  <w:num w:numId="27" w16cid:durableId="739209400">
    <w:abstractNumId w:val="18"/>
  </w:num>
  <w:num w:numId="28" w16cid:durableId="499927722">
    <w:abstractNumId w:val="24"/>
  </w:num>
  <w:num w:numId="29" w16cid:durableId="1868523476">
    <w:abstractNumId w:val="16"/>
  </w:num>
  <w:num w:numId="30" w16cid:durableId="1535577072">
    <w:abstractNumId w:val="16"/>
  </w:num>
  <w:num w:numId="31" w16cid:durableId="2117480235">
    <w:abstractNumId w:val="16"/>
  </w:num>
  <w:num w:numId="32" w16cid:durableId="666598526">
    <w:abstractNumId w:val="16"/>
  </w:num>
  <w:num w:numId="33" w16cid:durableId="1548095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A8"/>
    <w:rsid w:val="00002EB3"/>
    <w:rsid w:val="00003B4B"/>
    <w:rsid w:val="00005224"/>
    <w:rsid w:val="00006C3B"/>
    <w:rsid w:val="00010F9E"/>
    <w:rsid w:val="00011054"/>
    <w:rsid w:val="000128FC"/>
    <w:rsid w:val="00012CB4"/>
    <w:rsid w:val="00015160"/>
    <w:rsid w:val="0001652C"/>
    <w:rsid w:val="00027006"/>
    <w:rsid w:val="00031213"/>
    <w:rsid w:val="00034441"/>
    <w:rsid w:val="000344A8"/>
    <w:rsid w:val="00035CB7"/>
    <w:rsid w:val="000368B4"/>
    <w:rsid w:val="00037A93"/>
    <w:rsid w:val="00037C06"/>
    <w:rsid w:val="00044332"/>
    <w:rsid w:val="0005595E"/>
    <w:rsid w:val="00067859"/>
    <w:rsid w:val="00070C55"/>
    <w:rsid w:val="00070F2B"/>
    <w:rsid w:val="00072E17"/>
    <w:rsid w:val="00074C3E"/>
    <w:rsid w:val="000759DC"/>
    <w:rsid w:val="00077FE9"/>
    <w:rsid w:val="0008060A"/>
    <w:rsid w:val="00080E27"/>
    <w:rsid w:val="0008131C"/>
    <w:rsid w:val="00081DF5"/>
    <w:rsid w:val="00086814"/>
    <w:rsid w:val="00087304"/>
    <w:rsid w:val="00087F29"/>
    <w:rsid w:val="000922C7"/>
    <w:rsid w:val="00096414"/>
    <w:rsid w:val="000A08CC"/>
    <w:rsid w:val="000A0ED6"/>
    <w:rsid w:val="000A51B9"/>
    <w:rsid w:val="000B5F9A"/>
    <w:rsid w:val="000B65BA"/>
    <w:rsid w:val="000B68F0"/>
    <w:rsid w:val="000B75E8"/>
    <w:rsid w:val="000C3E6E"/>
    <w:rsid w:val="000C4C2D"/>
    <w:rsid w:val="000C6616"/>
    <w:rsid w:val="000C669D"/>
    <w:rsid w:val="000C6A28"/>
    <w:rsid w:val="000D135A"/>
    <w:rsid w:val="000D26EA"/>
    <w:rsid w:val="000D2893"/>
    <w:rsid w:val="000D34B4"/>
    <w:rsid w:val="000D3DF0"/>
    <w:rsid w:val="000D3E7E"/>
    <w:rsid w:val="000D4266"/>
    <w:rsid w:val="000D4DA8"/>
    <w:rsid w:val="000E0248"/>
    <w:rsid w:val="000E2076"/>
    <w:rsid w:val="000E32CF"/>
    <w:rsid w:val="000E3493"/>
    <w:rsid w:val="000E4BA8"/>
    <w:rsid w:val="000E5816"/>
    <w:rsid w:val="000E7DE6"/>
    <w:rsid w:val="000F0608"/>
    <w:rsid w:val="000F4E7D"/>
    <w:rsid w:val="000F7DEB"/>
    <w:rsid w:val="00101B5D"/>
    <w:rsid w:val="00101E27"/>
    <w:rsid w:val="0010353F"/>
    <w:rsid w:val="00103B7E"/>
    <w:rsid w:val="00103F5F"/>
    <w:rsid w:val="001061B2"/>
    <w:rsid w:val="0010733C"/>
    <w:rsid w:val="0011002A"/>
    <w:rsid w:val="001102E3"/>
    <w:rsid w:val="001105A9"/>
    <w:rsid w:val="00113472"/>
    <w:rsid w:val="0011409C"/>
    <w:rsid w:val="00114128"/>
    <w:rsid w:val="001147EC"/>
    <w:rsid w:val="00114FC6"/>
    <w:rsid w:val="00123008"/>
    <w:rsid w:val="00124EF4"/>
    <w:rsid w:val="00125FDF"/>
    <w:rsid w:val="00131101"/>
    <w:rsid w:val="00131F40"/>
    <w:rsid w:val="001332DA"/>
    <w:rsid w:val="00135C86"/>
    <w:rsid w:val="00141334"/>
    <w:rsid w:val="00144932"/>
    <w:rsid w:val="00144F09"/>
    <w:rsid w:val="00145351"/>
    <w:rsid w:val="00146CC0"/>
    <w:rsid w:val="00152B2F"/>
    <w:rsid w:val="001535CC"/>
    <w:rsid w:val="00154161"/>
    <w:rsid w:val="001543C7"/>
    <w:rsid w:val="00154BE4"/>
    <w:rsid w:val="00154EA2"/>
    <w:rsid w:val="00155693"/>
    <w:rsid w:val="00156390"/>
    <w:rsid w:val="0015757C"/>
    <w:rsid w:val="00160906"/>
    <w:rsid w:val="0016254B"/>
    <w:rsid w:val="00164210"/>
    <w:rsid w:val="00165403"/>
    <w:rsid w:val="001673C8"/>
    <w:rsid w:val="001677E5"/>
    <w:rsid w:val="00170E34"/>
    <w:rsid w:val="00172F3B"/>
    <w:rsid w:val="00174D8B"/>
    <w:rsid w:val="00181F71"/>
    <w:rsid w:val="001822AB"/>
    <w:rsid w:val="001842B5"/>
    <w:rsid w:val="001879D5"/>
    <w:rsid w:val="00191EA9"/>
    <w:rsid w:val="0019688E"/>
    <w:rsid w:val="00197032"/>
    <w:rsid w:val="001972DC"/>
    <w:rsid w:val="00197592"/>
    <w:rsid w:val="001A39FB"/>
    <w:rsid w:val="001A4064"/>
    <w:rsid w:val="001A4358"/>
    <w:rsid w:val="001A67DF"/>
    <w:rsid w:val="001A77D1"/>
    <w:rsid w:val="001A7AF0"/>
    <w:rsid w:val="001B3853"/>
    <w:rsid w:val="001B78B9"/>
    <w:rsid w:val="001C5D4D"/>
    <w:rsid w:val="001D04B0"/>
    <w:rsid w:val="001D0974"/>
    <w:rsid w:val="001D1E09"/>
    <w:rsid w:val="001D50BA"/>
    <w:rsid w:val="001D5CE7"/>
    <w:rsid w:val="001D5E6D"/>
    <w:rsid w:val="001D68CF"/>
    <w:rsid w:val="001D6C5E"/>
    <w:rsid w:val="001D7430"/>
    <w:rsid w:val="001E1D7C"/>
    <w:rsid w:val="001E2FAF"/>
    <w:rsid w:val="001E5406"/>
    <w:rsid w:val="001E5E86"/>
    <w:rsid w:val="001E6517"/>
    <w:rsid w:val="001F172D"/>
    <w:rsid w:val="001F40CE"/>
    <w:rsid w:val="001F5005"/>
    <w:rsid w:val="001F5F7D"/>
    <w:rsid w:val="001F6DCB"/>
    <w:rsid w:val="001F7A23"/>
    <w:rsid w:val="00202B01"/>
    <w:rsid w:val="002114DF"/>
    <w:rsid w:val="002124F3"/>
    <w:rsid w:val="00217EFF"/>
    <w:rsid w:val="00220D6F"/>
    <w:rsid w:val="00221B87"/>
    <w:rsid w:val="0022378E"/>
    <w:rsid w:val="00226147"/>
    <w:rsid w:val="00226422"/>
    <w:rsid w:val="00230402"/>
    <w:rsid w:val="00230497"/>
    <w:rsid w:val="00230D91"/>
    <w:rsid w:val="0023182C"/>
    <w:rsid w:val="00231C6F"/>
    <w:rsid w:val="00233D49"/>
    <w:rsid w:val="00234AF3"/>
    <w:rsid w:val="00234F59"/>
    <w:rsid w:val="002365C7"/>
    <w:rsid w:val="00237DB9"/>
    <w:rsid w:val="00242755"/>
    <w:rsid w:val="0024379F"/>
    <w:rsid w:val="002441CE"/>
    <w:rsid w:val="002465B1"/>
    <w:rsid w:val="002468B3"/>
    <w:rsid w:val="002474DB"/>
    <w:rsid w:val="00247B29"/>
    <w:rsid w:val="00250E02"/>
    <w:rsid w:val="00251A55"/>
    <w:rsid w:val="00253836"/>
    <w:rsid w:val="002544C5"/>
    <w:rsid w:val="00255FD3"/>
    <w:rsid w:val="002578D4"/>
    <w:rsid w:val="00260CB7"/>
    <w:rsid w:val="00261099"/>
    <w:rsid w:val="00261BCA"/>
    <w:rsid w:val="002622C3"/>
    <w:rsid w:val="0026396C"/>
    <w:rsid w:val="00270726"/>
    <w:rsid w:val="00270DF5"/>
    <w:rsid w:val="00270F94"/>
    <w:rsid w:val="00271555"/>
    <w:rsid w:val="00272694"/>
    <w:rsid w:val="00275A02"/>
    <w:rsid w:val="00277083"/>
    <w:rsid w:val="0028207C"/>
    <w:rsid w:val="00284FCB"/>
    <w:rsid w:val="002850E5"/>
    <w:rsid w:val="0028753A"/>
    <w:rsid w:val="00290ACB"/>
    <w:rsid w:val="00292D4E"/>
    <w:rsid w:val="00293D1C"/>
    <w:rsid w:val="00295090"/>
    <w:rsid w:val="00296978"/>
    <w:rsid w:val="002A2E0E"/>
    <w:rsid w:val="002A3375"/>
    <w:rsid w:val="002A5D05"/>
    <w:rsid w:val="002A5EEC"/>
    <w:rsid w:val="002B0ABB"/>
    <w:rsid w:val="002B4B78"/>
    <w:rsid w:val="002B51BF"/>
    <w:rsid w:val="002B55D2"/>
    <w:rsid w:val="002B7A29"/>
    <w:rsid w:val="002B7FF0"/>
    <w:rsid w:val="002C1298"/>
    <w:rsid w:val="002C2382"/>
    <w:rsid w:val="002C55B0"/>
    <w:rsid w:val="002C58CE"/>
    <w:rsid w:val="002C5B3E"/>
    <w:rsid w:val="002C646B"/>
    <w:rsid w:val="002C68B5"/>
    <w:rsid w:val="002C6982"/>
    <w:rsid w:val="002C70BB"/>
    <w:rsid w:val="002C7CDB"/>
    <w:rsid w:val="002D0330"/>
    <w:rsid w:val="002D40F5"/>
    <w:rsid w:val="002D4729"/>
    <w:rsid w:val="002D4BC6"/>
    <w:rsid w:val="002D6494"/>
    <w:rsid w:val="002E2C2F"/>
    <w:rsid w:val="002E3270"/>
    <w:rsid w:val="002E4E13"/>
    <w:rsid w:val="002E67F3"/>
    <w:rsid w:val="002F0053"/>
    <w:rsid w:val="002F1C8B"/>
    <w:rsid w:val="002F3EAA"/>
    <w:rsid w:val="002F5140"/>
    <w:rsid w:val="002F7E27"/>
    <w:rsid w:val="0030153C"/>
    <w:rsid w:val="00302A43"/>
    <w:rsid w:val="003121EC"/>
    <w:rsid w:val="00312F75"/>
    <w:rsid w:val="00313824"/>
    <w:rsid w:val="003156E1"/>
    <w:rsid w:val="00320D9B"/>
    <w:rsid w:val="00321005"/>
    <w:rsid w:val="00324F4B"/>
    <w:rsid w:val="00330E72"/>
    <w:rsid w:val="0033457A"/>
    <w:rsid w:val="00334A43"/>
    <w:rsid w:val="003357AA"/>
    <w:rsid w:val="00336909"/>
    <w:rsid w:val="003373A2"/>
    <w:rsid w:val="00342453"/>
    <w:rsid w:val="00343DDC"/>
    <w:rsid w:val="00344466"/>
    <w:rsid w:val="00344ACB"/>
    <w:rsid w:val="0035022A"/>
    <w:rsid w:val="003513AD"/>
    <w:rsid w:val="00355F2A"/>
    <w:rsid w:val="0035662A"/>
    <w:rsid w:val="00360321"/>
    <w:rsid w:val="003627BD"/>
    <w:rsid w:val="003662F7"/>
    <w:rsid w:val="00370F65"/>
    <w:rsid w:val="0037140B"/>
    <w:rsid w:val="0037189B"/>
    <w:rsid w:val="00372AF8"/>
    <w:rsid w:val="00373117"/>
    <w:rsid w:val="00373358"/>
    <w:rsid w:val="0037381B"/>
    <w:rsid w:val="00374241"/>
    <w:rsid w:val="00374D95"/>
    <w:rsid w:val="003750A9"/>
    <w:rsid w:val="0037566B"/>
    <w:rsid w:val="003762F1"/>
    <w:rsid w:val="003771FA"/>
    <w:rsid w:val="00380C57"/>
    <w:rsid w:val="00382109"/>
    <w:rsid w:val="00382352"/>
    <w:rsid w:val="003833A0"/>
    <w:rsid w:val="003839D4"/>
    <w:rsid w:val="0038598F"/>
    <w:rsid w:val="003863C8"/>
    <w:rsid w:val="00387F2D"/>
    <w:rsid w:val="0039361B"/>
    <w:rsid w:val="0039449B"/>
    <w:rsid w:val="00395C65"/>
    <w:rsid w:val="00395F3E"/>
    <w:rsid w:val="003A39B9"/>
    <w:rsid w:val="003A3C32"/>
    <w:rsid w:val="003A50CC"/>
    <w:rsid w:val="003A518E"/>
    <w:rsid w:val="003A6B8C"/>
    <w:rsid w:val="003B0886"/>
    <w:rsid w:val="003B0AAD"/>
    <w:rsid w:val="003B26C7"/>
    <w:rsid w:val="003B2D65"/>
    <w:rsid w:val="003B4321"/>
    <w:rsid w:val="003B50ED"/>
    <w:rsid w:val="003B6ECA"/>
    <w:rsid w:val="003B795C"/>
    <w:rsid w:val="003B7F2E"/>
    <w:rsid w:val="003C0C4C"/>
    <w:rsid w:val="003C2E4A"/>
    <w:rsid w:val="003C6829"/>
    <w:rsid w:val="003C6D75"/>
    <w:rsid w:val="003E1364"/>
    <w:rsid w:val="003E2D9C"/>
    <w:rsid w:val="003E2E9A"/>
    <w:rsid w:val="003E361F"/>
    <w:rsid w:val="003E3889"/>
    <w:rsid w:val="003E4735"/>
    <w:rsid w:val="003E560C"/>
    <w:rsid w:val="003E5B9D"/>
    <w:rsid w:val="003E7F6A"/>
    <w:rsid w:val="003F2CEE"/>
    <w:rsid w:val="003F3421"/>
    <w:rsid w:val="003F3E25"/>
    <w:rsid w:val="003F5E1F"/>
    <w:rsid w:val="003F6E77"/>
    <w:rsid w:val="0040055C"/>
    <w:rsid w:val="00401674"/>
    <w:rsid w:val="00401E63"/>
    <w:rsid w:val="00402378"/>
    <w:rsid w:val="004025AC"/>
    <w:rsid w:val="0040546C"/>
    <w:rsid w:val="00406F1E"/>
    <w:rsid w:val="004075D1"/>
    <w:rsid w:val="00410043"/>
    <w:rsid w:val="004111A0"/>
    <w:rsid w:val="00411226"/>
    <w:rsid w:val="00412BC9"/>
    <w:rsid w:val="00415407"/>
    <w:rsid w:val="00415B69"/>
    <w:rsid w:val="0042025B"/>
    <w:rsid w:val="004212F3"/>
    <w:rsid w:val="00422F8C"/>
    <w:rsid w:val="00427BC6"/>
    <w:rsid w:val="0043104B"/>
    <w:rsid w:val="0043220E"/>
    <w:rsid w:val="004337D7"/>
    <w:rsid w:val="00433E00"/>
    <w:rsid w:val="0043443E"/>
    <w:rsid w:val="00434FEE"/>
    <w:rsid w:val="00435152"/>
    <w:rsid w:val="00435318"/>
    <w:rsid w:val="00440128"/>
    <w:rsid w:val="00442446"/>
    <w:rsid w:val="00443EF5"/>
    <w:rsid w:val="0044432A"/>
    <w:rsid w:val="0044473A"/>
    <w:rsid w:val="00446A0E"/>
    <w:rsid w:val="00447848"/>
    <w:rsid w:val="00452369"/>
    <w:rsid w:val="00452AA7"/>
    <w:rsid w:val="00454509"/>
    <w:rsid w:val="00456CD4"/>
    <w:rsid w:val="00460ACB"/>
    <w:rsid w:val="004705B0"/>
    <w:rsid w:val="004725EA"/>
    <w:rsid w:val="004727B2"/>
    <w:rsid w:val="00473197"/>
    <w:rsid w:val="00473D0B"/>
    <w:rsid w:val="00474316"/>
    <w:rsid w:val="00474542"/>
    <w:rsid w:val="00475A8A"/>
    <w:rsid w:val="00480E23"/>
    <w:rsid w:val="00482C38"/>
    <w:rsid w:val="00482C96"/>
    <w:rsid w:val="00482EB9"/>
    <w:rsid w:val="0048360F"/>
    <w:rsid w:val="00485648"/>
    <w:rsid w:val="00485EC8"/>
    <w:rsid w:val="00486890"/>
    <w:rsid w:val="00490046"/>
    <w:rsid w:val="00490865"/>
    <w:rsid w:val="0049455B"/>
    <w:rsid w:val="00494DB4"/>
    <w:rsid w:val="00495EE6"/>
    <w:rsid w:val="00497128"/>
    <w:rsid w:val="0049747E"/>
    <w:rsid w:val="00497E0D"/>
    <w:rsid w:val="00497EA1"/>
    <w:rsid w:val="004A1221"/>
    <w:rsid w:val="004A481E"/>
    <w:rsid w:val="004A7334"/>
    <w:rsid w:val="004B0D0A"/>
    <w:rsid w:val="004B123F"/>
    <w:rsid w:val="004B25E2"/>
    <w:rsid w:val="004B6A85"/>
    <w:rsid w:val="004B6D0E"/>
    <w:rsid w:val="004B7007"/>
    <w:rsid w:val="004C0B75"/>
    <w:rsid w:val="004C1CCA"/>
    <w:rsid w:val="004C59AA"/>
    <w:rsid w:val="004C5AE3"/>
    <w:rsid w:val="004D2527"/>
    <w:rsid w:val="004D4FEB"/>
    <w:rsid w:val="004D79BD"/>
    <w:rsid w:val="004D7A10"/>
    <w:rsid w:val="004E04FE"/>
    <w:rsid w:val="004E0530"/>
    <w:rsid w:val="004E0643"/>
    <w:rsid w:val="004E3EFD"/>
    <w:rsid w:val="004E49B9"/>
    <w:rsid w:val="004E4BC7"/>
    <w:rsid w:val="004E4EB2"/>
    <w:rsid w:val="004E5089"/>
    <w:rsid w:val="004E70A1"/>
    <w:rsid w:val="004F164A"/>
    <w:rsid w:val="004F475A"/>
    <w:rsid w:val="00500220"/>
    <w:rsid w:val="005029CF"/>
    <w:rsid w:val="00502BE1"/>
    <w:rsid w:val="00502D2E"/>
    <w:rsid w:val="00504975"/>
    <w:rsid w:val="00507067"/>
    <w:rsid w:val="0051145B"/>
    <w:rsid w:val="005122C0"/>
    <w:rsid w:val="00513C7D"/>
    <w:rsid w:val="0051530B"/>
    <w:rsid w:val="00520807"/>
    <w:rsid w:val="0052119F"/>
    <w:rsid w:val="0052169E"/>
    <w:rsid w:val="00524902"/>
    <w:rsid w:val="00525B71"/>
    <w:rsid w:val="005265BF"/>
    <w:rsid w:val="00526F61"/>
    <w:rsid w:val="0052717E"/>
    <w:rsid w:val="00530DBD"/>
    <w:rsid w:val="00530F49"/>
    <w:rsid w:val="0053589B"/>
    <w:rsid w:val="00535C47"/>
    <w:rsid w:val="005360DE"/>
    <w:rsid w:val="00540DC0"/>
    <w:rsid w:val="00542157"/>
    <w:rsid w:val="00545382"/>
    <w:rsid w:val="00546A3B"/>
    <w:rsid w:val="00550E28"/>
    <w:rsid w:val="00553860"/>
    <w:rsid w:val="00561533"/>
    <w:rsid w:val="00562EA4"/>
    <w:rsid w:val="00563EAE"/>
    <w:rsid w:val="00564084"/>
    <w:rsid w:val="00566E00"/>
    <w:rsid w:val="00570721"/>
    <w:rsid w:val="00573190"/>
    <w:rsid w:val="00574C3C"/>
    <w:rsid w:val="00575357"/>
    <w:rsid w:val="00575E53"/>
    <w:rsid w:val="00576177"/>
    <w:rsid w:val="005769FD"/>
    <w:rsid w:val="0058248A"/>
    <w:rsid w:val="0058399B"/>
    <w:rsid w:val="005850E6"/>
    <w:rsid w:val="00586A0A"/>
    <w:rsid w:val="0058728C"/>
    <w:rsid w:val="00587329"/>
    <w:rsid w:val="00587C02"/>
    <w:rsid w:val="00590127"/>
    <w:rsid w:val="00591423"/>
    <w:rsid w:val="0059246D"/>
    <w:rsid w:val="00594C90"/>
    <w:rsid w:val="0059503E"/>
    <w:rsid w:val="005963DE"/>
    <w:rsid w:val="0059691E"/>
    <w:rsid w:val="005977DF"/>
    <w:rsid w:val="00597BDE"/>
    <w:rsid w:val="005A0615"/>
    <w:rsid w:val="005A1267"/>
    <w:rsid w:val="005A521E"/>
    <w:rsid w:val="005A57E5"/>
    <w:rsid w:val="005A74AD"/>
    <w:rsid w:val="005B0190"/>
    <w:rsid w:val="005B17D9"/>
    <w:rsid w:val="005B2B1F"/>
    <w:rsid w:val="005B2E7A"/>
    <w:rsid w:val="005B3C7B"/>
    <w:rsid w:val="005B3E0F"/>
    <w:rsid w:val="005B56A5"/>
    <w:rsid w:val="005B610D"/>
    <w:rsid w:val="005B6492"/>
    <w:rsid w:val="005B66D5"/>
    <w:rsid w:val="005C177D"/>
    <w:rsid w:val="005C2E46"/>
    <w:rsid w:val="005C323B"/>
    <w:rsid w:val="005C48E8"/>
    <w:rsid w:val="005C4CC1"/>
    <w:rsid w:val="005C59EC"/>
    <w:rsid w:val="005C74C3"/>
    <w:rsid w:val="005D0544"/>
    <w:rsid w:val="005D1091"/>
    <w:rsid w:val="005D2ABC"/>
    <w:rsid w:val="005D2BE4"/>
    <w:rsid w:val="005D5152"/>
    <w:rsid w:val="005E0B2B"/>
    <w:rsid w:val="005E288B"/>
    <w:rsid w:val="005E33ED"/>
    <w:rsid w:val="005E460F"/>
    <w:rsid w:val="005E5314"/>
    <w:rsid w:val="005E5445"/>
    <w:rsid w:val="005E5DE4"/>
    <w:rsid w:val="005E7430"/>
    <w:rsid w:val="005E75DD"/>
    <w:rsid w:val="005E7C3D"/>
    <w:rsid w:val="005E7D27"/>
    <w:rsid w:val="005F2389"/>
    <w:rsid w:val="005F2461"/>
    <w:rsid w:val="005F3D62"/>
    <w:rsid w:val="005F4849"/>
    <w:rsid w:val="005F6437"/>
    <w:rsid w:val="005F7E0B"/>
    <w:rsid w:val="006015BD"/>
    <w:rsid w:val="00603D2F"/>
    <w:rsid w:val="00610B2E"/>
    <w:rsid w:val="00613AAD"/>
    <w:rsid w:val="00614243"/>
    <w:rsid w:val="006175CD"/>
    <w:rsid w:val="0061765D"/>
    <w:rsid w:val="00622086"/>
    <w:rsid w:val="006229B9"/>
    <w:rsid w:val="00623D53"/>
    <w:rsid w:val="00623F86"/>
    <w:rsid w:val="006251CA"/>
    <w:rsid w:val="006253AD"/>
    <w:rsid w:val="00626FC7"/>
    <w:rsid w:val="006278E8"/>
    <w:rsid w:val="006307DE"/>
    <w:rsid w:val="00632876"/>
    <w:rsid w:val="00632CA2"/>
    <w:rsid w:val="0063383E"/>
    <w:rsid w:val="006340A7"/>
    <w:rsid w:val="006368BF"/>
    <w:rsid w:val="00637321"/>
    <w:rsid w:val="006408E4"/>
    <w:rsid w:val="00640D54"/>
    <w:rsid w:val="00642044"/>
    <w:rsid w:val="006427F5"/>
    <w:rsid w:val="006428B9"/>
    <w:rsid w:val="0064478A"/>
    <w:rsid w:val="006456F8"/>
    <w:rsid w:val="00647AAB"/>
    <w:rsid w:val="00650DF1"/>
    <w:rsid w:val="00657A2D"/>
    <w:rsid w:val="006604AE"/>
    <w:rsid w:val="00660BB4"/>
    <w:rsid w:val="00662F02"/>
    <w:rsid w:val="006630FC"/>
    <w:rsid w:val="00665A4F"/>
    <w:rsid w:val="006718EE"/>
    <w:rsid w:val="00672672"/>
    <w:rsid w:val="00675A33"/>
    <w:rsid w:val="00675B15"/>
    <w:rsid w:val="00676763"/>
    <w:rsid w:val="00681347"/>
    <w:rsid w:val="0068168A"/>
    <w:rsid w:val="0068238B"/>
    <w:rsid w:val="006824C3"/>
    <w:rsid w:val="006830F9"/>
    <w:rsid w:val="00684129"/>
    <w:rsid w:val="00685FD6"/>
    <w:rsid w:val="00686AA7"/>
    <w:rsid w:val="00686EE6"/>
    <w:rsid w:val="00686F70"/>
    <w:rsid w:val="0069030D"/>
    <w:rsid w:val="00690E02"/>
    <w:rsid w:val="00693AB2"/>
    <w:rsid w:val="00694BD0"/>
    <w:rsid w:val="00694E18"/>
    <w:rsid w:val="0069696C"/>
    <w:rsid w:val="006A0693"/>
    <w:rsid w:val="006A3544"/>
    <w:rsid w:val="006A405B"/>
    <w:rsid w:val="006A4A9B"/>
    <w:rsid w:val="006A4B24"/>
    <w:rsid w:val="006A730E"/>
    <w:rsid w:val="006B1D1D"/>
    <w:rsid w:val="006B3451"/>
    <w:rsid w:val="006B60C6"/>
    <w:rsid w:val="006B7E7E"/>
    <w:rsid w:val="006C3ABF"/>
    <w:rsid w:val="006C454E"/>
    <w:rsid w:val="006C4B1F"/>
    <w:rsid w:val="006C5455"/>
    <w:rsid w:val="006C6BA4"/>
    <w:rsid w:val="006D2ABA"/>
    <w:rsid w:val="006D2C80"/>
    <w:rsid w:val="006D6493"/>
    <w:rsid w:val="006E2071"/>
    <w:rsid w:val="006E280D"/>
    <w:rsid w:val="006E3A48"/>
    <w:rsid w:val="006E4777"/>
    <w:rsid w:val="006E65D5"/>
    <w:rsid w:val="006E7B2F"/>
    <w:rsid w:val="006F2842"/>
    <w:rsid w:val="006F2925"/>
    <w:rsid w:val="006F326C"/>
    <w:rsid w:val="007048E0"/>
    <w:rsid w:val="00705D56"/>
    <w:rsid w:val="00706223"/>
    <w:rsid w:val="00707DFC"/>
    <w:rsid w:val="007102F6"/>
    <w:rsid w:val="00710485"/>
    <w:rsid w:val="007143EF"/>
    <w:rsid w:val="00720243"/>
    <w:rsid w:val="00720815"/>
    <w:rsid w:val="00721123"/>
    <w:rsid w:val="00724A24"/>
    <w:rsid w:val="00724C01"/>
    <w:rsid w:val="0072502F"/>
    <w:rsid w:val="00726626"/>
    <w:rsid w:val="00731C23"/>
    <w:rsid w:val="007337CE"/>
    <w:rsid w:val="00733DE3"/>
    <w:rsid w:val="007439DE"/>
    <w:rsid w:val="00745F49"/>
    <w:rsid w:val="00745FC6"/>
    <w:rsid w:val="0074608E"/>
    <w:rsid w:val="00746873"/>
    <w:rsid w:val="00760101"/>
    <w:rsid w:val="00760217"/>
    <w:rsid w:val="0076060F"/>
    <w:rsid w:val="00762F61"/>
    <w:rsid w:val="007648EB"/>
    <w:rsid w:val="00765C17"/>
    <w:rsid w:val="007724D5"/>
    <w:rsid w:val="00774F27"/>
    <w:rsid w:val="00776E11"/>
    <w:rsid w:val="00777BD0"/>
    <w:rsid w:val="00781119"/>
    <w:rsid w:val="007837E0"/>
    <w:rsid w:val="007860F9"/>
    <w:rsid w:val="00786EC4"/>
    <w:rsid w:val="007907BC"/>
    <w:rsid w:val="00792F89"/>
    <w:rsid w:val="00793574"/>
    <w:rsid w:val="007A4CB2"/>
    <w:rsid w:val="007A565B"/>
    <w:rsid w:val="007B2696"/>
    <w:rsid w:val="007B2732"/>
    <w:rsid w:val="007B55A6"/>
    <w:rsid w:val="007C1562"/>
    <w:rsid w:val="007C3C88"/>
    <w:rsid w:val="007D0C53"/>
    <w:rsid w:val="007D15BC"/>
    <w:rsid w:val="007D348B"/>
    <w:rsid w:val="007D76BA"/>
    <w:rsid w:val="007D7889"/>
    <w:rsid w:val="007E14E4"/>
    <w:rsid w:val="007E2027"/>
    <w:rsid w:val="007E3A14"/>
    <w:rsid w:val="007E3C7A"/>
    <w:rsid w:val="007E586E"/>
    <w:rsid w:val="007E5CBF"/>
    <w:rsid w:val="007E6072"/>
    <w:rsid w:val="007E6425"/>
    <w:rsid w:val="007E64C6"/>
    <w:rsid w:val="007E7F73"/>
    <w:rsid w:val="007F1F77"/>
    <w:rsid w:val="007F35AD"/>
    <w:rsid w:val="007F395B"/>
    <w:rsid w:val="007F4C26"/>
    <w:rsid w:val="007F7EED"/>
    <w:rsid w:val="008012A3"/>
    <w:rsid w:val="0080551C"/>
    <w:rsid w:val="00806A63"/>
    <w:rsid w:val="008071F0"/>
    <w:rsid w:val="00807435"/>
    <w:rsid w:val="00807594"/>
    <w:rsid w:val="00813626"/>
    <w:rsid w:val="008158E1"/>
    <w:rsid w:val="008159E3"/>
    <w:rsid w:val="00815DB7"/>
    <w:rsid w:val="0081779E"/>
    <w:rsid w:val="008177F5"/>
    <w:rsid w:val="0082113E"/>
    <w:rsid w:val="008211D0"/>
    <w:rsid w:val="00821310"/>
    <w:rsid w:val="00822ACC"/>
    <w:rsid w:val="008232F7"/>
    <w:rsid w:val="00823B83"/>
    <w:rsid w:val="00830AD6"/>
    <w:rsid w:val="0083283B"/>
    <w:rsid w:val="00832854"/>
    <w:rsid w:val="0083355A"/>
    <w:rsid w:val="00834266"/>
    <w:rsid w:val="008366CC"/>
    <w:rsid w:val="00837DC1"/>
    <w:rsid w:val="00840B55"/>
    <w:rsid w:val="0084183E"/>
    <w:rsid w:val="00842951"/>
    <w:rsid w:val="00843E1A"/>
    <w:rsid w:val="00844377"/>
    <w:rsid w:val="00846701"/>
    <w:rsid w:val="0084750D"/>
    <w:rsid w:val="00852422"/>
    <w:rsid w:val="00856B0D"/>
    <w:rsid w:val="00860795"/>
    <w:rsid w:val="00863C30"/>
    <w:rsid w:val="00864092"/>
    <w:rsid w:val="008640DF"/>
    <w:rsid w:val="00864F92"/>
    <w:rsid w:val="008660F3"/>
    <w:rsid w:val="00866E72"/>
    <w:rsid w:val="00866ECE"/>
    <w:rsid w:val="008713B3"/>
    <w:rsid w:val="008730B3"/>
    <w:rsid w:val="00874EEC"/>
    <w:rsid w:val="00875989"/>
    <w:rsid w:val="00881349"/>
    <w:rsid w:val="00882AC7"/>
    <w:rsid w:val="00883335"/>
    <w:rsid w:val="008845CC"/>
    <w:rsid w:val="008859D9"/>
    <w:rsid w:val="00891C27"/>
    <w:rsid w:val="00891EE6"/>
    <w:rsid w:val="008923FA"/>
    <w:rsid w:val="00892C99"/>
    <w:rsid w:val="00894294"/>
    <w:rsid w:val="008A3542"/>
    <w:rsid w:val="008A6393"/>
    <w:rsid w:val="008A6451"/>
    <w:rsid w:val="008A73E9"/>
    <w:rsid w:val="008A7881"/>
    <w:rsid w:val="008B188E"/>
    <w:rsid w:val="008B1DBC"/>
    <w:rsid w:val="008B351A"/>
    <w:rsid w:val="008B72EF"/>
    <w:rsid w:val="008C088A"/>
    <w:rsid w:val="008C275E"/>
    <w:rsid w:val="008D306D"/>
    <w:rsid w:val="008D5F9C"/>
    <w:rsid w:val="008D6CF4"/>
    <w:rsid w:val="008E0299"/>
    <w:rsid w:val="008E04B4"/>
    <w:rsid w:val="008E1BB7"/>
    <w:rsid w:val="008E3745"/>
    <w:rsid w:val="008F41D2"/>
    <w:rsid w:val="008F6BF2"/>
    <w:rsid w:val="009005CB"/>
    <w:rsid w:val="00904760"/>
    <w:rsid w:val="009075FF"/>
    <w:rsid w:val="00907915"/>
    <w:rsid w:val="00910074"/>
    <w:rsid w:val="00911097"/>
    <w:rsid w:val="0091155F"/>
    <w:rsid w:val="009136BE"/>
    <w:rsid w:val="009146DF"/>
    <w:rsid w:val="0092058A"/>
    <w:rsid w:val="00920BF0"/>
    <w:rsid w:val="00922CC8"/>
    <w:rsid w:val="0092580A"/>
    <w:rsid w:val="009266DC"/>
    <w:rsid w:val="0093052E"/>
    <w:rsid w:val="00937358"/>
    <w:rsid w:val="009376EC"/>
    <w:rsid w:val="009414FB"/>
    <w:rsid w:val="009419B4"/>
    <w:rsid w:val="00944410"/>
    <w:rsid w:val="00946815"/>
    <w:rsid w:val="00946B6F"/>
    <w:rsid w:val="00946BBE"/>
    <w:rsid w:val="00950FCA"/>
    <w:rsid w:val="009510FF"/>
    <w:rsid w:val="009512DD"/>
    <w:rsid w:val="00951F41"/>
    <w:rsid w:val="009524ED"/>
    <w:rsid w:val="00952C87"/>
    <w:rsid w:val="00953337"/>
    <w:rsid w:val="009542D1"/>
    <w:rsid w:val="009558BF"/>
    <w:rsid w:val="00961201"/>
    <w:rsid w:val="00961246"/>
    <w:rsid w:val="00962265"/>
    <w:rsid w:val="00964036"/>
    <w:rsid w:val="00964E40"/>
    <w:rsid w:val="00965FCE"/>
    <w:rsid w:val="00967245"/>
    <w:rsid w:val="00970872"/>
    <w:rsid w:val="00970CFF"/>
    <w:rsid w:val="009730B6"/>
    <w:rsid w:val="00975CE5"/>
    <w:rsid w:val="0097624C"/>
    <w:rsid w:val="009767E0"/>
    <w:rsid w:val="00977495"/>
    <w:rsid w:val="00977B5C"/>
    <w:rsid w:val="00977BC4"/>
    <w:rsid w:val="00980EA2"/>
    <w:rsid w:val="0098146D"/>
    <w:rsid w:val="009815DC"/>
    <w:rsid w:val="00981AE4"/>
    <w:rsid w:val="00982073"/>
    <w:rsid w:val="0098305A"/>
    <w:rsid w:val="00985EF2"/>
    <w:rsid w:val="00990912"/>
    <w:rsid w:val="00991111"/>
    <w:rsid w:val="00991227"/>
    <w:rsid w:val="009924CA"/>
    <w:rsid w:val="00992901"/>
    <w:rsid w:val="00992F02"/>
    <w:rsid w:val="0099526B"/>
    <w:rsid w:val="00995BCE"/>
    <w:rsid w:val="009A35DA"/>
    <w:rsid w:val="009A385F"/>
    <w:rsid w:val="009B104E"/>
    <w:rsid w:val="009B3807"/>
    <w:rsid w:val="009B43D9"/>
    <w:rsid w:val="009B6746"/>
    <w:rsid w:val="009B6AA7"/>
    <w:rsid w:val="009B6F39"/>
    <w:rsid w:val="009C1CF1"/>
    <w:rsid w:val="009C2133"/>
    <w:rsid w:val="009D000A"/>
    <w:rsid w:val="009D008C"/>
    <w:rsid w:val="009D04BB"/>
    <w:rsid w:val="009D14BB"/>
    <w:rsid w:val="009D23C9"/>
    <w:rsid w:val="009D3361"/>
    <w:rsid w:val="009D5455"/>
    <w:rsid w:val="009E08E6"/>
    <w:rsid w:val="009E104B"/>
    <w:rsid w:val="009E1D82"/>
    <w:rsid w:val="009E32A1"/>
    <w:rsid w:val="009E42DC"/>
    <w:rsid w:val="009E6095"/>
    <w:rsid w:val="009E6279"/>
    <w:rsid w:val="009E6FF3"/>
    <w:rsid w:val="009E7DEC"/>
    <w:rsid w:val="009F07B4"/>
    <w:rsid w:val="009F3B71"/>
    <w:rsid w:val="009F43A8"/>
    <w:rsid w:val="009F637C"/>
    <w:rsid w:val="009F7A6A"/>
    <w:rsid w:val="00A0241B"/>
    <w:rsid w:val="00A048F6"/>
    <w:rsid w:val="00A04EF0"/>
    <w:rsid w:val="00A10828"/>
    <w:rsid w:val="00A108A8"/>
    <w:rsid w:val="00A1205B"/>
    <w:rsid w:val="00A1255A"/>
    <w:rsid w:val="00A12C0E"/>
    <w:rsid w:val="00A13467"/>
    <w:rsid w:val="00A15D6D"/>
    <w:rsid w:val="00A16148"/>
    <w:rsid w:val="00A2104C"/>
    <w:rsid w:val="00A21143"/>
    <w:rsid w:val="00A21862"/>
    <w:rsid w:val="00A23F35"/>
    <w:rsid w:val="00A250E8"/>
    <w:rsid w:val="00A25735"/>
    <w:rsid w:val="00A268EA"/>
    <w:rsid w:val="00A27F2F"/>
    <w:rsid w:val="00A27F84"/>
    <w:rsid w:val="00A30937"/>
    <w:rsid w:val="00A3151D"/>
    <w:rsid w:val="00A326B7"/>
    <w:rsid w:val="00A33840"/>
    <w:rsid w:val="00A34FA1"/>
    <w:rsid w:val="00A35523"/>
    <w:rsid w:val="00A359B1"/>
    <w:rsid w:val="00A40935"/>
    <w:rsid w:val="00A42698"/>
    <w:rsid w:val="00A42D19"/>
    <w:rsid w:val="00A4334E"/>
    <w:rsid w:val="00A450F1"/>
    <w:rsid w:val="00A504BA"/>
    <w:rsid w:val="00A52A3D"/>
    <w:rsid w:val="00A531D5"/>
    <w:rsid w:val="00A53285"/>
    <w:rsid w:val="00A53D60"/>
    <w:rsid w:val="00A540CF"/>
    <w:rsid w:val="00A55A53"/>
    <w:rsid w:val="00A56C6E"/>
    <w:rsid w:val="00A57680"/>
    <w:rsid w:val="00A63AC8"/>
    <w:rsid w:val="00A6585E"/>
    <w:rsid w:val="00A67454"/>
    <w:rsid w:val="00A7034E"/>
    <w:rsid w:val="00A714DC"/>
    <w:rsid w:val="00A72AF6"/>
    <w:rsid w:val="00A73716"/>
    <w:rsid w:val="00A73D53"/>
    <w:rsid w:val="00A73EBB"/>
    <w:rsid w:val="00A7444B"/>
    <w:rsid w:val="00A756D3"/>
    <w:rsid w:val="00A767A2"/>
    <w:rsid w:val="00A77A1F"/>
    <w:rsid w:val="00A80B9A"/>
    <w:rsid w:val="00A816A1"/>
    <w:rsid w:val="00A85C60"/>
    <w:rsid w:val="00A85DE9"/>
    <w:rsid w:val="00A85E42"/>
    <w:rsid w:val="00A862B5"/>
    <w:rsid w:val="00A869B7"/>
    <w:rsid w:val="00A8772B"/>
    <w:rsid w:val="00A91DA3"/>
    <w:rsid w:val="00A91DBB"/>
    <w:rsid w:val="00A9234C"/>
    <w:rsid w:val="00A92F65"/>
    <w:rsid w:val="00A9392C"/>
    <w:rsid w:val="00A9643C"/>
    <w:rsid w:val="00A97EE0"/>
    <w:rsid w:val="00AA2FC8"/>
    <w:rsid w:val="00AA32AD"/>
    <w:rsid w:val="00AA32C5"/>
    <w:rsid w:val="00AA3400"/>
    <w:rsid w:val="00AA6CFE"/>
    <w:rsid w:val="00AB1A05"/>
    <w:rsid w:val="00AB1A92"/>
    <w:rsid w:val="00AB4A2F"/>
    <w:rsid w:val="00AB5E52"/>
    <w:rsid w:val="00AC420B"/>
    <w:rsid w:val="00AC720A"/>
    <w:rsid w:val="00AC7EC0"/>
    <w:rsid w:val="00AD0210"/>
    <w:rsid w:val="00AD28AC"/>
    <w:rsid w:val="00AD2A02"/>
    <w:rsid w:val="00AD4999"/>
    <w:rsid w:val="00AD7FBF"/>
    <w:rsid w:val="00AE0529"/>
    <w:rsid w:val="00AE0C19"/>
    <w:rsid w:val="00AE0D53"/>
    <w:rsid w:val="00AE1D99"/>
    <w:rsid w:val="00AE3D4A"/>
    <w:rsid w:val="00AE54BA"/>
    <w:rsid w:val="00AE5930"/>
    <w:rsid w:val="00AE5FF4"/>
    <w:rsid w:val="00AE6217"/>
    <w:rsid w:val="00AE62F4"/>
    <w:rsid w:val="00AF183C"/>
    <w:rsid w:val="00AF211E"/>
    <w:rsid w:val="00AF3C7B"/>
    <w:rsid w:val="00AF43BC"/>
    <w:rsid w:val="00B01719"/>
    <w:rsid w:val="00B01782"/>
    <w:rsid w:val="00B01FC7"/>
    <w:rsid w:val="00B03DFC"/>
    <w:rsid w:val="00B040E6"/>
    <w:rsid w:val="00B05506"/>
    <w:rsid w:val="00B065AC"/>
    <w:rsid w:val="00B07594"/>
    <w:rsid w:val="00B12759"/>
    <w:rsid w:val="00B131F7"/>
    <w:rsid w:val="00B14FE8"/>
    <w:rsid w:val="00B157F7"/>
    <w:rsid w:val="00B15BEE"/>
    <w:rsid w:val="00B17B5E"/>
    <w:rsid w:val="00B208AA"/>
    <w:rsid w:val="00B21730"/>
    <w:rsid w:val="00B22746"/>
    <w:rsid w:val="00B233B9"/>
    <w:rsid w:val="00B25F67"/>
    <w:rsid w:val="00B33B1E"/>
    <w:rsid w:val="00B43012"/>
    <w:rsid w:val="00B44592"/>
    <w:rsid w:val="00B4538C"/>
    <w:rsid w:val="00B478A3"/>
    <w:rsid w:val="00B51BA9"/>
    <w:rsid w:val="00B555B2"/>
    <w:rsid w:val="00B61DB7"/>
    <w:rsid w:val="00B627F8"/>
    <w:rsid w:val="00B639FE"/>
    <w:rsid w:val="00B673FD"/>
    <w:rsid w:val="00B710CC"/>
    <w:rsid w:val="00B73688"/>
    <w:rsid w:val="00B75958"/>
    <w:rsid w:val="00B766C6"/>
    <w:rsid w:val="00B77186"/>
    <w:rsid w:val="00B771D4"/>
    <w:rsid w:val="00B7778B"/>
    <w:rsid w:val="00B84DBD"/>
    <w:rsid w:val="00B85AE7"/>
    <w:rsid w:val="00B90C84"/>
    <w:rsid w:val="00B91880"/>
    <w:rsid w:val="00B92E47"/>
    <w:rsid w:val="00B940CF"/>
    <w:rsid w:val="00B957F8"/>
    <w:rsid w:val="00B95D1F"/>
    <w:rsid w:val="00B969C5"/>
    <w:rsid w:val="00B9729E"/>
    <w:rsid w:val="00BA02CA"/>
    <w:rsid w:val="00BA0985"/>
    <w:rsid w:val="00BA1B3D"/>
    <w:rsid w:val="00BA200A"/>
    <w:rsid w:val="00BA2A0D"/>
    <w:rsid w:val="00BA3F5E"/>
    <w:rsid w:val="00BA5823"/>
    <w:rsid w:val="00BA61BB"/>
    <w:rsid w:val="00BB0307"/>
    <w:rsid w:val="00BB2382"/>
    <w:rsid w:val="00BB277C"/>
    <w:rsid w:val="00BB3A3E"/>
    <w:rsid w:val="00BB55DC"/>
    <w:rsid w:val="00BC4B59"/>
    <w:rsid w:val="00BC6746"/>
    <w:rsid w:val="00BC6EA6"/>
    <w:rsid w:val="00BC70B5"/>
    <w:rsid w:val="00BC7783"/>
    <w:rsid w:val="00BD06C6"/>
    <w:rsid w:val="00BD0D01"/>
    <w:rsid w:val="00BD4CF6"/>
    <w:rsid w:val="00BD7098"/>
    <w:rsid w:val="00BD730B"/>
    <w:rsid w:val="00BE0966"/>
    <w:rsid w:val="00BE1624"/>
    <w:rsid w:val="00BE19E9"/>
    <w:rsid w:val="00BE57EF"/>
    <w:rsid w:val="00BE5AF4"/>
    <w:rsid w:val="00BF1321"/>
    <w:rsid w:val="00BF1D20"/>
    <w:rsid w:val="00BF22AD"/>
    <w:rsid w:val="00BF49A5"/>
    <w:rsid w:val="00BF6100"/>
    <w:rsid w:val="00BF6BF7"/>
    <w:rsid w:val="00BF6CE0"/>
    <w:rsid w:val="00BF750F"/>
    <w:rsid w:val="00BF7AF5"/>
    <w:rsid w:val="00C00218"/>
    <w:rsid w:val="00C00317"/>
    <w:rsid w:val="00C0178E"/>
    <w:rsid w:val="00C04965"/>
    <w:rsid w:val="00C04A92"/>
    <w:rsid w:val="00C1003E"/>
    <w:rsid w:val="00C1150E"/>
    <w:rsid w:val="00C11849"/>
    <w:rsid w:val="00C12BFA"/>
    <w:rsid w:val="00C1351C"/>
    <w:rsid w:val="00C13808"/>
    <w:rsid w:val="00C15351"/>
    <w:rsid w:val="00C15914"/>
    <w:rsid w:val="00C163C4"/>
    <w:rsid w:val="00C17144"/>
    <w:rsid w:val="00C20098"/>
    <w:rsid w:val="00C20735"/>
    <w:rsid w:val="00C2268B"/>
    <w:rsid w:val="00C2490D"/>
    <w:rsid w:val="00C25C70"/>
    <w:rsid w:val="00C25FC6"/>
    <w:rsid w:val="00C2659A"/>
    <w:rsid w:val="00C27CD9"/>
    <w:rsid w:val="00C27E04"/>
    <w:rsid w:val="00C306FD"/>
    <w:rsid w:val="00C341B7"/>
    <w:rsid w:val="00C34343"/>
    <w:rsid w:val="00C35AAB"/>
    <w:rsid w:val="00C3653D"/>
    <w:rsid w:val="00C37264"/>
    <w:rsid w:val="00C40044"/>
    <w:rsid w:val="00C4034E"/>
    <w:rsid w:val="00C41597"/>
    <w:rsid w:val="00C4209C"/>
    <w:rsid w:val="00C4472E"/>
    <w:rsid w:val="00C46074"/>
    <w:rsid w:val="00C47561"/>
    <w:rsid w:val="00C509EF"/>
    <w:rsid w:val="00C5494B"/>
    <w:rsid w:val="00C57EED"/>
    <w:rsid w:val="00C6168C"/>
    <w:rsid w:val="00C633DB"/>
    <w:rsid w:val="00C645CF"/>
    <w:rsid w:val="00C6467B"/>
    <w:rsid w:val="00C70C6D"/>
    <w:rsid w:val="00C71B28"/>
    <w:rsid w:val="00C720F8"/>
    <w:rsid w:val="00C72465"/>
    <w:rsid w:val="00C726C1"/>
    <w:rsid w:val="00C75092"/>
    <w:rsid w:val="00C7644C"/>
    <w:rsid w:val="00C770AD"/>
    <w:rsid w:val="00C77ABF"/>
    <w:rsid w:val="00C83733"/>
    <w:rsid w:val="00C8471E"/>
    <w:rsid w:val="00C86470"/>
    <w:rsid w:val="00C8655B"/>
    <w:rsid w:val="00C90C26"/>
    <w:rsid w:val="00C91253"/>
    <w:rsid w:val="00C917D9"/>
    <w:rsid w:val="00C933E2"/>
    <w:rsid w:val="00C9508B"/>
    <w:rsid w:val="00C9548A"/>
    <w:rsid w:val="00C973F4"/>
    <w:rsid w:val="00CA38D0"/>
    <w:rsid w:val="00CA487E"/>
    <w:rsid w:val="00CA59B3"/>
    <w:rsid w:val="00CA766A"/>
    <w:rsid w:val="00CA789D"/>
    <w:rsid w:val="00CB2604"/>
    <w:rsid w:val="00CB6AE0"/>
    <w:rsid w:val="00CB6E20"/>
    <w:rsid w:val="00CC30BD"/>
    <w:rsid w:val="00CC32D4"/>
    <w:rsid w:val="00CC34AB"/>
    <w:rsid w:val="00CC4C68"/>
    <w:rsid w:val="00CC61D1"/>
    <w:rsid w:val="00CC662C"/>
    <w:rsid w:val="00CC66A6"/>
    <w:rsid w:val="00CD05F7"/>
    <w:rsid w:val="00CD3251"/>
    <w:rsid w:val="00CD3637"/>
    <w:rsid w:val="00CD49C1"/>
    <w:rsid w:val="00CD693F"/>
    <w:rsid w:val="00CE1187"/>
    <w:rsid w:val="00CE1755"/>
    <w:rsid w:val="00CE384A"/>
    <w:rsid w:val="00CE3D18"/>
    <w:rsid w:val="00CE444F"/>
    <w:rsid w:val="00CE68D4"/>
    <w:rsid w:val="00CF1FFC"/>
    <w:rsid w:val="00CF210A"/>
    <w:rsid w:val="00CF2355"/>
    <w:rsid w:val="00CF3295"/>
    <w:rsid w:val="00CF5A93"/>
    <w:rsid w:val="00CF7F5D"/>
    <w:rsid w:val="00D00909"/>
    <w:rsid w:val="00D01149"/>
    <w:rsid w:val="00D01263"/>
    <w:rsid w:val="00D01559"/>
    <w:rsid w:val="00D0343A"/>
    <w:rsid w:val="00D03E15"/>
    <w:rsid w:val="00D04340"/>
    <w:rsid w:val="00D04D2F"/>
    <w:rsid w:val="00D05299"/>
    <w:rsid w:val="00D07435"/>
    <w:rsid w:val="00D07D90"/>
    <w:rsid w:val="00D07F1E"/>
    <w:rsid w:val="00D1057A"/>
    <w:rsid w:val="00D12CA0"/>
    <w:rsid w:val="00D12F8F"/>
    <w:rsid w:val="00D14CFF"/>
    <w:rsid w:val="00D237A9"/>
    <w:rsid w:val="00D245C1"/>
    <w:rsid w:val="00D24ED5"/>
    <w:rsid w:val="00D2645B"/>
    <w:rsid w:val="00D311F2"/>
    <w:rsid w:val="00D324A8"/>
    <w:rsid w:val="00D33196"/>
    <w:rsid w:val="00D34255"/>
    <w:rsid w:val="00D35D32"/>
    <w:rsid w:val="00D361E6"/>
    <w:rsid w:val="00D36B21"/>
    <w:rsid w:val="00D36E57"/>
    <w:rsid w:val="00D37ACA"/>
    <w:rsid w:val="00D40149"/>
    <w:rsid w:val="00D41D5A"/>
    <w:rsid w:val="00D43068"/>
    <w:rsid w:val="00D43103"/>
    <w:rsid w:val="00D44AAB"/>
    <w:rsid w:val="00D50DBD"/>
    <w:rsid w:val="00D51CEA"/>
    <w:rsid w:val="00D5370A"/>
    <w:rsid w:val="00D54D12"/>
    <w:rsid w:val="00D55D06"/>
    <w:rsid w:val="00D56A21"/>
    <w:rsid w:val="00D57BFF"/>
    <w:rsid w:val="00D61634"/>
    <w:rsid w:val="00D625C5"/>
    <w:rsid w:val="00D63B5A"/>
    <w:rsid w:val="00D63FEE"/>
    <w:rsid w:val="00D6508F"/>
    <w:rsid w:val="00D650D7"/>
    <w:rsid w:val="00D65CF7"/>
    <w:rsid w:val="00D67079"/>
    <w:rsid w:val="00D73FAF"/>
    <w:rsid w:val="00D74B26"/>
    <w:rsid w:val="00D75714"/>
    <w:rsid w:val="00D76083"/>
    <w:rsid w:val="00D80C35"/>
    <w:rsid w:val="00D81469"/>
    <w:rsid w:val="00D8234B"/>
    <w:rsid w:val="00D8296B"/>
    <w:rsid w:val="00D84714"/>
    <w:rsid w:val="00D8677F"/>
    <w:rsid w:val="00D86AC6"/>
    <w:rsid w:val="00D86AD6"/>
    <w:rsid w:val="00D903C6"/>
    <w:rsid w:val="00D90B99"/>
    <w:rsid w:val="00D91130"/>
    <w:rsid w:val="00D9496B"/>
    <w:rsid w:val="00D94DE2"/>
    <w:rsid w:val="00DA0D3E"/>
    <w:rsid w:val="00DA7989"/>
    <w:rsid w:val="00DB083A"/>
    <w:rsid w:val="00DB5AC2"/>
    <w:rsid w:val="00DC1B0E"/>
    <w:rsid w:val="00DC5F7B"/>
    <w:rsid w:val="00DC60E5"/>
    <w:rsid w:val="00DD0516"/>
    <w:rsid w:val="00DD252A"/>
    <w:rsid w:val="00DD2D1B"/>
    <w:rsid w:val="00DD3312"/>
    <w:rsid w:val="00DD435A"/>
    <w:rsid w:val="00DD52EC"/>
    <w:rsid w:val="00DD5715"/>
    <w:rsid w:val="00DD5C1B"/>
    <w:rsid w:val="00DD7270"/>
    <w:rsid w:val="00DD72BB"/>
    <w:rsid w:val="00DD7C7C"/>
    <w:rsid w:val="00DD7D05"/>
    <w:rsid w:val="00DE3667"/>
    <w:rsid w:val="00DE3972"/>
    <w:rsid w:val="00DE4B43"/>
    <w:rsid w:val="00DE501A"/>
    <w:rsid w:val="00DE6900"/>
    <w:rsid w:val="00DE7971"/>
    <w:rsid w:val="00DF161A"/>
    <w:rsid w:val="00DF1909"/>
    <w:rsid w:val="00DF6DA9"/>
    <w:rsid w:val="00DF7E67"/>
    <w:rsid w:val="00E02CC5"/>
    <w:rsid w:val="00E03B15"/>
    <w:rsid w:val="00E05652"/>
    <w:rsid w:val="00E1050B"/>
    <w:rsid w:val="00E23CB8"/>
    <w:rsid w:val="00E30272"/>
    <w:rsid w:val="00E30857"/>
    <w:rsid w:val="00E313AF"/>
    <w:rsid w:val="00E3399D"/>
    <w:rsid w:val="00E3457F"/>
    <w:rsid w:val="00E379F1"/>
    <w:rsid w:val="00E41EB4"/>
    <w:rsid w:val="00E43D9E"/>
    <w:rsid w:val="00E4458B"/>
    <w:rsid w:val="00E52FED"/>
    <w:rsid w:val="00E53C50"/>
    <w:rsid w:val="00E551E5"/>
    <w:rsid w:val="00E6035E"/>
    <w:rsid w:val="00E6196A"/>
    <w:rsid w:val="00E63926"/>
    <w:rsid w:val="00E6525F"/>
    <w:rsid w:val="00E67628"/>
    <w:rsid w:val="00E709C2"/>
    <w:rsid w:val="00E71B75"/>
    <w:rsid w:val="00E77A10"/>
    <w:rsid w:val="00E808A5"/>
    <w:rsid w:val="00E80904"/>
    <w:rsid w:val="00E8374B"/>
    <w:rsid w:val="00E9050B"/>
    <w:rsid w:val="00E908F8"/>
    <w:rsid w:val="00E90CCF"/>
    <w:rsid w:val="00E91086"/>
    <w:rsid w:val="00E929D6"/>
    <w:rsid w:val="00E967E1"/>
    <w:rsid w:val="00EA3823"/>
    <w:rsid w:val="00EA38DA"/>
    <w:rsid w:val="00EA4C3D"/>
    <w:rsid w:val="00EA5E88"/>
    <w:rsid w:val="00EB2273"/>
    <w:rsid w:val="00EB2F4F"/>
    <w:rsid w:val="00EB4B32"/>
    <w:rsid w:val="00EC1290"/>
    <w:rsid w:val="00EC1A90"/>
    <w:rsid w:val="00EC2CFF"/>
    <w:rsid w:val="00EC2F29"/>
    <w:rsid w:val="00EC370F"/>
    <w:rsid w:val="00EC3D07"/>
    <w:rsid w:val="00EC3D31"/>
    <w:rsid w:val="00EC3E73"/>
    <w:rsid w:val="00EC43A5"/>
    <w:rsid w:val="00EC5A4D"/>
    <w:rsid w:val="00EC6265"/>
    <w:rsid w:val="00EC6517"/>
    <w:rsid w:val="00EC7D1E"/>
    <w:rsid w:val="00ED31A1"/>
    <w:rsid w:val="00ED356A"/>
    <w:rsid w:val="00ED6723"/>
    <w:rsid w:val="00ED7580"/>
    <w:rsid w:val="00ED76D4"/>
    <w:rsid w:val="00EE1CBC"/>
    <w:rsid w:val="00EE728F"/>
    <w:rsid w:val="00F00104"/>
    <w:rsid w:val="00F01964"/>
    <w:rsid w:val="00F01BF8"/>
    <w:rsid w:val="00F02B27"/>
    <w:rsid w:val="00F03C29"/>
    <w:rsid w:val="00F05621"/>
    <w:rsid w:val="00F05BE0"/>
    <w:rsid w:val="00F123FD"/>
    <w:rsid w:val="00F13A72"/>
    <w:rsid w:val="00F13A9D"/>
    <w:rsid w:val="00F201AC"/>
    <w:rsid w:val="00F2381F"/>
    <w:rsid w:val="00F26AD1"/>
    <w:rsid w:val="00F303E0"/>
    <w:rsid w:val="00F32FFE"/>
    <w:rsid w:val="00F358E3"/>
    <w:rsid w:val="00F37896"/>
    <w:rsid w:val="00F4316E"/>
    <w:rsid w:val="00F5039C"/>
    <w:rsid w:val="00F607FC"/>
    <w:rsid w:val="00F60FF3"/>
    <w:rsid w:val="00F63FF1"/>
    <w:rsid w:val="00F64F01"/>
    <w:rsid w:val="00F65695"/>
    <w:rsid w:val="00F65CB0"/>
    <w:rsid w:val="00F702DF"/>
    <w:rsid w:val="00F704F1"/>
    <w:rsid w:val="00F73E7B"/>
    <w:rsid w:val="00F80BF5"/>
    <w:rsid w:val="00F813A7"/>
    <w:rsid w:val="00F843AD"/>
    <w:rsid w:val="00F84F66"/>
    <w:rsid w:val="00F859CF"/>
    <w:rsid w:val="00F90873"/>
    <w:rsid w:val="00F92322"/>
    <w:rsid w:val="00F940FD"/>
    <w:rsid w:val="00F942FA"/>
    <w:rsid w:val="00F9540E"/>
    <w:rsid w:val="00FA0EE8"/>
    <w:rsid w:val="00FA1109"/>
    <w:rsid w:val="00FA2F87"/>
    <w:rsid w:val="00FA5F3F"/>
    <w:rsid w:val="00FA677C"/>
    <w:rsid w:val="00FA6D98"/>
    <w:rsid w:val="00FA7A06"/>
    <w:rsid w:val="00FB0C9B"/>
    <w:rsid w:val="00FB22D7"/>
    <w:rsid w:val="00FB2B80"/>
    <w:rsid w:val="00FB36D1"/>
    <w:rsid w:val="00FB5219"/>
    <w:rsid w:val="00FB594D"/>
    <w:rsid w:val="00FC28F2"/>
    <w:rsid w:val="00FC2BE3"/>
    <w:rsid w:val="00FC4F3A"/>
    <w:rsid w:val="00FC5192"/>
    <w:rsid w:val="00FC6A97"/>
    <w:rsid w:val="00FC6DCF"/>
    <w:rsid w:val="00FC71AF"/>
    <w:rsid w:val="00FC7A4F"/>
    <w:rsid w:val="00FD2362"/>
    <w:rsid w:val="00FD2556"/>
    <w:rsid w:val="00FD3298"/>
    <w:rsid w:val="00FD354E"/>
    <w:rsid w:val="00FD47BE"/>
    <w:rsid w:val="00FD6124"/>
    <w:rsid w:val="00FD6681"/>
    <w:rsid w:val="00FD7307"/>
    <w:rsid w:val="00FE242E"/>
    <w:rsid w:val="00FE310F"/>
    <w:rsid w:val="00FE4205"/>
    <w:rsid w:val="00FE4BA0"/>
    <w:rsid w:val="00FE657D"/>
    <w:rsid w:val="00FE7DD7"/>
    <w:rsid w:val="00FE7FF1"/>
    <w:rsid w:val="00FF3068"/>
    <w:rsid w:val="00FF4748"/>
    <w:rsid w:val="00FF63A7"/>
    <w:rsid w:val="00FF6520"/>
    <w:rsid w:val="00FF7DE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6B168E"/>
  <w15:chartTrackingRefBased/>
  <w15:docId w15:val="{B937ABD0-BD62-4D2D-8BDC-3A100B90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DD7"/>
    <w:pPr>
      <w:jc w:val="both"/>
    </w:pPr>
    <w:rPr>
      <w:rFonts w:ascii="Times New Roman" w:eastAsia="Times New Roman" w:hAnsi="Times New Roman"/>
      <w:sz w:val="22"/>
      <w:szCs w:val="24"/>
      <w:lang w:val="en-GB" w:eastAsia="en-US"/>
    </w:rPr>
  </w:style>
  <w:style w:type="paragraph" w:styleId="Heading1">
    <w:name w:val="heading 1"/>
    <w:basedOn w:val="Normal"/>
    <w:next w:val="Normal"/>
    <w:link w:val="Heading1Char"/>
    <w:uiPriority w:val="9"/>
    <w:qFormat/>
    <w:rsid w:val="00FE7DD7"/>
    <w:pPr>
      <w:keepNext/>
      <w:keepLines/>
      <w:numPr>
        <w:numId w:val="17"/>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FE7DD7"/>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FE7DD7"/>
    <w:pPr>
      <w:keepNext/>
      <w:keepLines/>
      <w:numPr>
        <w:numId w:val="18"/>
      </w:numPr>
      <w:spacing w:before="120" w:after="120"/>
      <w:outlineLvl w:val="2"/>
    </w:pPr>
    <w:rPr>
      <w:rFonts w:eastAsiaTheme="majorEastAsia"/>
      <w:b/>
      <w:bCs/>
      <w:szCs w:val="22"/>
    </w:rPr>
  </w:style>
  <w:style w:type="paragraph" w:styleId="Heading4">
    <w:name w:val="heading 4"/>
    <w:basedOn w:val="Normal"/>
    <w:next w:val="Normal"/>
    <w:link w:val="Heading4Char"/>
    <w:uiPriority w:val="9"/>
    <w:unhideWhenUsed/>
    <w:qFormat/>
    <w:rsid w:val="00FE7DD7"/>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FE7DD7"/>
    <w:pPr>
      <w:keepNext/>
      <w:spacing w:before="120" w:after="120"/>
      <w:ind w:left="567" w:hanging="567"/>
      <w:outlineLvl w:val="4"/>
    </w:pPr>
    <w:rPr>
      <w:rFonts w:eastAsiaTheme="majorEastAsia"/>
      <w:i/>
      <w:iCs/>
    </w:rPr>
  </w:style>
  <w:style w:type="paragraph" w:styleId="Heading6">
    <w:name w:val="heading 6"/>
    <w:basedOn w:val="Normal"/>
    <w:next w:val="Normal"/>
    <w:link w:val="Heading6Char"/>
    <w:qFormat/>
    <w:rsid w:val="00672672"/>
    <w:pPr>
      <w:keepNext/>
      <w:spacing w:after="240" w:line="240" w:lineRule="exact"/>
      <w:ind w:left="720"/>
      <w:outlineLvl w:val="5"/>
    </w:pPr>
    <w:rPr>
      <w:u w:val="single"/>
    </w:rPr>
  </w:style>
  <w:style w:type="paragraph" w:styleId="Heading7">
    <w:name w:val="heading 7"/>
    <w:basedOn w:val="Normal"/>
    <w:next w:val="Normal"/>
    <w:link w:val="Heading7Char"/>
    <w:rsid w:val="00672672"/>
    <w:pPr>
      <w:keepNext/>
      <w:jc w:val="right"/>
      <w:outlineLvl w:val="6"/>
    </w:pPr>
    <w:rPr>
      <w:rFonts w:ascii="Univers" w:hAnsi="Univers"/>
      <w:b/>
      <w:sz w:val="28"/>
    </w:rPr>
  </w:style>
  <w:style w:type="paragraph" w:styleId="Heading8">
    <w:name w:val="heading 8"/>
    <w:basedOn w:val="Normal"/>
    <w:next w:val="Normal"/>
    <w:link w:val="Heading8Char"/>
    <w:qFormat/>
    <w:rsid w:val="00672672"/>
    <w:pPr>
      <w:keepNext/>
      <w:jc w:val="right"/>
      <w:outlineLvl w:val="7"/>
    </w:pPr>
    <w:rPr>
      <w:rFonts w:ascii="Univers" w:hAnsi="Univers"/>
      <w:b/>
      <w:sz w:val="32"/>
    </w:rPr>
  </w:style>
  <w:style w:type="paragraph" w:styleId="Heading9">
    <w:name w:val="heading 9"/>
    <w:basedOn w:val="Normal"/>
    <w:next w:val="Normal"/>
    <w:link w:val="Heading9Char"/>
    <w:rsid w:val="00672672"/>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DD7"/>
    <w:rPr>
      <w:rFonts w:ascii="Times New Roman" w:eastAsiaTheme="majorEastAsia" w:hAnsi="Times New Roman" w:cstheme="majorBidi"/>
      <w:b/>
      <w:bCs/>
      <w:kern w:val="2"/>
      <w:sz w:val="28"/>
      <w:szCs w:val="32"/>
      <w:lang w:eastAsia="en-US"/>
      <w14:ligatures w14:val="standardContextual"/>
    </w:rPr>
  </w:style>
  <w:style w:type="paragraph" w:styleId="ListParagraph">
    <w:name w:val="List Paragraph"/>
    <w:basedOn w:val="Normal"/>
    <w:uiPriority w:val="34"/>
    <w:qFormat/>
    <w:rsid w:val="00672672"/>
    <w:pPr>
      <w:ind w:left="720"/>
      <w:contextualSpacing/>
    </w:pPr>
  </w:style>
  <w:style w:type="character" w:styleId="CommentReference">
    <w:name w:val="annotation reference"/>
    <w:basedOn w:val="DefaultParagraphFont"/>
    <w:uiPriority w:val="99"/>
    <w:semiHidden/>
    <w:unhideWhenUsed/>
    <w:rsid w:val="00FE7DD7"/>
    <w:rPr>
      <w:sz w:val="16"/>
      <w:szCs w:val="16"/>
    </w:rPr>
  </w:style>
  <w:style w:type="paragraph" w:styleId="CommentText">
    <w:name w:val="annotation text"/>
    <w:basedOn w:val="Normal"/>
    <w:link w:val="CommentTextChar"/>
    <w:uiPriority w:val="99"/>
    <w:unhideWhenUsed/>
    <w:rsid w:val="00FE7DD7"/>
    <w:rPr>
      <w:sz w:val="20"/>
      <w:szCs w:val="20"/>
    </w:rPr>
  </w:style>
  <w:style w:type="character" w:customStyle="1" w:styleId="CommentTextChar">
    <w:name w:val="Comment Text Char"/>
    <w:basedOn w:val="DefaultParagraphFont"/>
    <w:link w:val="CommentText"/>
    <w:uiPriority w:val="99"/>
    <w:rsid w:val="00FE7DD7"/>
    <w:rPr>
      <w:rFonts w:ascii="Times New Roman" w:eastAsia="Times New Roman" w:hAnsi="Times New Roman"/>
      <w:lang w:val="en-GB" w:eastAsia="en-US"/>
    </w:rPr>
  </w:style>
  <w:style w:type="table" w:styleId="TableGrid">
    <w:name w:val="Table Grid"/>
    <w:basedOn w:val="TableNormal"/>
    <w:uiPriority w:val="39"/>
    <w:rsid w:val="00FE7DD7"/>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E7DD7"/>
    <w:pPr>
      <w:tabs>
        <w:tab w:val="center" w:pos="4680"/>
        <w:tab w:val="right" w:pos="9360"/>
      </w:tabs>
    </w:pPr>
    <w:rPr>
      <w:caps/>
    </w:rPr>
  </w:style>
  <w:style w:type="character" w:customStyle="1" w:styleId="HeaderChar">
    <w:name w:val="Header Char"/>
    <w:basedOn w:val="DefaultParagraphFont"/>
    <w:link w:val="Header"/>
    <w:rsid w:val="00FE7DD7"/>
    <w:rPr>
      <w:rFonts w:ascii="Times New Roman" w:eastAsia="Times New Roman" w:hAnsi="Times New Roman"/>
      <w:caps/>
      <w:sz w:val="22"/>
      <w:szCs w:val="24"/>
      <w:lang w:val="en-GB" w:eastAsia="en-US"/>
    </w:rPr>
  </w:style>
  <w:style w:type="character" w:styleId="Hyperlink">
    <w:name w:val="Hyperlink"/>
    <w:rsid w:val="00672672"/>
    <w:rPr>
      <w:color w:val="0000FF"/>
      <w:sz w:val="18"/>
      <w:u w:val="single"/>
    </w:rPr>
  </w:style>
  <w:style w:type="paragraph" w:customStyle="1" w:styleId="Style1">
    <w:name w:val="Style1"/>
    <w:basedOn w:val="Heading2"/>
    <w:qFormat/>
    <w:rsid w:val="00672672"/>
    <w:rPr>
      <w:i/>
    </w:rPr>
  </w:style>
  <w:style w:type="table" w:customStyle="1" w:styleId="TableGrid1">
    <w:name w:val="Table Grid1"/>
    <w:basedOn w:val="TableNormal"/>
    <w:next w:val="TableGrid"/>
    <w:uiPriority w:val="59"/>
    <w:rsid w:val="00FE7DD7"/>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0D4DA8"/>
    <w:rPr>
      <w:rFonts w:eastAsia="Yu Mincho"/>
      <w:color w:val="000000"/>
      <w:sz w:val="24"/>
      <w:szCs w:val="24"/>
      <w:lang w:val="fr-CA"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agraph">
    <w:name w:val="paragraph"/>
    <w:basedOn w:val="Normal"/>
    <w:rsid w:val="000D4DA8"/>
    <w:pPr>
      <w:spacing w:before="100" w:beforeAutospacing="1" w:after="100" w:afterAutospacing="1"/>
    </w:pPr>
    <w:rPr>
      <w:sz w:val="24"/>
      <w:lang w:eastAsia="fr-FR"/>
    </w:rPr>
  </w:style>
  <w:style w:type="character" w:customStyle="1" w:styleId="normaltextrun">
    <w:name w:val="normaltextrun"/>
    <w:rsid w:val="000D4DA8"/>
  </w:style>
  <w:style w:type="character" w:customStyle="1" w:styleId="Heading2Char">
    <w:name w:val="Heading 2 Char"/>
    <w:basedOn w:val="DefaultParagraphFont"/>
    <w:link w:val="Heading2"/>
    <w:uiPriority w:val="9"/>
    <w:rsid w:val="00FE7DD7"/>
    <w:rPr>
      <w:rFonts w:ascii="Times New Roman" w:eastAsiaTheme="majorEastAsia" w:hAnsi="Times New Roman" w:cstheme="majorBidi"/>
      <w:b/>
      <w:sz w:val="24"/>
      <w:szCs w:val="26"/>
      <w:lang w:val="en-GB" w:eastAsia="en-US"/>
    </w:rPr>
  </w:style>
  <w:style w:type="paragraph" w:styleId="BalloonText">
    <w:name w:val="Balloon Text"/>
    <w:basedOn w:val="Normal"/>
    <w:link w:val="BalloonTextChar"/>
    <w:uiPriority w:val="99"/>
    <w:semiHidden/>
    <w:unhideWhenUsed/>
    <w:rsid w:val="006726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672"/>
    <w:rPr>
      <w:rFonts w:ascii="Lucida Grande" w:eastAsia="Times New Roman" w:hAnsi="Lucida Grande" w:cs="Lucida Grande"/>
      <w:sz w:val="18"/>
      <w:szCs w:val="18"/>
      <w:lang w:val="en-GB" w:eastAsia="en-US"/>
    </w:rPr>
  </w:style>
  <w:style w:type="paragraph" w:styleId="FootnoteText">
    <w:name w:val="footnote text"/>
    <w:basedOn w:val="Normal"/>
    <w:link w:val="FootnoteTextChar"/>
    <w:uiPriority w:val="99"/>
    <w:unhideWhenUsed/>
    <w:rsid w:val="00FE7DD7"/>
    <w:rPr>
      <w:sz w:val="20"/>
      <w:szCs w:val="20"/>
    </w:rPr>
  </w:style>
  <w:style w:type="character" w:customStyle="1" w:styleId="FootnoteTextChar">
    <w:name w:val="Footnote Text Char"/>
    <w:basedOn w:val="DefaultParagraphFont"/>
    <w:link w:val="FootnoteText"/>
    <w:uiPriority w:val="99"/>
    <w:rsid w:val="00FE7DD7"/>
    <w:rPr>
      <w:rFonts w:ascii="Times New Roman" w:eastAsia="Times New Roman" w:hAnsi="Times New Roman"/>
      <w:lang w:val="en-GB" w:eastAsia="en-US"/>
    </w:rPr>
  </w:style>
  <w:style w:type="character" w:styleId="FootnoteReference">
    <w:name w:val="footnote reference"/>
    <w:basedOn w:val="DefaultParagraphFont"/>
    <w:link w:val="BVIfnrChar"/>
    <w:uiPriority w:val="99"/>
    <w:unhideWhenUsed/>
    <w:rsid w:val="00FE7DD7"/>
    <w:rPr>
      <w:vertAlign w:val="superscript"/>
    </w:rPr>
  </w:style>
  <w:style w:type="table" w:customStyle="1" w:styleId="TableGrid2">
    <w:name w:val="Table Grid2"/>
    <w:basedOn w:val="TableNormal"/>
    <w:next w:val="TableGrid"/>
    <w:uiPriority w:val="59"/>
    <w:rsid w:val="00490865"/>
    <w:rPr>
      <w:rFonts w:eastAsia="DengXian"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90865"/>
    <w:rPr>
      <w:rFonts w:eastAsia="DengXian"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490865"/>
    <w:pPr>
      <w:spacing w:after="160" w:line="240" w:lineRule="exact"/>
    </w:pPr>
    <w:rPr>
      <w:rFonts w:ascii="Calibri" w:eastAsia="Calibri" w:hAnsi="Calibri"/>
      <w:sz w:val="20"/>
      <w:szCs w:val="20"/>
      <w:vertAlign w:val="superscript"/>
      <w:lang w:val="en-CA" w:eastAsia="en-CA"/>
    </w:rPr>
  </w:style>
  <w:style w:type="character" w:styleId="PlaceholderText">
    <w:name w:val="Placeholder Text"/>
    <w:basedOn w:val="DefaultParagraphFont"/>
    <w:uiPriority w:val="99"/>
    <w:semiHidden/>
    <w:rsid w:val="00FE7DD7"/>
    <w:rPr>
      <w:color w:val="808080"/>
    </w:rPr>
  </w:style>
  <w:style w:type="paragraph" w:styleId="Footer">
    <w:name w:val="footer"/>
    <w:basedOn w:val="Normal"/>
    <w:link w:val="FooterChar"/>
    <w:uiPriority w:val="99"/>
    <w:unhideWhenUsed/>
    <w:rsid w:val="00FE7DD7"/>
    <w:pPr>
      <w:tabs>
        <w:tab w:val="center" w:pos="4680"/>
        <w:tab w:val="right" w:pos="9360"/>
      </w:tabs>
    </w:pPr>
  </w:style>
  <w:style w:type="character" w:customStyle="1" w:styleId="FooterChar">
    <w:name w:val="Footer Char"/>
    <w:basedOn w:val="DefaultParagraphFont"/>
    <w:link w:val="Footer"/>
    <w:uiPriority w:val="99"/>
    <w:rsid w:val="00FE7DD7"/>
    <w:rPr>
      <w:rFonts w:ascii="Times New Roman" w:eastAsia="Times New Roman" w:hAnsi="Times New Roman"/>
      <w:sz w:val="22"/>
      <w:szCs w:val="24"/>
      <w:lang w:val="en-GB" w:eastAsia="en-US"/>
    </w:rPr>
  </w:style>
  <w:style w:type="character" w:styleId="UnresolvedMention">
    <w:name w:val="Unresolved Mention"/>
    <w:basedOn w:val="DefaultParagraphFont"/>
    <w:uiPriority w:val="99"/>
    <w:semiHidden/>
    <w:unhideWhenUsed/>
    <w:rsid w:val="00AB1A92"/>
    <w:rPr>
      <w:color w:val="605E5C"/>
      <w:shd w:val="clear" w:color="auto" w:fill="E1DFDD"/>
    </w:rPr>
  </w:style>
  <w:style w:type="paragraph" w:styleId="BodyText">
    <w:name w:val="Body Text"/>
    <w:basedOn w:val="Normal"/>
    <w:link w:val="BodyTextChar"/>
    <w:uiPriority w:val="99"/>
    <w:unhideWhenUsed/>
    <w:rsid w:val="00FE7DD7"/>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rsid w:val="00FE7DD7"/>
    <w:rPr>
      <w:rFonts w:asciiTheme="minorHAnsi" w:eastAsiaTheme="minorHAnsi" w:hAnsiTheme="minorHAnsi" w:cstheme="minorBidi"/>
      <w:kern w:val="2"/>
      <w:sz w:val="22"/>
      <w:szCs w:val="22"/>
      <w:lang w:eastAsia="en-US"/>
      <w14:ligatures w14:val="standardContextual"/>
    </w:rPr>
  </w:style>
  <w:style w:type="paragraph" w:styleId="BodyTextIndent">
    <w:name w:val="Body Text Indent"/>
    <w:basedOn w:val="Normal"/>
    <w:link w:val="BodyTextIndentChar"/>
    <w:rsid w:val="00672672"/>
    <w:pPr>
      <w:spacing w:before="120" w:after="120"/>
      <w:ind w:left="1440" w:hanging="720"/>
      <w:jc w:val="left"/>
    </w:pPr>
  </w:style>
  <w:style w:type="character" w:customStyle="1" w:styleId="BodyTextIndentChar">
    <w:name w:val="Body Text Indent Char"/>
    <w:basedOn w:val="DefaultParagraphFont"/>
    <w:link w:val="BodyTextIndent"/>
    <w:rsid w:val="00672672"/>
    <w:rPr>
      <w:rFonts w:ascii="Times New Roman" w:eastAsia="Times New Roman" w:hAnsi="Times New Roman"/>
      <w:sz w:val="22"/>
      <w:szCs w:val="24"/>
      <w:lang w:val="en-GB" w:eastAsia="en-US"/>
    </w:rPr>
  </w:style>
  <w:style w:type="paragraph" w:styleId="Caption">
    <w:name w:val="caption"/>
    <w:basedOn w:val="Normal"/>
    <w:next w:val="Normal"/>
    <w:uiPriority w:val="35"/>
    <w:unhideWhenUsed/>
    <w:qFormat/>
    <w:rsid w:val="00672672"/>
    <w:pPr>
      <w:keepNext/>
      <w:keepLines/>
      <w:spacing w:after="200"/>
    </w:pPr>
    <w:rPr>
      <w:b/>
      <w:iCs/>
      <w:szCs w:val="18"/>
    </w:rPr>
  </w:style>
  <w:style w:type="paragraph" w:customStyle="1" w:styleId="CBD-Doc">
    <w:name w:val="CBD-Doc"/>
    <w:basedOn w:val="Normal"/>
    <w:rsid w:val="00672672"/>
    <w:pPr>
      <w:keepLines/>
      <w:numPr>
        <w:numId w:val="7"/>
      </w:numPr>
      <w:spacing w:after="120"/>
    </w:pPr>
    <w:rPr>
      <w:rFonts w:cs="Angsana New"/>
    </w:rPr>
  </w:style>
  <w:style w:type="paragraph" w:customStyle="1" w:styleId="CBD-Doc-Type">
    <w:name w:val="CBD-Doc-Type"/>
    <w:basedOn w:val="Normal"/>
    <w:rsid w:val="00672672"/>
    <w:pPr>
      <w:keepLines/>
      <w:spacing w:before="240" w:after="120"/>
    </w:pPr>
    <w:rPr>
      <w:rFonts w:cs="Angsana New"/>
      <w:b/>
      <w:i/>
      <w:sz w:val="24"/>
    </w:rPr>
  </w:style>
  <w:style w:type="paragraph" w:customStyle="1" w:styleId="Cornernotation">
    <w:name w:val="Corner notation"/>
    <w:basedOn w:val="Normal"/>
    <w:rsid w:val="00FE7DD7"/>
    <w:pPr>
      <w:ind w:left="170" w:right="3119" w:hanging="170"/>
      <w:jc w:val="left"/>
    </w:pPr>
    <w:rPr>
      <w:b/>
      <w:sz w:val="24"/>
    </w:rPr>
  </w:style>
  <w:style w:type="character" w:styleId="EndnoteReference">
    <w:name w:val="endnote reference"/>
    <w:semiHidden/>
    <w:rsid w:val="00672672"/>
    <w:rPr>
      <w:vertAlign w:val="superscript"/>
    </w:rPr>
  </w:style>
  <w:style w:type="paragraph" w:styleId="EndnoteText">
    <w:name w:val="endnote text"/>
    <w:basedOn w:val="Normal"/>
    <w:link w:val="EndnoteTextChar"/>
    <w:semiHidden/>
    <w:rsid w:val="00672672"/>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672672"/>
    <w:rPr>
      <w:rFonts w:ascii="Courier New" w:eastAsia="Times New Roman" w:hAnsi="Courier New"/>
      <w:sz w:val="22"/>
      <w:szCs w:val="24"/>
      <w:lang w:val="en-GB" w:eastAsia="en-US"/>
    </w:rPr>
  </w:style>
  <w:style w:type="character" w:styleId="FollowedHyperlink">
    <w:name w:val="FollowedHyperlink"/>
    <w:rsid w:val="00672672"/>
    <w:rPr>
      <w:color w:val="800080"/>
      <w:u w:val="single"/>
    </w:rPr>
  </w:style>
  <w:style w:type="paragraph" w:customStyle="1" w:styleId="HEADING">
    <w:name w:val="HEADING"/>
    <w:basedOn w:val="Normal"/>
    <w:rsid w:val="00672672"/>
    <w:pPr>
      <w:keepNext/>
      <w:spacing w:before="240" w:after="120"/>
      <w:jc w:val="center"/>
    </w:pPr>
    <w:rPr>
      <w:b/>
      <w:bCs/>
      <w:caps/>
    </w:rPr>
  </w:style>
  <w:style w:type="paragraph" w:customStyle="1" w:styleId="HEADINGNOTFORTOC">
    <w:name w:val="HEADING (NOT FOR TOC)"/>
    <w:basedOn w:val="Heading1"/>
    <w:next w:val="Heading2"/>
    <w:rsid w:val="00672672"/>
  </w:style>
  <w:style w:type="paragraph" w:customStyle="1" w:styleId="Heading1longmultiline">
    <w:name w:val="Heading 1 (long multiline)"/>
    <w:basedOn w:val="Heading1"/>
    <w:rsid w:val="00672672"/>
    <w:pPr>
      <w:ind w:left="1843" w:hanging="1134"/>
    </w:pPr>
  </w:style>
  <w:style w:type="paragraph" w:customStyle="1" w:styleId="Heading1multiline">
    <w:name w:val="Heading 1 (multiline)"/>
    <w:basedOn w:val="Heading1"/>
    <w:rsid w:val="00672672"/>
    <w:pPr>
      <w:ind w:left="1843" w:right="996" w:hanging="567"/>
    </w:pPr>
  </w:style>
  <w:style w:type="paragraph" w:customStyle="1" w:styleId="Heading2multiline">
    <w:name w:val="Heading 2 (multiline)"/>
    <w:basedOn w:val="Heading1"/>
    <w:next w:val="Normal"/>
    <w:rsid w:val="00672672"/>
    <w:pPr>
      <w:spacing w:before="120"/>
      <w:ind w:left="1843" w:right="998" w:hanging="567"/>
    </w:pPr>
    <w:rPr>
      <w:i/>
      <w:iCs/>
      <w:caps/>
    </w:rPr>
  </w:style>
  <w:style w:type="paragraph" w:customStyle="1" w:styleId="Heading2longmultiline">
    <w:name w:val="Heading 2 (long multiline)"/>
    <w:basedOn w:val="Heading2multiline"/>
    <w:rsid w:val="00672672"/>
    <w:pPr>
      <w:ind w:left="2127" w:hanging="1276"/>
    </w:pPr>
  </w:style>
  <w:style w:type="character" w:customStyle="1" w:styleId="Heading3Char">
    <w:name w:val="Heading 3 Char"/>
    <w:basedOn w:val="DefaultParagraphFont"/>
    <w:link w:val="Heading3"/>
    <w:uiPriority w:val="9"/>
    <w:rsid w:val="00FE7DD7"/>
    <w:rPr>
      <w:rFonts w:ascii="Times New Roman" w:eastAsiaTheme="majorEastAsia" w:hAnsi="Times New Roman"/>
      <w:b/>
      <w:bCs/>
      <w:sz w:val="22"/>
      <w:szCs w:val="22"/>
      <w:lang w:val="en-GB" w:eastAsia="en-US"/>
    </w:rPr>
  </w:style>
  <w:style w:type="paragraph" w:customStyle="1" w:styleId="heading2notforTOC">
    <w:name w:val="heading 2 not for TOC"/>
    <w:basedOn w:val="Heading3"/>
    <w:rsid w:val="00672672"/>
  </w:style>
  <w:style w:type="paragraph" w:customStyle="1" w:styleId="Heading3multiline">
    <w:name w:val="Heading 3 (multiline)"/>
    <w:basedOn w:val="Heading3"/>
    <w:next w:val="Normal"/>
    <w:rsid w:val="00672672"/>
    <w:pPr>
      <w:ind w:left="1418" w:hanging="425"/>
      <w:jc w:val="left"/>
    </w:pPr>
  </w:style>
  <w:style w:type="character" w:customStyle="1" w:styleId="Heading4Char">
    <w:name w:val="Heading 4 Char"/>
    <w:basedOn w:val="DefaultParagraphFont"/>
    <w:link w:val="Heading4"/>
    <w:uiPriority w:val="9"/>
    <w:rsid w:val="00FE7DD7"/>
    <w:rPr>
      <w:rFonts w:ascii="Times New Roman" w:eastAsiaTheme="majorEastAsia" w:hAnsi="Times New Roman"/>
      <w:b/>
      <w:bCs/>
      <w:sz w:val="22"/>
      <w:szCs w:val="24"/>
      <w:lang w:val="en-GB" w:eastAsia="en-US"/>
    </w:rPr>
  </w:style>
  <w:style w:type="paragraph" w:customStyle="1" w:styleId="Heading4indent">
    <w:name w:val="Heading 4 indent"/>
    <w:basedOn w:val="Heading4"/>
    <w:rsid w:val="00672672"/>
    <w:pPr>
      <w:ind w:left="720"/>
      <w:outlineLvl w:val="9"/>
    </w:pPr>
  </w:style>
  <w:style w:type="character" w:customStyle="1" w:styleId="Heading5Char">
    <w:name w:val="Heading 5 Char"/>
    <w:basedOn w:val="DefaultParagraphFont"/>
    <w:link w:val="Heading5"/>
    <w:uiPriority w:val="9"/>
    <w:rsid w:val="00FE7DD7"/>
    <w:rPr>
      <w:rFonts w:ascii="Times New Roman" w:eastAsiaTheme="majorEastAsia" w:hAnsi="Times New Roman"/>
      <w:i/>
      <w:iCs/>
      <w:sz w:val="22"/>
      <w:szCs w:val="24"/>
      <w:lang w:val="en-GB" w:eastAsia="en-US"/>
    </w:rPr>
  </w:style>
  <w:style w:type="character" w:customStyle="1" w:styleId="Heading6Char">
    <w:name w:val="Heading 6 Char"/>
    <w:basedOn w:val="DefaultParagraphFont"/>
    <w:link w:val="Heading6"/>
    <w:rsid w:val="00672672"/>
    <w:rPr>
      <w:rFonts w:ascii="Times New Roman" w:eastAsia="Times New Roman" w:hAnsi="Times New Roman"/>
      <w:sz w:val="22"/>
      <w:szCs w:val="24"/>
      <w:u w:val="single"/>
      <w:lang w:val="en-GB" w:eastAsia="en-US"/>
    </w:rPr>
  </w:style>
  <w:style w:type="character" w:customStyle="1" w:styleId="Heading7Char">
    <w:name w:val="Heading 7 Char"/>
    <w:basedOn w:val="DefaultParagraphFont"/>
    <w:link w:val="Heading7"/>
    <w:rsid w:val="00672672"/>
    <w:rPr>
      <w:rFonts w:ascii="Univers" w:eastAsia="Times New Roman" w:hAnsi="Univers"/>
      <w:b/>
      <w:sz w:val="28"/>
      <w:szCs w:val="24"/>
      <w:lang w:val="en-GB" w:eastAsia="en-US"/>
    </w:rPr>
  </w:style>
  <w:style w:type="character" w:customStyle="1" w:styleId="Heading8Char">
    <w:name w:val="Heading 8 Char"/>
    <w:basedOn w:val="DefaultParagraphFont"/>
    <w:link w:val="Heading8"/>
    <w:rsid w:val="00672672"/>
    <w:rPr>
      <w:rFonts w:ascii="Univers" w:eastAsia="Times New Roman" w:hAnsi="Univers"/>
      <w:b/>
      <w:sz w:val="32"/>
      <w:szCs w:val="24"/>
      <w:lang w:val="en-GB" w:eastAsia="en-US"/>
    </w:rPr>
  </w:style>
  <w:style w:type="character" w:customStyle="1" w:styleId="Heading9Char">
    <w:name w:val="Heading 9 Char"/>
    <w:basedOn w:val="DefaultParagraphFont"/>
    <w:link w:val="Heading9"/>
    <w:rsid w:val="00672672"/>
    <w:rPr>
      <w:rFonts w:ascii="Times New Roman" w:eastAsia="Times New Roman" w:hAnsi="Times New Roman"/>
      <w:i/>
      <w:iCs/>
      <w:sz w:val="22"/>
      <w:szCs w:val="24"/>
      <w:lang w:val="en-GB" w:eastAsia="en-US"/>
    </w:rPr>
  </w:style>
  <w:style w:type="paragraph" w:customStyle="1" w:styleId="meetingname">
    <w:name w:val="meeting name"/>
    <w:basedOn w:val="Normal"/>
    <w:qFormat/>
    <w:rsid w:val="00672672"/>
    <w:pPr>
      <w:ind w:left="142" w:right="4218" w:hanging="142"/>
    </w:pPr>
    <w:rPr>
      <w:caps/>
      <w:szCs w:val="22"/>
    </w:rPr>
  </w:style>
  <w:style w:type="character" w:styleId="PageNumber">
    <w:name w:val="page number"/>
    <w:rsid w:val="00672672"/>
    <w:rPr>
      <w:rFonts w:ascii="Times New Roman" w:hAnsi="Times New Roman"/>
      <w:sz w:val="22"/>
    </w:rPr>
  </w:style>
  <w:style w:type="paragraph" w:customStyle="1" w:styleId="Para1">
    <w:name w:val="Para1"/>
    <w:basedOn w:val="Normal"/>
    <w:link w:val="Para1Char"/>
    <w:rsid w:val="00672672"/>
    <w:pPr>
      <w:numPr>
        <w:numId w:val="9"/>
      </w:numPr>
      <w:tabs>
        <w:tab w:val="clear" w:pos="360"/>
      </w:tabs>
      <w:spacing w:before="120" w:after="120"/>
    </w:pPr>
    <w:rPr>
      <w:snapToGrid w:val="0"/>
      <w:szCs w:val="18"/>
    </w:rPr>
  </w:style>
  <w:style w:type="character" w:customStyle="1" w:styleId="Para1Char">
    <w:name w:val="Para1 Char"/>
    <w:link w:val="Para1"/>
    <w:locked/>
    <w:rsid w:val="00672672"/>
    <w:rPr>
      <w:rFonts w:ascii="Times New Roman" w:eastAsia="Times New Roman" w:hAnsi="Times New Roman"/>
      <w:snapToGrid w:val="0"/>
      <w:sz w:val="22"/>
      <w:szCs w:val="18"/>
      <w:lang w:val="en-GB" w:eastAsia="en-US"/>
    </w:rPr>
  </w:style>
  <w:style w:type="paragraph" w:customStyle="1" w:styleId="Para2">
    <w:name w:val="Para2"/>
    <w:basedOn w:val="Para1"/>
    <w:rsid w:val="00672672"/>
    <w:pPr>
      <w:numPr>
        <w:numId w:val="0"/>
      </w:numPr>
      <w:autoSpaceDE w:val="0"/>
      <w:autoSpaceDN w:val="0"/>
    </w:pPr>
  </w:style>
  <w:style w:type="paragraph" w:customStyle="1" w:styleId="Para3">
    <w:name w:val="Para3"/>
    <w:basedOn w:val="Normal"/>
    <w:rsid w:val="00672672"/>
    <w:pPr>
      <w:numPr>
        <w:ilvl w:val="3"/>
        <w:numId w:val="10"/>
      </w:numPr>
      <w:tabs>
        <w:tab w:val="left" w:pos="1980"/>
      </w:tabs>
      <w:spacing w:before="80" w:after="80"/>
    </w:pPr>
    <w:rPr>
      <w:szCs w:val="20"/>
    </w:rPr>
  </w:style>
  <w:style w:type="paragraph" w:customStyle="1" w:styleId="para4">
    <w:name w:val="para4"/>
    <w:basedOn w:val="Normal"/>
    <w:rsid w:val="00672672"/>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67267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672672"/>
    <w:pPr>
      <w:spacing w:before="120" w:after="120"/>
      <w:ind w:left="720" w:right="720"/>
    </w:pPr>
    <w:rPr>
      <w:bCs/>
    </w:rPr>
  </w:style>
  <w:style w:type="paragraph" w:customStyle="1" w:styleId="recommendationheader">
    <w:name w:val="recommendation header"/>
    <w:basedOn w:val="Heading2"/>
    <w:qFormat/>
    <w:rsid w:val="00672672"/>
  </w:style>
  <w:style w:type="paragraph" w:customStyle="1" w:styleId="recommendationheaderlong">
    <w:name w:val="recommendation header long"/>
    <w:basedOn w:val="Heading2longmultiline"/>
    <w:qFormat/>
    <w:rsid w:val="00672672"/>
  </w:style>
  <w:style w:type="paragraph" w:customStyle="1" w:styleId="reference">
    <w:name w:val="reference"/>
    <w:basedOn w:val="Heading9"/>
    <w:qFormat/>
    <w:rsid w:val="00672672"/>
    <w:rPr>
      <w:i w:val="0"/>
      <w:sz w:val="18"/>
    </w:rPr>
  </w:style>
  <w:style w:type="character" w:customStyle="1" w:styleId="StyleFootnoteReferenceNounderline">
    <w:name w:val="Style Footnote Reference + No underline"/>
    <w:rsid w:val="00672672"/>
    <w:rPr>
      <w:sz w:val="18"/>
      <w:u w:val="none"/>
      <w:vertAlign w:val="baseline"/>
    </w:rPr>
  </w:style>
  <w:style w:type="paragraph" w:styleId="Subtitle">
    <w:name w:val="Subtitle"/>
    <w:basedOn w:val="Normal"/>
    <w:next w:val="Normal"/>
    <w:link w:val="SubtitleChar"/>
    <w:uiPriority w:val="11"/>
    <w:qFormat/>
    <w:rsid w:val="00FE7DD7"/>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FE7DD7"/>
    <w:rPr>
      <w:rFonts w:ascii="Times New Roman Bold" w:eastAsiaTheme="minorEastAsia" w:hAnsi="Times New Roman Bold" w:cstheme="minorBidi"/>
      <w:b/>
      <w:color w:val="5A5A5A" w:themeColor="text1" w:themeTint="A5"/>
      <w:sz w:val="22"/>
      <w:szCs w:val="22"/>
      <w:lang w:val="en-GB" w:eastAsia="en-US"/>
    </w:rPr>
  </w:style>
  <w:style w:type="paragraph" w:customStyle="1" w:styleId="tabletitle">
    <w:name w:val="table title"/>
    <w:basedOn w:val="Heading2"/>
    <w:qFormat/>
    <w:rsid w:val="00672672"/>
    <w:pPr>
      <w:jc w:val="left"/>
      <w:outlineLvl w:val="9"/>
    </w:pPr>
    <w:rPr>
      <w:i/>
    </w:rPr>
  </w:style>
  <w:style w:type="paragraph" w:styleId="Title">
    <w:name w:val="Title"/>
    <w:basedOn w:val="Normal"/>
    <w:next w:val="Normal"/>
    <w:link w:val="TitleChar"/>
    <w:uiPriority w:val="10"/>
    <w:qFormat/>
    <w:rsid w:val="00FE7DD7"/>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FE7DD7"/>
    <w:rPr>
      <w:rFonts w:ascii="Times New Roman Bold" w:eastAsiaTheme="majorEastAsia" w:hAnsi="Times New Roman Bold"/>
      <w:b/>
      <w:bCs/>
      <w:spacing w:val="5"/>
      <w:kern w:val="28"/>
      <w:sz w:val="28"/>
      <w:szCs w:val="28"/>
      <w:lang w:val="en-GB" w:eastAsia="en-US"/>
      <w14:ligatures w14:val="standardContextual"/>
    </w:rPr>
  </w:style>
  <w:style w:type="paragraph" w:styleId="TOAHeading">
    <w:name w:val="toa heading"/>
    <w:basedOn w:val="Normal"/>
    <w:next w:val="Normal"/>
    <w:semiHidden/>
    <w:rsid w:val="00672672"/>
    <w:pPr>
      <w:spacing w:before="120"/>
    </w:pPr>
    <w:rPr>
      <w:rFonts w:cs="Arial"/>
      <w:b/>
      <w:bCs/>
      <w:sz w:val="24"/>
    </w:rPr>
  </w:style>
  <w:style w:type="paragraph" w:styleId="TOC1">
    <w:name w:val="toc 1"/>
    <w:basedOn w:val="Normal"/>
    <w:next w:val="Normal"/>
    <w:autoRedefine/>
    <w:semiHidden/>
    <w:rsid w:val="00672672"/>
    <w:pPr>
      <w:ind w:left="720" w:hanging="720"/>
    </w:pPr>
    <w:rPr>
      <w:caps/>
    </w:rPr>
  </w:style>
  <w:style w:type="paragraph" w:styleId="TOC2">
    <w:name w:val="toc 2"/>
    <w:basedOn w:val="Normal"/>
    <w:next w:val="Normal"/>
    <w:autoRedefine/>
    <w:semiHidden/>
    <w:rsid w:val="00672672"/>
    <w:pPr>
      <w:tabs>
        <w:tab w:val="right" w:leader="dot" w:pos="9356"/>
      </w:tabs>
      <w:ind w:left="1440" w:hanging="720"/>
    </w:pPr>
    <w:rPr>
      <w:noProof/>
      <w:szCs w:val="22"/>
    </w:rPr>
  </w:style>
  <w:style w:type="paragraph" w:styleId="TOC3">
    <w:name w:val="toc 3"/>
    <w:basedOn w:val="Normal"/>
    <w:next w:val="Normal"/>
    <w:autoRedefine/>
    <w:semiHidden/>
    <w:rsid w:val="00672672"/>
    <w:pPr>
      <w:ind w:left="2160" w:hanging="720"/>
    </w:pPr>
  </w:style>
  <w:style w:type="paragraph" w:styleId="TOC4">
    <w:name w:val="toc 4"/>
    <w:basedOn w:val="Normal"/>
    <w:next w:val="Normal"/>
    <w:autoRedefine/>
    <w:semiHidden/>
    <w:rsid w:val="00672672"/>
    <w:pPr>
      <w:spacing w:before="120" w:after="120"/>
      <w:ind w:left="660"/>
      <w:jc w:val="left"/>
    </w:pPr>
  </w:style>
  <w:style w:type="paragraph" w:styleId="TOC5">
    <w:name w:val="toc 5"/>
    <w:basedOn w:val="Normal"/>
    <w:next w:val="Normal"/>
    <w:autoRedefine/>
    <w:semiHidden/>
    <w:rsid w:val="00672672"/>
    <w:pPr>
      <w:spacing w:before="120" w:after="120"/>
      <w:ind w:left="880"/>
      <w:jc w:val="left"/>
    </w:pPr>
  </w:style>
  <w:style w:type="paragraph" w:styleId="TOC6">
    <w:name w:val="toc 6"/>
    <w:basedOn w:val="Normal"/>
    <w:next w:val="Normal"/>
    <w:autoRedefine/>
    <w:semiHidden/>
    <w:rsid w:val="00672672"/>
    <w:pPr>
      <w:spacing w:before="120" w:after="120"/>
      <w:ind w:left="1100"/>
      <w:jc w:val="left"/>
    </w:pPr>
  </w:style>
  <w:style w:type="paragraph" w:styleId="TOC7">
    <w:name w:val="toc 7"/>
    <w:basedOn w:val="Normal"/>
    <w:next w:val="Normal"/>
    <w:autoRedefine/>
    <w:semiHidden/>
    <w:rsid w:val="00672672"/>
    <w:pPr>
      <w:spacing w:before="120" w:after="120"/>
      <w:ind w:left="1320"/>
      <w:jc w:val="left"/>
    </w:pPr>
  </w:style>
  <w:style w:type="paragraph" w:styleId="TOC8">
    <w:name w:val="toc 8"/>
    <w:basedOn w:val="Normal"/>
    <w:next w:val="Normal"/>
    <w:autoRedefine/>
    <w:semiHidden/>
    <w:rsid w:val="00672672"/>
    <w:pPr>
      <w:spacing w:before="120" w:after="120"/>
      <w:ind w:left="1540"/>
      <w:jc w:val="left"/>
    </w:pPr>
  </w:style>
  <w:style w:type="paragraph" w:styleId="TOC9">
    <w:name w:val="toc 9"/>
    <w:basedOn w:val="Normal"/>
    <w:next w:val="Normal"/>
    <w:autoRedefine/>
    <w:semiHidden/>
    <w:rsid w:val="00672672"/>
    <w:pPr>
      <w:spacing w:before="120" w:after="120"/>
      <w:ind w:left="1760"/>
      <w:jc w:val="left"/>
    </w:pPr>
  </w:style>
  <w:style w:type="paragraph" w:styleId="CommentSubject">
    <w:name w:val="annotation subject"/>
    <w:basedOn w:val="CommentText"/>
    <w:next w:val="CommentText"/>
    <w:link w:val="CommentSubjectChar"/>
    <w:uiPriority w:val="99"/>
    <w:semiHidden/>
    <w:unhideWhenUsed/>
    <w:rsid w:val="00FE7DD7"/>
    <w:rPr>
      <w:b/>
      <w:bCs/>
    </w:rPr>
  </w:style>
  <w:style w:type="character" w:customStyle="1" w:styleId="CommentSubjectChar">
    <w:name w:val="Comment Subject Char"/>
    <w:basedOn w:val="CommentTextChar"/>
    <w:link w:val="CommentSubject"/>
    <w:uiPriority w:val="99"/>
    <w:semiHidden/>
    <w:rsid w:val="00FE7DD7"/>
    <w:rPr>
      <w:rFonts w:ascii="Times New Roman" w:eastAsia="Times New Roman" w:hAnsi="Times New Roman"/>
      <w:b/>
      <w:bCs/>
      <w:lang w:val="en-GB" w:eastAsia="en-US"/>
    </w:rPr>
  </w:style>
  <w:style w:type="paragraph" w:styleId="Revision">
    <w:name w:val="Revision"/>
    <w:hidden/>
    <w:uiPriority w:val="99"/>
    <w:semiHidden/>
    <w:rsid w:val="00FA5F3F"/>
    <w:rPr>
      <w:rFonts w:ascii="Times New Roman" w:eastAsia="Times New Roman" w:hAnsi="Times New Roman"/>
      <w:sz w:val="22"/>
      <w:szCs w:val="24"/>
      <w:lang w:val="en-GB" w:eastAsia="en-US"/>
    </w:rPr>
  </w:style>
  <w:style w:type="character" w:customStyle="1" w:styleId="ui-provider">
    <w:name w:val="ui-provider"/>
    <w:basedOn w:val="DefaultParagraphFont"/>
    <w:rsid w:val="00762F61"/>
  </w:style>
  <w:style w:type="paragraph" w:customStyle="1" w:styleId="Default">
    <w:name w:val="Default"/>
    <w:rsid w:val="001147EC"/>
    <w:pPr>
      <w:autoSpaceDE w:val="0"/>
      <w:autoSpaceDN w:val="0"/>
      <w:adjustRightInd w:val="0"/>
    </w:pPr>
    <w:rPr>
      <w:rFonts w:ascii="Segoe UI" w:hAnsi="Segoe UI" w:cs="Segoe UI"/>
      <w:color w:val="000000"/>
      <w:sz w:val="24"/>
      <w:szCs w:val="24"/>
      <w:lang w:val="en-US"/>
    </w:rPr>
  </w:style>
  <w:style w:type="paragraph" w:customStyle="1" w:styleId="Venuedate">
    <w:name w:val="Venue&amp;date"/>
    <w:basedOn w:val="Cornernotation"/>
    <w:qFormat/>
    <w:rsid w:val="00FE7DD7"/>
    <w:rPr>
      <w:b w:val="0"/>
      <w:bCs/>
      <w:sz w:val="22"/>
      <w:szCs w:val="22"/>
    </w:rPr>
  </w:style>
  <w:style w:type="paragraph" w:customStyle="1" w:styleId="Footnote">
    <w:name w:val="Footnote"/>
    <w:basedOn w:val="FootnoteText"/>
    <w:qFormat/>
    <w:rsid w:val="00FE7DD7"/>
    <w:rPr>
      <w:sz w:val="18"/>
      <w:szCs w:val="18"/>
      <w:lang w:val="en-CA"/>
    </w:rPr>
  </w:style>
  <w:style w:type="paragraph" w:customStyle="1" w:styleId="Cornernotation-Item">
    <w:name w:val="Corner notation - Item"/>
    <w:basedOn w:val="Venuedate"/>
    <w:qFormat/>
    <w:rsid w:val="00FE7DD7"/>
    <w:rPr>
      <w:b/>
    </w:rPr>
  </w:style>
  <w:style w:type="paragraph" w:customStyle="1" w:styleId="Annex">
    <w:name w:val="Annex"/>
    <w:basedOn w:val="Normal"/>
    <w:qFormat/>
    <w:rsid w:val="00FE7DD7"/>
    <w:rPr>
      <w:b/>
      <w:sz w:val="28"/>
    </w:rPr>
  </w:style>
  <w:style w:type="paragraph" w:customStyle="1" w:styleId="Item">
    <w:name w:val="Item"/>
    <w:basedOn w:val="BodyText"/>
    <w:qFormat/>
    <w:rsid w:val="00FE7DD7"/>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customStyle="1" w:styleId="Para10">
    <w:name w:val="Para 1"/>
    <w:basedOn w:val="Normal"/>
    <w:qFormat/>
    <w:rsid w:val="00FE7DD7"/>
    <w:pPr>
      <w:numPr>
        <w:numId w:val="19"/>
      </w:numPr>
      <w:tabs>
        <w:tab w:val="left" w:pos="1134"/>
      </w:tabs>
      <w:spacing w:before="120" w:after="120"/>
      <w:ind w:left="567" w:firstLine="0"/>
    </w:pPr>
    <w:rPr>
      <w:rFonts w:eastAsia="Malgun Gothic"/>
      <w:snapToGrid w:val="0"/>
      <w:lang w:val="en-CA" w:eastAsia="ko-KR"/>
    </w:rPr>
  </w:style>
  <w:style w:type="paragraph" w:customStyle="1" w:styleId="Para20">
    <w:name w:val="Para 2"/>
    <w:qFormat/>
    <w:rsid w:val="00FE7DD7"/>
    <w:pPr>
      <w:tabs>
        <w:tab w:val="left" w:pos="1701"/>
      </w:tabs>
      <w:spacing w:before="120" w:after="120"/>
      <w:ind w:left="1134"/>
      <w:jc w:val="both"/>
    </w:pPr>
    <w:rPr>
      <w:rFonts w:ascii="Times New Roman" w:eastAsia="Times New Roman" w:hAnsi="Times New Roman"/>
      <w:sz w:val="22"/>
      <w:szCs w:val="24"/>
      <w:lang w:eastAsia="en-US"/>
    </w:rPr>
  </w:style>
  <w:style w:type="paragraph" w:customStyle="1" w:styleId="Para30">
    <w:name w:val="Para 3"/>
    <w:basedOn w:val="Normal"/>
    <w:qFormat/>
    <w:rsid w:val="00FE7DD7"/>
    <w:pPr>
      <w:tabs>
        <w:tab w:val="left" w:pos="1701"/>
      </w:tabs>
      <w:spacing w:before="120" w:after="120"/>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28403">
      <w:bodyDiv w:val="1"/>
      <w:marLeft w:val="0"/>
      <w:marRight w:val="0"/>
      <w:marTop w:val="0"/>
      <w:marBottom w:val="0"/>
      <w:divBdr>
        <w:top w:val="none" w:sz="0" w:space="0" w:color="auto"/>
        <w:left w:val="none" w:sz="0" w:space="0" w:color="auto"/>
        <w:bottom w:val="none" w:sz="0" w:space="0" w:color="auto"/>
        <w:right w:val="none" w:sz="0" w:space="0" w:color="auto"/>
      </w:divBdr>
    </w:div>
    <w:div w:id="839079529">
      <w:bodyDiv w:val="1"/>
      <w:marLeft w:val="0"/>
      <w:marRight w:val="0"/>
      <w:marTop w:val="0"/>
      <w:marBottom w:val="0"/>
      <w:divBdr>
        <w:top w:val="none" w:sz="0" w:space="0" w:color="auto"/>
        <w:left w:val="none" w:sz="0" w:space="0" w:color="auto"/>
        <w:bottom w:val="none" w:sz="0" w:space="0" w:color="auto"/>
        <w:right w:val="none" w:sz="0" w:space="0" w:color="auto"/>
      </w:divBdr>
    </w:div>
    <w:div w:id="1123421092">
      <w:bodyDiv w:val="1"/>
      <w:marLeft w:val="0"/>
      <w:marRight w:val="0"/>
      <w:marTop w:val="0"/>
      <w:marBottom w:val="0"/>
      <w:divBdr>
        <w:top w:val="none" w:sz="0" w:space="0" w:color="auto"/>
        <w:left w:val="none" w:sz="0" w:space="0" w:color="auto"/>
        <w:bottom w:val="none" w:sz="0" w:space="0" w:color="auto"/>
        <w:right w:val="none" w:sz="0" w:space="0" w:color="auto"/>
      </w:divBdr>
    </w:div>
    <w:div w:id="1285964132">
      <w:bodyDiv w:val="1"/>
      <w:marLeft w:val="0"/>
      <w:marRight w:val="0"/>
      <w:marTop w:val="0"/>
      <w:marBottom w:val="0"/>
      <w:divBdr>
        <w:top w:val="none" w:sz="0" w:space="0" w:color="auto"/>
        <w:left w:val="none" w:sz="0" w:space="0" w:color="auto"/>
        <w:bottom w:val="none" w:sz="0" w:space="0" w:color="auto"/>
        <w:right w:val="none" w:sz="0" w:space="0" w:color="auto"/>
      </w:divBdr>
    </w:div>
    <w:div w:id="1455978648">
      <w:bodyDiv w:val="1"/>
      <w:marLeft w:val="0"/>
      <w:marRight w:val="0"/>
      <w:marTop w:val="0"/>
      <w:marBottom w:val="0"/>
      <w:divBdr>
        <w:top w:val="none" w:sz="0" w:space="0" w:color="auto"/>
        <w:left w:val="none" w:sz="0" w:space="0" w:color="auto"/>
        <w:bottom w:val="none" w:sz="0" w:space="0" w:color="auto"/>
        <w:right w:val="none" w:sz="0" w:space="0" w:color="auto"/>
      </w:divBdr>
    </w:div>
    <w:div w:id="1535851402">
      <w:bodyDiv w:val="1"/>
      <w:marLeft w:val="0"/>
      <w:marRight w:val="0"/>
      <w:marTop w:val="0"/>
      <w:marBottom w:val="0"/>
      <w:divBdr>
        <w:top w:val="none" w:sz="0" w:space="0" w:color="auto"/>
        <w:left w:val="none" w:sz="0" w:space="0" w:color="auto"/>
        <w:bottom w:val="none" w:sz="0" w:space="0" w:color="auto"/>
        <w:right w:val="none" w:sz="0" w:space="0" w:color="auto"/>
      </w:divBdr>
    </w:div>
    <w:div w:id="1831946418">
      <w:bodyDiv w:val="1"/>
      <w:marLeft w:val="0"/>
      <w:marRight w:val="0"/>
      <w:marTop w:val="0"/>
      <w:marBottom w:val="0"/>
      <w:divBdr>
        <w:top w:val="none" w:sz="0" w:space="0" w:color="auto"/>
        <w:left w:val="none" w:sz="0" w:space="0" w:color="auto"/>
        <w:bottom w:val="none" w:sz="0" w:space="0" w:color="auto"/>
        <w:right w:val="none" w:sz="0" w:space="0" w:color="auto"/>
      </w:divBdr>
    </w:div>
    <w:div w:id="1885873625">
      <w:bodyDiv w:val="1"/>
      <w:marLeft w:val="0"/>
      <w:marRight w:val="0"/>
      <w:marTop w:val="0"/>
      <w:marBottom w:val="0"/>
      <w:divBdr>
        <w:top w:val="none" w:sz="0" w:space="0" w:color="auto"/>
        <w:left w:val="none" w:sz="0" w:space="0" w:color="auto"/>
        <w:bottom w:val="none" w:sz="0" w:space="0" w:color="auto"/>
        <w:right w:val="none" w:sz="0" w:space="0" w:color="auto"/>
      </w:divBdr>
    </w:div>
    <w:div w:id="206216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4/cop-14-dec-37-en.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op-09/cop-09-dec-34-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ecisions/cop/?m=cop-1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bd.int/information/adm-fi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D16D66B82E4B04A826D3351ADD844D"/>
        <w:category>
          <w:name w:val="General"/>
          <w:gallery w:val="placeholder"/>
        </w:category>
        <w:types>
          <w:type w:val="bbPlcHdr"/>
        </w:types>
        <w:behaviors>
          <w:behavior w:val="content"/>
        </w:behaviors>
        <w:guid w:val="{5748E654-CF58-4261-B106-C65AF89042EB}"/>
      </w:docPartPr>
      <w:docPartBody>
        <w:p w:rsidR="000261FB" w:rsidRDefault="002E0DC1">
          <w:r w:rsidRPr="007A6668">
            <w:rPr>
              <w:rStyle w:val="PlaceholderText"/>
            </w:rPr>
            <w:t>[Title]</w:t>
          </w:r>
        </w:p>
      </w:docPartBody>
    </w:docPart>
    <w:docPart>
      <w:docPartPr>
        <w:name w:val="9919A4354EBC4BE1BA94F6627C7FA73F"/>
        <w:category>
          <w:name w:val="General"/>
          <w:gallery w:val="placeholder"/>
        </w:category>
        <w:types>
          <w:type w:val="bbPlcHdr"/>
        </w:types>
        <w:behaviors>
          <w:behavior w:val="content"/>
        </w:behaviors>
        <w:guid w:val="{A0783E29-1B94-4B8E-BB30-A276122FD4CE}"/>
      </w:docPartPr>
      <w:docPartBody>
        <w:p w:rsidR="000261FB" w:rsidRDefault="002E0DC1">
          <w:r w:rsidRPr="007A6668">
            <w:rPr>
              <w:rStyle w:val="PlaceholderText"/>
            </w:rPr>
            <w:t>[Subject]</w:t>
          </w:r>
        </w:p>
      </w:docPartBody>
    </w:docPart>
    <w:docPart>
      <w:docPartPr>
        <w:name w:val="A845CFAF5A0D4443A20DDFE7D502BA94"/>
        <w:category>
          <w:name w:val="General"/>
          <w:gallery w:val="placeholder"/>
        </w:category>
        <w:types>
          <w:type w:val="bbPlcHdr"/>
        </w:types>
        <w:behaviors>
          <w:behavior w:val="content"/>
        </w:behaviors>
        <w:guid w:val="{23892CC6-9AB8-46A3-891B-4C937B753940}"/>
      </w:docPartPr>
      <w:docPartBody>
        <w:p w:rsidR="000261FB" w:rsidRDefault="002E0DC1" w:rsidP="002E0DC1">
          <w:pPr>
            <w:pStyle w:val="A845CFAF5A0D4443A20DDFE7D502BA94"/>
          </w:pPr>
          <w:r w:rsidRPr="007A666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Lucida Grande">
    <w:altName w:val="Segoe UI"/>
    <w:charset w:val="00"/>
    <w:family w:val="auto"/>
    <w:pitch w:val="default"/>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pitch w:val="fixed"/>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C1"/>
    <w:rsid w:val="000261FB"/>
    <w:rsid w:val="00245E7F"/>
    <w:rsid w:val="002E0DC1"/>
    <w:rsid w:val="00304F4C"/>
    <w:rsid w:val="003B4C1B"/>
    <w:rsid w:val="004639AC"/>
    <w:rsid w:val="004C607D"/>
    <w:rsid w:val="00583011"/>
    <w:rsid w:val="005868A9"/>
    <w:rsid w:val="00596D28"/>
    <w:rsid w:val="00650E89"/>
    <w:rsid w:val="0071455D"/>
    <w:rsid w:val="0085618A"/>
    <w:rsid w:val="0089077E"/>
    <w:rsid w:val="008D2BD0"/>
    <w:rsid w:val="00912251"/>
    <w:rsid w:val="009C7A78"/>
    <w:rsid w:val="00A0684B"/>
    <w:rsid w:val="00A625FA"/>
    <w:rsid w:val="00AA1699"/>
    <w:rsid w:val="00B41384"/>
    <w:rsid w:val="00BE5743"/>
    <w:rsid w:val="00D12865"/>
    <w:rsid w:val="00D2088B"/>
    <w:rsid w:val="00E04DBB"/>
    <w:rsid w:val="00E6799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DC1"/>
    <w:rPr>
      <w:color w:val="808080"/>
    </w:rPr>
  </w:style>
  <w:style w:type="paragraph" w:customStyle="1" w:styleId="A845CFAF5A0D4443A20DDFE7D502BA94">
    <w:name w:val="A845CFAF5A0D4443A20DDFE7D502BA94"/>
    <w:rsid w:val="002E0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E1ECD-62F8-48DA-B6CA-7B8986A9F65A}">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2.xml><?xml version="1.0" encoding="utf-8"?>
<ds:datastoreItem xmlns:ds="http://schemas.openxmlformats.org/officeDocument/2006/customXml" ds:itemID="{A033285F-D55B-49CE-A503-A351070CBFDE}">
  <ds:schemaRefs>
    <ds:schemaRef ds:uri="http://schemas.microsoft.com/sharepoint/v3/contenttype/forms"/>
  </ds:schemaRefs>
</ds:datastoreItem>
</file>

<file path=customXml/itemProps3.xml><?xml version="1.0" encoding="utf-8"?>
<ds:datastoreItem xmlns:ds="http://schemas.openxmlformats.org/officeDocument/2006/customXml" ds:itemID="{B55F3E53-7FBA-47F9-8F12-2AA920E7609F}">
  <ds:schemaRefs>
    <ds:schemaRef ds:uri="http://schemas.openxmlformats.org/officeDocument/2006/bibliography"/>
  </ds:schemaRefs>
</ds:datastoreItem>
</file>

<file path=customXml/itemProps4.xml><?xml version="1.0" encoding="utf-8"?>
<ds:datastoreItem xmlns:ds="http://schemas.openxmlformats.org/officeDocument/2006/customXml" ds:itemID="{E4B331F0-CD4D-4BB0-809C-07D61AAE8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3136</Words>
  <Characters>16954</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Administrative and budgetary matters</vt:lpstr>
    </vt:vector>
  </TitlesOfParts>
  <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and budgetary matters</dc:title>
  <dc:subject>CBD/SBI/4/16</dc:subject>
  <dc:creator>Secretariat of the Convention on Biological Diversity</dc:creator>
  <cp:keywords>Subsidiary Body on Implementation, third meeting, Convention on Biological Diversity</cp:keywords>
  <dc:description/>
  <cp:lastModifiedBy>Veronique Lefebvre</cp:lastModifiedBy>
  <cp:revision>3</cp:revision>
  <cp:lastPrinted>2024-04-27T00:42:00Z</cp:lastPrinted>
  <dcterms:created xsi:type="dcterms:W3CDTF">2024-04-29T14:27:00Z</dcterms:created>
  <dcterms:modified xsi:type="dcterms:W3CDTF">2024-04-29T14:28:00Z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