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45"/>
      </w:tblGrid>
      <w:tr w:rsidR="00660CB5" w14:paraId="2F15BC55" w14:textId="77777777" w:rsidTr="005B25AE">
        <w:trPr>
          <w:trHeight w:val="709"/>
        </w:trPr>
        <w:tc>
          <w:tcPr>
            <w:tcW w:w="976" w:type="dxa"/>
            <w:tcBorders>
              <w:bottom w:val="single" w:sz="12" w:space="0" w:color="auto"/>
            </w:tcBorders>
          </w:tcPr>
          <w:p w14:paraId="451A5BF4" w14:textId="77777777" w:rsidR="00660CB5" w:rsidRPr="00321985" w:rsidRDefault="00660CB5" w:rsidP="004123C4">
            <w:r>
              <w:rPr>
                <w:noProof/>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5E86704D" w:rsidR="00660CB5" w:rsidRPr="00321985" w:rsidRDefault="00A15B53" w:rsidP="004123C4">
            <w:r w:rsidRPr="00A15B53">
              <w:rPr>
                <w:noProof/>
                <w:spacing w:val="1506"/>
              </w:rPr>
              <w:drawing>
                <wp:inline distT="0" distB="0" distL="0" distR="0" wp14:anchorId="668F0FC3" wp14:editId="195CAB38">
                  <wp:extent cx="614045" cy="3505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r w:rsidR="00660CB5" w:rsidRPr="00A15B53">
              <w:t xml:space="preserve"> </w:t>
            </w:r>
          </w:p>
        </w:tc>
        <w:tc>
          <w:tcPr>
            <w:tcW w:w="4090" w:type="dxa"/>
            <w:tcBorders>
              <w:bottom w:val="single" w:sz="12" w:space="0" w:color="auto"/>
            </w:tcBorders>
          </w:tcPr>
          <w:p w14:paraId="6B8A2E0E" w14:textId="77777777" w:rsidR="00660CB5" w:rsidRPr="00C9161D" w:rsidRDefault="00660CB5" w:rsidP="004123C4">
            <w:pPr>
              <w:jc w:val="right"/>
              <w:rPr>
                <w:rFonts w:ascii="Arial" w:hAnsi="Arial" w:cs="Arial"/>
                <w:b/>
                <w:sz w:val="32"/>
                <w:szCs w:val="32"/>
              </w:rPr>
            </w:pPr>
            <w:r>
              <w:rPr>
                <w:rFonts w:ascii="Arial" w:hAnsi="Arial"/>
                <w:b/>
                <w:sz w:val="32"/>
              </w:rPr>
              <w:t>CBD</w:t>
            </w:r>
          </w:p>
        </w:tc>
      </w:tr>
      <w:tr w:rsidR="00660CB5" w14:paraId="7A608A6E" w14:textId="77777777" w:rsidTr="004123C4">
        <w:tc>
          <w:tcPr>
            <w:tcW w:w="6117" w:type="dxa"/>
            <w:gridSpan w:val="2"/>
            <w:tcBorders>
              <w:top w:val="single" w:sz="12" w:space="0" w:color="auto"/>
              <w:bottom w:val="single" w:sz="36" w:space="0" w:color="auto"/>
            </w:tcBorders>
            <w:vAlign w:val="center"/>
          </w:tcPr>
          <w:p w14:paraId="6FE6DC6C" w14:textId="0376B945" w:rsidR="00660CB5" w:rsidRDefault="00A15B53" w:rsidP="004123C4">
            <w:r w:rsidRPr="00A15B53">
              <w:rPr>
                <w:noProof/>
                <w:lang w:val="es-ES_tradnl"/>
              </w:rPr>
              <w:drawing>
                <wp:inline distT="0" distB="0" distL="0" distR="0" wp14:anchorId="2DE0FA7A" wp14:editId="77D36280">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C9161D" w:rsidRDefault="00660CB5" w:rsidP="004123C4">
            <w:pPr>
              <w:ind w:left="1575"/>
              <w:rPr>
                <w:szCs w:val="22"/>
              </w:rPr>
            </w:pPr>
            <w:r>
              <w:t>Distr.</w:t>
            </w:r>
          </w:p>
          <w:p w14:paraId="37ABA8AD" w14:textId="067AF20A" w:rsidR="00660CB5" w:rsidRPr="00095A2C" w:rsidRDefault="000D0253" w:rsidP="004123C4">
            <w:pPr>
              <w:ind w:left="1575"/>
              <w:rPr>
                <w:szCs w:val="22"/>
              </w:rPr>
            </w:pPr>
            <w:r>
              <w:rPr>
                <w:caps/>
              </w:rPr>
              <w:t>GENERAL</w:t>
            </w:r>
          </w:p>
          <w:p w14:paraId="4F72D7E7" w14:textId="77777777" w:rsidR="00660CB5" w:rsidRPr="00C9161D" w:rsidRDefault="00660CB5" w:rsidP="004123C4">
            <w:pPr>
              <w:ind w:left="1575"/>
              <w:rPr>
                <w:szCs w:val="22"/>
              </w:rPr>
            </w:pPr>
          </w:p>
          <w:p w14:paraId="03D197B5" w14:textId="63EA7CC7" w:rsidR="00660CB5" w:rsidRPr="00C9161D" w:rsidRDefault="00A15B53" w:rsidP="004123C4">
            <w:pPr>
              <w:ind w:left="1575"/>
              <w:rPr>
                <w:szCs w:val="22"/>
              </w:rPr>
            </w:pPr>
            <w:sdt>
              <w:sdt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176586">
                  <w:rPr>
                    <w:lang w:val="en-US"/>
                  </w:rPr>
                  <w:t>CBD/CP/MOP/10/1/Rev.1</w:t>
                </w:r>
              </w:sdtContent>
            </w:sdt>
          </w:p>
          <w:p w14:paraId="1AB5A59E" w14:textId="1B2DEB01" w:rsidR="00660CB5" w:rsidRPr="00C9161D" w:rsidRDefault="00176586" w:rsidP="004123C4">
            <w:pPr>
              <w:ind w:left="1575"/>
              <w:rPr>
                <w:szCs w:val="22"/>
              </w:rPr>
            </w:pPr>
            <w:r>
              <w:t>19 de agosto de 2021</w:t>
            </w:r>
          </w:p>
          <w:p w14:paraId="459F4DFA" w14:textId="77777777" w:rsidR="00660CB5" w:rsidRPr="00C9161D" w:rsidRDefault="00660CB5" w:rsidP="004123C4">
            <w:pPr>
              <w:ind w:left="1575"/>
              <w:rPr>
                <w:szCs w:val="22"/>
              </w:rPr>
            </w:pPr>
          </w:p>
          <w:p w14:paraId="00E25E87" w14:textId="77777777" w:rsidR="00A15B53" w:rsidRDefault="00660CB5" w:rsidP="00A15B53">
            <w:pPr>
              <w:ind w:left="1575"/>
            </w:pPr>
            <w:r>
              <w:t>ESPAÑOL</w:t>
            </w:r>
          </w:p>
          <w:p w14:paraId="2F30B370" w14:textId="46AD4950" w:rsidR="00660CB5" w:rsidRDefault="00660CB5" w:rsidP="00A15B53">
            <w:pPr>
              <w:spacing w:after="120"/>
              <w:ind w:left="1575"/>
            </w:pPr>
            <w:r>
              <w:t>ORIGINAL: INGLÉS</w:t>
            </w:r>
          </w:p>
        </w:tc>
      </w:tr>
    </w:tbl>
    <w:p w14:paraId="221C01DC" w14:textId="75C37AE4" w:rsidR="001C3FBA" w:rsidRPr="00910961" w:rsidRDefault="001C3FBA" w:rsidP="005B25AE">
      <w:pPr>
        <w:pStyle w:val="Cornernotation"/>
        <w:kinsoku w:val="0"/>
        <w:overflowPunct w:val="0"/>
        <w:autoSpaceDE w:val="0"/>
        <w:autoSpaceDN w:val="0"/>
        <w:spacing w:before="60"/>
        <w:ind w:left="227" w:right="4302" w:hanging="227"/>
        <w:rPr>
          <w:snapToGrid w:val="0"/>
          <w:kern w:val="22"/>
        </w:rPr>
      </w:pPr>
      <w:r>
        <w:rPr>
          <w:snapToGrid w:val="0"/>
        </w:rPr>
        <w:t>CONFERENCIA DE LAS PARTES EN EL CONVENIO SOBRE LA DIVERSIDAD BIOLÓGICA QUE ACTÚA COMO REUNIÓN DE LAS PARTES EN EL PROTOCOLO DE CARTAGENA SOBRE SEGURIDAD DE LA BIOTECNOLOGÍA</w:t>
      </w:r>
    </w:p>
    <w:p w14:paraId="278015D0" w14:textId="77777777" w:rsidR="00660370" w:rsidRPr="00910961" w:rsidRDefault="00151E2B" w:rsidP="00910961">
      <w:pPr>
        <w:pStyle w:val="Cornernotation"/>
        <w:kinsoku w:val="0"/>
        <w:overflowPunct w:val="0"/>
        <w:autoSpaceDE w:val="0"/>
        <w:autoSpaceDN w:val="0"/>
        <w:ind w:left="0" w:right="4512" w:firstLine="0"/>
        <w:rPr>
          <w:snapToGrid w:val="0"/>
          <w:kern w:val="22"/>
        </w:rPr>
      </w:pPr>
      <w:r>
        <w:rPr>
          <w:snapToGrid w:val="0"/>
        </w:rPr>
        <w:t>Décima reunión</w:t>
      </w:r>
    </w:p>
    <w:p w14:paraId="26D92168" w14:textId="4B9D474D" w:rsidR="003A1274" w:rsidRDefault="00C254BA" w:rsidP="00660CB5">
      <w:pPr>
        <w:pStyle w:val="Cornernotation"/>
        <w:kinsoku w:val="0"/>
        <w:overflowPunct w:val="0"/>
        <w:autoSpaceDE w:val="0"/>
        <w:autoSpaceDN w:val="0"/>
        <w:ind w:left="227" w:right="4512" w:hanging="227"/>
        <w:rPr>
          <w:snapToGrid w:val="0"/>
          <w:kern w:val="22"/>
          <w:szCs w:val="22"/>
        </w:rPr>
      </w:pPr>
      <w:bookmarkStart w:id="0" w:name="_Hlk505863673"/>
      <w:r>
        <w:rPr>
          <w:snapToGrid w:val="0"/>
        </w:rPr>
        <w:t xml:space="preserve">Kunming </w:t>
      </w:r>
      <w:bookmarkEnd w:id="0"/>
      <w:r>
        <w:rPr>
          <w:snapToGrid w:val="0"/>
        </w:rPr>
        <w:t>(China), 11 a 15 de octubre de 2021</w:t>
      </w:r>
    </w:p>
    <w:p w14:paraId="57EA74CA" w14:textId="6595C61C" w:rsidR="00360039" w:rsidRPr="00660CB5" w:rsidRDefault="00176586" w:rsidP="007C3B23">
      <w:pPr>
        <w:pStyle w:val="Cornernotation"/>
        <w:kinsoku w:val="0"/>
        <w:overflowPunct w:val="0"/>
        <w:autoSpaceDE w:val="0"/>
        <w:autoSpaceDN w:val="0"/>
        <w:ind w:left="0" w:right="4512" w:firstLine="199"/>
        <w:rPr>
          <w:snapToGrid w:val="0"/>
          <w:kern w:val="22"/>
          <w:szCs w:val="22"/>
        </w:rPr>
      </w:pPr>
      <w:r>
        <w:rPr>
          <w:snapToGrid w:val="0"/>
        </w:rPr>
        <w:t>y 25 de abril a 8 de mayo de 2022</w:t>
      </w:r>
    </w:p>
    <w:p w14:paraId="3CE47D64" w14:textId="248612BD" w:rsidR="00176CEE" w:rsidRDefault="00A15B53" w:rsidP="005B25AE">
      <w:pPr>
        <w:kinsoku w:val="0"/>
        <w:overflowPunct w:val="0"/>
        <w:autoSpaceDE w:val="0"/>
        <w:autoSpaceDN w:val="0"/>
        <w:spacing w:before="120" w:after="240"/>
        <w:jc w:val="center"/>
        <w:rPr>
          <w:b/>
          <w:bCs/>
          <w:caps/>
          <w:snapToGrid w:val="0"/>
          <w:kern w:val="22"/>
        </w:rPr>
      </w:pPr>
      <w:sdt>
        <w:sdtPr>
          <w:rPr>
            <w:rStyle w:val="Ttulo1C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tulo1Car"/>
          </w:rPr>
        </w:sdtEndPr>
        <w:sdtContent>
          <w:r w:rsidR="002F1125">
            <w:rPr>
              <w:rStyle w:val="Ttulo1Car"/>
            </w:rPr>
            <w:t>programa provisional</w:t>
          </w:r>
        </w:sdtContent>
      </w:sdt>
      <w:r w:rsidR="007C3B23">
        <w:rPr>
          <w:b/>
          <w:caps/>
          <w:snapToGrid w:val="0"/>
        </w:rPr>
        <w:t xml:space="preserve"> </w:t>
      </w:r>
    </w:p>
    <w:p w14:paraId="24AB29E4"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Apertura de la reunión.</w:t>
      </w:r>
    </w:p>
    <w:p w14:paraId="5572CB05"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Cuestiones de organización.</w:t>
      </w:r>
    </w:p>
    <w:p w14:paraId="2FE36BB0"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Informe sobre las credenciales de los representantes que participan en la 10ª reunión de la Conferencia de las Partes que actúa como reunión de las Partes en el Protocolo de Cartagena.</w:t>
      </w:r>
    </w:p>
    <w:p w14:paraId="42A715DB" w14:textId="77777777" w:rsidR="008A5F16" w:rsidRPr="005B25AE"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Informes de los órganos subsidiarios.</w:t>
      </w:r>
    </w:p>
    <w:p w14:paraId="1EFE4103" w14:textId="77777777" w:rsidR="00D623E5" w:rsidRPr="00DA70B9" w:rsidRDefault="008A5F16"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Informe del Comité de Cumplimiento.</w:t>
      </w:r>
    </w:p>
    <w:p w14:paraId="1EEDD7E3" w14:textId="77777777" w:rsidR="00D623E5" w:rsidRPr="00DA70B9" w:rsidRDefault="00D623E5" w:rsidP="005B25AE">
      <w:pPr>
        <w:numPr>
          <w:ilvl w:val="0"/>
          <w:numId w:val="14"/>
        </w:numPr>
        <w:tabs>
          <w:tab w:val="clear" w:pos="720"/>
          <w:tab w:val="num" w:pos="770"/>
        </w:tabs>
        <w:kinsoku w:val="0"/>
        <w:overflowPunct w:val="0"/>
        <w:autoSpaceDE w:val="0"/>
        <w:autoSpaceDN w:val="0"/>
        <w:spacing w:before="120" w:after="120"/>
        <w:ind w:hanging="720"/>
        <w:jc w:val="left"/>
        <w:rPr>
          <w:bCs/>
          <w:snapToGrid w:val="0"/>
          <w:kern w:val="22"/>
        </w:rPr>
      </w:pPr>
      <w:r>
        <w:rPr>
          <w:snapToGrid w:val="0"/>
        </w:rPr>
        <w:t>Administración del Protocolo y presupuesto para los fondos fiduciarios.</w:t>
      </w:r>
    </w:p>
    <w:p w14:paraId="682F999A" w14:textId="6ACF104D" w:rsidR="00827FC7" w:rsidRPr="00190281" w:rsidRDefault="00827FC7" w:rsidP="005B25AE">
      <w:pPr>
        <w:pStyle w:val="bodytextnoindent"/>
        <w:numPr>
          <w:ilvl w:val="0"/>
          <w:numId w:val="14"/>
        </w:numPr>
        <w:tabs>
          <w:tab w:val="clear" w:pos="720"/>
        </w:tabs>
        <w:kinsoku w:val="0"/>
        <w:overflowPunct w:val="0"/>
        <w:autoSpaceDE w:val="0"/>
        <w:autoSpaceDN w:val="0"/>
        <w:spacing w:before="120" w:after="120"/>
        <w:ind w:hanging="720"/>
        <w:jc w:val="left"/>
        <w:rPr>
          <w:snapToGrid w:val="0"/>
          <w:kern w:val="22"/>
          <w:szCs w:val="22"/>
        </w:rPr>
      </w:pPr>
      <w:r>
        <w:rPr>
          <w:snapToGrid w:val="0"/>
        </w:rPr>
        <w:t>Plan de aplicación y plan de creación de capacidad para el Protocolo de Cartagena.</w:t>
      </w:r>
    </w:p>
    <w:p w14:paraId="167770C9" w14:textId="6D9780A8" w:rsidR="00C85B3F" w:rsidRPr="00DA70B9" w:rsidRDefault="00C85B3F"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Vigilancia y presentación de informes (artículo 33).</w:t>
      </w:r>
    </w:p>
    <w:p w14:paraId="7F3B7546" w14:textId="77777777" w:rsidR="00C40DD5" w:rsidRPr="00DA70B9" w:rsidRDefault="00C40DD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Evaluación y revisión de la eficacia del Protocolo (artículo 35) y evaluación final del Plan Estratégico para el Protocolo de Cartagena sobre la Seguridad de la Biotecnología para el período 2011-2020.</w:t>
      </w:r>
    </w:p>
    <w:p w14:paraId="7B65D00E" w14:textId="77777777" w:rsidR="006A1DE3" w:rsidRPr="00DA70B9" w:rsidRDefault="006A1DE3"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Asuntos relacionados con el mecanismo financiero y los recursos financieros (artículo 28).</w:t>
      </w:r>
    </w:p>
    <w:p w14:paraId="0BEBA300" w14:textId="77777777" w:rsidR="006A1DE3" w:rsidRPr="00DA70B9" w:rsidRDefault="006A1DE3"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Funcionamiento y actividades del Centro de Intercambio de Información sobre Seguridad de la Biotecnología (artículo 20).</w:t>
      </w:r>
    </w:p>
    <w:p w14:paraId="59D3B5A2"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Cooperación con otras organizaciones, convenios e iniciativas.</w:t>
      </w:r>
    </w:p>
    <w:p w14:paraId="5D5D0582" w14:textId="77777777" w:rsidR="00A11B01"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Revisión de la eficacia de las estructuras y los procesos del Convenio y sus Protocolos.</w:t>
      </w:r>
    </w:p>
    <w:p w14:paraId="0861CCAF" w14:textId="77777777" w:rsidR="00D623E5" w:rsidRPr="00DA70B9" w:rsidRDefault="00A11B01"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Evaluación del riesgo y gestión del riesgo (artículos 15 y 16).</w:t>
      </w:r>
    </w:p>
    <w:p w14:paraId="2AF61AF6" w14:textId="603D2854" w:rsidR="00A11B01" w:rsidRPr="00DA70B9" w:rsidRDefault="00E636CF"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Detección e identificación de organismos vivos modificados.</w:t>
      </w:r>
    </w:p>
    <w:p w14:paraId="0A037152"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iCs/>
          <w:snapToGrid w:val="0"/>
          <w:kern w:val="22"/>
          <w:szCs w:val="22"/>
        </w:rPr>
      </w:pPr>
      <w:r>
        <w:rPr>
          <w:snapToGrid w:val="0"/>
        </w:rPr>
        <w:t>Consideraciones socioeconómicas (artículo 26).</w:t>
      </w:r>
    </w:p>
    <w:p w14:paraId="476397EA" w14:textId="0B23D829" w:rsidR="008C52BD"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Protocolo Suplementario de Nagoya – Kuala Lumpur sobre Responsabilidad y Compensación.</w:t>
      </w:r>
    </w:p>
    <w:p w14:paraId="5D1658AD" w14:textId="682EBD95" w:rsidR="00A15B53"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snapToGrid w:val="0"/>
        </w:rPr>
      </w:pPr>
      <w:r>
        <w:rPr>
          <w:snapToGrid w:val="0"/>
        </w:rPr>
        <w:t>Otros asuntos.</w:t>
      </w:r>
    </w:p>
    <w:p w14:paraId="642BEF9E" w14:textId="77777777" w:rsidR="00A15B53" w:rsidRDefault="00A15B53">
      <w:pPr>
        <w:jc w:val="left"/>
        <w:rPr>
          <w:snapToGrid w:val="0"/>
        </w:rPr>
      </w:pPr>
      <w:r>
        <w:rPr>
          <w:snapToGrid w:val="0"/>
        </w:rPr>
        <w:br w:type="page"/>
      </w:r>
    </w:p>
    <w:p w14:paraId="2EA5DC6C" w14:textId="77777777" w:rsidR="00AD3AFD" w:rsidRDefault="00D623E5" w:rsidP="00DA70B9">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Adopción del informe.</w:t>
      </w:r>
    </w:p>
    <w:p w14:paraId="7C0C5F17" w14:textId="77777777" w:rsidR="00D623E5" w:rsidRPr="00DA70B9" w:rsidRDefault="00D623E5" w:rsidP="005B25AE">
      <w:pPr>
        <w:pStyle w:val="bodytextnoindent"/>
        <w:numPr>
          <w:ilvl w:val="0"/>
          <w:numId w:val="14"/>
        </w:numPr>
        <w:tabs>
          <w:tab w:val="clear" w:pos="720"/>
        </w:tabs>
        <w:kinsoku w:val="0"/>
        <w:overflowPunct w:val="0"/>
        <w:autoSpaceDE w:val="0"/>
        <w:autoSpaceDN w:val="0"/>
        <w:spacing w:before="120" w:after="120"/>
        <w:ind w:hanging="720"/>
        <w:jc w:val="left"/>
        <w:rPr>
          <w:bCs/>
          <w:snapToGrid w:val="0"/>
          <w:kern w:val="22"/>
          <w:szCs w:val="22"/>
        </w:rPr>
      </w:pPr>
      <w:r>
        <w:rPr>
          <w:snapToGrid w:val="0"/>
        </w:rPr>
        <w:t>Clausura de la reunión.</w:t>
      </w:r>
    </w:p>
    <w:p w14:paraId="01A8F749" w14:textId="77777777" w:rsidR="00B3778F" w:rsidRPr="00910961" w:rsidRDefault="004409A7" w:rsidP="00910961">
      <w:pPr>
        <w:pStyle w:val="bodytextnoindent"/>
        <w:kinsoku w:val="0"/>
        <w:overflowPunct w:val="0"/>
        <w:autoSpaceDE w:val="0"/>
        <w:autoSpaceDN w:val="0"/>
        <w:spacing w:before="240" w:after="120"/>
        <w:ind w:left="0" w:firstLine="0"/>
        <w:jc w:val="center"/>
        <w:rPr>
          <w:snapToGrid w:val="0"/>
          <w:kern w:val="22"/>
        </w:rPr>
      </w:pPr>
      <w:r>
        <w:rPr>
          <w:snapToGrid w:val="0"/>
        </w:rPr>
        <w:lastRenderedPageBreak/>
        <w:t>__________</w:t>
      </w:r>
    </w:p>
    <w:sectPr w:rsidR="00B3778F" w:rsidRPr="00910961" w:rsidSect="005B25AE">
      <w:headerReference w:type="even" r:id="rId15"/>
      <w:headerReference w:type="default" r:id="rId16"/>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EC8F" w14:textId="77777777" w:rsidR="00404734" w:rsidRDefault="00404734" w:rsidP="00CF1848">
      <w:r>
        <w:separator/>
      </w:r>
    </w:p>
  </w:endnote>
  <w:endnote w:type="continuationSeparator" w:id="0">
    <w:p w14:paraId="3CB9A43A" w14:textId="77777777" w:rsidR="00404734" w:rsidRDefault="00404734" w:rsidP="00CF1848">
      <w:r>
        <w:continuationSeparator/>
      </w:r>
    </w:p>
  </w:endnote>
  <w:endnote w:type="continuationNotice" w:id="1">
    <w:p w14:paraId="39CA121C" w14:textId="77777777" w:rsidR="006B75A0" w:rsidRDefault="006B7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0400" w14:textId="77777777" w:rsidR="00404734" w:rsidRDefault="00404734" w:rsidP="00CF1848">
      <w:r>
        <w:separator/>
      </w:r>
    </w:p>
  </w:footnote>
  <w:footnote w:type="continuationSeparator" w:id="0">
    <w:p w14:paraId="4ABA3367" w14:textId="77777777" w:rsidR="00404734" w:rsidRDefault="00404734" w:rsidP="00CF1848">
      <w:r>
        <w:continuationSeparator/>
      </w:r>
    </w:p>
  </w:footnote>
  <w:footnote w:type="continuationNotice" w:id="1">
    <w:p w14:paraId="65227A9B" w14:textId="77777777" w:rsidR="006B75A0" w:rsidRDefault="006B7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8929DE" w14:textId="0E64C716" w:rsidR="00B90DD5" w:rsidRPr="007C3B23" w:rsidRDefault="00176586" w:rsidP="00910961">
        <w:pPr>
          <w:pStyle w:val="Encabezado"/>
          <w:tabs>
            <w:tab w:val="clear" w:pos="4320"/>
            <w:tab w:val="clear" w:pos="8640"/>
          </w:tabs>
          <w:rPr>
            <w:lang w:val="fr-FR"/>
          </w:rPr>
        </w:pPr>
        <w:r w:rsidRPr="007C3B23">
          <w:rPr>
            <w:lang w:val="fr-FR"/>
          </w:rPr>
          <w:t>CBD/CP/MOP/10/1/Rev.1</w:t>
        </w:r>
      </w:p>
    </w:sdtContent>
  </w:sdt>
  <w:p w14:paraId="2417E9CA" w14:textId="77777777" w:rsidR="00B90DD5" w:rsidRPr="007C3B23" w:rsidRDefault="00B90DD5" w:rsidP="00910961">
    <w:pPr>
      <w:pStyle w:val="Encabezado"/>
      <w:tabs>
        <w:tab w:val="clear" w:pos="4320"/>
        <w:tab w:val="clear" w:pos="8640"/>
      </w:tabs>
    </w:pPr>
    <w:r>
      <w:t xml:space="preserve">Página </w:t>
    </w:r>
    <w:r>
      <w:fldChar w:fldCharType="begin"/>
    </w:r>
    <w:r w:rsidRPr="007C3B23">
      <w:instrText xml:space="preserve"> PAGE   \* MERGEFORMAT </w:instrText>
    </w:r>
    <w:r>
      <w:fldChar w:fldCharType="separate"/>
    </w:r>
    <w:r w:rsidR="00393029" w:rsidRPr="007C3B23">
      <w:t>4</w:t>
    </w:r>
    <w:r>
      <w:fldChar w:fldCharType="end"/>
    </w:r>
  </w:p>
  <w:p w14:paraId="4470B071" w14:textId="77777777" w:rsidR="00B90DD5" w:rsidRPr="007C3B23" w:rsidRDefault="00B90DD5" w:rsidP="00910961">
    <w:pPr>
      <w:pStyle w:val="Encabezado"/>
      <w:tabs>
        <w:tab w:val="clear" w:pos="4320"/>
        <w:tab w:val="clear" w:pos="864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267F7F" w14:textId="18420E5B" w:rsidR="00B90DD5" w:rsidRPr="007C3B23" w:rsidRDefault="00176586" w:rsidP="009505C9">
        <w:pPr>
          <w:pStyle w:val="Encabezado"/>
          <w:jc w:val="right"/>
          <w:rPr>
            <w:lang w:val="fr-FR"/>
          </w:rPr>
        </w:pPr>
        <w:r w:rsidRPr="007C3B23">
          <w:rPr>
            <w:lang w:val="fr-FR"/>
          </w:rPr>
          <w:t>CBD/CP/MOP/10/1/Rev.1</w:t>
        </w:r>
      </w:p>
    </w:sdtContent>
  </w:sdt>
  <w:p w14:paraId="45F5E32F" w14:textId="77777777" w:rsidR="00B90DD5" w:rsidRPr="007C3B23" w:rsidRDefault="00B90DD5" w:rsidP="009505C9">
    <w:pPr>
      <w:pStyle w:val="Encabezado"/>
      <w:jc w:val="right"/>
    </w:pPr>
    <w:r>
      <w:t xml:space="preserve">Página </w:t>
    </w:r>
    <w:r>
      <w:fldChar w:fldCharType="begin"/>
    </w:r>
    <w:r w:rsidRPr="007C3B23">
      <w:instrText xml:space="preserve"> PAGE   \* MERGEFORMAT </w:instrText>
    </w:r>
    <w:r>
      <w:fldChar w:fldCharType="separate"/>
    </w:r>
    <w:r w:rsidR="00393029" w:rsidRPr="007C3B23">
      <w:t>3</w:t>
    </w:r>
    <w:r>
      <w:fldChar w:fldCharType="end"/>
    </w:r>
  </w:p>
  <w:p w14:paraId="051956D2" w14:textId="77777777" w:rsidR="00B90DD5" w:rsidRPr="007C3B23" w:rsidRDefault="00B90DD5">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4"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0"/>
  </w:num>
  <w:num w:numId="5">
    <w:abstractNumId w:val="19"/>
  </w:num>
  <w:num w:numId="6">
    <w:abstractNumId w:val="5"/>
  </w:num>
  <w:num w:numId="7">
    <w:abstractNumId w:val="9"/>
  </w:num>
  <w:num w:numId="8">
    <w:abstractNumId w:val="18"/>
    <w:lvlOverride w:ilvl="0">
      <w:startOverride w:val="1"/>
    </w:lvlOverride>
  </w:num>
  <w:num w:numId="9">
    <w:abstractNumId w:val="25"/>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1"/>
  </w:num>
  <w:num w:numId="19">
    <w:abstractNumId w:val="27"/>
  </w:num>
  <w:num w:numId="20">
    <w:abstractNumId w:val="7"/>
  </w:num>
  <w:num w:numId="21">
    <w:abstractNumId w:val="3"/>
  </w:num>
  <w:num w:numId="22">
    <w:abstractNumId w:val="13"/>
  </w:num>
  <w:num w:numId="23">
    <w:abstractNumId w:val="15"/>
  </w:num>
  <w:num w:numId="24">
    <w:abstractNumId w:val="6"/>
  </w:num>
  <w:num w:numId="25">
    <w:abstractNumId w:val="28"/>
  </w:num>
  <w:num w:numId="26">
    <w:abstractNumId w:val="2"/>
  </w:num>
  <w:num w:numId="27">
    <w:abstractNumId w:val="12"/>
  </w:num>
  <w:num w:numId="28">
    <w:abstractNumId w:val="22"/>
  </w:num>
  <w:num w:numId="29">
    <w:abstractNumId w:val="1"/>
  </w:num>
  <w:num w:numId="30">
    <w:abstractNumId w:val="26"/>
  </w:num>
  <w:num w:numId="31">
    <w:abstractNumId w:val="0"/>
  </w:num>
  <w:num w:numId="32">
    <w:abstractNumId w:val="8"/>
  </w:num>
  <w:num w:numId="33">
    <w:abstractNumId w:val="16"/>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775E"/>
    <w:rsid w:val="00013696"/>
    <w:rsid w:val="00022609"/>
    <w:rsid w:val="000473BD"/>
    <w:rsid w:val="00077BE8"/>
    <w:rsid w:val="0008014A"/>
    <w:rsid w:val="000957F6"/>
    <w:rsid w:val="00095A2C"/>
    <w:rsid w:val="00097F5F"/>
    <w:rsid w:val="000A0830"/>
    <w:rsid w:val="000A0AC1"/>
    <w:rsid w:val="000A3D17"/>
    <w:rsid w:val="000D0253"/>
    <w:rsid w:val="000E673A"/>
    <w:rsid w:val="000F74F5"/>
    <w:rsid w:val="00105372"/>
    <w:rsid w:val="00121613"/>
    <w:rsid w:val="00131C42"/>
    <w:rsid w:val="00131E7A"/>
    <w:rsid w:val="00134717"/>
    <w:rsid w:val="00151E2B"/>
    <w:rsid w:val="00165323"/>
    <w:rsid w:val="00172AF6"/>
    <w:rsid w:val="00176586"/>
    <w:rsid w:val="00176CEE"/>
    <w:rsid w:val="00190281"/>
    <w:rsid w:val="001B09F5"/>
    <w:rsid w:val="001B5293"/>
    <w:rsid w:val="001C083C"/>
    <w:rsid w:val="001C3FBA"/>
    <w:rsid w:val="001F20DA"/>
    <w:rsid w:val="001F470B"/>
    <w:rsid w:val="001F544B"/>
    <w:rsid w:val="00207B73"/>
    <w:rsid w:val="00222239"/>
    <w:rsid w:val="00230661"/>
    <w:rsid w:val="00235276"/>
    <w:rsid w:val="00235C05"/>
    <w:rsid w:val="00245596"/>
    <w:rsid w:val="00270151"/>
    <w:rsid w:val="00273893"/>
    <w:rsid w:val="002759AB"/>
    <w:rsid w:val="00287CD5"/>
    <w:rsid w:val="00295DF4"/>
    <w:rsid w:val="002D10FC"/>
    <w:rsid w:val="002D6108"/>
    <w:rsid w:val="002F1125"/>
    <w:rsid w:val="002F26BA"/>
    <w:rsid w:val="003001BA"/>
    <w:rsid w:val="0032181E"/>
    <w:rsid w:val="00334674"/>
    <w:rsid w:val="00341403"/>
    <w:rsid w:val="00360039"/>
    <w:rsid w:val="0036503A"/>
    <w:rsid w:val="00372F74"/>
    <w:rsid w:val="003768E5"/>
    <w:rsid w:val="003819BA"/>
    <w:rsid w:val="003842FC"/>
    <w:rsid w:val="00386392"/>
    <w:rsid w:val="00393029"/>
    <w:rsid w:val="00395487"/>
    <w:rsid w:val="003A1274"/>
    <w:rsid w:val="003B74B8"/>
    <w:rsid w:val="003C4261"/>
    <w:rsid w:val="003E7594"/>
    <w:rsid w:val="003F4329"/>
    <w:rsid w:val="00401AF1"/>
    <w:rsid w:val="00404734"/>
    <w:rsid w:val="00415390"/>
    <w:rsid w:val="00421DC1"/>
    <w:rsid w:val="004409A7"/>
    <w:rsid w:val="004521D2"/>
    <w:rsid w:val="004529D0"/>
    <w:rsid w:val="00462967"/>
    <w:rsid w:val="004644C2"/>
    <w:rsid w:val="0049624C"/>
    <w:rsid w:val="004B4451"/>
    <w:rsid w:val="004D0309"/>
    <w:rsid w:val="004F39C9"/>
    <w:rsid w:val="004F5B46"/>
    <w:rsid w:val="00523E4C"/>
    <w:rsid w:val="005268FB"/>
    <w:rsid w:val="00530B24"/>
    <w:rsid w:val="00534681"/>
    <w:rsid w:val="0053472E"/>
    <w:rsid w:val="00541C1F"/>
    <w:rsid w:val="005430AD"/>
    <w:rsid w:val="00584A88"/>
    <w:rsid w:val="00587489"/>
    <w:rsid w:val="005A36B8"/>
    <w:rsid w:val="005B25AE"/>
    <w:rsid w:val="005C4FB3"/>
    <w:rsid w:val="005C50AF"/>
    <w:rsid w:val="005D20FA"/>
    <w:rsid w:val="005E052A"/>
    <w:rsid w:val="005F7B3C"/>
    <w:rsid w:val="00610955"/>
    <w:rsid w:val="006209F0"/>
    <w:rsid w:val="00621BE3"/>
    <w:rsid w:val="00660370"/>
    <w:rsid w:val="00660CB5"/>
    <w:rsid w:val="006913EA"/>
    <w:rsid w:val="00692A1A"/>
    <w:rsid w:val="006A1DE3"/>
    <w:rsid w:val="006A6DAD"/>
    <w:rsid w:val="006B75A0"/>
    <w:rsid w:val="006C15A9"/>
    <w:rsid w:val="006C2038"/>
    <w:rsid w:val="006E2A11"/>
    <w:rsid w:val="006F02BF"/>
    <w:rsid w:val="00714E40"/>
    <w:rsid w:val="00717D88"/>
    <w:rsid w:val="00745039"/>
    <w:rsid w:val="00751800"/>
    <w:rsid w:val="00766799"/>
    <w:rsid w:val="00781AB7"/>
    <w:rsid w:val="00785A5C"/>
    <w:rsid w:val="007942D3"/>
    <w:rsid w:val="007B6C09"/>
    <w:rsid w:val="007B7EDB"/>
    <w:rsid w:val="007C3B23"/>
    <w:rsid w:val="007E09DA"/>
    <w:rsid w:val="007F0719"/>
    <w:rsid w:val="0081195A"/>
    <w:rsid w:val="008178B6"/>
    <w:rsid w:val="00827FC7"/>
    <w:rsid w:val="0085428A"/>
    <w:rsid w:val="008707A9"/>
    <w:rsid w:val="008720C2"/>
    <w:rsid w:val="0088375F"/>
    <w:rsid w:val="008A5F16"/>
    <w:rsid w:val="008C00DF"/>
    <w:rsid w:val="008C52BD"/>
    <w:rsid w:val="008D6A02"/>
    <w:rsid w:val="0090161B"/>
    <w:rsid w:val="00902894"/>
    <w:rsid w:val="00910961"/>
    <w:rsid w:val="00911742"/>
    <w:rsid w:val="009505C9"/>
    <w:rsid w:val="00952A0F"/>
    <w:rsid w:val="00952F27"/>
    <w:rsid w:val="00973926"/>
    <w:rsid w:val="00975A5D"/>
    <w:rsid w:val="009802CE"/>
    <w:rsid w:val="00992F67"/>
    <w:rsid w:val="009B56FD"/>
    <w:rsid w:val="009D662F"/>
    <w:rsid w:val="009E1635"/>
    <w:rsid w:val="009E2075"/>
    <w:rsid w:val="009F65D9"/>
    <w:rsid w:val="00A11B01"/>
    <w:rsid w:val="00A1521A"/>
    <w:rsid w:val="00A15B53"/>
    <w:rsid w:val="00A17437"/>
    <w:rsid w:val="00A25E86"/>
    <w:rsid w:val="00A32C8F"/>
    <w:rsid w:val="00A352AF"/>
    <w:rsid w:val="00A53F6B"/>
    <w:rsid w:val="00A7078E"/>
    <w:rsid w:val="00A7435F"/>
    <w:rsid w:val="00AA525E"/>
    <w:rsid w:val="00AC0A8F"/>
    <w:rsid w:val="00AD3AFD"/>
    <w:rsid w:val="00AD4EC2"/>
    <w:rsid w:val="00B0326A"/>
    <w:rsid w:val="00B21237"/>
    <w:rsid w:val="00B2513F"/>
    <w:rsid w:val="00B3369F"/>
    <w:rsid w:val="00B3778F"/>
    <w:rsid w:val="00B47E13"/>
    <w:rsid w:val="00B80657"/>
    <w:rsid w:val="00B90DD5"/>
    <w:rsid w:val="00BA0BBA"/>
    <w:rsid w:val="00BB219E"/>
    <w:rsid w:val="00BB5533"/>
    <w:rsid w:val="00BD2EC3"/>
    <w:rsid w:val="00BE01CC"/>
    <w:rsid w:val="00C20047"/>
    <w:rsid w:val="00C254BA"/>
    <w:rsid w:val="00C40DD5"/>
    <w:rsid w:val="00C64379"/>
    <w:rsid w:val="00C83552"/>
    <w:rsid w:val="00C85B3F"/>
    <w:rsid w:val="00C9161D"/>
    <w:rsid w:val="00C97673"/>
    <w:rsid w:val="00CA69C8"/>
    <w:rsid w:val="00CA7B0D"/>
    <w:rsid w:val="00CB7C2C"/>
    <w:rsid w:val="00CC15F1"/>
    <w:rsid w:val="00CF1848"/>
    <w:rsid w:val="00D0790F"/>
    <w:rsid w:val="00D25F6A"/>
    <w:rsid w:val="00D4601B"/>
    <w:rsid w:val="00D46349"/>
    <w:rsid w:val="00D623E5"/>
    <w:rsid w:val="00D669A5"/>
    <w:rsid w:val="00D76A18"/>
    <w:rsid w:val="00DA70B9"/>
    <w:rsid w:val="00DD118C"/>
    <w:rsid w:val="00DE6043"/>
    <w:rsid w:val="00DE7E9F"/>
    <w:rsid w:val="00DF1E5F"/>
    <w:rsid w:val="00DF6EFD"/>
    <w:rsid w:val="00E172F1"/>
    <w:rsid w:val="00E50D01"/>
    <w:rsid w:val="00E636CF"/>
    <w:rsid w:val="00E66235"/>
    <w:rsid w:val="00E719BC"/>
    <w:rsid w:val="00E77ED7"/>
    <w:rsid w:val="00E83C24"/>
    <w:rsid w:val="00EB29DB"/>
    <w:rsid w:val="00ED20DB"/>
    <w:rsid w:val="00EE1719"/>
    <w:rsid w:val="00EF6419"/>
    <w:rsid w:val="00F00A9E"/>
    <w:rsid w:val="00F15D34"/>
    <w:rsid w:val="00F1794F"/>
    <w:rsid w:val="00F2157C"/>
    <w:rsid w:val="00F343FB"/>
    <w:rsid w:val="00F43E3C"/>
    <w:rsid w:val="00F61693"/>
    <w:rsid w:val="00F738A2"/>
    <w:rsid w:val="00F83862"/>
    <w:rsid w:val="00F91D46"/>
    <w:rsid w:val="00F94774"/>
    <w:rsid w:val="00FB23D2"/>
    <w:rsid w:val="00FC53DB"/>
    <w:rsid w:val="00FC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8A49A6"/>
  <w15:docId w15:val="{58B85289-5756-5046-AC88-B861FF0B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Prrafodelista">
    <w:name w:val="List Paragraph"/>
    <w:basedOn w:val="Normal"/>
    <w:uiPriority w:val="34"/>
    <w:qFormat/>
    <w:rsid w:val="00B3778F"/>
    <w:pPr>
      <w:ind w:left="720"/>
      <w:contextualSpacing/>
    </w:pPr>
  </w:style>
  <w:style w:type="paragraph" w:styleId="Asuntodelcomentario">
    <w:name w:val="annotation subject"/>
    <w:basedOn w:val="Textocomentario"/>
    <w:next w:val="Textocomentario"/>
    <w:link w:val="AsuntodelcomentarioCar"/>
    <w:uiPriority w:val="99"/>
    <w:semiHidden/>
    <w:unhideWhenUsed/>
    <w:rsid w:val="00C40DD5"/>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C40DD5"/>
    <w:rPr>
      <w:rFonts w:ascii="Times New Roman" w:eastAsia="Times New Roman" w:hAnsi="Times New Roman" w:cs="Times New Roman"/>
      <w:b/>
      <w:bCs/>
      <w:sz w:val="20"/>
      <w:szCs w:val="20"/>
      <w:lang w:val="es-ES"/>
    </w:rPr>
  </w:style>
  <w:style w:type="character" w:customStyle="1" w:styleId="apple-converted-space">
    <w:name w:val="apple-converted-space"/>
    <w:basedOn w:val="Fuentedeprrafopredeter"/>
    <w:rsid w:val="0023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5FA8"/>
    <w:rsid w:val="0004371D"/>
    <w:rsid w:val="000C44F5"/>
    <w:rsid w:val="0018788D"/>
    <w:rsid w:val="00204ED8"/>
    <w:rsid w:val="00293EF7"/>
    <w:rsid w:val="00334D4E"/>
    <w:rsid w:val="004F086B"/>
    <w:rsid w:val="00500A2B"/>
    <w:rsid w:val="0058288D"/>
    <w:rsid w:val="00590CF3"/>
    <w:rsid w:val="005E1DAB"/>
    <w:rsid w:val="0061507A"/>
    <w:rsid w:val="006801B3"/>
    <w:rsid w:val="007743E0"/>
    <w:rsid w:val="007C4396"/>
    <w:rsid w:val="00810A55"/>
    <w:rsid w:val="008350F9"/>
    <w:rsid w:val="00840476"/>
    <w:rsid w:val="008C6619"/>
    <w:rsid w:val="008D420E"/>
    <w:rsid w:val="00944794"/>
    <w:rsid w:val="0098642F"/>
    <w:rsid w:val="00C9570A"/>
    <w:rsid w:val="00CD0B52"/>
    <w:rsid w:val="00D10070"/>
    <w:rsid w:val="00D43F44"/>
    <w:rsid w:val="00DC5AE1"/>
    <w:rsid w:val="00E75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7C4396"/>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FD29F-A538-45BD-BA80-87E85B11EC06}">
  <ds:schemaRefs>
    <ds:schemaRef ds:uri="http://schemas.openxmlformats.org/officeDocument/2006/bibliography"/>
  </ds:schemaRefs>
</ds:datastoreItem>
</file>

<file path=customXml/itemProps4.xml><?xml version="1.0" encoding="utf-8"?>
<ds:datastoreItem xmlns:ds="http://schemas.openxmlformats.org/officeDocument/2006/customXml" ds:itemID="{702B8975-8984-4405-AA1D-8DA4D37FC4C2}">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C14649-4B9D-4417-B7FD-B496CDD69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SCBD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CBD/CP/MOP/10/1/Rev.1</dc:subject>
  <dc:creator>SCBD</dc:creator>
  <cp:keywords>Conference of the Parties serving as the meeting of the Parties to the Cartagena Protocol on Biosafety, tenth meeting</cp:keywords>
  <dc:description/>
  <cp:lastModifiedBy>Maria Troitino</cp:lastModifiedBy>
  <cp:revision>3</cp:revision>
  <cp:lastPrinted>2019-03-11T13:24:00Z</cp:lastPrinted>
  <dcterms:created xsi:type="dcterms:W3CDTF">2021-08-19T22:18:00Z</dcterms:created>
  <dcterms:modified xsi:type="dcterms:W3CDTF">2021-08-19T23:10:00Z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