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8908DC" w14:textId="178BFCDE" w:rsidR="0036082E" w:rsidRPr="00F057A7" w:rsidRDefault="0036082E" w:rsidP="0036082E">
      <w:pPr>
        <w:jc w:val="center"/>
        <w:rPr>
          <w:rFonts w:asciiTheme="majorBidi" w:hAnsiTheme="majorBidi" w:cstheme="majorBidi"/>
          <w:b/>
          <w:bCs/>
          <w:sz w:val="22"/>
          <w:szCs w:val="22"/>
          <w:u w:val="single"/>
        </w:rPr>
      </w:pPr>
      <w:r w:rsidRPr="00F057A7">
        <w:rPr>
          <w:rFonts w:asciiTheme="majorBidi" w:hAnsiTheme="majorBidi" w:cstheme="majorBidi"/>
          <w:b/>
          <w:bCs/>
          <w:sz w:val="22"/>
          <w:szCs w:val="22"/>
          <w:u w:val="single"/>
        </w:rPr>
        <w:t>Cluster 1</w:t>
      </w:r>
    </w:p>
    <w:p w14:paraId="1C58675B" w14:textId="0A52931A" w:rsidR="0036082E" w:rsidRPr="00F057A7" w:rsidRDefault="0036082E" w:rsidP="0036082E">
      <w:pPr>
        <w:jc w:val="center"/>
        <w:rPr>
          <w:rFonts w:asciiTheme="majorBidi" w:hAnsiTheme="majorBidi" w:cstheme="majorBidi"/>
          <w:b/>
          <w:bCs/>
          <w:sz w:val="22"/>
          <w:szCs w:val="22"/>
        </w:rPr>
      </w:pPr>
      <w:r w:rsidRPr="00F057A7">
        <w:rPr>
          <w:rFonts w:asciiTheme="majorBidi" w:hAnsiTheme="majorBidi" w:cstheme="majorBidi"/>
          <w:b/>
          <w:bCs/>
          <w:sz w:val="22"/>
          <w:szCs w:val="22"/>
        </w:rPr>
        <w:t>Closing the biodiversity finance gap by tapping all sources and instruments</w:t>
      </w:r>
    </w:p>
    <w:p w14:paraId="330E4F94" w14:textId="470FBC8D" w:rsidR="00426723" w:rsidRPr="00F057A7" w:rsidRDefault="0036082E" w:rsidP="00426723">
      <w:pPr>
        <w:jc w:val="center"/>
        <w:rPr>
          <w:rFonts w:asciiTheme="majorBidi" w:hAnsiTheme="majorBidi" w:cstheme="majorBidi"/>
          <w:i/>
          <w:iCs/>
          <w:sz w:val="22"/>
          <w:szCs w:val="22"/>
        </w:rPr>
      </w:pPr>
      <w:r w:rsidRPr="00F057A7">
        <w:rPr>
          <w:rFonts w:asciiTheme="majorBidi" w:hAnsiTheme="majorBidi" w:cstheme="majorBidi"/>
          <w:i/>
          <w:iCs/>
          <w:sz w:val="22"/>
          <w:szCs w:val="22"/>
        </w:rPr>
        <w:t>Possible elements for discussion in the intersessional process if option 1 is considered, either individually or jointly with another option</w:t>
      </w:r>
    </w:p>
    <w:p w14:paraId="4CB48287" w14:textId="67C96A72" w:rsidR="00426723" w:rsidRPr="00F057A7" w:rsidRDefault="00426723" w:rsidP="00426723">
      <w:pPr>
        <w:jc w:val="both"/>
        <w:rPr>
          <w:rFonts w:asciiTheme="majorBidi" w:hAnsiTheme="majorBidi" w:cstheme="majorBidi"/>
          <w:sz w:val="22"/>
          <w:szCs w:val="22"/>
          <w:lang w:val="en-GB"/>
        </w:rPr>
      </w:pPr>
      <w:r w:rsidRPr="00F057A7">
        <w:rPr>
          <w:rFonts w:asciiTheme="majorBidi" w:hAnsiTheme="majorBidi" w:cstheme="majorBidi"/>
          <w:sz w:val="22"/>
          <w:szCs w:val="22"/>
        </w:rPr>
        <w:t xml:space="preserve">The process </w:t>
      </w:r>
      <w:r w:rsidR="000858D8" w:rsidRPr="00F057A7">
        <w:rPr>
          <w:rFonts w:asciiTheme="majorBidi" w:hAnsiTheme="majorBidi" w:cstheme="majorBidi"/>
          <w:sz w:val="22"/>
          <w:szCs w:val="22"/>
        </w:rPr>
        <w:t>may</w:t>
      </w:r>
      <w:r w:rsidRPr="00F057A7">
        <w:rPr>
          <w:rFonts w:asciiTheme="majorBidi" w:hAnsiTheme="majorBidi" w:cstheme="majorBidi"/>
          <w:sz w:val="22"/>
          <w:szCs w:val="22"/>
        </w:rPr>
        <w:t xml:space="preserve"> </w:t>
      </w:r>
      <w:r w:rsidRPr="00F057A7">
        <w:rPr>
          <w:rFonts w:asciiTheme="majorBidi" w:hAnsiTheme="majorBidi" w:cstheme="majorBidi"/>
          <w:sz w:val="22"/>
          <w:szCs w:val="22"/>
          <w:lang w:val="en-GB"/>
        </w:rPr>
        <w:t>be informed by the work of the ACRM, further reassessments of the funding landscape by relevant organi</w:t>
      </w:r>
      <w:r w:rsidR="008F6EEF">
        <w:rPr>
          <w:rFonts w:asciiTheme="majorBidi" w:hAnsiTheme="majorBidi" w:cstheme="majorBidi"/>
          <w:sz w:val="22"/>
          <w:szCs w:val="22"/>
          <w:lang w:val="en-GB"/>
        </w:rPr>
        <w:t>z</w:t>
      </w:r>
      <w:r w:rsidRPr="00F057A7">
        <w:rPr>
          <w:rFonts w:asciiTheme="majorBidi" w:hAnsiTheme="majorBidi" w:cstheme="majorBidi"/>
          <w:sz w:val="22"/>
          <w:szCs w:val="22"/>
          <w:lang w:val="en-GB"/>
        </w:rPr>
        <w:t xml:space="preserve">ations, the revised NBSAPs and domestic targets for the implementation of the GBF, available NBFP as well as national reports submitted by Parties, the information gathered through the monitoring framework for the KMGBF as well as the studies referred to in paragraph </w:t>
      </w:r>
      <w:r w:rsidR="000858D8" w:rsidRPr="00F057A7">
        <w:rPr>
          <w:rFonts w:asciiTheme="majorBidi" w:hAnsiTheme="majorBidi" w:cstheme="majorBidi"/>
          <w:sz w:val="22"/>
          <w:szCs w:val="22"/>
          <w:lang w:val="en-GB"/>
        </w:rPr>
        <w:t>XX</w:t>
      </w:r>
      <w:r w:rsidRPr="00F057A7">
        <w:rPr>
          <w:rFonts w:asciiTheme="majorBidi" w:hAnsiTheme="majorBidi" w:cstheme="majorBidi"/>
          <w:sz w:val="22"/>
          <w:szCs w:val="22"/>
          <w:lang w:val="en-GB"/>
        </w:rPr>
        <w:t xml:space="preserve"> </w:t>
      </w:r>
      <w:r w:rsidR="000858D8" w:rsidRPr="00F057A7">
        <w:rPr>
          <w:rFonts w:asciiTheme="majorBidi" w:hAnsiTheme="majorBidi" w:cstheme="majorBidi"/>
          <w:sz w:val="22"/>
          <w:szCs w:val="22"/>
          <w:lang w:val="en-GB"/>
        </w:rPr>
        <w:t xml:space="preserve">of the decision </w:t>
      </w:r>
      <w:r w:rsidRPr="00F057A7">
        <w:rPr>
          <w:rFonts w:asciiTheme="majorBidi" w:hAnsiTheme="majorBidi" w:cstheme="majorBidi"/>
          <w:sz w:val="22"/>
          <w:szCs w:val="22"/>
          <w:lang w:val="en-GB"/>
        </w:rPr>
        <w:t xml:space="preserve">and </w:t>
      </w:r>
      <w:r w:rsidR="000858D8" w:rsidRPr="00F057A7">
        <w:rPr>
          <w:rFonts w:asciiTheme="majorBidi" w:hAnsiTheme="majorBidi" w:cstheme="majorBidi"/>
          <w:sz w:val="22"/>
          <w:szCs w:val="22"/>
          <w:lang w:val="en-GB"/>
        </w:rPr>
        <w:t>it may</w:t>
      </w:r>
      <w:r w:rsidRPr="00F057A7">
        <w:rPr>
          <w:rFonts w:asciiTheme="majorBidi" w:hAnsiTheme="majorBidi" w:cstheme="majorBidi"/>
          <w:sz w:val="22"/>
          <w:szCs w:val="22"/>
          <w:lang w:val="en-GB"/>
        </w:rPr>
        <w:t xml:space="preserve"> </w:t>
      </w:r>
      <w:r w:rsidR="000858D8" w:rsidRPr="00F057A7">
        <w:rPr>
          <w:rFonts w:asciiTheme="majorBidi" w:hAnsiTheme="majorBidi" w:cstheme="majorBidi"/>
          <w:sz w:val="22"/>
          <w:szCs w:val="22"/>
          <w:lang w:val="en-GB"/>
        </w:rPr>
        <w:t xml:space="preserve">further </w:t>
      </w:r>
      <w:r w:rsidRPr="00F057A7">
        <w:rPr>
          <w:rFonts w:asciiTheme="majorBidi" w:hAnsiTheme="majorBidi" w:cstheme="majorBidi"/>
          <w:sz w:val="22"/>
          <w:szCs w:val="22"/>
          <w:lang w:val="en-GB"/>
        </w:rPr>
        <w:t>discuss, inter alia</w:t>
      </w:r>
      <w:r w:rsidR="000858D8" w:rsidRPr="00F057A7">
        <w:rPr>
          <w:rFonts w:asciiTheme="majorBidi" w:hAnsiTheme="majorBidi" w:cstheme="majorBidi"/>
          <w:sz w:val="22"/>
          <w:szCs w:val="22"/>
          <w:lang w:val="en-GB"/>
        </w:rPr>
        <w:t>,</w:t>
      </w:r>
      <w:r w:rsidRPr="00F057A7">
        <w:rPr>
          <w:rFonts w:asciiTheme="majorBidi" w:hAnsiTheme="majorBidi" w:cstheme="majorBidi"/>
          <w:sz w:val="22"/>
          <w:szCs w:val="22"/>
          <w:lang w:val="en-GB"/>
        </w:rPr>
        <w:t xml:space="preserve"> the following items: </w:t>
      </w:r>
    </w:p>
    <w:p w14:paraId="5DFA8E39" w14:textId="55B544EF" w:rsidR="00E8014A" w:rsidRPr="00F057A7" w:rsidRDefault="000858D8" w:rsidP="00E8014A">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M</w:t>
      </w:r>
      <w:r w:rsidR="00F40B0F" w:rsidRPr="00F057A7">
        <w:rPr>
          <w:rFonts w:asciiTheme="majorBidi" w:hAnsiTheme="majorBidi" w:cstheme="majorBidi"/>
          <w:sz w:val="22"/>
          <w:szCs w:val="22"/>
          <w:lang w:val="en-GB"/>
        </w:rPr>
        <w:t>onitor</w:t>
      </w:r>
      <w:r w:rsidRPr="00F057A7">
        <w:rPr>
          <w:rFonts w:asciiTheme="majorBidi" w:hAnsiTheme="majorBidi" w:cstheme="majorBidi"/>
          <w:sz w:val="22"/>
          <w:szCs w:val="22"/>
          <w:lang w:val="en-GB"/>
        </w:rPr>
        <w:t>ing and reporting of resource mobilization-related aspects of the GBF</w:t>
      </w:r>
      <w:r w:rsidR="00F40B0F" w:rsidRPr="00F057A7">
        <w:rPr>
          <w:rFonts w:asciiTheme="majorBidi" w:hAnsiTheme="majorBidi" w:cstheme="majorBidi"/>
          <w:sz w:val="22"/>
          <w:szCs w:val="22"/>
          <w:lang w:val="en-GB"/>
        </w:rPr>
        <w:t>;</w:t>
      </w:r>
    </w:p>
    <w:p w14:paraId="322974F0" w14:textId="37EBB874"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Cooperation and synergies among the existing biodiversity finance initiatives;</w:t>
      </w:r>
    </w:p>
    <w:p w14:paraId="63C68463" w14:textId="3C06AB4C"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Domestic public expenditure;</w:t>
      </w:r>
    </w:p>
    <w:p w14:paraId="453CDDB4" w14:textId="66E65062" w:rsidR="00426723" w:rsidRPr="00F057A7" w:rsidRDefault="00426723"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Relationship between biodiversity and climate finance</w:t>
      </w:r>
      <w:r w:rsidR="00F40B0F" w:rsidRPr="00F057A7">
        <w:rPr>
          <w:rFonts w:asciiTheme="majorBidi" w:hAnsiTheme="majorBidi" w:cstheme="majorBidi"/>
          <w:sz w:val="22"/>
          <w:szCs w:val="22"/>
          <w:lang w:val="en-GB"/>
        </w:rPr>
        <w:t>;</w:t>
      </w:r>
    </w:p>
    <w:p w14:paraId="0453765C" w14:textId="2CA6AE46" w:rsidR="00426723" w:rsidRPr="00F057A7" w:rsidRDefault="00426723"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Alignment of financial flows with the KMGBF</w:t>
      </w:r>
      <w:r w:rsidR="00F40B0F" w:rsidRPr="00F057A7">
        <w:rPr>
          <w:rFonts w:asciiTheme="majorBidi" w:hAnsiTheme="majorBidi" w:cstheme="majorBidi"/>
          <w:sz w:val="22"/>
          <w:szCs w:val="22"/>
          <w:lang w:val="en-GB"/>
        </w:rPr>
        <w:t>;</w:t>
      </w:r>
    </w:p>
    <w:p w14:paraId="247F434B" w14:textId="3FC66871"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Reform of the international financial architecture</w:t>
      </w:r>
      <w:r w:rsidR="001A5287" w:rsidRPr="00F057A7">
        <w:rPr>
          <w:rFonts w:asciiTheme="majorBidi" w:hAnsiTheme="majorBidi" w:cstheme="majorBidi"/>
          <w:sz w:val="22"/>
          <w:szCs w:val="22"/>
          <w:lang w:val="en-GB"/>
        </w:rPr>
        <w:t xml:space="preserve"> to increase the mobilization of resources for biodiversity</w:t>
      </w:r>
      <w:r w:rsidRPr="00F057A7">
        <w:rPr>
          <w:rFonts w:asciiTheme="majorBidi" w:hAnsiTheme="majorBidi" w:cstheme="majorBidi"/>
          <w:sz w:val="22"/>
          <w:szCs w:val="22"/>
          <w:lang w:val="en-GB"/>
        </w:rPr>
        <w:t>;</w:t>
      </w:r>
    </w:p>
    <w:p w14:paraId="1C96E33A" w14:textId="54B17133"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Innovative financing mechanisms;</w:t>
      </w:r>
    </w:p>
    <w:p w14:paraId="16AF105E" w14:textId="36509B2D" w:rsidR="00426723"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Sovereign debt and fiscal space;</w:t>
      </w:r>
    </w:p>
    <w:p w14:paraId="59190AC3" w14:textId="10F26EE9"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Special Drawing Rights;</w:t>
      </w:r>
    </w:p>
    <w:p w14:paraId="2CBA8BB7" w14:textId="4D5DEB88"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Tax regimes and tax avoidance;</w:t>
      </w:r>
    </w:p>
    <w:p w14:paraId="25BF739F" w14:textId="605B4B8F"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Identification, elimination, phasing out or reform of incentives, including subsidies, harmful to biodiversity;</w:t>
      </w:r>
    </w:p>
    <w:p w14:paraId="1552D4EE" w14:textId="2F604082"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Scale up of positive incentives for the conservation and sustainable use of biodiversity;</w:t>
      </w:r>
    </w:p>
    <w:p w14:paraId="44415EB8" w14:textId="58D6540C"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The role of the private sector;</w:t>
      </w:r>
    </w:p>
    <w:p w14:paraId="1652C7B8" w14:textId="6CB0E1E1"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The role of philanthropy;</w:t>
      </w:r>
    </w:p>
    <w:p w14:paraId="541847D6" w14:textId="31632BFF"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Biodiversity metrics, including resources and technical capacity for its implementation;</w:t>
      </w:r>
    </w:p>
    <w:p w14:paraId="0D6D9449" w14:textId="3FDE7A21" w:rsidR="00F40B0F"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Biodiversity-related economic taxonomies;</w:t>
      </w:r>
    </w:p>
    <w:p w14:paraId="6CEB1E07" w14:textId="447924E4" w:rsidR="0036082E" w:rsidRPr="00F057A7" w:rsidRDefault="00F40B0F" w:rsidP="000858D8">
      <w:pPr>
        <w:pStyle w:val="ListParagraph"/>
        <w:numPr>
          <w:ilvl w:val="0"/>
          <w:numId w:val="12"/>
        </w:numPr>
        <w:jc w:val="both"/>
        <w:rPr>
          <w:rFonts w:asciiTheme="majorBidi" w:hAnsiTheme="majorBidi" w:cstheme="majorBidi"/>
          <w:sz w:val="22"/>
          <w:szCs w:val="22"/>
          <w:lang w:val="en-GB"/>
        </w:rPr>
      </w:pPr>
      <w:r w:rsidRPr="00F057A7">
        <w:rPr>
          <w:rFonts w:asciiTheme="majorBidi" w:hAnsiTheme="majorBidi" w:cstheme="majorBidi"/>
          <w:sz w:val="22"/>
          <w:szCs w:val="22"/>
          <w:lang w:val="en-GB"/>
        </w:rPr>
        <w:t>Collective actions, including by indigenous peoples and local communities, Mother Earth centric actions and non-market-based approaches.</w:t>
      </w:r>
    </w:p>
    <w:p w14:paraId="246C0952" w14:textId="77777777" w:rsidR="00E8014A" w:rsidRPr="00F057A7" w:rsidRDefault="00E8014A" w:rsidP="00E8014A">
      <w:pPr>
        <w:pStyle w:val="ListParagraph"/>
        <w:jc w:val="both"/>
        <w:rPr>
          <w:rFonts w:asciiTheme="majorBidi" w:hAnsiTheme="majorBidi" w:cstheme="majorBidi"/>
          <w:sz w:val="22"/>
          <w:szCs w:val="22"/>
          <w:lang w:val="en-GB"/>
        </w:rPr>
      </w:pPr>
    </w:p>
    <w:p w14:paraId="40541135" w14:textId="77777777" w:rsidR="00E8014A" w:rsidRPr="00F057A7" w:rsidRDefault="00E8014A" w:rsidP="00E8014A">
      <w:pPr>
        <w:pStyle w:val="ListParagraph"/>
        <w:jc w:val="both"/>
        <w:rPr>
          <w:rFonts w:asciiTheme="majorBidi" w:hAnsiTheme="majorBidi" w:cstheme="majorBidi"/>
          <w:sz w:val="22"/>
          <w:szCs w:val="22"/>
          <w:lang w:val="en-GB"/>
        </w:rPr>
      </w:pPr>
    </w:p>
    <w:p w14:paraId="4B458BC2" w14:textId="77777777" w:rsidR="00E8014A" w:rsidRPr="00F057A7" w:rsidRDefault="00E8014A" w:rsidP="00E8014A">
      <w:pPr>
        <w:pStyle w:val="ListParagraph"/>
        <w:jc w:val="both"/>
        <w:rPr>
          <w:rFonts w:asciiTheme="majorBidi" w:hAnsiTheme="majorBidi" w:cstheme="majorBidi"/>
          <w:sz w:val="22"/>
          <w:szCs w:val="22"/>
          <w:lang w:val="en-GB"/>
        </w:rPr>
      </w:pPr>
    </w:p>
    <w:p w14:paraId="59AE876C" w14:textId="77777777" w:rsidR="00E8014A" w:rsidRPr="00F057A7" w:rsidRDefault="00E8014A" w:rsidP="00E8014A">
      <w:pPr>
        <w:pStyle w:val="ListParagraph"/>
        <w:jc w:val="both"/>
        <w:rPr>
          <w:rFonts w:asciiTheme="majorBidi" w:hAnsiTheme="majorBidi" w:cstheme="majorBidi"/>
          <w:sz w:val="22"/>
          <w:szCs w:val="22"/>
          <w:lang w:val="en-GB"/>
        </w:rPr>
      </w:pPr>
    </w:p>
    <w:p w14:paraId="434B500E" w14:textId="77777777" w:rsidR="00E8014A" w:rsidRPr="00F057A7" w:rsidRDefault="00E8014A" w:rsidP="00E8014A">
      <w:pPr>
        <w:pStyle w:val="ListParagraph"/>
        <w:jc w:val="both"/>
        <w:rPr>
          <w:rFonts w:asciiTheme="majorBidi" w:hAnsiTheme="majorBidi" w:cstheme="majorBidi"/>
          <w:sz w:val="22"/>
          <w:szCs w:val="22"/>
          <w:lang w:val="en-GB"/>
        </w:rPr>
      </w:pPr>
    </w:p>
    <w:p w14:paraId="67C2D98E" w14:textId="77777777" w:rsidR="00E8014A" w:rsidRPr="00F057A7" w:rsidRDefault="00E8014A" w:rsidP="00E8014A">
      <w:pPr>
        <w:jc w:val="both"/>
        <w:rPr>
          <w:rFonts w:asciiTheme="majorBidi" w:hAnsiTheme="majorBidi" w:cstheme="majorBidi"/>
          <w:sz w:val="22"/>
          <w:szCs w:val="22"/>
          <w:lang w:val="en-GB"/>
        </w:rPr>
      </w:pPr>
    </w:p>
    <w:p w14:paraId="30751AA5" w14:textId="77777777" w:rsidR="00E8014A" w:rsidRPr="00F057A7" w:rsidRDefault="00E8014A" w:rsidP="0036082E">
      <w:pPr>
        <w:jc w:val="center"/>
        <w:rPr>
          <w:rFonts w:asciiTheme="majorBidi" w:hAnsiTheme="majorBidi" w:cstheme="majorBidi"/>
          <w:b/>
          <w:bCs/>
          <w:sz w:val="22"/>
          <w:szCs w:val="22"/>
          <w:u w:val="single"/>
        </w:rPr>
      </w:pPr>
    </w:p>
    <w:p w14:paraId="7799D0D0" w14:textId="77777777" w:rsidR="00157E83" w:rsidRDefault="00157E83" w:rsidP="0036082E">
      <w:pPr>
        <w:jc w:val="center"/>
        <w:rPr>
          <w:rFonts w:asciiTheme="majorBidi" w:hAnsiTheme="majorBidi" w:cstheme="majorBidi"/>
          <w:b/>
          <w:bCs/>
          <w:sz w:val="22"/>
          <w:szCs w:val="22"/>
          <w:u w:val="single"/>
        </w:rPr>
        <w:sectPr w:rsidR="00157E83">
          <w:headerReference w:type="default" r:id="rId7"/>
          <w:pgSz w:w="12240" w:h="15840"/>
          <w:pgMar w:top="1440" w:right="1440" w:bottom="1440" w:left="1440" w:header="720" w:footer="720" w:gutter="0"/>
          <w:cols w:space="720"/>
          <w:docGrid w:linePitch="360"/>
        </w:sectPr>
      </w:pPr>
    </w:p>
    <w:p w14:paraId="29C723D6" w14:textId="5C2271D0" w:rsidR="0036082E" w:rsidRPr="00F057A7" w:rsidRDefault="0036082E" w:rsidP="0036082E">
      <w:pPr>
        <w:jc w:val="center"/>
        <w:rPr>
          <w:rFonts w:asciiTheme="majorBidi" w:hAnsiTheme="majorBidi" w:cstheme="majorBidi"/>
          <w:b/>
          <w:bCs/>
          <w:sz w:val="22"/>
          <w:szCs w:val="22"/>
          <w:u w:val="single"/>
        </w:rPr>
      </w:pPr>
      <w:r w:rsidRPr="00F057A7">
        <w:rPr>
          <w:rFonts w:asciiTheme="majorBidi" w:hAnsiTheme="majorBidi" w:cstheme="majorBidi"/>
          <w:b/>
          <w:bCs/>
          <w:sz w:val="22"/>
          <w:szCs w:val="22"/>
          <w:u w:val="single"/>
        </w:rPr>
        <w:lastRenderedPageBreak/>
        <w:t>Cluster 2</w:t>
      </w:r>
    </w:p>
    <w:p w14:paraId="506D00D6" w14:textId="0D016580" w:rsidR="00426723" w:rsidRPr="00F057A7" w:rsidRDefault="00426723" w:rsidP="00426723">
      <w:pPr>
        <w:jc w:val="center"/>
        <w:rPr>
          <w:rFonts w:asciiTheme="majorBidi" w:hAnsiTheme="majorBidi" w:cstheme="majorBidi"/>
          <w:b/>
          <w:bCs/>
          <w:sz w:val="22"/>
          <w:szCs w:val="22"/>
        </w:rPr>
      </w:pPr>
      <w:r w:rsidRPr="00F057A7">
        <w:rPr>
          <w:rFonts w:asciiTheme="majorBidi" w:hAnsiTheme="majorBidi" w:cstheme="majorBidi"/>
          <w:b/>
          <w:bCs/>
          <w:sz w:val="22"/>
          <w:szCs w:val="22"/>
        </w:rPr>
        <w:t>Assessment of the financial mechanism and benchmarking against those of other relevant multilateral environmental agreements</w:t>
      </w:r>
    </w:p>
    <w:p w14:paraId="39F90603" w14:textId="5923D487" w:rsidR="00426723" w:rsidRPr="00F057A7" w:rsidRDefault="00426723" w:rsidP="00426723">
      <w:pPr>
        <w:jc w:val="center"/>
        <w:rPr>
          <w:rFonts w:asciiTheme="majorBidi" w:hAnsiTheme="majorBidi" w:cstheme="majorBidi"/>
          <w:i/>
          <w:iCs/>
          <w:sz w:val="22"/>
          <w:szCs w:val="22"/>
        </w:rPr>
      </w:pPr>
      <w:r w:rsidRPr="00F057A7">
        <w:rPr>
          <w:rFonts w:asciiTheme="majorBidi" w:hAnsiTheme="majorBidi" w:cstheme="majorBidi"/>
          <w:i/>
          <w:iCs/>
          <w:sz w:val="22"/>
          <w:szCs w:val="22"/>
        </w:rPr>
        <w:t xml:space="preserve">Possible elements for discussion in the intersessional process if </w:t>
      </w:r>
      <w:proofErr w:type="gramStart"/>
      <w:r w:rsidRPr="00F057A7">
        <w:rPr>
          <w:rFonts w:asciiTheme="majorBidi" w:hAnsiTheme="majorBidi" w:cstheme="majorBidi"/>
          <w:i/>
          <w:iCs/>
          <w:sz w:val="22"/>
          <w:szCs w:val="22"/>
        </w:rPr>
        <w:t>options</w:t>
      </w:r>
      <w:proofErr w:type="gramEnd"/>
      <w:r w:rsidRPr="00F057A7">
        <w:rPr>
          <w:rFonts w:asciiTheme="majorBidi" w:hAnsiTheme="majorBidi" w:cstheme="majorBidi"/>
          <w:i/>
          <w:iCs/>
          <w:sz w:val="22"/>
          <w:szCs w:val="22"/>
        </w:rPr>
        <w:t xml:space="preserve"> 2 is considered, either individually or jointly with another option</w:t>
      </w:r>
    </w:p>
    <w:p w14:paraId="11D27A16" w14:textId="7065BF9F" w:rsidR="00426723" w:rsidRPr="00F057A7" w:rsidRDefault="00426723" w:rsidP="000858D8">
      <w:pPr>
        <w:pStyle w:val="ListParagraph"/>
        <w:numPr>
          <w:ilvl w:val="0"/>
          <w:numId w:val="9"/>
        </w:numPr>
        <w:rPr>
          <w:rFonts w:asciiTheme="majorBidi" w:hAnsiTheme="majorBidi" w:cstheme="majorBidi"/>
          <w:sz w:val="22"/>
          <w:szCs w:val="22"/>
        </w:rPr>
      </w:pPr>
      <w:r w:rsidRPr="00F057A7">
        <w:rPr>
          <w:rFonts w:asciiTheme="majorBidi" w:hAnsiTheme="majorBidi" w:cstheme="majorBidi"/>
          <w:sz w:val="22"/>
          <w:szCs w:val="22"/>
        </w:rPr>
        <w:t xml:space="preserve">In-depth review of effectiveness of the </w:t>
      </w:r>
      <w:r w:rsidR="000858D8" w:rsidRPr="00F057A7">
        <w:rPr>
          <w:rFonts w:asciiTheme="majorBidi" w:hAnsiTheme="majorBidi" w:cstheme="majorBidi"/>
          <w:sz w:val="22"/>
          <w:szCs w:val="22"/>
        </w:rPr>
        <w:t>entity operating the financial</w:t>
      </w:r>
      <w:r w:rsidRPr="00F057A7">
        <w:rPr>
          <w:rFonts w:asciiTheme="majorBidi" w:hAnsiTheme="majorBidi" w:cstheme="majorBidi"/>
          <w:sz w:val="22"/>
          <w:szCs w:val="22"/>
        </w:rPr>
        <w:t xml:space="preserve"> mechanism</w:t>
      </w:r>
      <w:r w:rsidR="000858D8" w:rsidRPr="00F057A7">
        <w:rPr>
          <w:rFonts w:asciiTheme="majorBidi" w:hAnsiTheme="majorBidi" w:cstheme="majorBidi"/>
          <w:sz w:val="22"/>
          <w:szCs w:val="22"/>
        </w:rPr>
        <w:t xml:space="preserve"> on an interim and ongoing basis, taking into consideration the criteria referred to in Cluster 3 below;</w:t>
      </w:r>
    </w:p>
    <w:p w14:paraId="5475777D" w14:textId="0A75194C" w:rsidR="00426723" w:rsidRPr="00F057A7" w:rsidRDefault="00426723" w:rsidP="001A5287">
      <w:pPr>
        <w:pStyle w:val="ListParagraph"/>
        <w:numPr>
          <w:ilvl w:val="0"/>
          <w:numId w:val="9"/>
        </w:numPr>
        <w:rPr>
          <w:rFonts w:asciiTheme="majorBidi" w:hAnsiTheme="majorBidi" w:cstheme="majorBidi"/>
          <w:sz w:val="22"/>
          <w:szCs w:val="22"/>
        </w:rPr>
      </w:pPr>
      <w:r w:rsidRPr="00F057A7">
        <w:rPr>
          <w:rFonts w:asciiTheme="majorBidi" w:hAnsiTheme="majorBidi" w:cstheme="majorBidi"/>
          <w:sz w:val="22"/>
          <w:szCs w:val="22"/>
        </w:rPr>
        <w:t>Monitor progress with the GBFF</w:t>
      </w:r>
      <w:r w:rsidR="001A5287" w:rsidRPr="00F057A7">
        <w:rPr>
          <w:rFonts w:asciiTheme="majorBidi" w:hAnsiTheme="majorBidi" w:cstheme="majorBidi"/>
          <w:sz w:val="22"/>
          <w:szCs w:val="22"/>
        </w:rPr>
        <w:t xml:space="preserve"> and, considering its sunset clause, reflect on possible options for its continuity or for transitional arrangements</w:t>
      </w:r>
      <w:r w:rsidR="000858D8" w:rsidRPr="00F057A7">
        <w:rPr>
          <w:rFonts w:asciiTheme="majorBidi" w:hAnsiTheme="majorBidi" w:cstheme="majorBidi"/>
          <w:sz w:val="22"/>
          <w:szCs w:val="22"/>
        </w:rPr>
        <w:t>;</w:t>
      </w:r>
    </w:p>
    <w:p w14:paraId="38A10E55" w14:textId="1D240F74" w:rsidR="001A5287" w:rsidRPr="00F057A7" w:rsidRDefault="001A5287" w:rsidP="001A5287">
      <w:pPr>
        <w:pStyle w:val="ListParagraph"/>
        <w:numPr>
          <w:ilvl w:val="0"/>
          <w:numId w:val="9"/>
        </w:numPr>
        <w:rPr>
          <w:rFonts w:asciiTheme="majorBidi" w:hAnsiTheme="majorBidi" w:cstheme="majorBidi"/>
          <w:sz w:val="22"/>
          <w:szCs w:val="22"/>
        </w:rPr>
      </w:pPr>
      <w:r w:rsidRPr="00F057A7">
        <w:rPr>
          <w:rFonts w:asciiTheme="majorBidi" w:hAnsiTheme="majorBidi" w:cstheme="majorBidi"/>
          <w:sz w:val="22"/>
          <w:szCs w:val="22"/>
        </w:rPr>
        <w:t xml:space="preserve">Benchmarking of the CBD’s interim financial mechanism against those of other relevant MEAs (including, </w:t>
      </w:r>
      <w:r w:rsidRPr="00F057A7">
        <w:rPr>
          <w:rFonts w:asciiTheme="majorBidi" w:hAnsiTheme="majorBidi" w:cstheme="majorBidi"/>
          <w:i/>
          <w:iCs/>
          <w:sz w:val="22"/>
          <w:szCs w:val="22"/>
        </w:rPr>
        <w:t>inter alia</w:t>
      </w:r>
      <w:r w:rsidRPr="00F057A7">
        <w:rPr>
          <w:rFonts w:asciiTheme="majorBidi" w:hAnsiTheme="majorBidi" w:cstheme="majorBidi"/>
          <w:sz w:val="22"/>
          <w:szCs w:val="22"/>
        </w:rPr>
        <w:t xml:space="preserve">, the GCF, Adaptation Fund, and the Fund for Responding to Loss and Damage), </w:t>
      </w:r>
      <w:proofErr w:type="gramStart"/>
      <w:r w:rsidRPr="00F057A7">
        <w:rPr>
          <w:rFonts w:asciiTheme="majorBidi" w:hAnsiTheme="majorBidi" w:cstheme="majorBidi"/>
          <w:sz w:val="22"/>
          <w:szCs w:val="22"/>
        </w:rPr>
        <w:t>regarding, in particular</w:t>
      </w:r>
      <w:proofErr w:type="gramEnd"/>
      <w:r w:rsidRPr="00F057A7">
        <w:rPr>
          <w:rFonts w:asciiTheme="majorBidi" w:hAnsiTheme="majorBidi" w:cstheme="majorBidi"/>
          <w:sz w:val="22"/>
          <w:szCs w:val="22"/>
        </w:rPr>
        <w:t>:</w:t>
      </w:r>
    </w:p>
    <w:p w14:paraId="15AF957E" w14:textId="77479E3A" w:rsidR="001A5287" w:rsidRPr="00F057A7" w:rsidRDefault="001A5287" w:rsidP="001A5287">
      <w:pPr>
        <w:pStyle w:val="ListParagraph"/>
        <w:numPr>
          <w:ilvl w:val="0"/>
          <w:numId w:val="10"/>
        </w:numPr>
        <w:rPr>
          <w:rFonts w:asciiTheme="majorBidi" w:hAnsiTheme="majorBidi" w:cstheme="majorBidi"/>
          <w:sz w:val="22"/>
          <w:szCs w:val="22"/>
        </w:rPr>
      </w:pPr>
      <w:r w:rsidRPr="00F057A7">
        <w:rPr>
          <w:rFonts w:asciiTheme="majorBidi" w:hAnsiTheme="majorBidi" w:cstheme="majorBidi"/>
          <w:sz w:val="22"/>
          <w:szCs w:val="22"/>
        </w:rPr>
        <w:t>Funding modalities and financial performance;</w:t>
      </w:r>
    </w:p>
    <w:p w14:paraId="3D3184CD" w14:textId="2DB9A353" w:rsidR="001A5287" w:rsidRPr="00F057A7" w:rsidRDefault="001A5287" w:rsidP="001A5287">
      <w:pPr>
        <w:pStyle w:val="ListParagraph"/>
        <w:numPr>
          <w:ilvl w:val="0"/>
          <w:numId w:val="10"/>
        </w:numPr>
        <w:rPr>
          <w:rFonts w:asciiTheme="majorBidi" w:hAnsiTheme="majorBidi" w:cstheme="majorBidi"/>
          <w:sz w:val="22"/>
          <w:szCs w:val="22"/>
        </w:rPr>
      </w:pPr>
      <w:r w:rsidRPr="00F057A7">
        <w:rPr>
          <w:rFonts w:asciiTheme="majorBidi" w:hAnsiTheme="majorBidi" w:cstheme="majorBidi"/>
          <w:sz w:val="22"/>
          <w:szCs w:val="22"/>
        </w:rPr>
        <w:t>Criteria and process for funding;</w:t>
      </w:r>
    </w:p>
    <w:p w14:paraId="7B4AC73C" w14:textId="5031A1DC" w:rsidR="001A5287" w:rsidRPr="00F057A7" w:rsidRDefault="001A5287" w:rsidP="001A5287">
      <w:pPr>
        <w:pStyle w:val="ListParagraph"/>
        <w:numPr>
          <w:ilvl w:val="0"/>
          <w:numId w:val="10"/>
        </w:numPr>
        <w:rPr>
          <w:rFonts w:asciiTheme="majorBidi" w:hAnsiTheme="majorBidi" w:cstheme="majorBidi"/>
          <w:sz w:val="22"/>
          <w:szCs w:val="22"/>
        </w:rPr>
      </w:pPr>
      <w:r w:rsidRPr="00F057A7">
        <w:rPr>
          <w:rFonts w:asciiTheme="majorBidi" w:hAnsiTheme="majorBidi" w:cstheme="majorBidi"/>
          <w:sz w:val="22"/>
          <w:szCs w:val="22"/>
        </w:rPr>
        <w:t>⁠Access and disbursement modalities;</w:t>
      </w:r>
    </w:p>
    <w:p w14:paraId="7ECA3C55" w14:textId="2FC085CA" w:rsidR="001A5287" w:rsidRPr="00F057A7" w:rsidRDefault="001A5287" w:rsidP="001A5287">
      <w:pPr>
        <w:pStyle w:val="ListParagraph"/>
        <w:numPr>
          <w:ilvl w:val="0"/>
          <w:numId w:val="10"/>
        </w:numPr>
        <w:rPr>
          <w:rFonts w:asciiTheme="majorBidi" w:hAnsiTheme="majorBidi" w:cstheme="majorBidi"/>
          <w:sz w:val="22"/>
          <w:szCs w:val="22"/>
        </w:rPr>
      </w:pPr>
      <w:r w:rsidRPr="00F057A7">
        <w:rPr>
          <w:rFonts w:asciiTheme="majorBidi" w:hAnsiTheme="majorBidi" w:cstheme="majorBidi"/>
          <w:sz w:val="22"/>
          <w:szCs w:val="22"/>
        </w:rPr>
        <w:t>Governance, including board composition;</w:t>
      </w:r>
    </w:p>
    <w:p w14:paraId="2F798CAE" w14:textId="07D95DA5" w:rsidR="001A5287" w:rsidRPr="00F057A7" w:rsidRDefault="001A5287" w:rsidP="001A5287">
      <w:pPr>
        <w:pStyle w:val="ListParagraph"/>
        <w:numPr>
          <w:ilvl w:val="0"/>
          <w:numId w:val="10"/>
        </w:numPr>
        <w:rPr>
          <w:rFonts w:asciiTheme="majorBidi" w:hAnsiTheme="majorBidi" w:cstheme="majorBidi"/>
          <w:sz w:val="22"/>
          <w:szCs w:val="22"/>
        </w:rPr>
      </w:pPr>
      <w:r w:rsidRPr="00F057A7">
        <w:rPr>
          <w:rFonts w:asciiTheme="majorBidi" w:hAnsiTheme="majorBidi" w:cstheme="majorBidi"/>
          <w:sz w:val="22"/>
          <w:szCs w:val="22"/>
        </w:rPr>
        <w:t>⁠Monitoring and evaluation;</w:t>
      </w:r>
    </w:p>
    <w:p w14:paraId="6516B62B" w14:textId="5626426D" w:rsidR="001A5287" w:rsidRPr="00F057A7" w:rsidRDefault="001A5287" w:rsidP="001A5287">
      <w:pPr>
        <w:pStyle w:val="ListParagraph"/>
        <w:numPr>
          <w:ilvl w:val="0"/>
          <w:numId w:val="10"/>
        </w:numPr>
        <w:rPr>
          <w:rFonts w:asciiTheme="majorBidi" w:hAnsiTheme="majorBidi" w:cstheme="majorBidi"/>
          <w:sz w:val="22"/>
          <w:szCs w:val="22"/>
        </w:rPr>
      </w:pPr>
      <w:r w:rsidRPr="00F057A7">
        <w:rPr>
          <w:rFonts w:asciiTheme="majorBidi" w:hAnsiTheme="majorBidi" w:cstheme="majorBidi"/>
          <w:sz w:val="22"/>
          <w:szCs w:val="22"/>
        </w:rPr>
        <w:t>⁠Cost-effectiveness of operations;</w:t>
      </w:r>
    </w:p>
    <w:p w14:paraId="335769FC" w14:textId="14CF38BA" w:rsidR="001A5287" w:rsidRPr="00F057A7" w:rsidRDefault="001A5287" w:rsidP="001A5287">
      <w:pPr>
        <w:pStyle w:val="ListParagraph"/>
        <w:numPr>
          <w:ilvl w:val="0"/>
          <w:numId w:val="10"/>
        </w:numPr>
        <w:rPr>
          <w:rFonts w:asciiTheme="majorBidi" w:hAnsiTheme="majorBidi" w:cstheme="majorBidi"/>
          <w:sz w:val="22"/>
          <w:szCs w:val="22"/>
        </w:rPr>
      </w:pPr>
      <w:r w:rsidRPr="00F057A7">
        <w:rPr>
          <w:rFonts w:asciiTheme="majorBidi" w:hAnsiTheme="majorBidi" w:cstheme="majorBidi"/>
          <w:sz w:val="22"/>
          <w:szCs w:val="22"/>
        </w:rPr>
        <w:t>⁠Trustee arrangements;</w:t>
      </w:r>
    </w:p>
    <w:p w14:paraId="1CB663C2" w14:textId="6CBFE4F9" w:rsidR="00426723" w:rsidRPr="00F057A7" w:rsidRDefault="001A5287" w:rsidP="001A5287">
      <w:pPr>
        <w:pStyle w:val="ListParagraph"/>
        <w:numPr>
          <w:ilvl w:val="0"/>
          <w:numId w:val="10"/>
        </w:numPr>
        <w:rPr>
          <w:rFonts w:asciiTheme="majorBidi" w:hAnsiTheme="majorBidi" w:cstheme="majorBidi"/>
          <w:sz w:val="22"/>
          <w:szCs w:val="22"/>
        </w:rPr>
      </w:pPr>
      <w:r w:rsidRPr="00F057A7">
        <w:rPr>
          <w:rFonts w:asciiTheme="majorBidi" w:hAnsiTheme="majorBidi" w:cstheme="majorBidi"/>
          <w:sz w:val="22"/>
          <w:szCs w:val="22"/>
        </w:rPr>
        <w:t>⁠Legal nature;</w:t>
      </w:r>
    </w:p>
    <w:p w14:paraId="36E2E85D" w14:textId="77777777" w:rsidR="00426723" w:rsidRPr="00F057A7" w:rsidRDefault="00426723" w:rsidP="00426723">
      <w:pPr>
        <w:jc w:val="center"/>
        <w:rPr>
          <w:rFonts w:asciiTheme="majorBidi" w:hAnsiTheme="majorBidi" w:cstheme="majorBidi"/>
          <w:b/>
          <w:bCs/>
          <w:sz w:val="22"/>
          <w:szCs w:val="22"/>
        </w:rPr>
      </w:pPr>
    </w:p>
    <w:p w14:paraId="45B94A4C" w14:textId="77777777" w:rsidR="00E8014A" w:rsidRPr="00F057A7" w:rsidRDefault="00E8014A" w:rsidP="00426723">
      <w:pPr>
        <w:jc w:val="center"/>
        <w:rPr>
          <w:rFonts w:asciiTheme="majorBidi" w:hAnsiTheme="majorBidi" w:cstheme="majorBidi"/>
          <w:b/>
          <w:bCs/>
          <w:sz w:val="22"/>
          <w:szCs w:val="22"/>
        </w:rPr>
      </w:pPr>
    </w:p>
    <w:p w14:paraId="4C1D1031" w14:textId="77777777" w:rsidR="00E8014A" w:rsidRPr="00F057A7" w:rsidRDefault="00E8014A" w:rsidP="00426723">
      <w:pPr>
        <w:jc w:val="center"/>
        <w:rPr>
          <w:rFonts w:asciiTheme="majorBidi" w:hAnsiTheme="majorBidi" w:cstheme="majorBidi"/>
          <w:b/>
          <w:bCs/>
          <w:sz w:val="22"/>
          <w:szCs w:val="22"/>
        </w:rPr>
      </w:pPr>
    </w:p>
    <w:p w14:paraId="17155141" w14:textId="77777777" w:rsidR="00E8014A" w:rsidRPr="00F057A7" w:rsidRDefault="00E8014A" w:rsidP="00426723">
      <w:pPr>
        <w:jc w:val="center"/>
        <w:rPr>
          <w:rFonts w:asciiTheme="majorBidi" w:hAnsiTheme="majorBidi" w:cstheme="majorBidi"/>
          <w:b/>
          <w:bCs/>
          <w:sz w:val="22"/>
          <w:szCs w:val="22"/>
        </w:rPr>
      </w:pPr>
    </w:p>
    <w:p w14:paraId="151C0C49" w14:textId="77777777" w:rsidR="00E8014A" w:rsidRPr="00F057A7" w:rsidRDefault="00E8014A" w:rsidP="00426723">
      <w:pPr>
        <w:jc w:val="center"/>
        <w:rPr>
          <w:rFonts w:asciiTheme="majorBidi" w:hAnsiTheme="majorBidi" w:cstheme="majorBidi"/>
          <w:b/>
          <w:bCs/>
          <w:sz w:val="22"/>
          <w:szCs w:val="22"/>
        </w:rPr>
      </w:pPr>
    </w:p>
    <w:p w14:paraId="327A98B0" w14:textId="77777777" w:rsidR="00E8014A" w:rsidRPr="00F057A7" w:rsidRDefault="00E8014A" w:rsidP="00426723">
      <w:pPr>
        <w:jc w:val="center"/>
        <w:rPr>
          <w:rFonts w:asciiTheme="majorBidi" w:hAnsiTheme="majorBidi" w:cstheme="majorBidi"/>
          <w:b/>
          <w:bCs/>
          <w:sz w:val="22"/>
          <w:szCs w:val="22"/>
        </w:rPr>
      </w:pPr>
    </w:p>
    <w:p w14:paraId="549C5085" w14:textId="77777777" w:rsidR="00E8014A" w:rsidRPr="00F057A7" w:rsidRDefault="00E8014A" w:rsidP="00426723">
      <w:pPr>
        <w:jc w:val="center"/>
        <w:rPr>
          <w:rFonts w:asciiTheme="majorBidi" w:hAnsiTheme="majorBidi" w:cstheme="majorBidi"/>
          <w:b/>
          <w:bCs/>
          <w:sz w:val="22"/>
          <w:szCs w:val="22"/>
        </w:rPr>
      </w:pPr>
    </w:p>
    <w:p w14:paraId="5A9B7B03" w14:textId="77777777" w:rsidR="00E8014A" w:rsidRPr="00F057A7" w:rsidRDefault="00E8014A" w:rsidP="00426723">
      <w:pPr>
        <w:jc w:val="center"/>
        <w:rPr>
          <w:rFonts w:asciiTheme="majorBidi" w:hAnsiTheme="majorBidi" w:cstheme="majorBidi"/>
          <w:b/>
          <w:bCs/>
          <w:sz w:val="22"/>
          <w:szCs w:val="22"/>
        </w:rPr>
      </w:pPr>
    </w:p>
    <w:p w14:paraId="7F7226EA" w14:textId="77777777" w:rsidR="00E8014A" w:rsidRPr="00F057A7" w:rsidRDefault="00E8014A" w:rsidP="00E8014A">
      <w:pPr>
        <w:rPr>
          <w:rFonts w:asciiTheme="majorBidi" w:hAnsiTheme="majorBidi" w:cstheme="majorBidi"/>
          <w:b/>
          <w:bCs/>
          <w:sz w:val="22"/>
          <w:szCs w:val="22"/>
        </w:rPr>
      </w:pPr>
    </w:p>
    <w:p w14:paraId="3658D942" w14:textId="77777777" w:rsidR="00E8014A" w:rsidRPr="00F057A7" w:rsidRDefault="00E8014A" w:rsidP="00E8014A">
      <w:pPr>
        <w:rPr>
          <w:rFonts w:asciiTheme="majorBidi" w:hAnsiTheme="majorBidi" w:cstheme="majorBidi"/>
          <w:b/>
          <w:bCs/>
          <w:sz w:val="22"/>
          <w:szCs w:val="22"/>
        </w:rPr>
      </w:pPr>
    </w:p>
    <w:p w14:paraId="4F9682BD" w14:textId="77777777" w:rsidR="00E8014A" w:rsidRPr="00F057A7" w:rsidRDefault="00E8014A" w:rsidP="0036082E">
      <w:pPr>
        <w:jc w:val="center"/>
        <w:rPr>
          <w:rFonts w:asciiTheme="majorBidi" w:hAnsiTheme="majorBidi" w:cstheme="majorBidi"/>
          <w:b/>
          <w:bCs/>
          <w:sz w:val="22"/>
          <w:szCs w:val="22"/>
          <w:u w:val="single"/>
        </w:rPr>
      </w:pPr>
    </w:p>
    <w:p w14:paraId="62ECBA0A" w14:textId="77777777" w:rsidR="00157E83" w:rsidRDefault="00157E83" w:rsidP="0036082E">
      <w:pPr>
        <w:jc w:val="center"/>
        <w:rPr>
          <w:rFonts w:asciiTheme="majorBidi" w:hAnsiTheme="majorBidi" w:cstheme="majorBidi"/>
          <w:b/>
          <w:bCs/>
          <w:sz w:val="22"/>
          <w:szCs w:val="22"/>
          <w:u w:val="single"/>
        </w:rPr>
        <w:sectPr w:rsidR="00157E83">
          <w:pgSz w:w="12240" w:h="15840"/>
          <w:pgMar w:top="1440" w:right="1440" w:bottom="1440" w:left="1440" w:header="720" w:footer="720" w:gutter="0"/>
          <w:cols w:space="720"/>
          <w:docGrid w:linePitch="360"/>
        </w:sectPr>
      </w:pPr>
    </w:p>
    <w:p w14:paraId="57834BA3" w14:textId="594BE4D4" w:rsidR="0036082E" w:rsidRPr="00F057A7" w:rsidRDefault="0036082E" w:rsidP="0036082E">
      <w:pPr>
        <w:jc w:val="center"/>
        <w:rPr>
          <w:rFonts w:asciiTheme="majorBidi" w:hAnsiTheme="majorBidi" w:cstheme="majorBidi"/>
          <w:b/>
          <w:bCs/>
          <w:sz w:val="22"/>
          <w:szCs w:val="22"/>
          <w:u w:val="single"/>
        </w:rPr>
      </w:pPr>
      <w:r w:rsidRPr="00F057A7">
        <w:rPr>
          <w:rFonts w:asciiTheme="majorBidi" w:hAnsiTheme="majorBidi" w:cstheme="majorBidi"/>
          <w:b/>
          <w:bCs/>
          <w:sz w:val="22"/>
          <w:szCs w:val="22"/>
          <w:u w:val="single"/>
        </w:rPr>
        <w:lastRenderedPageBreak/>
        <w:t>Cluster 3</w:t>
      </w:r>
    </w:p>
    <w:p w14:paraId="2CA7BF39" w14:textId="1D5A381B" w:rsidR="0036082E" w:rsidRPr="00F057A7" w:rsidRDefault="0036082E" w:rsidP="0036082E">
      <w:pPr>
        <w:jc w:val="center"/>
        <w:rPr>
          <w:rFonts w:asciiTheme="majorBidi" w:hAnsiTheme="majorBidi" w:cstheme="majorBidi"/>
          <w:b/>
          <w:bCs/>
          <w:sz w:val="22"/>
          <w:szCs w:val="22"/>
        </w:rPr>
      </w:pPr>
      <w:r w:rsidRPr="00F057A7">
        <w:rPr>
          <w:rFonts w:asciiTheme="majorBidi" w:hAnsiTheme="majorBidi" w:cstheme="majorBidi"/>
          <w:b/>
          <w:bCs/>
          <w:sz w:val="22"/>
          <w:szCs w:val="22"/>
        </w:rPr>
        <w:t>Criteria for the design of a dedicated global instrument for biodiversity finance</w:t>
      </w:r>
    </w:p>
    <w:p w14:paraId="2E22F5CB" w14:textId="4EFDBF6B" w:rsidR="0036082E" w:rsidRPr="00F057A7" w:rsidRDefault="0036082E" w:rsidP="0036082E">
      <w:pPr>
        <w:jc w:val="center"/>
        <w:rPr>
          <w:rFonts w:asciiTheme="majorBidi" w:hAnsiTheme="majorBidi" w:cstheme="majorBidi"/>
          <w:i/>
          <w:iCs/>
          <w:sz w:val="22"/>
          <w:szCs w:val="22"/>
        </w:rPr>
      </w:pPr>
      <w:r w:rsidRPr="00F057A7">
        <w:rPr>
          <w:rFonts w:asciiTheme="majorBidi" w:hAnsiTheme="majorBidi" w:cstheme="majorBidi"/>
          <w:i/>
          <w:iCs/>
          <w:sz w:val="22"/>
          <w:szCs w:val="22"/>
        </w:rPr>
        <w:t>Possible elements for discussion in the intersessional process if options 3 or 4 are considered, either individually or jointly with another option</w:t>
      </w:r>
    </w:p>
    <w:p w14:paraId="6F653496" w14:textId="0DA33D99"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hAnsiTheme="majorBidi" w:cstheme="majorBidi"/>
          <w:sz w:val="22"/>
          <w:szCs w:val="22"/>
        </w:rPr>
        <w:t xml:space="preserve">Added value and complementarity </w:t>
      </w:r>
      <w:proofErr w:type="gramStart"/>
      <w:r w:rsidRPr="00F057A7">
        <w:rPr>
          <w:rFonts w:asciiTheme="majorBidi" w:hAnsiTheme="majorBidi" w:cstheme="majorBidi"/>
          <w:sz w:val="22"/>
          <w:szCs w:val="22"/>
        </w:rPr>
        <w:t>vis-à-vis</w:t>
      </w:r>
      <w:proofErr w:type="gramEnd"/>
      <w:r w:rsidRPr="00F057A7">
        <w:rPr>
          <w:rFonts w:asciiTheme="majorBidi" w:hAnsiTheme="majorBidi" w:cstheme="majorBidi"/>
          <w:sz w:val="22"/>
          <w:szCs w:val="22"/>
        </w:rPr>
        <w:t xml:space="preserve"> the current biodiversity finance landscape;</w:t>
      </w:r>
    </w:p>
    <w:p w14:paraId="0717009D" w14:textId="01DAC7ED"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hAnsiTheme="majorBidi" w:cstheme="majorBidi"/>
          <w:sz w:val="22"/>
          <w:szCs w:val="22"/>
        </w:rPr>
        <w:t>Lessons learned and experience with relevant international financial mechanisms;</w:t>
      </w:r>
    </w:p>
    <w:p w14:paraId="04A007C0" w14:textId="4B29AE4B"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hAnsiTheme="majorBidi" w:cstheme="majorBidi"/>
          <w:sz w:val="22"/>
          <w:szCs w:val="22"/>
        </w:rPr>
        <w:t>Access to new, additional, predictable, adequate [affordable,] and timely financing;</w:t>
      </w:r>
    </w:p>
    <w:p w14:paraId="245EDA2C" w14:textId="77777777" w:rsidR="0036082E" w:rsidRPr="00F057A7" w:rsidRDefault="0036082E" w:rsidP="0036082E">
      <w:pPr>
        <w:pStyle w:val="ListParagraph"/>
        <w:numPr>
          <w:ilvl w:val="0"/>
          <w:numId w:val="6"/>
        </w:numPr>
        <w:tabs>
          <w:tab w:val="left" w:pos="540"/>
        </w:tabs>
        <w:spacing w:after="120"/>
        <w:ind w:left="540"/>
        <w:rPr>
          <w:rFonts w:asciiTheme="majorBidi" w:eastAsia="Raleway" w:hAnsiTheme="majorBidi" w:cstheme="majorBidi"/>
          <w:sz w:val="22"/>
          <w:szCs w:val="22"/>
        </w:rPr>
      </w:pPr>
      <w:r w:rsidRPr="00F057A7">
        <w:rPr>
          <w:rFonts w:asciiTheme="majorBidi" w:eastAsia="Raleway" w:hAnsiTheme="majorBidi" w:cstheme="majorBidi"/>
          <w:sz w:val="22"/>
          <w:szCs w:val="22"/>
        </w:rPr>
        <w:t xml:space="preserve">Contributor base aimed at </w:t>
      </w:r>
      <w:r w:rsidRPr="00F057A7">
        <w:rPr>
          <w:rFonts w:asciiTheme="majorBidi" w:hAnsiTheme="majorBidi" w:cstheme="majorBidi"/>
          <w:sz w:val="22"/>
          <w:szCs w:val="22"/>
        </w:rPr>
        <w:t>m</w:t>
      </w:r>
      <w:r w:rsidRPr="00F057A7">
        <w:rPr>
          <w:rFonts w:asciiTheme="majorBidi" w:eastAsia="Raleway" w:hAnsiTheme="majorBidi" w:cstheme="majorBidi"/>
          <w:sz w:val="22"/>
          <w:szCs w:val="22"/>
        </w:rPr>
        <w:t>obilization of resources from all sources;</w:t>
      </w:r>
    </w:p>
    <w:p w14:paraId="76292AE0" w14:textId="1CA57301" w:rsidR="0036082E" w:rsidRPr="00F057A7" w:rsidRDefault="0036082E" w:rsidP="00426723">
      <w:pPr>
        <w:pStyle w:val="ListParagraph"/>
        <w:numPr>
          <w:ilvl w:val="0"/>
          <w:numId w:val="6"/>
        </w:numPr>
        <w:tabs>
          <w:tab w:val="left" w:pos="540"/>
        </w:tabs>
        <w:spacing w:after="120"/>
        <w:ind w:left="540"/>
        <w:rPr>
          <w:rFonts w:asciiTheme="majorBidi" w:eastAsia="Raleway" w:hAnsiTheme="majorBidi" w:cstheme="majorBidi"/>
          <w:i/>
          <w:iCs/>
          <w:sz w:val="22"/>
          <w:szCs w:val="22"/>
        </w:rPr>
      </w:pPr>
      <w:r w:rsidRPr="00F057A7">
        <w:rPr>
          <w:rFonts w:asciiTheme="majorBidi" w:eastAsia="Raleway" w:hAnsiTheme="majorBidi" w:cstheme="majorBidi"/>
          <w:i/>
          <w:iCs/>
          <w:sz w:val="22"/>
          <w:szCs w:val="22"/>
        </w:rPr>
        <w:t>Placeholder pending the decision on DSI from genetic resources</w:t>
      </w:r>
    </w:p>
    <w:p w14:paraId="6A7948C9" w14:textId="1333FF47"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proofErr w:type="gramStart"/>
      <w:r w:rsidRPr="00F057A7">
        <w:rPr>
          <w:rFonts w:asciiTheme="majorBidi" w:hAnsiTheme="majorBidi" w:cstheme="majorBidi"/>
          <w:sz w:val="22"/>
          <w:szCs w:val="22"/>
        </w:rPr>
        <w:t>Consistency</w:t>
      </w:r>
      <w:proofErr w:type="gramEnd"/>
      <w:r w:rsidRPr="00F057A7">
        <w:rPr>
          <w:rFonts w:asciiTheme="majorBidi" w:hAnsiTheme="majorBidi" w:cstheme="majorBidi"/>
          <w:sz w:val="22"/>
          <w:szCs w:val="22"/>
        </w:rPr>
        <w:t xml:space="preserve"> with the objectives, principles and provisions of the Convention and its Protocols;</w:t>
      </w:r>
    </w:p>
    <w:p w14:paraId="49EA33DF" w14:textId="4CD510BF"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proofErr w:type="gramStart"/>
      <w:r w:rsidRPr="00F057A7">
        <w:rPr>
          <w:rFonts w:asciiTheme="majorBidi" w:hAnsiTheme="majorBidi" w:cstheme="majorBidi"/>
          <w:sz w:val="22"/>
          <w:szCs w:val="22"/>
        </w:rPr>
        <w:t>Consistency</w:t>
      </w:r>
      <w:proofErr w:type="gramEnd"/>
      <w:r w:rsidRPr="00F057A7">
        <w:rPr>
          <w:rFonts w:asciiTheme="majorBidi" w:hAnsiTheme="majorBidi" w:cstheme="majorBidi"/>
          <w:sz w:val="22"/>
          <w:szCs w:val="22"/>
        </w:rPr>
        <w:t xml:space="preserve"> with the KMGBF;</w:t>
      </w:r>
    </w:p>
    <w:p w14:paraId="38D4D0CC" w14:textId="4B5B18F5"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hAnsiTheme="majorBidi" w:cstheme="majorBidi"/>
          <w:sz w:val="22"/>
          <w:szCs w:val="22"/>
        </w:rPr>
        <w:t>Under the authority of, and accountable to, the Conference of the Parties;</w:t>
      </w:r>
    </w:p>
    <w:p w14:paraId="78E65C27" w14:textId="77777777"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hAnsiTheme="majorBidi" w:cstheme="majorBidi"/>
          <w:sz w:val="22"/>
          <w:szCs w:val="22"/>
        </w:rPr>
        <w:t>Fairness, transparency, inclusiveness and participatory approach;</w:t>
      </w:r>
    </w:p>
    <w:p w14:paraId="5FF5EF33" w14:textId="5F7A6615"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eastAsia="Raleway" w:hAnsiTheme="majorBidi" w:cstheme="majorBidi"/>
          <w:sz w:val="22"/>
          <w:szCs w:val="22"/>
        </w:rPr>
        <w:t>Equitable, [and efficient] and representative governance structure</w:t>
      </w:r>
      <w:r w:rsidRPr="00F057A7">
        <w:rPr>
          <w:rFonts w:asciiTheme="majorBidi" w:hAnsiTheme="majorBidi" w:cstheme="majorBidi"/>
          <w:sz w:val="22"/>
          <w:szCs w:val="22"/>
        </w:rPr>
        <w:t>;</w:t>
      </w:r>
    </w:p>
    <w:p w14:paraId="575AF355" w14:textId="780ECBF8"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eastAsia="Raleway" w:hAnsiTheme="majorBidi" w:cstheme="majorBidi"/>
          <w:sz w:val="22"/>
          <w:szCs w:val="22"/>
        </w:rPr>
        <w:t xml:space="preserve">Provision of financial resources </w:t>
      </w:r>
      <w:proofErr w:type="gramStart"/>
      <w:r w:rsidRPr="00F057A7">
        <w:rPr>
          <w:rFonts w:asciiTheme="majorBidi" w:eastAsia="Raleway" w:hAnsiTheme="majorBidi" w:cstheme="majorBidi"/>
          <w:sz w:val="22"/>
          <w:szCs w:val="22"/>
        </w:rPr>
        <w:t>to</w:t>
      </w:r>
      <w:proofErr w:type="gramEnd"/>
      <w:r w:rsidRPr="00F057A7">
        <w:rPr>
          <w:rFonts w:asciiTheme="majorBidi" w:eastAsia="Raleway" w:hAnsiTheme="majorBidi" w:cstheme="majorBidi"/>
          <w:sz w:val="22"/>
          <w:szCs w:val="22"/>
        </w:rPr>
        <w:t xml:space="preserve"> developing country Parties, </w:t>
      </w:r>
      <w:r w:rsidRPr="00F057A7">
        <w:rPr>
          <w:rFonts w:asciiTheme="majorBidi" w:eastAsia="Raleway" w:hAnsiTheme="majorBidi" w:cstheme="majorBidi"/>
          <w:snapToGrid w:val="0"/>
          <w:kern w:val="22"/>
          <w:sz w:val="22"/>
          <w:szCs w:val="22"/>
          <w:lang w:eastAsia="zh-CN"/>
        </w:rPr>
        <w:t>in particula</w:t>
      </w:r>
      <w:r w:rsidRPr="00F057A7">
        <w:rPr>
          <w:rFonts w:asciiTheme="majorBidi" w:hAnsiTheme="majorBidi" w:cstheme="majorBidi"/>
          <w:sz w:val="22"/>
          <w:szCs w:val="22"/>
        </w:rPr>
        <w:t>r the least developed countries and small island developing States, as well as countries with economies in transition, responding to their needs and priorities;</w:t>
      </w:r>
    </w:p>
    <w:p w14:paraId="11AE7851" w14:textId="256212D2" w:rsidR="0036082E" w:rsidRPr="00F057A7" w:rsidRDefault="0036082E" w:rsidP="0036082E">
      <w:pPr>
        <w:pStyle w:val="ListParagraph"/>
        <w:numPr>
          <w:ilvl w:val="0"/>
          <w:numId w:val="6"/>
        </w:numPr>
        <w:tabs>
          <w:tab w:val="left" w:pos="540"/>
        </w:tabs>
        <w:spacing w:after="120"/>
        <w:ind w:left="540"/>
        <w:rPr>
          <w:rFonts w:asciiTheme="majorBidi" w:eastAsia="Raleway" w:hAnsiTheme="majorBidi" w:cstheme="majorBidi"/>
          <w:sz w:val="22"/>
          <w:szCs w:val="22"/>
        </w:rPr>
      </w:pPr>
      <w:r w:rsidRPr="00F057A7">
        <w:rPr>
          <w:rFonts w:asciiTheme="majorBidi" w:eastAsia="Raleway" w:hAnsiTheme="majorBidi" w:cstheme="majorBidi"/>
          <w:sz w:val="22"/>
          <w:szCs w:val="22"/>
        </w:rPr>
        <w:t>Direct allocation and/or project-based disbursement</w:t>
      </w:r>
    </w:p>
    <w:p w14:paraId="55167D34" w14:textId="5ACE2987" w:rsidR="0036082E" w:rsidRPr="00F057A7" w:rsidRDefault="0036082E" w:rsidP="0036082E">
      <w:pPr>
        <w:pStyle w:val="ListParagraph"/>
        <w:numPr>
          <w:ilvl w:val="0"/>
          <w:numId w:val="6"/>
        </w:numPr>
        <w:tabs>
          <w:tab w:val="left" w:pos="540"/>
        </w:tabs>
        <w:spacing w:after="120"/>
        <w:ind w:left="540"/>
        <w:rPr>
          <w:rFonts w:asciiTheme="majorBidi" w:eastAsia="Raleway" w:hAnsiTheme="majorBidi" w:cstheme="majorBidi"/>
          <w:sz w:val="22"/>
          <w:szCs w:val="22"/>
        </w:rPr>
      </w:pPr>
      <w:r w:rsidRPr="00F057A7">
        <w:rPr>
          <w:rFonts w:asciiTheme="majorBidi" w:hAnsiTheme="majorBidi" w:cstheme="majorBidi"/>
          <w:sz w:val="22"/>
          <w:szCs w:val="22"/>
        </w:rPr>
        <w:t>Reliance on national executing agencies</w:t>
      </w:r>
    </w:p>
    <w:p w14:paraId="062D576B" w14:textId="6D45235F"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hAnsiTheme="majorBidi" w:cstheme="majorBidi"/>
          <w:sz w:val="22"/>
          <w:szCs w:val="22"/>
        </w:rPr>
        <w:t>Recognition and valorization of the role of indigenous peoples and local communities, women and youth, and their full and effective participation;</w:t>
      </w:r>
    </w:p>
    <w:p w14:paraId="1A2903C8" w14:textId="5E0EBAD0"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hAnsiTheme="majorBidi" w:cstheme="majorBidi"/>
          <w:sz w:val="22"/>
          <w:szCs w:val="22"/>
        </w:rPr>
        <w:t>Intergenerational and intragenerational equity;</w:t>
      </w:r>
    </w:p>
    <w:p w14:paraId="2544911D" w14:textId="77777777"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hAnsiTheme="majorBidi" w:cstheme="majorBidi"/>
          <w:sz w:val="22"/>
          <w:szCs w:val="22"/>
        </w:rPr>
        <w:t>Grievance mechanism;</w:t>
      </w:r>
    </w:p>
    <w:p w14:paraId="7750D922" w14:textId="6F7CB3BE" w:rsidR="0036082E" w:rsidRPr="00F057A7" w:rsidRDefault="0036082E" w:rsidP="0036082E">
      <w:pPr>
        <w:pStyle w:val="ListParagraph"/>
        <w:numPr>
          <w:ilvl w:val="0"/>
          <w:numId w:val="6"/>
        </w:numPr>
        <w:tabs>
          <w:tab w:val="left" w:pos="540"/>
        </w:tabs>
        <w:spacing w:before="120" w:after="120"/>
        <w:ind w:left="540"/>
        <w:rPr>
          <w:rFonts w:asciiTheme="majorBidi" w:hAnsiTheme="majorBidi" w:cstheme="majorBidi"/>
          <w:sz w:val="22"/>
          <w:szCs w:val="22"/>
        </w:rPr>
      </w:pPr>
      <w:r w:rsidRPr="00F057A7">
        <w:rPr>
          <w:rFonts w:asciiTheme="majorBidi" w:hAnsiTheme="majorBidi" w:cstheme="majorBidi"/>
          <w:sz w:val="22"/>
          <w:szCs w:val="22"/>
        </w:rPr>
        <w:t>Relationship with the GBFF vis-à-vis its sunset clause.</w:t>
      </w:r>
    </w:p>
    <w:p w14:paraId="7C9C974B" w14:textId="77777777" w:rsidR="00E8014A" w:rsidRPr="00F057A7" w:rsidRDefault="00E8014A" w:rsidP="00E8014A">
      <w:pPr>
        <w:pStyle w:val="ListParagraph"/>
        <w:tabs>
          <w:tab w:val="left" w:pos="540"/>
        </w:tabs>
        <w:spacing w:before="120" w:after="120"/>
        <w:ind w:left="540"/>
        <w:rPr>
          <w:rFonts w:asciiTheme="majorBidi" w:hAnsiTheme="majorBidi" w:cstheme="majorBidi"/>
          <w:sz w:val="22"/>
          <w:szCs w:val="22"/>
        </w:rPr>
      </w:pPr>
    </w:p>
    <w:p w14:paraId="5DD5F4CA" w14:textId="5167214F" w:rsidR="000858D8" w:rsidRPr="00F057A7" w:rsidRDefault="00F057A7" w:rsidP="000858D8">
      <w:pPr>
        <w:tabs>
          <w:tab w:val="left" w:pos="540"/>
        </w:tabs>
        <w:spacing w:before="120" w:after="120"/>
        <w:jc w:val="center"/>
        <w:rPr>
          <w:rFonts w:asciiTheme="majorBidi" w:hAnsiTheme="majorBidi" w:cstheme="majorBidi"/>
          <w:sz w:val="22"/>
          <w:szCs w:val="22"/>
        </w:rPr>
      </w:pPr>
      <w:r>
        <w:rPr>
          <w:rFonts w:asciiTheme="majorBidi" w:hAnsiTheme="majorBidi" w:cstheme="majorBidi"/>
          <w:sz w:val="22"/>
          <w:szCs w:val="22"/>
        </w:rPr>
        <w:t>__________</w:t>
      </w:r>
    </w:p>
    <w:sectPr w:rsidR="000858D8" w:rsidRPr="00F057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702A3" w14:textId="77777777" w:rsidR="00FD70CA" w:rsidRDefault="00FD70CA" w:rsidP="000858D8">
      <w:pPr>
        <w:spacing w:after="0" w:line="240" w:lineRule="auto"/>
      </w:pPr>
      <w:r>
        <w:separator/>
      </w:r>
    </w:p>
  </w:endnote>
  <w:endnote w:type="continuationSeparator" w:id="0">
    <w:p w14:paraId="423BEEAB" w14:textId="77777777" w:rsidR="00FD70CA" w:rsidRDefault="00FD70CA" w:rsidP="00085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Body CS)">
    <w:panose1 w:val="00000000000000000000"/>
    <w:charset w:val="00"/>
    <w:family w:val="roman"/>
    <w:notTrueType/>
    <w:pitch w:val="default"/>
  </w:font>
  <w:font w:name="Raleway">
    <w:charset w:val="00"/>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A35589" w14:textId="77777777" w:rsidR="00FD70CA" w:rsidRDefault="00FD70CA" w:rsidP="000858D8">
      <w:pPr>
        <w:spacing w:after="0" w:line="240" w:lineRule="auto"/>
      </w:pPr>
      <w:r>
        <w:separator/>
      </w:r>
    </w:p>
  </w:footnote>
  <w:footnote w:type="continuationSeparator" w:id="0">
    <w:p w14:paraId="3DDF475B" w14:textId="77777777" w:rsidR="00FD70CA" w:rsidRDefault="00FD70CA" w:rsidP="00085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D8A61" w14:textId="3FE4FCA7" w:rsidR="000858D8" w:rsidRPr="002B64E3" w:rsidRDefault="000858D8" w:rsidP="002B64E3">
    <w:pPr>
      <w:pStyle w:val="Header"/>
      <w:pBdr>
        <w:bottom w:val="single" w:sz="4" w:space="1" w:color="auto"/>
      </w:pBdr>
      <w:spacing w:after="240"/>
      <w:rPr>
        <w:rFonts w:ascii="Times New Roman" w:hAnsi="Times New Roman" w:cs="Times New Roman (Body CS)"/>
        <w:i/>
        <w:iCs/>
        <w:sz w:val="20"/>
        <w:szCs w:val="20"/>
      </w:rPr>
    </w:pPr>
    <w:r w:rsidRPr="002B64E3">
      <w:rPr>
        <w:rFonts w:ascii="Times New Roman" w:hAnsi="Times New Roman" w:cs="Times New Roman (Body CS)"/>
        <w:i/>
        <w:iCs/>
        <w:sz w:val="20"/>
        <w:szCs w:val="20"/>
      </w:rPr>
      <w:t>Co-chair’s non</w:t>
    </w:r>
    <w:r w:rsidR="00760CE4">
      <w:rPr>
        <w:rFonts w:ascii="Times New Roman" w:hAnsi="Times New Roman" w:cs="Times New Roman (Body CS)"/>
        <w:i/>
        <w:iCs/>
        <w:sz w:val="20"/>
        <w:szCs w:val="20"/>
      </w:rPr>
      <w:t>-</w:t>
    </w:r>
    <w:r w:rsidRPr="002B64E3">
      <w:rPr>
        <w:rFonts w:ascii="Times New Roman" w:hAnsi="Times New Roman" w:cs="Times New Roman (Body CS)"/>
        <w:i/>
        <w:iCs/>
        <w:sz w:val="20"/>
        <w:szCs w:val="20"/>
      </w:rPr>
      <w:t xml:space="preserve">paper </w:t>
    </w:r>
    <w:r w:rsidR="00760CE4">
      <w:rPr>
        <w:rFonts w:ascii="Times New Roman" w:hAnsi="Times New Roman" w:cs="Times New Roman (Body CS)"/>
        <w:i/>
        <w:iCs/>
        <w:sz w:val="20"/>
        <w:szCs w:val="20"/>
      </w:rPr>
      <w:t>on</w:t>
    </w:r>
    <w:r w:rsidRPr="002B64E3">
      <w:rPr>
        <w:rFonts w:ascii="Times New Roman" w:hAnsi="Times New Roman" w:cs="Times New Roman (Body CS)"/>
        <w:i/>
        <w:iCs/>
        <w:sz w:val="20"/>
        <w:szCs w:val="20"/>
      </w:rPr>
      <w:t xml:space="preserve"> </w:t>
    </w:r>
    <w:r w:rsidR="002B64E3" w:rsidRPr="002B64E3">
      <w:rPr>
        <w:rFonts w:ascii="Times New Roman" w:hAnsi="Times New Roman" w:cs="Times New Roman (Body CS)"/>
        <w:i/>
        <w:iCs/>
        <w:sz w:val="20"/>
        <w:szCs w:val="20"/>
      </w:rPr>
      <w:t>a</w:t>
    </w:r>
    <w:r w:rsidRPr="002B64E3">
      <w:rPr>
        <w:rFonts w:ascii="Times New Roman" w:hAnsi="Times New Roman" w:cs="Times New Roman (Body CS)"/>
        <w:i/>
        <w:iCs/>
        <w:sz w:val="20"/>
        <w:szCs w:val="20"/>
      </w:rPr>
      <w:t xml:space="preserve">nnex III </w:t>
    </w:r>
    <w:r w:rsidR="002B64E3" w:rsidRPr="002B64E3">
      <w:rPr>
        <w:rFonts w:ascii="Times New Roman" w:hAnsi="Times New Roman" w:cs="Times New Roman (Body CS)"/>
        <w:i/>
        <w:iCs/>
        <w:sz w:val="20"/>
        <w:szCs w:val="20"/>
      </w:rPr>
      <w:t xml:space="preserve">- </w:t>
    </w:r>
    <w:r w:rsidRPr="002B64E3">
      <w:rPr>
        <w:rFonts w:ascii="Times New Roman" w:hAnsi="Times New Roman" w:cs="Times New Roman (Body CS)"/>
        <w:i/>
        <w:iCs/>
        <w:sz w:val="20"/>
        <w:szCs w:val="20"/>
      </w:rPr>
      <w:t>28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FA0E58"/>
    <w:multiLevelType w:val="hybridMultilevel"/>
    <w:tmpl w:val="502ADDE6"/>
    <w:lvl w:ilvl="0" w:tplc="C00287EE">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8F5E69"/>
    <w:multiLevelType w:val="hybridMultilevel"/>
    <w:tmpl w:val="45646062"/>
    <w:lvl w:ilvl="0" w:tplc="0B88E37A">
      <w:start w:val="1"/>
      <w:numFmt w:val="bullet"/>
      <w:lvlText w:val="-"/>
      <w:lvlJc w:val="left"/>
      <w:pPr>
        <w:ind w:left="1080" w:hanging="360"/>
      </w:pPr>
      <w:rPr>
        <w:rFonts w:ascii="Aptos" w:hAnsi="Aptos" w:hint="default"/>
      </w:rPr>
    </w:lvl>
    <w:lvl w:ilvl="1" w:tplc="46C2DF06">
      <w:start w:val="1"/>
      <w:numFmt w:val="bullet"/>
      <w:lvlText w:val="o"/>
      <w:lvlJc w:val="left"/>
      <w:pPr>
        <w:ind w:left="1800" w:hanging="360"/>
      </w:pPr>
      <w:rPr>
        <w:rFonts w:ascii="Courier New" w:hAnsi="Courier New" w:hint="default"/>
      </w:rPr>
    </w:lvl>
    <w:lvl w:ilvl="2" w:tplc="7E76F736">
      <w:start w:val="1"/>
      <w:numFmt w:val="bullet"/>
      <w:lvlText w:val=""/>
      <w:lvlJc w:val="left"/>
      <w:pPr>
        <w:ind w:left="2520" w:hanging="360"/>
      </w:pPr>
      <w:rPr>
        <w:rFonts w:ascii="Wingdings" w:hAnsi="Wingdings" w:hint="default"/>
      </w:rPr>
    </w:lvl>
    <w:lvl w:ilvl="3" w:tplc="8CD8C8F6">
      <w:start w:val="1"/>
      <w:numFmt w:val="bullet"/>
      <w:lvlText w:val=""/>
      <w:lvlJc w:val="left"/>
      <w:pPr>
        <w:ind w:left="3240" w:hanging="360"/>
      </w:pPr>
      <w:rPr>
        <w:rFonts w:ascii="Symbol" w:hAnsi="Symbol" w:hint="default"/>
      </w:rPr>
    </w:lvl>
    <w:lvl w:ilvl="4" w:tplc="3F341CA4">
      <w:start w:val="1"/>
      <w:numFmt w:val="bullet"/>
      <w:lvlText w:val="o"/>
      <w:lvlJc w:val="left"/>
      <w:pPr>
        <w:ind w:left="3960" w:hanging="360"/>
      </w:pPr>
      <w:rPr>
        <w:rFonts w:ascii="Courier New" w:hAnsi="Courier New" w:hint="default"/>
      </w:rPr>
    </w:lvl>
    <w:lvl w:ilvl="5" w:tplc="075CC5D2">
      <w:start w:val="1"/>
      <w:numFmt w:val="bullet"/>
      <w:lvlText w:val=""/>
      <w:lvlJc w:val="left"/>
      <w:pPr>
        <w:ind w:left="4680" w:hanging="360"/>
      </w:pPr>
      <w:rPr>
        <w:rFonts w:ascii="Wingdings" w:hAnsi="Wingdings" w:hint="default"/>
      </w:rPr>
    </w:lvl>
    <w:lvl w:ilvl="6" w:tplc="C3D65E70">
      <w:start w:val="1"/>
      <w:numFmt w:val="bullet"/>
      <w:lvlText w:val=""/>
      <w:lvlJc w:val="left"/>
      <w:pPr>
        <w:ind w:left="5400" w:hanging="360"/>
      </w:pPr>
      <w:rPr>
        <w:rFonts w:ascii="Symbol" w:hAnsi="Symbol" w:hint="default"/>
      </w:rPr>
    </w:lvl>
    <w:lvl w:ilvl="7" w:tplc="4BD0BE0C">
      <w:start w:val="1"/>
      <w:numFmt w:val="bullet"/>
      <w:lvlText w:val="o"/>
      <w:lvlJc w:val="left"/>
      <w:pPr>
        <w:ind w:left="6120" w:hanging="360"/>
      </w:pPr>
      <w:rPr>
        <w:rFonts w:ascii="Courier New" w:hAnsi="Courier New" w:hint="default"/>
      </w:rPr>
    </w:lvl>
    <w:lvl w:ilvl="8" w:tplc="7A044ED0">
      <w:start w:val="1"/>
      <w:numFmt w:val="bullet"/>
      <w:lvlText w:val=""/>
      <w:lvlJc w:val="left"/>
      <w:pPr>
        <w:ind w:left="6840" w:hanging="360"/>
      </w:pPr>
      <w:rPr>
        <w:rFonts w:ascii="Wingdings" w:hAnsi="Wingdings" w:hint="default"/>
      </w:rPr>
    </w:lvl>
  </w:abstractNum>
  <w:abstractNum w:abstractNumId="2" w15:restartNumberingAfterBreak="0">
    <w:nsid w:val="33FC074E"/>
    <w:multiLevelType w:val="hybridMultilevel"/>
    <w:tmpl w:val="9A563E16"/>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9B7E79"/>
    <w:multiLevelType w:val="hybridMultilevel"/>
    <w:tmpl w:val="7A4C4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A243BA"/>
    <w:multiLevelType w:val="hybridMultilevel"/>
    <w:tmpl w:val="930A5CF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BAA7320"/>
    <w:multiLevelType w:val="multilevel"/>
    <w:tmpl w:val="D52EEF0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581A1702"/>
    <w:multiLevelType w:val="multilevel"/>
    <w:tmpl w:val="D52EEF0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9"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71424222"/>
    <w:multiLevelType w:val="multilevel"/>
    <w:tmpl w:val="D52EEF0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77B34FBE"/>
    <w:multiLevelType w:val="multilevel"/>
    <w:tmpl w:val="AA9C9FD0"/>
    <w:lvl w:ilvl="0">
      <w:start w:val="1"/>
      <w:numFmt w:val="lowerRoman"/>
      <w:lvlText w:val="%1."/>
      <w:lvlJc w:val="right"/>
      <w:pPr>
        <w:tabs>
          <w:tab w:val="num" w:pos="720"/>
        </w:tabs>
        <w:ind w:left="720" w:hanging="360"/>
      </w:pPr>
      <w:rPr>
        <w:rFonts w:ascii="Times New Roman" w:eastAsiaTheme="minorHAnsi" w:hAnsi="Times New Roman" w:cs="Times New Roman"/>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7FE26381"/>
    <w:multiLevelType w:val="hybridMultilevel"/>
    <w:tmpl w:val="2C064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2898896">
    <w:abstractNumId w:val="9"/>
  </w:num>
  <w:num w:numId="2" w16cid:durableId="1642727664">
    <w:abstractNumId w:val="8"/>
  </w:num>
  <w:num w:numId="3" w16cid:durableId="221016389">
    <w:abstractNumId w:val="3"/>
  </w:num>
  <w:num w:numId="4" w16cid:durableId="1989237774">
    <w:abstractNumId w:val="2"/>
  </w:num>
  <w:num w:numId="5" w16cid:durableId="200285674">
    <w:abstractNumId w:val="4"/>
  </w:num>
  <w:num w:numId="6" w16cid:durableId="1948728214">
    <w:abstractNumId w:val="0"/>
  </w:num>
  <w:num w:numId="7" w16cid:durableId="1249003802">
    <w:abstractNumId w:val="1"/>
  </w:num>
  <w:num w:numId="8" w16cid:durableId="1032608318">
    <w:abstractNumId w:val="6"/>
  </w:num>
  <w:num w:numId="9" w16cid:durableId="920218353">
    <w:abstractNumId w:val="11"/>
  </w:num>
  <w:num w:numId="10" w16cid:durableId="1006639024">
    <w:abstractNumId w:val="12"/>
  </w:num>
  <w:num w:numId="11" w16cid:durableId="1474904968">
    <w:abstractNumId w:val="5"/>
  </w:num>
  <w:num w:numId="12" w16cid:durableId="852307725">
    <w:abstractNumId w:val="7"/>
  </w:num>
  <w:num w:numId="13" w16cid:durableId="14429147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82E"/>
    <w:rsid w:val="000858D8"/>
    <w:rsid w:val="00157E83"/>
    <w:rsid w:val="001A5287"/>
    <w:rsid w:val="00243A58"/>
    <w:rsid w:val="002B64E3"/>
    <w:rsid w:val="0036082E"/>
    <w:rsid w:val="00426723"/>
    <w:rsid w:val="00760CE4"/>
    <w:rsid w:val="008F6EEF"/>
    <w:rsid w:val="00AA0D01"/>
    <w:rsid w:val="00E44A51"/>
    <w:rsid w:val="00E8014A"/>
    <w:rsid w:val="00F057A7"/>
    <w:rsid w:val="00F40B0F"/>
    <w:rsid w:val="00FD70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6D765"/>
  <w15:chartTrackingRefBased/>
  <w15:docId w15:val="{FA4FC063-D119-934F-93C5-EB4D3E502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8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08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08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08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08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8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8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8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8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8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08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08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8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8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8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8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8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82E"/>
    <w:rPr>
      <w:rFonts w:eastAsiaTheme="majorEastAsia" w:cstheme="majorBidi"/>
      <w:color w:val="272727" w:themeColor="text1" w:themeTint="D8"/>
    </w:rPr>
  </w:style>
  <w:style w:type="paragraph" w:styleId="Title">
    <w:name w:val="Title"/>
    <w:basedOn w:val="Normal"/>
    <w:next w:val="Normal"/>
    <w:link w:val="TitleChar"/>
    <w:uiPriority w:val="10"/>
    <w:qFormat/>
    <w:rsid w:val="003608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8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8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8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82E"/>
    <w:pPr>
      <w:spacing w:before="160"/>
      <w:jc w:val="center"/>
    </w:pPr>
    <w:rPr>
      <w:i/>
      <w:iCs/>
      <w:color w:val="404040" w:themeColor="text1" w:themeTint="BF"/>
    </w:rPr>
  </w:style>
  <w:style w:type="character" w:customStyle="1" w:styleId="QuoteChar">
    <w:name w:val="Quote Char"/>
    <w:basedOn w:val="DefaultParagraphFont"/>
    <w:link w:val="Quote"/>
    <w:uiPriority w:val="29"/>
    <w:rsid w:val="0036082E"/>
    <w:rPr>
      <w:i/>
      <w:iCs/>
      <w:color w:val="404040" w:themeColor="text1" w:themeTint="BF"/>
    </w:rPr>
  </w:style>
  <w:style w:type="paragraph" w:styleId="ListParagraph">
    <w:name w:val="List Paragraph"/>
    <w:basedOn w:val="Normal"/>
    <w:link w:val="ListParagraphChar"/>
    <w:uiPriority w:val="34"/>
    <w:qFormat/>
    <w:rsid w:val="0036082E"/>
    <w:pPr>
      <w:ind w:left="720"/>
      <w:contextualSpacing/>
    </w:pPr>
  </w:style>
  <w:style w:type="character" w:styleId="IntenseEmphasis">
    <w:name w:val="Intense Emphasis"/>
    <w:basedOn w:val="DefaultParagraphFont"/>
    <w:uiPriority w:val="21"/>
    <w:qFormat/>
    <w:rsid w:val="0036082E"/>
    <w:rPr>
      <w:i/>
      <w:iCs/>
      <w:color w:val="0F4761" w:themeColor="accent1" w:themeShade="BF"/>
    </w:rPr>
  </w:style>
  <w:style w:type="paragraph" w:styleId="IntenseQuote">
    <w:name w:val="Intense Quote"/>
    <w:basedOn w:val="Normal"/>
    <w:next w:val="Normal"/>
    <w:link w:val="IntenseQuoteChar"/>
    <w:uiPriority w:val="30"/>
    <w:qFormat/>
    <w:rsid w:val="003608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82E"/>
    <w:rPr>
      <w:i/>
      <w:iCs/>
      <w:color w:val="0F4761" w:themeColor="accent1" w:themeShade="BF"/>
    </w:rPr>
  </w:style>
  <w:style w:type="character" w:styleId="IntenseReference">
    <w:name w:val="Intense Reference"/>
    <w:basedOn w:val="DefaultParagraphFont"/>
    <w:uiPriority w:val="32"/>
    <w:qFormat/>
    <w:rsid w:val="0036082E"/>
    <w:rPr>
      <w:b/>
      <w:bCs/>
      <w:smallCaps/>
      <w:color w:val="0F4761" w:themeColor="accent1" w:themeShade="BF"/>
      <w:spacing w:val="5"/>
    </w:rPr>
  </w:style>
  <w:style w:type="paragraph" w:customStyle="1" w:styleId="Para1">
    <w:name w:val="Para 1"/>
    <w:basedOn w:val="Normal"/>
    <w:qFormat/>
    <w:rsid w:val="0036082E"/>
    <w:pPr>
      <w:numPr>
        <w:numId w:val="1"/>
      </w:numPr>
      <w:tabs>
        <w:tab w:val="left" w:pos="1134"/>
      </w:tabs>
      <w:spacing w:before="120" w:after="120" w:line="240" w:lineRule="auto"/>
      <w:jc w:val="both"/>
    </w:pPr>
    <w:rPr>
      <w:rFonts w:ascii="Times New Roman" w:eastAsia="Times New Roman" w:hAnsi="Times New Roman" w:cs="Times New Roman"/>
      <w:kern w:val="0"/>
      <w:sz w:val="22"/>
      <w:lang w:val="en-CA"/>
      <w14:ligatures w14:val="none"/>
    </w:rPr>
  </w:style>
  <w:style w:type="character" w:customStyle="1" w:styleId="ListParagraphChar">
    <w:name w:val="List Paragraph Char"/>
    <w:link w:val="ListParagraph"/>
    <w:uiPriority w:val="34"/>
    <w:qFormat/>
    <w:locked/>
    <w:rsid w:val="0036082E"/>
  </w:style>
  <w:style w:type="paragraph" w:customStyle="1" w:styleId="paragraph">
    <w:name w:val="paragraph"/>
    <w:basedOn w:val="Normal"/>
    <w:rsid w:val="00F40B0F"/>
    <w:pPr>
      <w:spacing w:before="100" w:beforeAutospacing="1" w:after="100" w:afterAutospacing="1" w:line="240" w:lineRule="auto"/>
    </w:pPr>
    <w:rPr>
      <w:rFonts w:ascii="Times New Roman" w:eastAsia="Times New Roman" w:hAnsi="Times New Roman" w:cs="Times New Roman"/>
      <w:kern w:val="0"/>
      <w:lang w:val="es-CO" w:eastAsia="es-CO"/>
      <w14:ligatures w14:val="none"/>
    </w:rPr>
  </w:style>
  <w:style w:type="character" w:customStyle="1" w:styleId="normaltextrun">
    <w:name w:val="normaltextrun"/>
    <w:basedOn w:val="DefaultParagraphFont"/>
    <w:rsid w:val="00F40B0F"/>
  </w:style>
  <w:style w:type="character" w:customStyle="1" w:styleId="eop">
    <w:name w:val="eop"/>
    <w:basedOn w:val="DefaultParagraphFont"/>
    <w:rsid w:val="001A5287"/>
  </w:style>
  <w:style w:type="paragraph" w:styleId="Header">
    <w:name w:val="header"/>
    <w:basedOn w:val="Normal"/>
    <w:link w:val="HeaderChar"/>
    <w:uiPriority w:val="99"/>
    <w:unhideWhenUsed/>
    <w:rsid w:val="00085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8D8"/>
  </w:style>
  <w:style w:type="paragraph" w:styleId="Footer">
    <w:name w:val="footer"/>
    <w:basedOn w:val="Normal"/>
    <w:link w:val="FooterChar"/>
    <w:uiPriority w:val="99"/>
    <w:unhideWhenUsed/>
    <w:rsid w:val="00085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678</Words>
  <Characters>3739</Characters>
  <Application>Microsoft Office Word</Application>
  <DocSecurity>0</DocSecurity>
  <Lines>57</Lines>
  <Paragraphs>24</Paragraphs>
  <ScaleCrop>false</ScaleCrop>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Luna</dc:creator>
  <cp:keywords/>
  <dc:description/>
  <cp:lastModifiedBy>Veronique Lefebvre</cp:lastModifiedBy>
  <cp:revision>8</cp:revision>
  <dcterms:created xsi:type="dcterms:W3CDTF">2024-10-28T22:33:00Z</dcterms:created>
  <dcterms:modified xsi:type="dcterms:W3CDTF">2024-10-28T22:38:00Z</dcterms:modified>
</cp:coreProperties>
</file>