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14FED" w:rsidRPr="00375E64" w14:paraId="7BBA3104" w14:textId="77777777" w:rsidTr="003D4990">
        <w:trPr>
          <w:trHeight w:val="850"/>
        </w:trPr>
        <w:tc>
          <w:tcPr>
            <w:tcW w:w="975" w:type="dxa"/>
            <w:vAlign w:val="bottom"/>
          </w:tcPr>
          <w:p w14:paraId="55967350" w14:textId="77777777" w:rsidR="00814FED" w:rsidRPr="00866063" w:rsidRDefault="00814FED" w:rsidP="003D4990">
            <w:pPr>
              <w:pStyle w:val="AASmallLogo"/>
            </w:pPr>
            <w:r w:rsidRPr="00866063">
              <w:rPr>
                <w:noProof/>
              </w:rPr>
              <w:drawing>
                <wp:inline distT="0" distB="0" distL="0" distR="0" wp14:anchorId="7BD3FF3B" wp14:editId="0EF376B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07D29656" w14:textId="77777777" w:rsidR="00814FED" w:rsidRPr="00866063" w:rsidRDefault="00814FED" w:rsidP="003D4990">
            <w:pPr>
              <w:pStyle w:val="AASmallLogo"/>
            </w:pPr>
          </w:p>
        </w:tc>
        <w:tc>
          <w:tcPr>
            <w:tcW w:w="1434" w:type="dxa"/>
            <w:noWrap/>
            <w:vAlign w:val="bottom"/>
          </w:tcPr>
          <w:p w14:paraId="34DE25A7" w14:textId="77777777" w:rsidR="00814FED" w:rsidRPr="00866063" w:rsidRDefault="00814FED" w:rsidP="003D4990">
            <w:pPr>
              <w:pStyle w:val="AASmallLogo"/>
            </w:pPr>
            <w:r w:rsidRPr="00866063">
              <w:rPr>
                <w:noProof/>
              </w:rPr>
              <w:drawing>
                <wp:inline distT="0" distB="0" distL="0" distR="0" wp14:anchorId="2D1F17B0" wp14:editId="1CDC8B6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9574B4A" w14:textId="77777777" w:rsidR="00814FED" w:rsidRPr="00866063" w:rsidRDefault="00814FED" w:rsidP="003D4990">
            <w:pPr>
              <w:pStyle w:val="AASmallLogo"/>
            </w:pPr>
          </w:p>
        </w:tc>
        <w:tc>
          <w:tcPr>
            <w:tcW w:w="8073" w:type="dxa"/>
            <w:vAlign w:val="bottom"/>
          </w:tcPr>
          <w:p w14:paraId="34F024A2" w14:textId="17DFF017" w:rsidR="00814FED" w:rsidRPr="00375E64" w:rsidRDefault="00814FED" w:rsidP="006268E5">
            <w:pPr>
              <w:pStyle w:val="ABSymbol"/>
              <w:rPr>
                <w:highlight w:val="yellow"/>
                <w:lang w:val="pt-BR"/>
              </w:rPr>
            </w:pPr>
            <w:r w:rsidRPr="006268E5">
              <w:rPr>
                <w:sz w:val="40"/>
                <w:lang w:val="pt-BR"/>
              </w:rPr>
              <w:t>CBD</w:t>
            </w:r>
            <w:r w:rsidRPr="006268E5">
              <w:rPr>
                <w:lang w:val="pt-BR"/>
              </w:rPr>
              <w:t>/SBI/7/</w:t>
            </w:r>
            <w:r w:rsidR="008E2A58" w:rsidRPr="006268E5">
              <w:rPr>
                <w:lang w:val="pt-BR"/>
              </w:rPr>
              <w:t>INF/7</w:t>
            </w:r>
          </w:p>
        </w:tc>
      </w:tr>
    </w:tbl>
    <w:p w14:paraId="30F76250" w14:textId="77777777" w:rsidR="00814FED" w:rsidRPr="00375E64" w:rsidRDefault="00814FED" w:rsidP="00814FED">
      <w:pPr>
        <w:pStyle w:val="AISpacer"/>
        <w:rPr>
          <w:lang w:val="pt-B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14FED" w:rsidRPr="00866063" w14:paraId="6C7103CD" w14:textId="77777777" w:rsidTr="003D4990">
        <w:trPr>
          <w:trHeight w:val="1814"/>
        </w:trPr>
        <w:tc>
          <w:tcPr>
            <w:tcW w:w="7370" w:type="dxa"/>
          </w:tcPr>
          <w:p w14:paraId="1D835448" w14:textId="77777777" w:rsidR="00814FED" w:rsidRPr="00866063" w:rsidRDefault="00814FED" w:rsidP="003D4990">
            <w:pPr>
              <w:pStyle w:val="ACLargeLogo"/>
            </w:pPr>
            <w:r w:rsidRPr="00866063">
              <w:rPr>
                <w:noProof/>
              </w:rPr>
              <w:drawing>
                <wp:inline distT="0" distB="0" distL="0" distR="0" wp14:anchorId="53DD1821" wp14:editId="63F393C9">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524510FE" w14:textId="77777777" w:rsidR="00814FED" w:rsidRPr="00866063" w:rsidRDefault="00814FED" w:rsidP="003D4990">
            <w:pPr>
              <w:pStyle w:val="ACLargeLogo"/>
            </w:pPr>
          </w:p>
        </w:tc>
        <w:tc>
          <w:tcPr>
            <w:tcW w:w="3112" w:type="dxa"/>
          </w:tcPr>
          <w:p w14:paraId="3EA9BB03" w14:textId="77777777" w:rsidR="00814FED" w:rsidRPr="00866063" w:rsidRDefault="00814FED" w:rsidP="003D4990">
            <w:pPr>
              <w:pStyle w:val="AEDistrNormal"/>
            </w:pPr>
            <w:r w:rsidRPr="00866063">
              <w:t xml:space="preserve">Distr.: General </w:t>
            </w:r>
          </w:p>
          <w:p w14:paraId="10783AA9" w14:textId="2B1E6F73" w:rsidR="00814FED" w:rsidRPr="00866063" w:rsidRDefault="00BF3AB0" w:rsidP="003D4990">
            <w:pPr>
              <w:pStyle w:val="AEDistrNormal"/>
            </w:pPr>
            <w:r>
              <w:t>8 May 2026</w:t>
            </w:r>
          </w:p>
          <w:p w14:paraId="6F6F0D54" w14:textId="49A64F84" w:rsidR="00814FED" w:rsidRPr="00866063" w:rsidRDefault="00814FED" w:rsidP="003D4990">
            <w:pPr>
              <w:pStyle w:val="AEDistrNormal6pt"/>
            </w:pPr>
            <w:r w:rsidRPr="00866063">
              <w:t xml:space="preserve">English </w:t>
            </w:r>
            <w:r w:rsidR="00BF3AB0">
              <w:t>only</w:t>
            </w:r>
          </w:p>
          <w:p w14:paraId="125F489A" w14:textId="77777777" w:rsidR="00814FED" w:rsidRPr="00866063" w:rsidRDefault="00814FED" w:rsidP="003D4990">
            <w:pPr>
              <w:pStyle w:val="AEDistrNormal6pt"/>
            </w:pPr>
          </w:p>
        </w:tc>
      </w:tr>
    </w:tbl>
    <w:p w14:paraId="46ABB0BB" w14:textId="77777777" w:rsidR="00814FED" w:rsidRPr="00866063" w:rsidRDefault="00814FED" w:rsidP="00814FE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14FED" w:rsidRPr="00866063" w14:paraId="147E20AB" w14:textId="77777777" w:rsidTr="00A93A33">
        <w:trPr>
          <w:trHeight w:val="57"/>
        </w:trPr>
        <w:tc>
          <w:tcPr>
            <w:tcW w:w="6094" w:type="dxa"/>
          </w:tcPr>
          <w:p w14:paraId="43A7C715" w14:textId="77777777" w:rsidR="00814FED" w:rsidRPr="00866063" w:rsidRDefault="00814FED" w:rsidP="003D4990">
            <w:pPr>
              <w:pStyle w:val="AFCorN12Bold"/>
            </w:pPr>
            <w:r>
              <w:t>Subsidiary Body on Implementation</w:t>
            </w:r>
            <w:r w:rsidRPr="00866063">
              <w:t xml:space="preserve"> </w:t>
            </w:r>
          </w:p>
          <w:p w14:paraId="168D3F9B" w14:textId="77777777" w:rsidR="00814FED" w:rsidRPr="00866063" w:rsidRDefault="00814FED" w:rsidP="003D4990">
            <w:pPr>
              <w:pStyle w:val="AFCorNBold"/>
            </w:pPr>
            <w:r>
              <w:t>Seventh</w:t>
            </w:r>
            <w:r w:rsidRPr="00866063">
              <w:t xml:space="preserve"> meeting </w:t>
            </w:r>
          </w:p>
          <w:p w14:paraId="43CDE205" w14:textId="77777777" w:rsidR="00814FED" w:rsidRPr="00866063" w:rsidRDefault="00814FED" w:rsidP="003D4990">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4C64A2F2" w14:textId="5A17833A" w:rsidR="00814FED" w:rsidRPr="00866063" w:rsidRDefault="00814FED" w:rsidP="003D4990">
            <w:pPr>
              <w:pStyle w:val="AFCorNNormal"/>
            </w:pPr>
            <w:r w:rsidRPr="00866063">
              <w:t xml:space="preserve">Item </w:t>
            </w:r>
            <w:r w:rsidR="00AA46F5">
              <w:t>7</w:t>
            </w:r>
            <w:r w:rsidRPr="00866063">
              <w:t xml:space="preserve"> of the provisional agenda</w:t>
            </w:r>
            <w:r w:rsidRPr="00866063">
              <w:rPr>
                <w:rStyle w:val="FootnoteReference"/>
              </w:rPr>
              <w:footnoteReference w:customMarkFollows="1" w:id="1"/>
              <w:t>*</w:t>
            </w:r>
            <w:r w:rsidRPr="00866063">
              <w:t xml:space="preserve"> </w:t>
            </w:r>
          </w:p>
          <w:p w14:paraId="4BCC028B" w14:textId="405A44C6" w:rsidR="00814FED" w:rsidRPr="00866063" w:rsidRDefault="00514244" w:rsidP="003D4990">
            <w:pPr>
              <w:pStyle w:val="AFCorNBold"/>
            </w:pPr>
            <w:r w:rsidRPr="00514244">
              <w:t xml:space="preserve">Second assessment and review of the effectiveness </w:t>
            </w:r>
            <w:r w:rsidR="00F140CB">
              <w:br/>
            </w:r>
            <w:r w:rsidRPr="00514244">
              <w:t xml:space="preserve">of the Nagoya Protocol on Access to Genetic </w:t>
            </w:r>
            <w:r w:rsidR="00CE421B">
              <w:br/>
            </w:r>
            <w:r w:rsidRPr="00514244">
              <w:t xml:space="preserve">Resources and the Fair and Equitable Sharing </w:t>
            </w:r>
            <w:r w:rsidR="00CE421B">
              <w:br/>
            </w:r>
            <w:r w:rsidRPr="00514244">
              <w:t>of Benefits Arising from Their Utilization</w:t>
            </w:r>
          </w:p>
        </w:tc>
        <w:tc>
          <w:tcPr>
            <w:tcW w:w="4388" w:type="dxa"/>
          </w:tcPr>
          <w:p w14:paraId="6C8A6629" w14:textId="77777777" w:rsidR="00814FED" w:rsidRPr="00866063" w:rsidRDefault="00814FED" w:rsidP="003D4990">
            <w:pPr>
              <w:pStyle w:val="CBDNormal"/>
              <w:jc w:val="left"/>
            </w:pPr>
          </w:p>
        </w:tc>
      </w:tr>
    </w:tbl>
    <w:p w14:paraId="45B7F7A5" w14:textId="5A76C58E" w:rsidR="00814FED" w:rsidRPr="00866063" w:rsidRDefault="002B7353" w:rsidP="00814FED">
      <w:pPr>
        <w:pStyle w:val="CBDTitle"/>
        <w:rPr>
          <w:caps/>
        </w:rPr>
      </w:pPr>
      <w:sdt>
        <w:sdtPr>
          <w:alias w:val="Title"/>
          <w:tag w:val=""/>
          <w:id w:val="772832786"/>
          <w:placeholder>
            <w:docPart w:val="74436CF0060640C9897A175C60273E90"/>
          </w:placeholder>
          <w:dataBinding w:prefixMappings="xmlns:ns0='http://purl.org/dc/elements/1.1/' xmlns:ns1='http://schemas.openxmlformats.org/package/2006/metadata/core-properties' " w:xpath="/ns1:coreProperties[1]/ns0:title[1]" w:storeItemID="{6C3C8BC8-F283-45AE-878A-BAB7291924A1}"/>
          <w:text/>
        </w:sdtPr>
        <w:sdtContent>
          <w:r>
            <w:t xml:space="preserve">Analysis of </w:t>
          </w:r>
          <w:r w:rsidR="00E2511D">
            <w:t>f</w:t>
          </w:r>
          <w:r>
            <w:t xml:space="preserve">inancial </w:t>
          </w:r>
          <w:r w:rsidR="00E2511D">
            <w:t>r</w:t>
          </w:r>
          <w:r>
            <w:t xml:space="preserve">esources and </w:t>
          </w:r>
          <w:r w:rsidR="00E2511D">
            <w:t>r</w:t>
          </w:r>
          <w:r>
            <w:t xml:space="preserve">esource </w:t>
          </w:r>
          <w:r w:rsidR="00E2511D">
            <w:t>m</w:t>
          </w:r>
          <w:r>
            <w:t>obili</w:t>
          </w:r>
          <w:r>
            <w:t>z</w:t>
          </w:r>
          <w:r>
            <w:t xml:space="preserve">ation </w:t>
          </w:r>
          <w:r w:rsidR="00E2511D">
            <w:t>s</w:t>
          </w:r>
          <w:r>
            <w:t xml:space="preserve">upporting the </w:t>
          </w:r>
          <w:r w:rsidR="00E2511D">
            <w:t>i</w:t>
          </w:r>
          <w:r>
            <w:t>mplementation of the Nagoya Protocol</w:t>
          </w:r>
        </w:sdtContent>
      </w:sdt>
      <w:r w:rsidR="00391CF5">
        <w:rPr>
          <w:rStyle w:val="FootnoteReference"/>
          <w:caps/>
        </w:rPr>
        <w:footnoteReference w:customMarkFollows="1" w:id="2"/>
        <w:t>**</w:t>
      </w:r>
    </w:p>
    <w:p w14:paraId="3DA43F45" w14:textId="77777777" w:rsidR="00814FED" w:rsidRPr="00866063" w:rsidRDefault="00814FED" w:rsidP="00814FED">
      <w:pPr>
        <w:pStyle w:val="CBDSubTitle"/>
      </w:pPr>
      <w:r w:rsidRPr="00866063">
        <w:t>Note by the Secretariat</w:t>
      </w:r>
    </w:p>
    <w:p w14:paraId="611C1B19" w14:textId="2E3426BD" w:rsidR="00814FED" w:rsidRPr="00866063" w:rsidRDefault="00391CF5" w:rsidP="006268E5">
      <w:pPr>
        <w:pStyle w:val="CBDH1"/>
      </w:pPr>
      <w:r>
        <w:t>I.</w:t>
      </w:r>
      <w:r>
        <w:tab/>
      </w:r>
      <w:r w:rsidR="00814FED">
        <w:t>Introduction</w:t>
      </w:r>
      <w:r w:rsidR="00A85309">
        <w:t xml:space="preserve"> and </w:t>
      </w:r>
      <w:r w:rsidR="0016317B">
        <w:t>m</w:t>
      </w:r>
      <w:r w:rsidR="00A85309">
        <w:t xml:space="preserve">ethodological </w:t>
      </w:r>
      <w:r w:rsidR="007C0298">
        <w:t>approach</w:t>
      </w:r>
    </w:p>
    <w:p w14:paraId="0E48708B" w14:textId="3F9E3F6E" w:rsidR="00814FED" w:rsidRPr="00866063" w:rsidRDefault="00814FED" w:rsidP="00814FED">
      <w:pPr>
        <w:pStyle w:val="CBDH2"/>
      </w:pPr>
      <w:r w:rsidRPr="00866063">
        <w:t>A.</w:t>
      </w:r>
      <w:r w:rsidRPr="00866063">
        <w:tab/>
      </w:r>
      <w:r>
        <w:t>Purpose and scope of the document</w:t>
      </w:r>
    </w:p>
    <w:p w14:paraId="21B229BC" w14:textId="1985C2C3" w:rsidR="00F97AC1" w:rsidRPr="002C3790" w:rsidRDefault="00814FED" w:rsidP="003B2C9C">
      <w:pPr>
        <w:pStyle w:val="CBDNormalNumber"/>
        <w:ind w:left="567"/>
        <w:rPr>
          <w:lang w:val="en-CA"/>
        </w:rPr>
      </w:pPr>
      <w:r w:rsidRPr="00590D2D">
        <w:t xml:space="preserve">This document presents an analysis of financial resources and resource </w:t>
      </w:r>
      <w:r w:rsidR="00E51D85">
        <w:t>mobilization</w:t>
      </w:r>
      <w:r w:rsidRPr="00590D2D">
        <w:t xml:space="preserve"> supporting the implementation of the Nagoya Protocol, with a particular focus on capacity</w:t>
      </w:r>
      <w:r w:rsidRPr="00590D2D">
        <w:noBreakHyphen/>
        <w:t xml:space="preserve">building and development, the document provides a factual and analytical overview of </w:t>
      </w:r>
      <w:r w:rsidR="00CA18DD">
        <w:t xml:space="preserve">the </w:t>
      </w:r>
      <w:r w:rsidRPr="00590D2D">
        <w:t xml:space="preserve">financial support for </w:t>
      </w:r>
      <w:r w:rsidR="001E0787">
        <w:t>access and benefit-sharing</w:t>
      </w:r>
      <w:r w:rsidR="00CA18DD">
        <w:t>,</w:t>
      </w:r>
      <w:r w:rsidRPr="00590D2D">
        <w:t xml:space="preserve"> including trends in funding sources, modalities and </w:t>
      </w:r>
      <w:r w:rsidR="00E82581">
        <w:t xml:space="preserve">areas of </w:t>
      </w:r>
      <w:r w:rsidRPr="00590D2D">
        <w:t>focus</w:t>
      </w:r>
      <w:r w:rsidR="00E82581">
        <w:t xml:space="preserve"> over time</w:t>
      </w:r>
      <w:r w:rsidRPr="00590D2D">
        <w:t>.</w:t>
      </w:r>
      <w:r w:rsidR="003B2C9C">
        <w:t xml:space="preserve"> </w:t>
      </w:r>
    </w:p>
    <w:p w14:paraId="301CF299" w14:textId="3CD1499F" w:rsidR="00814FED" w:rsidRDefault="00814FED">
      <w:pPr>
        <w:pStyle w:val="CBDNormalNumber"/>
        <w:ind w:left="567"/>
      </w:pPr>
      <w:r w:rsidRPr="00590D2D">
        <w:t xml:space="preserve">The Conference of the Parties serving as the meeting of the Parties to the Nagoya Protocol on Access to Genetic Resources and the Fair and Equitable Sharing of Benefits Arising from their Utilization agreed to the methodology for the second assessment and review of the effectiveness of the Protocol in </w:t>
      </w:r>
      <w:hyperlink r:id="rId15" w:history="1">
        <w:r w:rsidRPr="002C3790">
          <w:rPr>
            <w:rStyle w:val="Hyperlink"/>
            <w:color w:val="auto"/>
            <w:u w:val="none"/>
          </w:rPr>
          <w:t>decision NP-5/5</w:t>
        </w:r>
      </w:hyperlink>
      <w:r w:rsidR="000F4BD6">
        <w:t xml:space="preserve">, including the </w:t>
      </w:r>
      <w:r w:rsidRPr="00590D2D">
        <w:t xml:space="preserve">elements </w:t>
      </w:r>
      <w:r w:rsidR="000F4BD6">
        <w:t xml:space="preserve">set out </w:t>
      </w:r>
      <w:r w:rsidRPr="00590D2D">
        <w:t>in the annex to th</w:t>
      </w:r>
      <w:r w:rsidR="000F4BD6">
        <w:t>at</w:t>
      </w:r>
      <w:r w:rsidRPr="00590D2D">
        <w:t xml:space="preserve"> decision. Element</w:t>
      </w:r>
      <w:r w:rsidR="00440A94">
        <w:t> </w:t>
      </w:r>
      <w:r w:rsidRPr="00590D2D">
        <w:t>(c) provides for an assessment of support available for implementation, including Article</w:t>
      </w:r>
      <w:r w:rsidR="00B851B8">
        <w:t>s</w:t>
      </w:r>
      <w:r w:rsidR="00591197">
        <w:t> </w:t>
      </w:r>
      <w:r w:rsidRPr="00590D2D">
        <w:t>22</w:t>
      </w:r>
      <w:r w:rsidR="00E06672">
        <w:t xml:space="preserve"> and </w:t>
      </w:r>
      <w:r w:rsidR="002447A1">
        <w:t>25</w:t>
      </w:r>
      <w:r w:rsidR="00B851B8">
        <w:t>.</w:t>
      </w:r>
    </w:p>
    <w:p w14:paraId="1E5C3979" w14:textId="44022BEF" w:rsidR="00554AC4" w:rsidRDefault="00554AC4" w:rsidP="002C3790">
      <w:pPr>
        <w:pStyle w:val="CBDNormalNumber"/>
        <w:ind w:left="567"/>
      </w:pPr>
      <w:r w:rsidRPr="00590D2D">
        <w:t>The analysis presented in this document is intended to inform and support the second assessment and review of the effectiveness of the Nagoya Protocol, including consideration of progress, challenges and emerging trends related to financial resources and resource mobili</w:t>
      </w:r>
      <w:r w:rsidR="00591197">
        <w:t>z</w:t>
      </w:r>
      <w:r w:rsidRPr="00590D2D">
        <w:t>ation in accordance with the agreed methodology</w:t>
      </w:r>
      <w:r w:rsidR="006F3CC4">
        <w:t>.</w:t>
      </w:r>
    </w:p>
    <w:p w14:paraId="141E3A42" w14:textId="2838A9D9" w:rsidR="002447A1" w:rsidRPr="002C3790" w:rsidRDefault="002447A1" w:rsidP="002C3790">
      <w:pPr>
        <w:pStyle w:val="CBDH2"/>
        <w:rPr>
          <w:b w:val="0"/>
        </w:rPr>
      </w:pPr>
      <w:r w:rsidRPr="004F7C84">
        <w:t>B</w:t>
      </w:r>
      <w:r w:rsidR="00CC3228" w:rsidRPr="004F7C84">
        <w:t>.</w:t>
      </w:r>
      <w:r w:rsidR="00CC3228">
        <w:tab/>
      </w:r>
      <w:r w:rsidRPr="004F7C84">
        <w:t>Sources of information</w:t>
      </w:r>
      <w:r w:rsidR="009C4E1B" w:rsidRPr="004F7C84">
        <w:t xml:space="preserve"> and methodological notes</w:t>
      </w:r>
    </w:p>
    <w:p w14:paraId="491380E5" w14:textId="47552985" w:rsidR="000E365B" w:rsidRPr="002C3790" w:rsidRDefault="000E365B" w:rsidP="002C3790">
      <w:pPr>
        <w:pStyle w:val="CBDNormalNumber"/>
        <w:ind w:left="567"/>
      </w:pPr>
      <w:r w:rsidRPr="002C3790">
        <w:t>The analysis draws primarily on information on financial resources and resource</w:t>
      </w:r>
      <w:r w:rsidRPr="002C3790">
        <w:noBreakHyphen/>
        <w:t>mobili</w:t>
      </w:r>
      <w:r w:rsidR="00E51D85">
        <w:t>z</w:t>
      </w:r>
      <w:r w:rsidRPr="002C3790">
        <w:t>ation efforts supporting the implementation of the Nagoya Protocol since its adoption in 2010. Where necessary to ensure completeness, selected initiatives initiated prior to the adoption of the Protocol or overlapping with the post</w:t>
      </w:r>
      <w:r w:rsidRPr="002C3790">
        <w:noBreakHyphen/>
        <w:t>adoption period are also included. This approach ensures a comprehensive view of trends in implementation support and resource mobili</w:t>
      </w:r>
      <w:r w:rsidR="00E51D85">
        <w:t>z</w:t>
      </w:r>
      <w:r w:rsidRPr="002C3790">
        <w:t>ation over time.</w:t>
      </w:r>
    </w:p>
    <w:p w14:paraId="1650E47D" w14:textId="41841AD0" w:rsidR="00814FED" w:rsidRPr="00FF221F" w:rsidRDefault="00814FED" w:rsidP="002C3790">
      <w:pPr>
        <w:pStyle w:val="CBDNormalNumber"/>
        <w:ind w:left="567"/>
      </w:pPr>
      <w:r w:rsidRPr="00FF221F">
        <w:rPr>
          <w:lang w:eastAsia="en-CA"/>
        </w:rPr>
        <w:lastRenderedPageBreak/>
        <w:t>The</w:t>
      </w:r>
      <w:r w:rsidRPr="00FF221F">
        <w:t xml:space="preserve"> </w:t>
      </w:r>
      <w:r w:rsidR="00B669C3">
        <w:t xml:space="preserve">sources of information used for the analysis include: </w:t>
      </w:r>
    </w:p>
    <w:p w14:paraId="7286E17D" w14:textId="2926A690" w:rsidR="00DF042D" w:rsidRDefault="00DF042D" w:rsidP="006268E5">
      <w:pPr>
        <w:pStyle w:val="CBDNormalNumber"/>
        <w:numPr>
          <w:ilvl w:val="1"/>
          <w:numId w:val="7"/>
        </w:numPr>
        <w:tabs>
          <w:tab w:val="clear" w:pos="567"/>
          <w:tab w:val="clear" w:pos="1134"/>
        </w:tabs>
      </w:pPr>
      <w:r>
        <w:rPr>
          <w:rFonts w:asciiTheme="majorBidi" w:hAnsiTheme="majorBidi" w:cstheme="majorBidi"/>
        </w:rPr>
        <w:t xml:space="preserve">First national reports submitted by Parties to the Nagoya Protocol up to </w:t>
      </w:r>
      <w:r w:rsidRPr="00155949">
        <w:rPr>
          <w:rFonts w:asciiTheme="majorBidi" w:hAnsiTheme="majorBidi" w:cstheme="majorBidi"/>
        </w:rPr>
        <w:t>9 March 2026.</w:t>
      </w:r>
      <w:r>
        <w:rPr>
          <w:rFonts w:asciiTheme="majorBidi" w:hAnsiTheme="majorBidi" w:cstheme="majorBidi"/>
        </w:rPr>
        <w:t xml:space="preserve"> Ninety-six</w:t>
      </w:r>
      <w:r w:rsidRPr="00155949">
        <w:rPr>
          <w:rFonts w:asciiTheme="majorBidi" w:hAnsiTheme="majorBidi" w:cstheme="majorBidi"/>
        </w:rPr>
        <w:t xml:space="preserve"> Parties </w:t>
      </w:r>
      <w:r>
        <w:rPr>
          <w:rFonts w:asciiTheme="majorBidi" w:hAnsiTheme="majorBidi" w:cstheme="majorBidi"/>
        </w:rPr>
        <w:t xml:space="preserve">had </w:t>
      </w:r>
      <w:r w:rsidRPr="00155949">
        <w:rPr>
          <w:rFonts w:asciiTheme="majorBidi" w:hAnsiTheme="majorBidi" w:cstheme="majorBidi"/>
        </w:rPr>
        <w:t>submitted their first national report</w:t>
      </w:r>
      <w:r>
        <w:rPr>
          <w:rFonts w:asciiTheme="majorBidi" w:hAnsiTheme="majorBidi" w:cstheme="majorBidi"/>
        </w:rPr>
        <w:t xml:space="preserve"> by that date,</w:t>
      </w:r>
      <w:r w:rsidRPr="00155949">
        <w:rPr>
          <w:rFonts w:asciiTheme="majorBidi" w:hAnsiTheme="majorBidi" w:cstheme="majorBidi"/>
        </w:rPr>
        <w:t xml:space="preserve"> out of the 142 Parties with </w:t>
      </w:r>
      <w:r>
        <w:rPr>
          <w:rFonts w:asciiTheme="majorBidi" w:hAnsiTheme="majorBidi" w:cstheme="majorBidi"/>
        </w:rPr>
        <w:t>an</w:t>
      </w:r>
      <w:r w:rsidRPr="00155949">
        <w:rPr>
          <w:rFonts w:asciiTheme="majorBidi" w:hAnsiTheme="majorBidi" w:cstheme="majorBidi"/>
        </w:rPr>
        <w:t xml:space="preserve"> obligation to submit</w:t>
      </w:r>
      <w:r w:rsidR="00391CF5">
        <w:rPr>
          <w:rFonts w:asciiTheme="majorBidi" w:hAnsiTheme="majorBidi" w:cstheme="majorBidi"/>
        </w:rPr>
        <w:t>;</w:t>
      </w:r>
      <w:r>
        <w:rPr>
          <w:rStyle w:val="FootnoteReference"/>
          <w:rFonts w:asciiTheme="majorBidi" w:hAnsiTheme="majorBidi" w:cstheme="majorBidi"/>
        </w:rPr>
        <w:footnoteReference w:id="3"/>
      </w:r>
    </w:p>
    <w:p w14:paraId="5FE742A0" w14:textId="4AD0B495" w:rsidR="00F44D59" w:rsidRDefault="00F44D59" w:rsidP="006268E5">
      <w:pPr>
        <w:pStyle w:val="CBDNormalNumber"/>
        <w:numPr>
          <w:ilvl w:val="1"/>
          <w:numId w:val="7"/>
        </w:numPr>
        <w:tabs>
          <w:tab w:val="clear" w:pos="567"/>
          <w:tab w:val="clear" w:pos="1134"/>
        </w:tabs>
      </w:pPr>
      <w:r w:rsidRPr="00590D2D">
        <w:t xml:space="preserve">Information on capacity-building projects and the Access and Benefit-sharing Clearing-House are among the </w:t>
      </w:r>
      <w:r>
        <w:t xml:space="preserve">principal </w:t>
      </w:r>
      <w:r w:rsidRPr="00590D2D">
        <w:t>sources of information identified</w:t>
      </w:r>
      <w:r w:rsidR="00391CF5">
        <w:t>;</w:t>
      </w:r>
    </w:p>
    <w:p w14:paraId="385A5DC9" w14:textId="50F24B8A" w:rsidR="00814FED" w:rsidRPr="00FF221F" w:rsidRDefault="00814FED" w:rsidP="006268E5">
      <w:pPr>
        <w:pStyle w:val="CBDNormalNumber"/>
        <w:numPr>
          <w:ilvl w:val="1"/>
          <w:numId w:val="7"/>
        </w:numPr>
        <w:tabs>
          <w:tab w:val="clear" w:pos="567"/>
          <w:tab w:val="clear" w:pos="1134"/>
        </w:tabs>
      </w:pPr>
      <w:r w:rsidRPr="00FF221F">
        <w:t>Information made available</w:t>
      </w:r>
      <w:r w:rsidR="00793CA9">
        <w:t xml:space="preserve"> through </w:t>
      </w:r>
      <w:r w:rsidR="001A4D48">
        <w:t>the</w:t>
      </w:r>
      <w:r w:rsidR="001A4D48" w:rsidRPr="001A4D48">
        <w:t xml:space="preserve"> </w:t>
      </w:r>
      <w:r w:rsidR="001A4D48" w:rsidRPr="00FF221F">
        <w:t>Access and Benefit-sharing</w:t>
      </w:r>
      <w:r w:rsidR="001A4D48">
        <w:t xml:space="preserve"> </w:t>
      </w:r>
      <w:r w:rsidR="001A4D48" w:rsidRPr="00FF221F">
        <w:t>Clearing-House</w:t>
      </w:r>
      <w:r w:rsidRPr="00FF221F">
        <w:t xml:space="preserve"> by Parties, other Governments, indigenous peoples and local </w:t>
      </w:r>
      <w:r w:rsidRPr="00D509D8">
        <w:t>communities</w:t>
      </w:r>
      <w:r w:rsidRPr="00FF221F">
        <w:t xml:space="preserve"> and relevant organizations regarding their </w:t>
      </w:r>
      <w:r w:rsidR="00902DE9">
        <w:t xml:space="preserve">financial resources, </w:t>
      </w:r>
      <w:r w:rsidR="00902DE9" w:rsidRPr="001E7B54">
        <w:t>resource</w:t>
      </w:r>
      <w:r w:rsidR="003F032A" w:rsidRPr="001E7B54">
        <w:t>-mobil</w:t>
      </w:r>
      <w:r w:rsidR="00793CA9" w:rsidRPr="001E7B54">
        <w:t>i</w:t>
      </w:r>
      <w:r w:rsidR="00391CF5">
        <w:t>z</w:t>
      </w:r>
      <w:r w:rsidR="003F032A" w:rsidRPr="001E7B54">
        <w:t>ation</w:t>
      </w:r>
      <w:r w:rsidR="003F032A">
        <w:t xml:space="preserve"> and related implementation support for</w:t>
      </w:r>
      <w:r w:rsidR="00BD1291">
        <w:t xml:space="preserve"> </w:t>
      </w:r>
      <w:r w:rsidR="00A367FF">
        <w:t>Access and Benefit-sharing activities</w:t>
      </w:r>
      <w:r w:rsidR="00391CF5">
        <w:t>;</w:t>
      </w:r>
    </w:p>
    <w:p w14:paraId="7DCCC1B5" w14:textId="7A48BBE1" w:rsidR="00814FED" w:rsidRPr="00590D2D" w:rsidRDefault="00814FED" w:rsidP="006268E5">
      <w:pPr>
        <w:pStyle w:val="CBDNormalNumber"/>
        <w:numPr>
          <w:ilvl w:val="1"/>
          <w:numId w:val="7"/>
        </w:numPr>
        <w:tabs>
          <w:tab w:val="clear" w:pos="567"/>
          <w:tab w:val="clear" w:pos="1134"/>
        </w:tabs>
      </w:pPr>
      <w:r w:rsidRPr="00590D2D">
        <w:t>Project identification forms (PIFs) or other information available in the Global Environment Facility’s (GEF) Project Database</w:t>
      </w:r>
      <w:r w:rsidRPr="00590D2D">
        <w:rPr>
          <w:vertAlign w:val="superscript"/>
        </w:rPr>
        <w:footnoteReference w:id="4"/>
      </w:r>
      <w:r w:rsidRPr="00590D2D">
        <w:t xml:space="preserve"> and the GEF Small Grants Programme Project Database</w:t>
      </w:r>
      <w:r w:rsidR="00391CF5">
        <w:t>;</w:t>
      </w:r>
      <w:r w:rsidRPr="00590D2D">
        <w:rPr>
          <w:vertAlign w:val="superscript"/>
        </w:rPr>
        <w:footnoteReference w:id="5"/>
      </w:r>
    </w:p>
    <w:p w14:paraId="333026DA" w14:textId="4327D277" w:rsidR="00814FED" w:rsidRPr="00590D2D" w:rsidRDefault="00814FED" w:rsidP="006268E5">
      <w:pPr>
        <w:pStyle w:val="CBDNormalNumber"/>
        <w:numPr>
          <w:ilvl w:val="1"/>
          <w:numId w:val="7"/>
        </w:numPr>
        <w:tabs>
          <w:tab w:val="clear" w:pos="567"/>
          <w:tab w:val="clear" w:pos="1134"/>
        </w:tabs>
      </w:pPr>
      <w:r w:rsidRPr="00590D2D">
        <w:t>Information provided by organizations implementing and/or executing capacity-building initiatives</w:t>
      </w:r>
      <w:r w:rsidR="00691125">
        <w:t>.</w:t>
      </w:r>
    </w:p>
    <w:p w14:paraId="7849B7E7" w14:textId="66A9A872" w:rsidR="00D83E91" w:rsidRPr="002C3790" w:rsidRDefault="00D83E91" w:rsidP="002C3790">
      <w:pPr>
        <w:pStyle w:val="CBDNormalNumber"/>
        <w:ind w:left="567"/>
      </w:pPr>
      <w:r w:rsidRPr="002C3790">
        <w:t xml:space="preserve">The analysis is based on the best available financial information identified by the Secretariat. While funding data are incomplete for a limited number of national, regional/subregional and global initiatives, resulting in aggregate figures that should be interpreted as indicative and likely underestimating total </w:t>
      </w:r>
      <w:r w:rsidR="000B198A" w:rsidRPr="002C3790">
        <w:t xml:space="preserve">financial </w:t>
      </w:r>
      <w:r w:rsidRPr="002C3790">
        <w:t xml:space="preserve">resources, the information available provides a basis for identifying patterns and trends in the deployment of financial resources over time. </w:t>
      </w:r>
    </w:p>
    <w:p w14:paraId="72BC6891" w14:textId="535CA345" w:rsidR="00814FED" w:rsidRDefault="00814FED" w:rsidP="002C3790">
      <w:pPr>
        <w:pStyle w:val="CBDNormalNumber"/>
        <w:ind w:left="567"/>
      </w:pPr>
      <w:r w:rsidRPr="00590D2D">
        <w:t>The analysis presented in this document is intended to inform and support the second assessment and review of the effectiveness of the Nagoya Protocol, including consideration of progress, challenges and emerging trends related to financial resources and resource mobili</w:t>
      </w:r>
      <w:r w:rsidR="00E51D85">
        <w:t>z</w:t>
      </w:r>
      <w:r w:rsidRPr="00590D2D">
        <w:t>ation in accordance with the agreed methodology.</w:t>
      </w:r>
    </w:p>
    <w:p w14:paraId="183FFA42" w14:textId="3499D37C" w:rsidR="007C179F" w:rsidRPr="005D7602" w:rsidRDefault="007C179F" w:rsidP="005D7602">
      <w:pPr>
        <w:pStyle w:val="CBDH2"/>
      </w:pPr>
      <w:r w:rsidRPr="005D7602">
        <w:t>C.</w:t>
      </w:r>
      <w:r w:rsidR="005D7602">
        <w:tab/>
      </w:r>
      <w:r w:rsidRPr="005D7602">
        <w:t>Structure of the document</w:t>
      </w:r>
    </w:p>
    <w:p w14:paraId="0A3478D5" w14:textId="23F063B6" w:rsidR="00D500BF" w:rsidRPr="002C3790" w:rsidRDefault="00D500BF" w:rsidP="002C3790">
      <w:pPr>
        <w:pStyle w:val="CBDNormalNumber"/>
        <w:ind w:left="567"/>
      </w:pPr>
      <w:r w:rsidRPr="002C3790">
        <w:t xml:space="preserve">Section II </w:t>
      </w:r>
      <w:r w:rsidR="00D15946">
        <w:t xml:space="preserve">contains a </w:t>
      </w:r>
      <w:r w:rsidRPr="002C3790">
        <w:t>review</w:t>
      </w:r>
      <w:r w:rsidR="00D15946">
        <w:t xml:space="preserve"> of</w:t>
      </w:r>
      <w:r w:rsidRPr="002C3790">
        <w:t xml:space="preserve"> financial resources supporting </w:t>
      </w:r>
      <w:r w:rsidR="005F4177" w:rsidRPr="005F4177">
        <w:rPr>
          <w:lang w:eastAsia="en-CA"/>
        </w:rPr>
        <w:t>access and benefit-sharing</w:t>
      </w:r>
      <w:r w:rsidR="008935A2">
        <w:rPr>
          <w:lang w:eastAsia="en-CA"/>
        </w:rPr>
        <w:t xml:space="preserve"> </w:t>
      </w:r>
      <w:r w:rsidRPr="002C3790">
        <w:t>implementation provided through the Global Environment Facility, including trends across replenishment cycles</w:t>
      </w:r>
      <w:r w:rsidR="00E06B39">
        <w:t>.</w:t>
      </w:r>
    </w:p>
    <w:p w14:paraId="70C98DD8" w14:textId="2692F7C7" w:rsidR="003F49D6" w:rsidRPr="002C3790" w:rsidRDefault="001A0231" w:rsidP="002C3790">
      <w:pPr>
        <w:pStyle w:val="CBDNormalNumber"/>
        <w:ind w:left="567"/>
      </w:pPr>
      <w:r>
        <w:t xml:space="preserve">The </w:t>
      </w:r>
      <w:r w:rsidR="003F49D6" w:rsidRPr="002C3790">
        <w:t xml:space="preserve">financial resources supporting </w:t>
      </w:r>
      <w:r w:rsidR="00C27CC9" w:rsidRPr="00C27CC9">
        <w:rPr>
          <w:lang w:eastAsia="en-CA"/>
        </w:rPr>
        <w:t>access and benefit-sharing</w:t>
      </w:r>
      <w:r w:rsidR="008935A2">
        <w:rPr>
          <w:lang w:eastAsia="en-CA"/>
        </w:rPr>
        <w:t xml:space="preserve"> </w:t>
      </w:r>
      <w:r w:rsidR="003F49D6" w:rsidRPr="002C3790">
        <w:t>implementation beyond GEF Trust Fund allocations, including bilateral, multilateral and other international sources of support, as well as domestic resource</w:t>
      </w:r>
      <w:r w:rsidR="00F6143B">
        <w:t xml:space="preserve"> </w:t>
      </w:r>
      <w:r w:rsidR="003F49D6" w:rsidRPr="002C3790">
        <w:t>mobili</w:t>
      </w:r>
      <w:r w:rsidR="00F6143B">
        <w:t>z</w:t>
      </w:r>
      <w:r w:rsidR="003F49D6" w:rsidRPr="002C3790">
        <w:t>ation efforts</w:t>
      </w:r>
      <w:r>
        <w:t xml:space="preserve"> are examined in section III</w:t>
      </w:r>
      <w:r w:rsidR="003F49D6" w:rsidRPr="002C3790">
        <w:t>.</w:t>
      </w:r>
    </w:p>
    <w:p w14:paraId="20895C38" w14:textId="6F385E70" w:rsidR="003F49D6" w:rsidRPr="002C3790" w:rsidRDefault="003F49D6" w:rsidP="002C3790">
      <w:pPr>
        <w:pStyle w:val="CBDNormalNumber"/>
        <w:ind w:left="567"/>
      </w:pPr>
      <w:r w:rsidRPr="002C3790">
        <w:t xml:space="preserve">Section IV </w:t>
      </w:r>
      <w:r w:rsidR="00F6143B">
        <w:t xml:space="preserve">contains an </w:t>
      </w:r>
      <w:r w:rsidRPr="002C3790">
        <w:t>analys</w:t>
      </w:r>
      <w:r w:rsidR="00F6143B">
        <w:t>is of</w:t>
      </w:r>
      <w:r w:rsidRPr="002C3790">
        <w:t xml:space="preserve"> the thematic areas and types of activities supported by financial resources for the implementation of the Nagoya Protocol</w:t>
      </w:r>
      <w:r w:rsidR="002157DD">
        <w:t xml:space="preserve"> drawing </w:t>
      </w:r>
      <w:r w:rsidR="000673C4">
        <w:t xml:space="preserve">on the analysis in document </w:t>
      </w:r>
      <w:r w:rsidR="006B5DFD" w:rsidRPr="00DE49A3">
        <w:t xml:space="preserve">CBD/SBI/7/INF/6 </w:t>
      </w:r>
      <w:r w:rsidR="005314DE">
        <w:t>on capacity-building and development. Reflecting the close linkage between finance and ca</w:t>
      </w:r>
      <w:r w:rsidR="004F60C0">
        <w:t>pacity-building</w:t>
      </w:r>
      <w:r w:rsidR="003842BD">
        <w:t xml:space="preserve">, the section highlights relevant findings from that document in </w:t>
      </w:r>
      <w:r w:rsidR="008F3317">
        <w:t>relation to financial resourc</w:t>
      </w:r>
      <w:r w:rsidR="00B5664F">
        <w:t>e</w:t>
      </w:r>
      <w:r w:rsidR="008F3317">
        <w:t xml:space="preserve">s, </w:t>
      </w:r>
      <w:r w:rsidRPr="002C3790">
        <w:t>with reference to the outcome areas of the Capacity</w:t>
      </w:r>
      <w:r w:rsidRPr="002C3790">
        <w:noBreakHyphen/>
        <w:t>building and Development Action Plan (2010–2026).</w:t>
      </w:r>
    </w:p>
    <w:p w14:paraId="181A4ED4" w14:textId="71B7A566" w:rsidR="00EF1CBE" w:rsidRPr="002C3790" w:rsidRDefault="00EF1CBE" w:rsidP="002C3790">
      <w:pPr>
        <w:pStyle w:val="CBDNormalNumber"/>
        <w:ind w:left="567"/>
      </w:pPr>
      <w:r w:rsidRPr="002C3790">
        <w:t xml:space="preserve">Section V </w:t>
      </w:r>
      <w:r w:rsidR="007D4363">
        <w:t xml:space="preserve">contains a </w:t>
      </w:r>
      <w:r w:rsidRPr="002C3790">
        <w:t xml:space="preserve">review </w:t>
      </w:r>
      <w:r w:rsidR="007D4363">
        <w:t xml:space="preserve">of </w:t>
      </w:r>
      <w:r w:rsidRPr="002C3790">
        <w:t>the geographic distribution of financial resources supporting implementation at national, regional and subregional levels</w:t>
      </w:r>
      <w:r w:rsidR="007D4363">
        <w:t>, while in</w:t>
      </w:r>
      <w:r w:rsidR="007D4363" w:rsidRPr="007D4363">
        <w:t xml:space="preserve"> </w:t>
      </w:r>
      <w:r w:rsidR="007D4363">
        <w:t>s</w:t>
      </w:r>
      <w:r w:rsidR="007D4363" w:rsidRPr="002C3790">
        <w:t>ection VI</w:t>
      </w:r>
      <w:r w:rsidR="007D4363">
        <w:t xml:space="preserve">, </w:t>
      </w:r>
      <w:r w:rsidR="00523D29">
        <w:t>a</w:t>
      </w:r>
      <w:r w:rsidR="007D4363" w:rsidRPr="002C3790">
        <w:t xml:space="preserve"> synthesis </w:t>
      </w:r>
      <w:r w:rsidR="00523D29">
        <w:t xml:space="preserve">of </w:t>
      </w:r>
      <w:r w:rsidR="007D4363" w:rsidRPr="002C3790">
        <w:t>key trends and patterns observed across funding sources, modalities and levels of implementation</w:t>
      </w:r>
      <w:r w:rsidR="00523D29">
        <w:t xml:space="preserve"> is provided.</w:t>
      </w:r>
    </w:p>
    <w:p w14:paraId="2FAD4294" w14:textId="78AEEC55" w:rsidR="000D6F55" w:rsidRPr="002C3790" w:rsidRDefault="000D6F55" w:rsidP="00523D29">
      <w:pPr>
        <w:pStyle w:val="CBDNormalNumber"/>
        <w:ind w:left="567"/>
      </w:pPr>
      <w:r w:rsidRPr="002C3790">
        <w:lastRenderedPageBreak/>
        <w:t xml:space="preserve">Section VII presents concluding observations on the evolution, distribution and thematic focus of financial resources and resource </w:t>
      </w:r>
      <w:r w:rsidR="00E51D85">
        <w:t>mobilization</w:t>
      </w:r>
      <w:r w:rsidRPr="002C3790">
        <w:t xml:space="preserve"> and reflects on their implications for discussions on the effectiveness and future orientation of support for the implementation of the Nagoya Protocol.</w:t>
      </w:r>
    </w:p>
    <w:p w14:paraId="3BDBB367" w14:textId="69AD5F4E" w:rsidR="00814FED" w:rsidRDefault="00391CF5" w:rsidP="006268E5">
      <w:pPr>
        <w:pStyle w:val="CBDH1"/>
      </w:pPr>
      <w:r>
        <w:t>II.</w:t>
      </w:r>
      <w:r>
        <w:tab/>
      </w:r>
      <w:r w:rsidR="00814FED" w:rsidRPr="003C5E81">
        <w:t xml:space="preserve">Overview </w:t>
      </w:r>
      <w:r w:rsidR="00814FED">
        <w:t>o</w:t>
      </w:r>
      <w:r w:rsidR="00814FED" w:rsidRPr="003C5E81">
        <w:t xml:space="preserve">f </w:t>
      </w:r>
      <w:r w:rsidR="00814FED">
        <w:t>t</w:t>
      </w:r>
      <w:r w:rsidR="00814FED" w:rsidRPr="003C5E81">
        <w:t>he Global Environment Facility (G</w:t>
      </w:r>
      <w:r w:rsidR="00814FED">
        <w:t>EF</w:t>
      </w:r>
      <w:r w:rsidR="00814FED" w:rsidRPr="003C5E81">
        <w:t xml:space="preserve">) </w:t>
      </w:r>
      <w:r w:rsidR="007D00F7">
        <w:t>s</w:t>
      </w:r>
      <w:r w:rsidR="00814FED" w:rsidRPr="003C5E81">
        <w:t xml:space="preserve">upport </w:t>
      </w:r>
      <w:r w:rsidR="00814FED">
        <w:t>t</w:t>
      </w:r>
      <w:r w:rsidR="00814FED" w:rsidRPr="003C5E81">
        <w:t xml:space="preserve">o </w:t>
      </w:r>
      <w:r w:rsidR="00814FED">
        <w:t>t</w:t>
      </w:r>
      <w:r w:rsidR="00814FED" w:rsidRPr="003C5E81">
        <w:t xml:space="preserve">he </w:t>
      </w:r>
      <w:r w:rsidR="007D00F7">
        <w:t>i</w:t>
      </w:r>
      <w:r w:rsidR="00814FED" w:rsidRPr="003C5E81">
        <w:t xml:space="preserve">mplementation </w:t>
      </w:r>
      <w:r w:rsidR="00814FED">
        <w:t>o</w:t>
      </w:r>
      <w:r w:rsidR="00814FED" w:rsidRPr="003C5E81">
        <w:t xml:space="preserve">f </w:t>
      </w:r>
      <w:r w:rsidR="00814FED">
        <w:t>t</w:t>
      </w:r>
      <w:r w:rsidR="00814FED" w:rsidRPr="003C5E81">
        <w:t>he Nagoya Protocol - (</w:t>
      </w:r>
      <w:r w:rsidR="007D00F7">
        <w:t>f</w:t>
      </w:r>
      <w:r w:rsidR="00814FED" w:rsidRPr="003C5E81">
        <w:t xml:space="preserve">unding </w:t>
      </w:r>
      <w:r w:rsidR="007D00F7">
        <w:t>e</w:t>
      </w:r>
      <w:r w:rsidR="00814FED" w:rsidRPr="003C5E81">
        <w:t xml:space="preserve">volution </w:t>
      </w:r>
      <w:r w:rsidR="007D00F7">
        <w:t>a</w:t>
      </w:r>
      <w:r w:rsidR="00814FED" w:rsidRPr="003C5E81">
        <w:t xml:space="preserve">cross </w:t>
      </w:r>
      <w:r w:rsidR="007D00F7">
        <w:t>p</w:t>
      </w:r>
      <w:r w:rsidR="00814FED" w:rsidRPr="003C5E81">
        <w:t xml:space="preserve">rogramming </w:t>
      </w:r>
      <w:r w:rsidR="007D00F7">
        <w:t>c</w:t>
      </w:r>
      <w:r w:rsidR="00814FED" w:rsidRPr="003C5E81">
        <w:t>ycles -2010</w:t>
      </w:r>
      <w:r>
        <w:t>–</w:t>
      </w:r>
      <w:r w:rsidR="00814FED" w:rsidRPr="003C5E81">
        <w:t>2026)</w:t>
      </w:r>
    </w:p>
    <w:p w14:paraId="767E5D5E" w14:textId="00958D4E" w:rsidR="00814FED" w:rsidRPr="008F5EFC" w:rsidRDefault="00FD10A7" w:rsidP="006268E5">
      <w:pPr>
        <w:pStyle w:val="CBDH2"/>
      </w:pPr>
      <w:r>
        <w:t>A.</w:t>
      </w:r>
      <w:r>
        <w:tab/>
      </w:r>
      <w:r w:rsidR="00814FED" w:rsidRPr="008F5EFC">
        <w:t xml:space="preserve">Phases of GEF </w:t>
      </w:r>
      <w:r w:rsidR="007D00F7">
        <w:t>s</w:t>
      </w:r>
      <w:r w:rsidR="00814FED" w:rsidRPr="008F5EFC">
        <w:t xml:space="preserve">upport </w:t>
      </w:r>
      <w:r w:rsidR="007D00F7">
        <w:t>a</w:t>
      </w:r>
      <w:r w:rsidR="00814FED" w:rsidRPr="008F5EFC">
        <w:t xml:space="preserve">cross </w:t>
      </w:r>
      <w:r w:rsidR="007D00F7">
        <w:t>p</w:t>
      </w:r>
      <w:r w:rsidR="00814FED" w:rsidRPr="008F5EFC">
        <w:t xml:space="preserve">rogramming </w:t>
      </w:r>
      <w:r w:rsidR="007D00F7">
        <w:t>c</w:t>
      </w:r>
      <w:r w:rsidR="00814FED" w:rsidRPr="008F5EFC">
        <w:t>ycles (GEF</w:t>
      </w:r>
      <w:r w:rsidR="00814FED" w:rsidRPr="008F5EFC">
        <w:noBreakHyphen/>
        <w:t>4 to GEF</w:t>
      </w:r>
      <w:r w:rsidR="00814FED" w:rsidRPr="008F5EFC">
        <w:noBreakHyphen/>
        <w:t>8)</w:t>
      </w:r>
    </w:p>
    <w:p w14:paraId="5B1EA807" w14:textId="727CB4D8" w:rsidR="008F38E2" w:rsidRDefault="00814FED" w:rsidP="008F38E2">
      <w:pPr>
        <w:pStyle w:val="CBDNormalNumber"/>
        <w:ind w:left="567"/>
      </w:pPr>
      <w:r w:rsidRPr="007470D8">
        <w:t>The</w:t>
      </w:r>
      <w:r w:rsidRPr="00FF221F">
        <w:t xml:space="preserve"> assessment of financial resources and resource </w:t>
      </w:r>
      <w:r w:rsidR="00E51D85">
        <w:t>mobilization</w:t>
      </w:r>
      <w:r w:rsidRPr="00FF221F">
        <w:t xml:space="preserve"> from GEF and GBFF for support of access and benefit</w:t>
      </w:r>
      <w:r w:rsidRPr="00FF221F">
        <w:noBreakHyphen/>
        <w:t xml:space="preserve">sharing </w:t>
      </w:r>
      <w:r w:rsidR="006959E5">
        <w:t xml:space="preserve">under </w:t>
      </w:r>
      <w:r w:rsidRPr="00FF221F">
        <w:t>the Nagoya Protocol</w:t>
      </w:r>
      <w:r w:rsidR="007241CB">
        <w:t xml:space="preserve"> examines </w:t>
      </w:r>
      <w:r w:rsidRPr="00FF221F">
        <w:t xml:space="preserve">how funding patterns </w:t>
      </w:r>
      <w:r w:rsidR="008B0D0D">
        <w:t xml:space="preserve">have </w:t>
      </w:r>
      <w:r w:rsidR="00F34F4B">
        <w:t>evolved over</w:t>
      </w:r>
      <w:r w:rsidRPr="00FF221F">
        <w:t xml:space="preserve"> time, complementing trends</w:t>
      </w:r>
      <w:r w:rsidR="00BD48E6">
        <w:t xml:space="preserve"> reported in</w:t>
      </w:r>
      <w:r w:rsidRPr="00FF221F">
        <w:t xml:space="preserve"> national reports. </w:t>
      </w:r>
      <w:r w:rsidR="00F34F4B">
        <w:t>The analysis is structured around</w:t>
      </w:r>
      <w:r w:rsidR="000D4BA1">
        <w:t xml:space="preserve"> GEF programming cycles (GEF-4 to GEF-8)</w:t>
      </w:r>
      <w:r w:rsidR="00A31117">
        <w:t xml:space="preserve">, spanning the </w:t>
      </w:r>
      <w:r w:rsidRPr="00FF221F">
        <w:t xml:space="preserve">periods </w:t>
      </w:r>
      <w:r w:rsidR="00A31117">
        <w:t>2006</w:t>
      </w:r>
      <w:r w:rsidR="00391CF5">
        <w:t>–</w:t>
      </w:r>
      <w:r w:rsidR="00A31117">
        <w:t>2026</w:t>
      </w:r>
      <w:r w:rsidR="00B42ACA">
        <w:t xml:space="preserve">, which provides a consistent temporal framework for </w:t>
      </w:r>
      <w:r w:rsidR="00C11F21">
        <w:t>examining changes and continuities in financial su</w:t>
      </w:r>
      <w:r w:rsidR="00722E82">
        <w:t>pport.</w:t>
      </w:r>
    </w:p>
    <w:p w14:paraId="5DEAACB3" w14:textId="3A07DFBA" w:rsidR="00FF5ED6" w:rsidRPr="008F38E2" w:rsidRDefault="00722E82" w:rsidP="008F38E2">
      <w:pPr>
        <w:pStyle w:val="CBDNormalNumber"/>
        <w:ind w:left="567"/>
      </w:pPr>
      <w:r w:rsidRPr="008F38E2">
        <w:rPr>
          <w:lang w:val="en-CA" w:eastAsia="en-CA"/>
        </w:rPr>
        <w:t>I</w:t>
      </w:r>
      <w:r w:rsidR="00FF5ED6" w:rsidRPr="008F38E2">
        <w:rPr>
          <w:lang w:val="en-CA" w:eastAsia="en-CA"/>
        </w:rPr>
        <w:t xml:space="preserve">t is important </w:t>
      </w:r>
      <w:r w:rsidR="00695932" w:rsidRPr="008F38E2">
        <w:rPr>
          <w:lang w:val="en-CA" w:eastAsia="en-CA"/>
        </w:rPr>
        <w:t>to note</w:t>
      </w:r>
      <w:r w:rsidR="00FF5ED6" w:rsidRPr="008F38E2">
        <w:rPr>
          <w:lang w:val="en-CA" w:eastAsia="en-CA"/>
        </w:rPr>
        <w:t xml:space="preserve"> that </w:t>
      </w:r>
      <w:r w:rsidR="00695932" w:rsidRPr="008F38E2">
        <w:rPr>
          <w:lang w:val="en-CA" w:eastAsia="en-CA"/>
        </w:rPr>
        <w:t>t</w:t>
      </w:r>
      <w:r w:rsidR="00FF5ED6" w:rsidRPr="008F38E2">
        <w:rPr>
          <w:lang w:val="en-CA" w:eastAsia="en-CA"/>
        </w:rPr>
        <w:t>he categorization of GEF</w:t>
      </w:r>
      <w:r w:rsidR="00FF5ED6" w:rsidRPr="008F38E2">
        <w:rPr>
          <w:lang w:val="en-CA" w:eastAsia="en-CA"/>
        </w:rPr>
        <w:noBreakHyphen/>
        <w:t>financed access and benefit</w:t>
      </w:r>
      <w:r w:rsidR="00FF5ED6" w:rsidRPr="008F38E2">
        <w:rPr>
          <w:lang w:val="en-CA" w:eastAsia="en-CA"/>
        </w:rPr>
        <w:noBreakHyphen/>
        <w:t>sharing support</w:t>
      </w:r>
      <w:r w:rsidR="005C3C5E" w:rsidRPr="008F38E2">
        <w:rPr>
          <w:lang w:val="en-CA" w:eastAsia="en-CA"/>
        </w:rPr>
        <w:t xml:space="preserve"> presented </w:t>
      </w:r>
      <w:r w:rsidR="0056573B" w:rsidRPr="008F38E2">
        <w:rPr>
          <w:lang w:val="en-CA" w:eastAsia="en-CA"/>
        </w:rPr>
        <w:t>in this section is based on analytical review of</w:t>
      </w:r>
      <w:r w:rsidR="00FF5ED6" w:rsidRPr="008F38E2">
        <w:rPr>
          <w:lang w:val="en-CA" w:eastAsia="en-CA"/>
        </w:rPr>
        <w:t xml:space="preserve"> activities across GEF programming cycles and is used solely to illustrate trends in the portfolio over time. </w:t>
      </w:r>
      <w:r w:rsidR="009F340A" w:rsidRPr="008F38E2">
        <w:rPr>
          <w:lang w:val="en-CA" w:eastAsia="en-CA"/>
        </w:rPr>
        <w:t>These categories</w:t>
      </w:r>
      <w:r w:rsidR="002B1C88" w:rsidRPr="008F38E2">
        <w:rPr>
          <w:lang w:val="en-CA" w:eastAsia="en-CA"/>
        </w:rPr>
        <w:t xml:space="preserve"> do</w:t>
      </w:r>
      <w:r w:rsidR="00FF5ED6" w:rsidRPr="008F38E2">
        <w:rPr>
          <w:lang w:val="en-CA" w:eastAsia="en-CA"/>
        </w:rPr>
        <w:t xml:space="preserve"> not imply a linear </w:t>
      </w:r>
      <w:r w:rsidR="002B1C88" w:rsidRPr="008F38E2">
        <w:rPr>
          <w:lang w:val="en-CA" w:eastAsia="en-CA"/>
        </w:rPr>
        <w:t xml:space="preserve">sequence, graduation, or </w:t>
      </w:r>
      <w:r w:rsidR="00FF5ED6" w:rsidRPr="008F38E2">
        <w:rPr>
          <w:lang w:val="en-CA" w:eastAsia="en-CA"/>
        </w:rPr>
        <w:t>change in GEF guidance, as countries continue to access support for foundational, early implementation, and scaling</w:t>
      </w:r>
      <w:r w:rsidR="00FF5ED6" w:rsidRPr="008F38E2">
        <w:rPr>
          <w:lang w:val="en-CA" w:eastAsia="en-CA"/>
        </w:rPr>
        <w:noBreakHyphen/>
        <w:t>up activities in parallel, depending on national circumstances.</w:t>
      </w:r>
    </w:p>
    <w:p w14:paraId="5D0576ED" w14:textId="66D862F5" w:rsidR="009832C4" w:rsidRDefault="00814FED">
      <w:pPr>
        <w:pStyle w:val="CBDNormalNumber"/>
        <w:ind w:left="567"/>
      </w:pPr>
      <w:r w:rsidRPr="00FF221F">
        <w:t>The</w:t>
      </w:r>
      <w:r w:rsidR="00B75703">
        <w:t xml:space="preserve"> period 2006</w:t>
      </w:r>
      <w:r w:rsidR="00391CF5">
        <w:t>–</w:t>
      </w:r>
      <w:r w:rsidR="00B75703">
        <w:t>2010</w:t>
      </w:r>
      <w:r w:rsidR="00654F5F">
        <w:t>, corresponding to the years immediately preceding the adopt</w:t>
      </w:r>
      <w:r w:rsidR="00294AEC">
        <w:t>ion of the Nagoya Protocol in 20</w:t>
      </w:r>
      <w:r w:rsidR="00FE5544">
        <w:t>10</w:t>
      </w:r>
      <w:r w:rsidR="009828DB">
        <w:t>. Is therefore considered a foundational or preparatory phase. While the primary focus of the assessment is on the p</w:t>
      </w:r>
      <w:r w:rsidR="005E126C">
        <w:t>eriod 2010</w:t>
      </w:r>
      <w:r w:rsidR="009168A1">
        <w:t>–</w:t>
      </w:r>
      <w:r w:rsidR="005E126C">
        <w:t>2026</w:t>
      </w:r>
      <w:r w:rsidR="009168A1">
        <w:t>, inclusion of this pre-Nagoya</w:t>
      </w:r>
      <w:r w:rsidR="00112899">
        <w:t xml:space="preserve"> period provides essential context for understanding su</w:t>
      </w:r>
      <w:r w:rsidR="009832C4">
        <w:t>bsequent patterns of support.</w:t>
      </w:r>
    </w:p>
    <w:p w14:paraId="3CEC5F3F" w14:textId="180CBAFC" w:rsidR="0022530C" w:rsidRPr="00216AFD" w:rsidRDefault="0022530C" w:rsidP="008F38E2">
      <w:pPr>
        <w:pStyle w:val="CBDNormalNumber"/>
        <w:ind w:left="567"/>
      </w:pPr>
      <w:r w:rsidRPr="00216AFD">
        <w:t>A more detailed examination of the evolution of GEF trust fund replenishment support for access and benefit</w:t>
      </w:r>
      <w:r w:rsidRPr="00216AFD">
        <w:noBreakHyphen/>
        <w:t xml:space="preserve">sharing across programming cycles is presented in the next section. </w:t>
      </w:r>
      <w:proofErr w:type="gramStart"/>
      <w:r w:rsidRPr="00216AFD">
        <w:t>In order to</w:t>
      </w:r>
      <w:proofErr w:type="gramEnd"/>
      <w:r w:rsidRPr="00216AFD">
        <w:t xml:space="preserve"> avoid repetition, that section elaborates on these trends through a comparative overview of funding across cycles, as illustrated in </w:t>
      </w:r>
      <w:r w:rsidR="00905A47">
        <w:t>t</w:t>
      </w:r>
      <w:r w:rsidRPr="00216AFD">
        <w:t>able I</w:t>
      </w:r>
      <w:r>
        <w:t xml:space="preserve"> below</w:t>
      </w:r>
      <w:r w:rsidRPr="00216AFD">
        <w:t xml:space="preserve">, while </w:t>
      </w:r>
      <w:r w:rsidR="00391CF5">
        <w:t>figure</w:t>
      </w:r>
      <w:r w:rsidR="00391CF5" w:rsidRPr="00216AFD">
        <w:t xml:space="preserve"> </w:t>
      </w:r>
      <w:r w:rsidR="00E3430D">
        <w:t>I</w:t>
      </w:r>
      <w:r w:rsidRPr="00216AFD">
        <w:t xml:space="preserve"> provides a visual depiction of the phases of GEF support for ABS</w:t>
      </w:r>
      <w:r w:rsidRPr="00216AFD">
        <w:noBreakHyphen/>
        <w:t>related projects over the period 2006–2026.</w:t>
      </w:r>
    </w:p>
    <w:p w14:paraId="2DA2ADA3" w14:textId="0BBE0A6B" w:rsidR="00814FED" w:rsidRPr="0099317C" w:rsidRDefault="009E6494" w:rsidP="006268E5">
      <w:pPr>
        <w:pStyle w:val="CBDTableTitle"/>
      </w:pPr>
      <w:r w:rsidRPr="006268E5">
        <w:rPr>
          <w:b w:val="0"/>
          <w:bCs/>
        </w:rPr>
        <w:t>Figure</w:t>
      </w:r>
      <w:r w:rsidR="00814FED" w:rsidRPr="006268E5">
        <w:rPr>
          <w:b w:val="0"/>
          <w:bCs/>
        </w:rPr>
        <w:t xml:space="preserve"> </w:t>
      </w:r>
      <w:r w:rsidR="00761C1B">
        <w:rPr>
          <w:b w:val="0"/>
          <w:bCs/>
        </w:rPr>
        <w:t>I</w:t>
      </w:r>
      <w:r w:rsidR="00814FED" w:rsidRPr="0099317C">
        <w:t xml:space="preserve"> </w:t>
      </w:r>
      <w:r w:rsidR="00391CF5">
        <w:br/>
      </w:r>
      <w:r w:rsidR="00814FED" w:rsidRPr="0099317C">
        <w:t xml:space="preserve">Phases of GEF </w:t>
      </w:r>
      <w:r w:rsidR="227E37A1" w:rsidRPr="1227E796">
        <w:t>s</w:t>
      </w:r>
      <w:r w:rsidR="00814FED" w:rsidRPr="1227E796">
        <w:t xml:space="preserve">upport </w:t>
      </w:r>
      <w:r w:rsidR="008455AA">
        <w:t>for access and benefit-sharing</w:t>
      </w:r>
      <w:r w:rsidR="002671AC">
        <w:t xml:space="preserve">-related </w:t>
      </w:r>
      <w:r w:rsidR="00723941">
        <w:t>projects</w:t>
      </w:r>
      <w:r w:rsidR="008455AA">
        <w:t xml:space="preserve"> </w:t>
      </w:r>
      <w:r w:rsidR="65DBFB3E" w:rsidRPr="1227E796">
        <w:t>a</w:t>
      </w:r>
      <w:r w:rsidR="00814FED" w:rsidRPr="1227E796">
        <w:t xml:space="preserve">cross </w:t>
      </w:r>
      <w:r w:rsidR="55E3F8E1" w:rsidRPr="1227E796">
        <w:t>p</w:t>
      </w:r>
      <w:r w:rsidR="00814FED" w:rsidRPr="1227E796">
        <w:t>rogramming</w:t>
      </w:r>
      <w:r w:rsidR="00814FED" w:rsidRPr="0099317C">
        <w:t xml:space="preserve"> </w:t>
      </w:r>
      <w:r w:rsidR="328C1309" w:rsidRPr="1F8CFB75">
        <w:t>c</w:t>
      </w:r>
      <w:r w:rsidR="00814FED" w:rsidRPr="0099317C">
        <w:t>ycles (GEF</w:t>
      </w:r>
      <w:r w:rsidR="00814FED">
        <w:noBreakHyphen/>
      </w:r>
      <w:r w:rsidR="00814FED" w:rsidRPr="0099317C">
        <w:t>4 to GEF</w:t>
      </w:r>
      <w:r w:rsidR="00814FED">
        <w:noBreakHyphen/>
      </w:r>
      <w:r w:rsidR="00814FED" w:rsidRPr="0099317C">
        <w:t>8)</w:t>
      </w:r>
    </w:p>
    <w:p w14:paraId="54EC103E" w14:textId="17A78052" w:rsidR="00814FED" w:rsidRDefault="00362BF8" w:rsidP="00A57FE8">
      <w:pPr>
        <w:jc w:val="center"/>
      </w:pPr>
      <w:r>
        <w:rPr>
          <w:noProof/>
        </w:rPr>
        <w:drawing>
          <wp:inline distT="0" distB="0" distL="0" distR="0" wp14:anchorId="0FF28609" wp14:editId="731F2049">
            <wp:extent cx="5436870" cy="2419350"/>
            <wp:effectExtent l="0" t="0" r="11430" b="0"/>
            <wp:docPr id="1651963308" name="Chart 1">
              <a:extLst xmlns:a="http://schemas.openxmlformats.org/drawingml/2006/main">
                <a:ext uri="{FF2B5EF4-FFF2-40B4-BE49-F238E27FC236}">
                  <a16:creationId xmlns:a16="http://schemas.microsoft.com/office/drawing/2014/main" id="{2AF2BBBE-F966-408C-9139-4C89BFAEDD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55EC56" w14:textId="2C737353" w:rsidR="00814FED" w:rsidRDefault="00FD10A7" w:rsidP="006268E5">
      <w:pPr>
        <w:pStyle w:val="CBDH2"/>
      </w:pPr>
      <w:r>
        <w:lastRenderedPageBreak/>
        <w:t>B.</w:t>
      </w:r>
      <w:r>
        <w:tab/>
      </w:r>
      <w:r w:rsidR="00814FED" w:rsidRPr="005614FA">
        <w:t xml:space="preserve">Evolution of GEF Trust Fund </w:t>
      </w:r>
      <w:r w:rsidR="007D00F7">
        <w:t>r</w:t>
      </w:r>
      <w:r w:rsidR="00814FED" w:rsidRPr="005614FA">
        <w:t xml:space="preserve">eplenishment </w:t>
      </w:r>
      <w:r w:rsidR="007D00F7">
        <w:t>s</w:t>
      </w:r>
      <w:r w:rsidR="00956345">
        <w:t xml:space="preserve">upport for </w:t>
      </w:r>
      <w:r w:rsidR="007D00F7">
        <w:t>a</w:t>
      </w:r>
      <w:r w:rsidR="00286E97">
        <w:t xml:space="preserve">ccess and </w:t>
      </w:r>
      <w:r w:rsidR="007D00F7">
        <w:t>b</w:t>
      </w:r>
      <w:r w:rsidR="0091532B">
        <w:t>enefit-</w:t>
      </w:r>
      <w:r w:rsidR="007D00F7">
        <w:t>s</w:t>
      </w:r>
      <w:r w:rsidR="0091532B">
        <w:t>haring</w:t>
      </w:r>
      <w:r w:rsidR="00286E97">
        <w:t xml:space="preserve"> </w:t>
      </w:r>
      <w:r w:rsidR="00956345">
        <w:t xml:space="preserve">and the Nagoya Protocol </w:t>
      </w:r>
      <w:r w:rsidR="007D00F7">
        <w:t>a</w:t>
      </w:r>
      <w:r w:rsidR="00956345">
        <w:t xml:space="preserve">cross </w:t>
      </w:r>
      <w:r w:rsidR="007D00F7">
        <w:t>p</w:t>
      </w:r>
      <w:r w:rsidR="00956345">
        <w:t xml:space="preserve">rogramming </w:t>
      </w:r>
      <w:r w:rsidR="007D00F7">
        <w:t>c</w:t>
      </w:r>
      <w:r w:rsidR="00956345">
        <w:t xml:space="preserve">ycles </w:t>
      </w:r>
      <w:r w:rsidR="00814FED" w:rsidRPr="005614FA">
        <w:t>(2006–2026)</w:t>
      </w:r>
    </w:p>
    <w:p w14:paraId="2BEBF110" w14:textId="14A261F2" w:rsidR="00F63CA0" w:rsidRDefault="00814FED" w:rsidP="00AB6298">
      <w:pPr>
        <w:pStyle w:val="CBDNormalNumber"/>
        <w:ind w:left="567"/>
      </w:pPr>
      <w:r>
        <w:t xml:space="preserve">As is </w:t>
      </w:r>
      <w:r w:rsidRPr="00C85441">
        <w:t>i</w:t>
      </w:r>
      <w:r w:rsidRPr="0099317C">
        <w:t xml:space="preserve">llustrated by </w:t>
      </w:r>
      <w:r w:rsidR="00035431">
        <w:t>t</w:t>
      </w:r>
      <w:r w:rsidRPr="0099317C">
        <w:t>able 1</w:t>
      </w:r>
      <w:r w:rsidR="00BF26AA">
        <w:t xml:space="preserve"> below,</w:t>
      </w:r>
      <w:r w:rsidRPr="002957DA" w:rsidDel="00701361">
        <w:t xml:space="preserve"> </w:t>
      </w:r>
      <w:r w:rsidRPr="005614FA">
        <w:t xml:space="preserve">GEF </w:t>
      </w:r>
      <w:r w:rsidR="00701361">
        <w:t>support for access and benefit-sharing</w:t>
      </w:r>
      <w:r w:rsidR="00BC30D4">
        <w:t xml:space="preserve"> has evolved pro</w:t>
      </w:r>
      <w:r w:rsidR="0023513B">
        <w:t xml:space="preserve">gressively </w:t>
      </w:r>
      <w:r w:rsidRPr="005614FA">
        <w:t>across programming cycles</w:t>
      </w:r>
      <w:r w:rsidR="00A015CF">
        <w:t xml:space="preserve"> in line with the maturation of </w:t>
      </w:r>
      <w:r w:rsidRPr="005614FA">
        <w:t>the Nagoya Protocol.</w:t>
      </w:r>
      <w:r w:rsidR="00195895">
        <w:t xml:space="preserve"> Early support under</w:t>
      </w:r>
      <w:r w:rsidRPr="005614FA">
        <w:t xml:space="preserve"> GEF</w:t>
      </w:r>
      <w:r w:rsidRPr="005614FA">
        <w:noBreakHyphen/>
        <w:t>4</w:t>
      </w:r>
      <w:r w:rsidR="00195895">
        <w:t xml:space="preserve"> (</w:t>
      </w:r>
      <w:r w:rsidR="00D26719">
        <w:t xml:space="preserve">2006-2010), which predates the adoption </w:t>
      </w:r>
      <w:r w:rsidR="00655DD4">
        <w:t xml:space="preserve">the Protocol, played a largely catalytic </w:t>
      </w:r>
      <w:r w:rsidR="005972BD">
        <w:t xml:space="preserve">or foundational </w:t>
      </w:r>
      <w:r w:rsidR="00655DD4">
        <w:t>role, with limited but strategic fina</w:t>
      </w:r>
      <w:r w:rsidR="00343F92">
        <w:t xml:space="preserve">ncing embedded within broader biodiversity programmes to </w:t>
      </w:r>
      <w:r w:rsidR="00FF7B4A" w:rsidRPr="005614FA">
        <w:t>support</w:t>
      </w:r>
      <w:r w:rsidRPr="005614FA" w:rsidDel="00BD75D1">
        <w:t xml:space="preserve"> </w:t>
      </w:r>
      <w:r w:rsidRPr="005614FA">
        <w:t>awareness</w:t>
      </w:r>
      <w:r w:rsidRPr="005614FA">
        <w:noBreakHyphen/>
        <w:t>raising</w:t>
      </w:r>
      <w:r w:rsidR="00BD75D1">
        <w:t xml:space="preserve">, </w:t>
      </w:r>
      <w:r w:rsidR="009D1301">
        <w:t>policy dialogue and institutional readiness.</w:t>
      </w:r>
      <w:r w:rsidRPr="005614FA">
        <w:t xml:space="preserve"> </w:t>
      </w:r>
    </w:p>
    <w:p w14:paraId="785E7711" w14:textId="349447CC" w:rsidR="00BF26AA" w:rsidRPr="0099317C" w:rsidRDefault="00BF26AA" w:rsidP="006268E5">
      <w:pPr>
        <w:pStyle w:val="CBDTableTitle"/>
      </w:pPr>
      <w:r w:rsidRPr="006268E5">
        <w:rPr>
          <w:b w:val="0"/>
          <w:bCs/>
        </w:rPr>
        <w:t>Table 1</w:t>
      </w:r>
      <w:r w:rsidRPr="0099317C">
        <w:t xml:space="preserve"> </w:t>
      </w:r>
      <w:r w:rsidR="00391CF5">
        <w:br/>
      </w:r>
      <w:r w:rsidRPr="0099317C">
        <w:t xml:space="preserve">Evolution of GEF Trust Fund </w:t>
      </w:r>
      <w:r>
        <w:t>r</w:t>
      </w:r>
      <w:r w:rsidRPr="0099317C">
        <w:t xml:space="preserve">eplenishment </w:t>
      </w:r>
      <w:r>
        <w:t>l</w:t>
      </w:r>
      <w:r w:rsidRPr="0099317C">
        <w:t xml:space="preserve">evels for </w:t>
      </w:r>
      <w:r>
        <w:t>access and benefit-sharing</w:t>
      </w:r>
      <w:r w:rsidRPr="0099317C">
        <w:t xml:space="preserve"> and Nagoya Protocol implementation </w:t>
      </w:r>
      <w:r>
        <w:t>a</w:t>
      </w:r>
      <w:r w:rsidRPr="0099317C">
        <w:t xml:space="preserve">cross </w:t>
      </w:r>
      <w:r>
        <w:t>p</w:t>
      </w:r>
      <w:r w:rsidRPr="0099317C">
        <w:t xml:space="preserve">rogramming </w:t>
      </w:r>
      <w:r>
        <w:t>c</w:t>
      </w:r>
      <w:r w:rsidRPr="0099317C">
        <w:t>ycles (2006–2026)</w:t>
      </w:r>
    </w:p>
    <w:tbl>
      <w:tblPr>
        <w:tblW w:w="8620" w:type="dxa"/>
        <w:jc w:val="center"/>
        <w:tblLook w:val="04A0" w:firstRow="1" w:lastRow="0" w:firstColumn="1" w:lastColumn="0" w:noHBand="0" w:noVBand="1"/>
      </w:tblPr>
      <w:tblGrid>
        <w:gridCol w:w="2122"/>
        <w:gridCol w:w="2018"/>
        <w:gridCol w:w="2015"/>
        <w:gridCol w:w="2465"/>
      </w:tblGrid>
      <w:tr w:rsidR="009B1CAF" w:rsidRPr="00391CF5" w14:paraId="4B9665F9" w14:textId="77777777" w:rsidTr="006268E5">
        <w:trPr>
          <w:trHeight w:val="290"/>
          <w:jc w:val="center"/>
        </w:trPr>
        <w:tc>
          <w:tcPr>
            <w:tcW w:w="2122" w:type="dxa"/>
            <w:tcBorders>
              <w:top w:val="single" w:sz="4" w:space="0" w:color="auto"/>
              <w:bottom w:val="single" w:sz="4" w:space="0" w:color="auto"/>
            </w:tcBorders>
            <w:noWrap/>
            <w:vAlign w:val="center"/>
            <w:hideMark/>
          </w:tcPr>
          <w:p w14:paraId="6F8B868D" w14:textId="77777777" w:rsidR="009B1CAF" w:rsidRPr="006268E5" w:rsidRDefault="009B1CAF" w:rsidP="006268E5">
            <w:pPr>
              <w:jc w:val="left"/>
              <w:rPr>
                <w:rFonts w:eastAsia="Times New Roman"/>
                <w:i/>
                <w:iCs/>
                <w:color w:val="000000"/>
                <w:sz w:val="20"/>
                <w:szCs w:val="20"/>
                <w:lang w:val="en-US" w:eastAsia="zh-CN"/>
              </w:rPr>
            </w:pPr>
            <w:r w:rsidRPr="006268E5">
              <w:rPr>
                <w:rFonts w:eastAsia="Times New Roman"/>
                <w:i/>
                <w:iCs/>
                <w:color w:val="000000"/>
                <w:sz w:val="20"/>
                <w:szCs w:val="20"/>
                <w:lang w:val="en-US" w:eastAsia="zh-CN"/>
              </w:rPr>
              <w:t>GEF Funding Source</w:t>
            </w:r>
          </w:p>
        </w:tc>
        <w:tc>
          <w:tcPr>
            <w:tcW w:w="2018" w:type="dxa"/>
            <w:tcBorders>
              <w:top w:val="single" w:sz="4" w:space="0" w:color="auto"/>
              <w:bottom w:val="single" w:sz="4" w:space="0" w:color="auto"/>
            </w:tcBorders>
            <w:noWrap/>
            <w:vAlign w:val="center"/>
            <w:hideMark/>
          </w:tcPr>
          <w:p w14:paraId="56B5D39F" w14:textId="77777777" w:rsidR="009B1CAF" w:rsidRPr="006268E5" w:rsidRDefault="009B1CAF" w:rsidP="002C6DF8">
            <w:pPr>
              <w:jc w:val="center"/>
              <w:rPr>
                <w:rFonts w:eastAsia="Times New Roman"/>
                <w:i/>
                <w:iCs/>
                <w:color w:val="000000"/>
                <w:sz w:val="20"/>
                <w:szCs w:val="20"/>
                <w:lang w:val="en-US" w:eastAsia="zh-CN"/>
              </w:rPr>
            </w:pPr>
            <w:r w:rsidRPr="006268E5">
              <w:rPr>
                <w:rFonts w:eastAsia="Times New Roman"/>
                <w:i/>
                <w:iCs/>
                <w:color w:val="000000"/>
                <w:sz w:val="20"/>
                <w:szCs w:val="20"/>
                <w:lang w:val="en-US" w:eastAsia="zh-CN"/>
              </w:rPr>
              <w:t xml:space="preserve">Approximate core funding in </w:t>
            </w:r>
            <w:r w:rsidRPr="006268E5" w:rsidDel="009B572F">
              <w:rPr>
                <w:rFonts w:eastAsia="Times New Roman"/>
                <w:i/>
                <w:iCs/>
                <w:color w:val="000000"/>
                <w:sz w:val="20"/>
                <w:szCs w:val="20"/>
                <w:lang w:val="en-US" w:eastAsia="zh-CN"/>
              </w:rPr>
              <w:t xml:space="preserve">United </w:t>
            </w:r>
            <w:r w:rsidRPr="006268E5">
              <w:rPr>
                <w:rFonts w:eastAsia="Times New Roman"/>
                <w:i/>
                <w:iCs/>
                <w:color w:val="000000"/>
                <w:sz w:val="20"/>
                <w:szCs w:val="20"/>
                <w:lang w:val="en-US" w:eastAsia="zh-CN"/>
              </w:rPr>
              <w:t>States dollars</w:t>
            </w:r>
          </w:p>
        </w:tc>
        <w:tc>
          <w:tcPr>
            <w:tcW w:w="2015" w:type="dxa"/>
            <w:tcBorders>
              <w:top w:val="single" w:sz="4" w:space="0" w:color="auto"/>
              <w:bottom w:val="single" w:sz="4" w:space="0" w:color="auto"/>
            </w:tcBorders>
            <w:vAlign w:val="center"/>
          </w:tcPr>
          <w:p w14:paraId="1884531B" w14:textId="77777777" w:rsidR="009B1CAF" w:rsidRPr="006268E5" w:rsidRDefault="009B1CAF" w:rsidP="002C6DF8">
            <w:pPr>
              <w:jc w:val="center"/>
              <w:rPr>
                <w:rFonts w:eastAsia="Times New Roman"/>
                <w:i/>
                <w:iCs/>
                <w:color w:val="000000"/>
                <w:sz w:val="20"/>
                <w:szCs w:val="20"/>
                <w:lang w:val="en-US" w:eastAsia="zh-CN"/>
              </w:rPr>
            </w:pPr>
            <w:r w:rsidRPr="006268E5">
              <w:rPr>
                <w:rFonts w:eastAsia="Times New Roman"/>
                <w:i/>
                <w:iCs/>
                <w:color w:val="000000"/>
                <w:sz w:val="20"/>
                <w:szCs w:val="20"/>
                <w:lang w:val="en-US" w:eastAsia="zh-CN"/>
              </w:rPr>
              <w:t>Programming period</w:t>
            </w:r>
          </w:p>
        </w:tc>
        <w:tc>
          <w:tcPr>
            <w:tcW w:w="2465" w:type="dxa"/>
            <w:tcBorders>
              <w:top w:val="single" w:sz="4" w:space="0" w:color="auto"/>
              <w:bottom w:val="single" w:sz="4" w:space="0" w:color="auto"/>
            </w:tcBorders>
            <w:vAlign w:val="center"/>
          </w:tcPr>
          <w:p w14:paraId="2774EC35" w14:textId="77777777" w:rsidR="009B1CAF" w:rsidRPr="006268E5" w:rsidRDefault="009B1CAF" w:rsidP="002C6DF8">
            <w:pPr>
              <w:jc w:val="center"/>
              <w:rPr>
                <w:rFonts w:eastAsia="Times New Roman"/>
                <w:i/>
                <w:iCs/>
                <w:color w:val="000000"/>
                <w:sz w:val="20"/>
                <w:szCs w:val="20"/>
                <w:lang w:val="en-US" w:eastAsia="zh-CN"/>
              </w:rPr>
            </w:pPr>
            <w:r w:rsidRPr="006268E5">
              <w:rPr>
                <w:rFonts w:eastAsia="Times New Roman"/>
                <w:i/>
                <w:iCs/>
                <w:color w:val="000000"/>
                <w:sz w:val="20"/>
                <w:szCs w:val="20"/>
                <w:lang w:val="en-US" w:eastAsia="zh-CN"/>
              </w:rPr>
              <w:t xml:space="preserve">Type of </w:t>
            </w:r>
            <w:r w:rsidRPr="006268E5">
              <w:rPr>
                <w:rFonts w:eastAsia="Times New Roman"/>
                <w:i/>
                <w:iCs/>
                <w:color w:val="000000"/>
                <w:sz w:val="20"/>
                <w:szCs w:val="20"/>
                <w:lang w:eastAsia="zh-CN"/>
              </w:rPr>
              <w:t xml:space="preserve">access and benefit-sharing </w:t>
            </w:r>
            <w:r w:rsidRPr="006268E5">
              <w:rPr>
                <w:rFonts w:eastAsia="Times New Roman"/>
                <w:i/>
                <w:iCs/>
                <w:color w:val="000000"/>
                <w:sz w:val="20"/>
                <w:szCs w:val="20"/>
                <w:lang w:val="en-US" w:eastAsia="zh-CN"/>
              </w:rPr>
              <w:t>support financed by GEF</w:t>
            </w:r>
          </w:p>
        </w:tc>
      </w:tr>
      <w:tr w:rsidR="009B1CAF" w:rsidRPr="0036747F" w14:paraId="4CAD2193" w14:textId="77777777" w:rsidTr="006268E5">
        <w:trPr>
          <w:trHeight w:val="490"/>
          <w:jc w:val="center"/>
        </w:trPr>
        <w:tc>
          <w:tcPr>
            <w:tcW w:w="2122" w:type="dxa"/>
            <w:tcBorders>
              <w:top w:val="single" w:sz="4" w:space="0" w:color="auto"/>
            </w:tcBorders>
            <w:vAlign w:val="center"/>
            <w:hideMark/>
          </w:tcPr>
          <w:p w14:paraId="63D2EE8D"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TF/</w:t>
            </w:r>
            <w:r w:rsidRPr="0036747F">
              <w:rPr>
                <w:rFonts w:eastAsia="Times New Roman"/>
                <w:color w:val="000000"/>
                <w:sz w:val="20"/>
                <w:szCs w:val="20"/>
                <w:lang w:val="en-US" w:eastAsia="zh-CN"/>
              </w:rPr>
              <w:br/>
              <w:t>GEF-4</w:t>
            </w:r>
          </w:p>
        </w:tc>
        <w:tc>
          <w:tcPr>
            <w:tcW w:w="2018" w:type="dxa"/>
            <w:tcBorders>
              <w:top w:val="single" w:sz="4" w:space="0" w:color="auto"/>
            </w:tcBorders>
            <w:noWrap/>
            <w:vAlign w:val="center"/>
            <w:hideMark/>
          </w:tcPr>
          <w:p w14:paraId="2E16830C" w14:textId="37933081"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8,940,500</w:t>
            </w:r>
          </w:p>
        </w:tc>
        <w:tc>
          <w:tcPr>
            <w:tcW w:w="2015" w:type="dxa"/>
            <w:tcBorders>
              <w:top w:val="single" w:sz="4" w:space="0" w:color="auto"/>
            </w:tcBorders>
            <w:vAlign w:val="center"/>
          </w:tcPr>
          <w:p w14:paraId="30AE2573" w14:textId="24B8A513"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2006</w:t>
            </w:r>
            <w:r w:rsidR="00C00201">
              <w:t>–</w:t>
            </w:r>
            <w:r w:rsidRPr="0036747F">
              <w:rPr>
                <w:rFonts w:eastAsia="Times New Roman"/>
                <w:color w:val="000000"/>
                <w:sz w:val="20"/>
                <w:szCs w:val="20"/>
                <w:lang w:val="en-US" w:eastAsia="zh-CN"/>
              </w:rPr>
              <w:t>2010</w:t>
            </w:r>
          </w:p>
        </w:tc>
        <w:tc>
          <w:tcPr>
            <w:tcW w:w="2465" w:type="dxa"/>
            <w:tcBorders>
              <w:top w:val="single" w:sz="4" w:space="0" w:color="auto"/>
            </w:tcBorders>
            <w:vAlign w:val="center"/>
          </w:tcPr>
          <w:p w14:paraId="23DF6833" w14:textId="77777777"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Foundational/Preparatory</w:t>
            </w:r>
          </w:p>
        </w:tc>
      </w:tr>
      <w:tr w:rsidR="009B1CAF" w:rsidRPr="0036747F" w14:paraId="6F34CEF7" w14:textId="77777777" w:rsidTr="006268E5">
        <w:trPr>
          <w:trHeight w:val="490"/>
          <w:jc w:val="center"/>
        </w:trPr>
        <w:tc>
          <w:tcPr>
            <w:tcW w:w="2122" w:type="dxa"/>
            <w:vAlign w:val="center"/>
            <w:hideMark/>
          </w:tcPr>
          <w:p w14:paraId="28EDF552"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TF and NPIF/</w:t>
            </w:r>
            <w:r w:rsidRPr="0036747F">
              <w:rPr>
                <w:rFonts w:eastAsia="Times New Roman"/>
                <w:color w:val="000000"/>
                <w:sz w:val="20"/>
                <w:szCs w:val="20"/>
                <w:lang w:val="en-US" w:eastAsia="zh-CN"/>
              </w:rPr>
              <w:br/>
              <w:t>GEF-5</w:t>
            </w:r>
          </w:p>
        </w:tc>
        <w:tc>
          <w:tcPr>
            <w:tcW w:w="2018" w:type="dxa"/>
            <w:noWrap/>
            <w:vAlign w:val="center"/>
            <w:hideMark/>
          </w:tcPr>
          <w:p w14:paraId="4BE91A5D" w14:textId="5AA18612"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52,086,366</w:t>
            </w:r>
          </w:p>
        </w:tc>
        <w:tc>
          <w:tcPr>
            <w:tcW w:w="2015" w:type="dxa"/>
            <w:vAlign w:val="center"/>
          </w:tcPr>
          <w:p w14:paraId="48A537E1" w14:textId="01A134EA"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2010</w:t>
            </w:r>
            <w:r w:rsidR="00C00201">
              <w:t>–</w:t>
            </w:r>
            <w:r w:rsidRPr="0036747F">
              <w:rPr>
                <w:rFonts w:eastAsia="Times New Roman"/>
                <w:color w:val="000000"/>
                <w:sz w:val="20"/>
                <w:szCs w:val="20"/>
                <w:lang w:val="en-US" w:eastAsia="zh-CN"/>
              </w:rPr>
              <w:t>2014</w:t>
            </w:r>
          </w:p>
        </w:tc>
        <w:tc>
          <w:tcPr>
            <w:tcW w:w="2465" w:type="dxa"/>
            <w:vAlign w:val="center"/>
          </w:tcPr>
          <w:p w14:paraId="055D8144" w14:textId="77777777"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Scale-up and anticipatory support/ratification</w:t>
            </w:r>
          </w:p>
        </w:tc>
      </w:tr>
      <w:tr w:rsidR="009B1CAF" w:rsidRPr="0036747F" w14:paraId="1A6D4BDC" w14:textId="77777777" w:rsidTr="006268E5">
        <w:trPr>
          <w:trHeight w:val="490"/>
          <w:jc w:val="center"/>
        </w:trPr>
        <w:tc>
          <w:tcPr>
            <w:tcW w:w="2122" w:type="dxa"/>
            <w:vAlign w:val="center"/>
          </w:tcPr>
          <w:p w14:paraId="57F4BB96"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SGP</w:t>
            </w:r>
          </w:p>
        </w:tc>
        <w:tc>
          <w:tcPr>
            <w:tcW w:w="2018" w:type="dxa"/>
            <w:noWrap/>
            <w:vAlign w:val="center"/>
          </w:tcPr>
          <w:p w14:paraId="62CD4C05" w14:textId="2077965A"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686,474</w:t>
            </w:r>
          </w:p>
        </w:tc>
        <w:tc>
          <w:tcPr>
            <w:tcW w:w="2015" w:type="dxa"/>
            <w:vAlign w:val="center"/>
          </w:tcPr>
          <w:p w14:paraId="78EA568C" w14:textId="26CFCE05"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2012</w:t>
            </w:r>
            <w:r w:rsidR="00C00201">
              <w:t>–</w:t>
            </w:r>
            <w:r w:rsidRPr="0036747F">
              <w:rPr>
                <w:rFonts w:eastAsia="Times New Roman"/>
                <w:color w:val="000000"/>
                <w:sz w:val="20"/>
                <w:szCs w:val="20"/>
                <w:lang w:val="en-US" w:eastAsia="zh-CN"/>
              </w:rPr>
              <w:t>2017</w:t>
            </w:r>
          </w:p>
        </w:tc>
        <w:tc>
          <w:tcPr>
            <w:tcW w:w="2465" w:type="dxa"/>
            <w:vAlign w:val="center"/>
          </w:tcPr>
          <w:p w14:paraId="510726EE" w14:textId="77777777"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Scale up and anticipatory support/ratification overlap with early implementation and consolidation</w:t>
            </w:r>
          </w:p>
        </w:tc>
      </w:tr>
      <w:tr w:rsidR="009B1CAF" w:rsidRPr="0036747F" w14:paraId="3643A23A" w14:textId="77777777" w:rsidTr="006268E5">
        <w:trPr>
          <w:trHeight w:val="490"/>
          <w:jc w:val="center"/>
        </w:trPr>
        <w:tc>
          <w:tcPr>
            <w:tcW w:w="2122" w:type="dxa"/>
            <w:vAlign w:val="center"/>
            <w:hideMark/>
          </w:tcPr>
          <w:p w14:paraId="6E03F0C4"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TF/</w:t>
            </w:r>
            <w:r w:rsidRPr="0036747F">
              <w:rPr>
                <w:rFonts w:eastAsia="Times New Roman"/>
                <w:color w:val="000000"/>
                <w:sz w:val="20"/>
                <w:szCs w:val="20"/>
                <w:lang w:val="en-US" w:eastAsia="zh-CN"/>
              </w:rPr>
              <w:br/>
              <w:t>GEF-6</w:t>
            </w:r>
          </w:p>
        </w:tc>
        <w:tc>
          <w:tcPr>
            <w:tcW w:w="2018" w:type="dxa"/>
            <w:noWrap/>
            <w:vAlign w:val="center"/>
            <w:hideMark/>
          </w:tcPr>
          <w:p w14:paraId="283871BC" w14:textId="0D1F5433"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36,566,609</w:t>
            </w:r>
          </w:p>
        </w:tc>
        <w:tc>
          <w:tcPr>
            <w:tcW w:w="2015" w:type="dxa"/>
            <w:vAlign w:val="center"/>
          </w:tcPr>
          <w:p w14:paraId="18700DBE" w14:textId="05EDD11B"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2014</w:t>
            </w:r>
            <w:r w:rsidR="00C00201">
              <w:t>–</w:t>
            </w:r>
            <w:r w:rsidRPr="0036747F">
              <w:rPr>
                <w:rFonts w:eastAsia="Times New Roman"/>
                <w:color w:val="000000"/>
                <w:sz w:val="20"/>
                <w:szCs w:val="20"/>
                <w:lang w:val="en-US" w:eastAsia="zh-CN"/>
              </w:rPr>
              <w:t>2018</w:t>
            </w:r>
          </w:p>
        </w:tc>
        <w:tc>
          <w:tcPr>
            <w:tcW w:w="2465" w:type="dxa"/>
            <w:vAlign w:val="center"/>
          </w:tcPr>
          <w:p w14:paraId="1DCC00B3" w14:textId="77777777"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Early implementation and consolidation</w:t>
            </w:r>
          </w:p>
        </w:tc>
      </w:tr>
      <w:tr w:rsidR="009B1CAF" w:rsidRPr="0036747F" w14:paraId="0120E9D1" w14:textId="77777777" w:rsidTr="006268E5">
        <w:trPr>
          <w:trHeight w:val="490"/>
          <w:jc w:val="center"/>
        </w:trPr>
        <w:tc>
          <w:tcPr>
            <w:tcW w:w="2122" w:type="dxa"/>
            <w:vAlign w:val="center"/>
            <w:hideMark/>
          </w:tcPr>
          <w:p w14:paraId="5BB364AF"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TF/</w:t>
            </w:r>
            <w:r w:rsidRPr="0036747F">
              <w:rPr>
                <w:rFonts w:eastAsia="Times New Roman"/>
                <w:color w:val="000000"/>
                <w:sz w:val="20"/>
                <w:szCs w:val="20"/>
                <w:lang w:val="en-US" w:eastAsia="zh-CN"/>
              </w:rPr>
              <w:br/>
              <w:t>GEF-7</w:t>
            </w:r>
          </w:p>
        </w:tc>
        <w:tc>
          <w:tcPr>
            <w:tcW w:w="2018" w:type="dxa"/>
            <w:noWrap/>
            <w:vAlign w:val="center"/>
            <w:hideMark/>
          </w:tcPr>
          <w:p w14:paraId="0C2A70B5" w14:textId="0F7BA6DB"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22,288,474</w:t>
            </w:r>
          </w:p>
        </w:tc>
        <w:tc>
          <w:tcPr>
            <w:tcW w:w="2015" w:type="dxa"/>
            <w:vAlign w:val="center"/>
          </w:tcPr>
          <w:p w14:paraId="53328F24" w14:textId="15BCD792"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2018</w:t>
            </w:r>
            <w:r w:rsidR="00C00201">
              <w:t>–</w:t>
            </w:r>
            <w:r w:rsidRPr="0036747F">
              <w:rPr>
                <w:rFonts w:eastAsia="Times New Roman"/>
                <w:color w:val="000000"/>
                <w:sz w:val="20"/>
                <w:szCs w:val="20"/>
                <w:lang w:val="en-US" w:eastAsia="zh-CN"/>
              </w:rPr>
              <w:t>2022</w:t>
            </w:r>
          </w:p>
        </w:tc>
        <w:tc>
          <w:tcPr>
            <w:tcW w:w="2465" w:type="dxa"/>
            <w:vAlign w:val="center"/>
          </w:tcPr>
          <w:p w14:paraId="55AA4B8B" w14:textId="77777777"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Mainstreaming with constrained funding</w:t>
            </w:r>
          </w:p>
        </w:tc>
      </w:tr>
      <w:tr w:rsidR="009B1CAF" w:rsidRPr="0036747F" w14:paraId="5AE5D64A" w14:textId="77777777" w:rsidTr="006268E5">
        <w:trPr>
          <w:trHeight w:val="490"/>
          <w:jc w:val="center"/>
        </w:trPr>
        <w:tc>
          <w:tcPr>
            <w:tcW w:w="2122" w:type="dxa"/>
            <w:tcBorders>
              <w:bottom w:val="single" w:sz="4" w:space="0" w:color="auto"/>
            </w:tcBorders>
            <w:vAlign w:val="center"/>
            <w:hideMark/>
          </w:tcPr>
          <w:p w14:paraId="66B6B3FE" w14:textId="77777777" w:rsidR="009B1CAF" w:rsidRPr="0036747F" w:rsidRDefault="009B1CAF">
            <w:pPr>
              <w:jc w:val="left"/>
              <w:rPr>
                <w:rFonts w:eastAsia="Times New Roman"/>
                <w:color w:val="000000"/>
                <w:sz w:val="20"/>
                <w:szCs w:val="20"/>
                <w:lang w:val="en-US" w:eastAsia="zh-CN"/>
              </w:rPr>
            </w:pPr>
            <w:r w:rsidRPr="0036747F">
              <w:rPr>
                <w:rFonts w:eastAsia="Times New Roman"/>
                <w:color w:val="000000"/>
                <w:sz w:val="20"/>
                <w:szCs w:val="20"/>
                <w:lang w:val="en-US" w:eastAsia="zh-CN"/>
              </w:rPr>
              <w:t>GEF TF and GBFF/</w:t>
            </w:r>
            <w:r w:rsidRPr="0036747F">
              <w:rPr>
                <w:rFonts w:eastAsia="Times New Roman"/>
                <w:color w:val="000000"/>
                <w:sz w:val="20"/>
                <w:szCs w:val="20"/>
                <w:lang w:val="en-US" w:eastAsia="zh-CN"/>
              </w:rPr>
              <w:br/>
              <w:t>GEF-8</w:t>
            </w:r>
          </w:p>
        </w:tc>
        <w:tc>
          <w:tcPr>
            <w:tcW w:w="2018" w:type="dxa"/>
            <w:tcBorders>
              <w:bottom w:val="single" w:sz="4" w:space="0" w:color="auto"/>
            </w:tcBorders>
            <w:noWrap/>
            <w:vAlign w:val="center"/>
            <w:hideMark/>
          </w:tcPr>
          <w:p w14:paraId="0A23F28A" w14:textId="08A6BA1F"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20,647,575</w:t>
            </w:r>
          </w:p>
        </w:tc>
        <w:tc>
          <w:tcPr>
            <w:tcW w:w="2015" w:type="dxa"/>
            <w:tcBorders>
              <w:bottom w:val="single" w:sz="4" w:space="0" w:color="auto"/>
            </w:tcBorders>
            <w:vAlign w:val="center"/>
          </w:tcPr>
          <w:p w14:paraId="201C6037" w14:textId="7F3EEA52" w:rsidR="009B1CAF" w:rsidRPr="0036747F" w:rsidRDefault="009B1CAF" w:rsidP="006268E5">
            <w:pPr>
              <w:jc w:val="right"/>
              <w:rPr>
                <w:rFonts w:eastAsia="Times New Roman"/>
                <w:color w:val="000000"/>
                <w:sz w:val="20"/>
                <w:szCs w:val="20"/>
                <w:lang w:val="en-US" w:eastAsia="zh-CN"/>
              </w:rPr>
            </w:pPr>
            <w:r w:rsidRPr="0036747F">
              <w:rPr>
                <w:rFonts w:eastAsia="Times New Roman"/>
                <w:color w:val="000000"/>
                <w:sz w:val="20"/>
                <w:szCs w:val="20"/>
                <w:lang w:val="en-US" w:eastAsia="zh-CN"/>
              </w:rPr>
              <w:t>2022</w:t>
            </w:r>
            <w:r w:rsidR="00C00201">
              <w:t>–</w:t>
            </w:r>
            <w:r w:rsidRPr="0036747F">
              <w:rPr>
                <w:rFonts w:eastAsia="Times New Roman"/>
                <w:color w:val="000000"/>
                <w:sz w:val="20"/>
                <w:szCs w:val="20"/>
                <w:lang w:val="en-US" w:eastAsia="zh-CN"/>
              </w:rPr>
              <w:t>2026</w:t>
            </w:r>
          </w:p>
        </w:tc>
        <w:tc>
          <w:tcPr>
            <w:tcW w:w="2465" w:type="dxa"/>
            <w:tcBorders>
              <w:bottom w:val="single" w:sz="4" w:space="0" w:color="auto"/>
            </w:tcBorders>
            <w:vAlign w:val="center"/>
          </w:tcPr>
          <w:p w14:paraId="7BA3EDC7" w14:textId="77777777" w:rsidR="009B1CAF" w:rsidRPr="00A336CB" w:rsidRDefault="009B1CAF" w:rsidP="006268E5">
            <w:pPr>
              <w:jc w:val="right"/>
              <w:rPr>
                <w:rFonts w:eastAsia="Times New Roman"/>
                <w:color w:val="000000"/>
                <w:sz w:val="20"/>
                <w:szCs w:val="20"/>
                <w:lang w:val="en-US" w:eastAsia="zh-CN"/>
              </w:rPr>
            </w:pPr>
            <w:r w:rsidRPr="0099317C">
              <w:rPr>
                <w:rFonts w:eastAsia="Times New Roman"/>
                <w:color w:val="000000"/>
                <w:sz w:val="20"/>
                <w:szCs w:val="20"/>
                <w:lang w:val="en-US" w:eastAsia="zh-CN"/>
              </w:rPr>
              <w:t>Results-oriented reinforcement linked to assessment and reporting</w:t>
            </w:r>
          </w:p>
        </w:tc>
      </w:tr>
    </w:tbl>
    <w:p w14:paraId="385880F3" w14:textId="2BB0570B" w:rsidR="00814FED" w:rsidRPr="005614FA" w:rsidRDefault="00814FED" w:rsidP="00AB6298">
      <w:pPr>
        <w:pStyle w:val="CBDNormalNumber"/>
        <w:ind w:left="567"/>
      </w:pPr>
      <w:r w:rsidRPr="005614FA">
        <w:t>GEF</w:t>
      </w:r>
      <w:r w:rsidRPr="005614FA">
        <w:noBreakHyphen/>
        <w:t>5</w:t>
      </w:r>
      <w:r w:rsidR="00F63CA0">
        <w:t xml:space="preserve"> (2010</w:t>
      </w:r>
      <w:r w:rsidR="00903A45">
        <w:t>–</w:t>
      </w:r>
      <w:r w:rsidR="00F63CA0">
        <w:t>2014)</w:t>
      </w:r>
      <w:r w:rsidRPr="005614FA">
        <w:t>,</w:t>
      </w:r>
      <w:r w:rsidR="00F63CA0">
        <w:t xml:space="preserve"> </w:t>
      </w:r>
      <w:r w:rsidR="00FE6300">
        <w:t xml:space="preserve">coinciding with the adoption of the Nagoya Protocol, marked the first significant </w:t>
      </w:r>
      <w:r w:rsidRPr="005614FA">
        <w:t>scale</w:t>
      </w:r>
      <w:r w:rsidRPr="005614FA">
        <w:noBreakHyphen/>
        <w:t xml:space="preserve">up of </w:t>
      </w:r>
      <w:r w:rsidR="0091532B">
        <w:t>access and benefit-sharing</w:t>
      </w:r>
      <w:r w:rsidR="0091532B" w:rsidDel="0091532B">
        <w:t xml:space="preserve"> </w:t>
      </w:r>
      <w:r w:rsidR="00C560BC">
        <w:t xml:space="preserve">related </w:t>
      </w:r>
      <w:r w:rsidR="00BB661A">
        <w:t>financing</w:t>
      </w:r>
      <w:r w:rsidR="00C560BC">
        <w:t xml:space="preserve">. During this period, </w:t>
      </w:r>
      <w:r w:rsidR="00991C21">
        <w:t>access and benefit-sharing</w:t>
      </w:r>
      <w:r w:rsidR="00C560BC">
        <w:t xml:space="preserve"> emerged </w:t>
      </w:r>
      <w:r w:rsidR="000D583D">
        <w:t>as a distinct programming priority, with</w:t>
      </w:r>
      <w:r w:rsidR="009C1AB1">
        <w:t xml:space="preserve"> anticipatory and bridge financing supporting </w:t>
      </w:r>
      <w:r w:rsidRPr="005614FA">
        <w:t>readiness</w:t>
      </w:r>
      <w:r w:rsidR="009C1AB1">
        <w:t>,</w:t>
      </w:r>
      <w:r w:rsidRPr="005614FA">
        <w:t xml:space="preserve"> ratification</w:t>
      </w:r>
      <w:r w:rsidR="009C1AB1">
        <w:t xml:space="preserve"> processes and early institutional development, </w:t>
      </w:r>
      <w:r w:rsidRPr="005614FA">
        <w:t>complemented by targeted engagement through m</w:t>
      </w:r>
      <w:r w:rsidR="006B6672">
        <w:t xml:space="preserve">odalities </w:t>
      </w:r>
      <w:r w:rsidRPr="005614FA">
        <w:t>such as the GEF Small Grants Programme.</w:t>
      </w:r>
    </w:p>
    <w:p w14:paraId="22695AF3" w14:textId="27081DFC" w:rsidR="00C17542" w:rsidRDefault="00814FED" w:rsidP="00AB6298">
      <w:pPr>
        <w:pStyle w:val="CBDNormalNumber"/>
        <w:ind w:left="567"/>
      </w:pPr>
      <w:r w:rsidRPr="005614FA">
        <w:t>GEF</w:t>
      </w:r>
      <w:r w:rsidRPr="005614FA">
        <w:noBreakHyphen/>
        <w:t>6</w:t>
      </w:r>
      <w:r w:rsidR="006B6672">
        <w:t xml:space="preserve"> (2014</w:t>
      </w:r>
      <w:r w:rsidR="00903A45">
        <w:t>–</w:t>
      </w:r>
      <w:r w:rsidR="006B6672">
        <w:t xml:space="preserve">2018) </w:t>
      </w:r>
      <w:r w:rsidR="006852B6">
        <w:t xml:space="preserve">aligned </w:t>
      </w:r>
      <w:r w:rsidRPr="005614FA">
        <w:t xml:space="preserve">with the entry into force of the Nagoya Protocol and </w:t>
      </w:r>
      <w:r w:rsidR="006852B6">
        <w:t>the</w:t>
      </w:r>
      <w:r w:rsidR="00DC2130">
        <w:t xml:space="preserve"> period </w:t>
      </w:r>
      <w:r w:rsidR="00A96A96">
        <w:t xml:space="preserve">leading up to the </w:t>
      </w:r>
      <w:r w:rsidR="006852B6">
        <w:t>first assess</w:t>
      </w:r>
      <w:r w:rsidR="00EA70B1">
        <w:t>ment of effectiveness</w:t>
      </w:r>
      <w:r w:rsidR="00A96A96">
        <w:t>, informed by interim national reports submitted by Parties</w:t>
      </w:r>
      <w:r w:rsidR="00EA70B1">
        <w:t xml:space="preserve">. </w:t>
      </w:r>
      <w:r w:rsidR="00D7715B">
        <w:t>During this phase, f</w:t>
      </w:r>
      <w:r w:rsidR="00EA70B1">
        <w:t xml:space="preserve">inancial support </w:t>
      </w:r>
      <w:r w:rsidR="00D7715B">
        <w:t xml:space="preserve">began to move beyond </w:t>
      </w:r>
      <w:r w:rsidR="00EA70B1">
        <w:t>broad readiness</w:t>
      </w:r>
      <w:r w:rsidR="00D7715B">
        <w:t xml:space="preserve"> activities</w:t>
      </w:r>
      <w:r w:rsidR="00EA70B1">
        <w:t xml:space="preserve"> </w:t>
      </w:r>
      <w:r w:rsidR="00A26FB0">
        <w:t xml:space="preserve">toward </w:t>
      </w:r>
      <w:r w:rsidRPr="005614FA">
        <w:t xml:space="preserve">early implementation and consolidation, with </w:t>
      </w:r>
      <w:r w:rsidR="00A26FB0">
        <w:t>resources</w:t>
      </w:r>
      <w:r w:rsidRPr="005614FA">
        <w:t xml:space="preserve"> increasingly directed towards operationalising </w:t>
      </w:r>
      <w:r>
        <w:t>legal</w:t>
      </w:r>
      <w:r w:rsidRPr="005614FA">
        <w:t xml:space="preserve">, institutional and administrative </w:t>
      </w:r>
      <w:r w:rsidR="00991C21">
        <w:t>access and benefit-sharing</w:t>
      </w:r>
      <w:r w:rsidR="00991C21" w:rsidRPr="005614FA" w:rsidDel="00991C21">
        <w:t xml:space="preserve"> </w:t>
      </w:r>
      <w:r w:rsidRPr="005614FA">
        <w:t>frameworks</w:t>
      </w:r>
      <w:r w:rsidR="00C17542">
        <w:t xml:space="preserve"> and addressing </w:t>
      </w:r>
      <w:r w:rsidR="00D755D4">
        <w:t xml:space="preserve">emerging </w:t>
      </w:r>
      <w:r w:rsidR="00C17542">
        <w:t>implementation challenges</w:t>
      </w:r>
      <w:r w:rsidRPr="005614FA">
        <w:t xml:space="preserve">. </w:t>
      </w:r>
    </w:p>
    <w:p w14:paraId="3657BEB9" w14:textId="7D730FFB" w:rsidR="00814FED" w:rsidRDefault="00814FED" w:rsidP="00AB6298">
      <w:pPr>
        <w:pStyle w:val="CBDNormalNumber"/>
        <w:ind w:left="567"/>
      </w:pPr>
      <w:r w:rsidRPr="005614FA">
        <w:t>Under GEF</w:t>
      </w:r>
      <w:r w:rsidRPr="005614FA">
        <w:noBreakHyphen/>
        <w:t>7</w:t>
      </w:r>
      <w:r w:rsidR="00C17542">
        <w:t xml:space="preserve"> (2018</w:t>
      </w:r>
      <w:r w:rsidR="00903A45">
        <w:t>–</w:t>
      </w:r>
      <w:r w:rsidR="00C17542">
        <w:t>2022)</w:t>
      </w:r>
      <w:r w:rsidRPr="005614FA">
        <w:t xml:space="preserve">, </w:t>
      </w:r>
      <w:r w:rsidR="000B0C96">
        <w:t>access and benefit-sharing</w:t>
      </w:r>
      <w:r w:rsidR="000B0C96" w:rsidDel="000B0C96">
        <w:t xml:space="preserve"> </w:t>
      </w:r>
      <w:r w:rsidR="00C17542">
        <w:t xml:space="preserve">related </w:t>
      </w:r>
      <w:r w:rsidRPr="005614FA">
        <w:t xml:space="preserve">financing became more selective and was increasingly </w:t>
      </w:r>
      <w:r w:rsidR="00C17542">
        <w:t xml:space="preserve">mainstreamed </w:t>
      </w:r>
      <w:r w:rsidRPr="005614FA">
        <w:t xml:space="preserve">within broader biodiversity and </w:t>
      </w:r>
      <w:r w:rsidR="0053407F">
        <w:t>governance portfolios</w:t>
      </w:r>
      <w:r w:rsidR="00F46100">
        <w:t>. While overall funding levels declined, this reflected constrained funding</w:t>
      </w:r>
      <w:r w:rsidR="00410B35">
        <w:t xml:space="preserve"> </w:t>
      </w:r>
      <w:r w:rsidRPr="005614FA">
        <w:t>conditions and</w:t>
      </w:r>
      <w:r w:rsidR="00410B35">
        <w:t xml:space="preserve"> </w:t>
      </w:r>
      <w:r w:rsidR="0062625C">
        <w:t xml:space="preserve">growing competition across global priorities, rather than </w:t>
      </w:r>
      <w:r w:rsidR="006576A6">
        <w:t xml:space="preserve">diminished relevance of </w:t>
      </w:r>
      <w:r w:rsidR="00A03BD3" w:rsidRPr="00A03BD3">
        <w:t>access and benefit-sharing</w:t>
      </w:r>
      <w:r w:rsidR="006576A6">
        <w:t>, without support focusing on targeted system-strengthening</w:t>
      </w:r>
      <w:r w:rsidR="00C95574">
        <w:t xml:space="preserve"> intervention</w:t>
      </w:r>
      <w:r w:rsidR="007E0107">
        <w:t>s</w:t>
      </w:r>
      <w:r w:rsidR="00CE6E19">
        <w:t>.</w:t>
      </w:r>
      <w:r w:rsidR="008D0D74">
        <w:t xml:space="preserve"> </w:t>
      </w:r>
      <w:r w:rsidR="00CE6E19">
        <w:t>T</w:t>
      </w:r>
      <w:r w:rsidR="008D0D74">
        <w:t>he emergence of resul</w:t>
      </w:r>
      <w:r w:rsidR="001066A3">
        <w:t>t-oriented reinforcement</w:t>
      </w:r>
      <w:r w:rsidR="00CE6E19">
        <w:t xml:space="preserve"> linked to assessment and reporting arguably initiates in this phase.</w:t>
      </w:r>
      <w:r w:rsidR="001066A3">
        <w:t xml:space="preserve"> </w:t>
      </w:r>
      <w:r w:rsidR="00C95574">
        <w:t xml:space="preserve"> </w:t>
      </w:r>
    </w:p>
    <w:p w14:paraId="311BE64D" w14:textId="4238FC4E" w:rsidR="00814FED" w:rsidRPr="00FF221F" w:rsidRDefault="00814FED" w:rsidP="00AB6298">
      <w:pPr>
        <w:pStyle w:val="CBDNormalNumber"/>
        <w:ind w:left="567"/>
      </w:pPr>
      <w:r w:rsidRPr="005614FA">
        <w:t>GEF</w:t>
      </w:r>
      <w:r w:rsidRPr="005614FA">
        <w:noBreakHyphen/>
        <w:t xml:space="preserve">8 </w:t>
      </w:r>
      <w:r w:rsidR="00C95574">
        <w:t>(2022</w:t>
      </w:r>
      <w:r w:rsidR="00903A45">
        <w:t>–</w:t>
      </w:r>
      <w:r w:rsidR="00C95574">
        <w:t>202</w:t>
      </w:r>
      <w:r w:rsidR="00A13C01">
        <w:t xml:space="preserve">6) supported by both the Global Biodiversity Framework Fund (GBFF), </w:t>
      </w:r>
      <w:r w:rsidRPr="005614FA">
        <w:t xml:space="preserve">signals a </w:t>
      </w:r>
      <w:r w:rsidR="00A13C01">
        <w:t xml:space="preserve">renewed </w:t>
      </w:r>
      <w:r w:rsidR="00634322">
        <w:t xml:space="preserve">emphasis on </w:t>
      </w:r>
      <w:r w:rsidR="00A03BD3" w:rsidRPr="00A03BD3">
        <w:t>access and benefit-sharing</w:t>
      </w:r>
      <w:r w:rsidR="009F3014">
        <w:t xml:space="preserve"> </w:t>
      </w:r>
      <w:r w:rsidR="00634322">
        <w:t xml:space="preserve">financing. This phase reflects closer alignment between </w:t>
      </w:r>
      <w:r w:rsidR="006B4ED3">
        <w:t xml:space="preserve">financial resources, implementation outcomes </w:t>
      </w:r>
      <w:r w:rsidR="002B5033">
        <w:t>accountability frameworks, informed by the Kunming-Montreal Global Biodiversity Framework</w:t>
      </w:r>
      <w:r w:rsidR="006A09E9">
        <w:t xml:space="preserve">, </w:t>
      </w:r>
      <w:r w:rsidR="00B21677">
        <w:t xml:space="preserve">particularly Goal C and Target 13, and the </w:t>
      </w:r>
      <w:r w:rsidR="00E821B4">
        <w:t>assessment</w:t>
      </w:r>
      <w:r w:rsidR="00B21677">
        <w:t xml:space="preserve"> and review of the Nagoya Pro</w:t>
      </w:r>
      <w:r w:rsidR="00790618">
        <w:t xml:space="preserve">tocol. Trends in GEF and GBFF Financing for </w:t>
      </w:r>
      <w:r w:rsidR="008A055F" w:rsidRPr="008A055F">
        <w:t>access and benefit-sharing</w:t>
      </w:r>
      <w:r w:rsidR="009F3014">
        <w:t xml:space="preserve"> </w:t>
      </w:r>
      <w:r w:rsidR="003A129F">
        <w:t xml:space="preserve">and the Nagoya Protocol </w:t>
      </w:r>
      <w:r w:rsidRPr="00FF221F">
        <w:t>Over Time (2006–2026)</w:t>
      </w:r>
      <w:r w:rsidR="00C85441">
        <w:t>.</w:t>
      </w:r>
    </w:p>
    <w:p w14:paraId="107ED03D" w14:textId="56135915" w:rsidR="00814FED" w:rsidRPr="009F3014" w:rsidRDefault="00785A4D">
      <w:pPr>
        <w:pStyle w:val="CBDNormalNumber"/>
        <w:ind w:left="567"/>
      </w:pPr>
      <w:r w:rsidRPr="009F3014">
        <w:lastRenderedPageBreak/>
        <w:t xml:space="preserve">As </w:t>
      </w:r>
      <w:r w:rsidR="003402A9" w:rsidRPr="009F3014">
        <w:t>depicted in</w:t>
      </w:r>
      <w:r w:rsidRPr="009F3014">
        <w:t xml:space="preserve"> </w:t>
      </w:r>
      <w:r w:rsidR="00D42CFD">
        <w:t>f</w:t>
      </w:r>
      <w:r w:rsidR="00BD0B01" w:rsidRPr="009F3014">
        <w:t>igure</w:t>
      </w:r>
      <w:r w:rsidR="00814FED" w:rsidRPr="009F3014">
        <w:t xml:space="preserve"> </w:t>
      </w:r>
      <w:r w:rsidR="00D42CFD">
        <w:t>I</w:t>
      </w:r>
      <w:r w:rsidR="00814FED" w:rsidRPr="009F3014">
        <w:t xml:space="preserve"> </w:t>
      </w:r>
      <w:r w:rsidR="0080206B" w:rsidRPr="009F3014">
        <w:t xml:space="preserve">above </w:t>
      </w:r>
      <w:r w:rsidR="00766F83" w:rsidRPr="009F3014">
        <w:t>financial resources mobili</w:t>
      </w:r>
      <w:r w:rsidR="005F64B3">
        <w:t>z</w:t>
      </w:r>
      <w:r w:rsidR="00766F83" w:rsidRPr="009F3014">
        <w:t xml:space="preserve">ed through the GEF and more recently, </w:t>
      </w:r>
      <w:r w:rsidR="00470559" w:rsidRPr="009F3014">
        <w:t xml:space="preserve">the GBFF illustrates a transition </w:t>
      </w:r>
      <w:r w:rsidR="00814FED" w:rsidRPr="009F3014">
        <w:t xml:space="preserve">from early, enabling investments to more </w:t>
      </w:r>
      <w:r w:rsidR="00883C05" w:rsidRPr="009F3014">
        <w:t xml:space="preserve">structured, implementation-focused and </w:t>
      </w:r>
      <w:r w:rsidR="00814FED" w:rsidRPr="009F3014">
        <w:t>results</w:t>
      </w:r>
      <w:r w:rsidR="00814FED" w:rsidRPr="009F3014">
        <w:noBreakHyphen/>
        <w:t xml:space="preserve">oriented </w:t>
      </w:r>
      <w:r w:rsidR="00883C05" w:rsidRPr="009F3014">
        <w:t xml:space="preserve">support for </w:t>
      </w:r>
      <w:r w:rsidR="008A055F" w:rsidRPr="009F3014">
        <w:t>access and benefit-sharing</w:t>
      </w:r>
      <w:r w:rsidR="00B13056" w:rsidRPr="009F3014">
        <w:t xml:space="preserve"> </w:t>
      </w:r>
      <w:r w:rsidR="00FA0924" w:rsidRPr="009F3014">
        <w:t>between 20</w:t>
      </w:r>
      <w:r w:rsidR="00A35BC1" w:rsidRPr="009F3014">
        <w:t>0</w:t>
      </w:r>
      <w:r w:rsidR="00FA0924" w:rsidRPr="009F3014">
        <w:t xml:space="preserve">6 and 2026. </w:t>
      </w:r>
      <w:r w:rsidR="00814FED" w:rsidRPr="009F3014">
        <w:t xml:space="preserve">The observed trajectory broadly mirrors the </w:t>
      </w:r>
      <w:r w:rsidR="00FA0924" w:rsidRPr="009F3014">
        <w:t xml:space="preserve">evolution </w:t>
      </w:r>
      <w:r w:rsidR="00814FED" w:rsidRPr="009F3014">
        <w:t>of the Nagoya Protocol, from conceptual foundations and readiness,</w:t>
      </w:r>
      <w:r w:rsidR="00F14AD7" w:rsidRPr="009F3014">
        <w:t xml:space="preserve"> to </w:t>
      </w:r>
      <w:r w:rsidR="00814FED" w:rsidRPr="009F3014">
        <w:t>implementation</w:t>
      </w:r>
      <w:r w:rsidR="00F14AD7" w:rsidRPr="009F3014">
        <w:t>,</w:t>
      </w:r>
      <w:r w:rsidR="00814FED" w:rsidRPr="009F3014">
        <w:t xml:space="preserve"> consolidation</w:t>
      </w:r>
      <w:r w:rsidR="00F14AD7" w:rsidRPr="009F3014">
        <w:t xml:space="preserve"> and renewed </w:t>
      </w:r>
      <w:r w:rsidR="00814FED" w:rsidRPr="009F3014">
        <w:t>emphasis on accountability and global biodiversity targets.</w:t>
      </w:r>
    </w:p>
    <w:p w14:paraId="76FEDE8C" w14:textId="4449A207" w:rsidR="00523B2F" w:rsidRDefault="00491918">
      <w:pPr>
        <w:pStyle w:val="CBDNormalNumber"/>
        <w:ind w:left="567"/>
      </w:pPr>
      <w:r w:rsidRPr="00192ACB">
        <w:t>Financial support for access and benefit</w:t>
      </w:r>
      <w:r w:rsidRPr="00192ACB">
        <w:noBreakHyphen/>
        <w:t>sharing (ABS) under the GEF evolved significantly across programming cycles. Allocations increased from approximately $8.9 million under GEF</w:t>
      </w:r>
      <w:r w:rsidRPr="00192ACB">
        <w:noBreakHyphen/>
        <w:t>4, when ABS was not yet a distinct programming area, to $52.1 million under GEF</w:t>
      </w:r>
      <w:r w:rsidRPr="00192ACB">
        <w:noBreakHyphen/>
        <w:t>5, which served as bridge financing ahead of the Nagoya Protocol’s entry into force</w:t>
      </w:r>
      <w:r w:rsidR="00D2181D">
        <w:t>.</w:t>
      </w:r>
    </w:p>
    <w:p w14:paraId="18152B74" w14:textId="77777777" w:rsidR="00A34EC4" w:rsidRPr="00192ACB" w:rsidRDefault="00A34EC4" w:rsidP="00A34EC4">
      <w:pPr>
        <w:pStyle w:val="CBDNormalNumber"/>
      </w:pPr>
      <w:r w:rsidRPr="00192ACB">
        <w:t>From GEF</w:t>
      </w:r>
      <w:r w:rsidRPr="00192ACB">
        <w:noBreakHyphen/>
        <w:t>6 onward, allocations declined as support became more targeted and increasingly informed by implementation experience, greater mainstreaming of ABS within broader biodiversity portfolios, and heightened competition for limited international public finance. Under GEF</w:t>
      </w:r>
      <w:r w:rsidRPr="00192ACB">
        <w:noBreakHyphen/>
        <w:t>8, combined funding from the GEF Trust Fund and the GBFF amounted to approximately $20.6 million, reflecting a qualitative shift toward more selective, results</w:t>
      </w:r>
      <w:r w:rsidRPr="00192ACB">
        <w:noBreakHyphen/>
        <w:t>oriented, and framework</w:t>
      </w:r>
      <w:r w:rsidRPr="00192ACB">
        <w:noBreakHyphen/>
        <w:t>aligned programming under the Kunming</w:t>
      </w:r>
      <w:r w:rsidRPr="00192ACB">
        <w:noBreakHyphen/>
        <w:t>Montreal Global Biodiversity Framework, with stronger links to implementation outcomes and reporting processes under the Nagoya Protocol.</w:t>
      </w:r>
    </w:p>
    <w:p w14:paraId="6F636518" w14:textId="27172775" w:rsidR="00814FED" w:rsidRPr="00FF221F" w:rsidRDefault="00814FED" w:rsidP="00DE49A3">
      <w:pPr>
        <w:pStyle w:val="CBDNormalNumber"/>
        <w:ind w:left="567"/>
      </w:pPr>
      <w:r w:rsidRPr="00980BBD">
        <w:t xml:space="preserve">Overall, </w:t>
      </w:r>
      <w:r w:rsidR="00F20CCD">
        <w:t xml:space="preserve">while funding levels have fluctuated across </w:t>
      </w:r>
      <w:r w:rsidRPr="00980BBD">
        <w:t>cycles</w:t>
      </w:r>
      <w:r w:rsidRPr="00980BBD" w:rsidDel="00F20CCD">
        <w:t>,</w:t>
      </w:r>
      <w:r w:rsidRPr="00980BBD">
        <w:t xml:space="preserve"> the GEF has remained the central </w:t>
      </w:r>
      <w:r w:rsidR="00F20CCD">
        <w:t xml:space="preserve">multilateral </w:t>
      </w:r>
      <w:r w:rsidR="00E72E7D">
        <w:t xml:space="preserve">mechanism for mobilising international public finance for </w:t>
      </w:r>
      <w:r w:rsidR="003709F8" w:rsidRPr="003709F8">
        <w:t>access and benefit-sharing</w:t>
      </w:r>
      <w:r w:rsidR="00DB322C">
        <w:t xml:space="preserve"> </w:t>
      </w:r>
      <w:r w:rsidR="00E72E7D">
        <w:t xml:space="preserve">implementation, </w:t>
      </w:r>
      <w:r w:rsidRPr="00980BBD">
        <w:t>with GEF</w:t>
      </w:r>
      <w:r w:rsidRPr="00980BBD">
        <w:noBreakHyphen/>
        <w:t>8 representing a</w:t>
      </w:r>
      <w:r w:rsidR="00C72CDC">
        <w:t xml:space="preserve"> significant </w:t>
      </w:r>
      <w:r w:rsidRPr="00980BBD">
        <w:t xml:space="preserve">step towards greater coherence with global biodiversity targets and </w:t>
      </w:r>
      <w:r w:rsidR="00DD5786">
        <w:t xml:space="preserve">accountability </w:t>
      </w:r>
      <w:r w:rsidRPr="00980BBD">
        <w:t>processes</w:t>
      </w:r>
      <w:r w:rsidRPr="00FF221F">
        <w:t>.</w:t>
      </w:r>
    </w:p>
    <w:p w14:paraId="40DF0918" w14:textId="3F4D5DD6" w:rsidR="00D248F3" w:rsidRPr="008C638C" w:rsidRDefault="0038027D" w:rsidP="006268E5">
      <w:pPr>
        <w:pStyle w:val="CBDH2"/>
        <w:rPr>
          <w:bCs/>
          <w:lang w:val="en-CA" w:eastAsia="en-CA"/>
        </w:rPr>
      </w:pPr>
      <w:r>
        <w:rPr>
          <w:lang w:val="en-CA" w:eastAsia="en-CA"/>
        </w:rPr>
        <w:t>C.</w:t>
      </w:r>
      <w:r>
        <w:rPr>
          <w:lang w:val="en-CA" w:eastAsia="en-CA"/>
        </w:rPr>
        <w:tab/>
      </w:r>
      <w:r w:rsidR="00D248F3" w:rsidRPr="00266B55">
        <w:rPr>
          <w:lang w:val="en-CA" w:eastAsia="en-CA"/>
        </w:rPr>
        <w:t xml:space="preserve">Key </w:t>
      </w:r>
      <w:r w:rsidR="00BC4CE9">
        <w:rPr>
          <w:lang w:val="en-CA" w:eastAsia="en-CA"/>
        </w:rPr>
        <w:t>t</w:t>
      </w:r>
      <w:r w:rsidR="00D248F3" w:rsidRPr="00266B55">
        <w:rPr>
          <w:lang w:val="en-CA" w:eastAsia="en-CA"/>
        </w:rPr>
        <w:t xml:space="preserve">rends and </w:t>
      </w:r>
      <w:r w:rsidR="00BC4CE9">
        <w:rPr>
          <w:lang w:val="en-CA" w:eastAsia="en-CA"/>
        </w:rPr>
        <w:t>i</w:t>
      </w:r>
      <w:r w:rsidR="00D248F3" w:rsidRPr="00266B55">
        <w:rPr>
          <w:lang w:val="en-CA" w:eastAsia="en-CA"/>
        </w:rPr>
        <w:t xml:space="preserve">mplications for </w:t>
      </w:r>
      <w:r w:rsidR="00BC4CE9">
        <w:rPr>
          <w:lang w:val="en-CA" w:eastAsia="en-CA"/>
        </w:rPr>
        <w:t>r</w:t>
      </w:r>
      <w:r w:rsidR="00D248F3" w:rsidRPr="00266B55">
        <w:rPr>
          <w:lang w:val="en-CA" w:eastAsia="en-CA"/>
        </w:rPr>
        <w:t xml:space="preserve">esource </w:t>
      </w:r>
      <w:r w:rsidR="00BC4CE9">
        <w:rPr>
          <w:lang w:val="en-CA" w:eastAsia="en-CA"/>
        </w:rPr>
        <w:t>m</w:t>
      </w:r>
      <w:r w:rsidR="00D248F3" w:rsidRPr="00266B55">
        <w:rPr>
          <w:lang w:val="en-CA" w:eastAsia="en-CA"/>
        </w:rPr>
        <w:t>obili</w:t>
      </w:r>
      <w:r>
        <w:rPr>
          <w:lang w:val="en-CA" w:eastAsia="en-CA"/>
        </w:rPr>
        <w:t>z</w:t>
      </w:r>
      <w:r w:rsidR="00D248F3" w:rsidRPr="00266B55">
        <w:rPr>
          <w:lang w:val="en-CA" w:eastAsia="en-CA"/>
        </w:rPr>
        <w:t>ation under the Nagoya Protocol</w:t>
      </w:r>
    </w:p>
    <w:p w14:paraId="59933971" w14:textId="77777777" w:rsidR="00073CB4" w:rsidRDefault="00073CB4" w:rsidP="00073CB4">
      <w:pPr>
        <w:pStyle w:val="CBDNormalNumber"/>
      </w:pPr>
      <w:r w:rsidRPr="00F440C5">
        <w:t>Taken together, the evolution of GEF and, where applicable, Global Biodiversity Framework Fund support for access and benefit</w:t>
      </w:r>
      <w:r w:rsidRPr="00F440C5">
        <w:noBreakHyphen/>
        <w:t>sharing reflects changing patterns of emphasis in the GEF portfolio over time, rather than shifts in eligibility or guidance. While countries continue to access GEF support for foundational, early implementation, and scaling</w:t>
      </w:r>
      <w:r w:rsidRPr="00F440C5">
        <w:noBreakHyphen/>
        <w:t xml:space="preserve">up measures in accordance with national circumstances, the portfolio </w:t>
      </w:r>
      <w:proofErr w:type="gramStart"/>
      <w:r w:rsidRPr="00F440C5">
        <w:t>as a whole shows</w:t>
      </w:r>
      <w:proofErr w:type="gramEnd"/>
      <w:r w:rsidRPr="00F440C5">
        <w:t xml:space="preserve"> increased differentiation and targeting as experience with implementation of the Nagoya Protocol has grown. Across programming cycles, the GEF has remained the principal multilateral mechanism mobilizing international public finance for access and benefit</w:t>
      </w:r>
      <w:r w:rsidRPr="00F440C5">
        <w:noBreakHyphen/>
        <w:t>sharing implementation.</w:t>
      </w:r>
    </w:p>
    <w:p w14:paraId="4285162C" w14:textId="77777777" w:rsidR="003224E4" w:rsidRPr="00F440C5" w:rsidRDefault="003224E4" w:rsidP="003224E4">
      <w:pPr>
        <w:pStyle w:val="CBDNormalNumber"/>
      </w:pPr>
      <w:r w:rsidRPr="00F440C5">
        <w:t>The GEF</w:t>
      </w:r>
      <w:r w:rsidRPr="00F440C5">
        <w:noBreakHyphen/>
        <w:t>8 cycle, with approximately USD 20.6 million allocated to access and benefit</w:t>
      </w:r>
      <w:r w:rsidRPr="00F440C5">
        <w:noBreakHyphen/>
        <w:t>sharing, illustrates these portfolio</w:t>
      </w:r>
      <w:r w:rsidRPr="00F440C5">
        <w:noBreakHyphen/>
        <w:t>level trends. Rather than reflecting a uniform expansion in funding levels, recent support is characterized by greater selectivity, increased mainstreaming of access and benefit</w:t>
      </w:r>
      <w:r w:rsidRPr="00F440C5">
        <w:noBreakHyphen/>
        <w:t>sharing within broader biodiversity programming, and closer alignment with implementation monitoring, reporting, and review processes under the Protocol. The establishment of the Global Biodiversity Framework Fund and the adoption of the Kunming</w:t>
      </w:r>
      <w:r w:rsidRPr="00F440C5">
        <w:noBreakHyphen/>
        <w:t xml:space="preserve">Montreal Global Biodiversity Framework have further reinforced these qualitative dimensions, </w:t>
      </w:r>
      <w:proofErr w:type="gramStart"/>
      <w:r w:rsidRPr="00F440C5">
        <w:t>linking</w:t>
      </w:r>
      <w:proofErr w:type="gramEnd"/>
      <w:r w:rsidRPr="00F440C5">
        <w:t xml:space="preserve"> access and benefit</w:t>
      </w:r>
      <w:r w:rsidRPr="00F440C5">
        <w:noBreakHyphen/>
        <w:t>sharing more explicitly to global biodiversity goals and targets.</w:t>
      </w:r>
    </w:p>
    <w:p w14:paraId="0A296577" w14:textId="77777777" w:rsidR="000D3284" w:rsidRPr="00F440C5" w:rsidRDefault="000D3284" w:rsidP="000D3284">
      <w:pPr>
        <w:pStyle w:val="CBDNormalNumber"/>
      </w:pPr>
      <w:r w:rsidRPr="00F440C5">
        <w:t>Overall, observed trends point to increasing coherence between financial resources, implementation needs, and review processes, underscoring the importance of flexible, evidence</w:t>
      </w:r>
      <w:r w:rsidRPr="00F440C5">
        <w:noBreakHyphen/>
        <w:t>based, and strategically deployed financing to support effective and sustained implementation of the Nagoya Protocol over time.</w:t>
      </w:r>
    </w:p>
    <w:p w14:paraId="656986F5" w14:textId="6140307A" w:rsidR="00814FED" w:rsidRPr="003F6623" w:rsidRDefault="00FD10A7" w:rsidP="006268E5">
      <w:pPr>
        <w:pStyle w:val="CBDH1"/>
      </w:pPr>
      <w:r>
        <w:t>III.</w:t>
      </w:r>
      <w:r>
        <w:tab/>
      </w:r>
      <w:r w:rsidR="00814FED" w:rsidRPr="003F6623">
        <w:t xml:space="preserve">Financial </w:t>
      </w:r>
      <w:r w:rsidR="00BC4CE9">
        <w:t>r</w:t>
      </w:r>
      <w:r w:rsidR="00814FED" w:rsidRPr="003F6623">
        <w:t xml:space="preserve">esources </w:t>
      </w:r>
      <w:r w:rsidR="00814FED">
        <w:t>f</w:t>
      </w:r>
      <w:r w:rsidR="00814FED" w:rsidRPr="003F6623">
        <w:t xml:space="preserve">or </w:t>
      </w:r>
      <w:r w:rsidR="00BC4CE9">
        <w:t>a</w:t>
      </w:r>
      <w:r w:rsidR="000913E5" w:rsidRPr="000913E5">
        <w:t xml:space="preserve">ccess and </w:t>
      </w:r>
      <w:r w:rsidR="00BC4CE9">
        <w:t>b</w:t>
      </w:r>
      <w:r w:rsidR="000913E5" w:rsidRPr="000913E5">
        <w:t>enefit-sharing</w:t>
      </w:r>
      <w:r w:rsidR="000C2E51">
        <w:t xml:space="preserve"> </w:t>
      </w:r>
      <w:r w:rsidR="00BC4CE9">
        <w:t>i</w:t>
      </w:r>
      <w:r w:rsidR="00814FED" w:rsidRPr="003F6623">
        <w:t xml:space="preserve">mplementation </w:t>
      </w:r>
      <w:r w:rsidR="00BC4CE9">
        <w:t>b</w:t>
      </w:r>
      <w:r w:rsidR="00814FED" w:rsidRPr="003F6623">
        <w:t>eyond G</w:t>
      </w:r>
      <w:r w:rsidR="00814FED">
        <w:t>EF</w:t>
      </w:r>
      <w:r w:rsidR="00814FED" w:rsidRPr="003F6623">
        <w:t xml:space="preserve"> Trust Fund </w:t>
      </w:r>
      <w:r w:rsidR="00BC4CE9">
        <w:t>s</w:t>
      </w:r>
      <w:r w:rsidR="00814FED" w:rsidRPr="003F6623">
        <w:t>upport</w:t>
      </w:r>
    </w:p>
    <w:p w14:paraId="24E981EF" w14:textId="1C4649EB" w:rsidR="00093F28" w:rsidRPr="00DE49A3" w:rsidRDefault="00093F28" w:rsidP="00DE49A3">
      <w:pPr>
        <w:pStyle w:val="CBDNormalNumber"/>
        <w:ind w:left="567"/>
      </w:pPr>
      <w:r w:rsidRPr="00DE49A3">
        <w:t>This section reviews information reported</w:t>
      </w:r>
      <w:r w:rsidR="00334CBD">
        <w:t xml:space="preserve"> in the first national reports</w:t>
      </w:r>
      <w:r w:rsidRPr="00DE49A3">
        <w:t xml:space="preserve"> by Parties and implementing organisations on financial resources supporting access and benefit</w:t>
      </w:r>
      <w:r w:rsidRPr="00DE49A3">
        <w:noBreakHyphen/>
        <w:t xml:space="preserve">sharing implementation beyond allocations from the GEF Trust Fund. The analysis aims to identify patterns </w:t>
      </w:r>
      <w:r w:rsidRPr="00DE49A3">
        <w:lastRenderedPageBreak/>
        <w:t xml:space="preserve">in funding sources and geographic orientation, rather than to provide an exhaustive accounting of donor contributions. It highlights complementarities with GEF support and provides a qualitative overview of the broader </w:t>
      </w:r>
      <w:r w:rsidR="000C2E51" w:rsidRPr="000C2E51">
        <w:rPr>
          <w:lang w:eastAsia="en-CA"/>
        </w:rPr>
        <w:t>access and benefit-sharing</w:t>
      </w:r>
      <w:r w:rsidR="00D7524E">
        <w:rPr>
          <w:lang w:eastAsia="en-CA"/>
        </w:rPr>
        <w:t xml:space="preserve"> </w:t>
      </w:r>
      <w:r w:rsidRPr="00DE49A3">
        <w:t>resource landscape</w:t>
      </w:r>
    </w:p>
    <w:p w14:paraId="4C86F1B9" w14:textId="0567FCCC" w:rsidR="00814FED" w:rsidRPr="00FF221F" w:rsidRDefault="0038027D" w:rsidP="006268E5">
      <w:pPr>
        <w:pStyle w:val="CBDH2"/>
        <w:jc w:val="left"/>
      </w:pPr>
      <w:r>
        <w:t>A.</w:t>
      </w:r>
      <w:r>
        <w:tab/>
      </w:r>
      <w:r w:rsidR="00814FED" w:rsidRPr="00FF221F">
        <w:t>A</w:t>
      </w:r>
      <w:r w:rsidR="000002F8" w:rsidRPr="000002F8">
        <w:t xml:space="preserve">ccess and </w:t>
      </w:r>
      <w:r w:rsidR="00BC4CE9">
        <w:t>b</w:t>
      </w:r>
      <w:r w:rsidR="000002F8" w:rsidRPr="000002F8">
        <w:t>enefit-sharing</w:t>
      </w:r>
      <w:r w:rsidR="00354035">
        <w:t>-</w:t>
      </w:r>
      <w:r w:rsidR="00BC4CE9">
        <w:t>r</w:t>
      </w:r>
      <w:r w:rsidR="00814FED" w:rsidRPr="00FF221F">
        <w:t xml:space="preserve">elated </w:t>
      </w:r>
      <w:r w:rsidR="00BC4CE9">
        <w:t>f</w:t>
      </w:r>
      <w:r w:rsidR="00814FED" w:rsidRPr="00FF221F">
        <w:t xml:space="preserve">unding from </w:t>
      </w:r>
      <w:r w:rsidR="00BC4CE9">
        <w:t>o</w:t>
      </w:r>
      <w:r w:rsidR="00814FED" w:rsidRPr="00FF221F">
        <w:t xml:space="preserve">ther </w:t>
      </w:r>
      <w:r w:rsidR="00BC4CE9">
        <w:t>i</w:t>
      </w:r>
      <w:r w:rsidR="00814FED" w:rsidRPr="00FF221F">
        <w:t xml:space="preserve">nternational and </w:t>
      </w:r>
      <w:r w:rsidR="00BC4CE9">
        <w:t>b</w:t>
      </w:r>
      <w:r w:rsidR="00814FED" w:rsidRPr="00FF221F">
        <w:t xml:space="preserve">ilateral </w:t>
      </w:r>
      <w:r w:rsidR="00BC4CE9">
        <w:t>s</w:t>
      </w:r>
      <w:r w:rsidR="00814FED" w:rsidRPr="00FF221F">
        <w:t>ources</w:t>
      </w:r>
    </w:p>
    <w:p w14:paraId="281775C6" w14:textId="2DCD9EDD" w:rsidR="009B75DE" w:rsidRPr="0099317C" w:rsidRDefault="009B75DE" w:rsidP="00DE49A3">
      <w:pPr>
        <w:pStyle w:val="CBDNormalNumber"/>
        <w:ind w:left="567"/>
      </w:pPr>
      <w:r w:rsidRPr="00DE49A3">
        <w:t xml:space="preserve">Information reviewed indicates that </w:t>
      </w:r>
      <w:r w:rsidR="00EA2A65" w:rsidRPr="00EA2A65">
        <w:t>access and benefit-sharing</w:t>
      </w:r>
      <w:r w:rsidRPr="00DE49A3">
        <w:noBreakHyphen/>
        <w:t>related funding from international and bilateral sources beyond the GEF Trust Fund remains highly concentrated and unevenly distributed, both in terms of funding sources and geographic focus</w:t>
      </w:r>
      <w:r w:rsidR="00D52FB7">
        <w:t>.</w:t>
      </w:r>
    </w:p>
    <w:p w14:paraId="4FB48D1D" w14:textId="3C6BF554" w:rsidR="009B75DE" w:rsidRPr="0099317C" w:rsidRDefault="00906E0B" w:rsidP="00DE49A3">
      <w:pPr>
        <w:pStyle w:val="CBDNormalNumber"/>
        <w:ind w:left="567"/>
      </w:pPr>
      <w:r w:rsidRPr="00DE49A3">
        <w:t>A limited number of international and bilateral organisations have provided core funding support for national, regional, sub</w:t>
      </w:r>
      <w:r w:rsidRPr="00DE49A3">
        <w:noBreakHyphen/>
        <w:t xml:space="preserve">regional and global </w:t>
      </w:r>
      <w:r w:rsidR="001D6149" w:rsidRPr="001D6149">
        <w:t>access and benefit-sharing</w:t>
      </w:r>
      <w:r w:rsidR="002B1EEA">
        <w:t xml:space="preserve"> </w:t>
      </w:r>
      <w:r w:rsidRPr="00DE49A3">
        <w:t>initiatives during the reporting period. Overall, global</w:t>
      </w:r>
      <w:r w:rsidRPr="00DE49A3">
        <w:noBreakHyphen/>
        <w:t>level initiatives account for the largest share of reported non</w:t>
      </w:r>
      <w:r w:rsidRPr="00DE49A3">
        <w:noBreakHyphen/>
        <w:t>GEF support while national</w:t>
      </w:r>
      <w:r w:rsidRPr="00DE49A3">
        <w:noBreakHyphen/>
        <w:t>level funding from non</w:t>
      </w:r>
      <w:r w:rsidRPr="00DE49A3">
        <w:noBreakHyphen/>
        <w:t>GEF sources remains comparatively limited</w:t>
      </w:r>
      <w:r w:rsidR="00D7524E">
        <w:t>.</w:t>
      </w:r>
    </w:p>
    <w:p w14:paraId="35A4EE12" w14:textId="67A19207" w:rsidR="009B0E01" w:rsidRDefault="00FF6C50">
      <w:pPr>
        <w:pStyle w:val="CBDNormalNumber"/>
        <w:ind w:left="567"/>
      </w:pPr>
      <w:r w:rsidRPr="00DE49A3">
        <w:t>Regional and sub</w:t>
      </w:r>
      <w:r w:rsidRPr="00DE49A3">
        <w:noBreakHyphen/>
        <w:t xml:space="preserve">regional funding has </w:t>
      </w:r>
      <w:r w:rsidR="00732D62">
        <w:t>supported</w:t>
      </w:r>
      <w:r w:rsidR="00AC3FCF">
        <w:t xml:space="preserve"> access and benefit-sharing related activities, </w:t>
      </w:r>
      <w:r w:rsidR="007C490D">
        <w:t>including pilot initiatives, peer learning, and regional cooperation, fre</w:t>
      </w:r>
      <w:r w:rsidR="00392F76">
        <w:t xml:space="preserve">quently alongside </w:t>
      </w:r>
      <w:r w:rsidRPr="00DE49A3">
        <w:t>multilateral funding streams.</w:t>
      </w:r>
    </w:p>
    <w:p w14:paraId="79D103B6" w14:textId="77777777" w:rsidR="007855D3" w:rsidRPr="007855D3" w:rsidRDefault="007855D3" w:rsidP="007855D3">
      <w:pPr>
        <w:pStyle w:val="CBDNormalNumber"/>
        <w:rPr>
          <w:lang w:val="en-CA" w:eastAsia="en-CA"/>
        </w:rPr>
      </w:pPr>
      <w:r w:rsidRPr="007855D3">
        <w:rPr>
          <w:lang w:val="en-CA" w:eastAsia="en-CA"/>
        </w:rPr>
        <w:t>Based on available reported data, contributions originating from governments and institutions in developing regions appear limited in relative terms, underscoring ongoing challenges in mobilizing and tracking domestic and regional resources for access and benefit</w:t>
      </w:r>
      <w:r w:rsidRPr="007855D3">
        <w:rPr>
          <w:lang w:val="en-CA" w:eastAsia="en-CA"/>
        </w:rPr>
        <w:noBreakHyphen/>
        <w:t>sharing at the national level. This highlights the continued importance of strengthening enabling conditions, capacity, and reporting mechanisms to support more diversified and sustainable resource mobilization for implementation of the Nagoya Protocol.</w:t>
      </w:r>
    </w:p>
    <w:p w14:paraId="2B32A048" w14:textId="78CA1A8E" w:rsidR="00FC412C" w:rsidRPr="00DE49A3" w:rsidRDefault="00FC412C" w:rsidP="00DE49A3">
      <w:pPr>
        <w:pStyle w:val="CBDNormalNumber"/>
        <w:ind w:left="567"/>
      </w:pPr>
      <w:r w:rsidRPr="00DE49A3">
        <w:t>Due to incomplete public data recorded figures understate the total volume of non</w:t>
      </w:r>
      <w:r w:rsidRPr="00DE49A3">
        <w:noBreakHyphen/>
        <w:t xml:space="preserve">GEF </w:t>
      </w:r>
      <w:r w:rsidR="001D6149" w:rsidRPr="001D6149">
        <w:t>access and benefit-sharing</w:t>
      </w:r>
      <w:r w:rsidR="002B1EEA">
        <w:t xml:space="preserve"> </w:t>
      </w:r>
      <w:r w:rsidRPr="00DE49A3">
        <w:t>support. As such, the analysis focuses on distributional patterns and roles of funding sources rather than absolute contribution levels.</w:t>
      </w:r>
    </w:p>
    <w:p w14:paraId="0C528307" w14:textId="68A223A6" w:rsidR="00814FED" w:rsidRPr="00F679EE" w:rsidRDefault="0038027D" w:rsidP="006268E5">
      <w:pPr>
        <w:pStyle w:val="CBDH2"/>
        <w:jc w:val="left"/>
      </w:pPr>
      <w:r>
        <w:t>B.</w:t>
      </w:r>
      <w:r>
        <w:tab/>
      </w:r>
      <w:r w:rsidR="00814FED" w:rsidRPr="00EC739D">
        <w:t xml:space="preserve">Core funding sources of ongoing and approved </w:t>
      </w:r>
      <w:r w:rsidR="001D6149" w:rsidRPr="001D6149">
        <w:t>access and benefit-sharing</w:t>
      </w:r>
      <w:r w:rsidR="002B1EEA">
        <w:t xml:space="preserve"> </w:t>
      </w:r>
      <w:r w:rsidR="00814FED" w:rsidRPr="00EC739D">
        <w:t>implementation projects</w:t>
      </w:r>
    </w:p>
    <w:p w14:paraId="4B4CEADF" w14:textId="389FC57B" w:rsidR="00F34FE1" w:rsidRDefault="00F34FE1">
      <w:pPr>
        <w:pStyle w:val="CBDNormalNumber"/>
        <w:ind w:left="567"/>
      </w:pPr>
      <w:r w:rsidRPr="00303C4B">
        <w:rPr>
          <w:lang w:val="en-CA"/>
        </w:rPr>
        <w:t>The preceding section examined access and benefit</w:t>
      </w:r>
      <w:r w:rsidRPr="00303C4B">
        <w:rPr>
          <w:lang w:val="en-CA"/>
        </w:rPr>
        <w:noBreakHyphen/>
        <w:t>sharing</w:t>
      </w:r>
      <w:r w:rsidRPr="00303C4B">
        <w:rPr>
          <w:lang w:val="en-CA"/>
        </w:rPr>
        <w:noBreakHyphen/>
        <w:t>related financial support from a broad range of international and bilateral sources over time. Building on this context, the present section focuses specifically on the core funding sources underpinning ongoing and approved access and benefit</w:t>
      </w:r>
      <w:r w:rsidRPr="00303C4B">
        <w:rPr>
          <w:lang w:val="en-CA"/>
        </w:rPr>
        <w:noBreakHyphen/>
        <w:t>sharing implementation projects, providing insight into the current configuration of active financial support. This distinction highlights not only shifts in funding modalities but also the degree to which access and benefit</w:t>
      </w:r>
      <w:r w:rsidRPr="00303C4B">
        <w:rPr>
          <w:lang w:val="en-CA"/>
        </w:rPr>
        <w:noBreakHyphen/>
        <w:t>sharing implementation continues to rely on a relatively limited set of sustained financing mechanisms</w:t>
      </w:r>
      <w:r w:rsidR="00582C60">
        <w:rPr>
          <w:lang w:val="en-CA"/>
        </w:rPr>
        <w:t>.</w:t>
      </w:r>
    </w:p>
    <w:p w14:paraId="0B56F2EC" w14:textId="1615A11A" w:rsidR="0015748A" w:rsidRDefault="007C7583">
      <w:pPr>
        <w:pStyle w:val="CBDNormalNumber"/>
        <w:ind w:left="567"/>
      </w:pPr>
      <w:r w:rsidRPr="00680570">
        <w:t>Analysis of ongoing and approved access and benefit</w:t>
      </w:r>
      <w:r w:rsidRPr="00680570">
        <w:noBreakHyphen/>
        <w:t>sharing implementation projects indicates that active financial support is currently concentrated among a relatively limited set of funding sources, with the Global Environment Facility continuing to play a central role through successive replenishment cycles. Non</w:t>
      </w:r>
      <w:r w:rsidRPr="00680570">
        <w:noBreakHyphen/>
        <w:t>GEF trust funds and bilateral sources have provided targeted and time</w:t>
      </w:r>
      <w:r w:rsidRPr="00680570">
        <w:noBreakHyphen/>
        <w:t>bound support, often addressing specific thematic priorities or bridging gaps between GEF programming cycles, rather than functioning as sustained or primary drivers of access and benefit</w:t>
      </w:r>
      <w:r w:rsidRPr="00680570">
        <w:noBreakHyphen/>
        <w:t xml:space="preserve">sharing resource </w:t>
      </w:r>
      <w:r w:rsidR="00E51D85">
        <w:t>mobilization</w:t>
      </w:r>
      <w:r w:rsidR="00582C60">
        <w:t>.</w:t>
      </w:r>
    </w:p>
    <w:p w14:paraId="1BE87F1C" w14:textId="7C012AA9" w:rsidR="008B4C71" w:rsidRPr="00680570" w:rsidRDefault="008B4C71" w:rsidP="008B4C71">
      <w:pPr>
        <w:pStyle w:val="CBDNormalNumber"/>
      </w:pPr>
      <w:r w:rsidRPr="00680570">
        <w:t>This pattern underscores the continuing centrality of the financial mechanism under the Convention, alongside the catalytic and complementary role of other funding sources and highlights the importance of maintaining predictable and coherent financing arrangements to support effective implementation of the Nagoya Protocol over time.</w:t>
      </w:r>
    </w:p>
    <w:p w14:paraId="7E6D2357" w14:textId="56D22B6D" w:rsidR="009B45DA" w:rsidRDefault="0038027D" w:rsidP="006268E5">
      <w:pPr>
        <w:pStyle w:val="CBDH2"/>
        <w:jc w:val="left"/>
      </w:pPr>
      <w:r>
        <w:lastRenderedPageBreak/>
        <w:t>C.</w:t>
      </w:r>
      <w:r>
        <w:tab/>
      </w:r>
      <w:r w:rsidR="00814FED" w:rsidRPr="00FF221F">
        <w:t xml:space="preserve">Domestic </w:t>
      </w:r>
      <w:r w:rsidR="003F5B37">
        <w:t>r</w:t>
      </w:r>
      <w:r w:rsidR="00814FED" w:rsidRPr="00FF221F">
        <w:t xml:space="preserve">esource </w:t>
      </w:r>
      <w:r w:rsidR="003F5B37">
        <w:t>m</w:t>
      </w:r>
      <w:r w:rsidR="00814FED" w:rsidRPr="00FF221F">
        <w:t>obili</w:t>
      </w:r>
      <w:r w:rsidR="00D42CFD">
        <w:t>z</w:t>
      </w:r>
      <w:r w:rsidR="00814FED" w:rsidRPr="00FF221F">
        <w:t xml:space="preserve">ation in the </w:t>
      </w:r>
      <w:r w:rsidR="00B52E6D">
        <w:t>c</w:t>
      </w:r>
      <w:r w:rsidR="00814FED" w:rsidRPr="00FF221F">
        <w:t xml:space="preserve">ontext of </w:t>
      </w:r>
      <w:r w:rsidR="00A938FE" w:rsidRPr="00A938FE">
        <w:t>access and benefit-sharing</w:t>
      </w:r>
      <w:r w:rsidR="00582C60">
        <w:t xml:space="preserve"> </w:t>
      </w:r>
      <w:r w:rsidR="00B52E6D">
        <w:t>i</w:t>
      </w:r>
      <w:r w:rsidR="00814FED" w:rsidRPr="00FF221F">
        <w:t>mplementation</w:t>
      </w:r>
    </w:p>
    <w:p w14:paraId="7B766A6D" w14:textId="32FBB5CB" w:rsidR="00C51B10" w:rsidRPr="00DE49A3" w:rsidRDefault="00C51B10" w:rsidP="00DE49A3">
      <w:pPr>
        <w:pStyle w:val="CBDNormalNumber"/>
        <w:ind w:left="567"/>
      </w:pPr>
      <w:r w:rsidRPr="00DE49A3">
        <w:t xml:space="preserve">Domestic resource </w:t>
      </w:r>
      <w:r w:rsidR="00E51D85">
        <w:t>mobilization</w:t>
      </w:r>
      <w:r w:rsidRPr="00DE49A3">
        <w:t>, as reflected in Parties’ first national reports, refers primarily to financial resources allocated from national public budgets to support implementation of the Nagoya Protocol, including funding embedded within broader environmental, biodiversity or development frameworks. The analysis indicates that domestic budgetary allocations for access and benefit</w:t>
      </w:r>
      <w:r w:rsidRPr="00DE49A3">
        <w:noBreakHyphen/>
        <w:t>sharing remain limited, uneven</w:t>
      </w:r>
      <w:r w:rsidR="001B0FCD" w:rsidRPr="00DE49A3">
        <w:t>,</w:t>
      </w:r>
      <w:r w:rsidRPr="00DE49A3">
        <w:t xml:space="preserve"> and often not systematically earmarked. In many cases, </w:t>
      </w:r>
      <w:r w:rsidR="00A938FE" w:rsidRPr="00A938FE">
        <w:rPr>
          <w:lang w:eastAsia="en-CA"/>
        </w:rPr>
        <w:t>access and benefit-sharing</w:t>
      </w:r>
      <w:r w:rsidRPr="00DE49A3">
        <w:noBreakHyphen/>
        <w:t>related activities are financed through project</w:t>
      </w:r>
      <w:r w:rsidRPr="00DE49A3">
        <w:noBreakHyphen/>
        <w:t>based arrangements or short</w:t>
      </w:r>
      <w:r w:rsidRPr="00DE49A3">
        <w:noBreakHyphen/>
        <w:t>term budget lines rather than stable, institutionali</w:t>
      </w:r>
      <w:r w:rsidR="005F64B3">
        <w:t>z</w:t>
      </w:r>
      <w:r w:rsidRPr="00DE49A3">
        <w:t>ed financing mechanisms, reflecting competing national priorities and fiscal constraints.</w:t>
      </w:r>
    </w:p>
    <w:p w14:paraId="13707B8B" w14:textId="044604E7" w:rsidR="00B46115" w:rsidRPr="00DE49A3" w:rsidRDefault="00B46115" w:rsidP="00DE49A3">
      <w:pPr>
        <w:pStyle w:val="CBDNormalNumber"/>
        <w:ind w:left="567"/>
      </w:pPr>
      <w:r w:rsidRPr="00DE49A3">
        <w:t>As a result, international public finance, most notably support from the Global Environment Facility (GEF</w:t>
      </w:r>
      <w:r w:rsidR="00232445" w:rsidRPr="00DE49A3">
        <w:t>), continues</w:t>
      </w:r>
      <w:r w:rsidRPr="00DE49A3">
        <w:t xml:space="preserve"> to play a central role in enabling </w:t>
      </w:r>
      <w:r w:rsidR="00C221D9" w:rsidRPr="00C221D9">
        <w:rPr>
          <w:lang w:eastAsia="en-CA"/>
        </w:rPr>
        <w:t>access and benefit-sharing</w:t>
      </w:r>
      <w:r w:rsidR="004D2245">
        <w:rPr>
          <w:lang w:eastAsia="en-CA"/>
        </w:rPr>
        <w:t xml:space="preserve"> </w:t>
      </w:r>
      <w:r w:rsidRPr="00DE49A3">
        <w:t>capacity</w:t>
      </w:r>
      <w:r w:rsidRPr="00DE49A3">
        <w:noBreakHyphen/>
        <w:t>building, institutional development and early implementation. GEF support has frequently compensated for limited domestic resources, facilitating the establishment of legal frameworks, competent authorities, permitting systems, awareness</w:t>
      </w:r>
      <w:r w:rsidRPr="00DE49A3">
        <w:noBreakHyphen/>
        <w:t>raising activities</w:t>
      </w:r>
      <w:r w:rsidR="001B0FCD" w:rsidRPr="00DE49A3">
        <w:t>,</w:t>
      </w:r>
      <w:r w:rsidRPr="00DE49A3">
        <w:t xml:space="preserve"> and related infrastructure. However, national reports also highlight that continued reliance on time</w:t>
      </w:r>
      <w:r w:rsidRPr="00DE49A3">
        <w:noBreakHyphen/>
        <w:t>bound external projects can pose challenges for the long</w:t>
      </w:r>
      <w:r w:rsidRPr="00DE49A3">
        <w:noBreakHyphen/>
        <w:t xml:space="preserve">term sustainability of </w:t>
      </w:r>
      <w:r w:rsidR="00C562C0" w:rsidRPr="00C562C0">
        <w:rPr>
          <w:lang w:eastAsia="en-CA"/>
        </w:rPr>
        <w:t>access and benefit-sharing</w:t>
      </w:r>
      <w:r w:rsidR="004D2245">
        <w:rPr>
          <w:lang w:eastAsia="en-CA"/>
        </w:rPr>
        <w:t xml:space="preserve"> </w:t>
      </w:r>
      <w:r w:rsidRPr="00DE49A3">
        <w:t>administrative, monitoring</w:t>
      </w:r>
      <w:r w:rsidR="00C50F7B" w:rsidRPr="00DE49A3">
        <w:t>,</w:t>
      </w:r>
      <w:r w:rsidRPr="00DE49A3">
        <w:t xml:space="preserve"> and digital systems once project funding concludes</w:t>
      </w:r>
      <w:r w:rsidR="00582C60">
        <w:t>.</w:t>
      </w:r>
    </w:p>
    <w:p w14:paraId="53F40F63" w14:textId="4A7B9B45" w:rsidR="00FC47F1" w:rsidRPr="00DE49A3" w:rsidRDefault="00FC47F1" w:rsidP="00DE49A3">
      <w:pPr>
        <w:pStyle w:val="CBDNormalNumber"/>
        <w:ind w:left="567"/>
      </w:pPr>
      <w:r w:rsidRPr="00DE49A3">
        <w:t xml:space="preserve">At the same time, first national reports point to early signs of progression in domestic resource </w:t>
      </w:r>
      <w:r w:rsidR="00E51D85">
        <w:t>mobilization</w:t>
      </w:r>
      <w:r w:rsidRPr="00DE49A3">
        <w:t xml:space="preserve">. An increasing number of Parties report efforts to integrate </w:t>
      </w:r>
      <w:r w:rsidR="00C562C0" w:rsidRPr="00C562C0">
        <w:rPr>
          <w:lang w:eastAsia="en-CA"/>
        </w:rPr>
        <w:t>access and benefit-sharing</w:t>
      </w:r>
      <w:r w:rsidR="00A10545">
        <w:rPr>
          <w:lang w:eastAsia="en-CA"/>
        </w:rPr>
        <w:t xml:space="preserve"> </w:t>
      </w:r>
      <w:r w:rsidRPr="00DE49A3">
        <w:t>into broader national biodiversity finance strategies, including those aligned with the Kunming</w:t>
      </w:r>
      <w:r w:rsidRPr="00DE49A3">
        <w:noBreakHyphen/>
        <w:t xml:space="preserve">Montreal Global Biodiversity Framework, and to establish mechanisms for allocating national budgetary resources to </w:t>
      </w:r>
      <w:r w:rsidR="00C562C0" w:rsidRPr="00C562C0">
        <w:rPr>
          <w:lang w:eastAsia="en-CA"/>
        </w:rPr>
        <w:t>access and benefit-sharing</w:t>
      </w:r>
      <w:r w:rsidR="00A10545">
        <w:rPr>
          <w:lang w:eastAsia="en-CA"/>
        </w:rPr>
        <w:t xml:space="preserve"> </w:t>
      </w:r>
      <w:r w:rsidRPr="00DE49A3">
        <w:t xml:space="preserve">implementation. While these efforts remain at an early stage in many countries, they suggest a gradual strengthening of domestic ownership. Overall, although domestic public budgets constitute the core of domestic resource </w:t>
      </w:r>
      <w:r w:rsidR="00E51D85">
        <w:t>mobilization</w:t>
      </w:r>
      <w:r w:rsidRPr="00DE49A3">
        <w:t xml:space="preserve">, their contribution to </w:t>
      </w:r>
      <w:r w:rsidR="00C562C0" w:rsidRPr="00C562C0">
        <w:rPr>
          <w:lang w:eastAsia="en-CA"/>
        </w:rPr>
        <w:t>access and benefit-sharing</w:t>
      </w:r>
      <w:r w:rsidR="00A10545">
        <w:rPr>
          <w:lang w:eastAsia="en-CA"/>
        </w:rPr>
        <w:t xml:space="preserve"> </w:t>
      </w:r>
      <w:r w:rsidRPr="00DE49A3">
        <w:t>implementation remains secondary to international financing. Strengthening the scale, predictability and institutionalisation of domestic support</w:t>
      </w:r>
      <w:r w:rsidR="003F2FCD" w:rsidRPr="00DE49A3">
        <w:t xml:space="preserve"> </w:t>
      </w:r>
      <w:r w:rsidRPr="00DE49A3">
        <w:t>alongside continued multilateral assistance and diversified financing approaches</w:t>
      </w:r>
      <w:r w:rsidR="003F2FCD" w:rsidRPr="00DE49A3">
        <w:t xml:space="preserve">, </w:t>
      </w:r>
      <w:r w:rsidRPr="00DE49A3">
        <w:t>will therefore be critical to enhancing the long</w:t>
      </w:r>
      <w:r w:rsidRPr="00DE49A3">
        <w:noBreakHyphen/>
        <w:t>term sustainability and effectiveness of implementation of the Nagoya Protocol.</w:t>
      </w:r>
    </w:p>
    <w:p w14:paraId="7CF507C9" w14:textId="3505FD22" w:rsidR="00814FED" w:rsidRPr="00B32846" w:rsidRDefault="0038027D" w:rsidP="006268E5">
      <w:pPr>
        <w:pStyle w:val="CBDH2"/>
      </w:pPr>
      <w:r>
        <w:t>D.</w:t>
      </w:r>
      <w:r>
        <w:tab/>
      </w:r>
      <w:r w:rsidR="00814FED" w:rsidRPr="00FF221F">
        <w:t>Complementarity with G</w:t>
      </w:r>
      <w:r w:rsidR="007057FC">
        <w:t xml:space="preserve">lobal </w:t>
      </w:r>
      <w:r w:rsidR="00814FED" w:rsidRPr="00FF221F">
        <w:t>E</w:t>
      </w:r>
      <w:r w:rsidR="007057FC">
        <w:t xml:space="preserve">nvironment </w:t>
      </w:r>
      <w:r w:rsidR="00814FED" w:rsidRPr="00FF221F">
        <w:t>F</w:t>
      </w:r>
      <w:r w:rsidR="007057FC">
        <w:t>acility</w:t>
      </w:r>
      <w:r w:rsidR="00814FED" w:rsidRPr="00FF221F">
        <w:t xml:space="preserve"> </w:t>
      </w:r>
      <w:r w:rsidR="00B52E6D">
        <w:t>s</w:t>
      </w:r>
      <w:r w:rsidR="00814FED" w:rsidRPr="00FF221F">
        <w:t>upport</w:t>
      </w:r>
    </w:p>
    <w:p w14:paraId="3E8A86FB" w14:textId="77777777" w:rsidR="00C66ED1" w:rsidRDefault="0078412B">
      <w:pPr>
        <w:pStyle w:val="CBDNormalNumber"/>
        <w:ind w:left="567"/>
      </w:pPr>
      <w:r w:rsidRPr="00B60D4F">
        <w:t>International and bilateral financial resources outside the Global Environment Facility (GEF) have played a complementary and catalytic role in supporting implementation of the Nagoya Protocol, particularly by addressing region</w:t>
      </w:r>
      <w:r w:rsidRPr="00B60D4F">
        <w:noBreakHyphen/>
        <w:t>specific and thematic needs, sustaining momentum between GEF programming cycles, and reinforcing emerging priorities under the Kunming</w:t>
      </w:r>
      <w:r w:rsidRPr="00B60D4F">
        <w:noBreakHyphen/>
        <w:t>Montreal Global Biodiversity Framework.</w:t>
      </w:r>
    </w:p>
    <w:p w14:paraId="227CCA31" w14:textId="030092CB" w:rsidR="0078412B" w:rsidRDefault="0078412B">
      <w:pPr>
        <w:pStyle w:val="CBDNormalNumber"/>
        <w:ind w:left="567"/>
      </w:pPr>
      <w:r w:rsidRPr="00B60D4F">
        <w:t>Evidence from national reports confirms that, while a range of bilateral, regional, and multilateral sources contribute to access and benefit</w:t>
      </w:r>
      <w:r w:rsidRPr="00B60D4F">
        <w:noBreakHyphen/>
        <w:t>sharing implementation, external project</w:t>
      </w:r>
      <w:r w:rsidRPr="00B60D4F">
        <w:noBreakHyphen/>
        <w:t>based financing</w:t>
      </w:r>
      <w:r>
        <w:t xml:space="preserve">, </w:t>
      </w:r>
      <w:r w:rsidRPr="00B60D4F">
        <w:t>primarily channelled through the GEF</w:t>
      </w:r>
      <w:r>
        <w:t xml:space="preserve">, </w:t>
      </w:r>
      <w:r w:rsidRPr="00B60D4F">
        <w:t>remains the main source of international public finance for most Parties. Non</w:t>
      </w:r>
      <w:r w:rsidRPr="00B60D4F">
        <w:noBreakHyphen/>
        <w:t xml:space="preserve">GEF resources continue to be limited in scale, unevenly accessed, and concentrated among a small number of donors, underscoring the continuing centrality of the GEF and the importance of enhanced coordination, improved transparency, and strengthened domestic resource </w:t>
      </w:r>
      <w:r w:rsidR="00E51D85">
        <w:t>mobilization</w:t>
      </w:r>
      <w:r w:rsidRPr="00B60D4F">
        <w:t xml:space="preserve"> to support balanced and sustainable financing for access and benefit</w:t>
      </w:r>
      <w:r w:rsidRPr="00B60D4F">
        <w:noBreakHyphen/>
        <w:t>sharing</w:t>
      </w:r>
      <w:r w:rsidR="007A63C7">
        <w:t>.</w:t>
      </w:r>
    </w:p>
    <w:p w14:paraId="14A2DF89" w14:textId="28FE6A7F" w:rsidR="00814FED" w:rsidRPr="000066AB" w:rsidRDefault="00D42CFD" w:rsidP="006268E5">
      <w:pPr>
        <w:pStyle w:val="CBDH1"/>
      </w:pPr>
      <w:r w:rsidRPr="006268E5">
        <w:rPr>
          <w:bCs/>
        </w:rPr>
        <w:lastRenderedPageBreak/>
        <w:t>IV.</w:t>
      </w:r>
      <w:r w:rsidRPr="006268E5">
        <w:rPr>
          <w:bCs/>
        </w:rPr>
        <w:tab/>
      </w:r>
      <w:r w:rsidR="00814FED">
        <w:t>T</w:t>
      </w:r>
      <w:r w:rsidR="00814FED" w:rsidRPr="000066AB">
        <w:t xml:space="preserve">hematic </w:t>
      </w:r>
      <w:r w:rsidR="00B52E6D">
        <w:t>o</w:t>
      </w:r>
      <w:r w:rsidR="00AA7B96">
        <w:t xml:space="preserve">rientation </w:t>
      </w:r>
      <w:r w:rsidR="00B24B57">
        <w:t xml:space="preserve">of </w:t>
      </w:r>
      <w:r w:rsidR="00B52E6D">
        <w:t>f</w:t>
      </w:r>
      <w:r w:rsidR="00B24B57">
        <w:t xml:space="preserve">inancial </w:t>
      </w:r>
      <w:r w:rsidR="00B52E6D">
        <w:t>s</w:t>
      </w:r>
      <w:r w:rsidR="00B24B57">
        <w:t xml:space="preserve">upport for </w:t>
      </w:r>
      <w:r w:rsidR="000E60B0" w:rsidRPr="000E60B0">
        <w:t>access and benefit-sharing</w:t>
      </w:r>
      <w:r w:rsidR="007A63C7">
        <w:t xml:space="preserve"> </w:t>
      </w:r>
      <w:r w:rsidR="00B52E6D">
        <w:t>i</w:t>
      </w:r>
      <w:r w:rsidR="00B24B57">
        <w:t xml:space="preserve">mplementation </w:t>
      </w:r>
    </w:p>
    <w:p w14:paraId="603C2A76" w14:textId="418A9FB1" w:rsidR="00E05EDD" w:rsidRPr="00D51621" w:rsidRDefault="00814FED" w:rsidP="006268E5">
      <w:pPr>
        <w:pStyle w:val="Para10"/>
        <w:keepNext/>
        <w:keepLines/>
        <w:ind w:left="567"/>
        <w:rPr>
          <w:b/>
          <w:sz w:val="24"/>
        </w:rPr>
      </w:pPr>
      <w:r w:rsidRPr="00FF221F">
        <w:rPr>
          <w:b/>
          <w:bCs/>
          <w:sz w:val="24"/>
        </w:rPr>
        <w:t>(</w:t>
      </w:r>
      <w:r w:rsidR="00B24B57">
        <w:rPr>
          <w:b/>
          <w:bCs/>
          <w:sz w:val="24"/>
        </w:rPr>
        <w:t xml:space="preserve">Indicative </w:t>
      </w:r>
      <w:r w:rsidR="00B52E6D">
        <w:rPr>
          <w:b/>
          <w:bCs/>
          <w:sz w:val="24"/>
        </w:rPr>
        <w:t>a</w:t>
      </w:r>
      <w:r w:rsidRPr="00FF221F">
        <w:rPr>
          <w:b/>
          <w:bCs/>
          <w:sz w:val="24"/>
        </w:rPr>
        <w:t xml:space="preserve">lignment with the </w:t>
      </w:r>
      <w:r w:rsidR="00B52E6D">
        <w:rPr>
          <w:b/>
          <w:bCs/>
          <w:sz w:val="24"/>
        </w:rPr>
        <w:t>c</w:t>
      </w:r>
      <w:r w:rsidRPr="00FF221F">
        <w:rPr>
          <w:b/>
          <w:bCs/>
          <w:sz w:val="24"/>
        </w:rPr>
        <w:t>apacity</w:t>
      </w:r>
      <w:r w:rsidRPr="00FF221F">
        <w:rPr>
          <w:b/>
          <w:bCs/>
          <w:sz w:val="24"/>
        </w:rPr>
        <w:noBreakHyphen/>
      </w:r>
      <w:r w:rsidR="00B52E6D">
        <w:rPr>
          <w:b/>
          <w:bCs/>
          <w:sz w:val="24"/>
        </w:rPr>
        <w:t>b</w:t>
      </w:r>
      <w:r w:rsidRPr="00FF221F">
        <w:rPr>
          <w:b/>
          <w:bCs/>
          <w:sz w:val="24"/>
        </w:rPr>
        <w:t xml:space="preserve">uilding </w:t>
      </w:r>
      <w:r w:rsidR="0093782E">
        <w:rPr>
          <w:b/>
          <w:bCs/>
          <w:sz w:val="24"/>
        </w:rPr>
        <w:t>o</w:t>
      </w:r>
      <w:r w:rsidR="00B24B57">
        <w:rPr>
          <w:b/>
          <w:bCs/>
          <w:sz w:val="24"/>
        </w:rPr>
        <w:t xml:space="preserve">utcome </w:t>
      </w:r>
      <w:r w:rsidR="00E9248C">
        <w:rPr>
          <w:b/>
          <w:bCs/>
          <w:sz w:val="24"/>
        </w:rPr>
        <w:t>a</w:t>
      </w:r>
      <w:r w:rsidR="00B24B57">
        <w:rPr>
          <w:b/>
          <w:bCs/>
          <w:sz w:val="24"/>
        </w:rPr>
        <w:t>reas</w:t>
      </w:r>
      <w:r w:rsidRPr="00FF221F">
        <w:rPr>
          <w:b/>
          <w:bCs/>
          <w:sz w:val="24"/>
        </w:rPr>
        <w:t>, 2010–2026)</w:t>
      </w:r>
    </w:p>
    <w:p w14:paraId="29F7F4BD" w14:textId="4F455B13" w:rsidR="00E05EDD" w:rsidRPr="00DE49A3" w:rsidRDefault="00E05EDD" w:rsidP="00DE49A3">
      <w:pPr>
        <w:pStyle w:val="CBDNormalNumber"/>
        <w:ind w:left="567"/>
      </w:pPr>
      <w:r w:rsidRPr="00DE49A3">
        <w:t>For a detailed analysis of capacity</w:t>
      </w:r>
      <w:r w:rsidRPr="00DE49A3">
        <w:noBreakHyphen/>
        <w:t>building outcome areas under the Capacity</w:t>
      </w:r>
      <w:r w:rsidRPr="00DE49A3">
        <w:noBreakHyphen/>
        <w:t>Building and Development Action Plan, including their thematic distribution, readers are referred to the dedicated information document</w:t>
      </w:r>
      <w:r w:rsidR="00235B95" w:rsidRPr="00DE49A3">
        <w:t xml:space="preserve"> (</w:t>
      </w:r>
      <w:r w:rsidR="00DD0268">
        <w:fldChar w:fldCharType="begin"/>
      </w:r>
      <w:r w:rsidR="00DD0268">
        <w:instrText>HYPERLINK "https://www.cbd.int/doc/c/13f5/e857/62386774f5f732b391b24878/sbi-07-inf-06-en.pdf"</w:instrText>
      </w:r>
      <w:r w:rsidR="00DD0268">
        <w:fldChar w:fldCharType="separate"/>
      </w:r>
      <w:r w:rsidR="00DD0268" w:rsidRPr="00375E64">
        <w:rPr>
          <w:rStyle w:val="Hyperlink"/>
        </w:rPr>
        <w:t>CBD/SBI/7/INF/</w:t>
      </w:r>
      <w:r w:rsidR="00DD0268">
        <w:rPr>
          <w:rStyle w:val="Hyperlink"/>
        </w:rPr>
        <w:t>6</w:t>
      </w:r>
      <w:r w:rsidR="00DD0268">
        <w:fldChar w:fldCharType="end"/>
      </w:r>
      <w:r w:rsidR="006875AB">
        <w:t>)</w:t>
      </w:r>
      <w:r w:rsidRPr="00DE49A3">
        <w:t xml:space="preserve"> prepared for the second assessment and review, in </w:t>
      </w:r>
      <w:r w:rsidRPr="006875AB">
        <w:t xml:space="preserve">particular </w:t>
      </w:r>
      <w:r w:rsidR="00F37AF3">
        <w:t>f</w:t>
      </w:r>
      <w:r w:rsidR="00A21DD6" w:rsidRPr="006875AB">
        <w:t xml:space="preserve">igure </w:t>
      </w:r>
      <w:r w:rsidR="007467E2">
        <w:t>V</w:t>
      </w:r>
      <w:r w:rsidR="00A70CCE" w:rsidRPr="006875AB">
        <w:t xml:space="preserve"> </w:t>
      </w:r>
      <w:r w:rsidRPr="00DE49A3">
        <w:t>on thematic coverage across outcome areas. In the context of the present document, these outcome areas are used solely as an analytical lens to examine the thematic orientation of financial resources and resource</w:t>
      </w:r>
      <w:r w:rsidRPr="00DE49A3">
        <w:noBreakHyphen/>
      </w:r>
      <w:r w:rsidR="00E51D85">
        <w:t>mobilization</w:t>
      </w:r>
      <w:r w:rsidRPr="00DE49A3">
        <w:t xml:space="preserve"> efforts supporting implementation of the Nagoya Protocol, without implying any proportional allocation of funding across outcomes.</w:t>
      </w:r>
    </w:p>
    <w:p w14:paraId="74BA4FBF" w14:textId="32C3D958" w:rsidR="00287ADE" w:rsidRPr="00DE49A3" w:rsidRDefault="00287ADE" w:rsidP="00DE49A3">
      <w:pPr>
        <w:pStyle w:val="CBDNormalNumber"/>
        <w:ind w:left="567"/>
      </w:pPr>
      <w:r w:rsidRPr="00DE49A3">
        <w:t>Across the period 2010–2026, the thematic profile of initiatives supported indicates that financial resources mobili</w:t>
      </w:r>
      <w:r w:rsidR="005F64B3">
        <w:t>z</w:t>
      </w:r>
      <w:r w:rsidRPr="00DE49A3">
        <w:t>ed for access and benefit</w:t>
      </w:r>
      <w:r w:rsidRPr="00DE49A3">
        <w:noBreakHyphen/>
        <w:t xml:space="preserve">sharing have been predominantly oriented towards strengthening foundational regulatory and operational capacities under the Protocol. A large share of initiatives relates to developing and enforcing </w:t>
      </w:r>
      <w:r w:rsidR="00B155CE" w:rsidRPr="00B155CE">
        <w:rPr>
          <w:lang w:eastAsia="en-CA"/>
        </w:rPr>
        <w:t>access and benefit-sharing</w:t>
      </w:r>
      <w:r w:rsidR="00961438">
        <w:rPr>
          <w:lang w:eastAsia="en-CA"/>
        </w:rPr>
        <w:t xml:space="preserve"> </w:t>
      </w:r>
      <w:r w:rsidRPr="00DE49A3">
        <w:t>measures, supporting compliance, negotiating mutually agreed terms, and enabling the participation of Indigenous Peoples and local communities. This pattern reflects the central role of legal, institutional</w:t>
      </w:r>
      <w:r w:rsidR="00053742" w:rsidRPr="00DE49A3">
        <w:t>,</w:t>
      </w:r>
      <w:r w:rsidRPr="00DE49A3">
        <w:t xml:space="preserve"> and procedural capacities in enabling early and sustained implementation, particularly during the initial and consolidation phases of the Protocol.</w:t>
      </w:r>
    </w:p>
    <w:p w14:paraId="0E4414B2" w14:textId="1E75DEF6" w:rsidR="00E05EDD" w:rsidRDefault="00287ADE" w:rsidP="00DE49A3">
      <w:pPr>
        <w:pStyle w:val="CBDNormalNumber"/>
        <w:ind w:left="567"/>
      </w:pPr>
      <w:r w:rsidRPr="001E0787">
        <w:t>At the same time, comparatively fewer initiatives have been associated with outcome areas related to endogenous research and development and whole</w:t>
      </w:r>
      <w:r w:rsidRPr="001E0787">
        <w:noBreakHyphen/>
        <w:t>of</w:t>
      </w:r>
      <w:r w:rsidRPr="001E0787">
        <w:noBreakHyphen/>
        <w:t>government or whole</w:t>
      </w:r>
      <w:r w:rsidRPr="001E0787">
        <w:noBreakHyphen/>
        <w:t>of</w:t>
      </w:r>
      <w:r w:rsidRPr="001E0787">
        <w:noBreakHyphen/>
        <w:t>society approaches, the latter having been adopted only in later iterations of the Action Plan. These patterns should be interpreted as indicative of cumulative implementation sequencing rather than selective financial prioritisation, as most initiatives contribute to multiple outcome areas and information on the internal distribution of financial resources is not available. From a resource</w:t>
      </w:r>
      <w:r w:rsidRPr="001E0787">
        <w:noBreakHyphen/>
      </w:r>
      <w:r w:rsidR="00E51D85">
        <w:t>mobilization</w:t>
      </w:r>
      <w:r w:rsidRPr="001E0787">
        <w:t xml:space="preserve"> perspective, this suggests areas where future financing</w:t>
      </w:r>
      <w:r w:rsidR="00DF16A5" w:rsidRPr="001E0787">
        <w:t xml:space="preserve">, </w:t>
      </w:r>
      <w:r w:rsidRPr="001E0787">
        <w:t>particularly domestic and diversified sources</w:t>
      </w:r>
      <w:r w:rsidR="00DF16A5" w:rsidRPr="001E0787">
        <w:t xml:space="preserve">, </w:t>
      </w:r>
      <w:r w:rsidRPr="001E0787">
        <w:t>may need to be strengthened to support emerging priorities, while recognising that funding decisions remain subject to national circumstances and donor programming frameworks.</w:t>
      </w:r>
    </w:p>
    <w:p w14:paraId="54508AFE" w14:textId="6565DF39" w:rsidR="00814FED" w:rsidRPr="00F866F8" w:rsidRDefault="00AB4A1F" w:rsidP="006268E5">
      <w:pPr>
        <w:pStyle w:val="CBDH1"/>
      </w:pPr>
      <w:r>
        <w:t>V.</w:t>
      </w:r>
      <w:r>
        <w:tab/>
      </w:r>
      <w:r w:rsidR="00814FED" w:rsidRPr="00F866F8">
        <w:t xml:space="preserve">Geographic </w:t>
      </w:r>
      <w:r w:rsidR="004A4D14">
        <w:t>d</w:t>
      </w:r>
      <w:r w:rsidR="00814FED" w:rsidRPr="00F866F8">
        <w:t xml:space="preserve">istribution </w:t>
      </w:r>
      <w:r w:rsidR="00814FED">
        <w:t>o</w:t>
      </w:r>
      <w:r w:rsidR="00814FED" w:rsidRPr="00F866F8">
        <w:t xml:space="preserve">f </w:t>
      </w:r>
      <w:r w:rsidR="004A4D14">
        <w:t>f</w:t>
      </w:r>
      <w:r w:rsidR="00814FED" w:rsidRPr="00F866F8">
        <w:t xml:space="preserve">inancial </w:t>
      </w:r>
      <w:r w:rsidR="004A4D14">
        <w:t>r</w:t>
      </w:r>
      <w:r w:rsidR="00814FED" w:rsidRPr="00F866F8">
        <w:t xml:space="preserve">esources </w:t>
      </w:r>
      <w:r w:rsidR="004A4D14">
        <w:t>s</w:t>
      </w:r>
      <w:r w:rsidR="00814FED" w:rsidRPr="00F866F8">
        <w:t xml:space="preserve">upporting </w:t>
      </w:r>
      <w:r w:rsidR="004A4D14">
        <w:t>i</w:t>
      </w:r>
      <w:r w:rsidR="00814FED" w:rsidRPr="00F866F8">
        <w:t xml:space="preserve">mplementation </w:t>
      </w:r>
      <w:r w:rsidR="00814FED">
        <w:t>o</w:t>
      </w:r>
      <w:r w:rsidR="00814FED" w:rsidRPr="00F866F8">
        <w:t xml:space="preserve">f </w:t>
      </w:r>
      <w:r w:rsidR="00814FED">
        <w:t>t</w:t>
      </w:r>
      <w:r w:rsidR="00814FED" w:rsidRPr="00F866F8">
        <w:t>he Nagoya Protocol</w:t>
      </w:r>
    </w:p>
    <w:p w14:paraId="2B9B3880" w14:textId="78BC741E" w:rsidR="00814FED" w:rsidRPr="00E01D26" w:rsidRDefault="00AB4A1F" w:rsidP="006268E5">
      <w:pPr>
        <w:pStyle w:val="CBDH2"/>
      </w:pPr>
      <w:r>
        <w:t>A.</w:t>
      </w:r>
      <w:r>
        <w:tab/>
      </w:r>
      <w:r w:rsidR="00814FED" w:rsidRPr="00E01D26">
        <w:t xml:space="preserve">Distribution of </w:t>
      </w:r>
      <w:r w:rsidR="003F11CB" w:rsidRPr="003F11CB">
        <w:t>access and benefit-sharing</w:t>
      </w:r>
      <w:r w:rsidR="00513872">
        <w:t xml:space="preserve"> </w:t>
      </w:r>
      <w:r w:rsidR="003824EF">
        <w:t>c</w:t>
      </w:r>
      <w:r w:rsidR="00814FED" w:rsidRPr="00E01D26">
        <w:t>apacity</w:t>
      </w:r>
      <w:r w:rsidR="00814FED" w:rsidRPr="00E01D26">
        <w:noBreakHyphen/>
      </w:r>
      <w:r w:rsidR="003824EF">
        <w:t>b</w:t>
      </w:r>
      <w:r w:rsidR="00814FED" w:rsidRPr="00E01D26">
        <w:t xml:space="preserve">uilding </w:t>
      </w:r>
      <w:r w:rsidR="003824EF">
        <w:t>f</w:t>
      </w:r>
      <w:r w:rsidR="00814FED" w:rsidRPr="00E01D26">
        <w:t xml:space="preserve">unding </w:t>
      </w:r>
      <w:r w:rsidR="003824EF">
        <w:t>a</w:t>
      </w:r>
      <w:r w:rsidR="00814FED" w:rsidRPr="00E01D26">
        <w:t xml:space="preserve">cross </w:t>
      </w:r>
      <w:r w:rsidR="003824EF">
        <w:t>l</w:t>
      </w:r>
      <w:r w:rsidR="00814FED" w:rsidRPr="00E01D26">
        <w:t xml:space="preserve">evels of </w:t>
      </w:r>
      <w:r w:rsidR="003824EF">
        <w:t>i</w:t>
      </w:r>
      <w:r w:rsidR="00814FED" w:rsidRPr="00E01D26">
        <w:t>mplementation</w:t>
      </w:r>
    </w:p>
    <w:p w14:paraId="3DAC1261" w14:textId="5C79472E" w:rsidR="009D1479" w:rsidRPr="00DE49A3" w:rsidRDefault="009D1479" w:rsidP="00DE49A3">
      <w:pPr>
        <w:pStyle w:val="CBDNormalNumber"/>
        <w:ind w:left="567"/>
      </w:pPr>
      <w:r>
        <w:t>Given that implementation</w:t>
      </w:r>
      <w:r w:rsidR="001E0011">
        <w:t xml:space="preserve"> of the Nagoya Protocol occurs primarily at the national level, the an</w:t>
      </w:r>
      <w:r w:rsidR="00E757D7">
        <w:t xml:space="preserve">alysis first examines the distribution of financial resources and for national implementation, followed by an assessment of regional and sub-regional </w:t>
      </w:r>
      <w:r w:rsidR="00EE0432">
        <w:t>initiatives that complement national efforts.</w:t>
      </w:r>
    </w:p>
    <w:p w14:paraId="4E001F6C" w14:textId="046CAFCF" w:rsidR="004636F6" w:rsidRPr="00DE49A3" w:rsidRDefault="00372CA8" w:rsidP="00DE49A3">
      <w:pPr>
        <w:pStyle w:val="CBDNormalNumber"/>
        <w:ind w:left="567"/>
      </w:pPr>
      <w:r w:rsidRPr="009559A2">
        <w:t xml:space="preserve">The distribution of </w:t>
      </w:r>
      <w:r w:rsidR="00401B4B" w:rsidRPr="00401B4B">
        <w:t>access and benefit-sharing</w:t>
      </w:r>
      <w:r w:rsidRPr="009559A2">
        <w:noBreakHyphen/>
        <w:t xml:space="preserve">related financial resources across levels of implementation confirms a tiered financing model, with </w:t>
      </w:r>
      <w:proofErr w:type="gramStart"/>
      <w:r w:rsidRPr="009559A2">
        <w:t>the majority of</w:t>
      </w:r>
      <w:proofErr w:type="gramEnd"/>
      <w:r w:rsidRPr="009559A2">
        <w:t xml:space="preserve"> recorded support directed towards national implementation, complemented by regional and global initiatives that play enabling and catalytic roles. Despite identified data gaps, the available information is sufficient to demonstrate consistent patterns in allocation across national, regional/sub</w:t>
      </w:r>
      <w:r w:rsidRPr="009559A2">
        <w:noBreakHyphen/>
        <w:t>regional and global</w:t>
      </w:r>
      <w:r w:rsidR="00577CA3">
        <w:t xml:space="preserve"> as presented in Table </w:t>
      </w:r>
      <w:r w:rsidR="00F120C5">
        <w:t>2 below.</w:t>
      </w:r>
      <w:r w:rsidRPr="009559A2">
        <w:t xml:space="preserve"> </w:t>
      </w:r>
    </w:p>
    <w:p w14:paraId="19B80AA4" w14:textId="2AF73C9D" w:rsidR="00814FED" w:rsidRPr="001A2E7A" w:rsidRDefault="00814FED" w:rsidP="006268E5">
      <w:pPr>
        <w:pStyle w:val="CBDTableTitle"/>
      </w:pPr>
      <w:r w:rsidRPr="006268E5">
        <w:rPr>
          <w:b w:val="0"/>
          <w:bCs/>
        </w:rPr>
        <w:t>Table</w:t>
      </w:r>
      <w:r w:rsidR="00FF69C4" w:rsidRPr="006268E5">
        <w:rPr>
          <w:b w:val="0"/>
          <w:bCs/>
        </w:rPr>
        <w:t xml:space="preserve"> </w:t>
      </w:r>
      <w:r w:rsidR="00F120C5" w:rsidRPr="006268E5">
        <w:rPr>
          <w:b w:val="0"/>
          <w:bCs/>
        </w:rPr>
        <w:t>2</w:t>
      </w:r>
      <w:r w:rsidRPr="001A2E7A">
        <w:t xml:space="preserve"> </w:t>
      </w:r>
      <w:r w:rsidR="00FF69C4">
        <w:br/>
      </w:r>
      <w:r w:rsidRPr="001A2E7A">
        <w:t xml:space="preserve">Amount of funding for </w:t>
      </w:r>
      <w:r w:rsidR="003824EF" w:rsidRPr="001A2E7A">
        <w:t>c</w:t>
      </w:r>
      <w:r w:rsidRPr="001A2E7A">
        <w:t>apacity-</w:t>
      </w:r>
      <w:r w:rsidR="003824EF" w:rsidRPr="001A2E7A">
        <w:t>b</w:t>
      </w:r>
      <w:r w:rsidRPr="001A2E7A">
        <w:t xml:space="preserve">uilding </w:t>
      </w:r>
      <w:r w:rsidR="00142CBD" w:rsidRPr="001A2E7A">
        <w:t>a</w:t>
      </w:r>
      <w:r w:rsidR="004645F5" w:rsidRPr="001A2E7A">
        <w:t xml:space="preserve">ccess and </w:t>
      </w:r>
      <w:r w:rsidR="00142CBD" w:rsidRPr="001A2E7A">
        <w:t>b</w:t>
      </w:r>
      <w:r w:rsidR="004645F5" w:rsidRPr="001A2E7A">
        <w:t>enefit-sharing</w:t>
      </w:r>
      <w:r w:rsidR="00961438">
        <w:t xml:space="preserve"> </w:t>
      </w:r>
      <w:r w:rsidR="00142CBD" w:rsidRPr="001A2E7A">
        <w:t>projects</w:t>
      </w:r>
      <w:r w:rsidR="00961438">
        <w:t xml:space="preserve"> </w:t>
      </w:r>
      <w:r w:rsidR="0041689A" w:rsidRPr="001A2E7A">
        <w:t>(20</w:t>
      </w:r>
      <w:r w:rsidR="00541A53">
        <w:t>0</w:t>
      </w:r>
      <w:r w:rsidR="004B67AA">
        <w:t>6</w:t>
      </w:r>
      <w:r w:rsidR="00E24BD5" w:rsidRPr="001A2E7A">
        <w:t>-2026)</w:t>
      </w:r>
    </w:p>
    <w:tbl>
      <w:tblPr>
        <w:tblW w:w="8841" w:type="dxa"/>
        <w:jc w:val="center"/>
        <w:tblLayout w:type="fixed"/>
        <w:tblLook w:val="04A0" w:firstRow="1" w:lastRow="0" w:firstColumn="1" w:lastColumn="0" w:noHBand="0" w:noVBand="1"/>
      </w:tblPr>
      <w:tblGrid>
        <w:gridCol w:w="2037"/>
        <w:gridCol w:w="1701"/>
        <w:gridCol w:w="1701"/>
        <w:gridCol w:w="1701"/>
        <w:gridCol w:w="1701"/>
      </w:tblGrid>
      <w:tr w:rsidR="00F120C5" w:rsidRPr="00FF69C4" w14:paraId="5BA524D7" w14:textId="77777777" w:rsidTr="006268E5">
        <w:trPr>
          <w:trHeight w:val="293"/>
          <w:jc w:val="center"/>
        </w:trPr>
        <w:tc>
          <w:tcPr>
            <w:tcW w:w="2037" w:type="dxa"/>
            <w:tcBorders>
              <w:top w:val="single" w:sz="4" w:space="0" w:color="auto"/>
              <w:bottom w:val="single" w:sz="4" w:space="0" w:color="auto"/>
            </w:tcBorders>
            <w:noWrap/>
            <w:vAlign w:val="center"/>
            <w:hideMark/>
          </w:tcPr>
          <w:p w14:paraId="447CEBAD" w14:textId="77777777" w:rsidR="00F120C5" w:rsidRPr="006268E5" w:rsidRDefault="00F120C5" w:rsidP="003D4990">
            <w:pPr>
              <w:jc w:val="center"/>
              <w:rPr>
                <w:rFonts w:eastAsia="Times New Roman"/>
                <w:i/>
                <w:iCs/>
                <w:sz w:val="20"/>
                <w:szCs w:val="20"/>
                <w:lang w:val="en-US" w:eastAsia="zh-CN"/>
              </w:rPr>
            </w:pPr>
            <w:r w:rsidRPr="006268E5">
              <w:rPr>
                <w:rFonts w:eastAsia="Times New Roman"/>
                <w:i/>
                <w:iCs/>
                <w:sz w:val="20"/>
                <w:szCs w:val="20"/>
                <w:lang w:val="en-US" w:eastAsia="zh-CN"/>
              </w:rPr>
              <w:t>Scope</w:t>
            </w:r>
          </w:p>
        </w:tc>
        <w:tc>
          <w:tcPr>
            <w:tcW w:w="1701" w:type="dxa"/>
            <w:tcBorders>
              <w:top w:val="single" w:sz="4" w:space="0" w:color="auto"/>
              <w:bottom w:val="single" w:sz="4" w:space="0" w:color="auto"/>
            </w:tcBorders>
            <w:noWrap/>
            <w:vAlign w:val="center"/>
            <w:hideMark/>
          </w:tcPr>
          <w:p w14:paraId="076A2B3C" w14:textId="1D955F6D" w:rsidR="00F120C5" w:rsidRPr="006268E5" w:rsidRDefault="00F120C5" w:rsidP="006268E5">
            <w:pPr>
              <w:jc w:val="right"/>
              <w:rPr>
                <w:rFonts w:eastAsia="Times New Roman"/>
                <w:i/>
                <w:iCs/>
                <w:sz w:val="20"/>
                <w:szCs w:val="20"/>
                <w:lang w:val="en-US" w:eastAsia="zh-CN"/>
              </w:rPr>
            </w:pPr>
            <w:r w:rsidRPr="006268E5">
              <w:rPr>
                <w:rFonts w:eastAsia="Times New Roman"/>
                <w:i/>
                <w:iCs/>
                <w:sz w:val="20"/>
                <w:szCs w:val="20"/>
                <w:lang w:val="en-US" w:eastAsia="zh-CN"/>
              </w:rPr>
              <w:t>Number of Projects</w:t>
            </w:r>
          </w:p>
        </w:tc>
        <w:tc>
          <w:tcPr>
            <w:tcW w:w="1701" w:type="dxa"/>
            <w:tcBorders>
              <w:top w:val="single" w:sz="4" w:space="0" w:color="auto"/>
              <w:bottom w:val="single" w:sz="4" w:space="0" w:color="auto"/>
            </w:tcBorders>
            <w:noWrap/>
            <w:vAlign w:val="center"/>
            <w:hideMark/>
          </w:tcPr>
          <w:p w14:paraId="0F09590B" w14:textId="77777777" w:rsidR="00F120C5" w:rsidRPr="006268E5" w:rsidRDefault="00F120C5" w:rsidP="006268E5">
            <w:pPr>
              <w:jc w:val="right"/>
              <w:rPr>
                <w:rFonts w:eastAsia="Times New Roman"/>
                <w:i/>
                <w:iCs/>
                <w:sz w:val="20"/>
                <w:szCs w:val="20"/>
                <w:lang w:val="en-US" w:eastAsia="zh-CN"/>
              </w:rPr>
            </w:pPr>
            <w:r w:rsidRPr="006268E5">
              <w:rPr>
                <w:rFonts w:eastAsia="Times New Roman"/>
                <w:i/>
                <w:iCs/>
                <w:sz w:val="20"/>
                <w:szCs w:val="20"/>
                <w:lang w:val="en-US" w:eastAsia="zh-CN"/>
              </w:rPr>
              <w:t>Percentage of Projects</w:t>
            </w:r>
          </w:p>
        </w:tc>
        <w:tc>
          <w:tcPr>
            <w:tcW w:w="1701" w:type="dxa"/>
            <w:tcBorders>
              <w:top w:val="single" w:sz="4" w:space="0" w:color="auto"/>
              <w:bottom w:val="single" w:sz="4" w:space="0" w:color="auto"/>
            </w:tcBorders>
            <w:noWrap/>
            <w:vAlign w:val="center"/>
            <w:hideMark/>
          </w:tcPr>
          <w:p w14:paraId="74A9AFF8" w14:textId="19986D41" w:rsidR="00F120C5" w:rsidRPr="006268E5" w:rsidRDefault="00F120C5" w:rsidP="006268E5">
            <w:pPr>
              <w:jc w:val="right"/>
              <w:rPr>
                <w:rFonts w:eastAsia="Times New Roman"/>
                <w:i/>
                <w:iCs/>
                <w:sz w:val="20"/>
                <w:szCs w:val="20"/>
                <w:lang w:val="en-US" w:eastAsia="zh-CN"/>
              </w:rPr>
            </w:pPr>
            <w:r w:rsidRPr="006268E5">
              <w:rPr>
                <w:rFonts w:eastAsia="Times New Roman"/>
                <w:i/>
                <w:iCs/>
                <w:sz w:val="20"/>
                <w:szCs w:val="20"/>
                <w:lang w:val="en-US" w:eastAsia="zh-CN"/>
              </w:rPr>
              <w:t>Amount of Funds</w:t>
            </w:r>
            <w:r w:rsidR="00FF69C4">
              <w:rPr>
                <w:rFonts w:eastAsia="Times New Roman"/>
                <w:i/>
                <w:iCs/>
                <w:sz w:val="20"/>
                <w:szCs w:val="20"/>
                <w:lang w:val="en-US" w:eastAsia="zh-CN"/>
              </w:rPr>
              <w:t xml:space="preserve"> in dollars</w:t>
            </w:r>
          </w:p>
        </w:tc>
        <w:tc>
          <w:tcPr>
            <w:tcW w:w="1701" w:type="dxa"/>
            <w:tcBorders>
              <w:top w:val="single" w:sz="4" w:space="0" w:color="auto"/>
              <w:bottom w:val="single" w:sz="4" w:space="0" w:color="auto"/>
            </w:tcBorders>
            <w:noWrap/>
            <w:vAlign w:val="center"/>
            <w:hideMark/>
          </w:tcPr>
          <w:p w14:paraId="2CD0A70B" w14:textId="77777777" w:rsidR="00F120C5" w:rsidRPr="006268E5" w:rsidRDefault="00F120C5" w:rsidP="006268E5">
            <w:pPr>
              <w:jc w:val="right"/>
              <w:rPr>
                <w:rFonts w:eastAsia="Times New Roman"/>
                <w:i/>
                <w:iCs/>
                <w:sz w:val="20"/>
                <w:szCs w:val="20"/>
                <w:lang w:val="en-US" w:eastAsia="zh-CN"/>
              </w:rPr>
            </w:pPr>
            <w:r w:rsidRPr="006268E5">
              <w:rPr>
                <w:rFonts w:eastAsia="Times New Roman"/>
                <w:i/>
                <w:iCs/>
                <w:sz w:val="20"/>
                <w:szCs w:val="20"/>
                <w:lang w:val="en-US" w:eastAsia="zh-CN"/>
              </w:rPr>
              <w:t>Percentage of Funds</w:t>
            </w:r>
          </w:p>
        </w:tc>
      </w:tr>
      <w:tr w:rsidR="00F120C5" w:rsidRPr="002527AE" w14:paraId="2476EAA9" w14:textId="77777777" w:rsidTr="006268E5">
        <w:trPr>
          <w:trHeight w:val="377"/>
          <w:jc w:val="center"/>
        </w:trPr>
        <w:tc>
          <w:tcPr>
            <w:tcW w:w="2037" w:type="dxa"/>
            <w:tcBorders>
              <w:top w:val="single" w:sz="4" w:space="0" w:color="auto"/>
            </w:tcBorders>
            <w:vAlign w:val="center"/>
            <w:hideMark/>
          </w:tcPr>
          <w:p w14:paraId="69832FC2" w14:textId="77777777" w:rsidR="00F120C5" w:rsidRPr="002527AE" w:rsidRDefault="00F120C5" w:rsidP="003D4990">
            <w:pPr>
              <w:jc w:val="left"/>
              <w:rPr>
                <w:rFonts w:eastAsia="Times New Roman"/>
                <w:sz w:val="20"/>
                <w:szCs w:val="20"/>
                <w:lang w:val="en-US" w:eastAsia="zh-CN"/>
              </w:rPr>
            </w:pPr>
            <w:r w:rsidRPr="002527AE">
              <w:rPr>
                <w:rFonts w:eastAsia="Times New Roman"/>
                <w:sz w:val="20"/>
                <w:szCs w:val="20"/>
                <w:lang w:val="en-US" w:eastAsia="zh-CN"/>
              </w:rPr>
              <w:t>National</w:t>
            </w:r>
          </w:p>
        </w:tc>
        <w:tc>
          <w:tcPr>
            <w:tcW w:w="1701" w:type="dxa"/>
            <w:tcBorders>
              <w:top w:val="single" w:sz="4" w:space="0" w:color="auto"/>
            </w:tcBorders>
            <w:noWrap/>
            <w:vAlign w:val="center"/>
            <w:hideMark/>
          </w:tcPr>
          <w:p w14:paraId="68CC15A4" w14:textId="773FB6D8" w:rsidR="00F120C5" w:rsidRPr="002527AE" w:rsidRDefault="00F120C5" w:rsidP="006268E5">
            <w:pPr>
              <w:jc w:val="right"/>
              <w:rPr>
                <w:rFonts w:eastAsia="Times New Roman"/>
                <w:sz w:val="20"/>
                <w:szCs w:val="20"/>
                <w:lang w:val="en-US" w:eastAsia="zh-CN"/>
              </w:rPr>
            </w:pPr>
            <w:r w:rsidRPr="002527AE">
              <w:rPr>
                <w:sz w:val="20"/>
                <w:szCs w:val="20"/>
              </w:rPr>
              <w:t>102</w:t>
            </w:r>
          </w:p>
        </w:tc>
        <w:tc>
          <w:tcPr>
            <w:tcW w:w="1701" w:type="dxa"/>
            <w:tcBorders>
              <w:top w:val="single" w:sz="4" w:space="0" w:color="auto"/>
            </w:tcBorders>
            <w:noWrap/>
            <w:vAlign w:val="center"/>
            <w:hideMark/>
          </w:tcPr>
          <w:p w14:paraId="7867318E" w14:textId="69DD242E" w:rsidR="00F120C5" w:rsidRPr="002527AE" w:rsidRDefault="00F120C5" w:rsidP="006268E5">
            <w:pPr>
              <w:jc w:val="right"/>
              <w:rPr>
                <w:rFonts w:eastAsia="Times New Roman"/>
                <w:sz w:val="20"/>
                <w:szCs w:val="20"/>
                <w:lang w:val="en-US" w:eastAsia="zh-CN"/>
              </w:rPr>
            </w:pPr>
            <w:r w:rsidRPr="002527AE">
              <w:rPr>
                <w:sz w:val="20"/>
                <w:szCs w:val="20"/>
              </w:rPr>
              <w:t>76</w:t>
            </w:r>
          </w:p>
        </w:tc>
        <w:tc>
          <w:tcPr>
            <w:tcW w:w="1701" w:type="dxa"/>
            <w:tcBorders>
              <w:top w:val="single" w:sz="4" w:space="0" w:color="auto"/>
            </w:tcBorders>
            <w:noWrap/>
            <w:vAlign w:val="center"/>
            <w:hideMark/>
          </w:tcPr>
          <w:p w14:paraId="29E513E4" w14:textId="63C1EE0C" w:rsidR="00F120C5" w:rsidRPr="002527AE" w:rsidRDefault="00F120C5" w:rsidP="006268E5">
            <w:pPr>
              <w:jc w:val="right"/>
              <w:rPr>
                <w:rFonts w:eastAsia="Times New Roman"/>
                <w:sz w:val="20"/>
                <w:szCs w:val="20"/>
                <w:lang w:val="en-US" w:eastAsia="zh-CN"/>
              </w:rPr>
            </w:pPr>
            <w:r w:rsidRPr="002527AE">
              <w:rPr>
                <w:sz w:val="20"/>
                <w:szCs w:val="20"/>
              </w:rPr>
              <w:t>213,218,614</w:t>
            </w:r>
          </w:p>
        </w:tc>
        <w:tc>
          <w:tcPr>
            <w:tcW w:w="1701" w:type="dxa"/>
            <w:tcBorders>
              <w:top w:val="single" w:sz="4" w:space="0" w:color="auto"/>
            </w:tcBorders>
            <w:noWrap/>
            <w:vAlign w:val="center"/>
            <w:hideMark/>
          </w:tcPr>
          <w:p w14:paraId="5438DCAE" w14:textId="21D62D6F" w:rsidR="00F120C5" w:rsidRPr="002527AE" w:rsidRDefault="00F120C5" w:rsidP="006268E5">
            <w:pPr>
              <w:jc w:val="right"/>
              <w:rPr>
                <w:rFonts w:eastAsia="Times New Roman"/>
                <w:sz w:val="20"/>
                <w:szCs w:val="20"/>
                <w:lang w:val="en-US" w:eastAsia="zh-CN"/>
              </w:rPr>
            </w:pPr>
            <w:r w:rsidRPr="002527AE">
              <w:rPr>
                <w:sz w:val="20"/>
                <w:szCs w:val="20"/>
              </w:rPr>
              <w:t>62</w:t>
            </w:r>
          </w:p>
        </w:tc>
      </w:tr>
      <w:tr w:rsidR="00F120C5" w:rsidRPr="002527AE" w14:paraId="06D01CF8" w14:textId="77777777" w:rsidTr="006268E5">
        <w:trPr>
          <w:trHeight w:val="440"/>
          <w:jc w:val="center"/>
        </w:trPr>
        <w:tc>
          <w:tcPr>
            <w:tcW w:w="2037" w:type="dxa"/>
            <w:vAlign w:val="center"/>
            <w:hideMark/>
          </w:tcPr>
          <w:p w14:paraId="01151B02" w14:textId="77777777" w:rsidR="00F120C5" w:rsidRPr="002527AE" w:rsidRDefault="00F120C5" w:rsidP="003D4990">
            <w:pPr>
              <w:jc w:val="left"/>
              <w:rPr>
                <w:rFonts w:eastAsia="Times New Roman"/>
                <w:sz w:val="20"/>
                <w:szCs w:val="20"/>
                <w:lang w:val="en-US" w:eastAsia="zh-CN"/>
              </w:rPr>
            </w:pPr>
            <w:r w:rsidRPr="002527AE">
              <w:rPr>
                <w:rFonts w:eastAsia="Times New Roman"/>
                <w:sz w:val="20"/>
                <w:szCs w:val="20"/>
                <w:lang w:val="en-US" w:eastAsia="zh-CN"/>
              </w:rPr>
              <w:lastRenderedPageBreak/>
              <w:t>Regional/Subregional</w:t>
            </w:r>
          </w:p>
        </w:tc>
        <w:tc>
          <w:tcPr>
            <w:tcW w:w="1701" w:type="dxa"/>
            <w:noWrap/>
            <w:vAlign w:val="center"/>
            <w:hideMark/>
          </w:tcPr>
          <w:p w14:paraId="21B9C564" w14:textId="7282F634" w:rsidR="00F120C5" w:rsidRPr="002527AE" w:rsidRDefault="00F120C5" w:rsidP="006268E5">
            <w:pPr>
              <w:jc w:val="right"/>
              <w:rPr>
                <w:rFonts w:eastAsia="Times New Roman"/>
                <w:sz w:val="20"/>
                <w:szCs w:val="20"/>
                <w:lang w:val="en-US" w:eastAsia="zh-CN"/>
              </w:rPr>
            </w:pPr>
            <w:r w:rsidRPr="002527AE">
              <w:rPr>
                <w:sz w:val="20"/>
                <w:szCs w:val="20"/>
              </w:rPr>
              <w:t>23</w:t>
            </w:r>
          </w:p>
        </w:tc>
        <w:tc>
          <w:tcPr>
            <w:tcW w:w="1701" w:type="dxa"/>
            <w:noWrap/>
            <w:vAlign w:val="center"/>
            <w:hideMark/>
          </w:tcPr>
          <w:p w14:paraId="6ED64081" w14:textId="3099C475" w:rsidR="00F120C5" w:rsidRPr="002527AE" w:rsidRDefault="00F120C5" w:rsidP="006268E5">
            <w:pPr>
              <w:jc w:val="right"/>
              <w:rPr>
                <w:rFonts w:eastAsia="Times New Roman"/>
                <w:sz w:val="20"/>
                <w:szCs w:val="20"/>
                <w:lang w:val="en-US" w:eastAsia="zh-CN"/>
              </w:rPr>
            </w:pPr>
            <w:r w:rsidRPr="002527AE">
              <w:rPr>
                <w:sz w:val="20"/>
                <w:szCs w:val="20"/>
              </w:rPr>
              <w:t>17</w:t>
            </w:r>
          </w:p>
        </w:tc>
        <w:tc>
          <w:tcPr>
            <w:tcW w:w="1701" w:type="dxa"/>
            <w:noWrap/>
            <w:vAlign w:val="center"/>
            <w:hideMark/>
          </w:tcPr>
          <w:p w14:paraId="2C757C87" w14:textId="16127AC6" w:rsidR="00F120C5" w:rsidRPr="002527AE" w:rsidRDefault="00F120C5" w:rsidP="006268E5">
            <w:pPr>
              <w:jc w:val="right"/>
              <w:rPr>
                <w:rFonts w:eastAsia="Times New Roman"/>
                <w:sz w:val="20"/>
                <w:szCs w:val="20"/>
                <w:lang w:val="en-US" w:eastAsia="zh-CN"/>
              </w:rPr>
            </w:pPr>
            <w:r w:rsidRPr="002527AE">
              <w:rPr>
                <w:sz w:val="20"/>
                <w:szCs w:val="20"/>
              </w:rPr>
              <w:t>96,931,068</w:t>
            </w:r>
          </w:p>
        </w:tc>
        <w:tc>
          <w:tcPr>
            <w:tcW w:w="1701" w:type="dxa"/>
            <w:noWrap/>
            <w:vAlign w:val="center"/>
            <w:hideMark/>
          </w:tcPr>
          <w:p w14:paraId="3237193E" w14:textId="5DFCAF3B" w:rsidR="00F120C5" w:rsidRPr="002527AE" w:rsidRDefault="00F120C5" w:rsidP="006268E5">
            <w:pPr>
              <w:jc w:val="right"/>
              <w:rPr>
                <w:rFonts w:eastAsia="Times New Roman"/>
                <w:sz w:val="20"/>
                <w:szCs w:val="20"/>
                <w:lang w:val="en-US" w:eastAsia="zh-CN"/>
              </w:rPr>
            </w:pPr>
            <w:r w:rsidRPr="002527AE">
              <w:rPr>
                <w:sz w:val="20"/>
                <w:szCs w:val="20"/>
              </w:rPr>
              <w:t>28</w:t>
            </w:r>
          </w:p>
        </w:tc>
      </w:tr>
      <w:tr w:rsidR="00F120C5" w:rsidRPr="002527AE" w14:paraId="3CF55832" w14:textId="77777777" w:rsidTr="006268E5">
        <w:trPr>
          <w:trHeight w:val="350"/>
          <w:jc w:val="center"/>
        </w:trPr>
        <w:tc>
          <w:tcPr>
            <w:tcW w:w="2037" w:type="dxa"/>
            <w:tcBorders>
              <w:bottom w:val="single" w:sz="4" w:space="0" w:color="auto"/>
            </w:tcBorders>
            <w:vAlign w:val="center"/>
            <w:hideMark/>
          </w:tcPr>
          <w:p w14:paraId="78F40778" w14:textId="77777777" w:rsidR="00F120C5" w:rsidRPr="002527AE" w:rsidRDefault="00F120C5" w:rsidP="003D4990">
            <w:pPr>
              <w:jc w:val="left"/>
              <w:rPr>
                <w:rFonts w:eastAsia="Times New Roman"/>
                <w:sz w:val="20"/>
                <w:szCs w:val="20"/>
                <w:lang w:val="en-US" w:eastAsia="zh-CN"/>
              </w:rPr>
            </w:pPr>
            <w:r w:rsidRPr="002527AE">
              <w:rPr>
                <w:rFonts w:eastAsia="Times New Roman"/>
                <w:sz w:val="20"/>
                <w:szCs w:val="20"/>
                <w:lang w:val="en-US" w:eastAsia="zh-CN"/>
              </w:rPr>
              <w:t>Global</w:t>
            </w:r>
          </w:p>
        </w:tc>
        <w:tc>
          <w:tcPr>
            <w:tcW w:w="1701" w:type="dxa"/>
            <w:tcBorders>
              <w:bottom w:val="single" w:sz="4" w:space="0" w:color="auto"/>
            </w:tcBorders>
            <w:noWrap/>
            <w:vAlign w:val="center"/>
            <w:hideMark/>
          </w:tcPr>
          <w:p w14:paraId="44CF7B55" w14:textId="79424020" w:rsidR="00F120C5" w:rsidRPr="002527AE" w:rsidRDefault="00F120C5" w:rsidP="006268E5">
            <w:pPr>
              <w:jc w:val="right"/>
              <w:rPr>
                <w:rFonts w:eastAsia="Times New Roman"/>
                <w:sz w:val="20"/>
                <w:szCs w:val="20"/>
                <w:lang w:val="en-US" w:eastAsia="zh-CN"/>
              </w:rPr>
            </w:pPr>
            <w:r w:rsidRPr="002527AE">
              <w:rPr>
                <w:sz w:val="20"/>
                <w:szCs w:val="20"/>
              </w:rPr>
              <w:t>9</w:t>
            </w:r>
          </w:p>
        </w:tc>
        <w:tc>
          <w:tcPr>
            <w:tcW w:w="1701" w:type="dxa"/>
            <w:tcBorders>
              <w:bottom w:val="single" w:sz="4" w:space="0" w:color="auto"/>
            </w:tcBorders>
            <w:noWrap/>
            <w:vAlign w:val="center"/>
            <w:hideMark/>
          </w:tcPr>
          <w:p w14:paraId="66BB45B7" w14:textId="41DB5834" w:rsidR="00F120C5" w:rsidRPr="002527AE" w:rsidRDefault="00F120C5" w:rsidP="006268E5">
            <w:pPr>
              <w:jc w:val="right"/>
              <w:rPr>
                <w:rFonts w:eastAsia="Times New Roman"/>
                <w:sz w:val="20"/>
                <w:szCs w:val="20"/>
                <w:lang w:val="en-US" w:eastAsia="zh-CN"/>
              </w:rPr>
            </w:pPr>
            <w:r w:rsidRPr="002527AE">
              <w:rPr>
                <w:sz w:val="20"/>
                <w:szCs w:val="20"/>
              </w:rPr>
              <w:t>7</w:t>
            </w:r>
          </w:p>
        </w:tc>
        <w:tc>
          <w:tcPr>
            <w:tcW w:w="1701" w:type="dxa"/>
            <w:tcBorders>
              <w:bottom w:val="single" w:sz="4" w:space="0" w:color="auto"/>
            </w:tcBorders>
            <w:noWrap/>
            <w:vAlign w:val="center"/>
            <w:hideMark/>
          </w:tcPr>
          <w:p w14:paraId="396E7584" w14:textId="16D3A0B4" w:rsidR="00F120C5" w:rsidRPr="002527AE" w:rsidRDefault="00F120C5" w:rsidP="006268E5">
            <w:pPr>
              <w:jc w:val="right"/>
              <w:rPr>
                <w:rFonts w:eastAsia="Times New Roman"/>
                <w:sz w:val="20"/>
                <w:szCs w:val="20"/>
                <w:lang w:val="en-US" w:eastAsia="zh-CN"/>
              </w:rPr>
            </w:pPr>
            <w:r w:rsidRPr="002527AE">
              <w:rPr>
                <w:sz w:val="20"/>
                <w:szCs w:val="20"/>
              </w:rPr>
              <w:t>35,058,353</w:t>
            </w:r>
          </w:p>
        </w:tc>
        <w:tc>
          <w:tcPr>
            <w:tcW w:w="1701" w:type="dxa"/>
            <w:tcBorders>
              <w:bottom w:val="single" w:sz="4" w:space="0" w:color="auto"/>
            </w:tcBorders>
            <w:noWrap/>
            <w:vAlign w:val="center"/>
            <w:hideMark/>
          </w:tcPr>
          <w:p w14:paraId="5D9F2257" w14:textId="4FC8DCC0" w:rsidR="00F120C5" w:rsidRPr="002527AE" w:rsidRDefault="00F120C5" w:rsidP="006268E5">
            <w:pPr>
              <w:jc w:val="right"/>
              <w:rPr>
                <w:rFonts w:eastAsia="Times New Roman"/>
                <w:sz w:val="20"/>
                <w:szCs w:val="20"/>
                <w:lang w:val="en-US" w:eastAsia="zh-CN"/>
              </w:rPr>
            </w:pPr>
            <w:r w:rsidRPr="002527AE">
              <w:rPr>
                <w:sz w:val="20"/>
                <w:szCs w:val="20"/>
              </w:rPr>
              <w:t>10</w:t>
            </w:r>
          </w:p>
        </w:tc>
      </w:tr>
      <w:tr w:rsidR="00F120C5" w:rsidRPr="002527AE" w14:paraId="49DC9F85" w14:textId="77777777" w:rsidTr="006268E5">
        <w:trPr>
          <w:trHeight w:val="293"/>
          <w:jc w:val="center"/>
        </w:trPr>
        <w:tc>
          <w:tcPr>
            <w:tcW w:w="2037" w:type="dxa"/>
            <w:tcBorders>
              <w:top w:val="single" w:sz="4" w:space="0" w:color="auto"/>
              <w:bottom w:val="single" w:sz="4" w:space="0" w:color="auto"/>
            </w:tcBorders>
            <w:vAlign w:val="center"/>
            <w:hideMark/>
          </w:tcPr>
          <w:p w14:paraId="2B4541EB" w14:textId="77777777" w:rsidR="00F120C5" w:rsidRPr="002527AE" w:rsidRDefault="00F120C5" w:rsidP="006268E5">
            <w:pPr>
              <w:ind w:left="316"/>
              <w:jc w:val="left"/>
              <w:rPr>
                <w:rFonts w:eastAsia="Times New Roman"/>
                <w:b/>
                <w:bCs/>
                <w:sz w:val="20"/>
                <w:szCs w:val="20"/>
                <w:lang w:val="en-US" w:eastAsia="zh-CN"/>
              </w:rPr>
            </w:pPr>
            <w:r w:rsidRPr="002527AE">
              <w:rPr>
                <w:rFonts w:eastAsia="Times New Roman"/>
                <w:b/>
                <w:bCs/>
                <w:sz w:val="20"/>
                <w:szCs w:val="20"/>
                <w:lang w:val="en-US" w:eastAsia="zh-CN"/>
              </w:rPr>
              <w:t>Total</w:t>
            </w:r>
          </w:p>
        </w:tc>
        <w:tc>
          <w:tcPr>
            <w:tcW w:w="1701" w:type="dxa"/>
            <w:tcBorders>
              <w:top w:val="single" w:sz="4" w:space="0" w:color="auto"/>
              <w:bottom w:val="single" w:sz="4" w:space="0" w:color="auto"/>
            </w:tcBorders>
            <w:noWrap/>
            <w:vAlign w:val="center"/>
            <w:hideMark/>
          </w:tcPr>
          <w:p w14:paraId="1AFEA05A" w14:textId="5AB8BEC7" w:rsidR="00F120C5" w:rsidRPr="002527AE" w:rsidRDefault="00F120C5" w:rsidP="006268E5">
            <w:pPr>
              <w:jc w:val="right"/>
              <w:rPr>
                <w:rFonts w:eastAsia="Times New Roman"/>
                <w:b/>
                <w:bCs/>
                <w:sz w:val="20"/>
                <w:szCs w:val="20"/>
                <w:lang w:val="en-US" w:eastAsia="zh-CN"/>
              </w:rPr>
            </w:pPr>
            <w:r w:rsidRPr="002527AE">
              <w:rPr>
                <w:b/>
                <w:bCs/>
                <w:sz w:val="20"/>
                <w:szCs w:val="20"/>
              </w:rPr>
              <w:t>134</w:t>
            </w:r>
          </w:p>
        </w:tc>
        <w:tc>
          <w:tcPr>
            <w:tcW w:w="1701" w:type="dxa"/>
            <w:tcBorders>
              <w:top w:val="single" w:sz="4" w:space="0" w:color="auto"/>
              <w:bottom w:val="single" w:sz="4" w:space="0" w:color="auto"/>
            </w:tcBorders>
            <w:noWrap/>
            <w:vAlign w:val="center"/>
            <w:hideMark/>
          </w:tcPr>
          <w:p w14:paraId="355A5737" w14:textId="67C996E7" w:rsidR="00F120C5" w:rsidRPr="002527AE" w:rsidRDefault="00F120C5" w:rsidP="006268E5">
            <w:pPr>
              <w:jc w:val="right"/>
              <w:rPr>
                <w:rFonts w:eastAsia="Times New Roman"/>
                <w:b/>
                <w:bCs/>
                <w:sz w:val="20"/>
                <w:szCs w:val="20"/>
                <w:lang w:val="en-US" w:eastAsia="zh-CN"/>
              </w:rPr>
            </w:pPr>
            <w:r w:rsidRPr="002527AE">
              <w:rPr>
                <w:b/>
                <w:bCs/>
                <w:sz w:val="20"/>
                <w:szCs w:val="20"/>
              </w:rPr>
              <w:t>100</w:t>
            </w:r>
          </w:p>
        </w:tc>
        <w:tc>
          <w:tcPr>
            <w:tcW w:w="1701" w:type="dxa"/>
            <w:tcBorders>
              <w:top w:val="single" w:sz="4" w:space="0" w:color="auto"/>
              <w:bottom w:val="single" w:sz="4" w:space="0" w:color="auto"/>
            </w:tcBorders>
            <w:noWrap/>
            <w:vAlign w:val="center"/>
            <w:hideMark/>
          </w:tcPr>
          <w:p w14:paraId="65D0AD7F" w14:textId="3BAEFE00" w:rsidR="00F120C5" w:rsidRPr="002527AE" w:rsidRDefault="00F120C5" w:rsidP="006268E5">
            <w:pPr>
              <w:jc w:val="right"/>
              <w:rPr>
                <w:rFonts w:eastAsia="Times New Roman"/>
                <w:b/>
                <w:bCs/>
                <w:sz w:val="20"/>
                <w:szCs w:val="20"/>
                <w:lang w:val="en-US" w:eastAsia="zh-CN"/>
              </w:rPr>
            </w:pPr>
            <w:r w:rsidRPr="002527AE">
              <w:rPr>
                <w:b/>
                <w:bCs/>
                <w:sz w:val="20"/>
                <w:szCs w:val="20"/>
              </w:rPr>
              <w:t>345,208,035</w:t>
            </w:r>
          </w:p>
        </w:tc>
        <w:tc>
          <w:tcPr>
            <w:tcW w:w="1701" w:type="dxa"/>
            <w:tcBorders>
              <w:top w:val="single" w:sz="4" w:space="0" w:color="auto"/>
              <w:bottom w:val="single" w:sz="4" w:space="0" w:color="auto"/>
            </w:tcBorders>
            <w:noWrap/>
            <w:vAlign w:val="center"/>
            <w:hideMark/>
          </w:tcPr>
          <w:p w14:paraId="119CDD25" w14:textId="435316EC" w:rsidR="00F120C5" w:rsidRPr="002527AE" w:rsidRDefault="00F120C5" w:rsidP="006268E5">
            <w:pPr>
              <w:jc w:val="right"/>
              <w:rPr>
                <w:rFonts w:eastAsia="Times New Roman"/>
                <w:b/>
                <w:bCs/>
                <w:sz w:val="20"/>
                <w:szCs w:val="20"/>
                <w:lang w:val="en-US" w:eastAsia="zh-CN"/>
              </w:rPr>
            </w:pPr>
            <w:r w:rsidRPr="002527AE">
              <w:rPr>
                <w:b/>
                <w:bCs/>
                <w:sz w:val="20"/>
                <w:szCs w:val="20"/>
              </w:rPr>
              <w:t>100</w:t>
            </w:r>
          </w:p>
        </w:tc>
      </w:tr>
    </w:tbl>
    <w:p w14:paraId="2FE08B4E" w14:textId="666AA821" w:rsidR="00814FED" w:rsidRPr="009509DA" w:rsidRDefault="00C973B5" w:rsidP="00DE49A3">
      <w:pPr>
        <w:pStyle w:val="CBDNormalNumber"/>
        <w:ind w:left="567"/>
      </w:pPr>
      <w:r>
        <w:t>T</w:t>
      </w:r>
      <w:r w:rsidR="00814FED" w:rsidRPr="009509DA">
        <w:t>he national level represent</w:t>
      </w:r>
      <w:r w:rsidR="00C252AF">
        <w:t>s</w:t>
      </w:r>
      <w:r w:rsidR="00814FED" w:rsidRPr="009509DA">
        <w:t xml:space="preserve"> the </w:t>
      </w:r>
      <w:r w:rsidR="00067667">
        <w:t xml:space="preserve">primary focus of </w:t>
      </w:r>
      <w:r w:rsidR="00EC758B" w:rsidRPr="00EC758B">
        <w:t>access and benefit-sharing</w:t>
      </w:r>
      <w:r w:rsidR="00D15968">
        <w:t xml:space="preserve"> </w:t>
      </w:r>
      <w:r w:rsidR="00067667">
        <w:t xml:space="preserve">capacity- </w:t>
      </w:r>
      <w:r w:rsidR="00814FED" w:rsidRPr="009509DA">
        <w:t xml:space="preserve">funding. </w:t>
      </w:r>
      <w:r w:rsidR="00067667">
        <w:t xml:space="preserve">A total of 102 </w:t>
      </w:r>
      <w:r w:rsidR="00CE1334">
        <w:t>national project</w:t>
      </w:r>
      <w:r w:rsidR="00C252AF">
        <w:t>s</w:t>
      </w:r>
      <w:r w:rsidR="00CE1334">
        <w:t xml:space="preserve"> were implemented, accounting for the largest share of both project number and funding. </w:t>
      </w:r>
      <w:r w:rsidR="0047238C">
        <w:t>While f</w:t>
      </w:r>
      <w:r w:rsidR="00814FED">
        <w:t xml:space="preserve">unding information was </w:t>
      </w:r>
      <w:r w:rsidR="0047238C">
        <w:t xml:space="preserve">unavailable </w:t>
      </w:r>
      <w:r w:rsidR="00814FED">
        <w:t>for 15 projects</w:t>
      </w:r>
      <w:r w:rsidR="00C639A8">
        <w:t xml:space="preserve">, the remaining national initiatives account for </w:t>
      </w:r>
      <w:r w:rsidR="00814FED" w:rsidRPr="009509DA">
        <w:t xml:space="preserve">approximately </w:t>
      </w:r>
      <w:r w:rsidR="00814FED">
        <w:t>$</w:t>
      </w:r>
      <w:r w:rsidR="00814FED" w:rsidRPr="009509DA">
        <w:t xml:space="preserve">213.2 million, </w:t>
      </w:r>
      <w:r w:rsidR="00C639A8">
        <w:t xml:space="preserve">representing </w:t>
      </w:r>
      <w:r w:rsidR="00814FED" w:rsidRPr="009509DA">
        <w:t>about 62</w:t>
      </w:r>
      <w:r w:rsidR="00EF39AC">
        <w:t>%</w:t>
      </w:r>
      <w:r w:rsidR="00814FED" w:rsidRPr="009509DA">
        <w:t xml:space="preserve"> of the total recorded funding. This </w:t>
      </w:r>
      <w:r w:rsidR="008C6E2B">
        <w:t xml:space="preserve">concentration </w:t>
      </w:r>
      <w:r w:rsidR="00814FED" w:rsidRPr="009509DA">
        <w:t>confirms that the financial resources ha</w:t>
      </w:r>
      <w:r w:rsidR="008C6E2B">
        <w:t xml:space="preserve">ve </w:t>
      </w:r>
      <w:r w:rsidR="00814FED" w:rsidRPr="009509DA">
        <w:t>been</w:t>
      </w:r>
      <w:r w:rsidR="00947F18">
        <w:t xml:space="preserve"> predominantly directed towards </w:t>
      </w:r>
      <w:r w:rsidR="00814FED" w:rsidRPr="009509DA">
        <w:t>strengthening country</w:t>
      </w:r>
      <w:r w:rsidR="00814FED" w:rsidRPr="009509DA">
        <w:noBreakHyphen/>
        <w:t xml:space="preserve">level </w:t>
      </w:r>
      <w:r w:rsidR="00947F18">
        <w:t xml:space="preserve">legal, institutional </w:t>
      </w:r>
      <w:r w:rsidR="00460146">
        <w:t xml:space="preserve">and administrative </w:t>
      </w:r>
      <w:r w:rsidR="00814FED" w:rsidRPr="009509DA">
        <w:t>capacities</w:t>
      </w:r>
      <w:r w:rsidR="00460146">
        <w:t>, consisted with the Protocol</w:t>
      </w:r>
      <w:r w:rsidR="00816479">
        <w:t>’s emphasis on</w:t>
      </w:r>
      <w:r w:rsidR="00814FED" w:rsidRPr="009509DA" w:rsidDel="00816479">
        <w:t xml:space="preserve"> </w:t>
      </w:r>
      <w:r w:rsidR="00814FED" w:rsidRPr="009509DA">
        <w:t>national implementation.</w:t>
      </w:r>
    </w:p>
    <w:p w14:paraId="544D0EF2" w14:textId="51C19B70" w:rsidR="00814FED" w:rsidRPr="009509DA" w:rsidRDefault="00814FED" w:rsidP="00DE49A3">
      <w:pPr>
        <w:pStyle w:val="CBDNormalNumber"/>
        <w:ind w:left="567"/>
      </w:pPr>
      <w:r w:rsidRPr="009509DA">
        <w:t xml:space="preserve">At the regional and subregional level, 23 projects were supported, with recorded funding of approximately </w:t>
      </w:r>
      <w:r>
        <w:t>$</w:t>
      </w:r>
      <w:r w:rsidRPr="009509DA">
        <w:t xml:space="preserve">96.9 million, </w:t>
      </w:r>
      <w:r w:rsidR="00816479">
        <w:t>(</w:t>
      </w:r>
      <w:r w:rsidRPr="009509DA">
        <w:t>around 28</w:t>
      </w:r>
      <w:r w:rsidR="00EF39AC">
        <w:t>%</w:t>
      </w:r>
      <w:r w:rsidRPr="009509DA">
        <w:t xml:space="preserve"> of</w:t>
      </w:r>
      <w:r w:rsidR="006409C9">
        <w:t xml:space="preserve"> total funding), notwithstanding missing data for three </w:t>
      </w:r>
      <w:r>
        <w:t xml:space="preserve">projects. </w:t>
      </w:r>
      <w:r w:rsidRPr="009509DA">
        <w:t xml:space="preserve">Although fewer </w:t>
      </w:r>
      <w:r w:rsidR="008245A0">
        <w:t xml:space="preserve">in number </w:t>
      </w:r>
      <w:r>
        <w:t xml:space="preserve">than </w:t>
      </w:r>
      <w:r w:rsidRPr="009509DA">
        <w:t>national initiatives,</w:t>
      </w:r>
      <w:r w:rsidR="008245A0">
        <w:t xml:space="preserve"> these </w:t>
      </w:r>
      <w:r w:rsidRPr="009509DA">
        <w:t xml:space="preserve">projects </w:t>
      </w:r>
      <w:r w:rsidR="0065140F">
        <w:t xml:space="preserve">typically </w:t>
      </w:r>
      <w:r w:rsidRPr="009509DA">
        <w:t xml:space="preserve">received </w:t>
      </w:r>
      <w:r w:rsidR="0065140F">
        <w:t>higher project funding</w:t>
      </w:r>
      <w:r w:rsidR="00D81468">
        <w:t xml:space="preserve"> </w:t>
      </w:r>
      <w:r w:rsidRPr="009509DA">
        <w:t>per</w:t>
      </w:r>
      <w:r w:rsidRPr="009509DA">
        <w:noBreakHyphen/>
        <w:t>project</w:t>
      </w:r>
      <w:r w:rsidR="00D81468">
        <w:t xml:space="preserve">, </w:t>
      </w:r>
      <w:r w:rsidRPr="009509DA">
        <w:t xml:space="preserve">reflecting their </w:t>
      </w:r>
      <w:r w:rsidR="00D81468">
        <w:t xml:space="preserve">function </w:t>
      </w:r>
      <w:r w:rsidRPr="009509DA">
        <w:t xml:space="preserve">in </w:t>
      </w:r>
      <w:r w:rsidR="00400CAC">
        <w:t xml:space="preserve">promoting </w:t>
      </w:r>
      <w:r w:rsidR="00791DF6">
        <w:t xml:space="preserve">regional cooperation, </w:t>
      </w:r>
      <w:r w:rsidRPr="009509DA">
        <w:t>harmonization</w:t>
      </w:r>
      <w:r w:rsidR="00BF6494">
        <w:t xml:space="preserve"> of approaches</w:t>
      </w:r>
      <w:r w:rsidRPr="009509DA">
        <w:t xml:space="preserve">, peer learning, and shared </w:t>
      </w:r>
      <w:r w:rsidR="00BF6494">
        <w:t xml:space="preserve">systems </w:t>
      </w:r>
      <w:r w:rsidRPr="009509DA">
        <w:t>among Parties.</w:t>
      </w:r>
    </w:p>
    <w:p w14:paraId="4AD7D3C9" w14:textId="76D8826C" w:rsidR="00814FED" w:rsidRDefault="00814FED" w:rsidP="00DE49A3">
      <w:pPr>
        <w:pStyle w:val="CBDNormalNumber"/>
        <w:ind w:left="567"/>
      </w:pPr>
      <w:r w:rsidRPr="009509DA">
        <w:t xml:space="preserve">At the global level, </w:t>
      </w:r>
      <w:r>
        <w:t>nine</w:t>
      </w:r>
      <w:r w:rsidRPr="009509DA">
        <w:t xml:space="preserve"> projects </w:t>
      </w:r>
      <w:r w:rsidR="00BF6494">
        <w:t xml:space="preserve">accounted for </w:t>
      </w:r>
      <w:r w:rsidRPr="009509DA">
        <w:t xml:space="preserve">approximately </w:t>
      </w:r>
      <w:r>
        <w:t>$</w:t>
      </w:r>
      <w:r w:rsidRPr="009509DA">
        <w:t>35.1 million,</w:t>
      </w:r>
      <w:r w:rsidR="00BF6494">
        <w:t xml:space="preserve"> (</w:t>
      </w:r>
      <w:r w:rsidRPr="009509DA">
        <w:t>about 10</w:t>
      </w:r>
      <w:r w:rsidR="00EF39AC">
        <w:t>%</w:t>
      </w:r>
      <w:r w:rsidRPr="009509DA">
        <w:t xml:space="preserve"> of </w:t>
      </w:r>
      <w:r>
        <w:t xml:space="preserve">recorded </w:t>
      </w:r>
      <w:r w:rsidRPr="009509DA">
        <w:t>funding</w:t>
      </w:r>
      <w:r w:rsidR="00BF6494">
        <w:t>)</w:t>
      </w:r>
      <w:r w:rsidR="004737D7">
        <w:t xml:space="preserve">, supporting </w:t>
      </w:r>
      <w:r>
        <w:t xml:space="preserve">global </w:t>
      </w:r>
      <w:r w:rsidR="004737D7">
        <w:t>knowledge generation, guidance development</w:t>
      </w:r>
      <w:r w:rsidR="00476427">
        <w:t xml:space="preserve"> and multi-country implementation support.</w:t>
      </w:r>
      <w:r>
        <w:t xml:space="preserve"> </w:t>
      </w:r>
      <w:r w:rsidR="00476427">
        <w:t xml:space="preserve">Overall, </w:t>
      </w:r>
      <w:r w:rsidRPr="009509DA">
        <w:t xml:space="preserve">the data </w:t>
      </w:r>
      <w:r w:rsidR="00476427">
        <w:t xml:space="preserve">point to a </w:t>
      </w:r>
      <w:r w:rsidR="00ED5D16">
        <w:t xml:space="preserve">tiered financing </w:t>
      </w:r>
      <w:r w:rsidRPr="009509DA">
        <w:t xml:space="preserve">model in which national </w:t>
      </w:r>
      <w:r w:rsidR="00ED5D16">
        <w:t xml:space="preserve">implementation is the primary locus of </w:t>
      </w:r>
      <w:r w:rsidR="00904E1B">
        <w:t xml:space="preserve">investment, </w:t>
      </w:r>
      <w:r w:rsidRPr="009509DA">
        <w:t xml:space="preserve">supported </w:t>
      </w:r>
      <w:r w:rsidR="00904E1B">
        <w:t>by regionally and globally focused initiatives</w:t>
      </w:r>
      <w:r w:rsidR="00E24BD5">
        <w:t xml:space="preserve">. </w:t>
      </w:r>
    </w:p>
    <w:p w14:paraId="3CA25E2F" w14:textId="65A33C2A" w:rsidR="006D5533" w:rsidRPr="00FF221F" w:rsidRDefault="008B565F" w:rsidP="00DE49A3">
      <w:pPr>
        <w:pStyle w:val="CBDNormalNumber"/>
        <w:ind w:left="567"/>
      </w:pPr>
      <w:r w:rsidRPr="00535F0A">
        <w:t xml:space="preserve">Differences in funding levels across projects reflect divergent implementation pathways, sequencing and institutional readiness, rather than comparative levels of commitment. This reinforces the importance of sustained domestic and diversified resource </w:t>
      </w:r>
      <w:r w:rsidR="00E51D85">
        <w:t>mobilization</w:t>
      </w:r>
      <w:r w:rsidRPr="00535F0A">
        <w:t xml:space="preserve"> over time, while recognising the critical catalytic role of international public finance in enabling initial implementation stages</w:t>
      </w:r>
    </w:p>
    <w:p w14:paraId="54E4B117" w14:textId="104FF39B" w:rsidR="00814FED" w:rsidRDefault="00EB0328" w:rsidP="006268E5">
      <w:pPr>
        <w:pStyle w:val="CBDH2"/>
      </w:pPr>
      <w:r>
        <w:t>B.</w:t>
      </w:r>
      <w:r>
        <w:tab/>
      </w:r>
      <w:r w:rsidR="00814FED" w:rsidRPr="00EF5560">
        <w:t xml:space="preserve">Data </w:t>
      </w:r>
      <w:r w:rsidR="00142CBD">
        <w:t>c</w:t>
      </w:r>
      <w:r w:rsidR="00814FED" w:rsidRPr="00EF5560">
        <w:t xml:space="preserve">ompleteness and </w:t>
      </w:r>
      <w:r w:rsidR="00142CBD">
        <w:t>i</w:t>
      </w:r>
      <w:r w:rsidR="00814FED" w:rsidRPr="00EF5560">
        <w:t xml:space="preserve">nterpretative </w:t>
      </w:r>
      <w:r w:rsidR="00142CBD">
        <w:t>c</w:t>
      </w:r>
      <w:r w:rsidR="00814FED" w:rsidRPr="00EF5560">
        <w:t>onsiderations</w:t>
      </w:r>
    </w:p>
    <w:p w14:paraId="646AAED9" w14:textId="77777777" w:rsidR="00814FED" w:rsidRPr="00EF5560" w:rsidRDefault="00814FED" w:rsidP="00DE49A3">
      <w:pPr>
        <w:pStyle w:val="CBDNormalNumber"/>
        <w:ind w:left="567"/>
      </w:pPr>
      <w:r w:rsidRPr="00EF5560">
        <w:t xml:space="preserve">The assessment also identifies incomplete financial information for </w:t>
      </w:r>
      <w:proofErr w:type="gramStart"/>
      <w:r w:rsidRPr="00EF5560">
        <w:t>a number of</w:t>
      </w:r>
      <w:proofErr w:type="gramEnd"/>
      <w:r w:rsidRPr="00EF5560">
        <w:t xml:space="preserve"> projects, which should be </w:t>
      </w:r>
      <w:proofErr w:type="gramStart"/>
      <w:r w:rsidRPr="00EF5560">
        <w:t>taken into account</w:t>
      </w:r>
      <w:proofErr w:type="gramEnd"/>
      <w:r w:rsidRPr="00EF5560">
        <w:t xml:space="preserve"> when interpreting aggregate funding figures. At the national level, funding data are unavailable for 15 projects. At the regional/subregional level, funding information is missing for 3 projects, and at the global level for 1 project. Consequently, the recorded funding totals presented above likely underestimate the full volume of resources mobilized, particularly at the national level where </w:t>
      </w:r>
      <w:proofErr w:type="gramStart"/>
      <w:r w:rsidRPr="00EF5560">
        <w:t>the majority of</w:t>
      </w:r>
      <w:proofErr w:type="gramEnd"/>
      <w:r w:rsidRPr="00EF5560">
        <w:t xml:space="preserve"> projects are concentrated.</w:t>
      </w:r>
    </w:p>
    <w:p w14:paraId="0686DC0A" w14:textId="4D716D81" w:rsidR="00814FED" w:rsidRPr="00FF221F" w:rsidRDefault="00814FED" w:rsidP="00DE49A3">
      <w:pPr>
        <w:pStyle w:val="CBDNormalNumber"/>
        <w:ind w:left="567"/>
      </w:pPr>
      <w:r w:rsidRPr="00EF5560">
        <w:t>Despite these data gaps, the available information is sufficient to identify clear patterns in the allocation of resources across levels of implementation and to support qualitative analysis of financing trends without drawing conclusions regarding the adequacy or effectiveness of individual funding decisions</w:t>
      </w:r>
      <w:r w:rsidR="00D15968">
        <w:t>.</w:t>
      </w:r>
    </w:p>
    <w:p w14:paraId="0524457B" w14:textId="1DB4B922" w:rsidR="00777503" w:rsidRPr="00DE49A3" w:rsidRDefault="00814FED" w:rsidP="00DE49A3">
      <w:pPr>
        <w:pStyle w:val="CBDNormalNumber"/>
        <w:ind w:left="567"/>
      </w:pPr>
      <w:r w:rsidRPr="00FF221F">
        <w:t xml:space="preserve">An analysis of core </w:t>
      </w:r>
      <w:r w:rsidR="0018386C">
        <w:t xml:space="preserve">funding accessed </w:t>
      </w:r>
      <w:r w:rsidR="00F24D4A">
        <w:t xml:space="preserve">by Parties for national </w:t>
      </w:r>
      <w:r w:rsidR="00EC758B" w:rsidRPr="00EC758B">
        <w:t>access and benefit-sharing</w:t>
      </w:r>
      <w:r w:rsidR="0092735E">
        <w:t xml:space="preserve"> </w:t>
      </w:r>
      <w:r w:rsidR="00F24D4A">
        <w:t xml:space="preserve">projects indicates </w:t>
      </w:r>
      <w:r w:rsidRPr="00FF221F">
        <w:t>a differentiated distribution</w:t>
      </w:r>
      <w:r w:rsidR="007A596A">
        <w:t xml:space="preserve"> of resources. </w:t>
      </w:r>
    </w:p>
    <w:p w14:paraId="7EB42B2B" w14:textId="62AB9FFC" w:rsidR="00814FED" w:rsidRPr="001E0787" w:rsidRDefault="00777503" w:rsidP="00DE49A3">
      <w:pPr>
        <w:pStyle w:val="CBDNormalNumber"/>
        <w:ind w:left="567"/>
      </w:pPr>
      <w:r w:rsidRPr="001E0787">
        <w:t xml:space="preserve">Recorded allocations range from relatively high funding levels in a small number of cases (approximately </w:t>
      </w:r>
      <w:r w:rsidR="002C7435" w:rsidRPr="001E0787">
        <w:t>$</w:t>
      </w:r>
      <w:r w:rsidRPr="001E0787">
        <w:t xml:space="preserve">10–23 million) to more moderate allocations clustered between </w:t>
      </w:r>
      <w:r w:rsidR="002C7435" w:rsidRPr="001E0787">
        <w:t>$</w:t>
      </w:r>
      <w:r w:rsidRPr="001E0787">
        <w:t>2 and 6 million for most recipients.</w:t>
      </w:r>
      <w:r w:rsidR="00814FED" w:rsidRPr="00FF221F" w:rsidDel="00777503">
        <w:t xml:space="preserve"> </w:t>
      </w:r>
      <w:r w:rsidR="00814FED" w:rsidRPr="00FF221F">
        <w:t xml:space="preserve">This variation reflects differences in implementation pathways, institutional readiness, and </w:t>
      </w:r>
      <w:r w:rsidR="008B13BB">
        <w:t xml:space="preserve">sequencing </w:t>
      </w:r>
      <w:r w:rsidR="00814FED" w:rsidRPr="00FF221F">
        <w:t xml:space="preserve">rather than comparative levels of commitment or performance. The </w:t>
      </w:r>
      <w:r w:rsidR="008B13BB">
        <w:t xml:space="preserve">observed pattern </w:t>
      </w:r>
      <w:r w:rsidR="00814FED" w:rsidRPr="00FF221F">
        <w:t>underscores the phased and demand</w:t>
      </w:r>
      <w:r w:rsidR="00814FED" w:rsidRPr="00FF221F">
        <w:noBreakHyphen/>
        <w:t xml:space="preserve">driven nature of </w:t>
      </w:r>
      <w:r w:rsidR="0009087A" w:rsidRPr="0009087A">
        <w:t>access and benefit-sharing</w:t>
      </w:r>
      <w:r w:rsidR="0009087A">
        <w:t xml:space="preserve"> </w:t>
      </w:r>
      <w:r w:rsidR="00814FED" w:rsidRPr="00FF221F">
        <w:t>financing</w:t>
      </w:r>
      <w:r w:rsidR="00F62FFA">
        <w:t xml:space="preserve"> and highlights the catalytic </w:t>
      </w:r>
      <w:r w:rsidR="003E6FB9">
        <w:t xml:space="preserve">role of international public finance. </w:t>
      </w:r>
    </w:p>
    <w:p w14:paraId="68653E54" w14:textId="42480EB2" w:rsidR="00814FED" w:rsidRPr="00FF221F" w:rsidRDefault="003E6FB9" w:rsidP="00DE49A3">
      <w:pPr>
        <w:pStyle w:val="CBDNormalNumber"/>
        <w:ind w:left="567"/>
      </w:pPr>
      <w:r>
        <w:t>At the same time</w:t>
      </w:r>
      <w:r w:rsidR="00250056">
        <w:t>, differences in f</w:t>
      </w:r>
      <w:r w:rsidR="00814FED" w:rsidRPr="00FF221F">
        <w:t xml:space="preserve">unding </w:t>
      </w:r>
      <w:r w:rsidR="00250056">
        <w:t xml:space="preserve">levels reinforce the importance of strengthening domestic </w:t>
      </w:r>
      <w:r w:rsidR="009A1E3F">
        <w:t>and diversified re</w:t>
      </w:r>
      <w:r w:rsidR="00190892">
        <w:t xml:space="preserve">source </w:t>
      </w:r>
      <w:r w:rsidR="00E51D85">
        <w:t>mobilization</w:t>
      </w:r>
      <w:r w:rsidR="00190892">
        <w:t xml:space="preserve"> over the long-term, while international support has been essential for enabling </w:t>
      </w:r>
      <w:r w:rsidR="009A4780">
        <w:t xml:space="preserve">initial </w:t>
      </w:r>
      <w:r w:rsidR="00814FED" w:rsidRPr="00FF221F">
        <w:t>implementation</w:t>
      </w:r>
      <w:r w:rsidR="009A4780">
        <w:t xml:space="preserve">, reliance on time-bound external financing </w:t>
      </w:r>
      <w:r w:rsidR="003C7E5C">
        <w:lastRenderedPageBreak/>
        <w:t xml:space="preserve">underscores the need to embed </w:t>
      </w:r>
      <w:r w:rsidR="0009087A" w:rsidRPr="0009087A">
        <w:t>access and benefit-sharing</w:t>
      </w:r>
      <w:r w:rsidR="0009087A">
        <w:t xml:space="preserve"> </w:t>
      </w:r>
      <w:r w:rsidR="003C7E5C">
        <w:t xml:space="preserve">implementation within </w:t>
      </w:r>
      <w:r w:rsidR="00814FED" w:rsidRPr="00FF221F">
        <w:t xml:space="preserve">sustainable </w:t>
      </w:r>
      <w:r w:rsidR="00426D3E">
        <w:t xml:space="preserve">national financing frameworks to ensure continuity and effectiveness. </w:t>
      </w:r>
    </w:p>
    <w:p w14:paraId="0F1507AB" w14:textId="61688AAB" w:rsidR="00814FED" w:rsidRPr="00FF221F" w:rsidRDefault="00EB0328" w:rsidP="006268E5">
      <w:pPr>
        <w:pStyle w:val="CBDH2"/>
      </w:pPr>
      <w:r>
        <w:t>C.</w:t>
      </w:r>
      <w:r>
        <w:tab/>
      </w:r>
      <w:r w:rsidR="00814FED" w:rsidRPr="00FF221F">
        <w:t xml:space="preserve">Regional and subregional </w:t>
      </w:r>
      <w:r w:rsidR="002F2B07">
        <w:t>d</w:t>
      </w:r>
      <w:r w:rsidR="00814FED" w:rsidRPr="00FF221F">
        <w:t xml:space="preserve">istribution of </w:t>
      </w:r>
      <w:r w:rsidR="002F2B07">
        <w:t>f</w:t>
      </w:r>
      <w:r w:rsidR="00814FED" w:rsidRPr="00FF221F">
        <w:t xml:space="preserve">inancial </w:t>
      </w:r>
      <w:r w:rsidR="002F2B07">
        <w:t>r</w:t>
      </w:r>
      <w:r w:rsidR="00814FED" w:rsidRPr="00FF221F">
        <w:t xml:space="preserve">esources and </w:t>
      </w:r>
      <w:r w:rsidR="00C73CC3">
        <w:t>p</w:t>
      </w:r>
      <w:r w:rsidR="00814FED" w:rsidRPr="00FF221F">
        <w:t>atterns of support</w:t>
      </w:r>
    </w:p>
    <w:p w14:paraId="313F05D5" w14:textId="504B392E" w:rsidR="00814FED" w:rsidRPr="00644729" w:rsidRDefault="005E16B7" w:rsidP="006268E5">
      <w:pPr>
        <w:pStyle w:val="CBDTableTitle"/>
      </w:pPr>
      <w:r w:rsidRPr="006268E5">
        <w:rPr>
          <w:b w:val="0"/>
          <w:bCs/>
        </w:rPr>
        <w:t>Figure</w:t>
      </w:r>
      <w:r w:rsidR="00814FED" w:rsidRPr="006268E5">
        <w:rPr>
          <w:b w:val="0"/>
          <w:bCs/>
        </w:rPr>
        <w:t xml:space="preserve"> </w:t>
      </w:r>
      <w:r w:rsidR="00EB0328" w:rsidRPr="006268E5">
        <w:rPr>
          <w:b w:val="0"/>
          <w:bCs/>
        </w:rPr>
        <w:t>II</w:t>
      </w:r>
      <w:r w:rsidR="00814FED" w:rsidRPr="00644729">
        <w:t xml:space="preserve"> </w:t>
      </w:r>
      <w:r w:rsidR="00EB0328">
        <w:br/>
      </w:r>
      <w:r w:rsidR="00814FED" w:rsidRPr="00644729">
        <w:t xml:space="preserve">Regional </w:t>
      </w:r>
      <w:r w:rsidR="00C73CC3" w:rsidRPr="00644729">
        <w:t>d</w:t>
      </w:r>
      <w:r w:rsidR="00814FED" w:rsidRPr="00644729">
        <w:t xml:space="preserve">istribution of </w:t>
      </w:r>
      <w:r w:rsidR="00C73CC3" w:rsidRPr="00644729">
        <w:t>a</w:t>
      </w:r>
      <w:r w:rsidR="00972257" w:rsidRPr="00644729">
        <w:t xml:space="preserve">ccess and </w:t>
      </w:r>
      <w:r w:rsidR="00C73CC3" w:rsidRPr="00644729">
        <w:t>b</w:t>
      </w:r>
      <w:r w:rsidR="00972257" w:rsidRPr="00644729">
        <w:t>enefit-sharing</w:t>
      </w:r>
      <w:r w:rsidR="00644729">
        <w:t xml:space="preserve"> </w:t>
      </w:r>
      <w:r w:rsidR="00C73CC3" w:rsidRPr="00644729">
        <w:t>f</w:t>
      </w:r>
      <w:r w:rsidR="00814FED" w:rsidRPr="00644729">
        <w:t>unding (2010–2026) (in $M</w:t>
      </w:r>
      <w:r w:rsidR="002C5298" w:rsidRPr="00644729">
        <w:t>illion</w:t>
      </w:r>
      <w:r w:rsidR="00814FED" w:rsidRPr="00644729">
        <w:t>)</w:t>
      </w:r>
    </w:p>
    <w:p w14:paraId="59CF879B" w14:textId="77777777" w:rsidR="00814FED" w:rsidRPr="00FF221F" w:rsidRDefault="00814FED" w:rsidP="00814FED">
      <w:pPr>
        <w:pStyle w:val="ListParagraph"/>
        <w:rPr>
          <w:b/>
          <w:bCs/>
        </w:rPr>
      </w:pPr>
      <w:r>
        <w:rPr>
          <w:noProof/>
        </w:rPr>
        <w:drawing>
          <wp:inline distT="0" distB="0" distL="0" distR="0" wp14:anchorId="04A62A4B" wp14:editId="75B12994">
            <wp:extent cx="4580190" cy="2726099"/>
            <wp:effectExtent l="0" t="0" r="11430" b="17145"/>
            <wp:docPr id="1072985250" name="Chart 1">
              <a:extLst xmlns:a="http://schemas.openxmlformats.org/drawingml/2006/main">
                <a:ext uri="{FF2B5EF4-FFF2-40B4-BE49-F238E27FC236}">
                  <a16:creationId xmlns:a16="http://schemas.microsoft.com/office/drawing/2014/main" id="{15C112B4-7ED6-4CE1-B959-E5066FE174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9922D3D" w14:textId="7CCBD831" w:rsidR="00814FED" w:rsidRDefault="00814FED" w:rsidP="00DE49A3">
      <w:pPr>
        <w:pStyle w:val="CBDNormalNumber"/>
        <w:ind w:left="567"/>
      </w:pPr>
      <w:r w:rsidRPr="002E3635">
        <w:t xml:space="preserve">An analysis of </w:t>
      </w:r>
      <w:r w:rsidR="002454E4" w:rsidRPr="002454E4">
        <w:t>access and benefit-sharing</w:t>
      </w:r>
      <w:r w:rsidRPr="002E3635">
        <w:noBreakHyphen/>
        <w:t xml:space="preserve">related funding accessed by region between 2010 and 2026 </w:t>
      </w:r>
      <w:r>
        <w:t xml:space="preserve">based on </w:t>
      </w:r>
      <w:r w:rsidR="00E53897">
        <w:t>f</w:t>
      </w:r>
      <w:r w:rsidR="007314E0">
        <w:t>igure</w:t>
      </w:r>
      <w:r w:rsidR="007314E0" w:rsidRPr="0099317C">
        <w:t xml:space="preserve"> </w:t>
      </w:r>
      <w:r w:rsidR="00E53897">
        <w:t>II</w:t>
      </w:r>
      <w:r w:rsidRPr="000C7383">
        <w:t xml:space="preserve"> indicates differentiated patterns</w:t>
      </w:r>
      <w:r w:rsidR="006A64FF" w:rsidRPr="000C7383">
        <w:t xml:space="preserve"> of engagement</w:t>
      </w:r>
      <w:r w:rsidRPr="000C7383">
        <w:t xml:space="preserve"> shaped by national demand, absorptive capacity and</w:t>
      </w:r>
      <w:r w:rsidR="00F67E18" w:rsidRPr="000C7383">
        <w:t xml:space="preserve"> the </w:t>
      </w:r>
      <w:r w:rsidRPr="000C7383">
        <w:t>modalities</w:t>
      </w:r>
      <w:r w:rsidR="00F67E18">
        <w:t xml:space="preserve"> through which projects have been implemented</w:t>
      </w:r>
      <w:r w:rsidRPr="002E3635">
        <w:t xml:space="preserve">. </w:t>
      </w:r>
    </w:p>
    <w:p w14:paraId="47DE2E2A" w14:textId="05F8A616" w:rsidR="00814FED" w:rsidRPr="002E3635" w:rsidRDefault="00F67E18" w:rsidP="00DE49A3">
      <w:pPr>
        <w:pStyle w:val="CBDNormalNumber"/>
        <w:ind w:left="567"/>
      </w:pPr>
      <w:proofErr w:type="gramStart"/>
      <w:r>
        <w:t>On the basis of</w:t>
      </w:r>
      <w:proofErr w:type="gramEnd"/>
      <w:r>
        <w:t xml:space="preserve"> the available data, t</w:t>
      </w:r>
      <w:r w:rsidR="00814FED" w:rsidRPr="002E3635">
        <w:t xml:space="preserve">hree principal </w:t>
      </w:r>
      <w:r>
        <w:t xml:space="preserve">regional </w:t>
      </w:r>
      <w:r w:rsidR="00814FED" w:rsidRPr="002E3635">
        <w:t>clusters emerge</w:t>
      </w:r>
      <w:r w:rsidR="005A5B03">
        <w:t>:</w:t>
      </w:r>
      <w:r w:rsidR="00814FED" w:rsidRPr="002E3635" w:rsidDel="005A5B03">
        <w:t xml:space="preserve"> </w:t>
      </w:r>
      <w:r w:rsidR="00814FED" w:rsidRPr="002E3635">
        <w:t>Africa</w:t>
      </w:r>
      <w:r w:rsidR="005A5B03">
        <w:t xml:space="preserve">; </w:t>
      </w:r>
      <w:r w:rsidR="00814FED" w:rsidRPr="002E3635">
        <w:t>Asia</w:t>
      </w:r>
      <w:r w:rsidR="00814FED" w:rsidRPr="002E3635">
        <w:noBreakHyphen/>
        <w:t xml:space="preserve">Pacific </w:t>
      </w:r>
      <w:r w:rsidR="00351D8A">
        <w:t>together with</w:t>
      </w:r>
      <w:r w:rsidR="00814FED" w:rsidRPr="002E3635">
        <w:t xml:space="preserve"> Latin America and the Caribbean</w:t>
      </w:r>
      <w:r w:rsidR="005A5B03">
        <w:t>;</w:t>
      </w:r>
      <w:r w:rsidR="00814FED" w:rsidRPr="002E3635">
        <w:t xml:space="preserve"> and Central and Eastern Europe (CEE)</w:t>
      </w:r>
      <w:r w:rsidR="005A5B03">
        <w:t xml:space="preserve">. </w:t>
      </w:r>
      <w:r w:rsidR="00054C2D">
        <w:t>These clusters reflect broad similarities in the scale</w:t>
      </w:r>
      <w:r w:rsidR="00AF1398">
        <w:t xml:space="preserve"> and configuration of </w:t>
      </w:r>
      <w:r w:rsidR="006878C0" w:rsidRPr="006878C0">
        <w:t>access and benefit-sharing</w:t>
      </w:r>
      <w:r w:rsidR="00961438">
        <w:t xml:space="preserve"> </w:t>
      </w:r>
      <w:r w:rsidR="00AF1398">
        <w:t>related support over time rather than precise</w:t>
      </w:r>
      <w:r w:rsidR="00325160">
        <w:t xml:space="preserve"> funding allocations. It is noted, h</w:t>
      </w:r>
      <w:r w:rsidR="00814FED" w:rsidRPr="002E3635">
        <w:t xml:space="preserve">owever, </w:t>
      </w:r>
      <w:r w:rsidR="00325160">
        <w:t xml:space="preserve">that </w:t>
      </w:r>
      <w:r w:rsidR="00814FED" w:rsidRPr="002E3635">
        <w:t xml:space="preserve">the </w:t>
      </w:r>
      <w:r w:rsidR="00DA37C3">
        <w:t xml:space="preserve">presence of </w:t>
      </w:r>
      <w:r w:rsidR="00814FED" w:rsidRPr="002E3635">
        <w:t>multi</w:t>
      </w:r>
      <w:r w:rsidR="00814FED" w:rsidRPr="002E3635">
        <w:noBreakHyphen/>
      </w:r>
      <w:r w:rsidR="00DA37C3">
        <w:t>country</w:t>
      </w:r>
      <w:r w:rsidR="00061FF0">
        <w:t>,</w:t>
      </w:r>
      <w:r w:rsidR="00021305">
        <w:t xml:space="preserve"> </w:t>
      </w:r>
      <w:r w:rsidR="00814FED" w:rsidRPr="002E3635">
        <w:t xml:space="preserve">regional and subregional initiatives, </w:t>
      </w:r>
      <w:r w:rsidR="00061FF0">
        <w:t xml:space="preserve">often addressing </w:t>
      </w:r>
      <w:r w:rsidR="000F4816">
        <w:t xml:space="preserve">multiple thematic areas simultaneously, limits the extent to which </w:t>
      </w:r>
      <w:r w:rsidR="00BF7670">
        <w:t xml:space="preserve">aggregate regional figures can be interpreted as direct measures of implementation effort. </w:t>
      </w:r>
      <w:r w:rsidR="008C328E">
        <w:t xml:space="preserve">In this context, </w:t>
      </w:r>
      <w:r w:rsidR="00814FED" w:rsidRPr="002E3635">
        <w:t>national</w:t>
      </w:r>
      <w:r w:rsidR="00814FED" w:rsidRPr="002E3635">
        <w:noBreakHyphen/>
        <w:t xml:space="preserve">level funding </w:t>
      </w:r>
      <w:r w:rsidR="008C328E">
        <w:t>data</w:t>
      </w:r>
      <w:r w:rsidR="008C328E" w:rsidRPr="002E3635">
        <w:t xml:space="preserve"> </w:t>
      </w:r>
      <w:r w:rsidR="00814FED" w:rsidRPr="002E3635">
        <w:t xml:space="preserve">provide a more reliable indication of effective engagement with </w:t>
      </w:r>
      <w:r w:rsidR="00DD052F" w:rsidRPr="00DD052F">
        <w:t>access and benefit-sharing</w:t>
      </w:r>
      <w:r w:rsidR="0048204D">
        <w:t xml:space="preserve"> </w:t>
      </w:r>
      <w:r w:rsidR="00814FED" w:rsidRPr="002E3635">
        <w:t xml:space="preserve">implementation under the Nagoya </w:t>
      </w:r>
      <w:r w:rsidR="00814FED" w:rsidRPr="002E3635" w:rsidDel="002A0EBC">
        <w:t>Protocol.</w:t>
      </w:r>
    </w:p>
    <w:p w14:paraId="319DD328" w14:textId="7BD47550" w:rsidR="00814FED" w:rsidRPr="002E3635" w:rsidRDefault="00814FED" w:rsidP="00DE49A3">
      <w:pPr>
        <w:pStyle w:val="CBDNormalNumber"/>
        <w:ind w:left="567"/>
      </w:pPr>
      <w:r w:rsidRPr="002E3635">
        <w:t xml:space="preserve">Africa received the highest overall allocation of </w:t>
      </w:r>
      <w:r w:rsidR="00E7635B" w:rsidRPr="00E7635B">
        <w:t>access and benefit-sharing</w:t>
      </w:r>
      <w:r w:rsidRPr="002E3635">
        <w:noBreakHyphen/>
        <w:t>related funding, driven primarily by national</w:t>
      </w:r>
      <w:r w:rsidRPr="002E3635">
        <w:noBreakHyphen/>
        <w:t xml:space="preserve">level projects. Approximately </w:t>
      </w:r>
      <w:r>
        <w:t>$</w:t>
      </w:r>
      <w:r w:rsidRPr="002E3635">
        <w:t xml:space="preserve">112 million was channelled through national initiatives, complemented by around </w:t>
      </w:r>
      <w:r>
        <w:t>$</w:t>
      </w:r>
      <w:r w:rsidRPr="002E3635">
        <w:t>41 million in regional and subregional support. This distribution reflects strong engagement in country</w:t>
      </w:r>
      <w:r w:rsidRPr="002E3635">
        <w:noBreakHyphen/>
        <w:t xml:space="preserve">specific </w:t>
      </w:r>
      <w:r w:rsidR="00E7635B" w:rsidRPr="00E7635B">
        <w:t>access and benefit-sharing</w:t>
      </w:r>
      <w:r w:rsidR="00405301">
        <w:t xml:space="preserve"> </w:t>
      </w:r>
      <w:r w:rsidRPr="002E3635">
        <w:t>implementation, with resources directed towards the development and operationalization of legal and institutional frameworks, capacity</w:t>
      </w:r>
      <w:r w:rsidRPr="002E3635">
        <w:noBreakHyphen/>
        <w:t>building for competent authorities, and mechanisms supporting the participation of Indigenous Peoples and Local Communities in benefit sharing. Regional and subregional initiatives have played a complementary role, primarily supporting knowledge exchange, coordination and shared capacity</w:t>
      </w:r>
      <w:r w:rsidRPr="002E3635">
        <w:noBreakHyphen/>
        <w:t>building efforts across countries.</w:t>
      </w:r>
    </w:p>
    <w:p w14:paraId="0EBA6D77" w14:textId="3B516C67" w:rsidR="00814FED" w:rsidRPr="00FF221F" w:rsidRDefault="00814FED" w:rsidP="00DE49A3">
      <w:pPr>
        <w:pStyle w:val="CBDNormalNumber"/>
        <w:ind w:left="567"/>
      </w:pPr>
      <w:r w:rsidRPr="002E3635">
        <w:t>The Asia</w:t>
      </w:r>
      <w:r w:rsidRPr="002E3635">
        <w:noBreakHyphen/>
        <w:t>Pacific region and Latin America and the Caribbean (LAC) show comparable levels of national engagement, with differing patterns of regional support. Asia</w:t>
      </w:r>
      <w:r w:rsidRPr="002E3635">
        <w:noBreakHyphen/>
        <w:t xml:space="preserve">Pacific received approximately </w:t>
      </w:r>
      <w:r>
        <w:t>$</w:t>
      </w:r>
      <w:r w:rsidRPr="002E3635">
        <w:t xml:space="preserve">57 million in national funding and </w:t>
      </w:r>
      <w:r>
        <w:t>$</w:t>
      </w:r>
      <w:r w:rsidRPr="002E3635">
        <w:t>2.8 million at the regional/subregional level, indicating a predominantly country</w:t>
      </w:r>
      <w:r w:rsidRPr="002E3635">
        <w:noBreakHyphen/>
        <w:t xml:space="preserve">driven approach to </w:t>
      </w:r>
      <w:r w:rsidR="005231D6" w:rsidRPr="005231D6">
        <w:t>access and benefit-sharing</w:t>
      </w:r>
      <w:r w:rsidR="0048204D">
        <w:t xml:space="preserve"> </w:t>
      </w:r>
      <w:r w:rsidRPr="002E3635">
        <w:t xml:space="preserve">support. </w:t>
      </w:r>
    </w:p>
    <w:p w14:paraId="21063018" w14:textId="77777777" w:rsidR="00814FED" w:rsidRDefault="00814FED" w:rsidP="00DE49A3">
      <w:pPr>
        <w:pStyle w:val="CBDNormalNumber"/>
        <w:ind w:left="567"/>
      </w:pPr>
      <w:r w:rsidRPr="002E3635">
        <w:t xml:space="preserve">In contrast, LAC received approximately </w:t>
      </w:r>
      <w:r>
        <w:t>$</w:t>
      </w:r>
      <w:r w:rsidRPr="002E3635">
        <w:t xml:space="preserve">55 million in national funding, supplemented by </w:t>
      </w:r>
      <w:r>
        <w:t>$</w:t>
      </w:r>
      <w:r w:rsidRPr="002E3635">
        <w:t>22.5 million through regional and subregional initiatives.</w:t>
      </w:r>
    </w:p>
    <w:p w14:paraId="056FD599" w14:textId="3DB871B4" w:rsidR="00814FED" w:rsidRPr="002E3635" w:rsidRDefault="00814FED" w:rsidP="00DE49A3">
      <w:pPr>
        <w:pStyle w:val="CBDNormalNumber"/>
        <w:ind w:left="567"/>
      </w:pPr>
      <w:r w:rsidRPr="002E3635">
        <w:lastRenderedPageBreak/>
        <w:t>This stronger regional dimension reflects shared legal traditions, cross</w:t>
      </w:r>
      <w:r w:rsidRPr="002E3635">
        <w:noBreakHyphen/>
        <w:t>border biodiversity contexts, and the presence of established regional cooperation platforms. These differences reflect region</w:t>
      </w:r>
      <w:r w:rsidRPr="002E3635">
        <w:noBreakHyphen/>
        <w:t xml:space="preserve">specific implementation strategies rather than variations in commitment or priority accorded to </w:t>
      </w:r>
      <w:r w:rsidR="005231D6" w:rsidRPr="005231D6">
        <w:t>access and benefit-sharing</w:t>
      </w:r>
      <w:r w:rsidRPr="002E3635">
        <w:t>.</w:t>
      </w:r>
    </w:p>
    <w:p w14:paraId="2E620FFF" w14:textId="78DB1445" w:rsidR="00814FED" w:rsidRPr="002E3635" w:rsidRDefault="00814FED" w:rsidP="00DE49A3">
      <w:pPr>
        <w:pStyle w:val="CBDNormalNumber"/>
        <w:ind w:left="567"/>
      </w:pPr>
      <w:r w:rsidRPr="002E3635">
        <w:t xml:space="preserve">In Central and Eastern Europe, funding data require careful interpretation. The region shows approximately </w:t>
      </w:r>
      <w:r>
        <w:t>$</w:t>
      </w:r>
      <w:r w:rsidRPr="002E3635">
        <w:t xml:space="preserve">1 million in national </w:t>
      </w:r>
      <w:r w:rsidR="00454883" w:rsidRPr="00454883">
        <w:t>access and benefit-sharing</w:t>
      </w:r>
      <w:r w:rsidRPr="002E3635">
        <w:noBreakHyphen/>
        <w:t xml:space="preserve">related funding and around </w:t>
      </w:r>
      <w:r>
        <w:t>$</w:t>
      </w:r>
      <w:r w:rsidRPr="002E3635">
        <w:t xml:space="preserve">30 million attributed to regional or subregional initiatives. However, the principal regional project in CEE covers a broad range of environmental themes and involves three participating countries, with only one country addressing </w:t>
      </w:r>
      <w:r w:rsidR="00454883" w:rsidRPr="00454883">
        <w:t>access and benefit-sharing</w:t>
      </w:r>
      <w:r w:rsidR="0048204D">
        <w:t xml:space="preserve"> </w:t>
      </w:r>
      <w:r w:rsidRPr="002E3635">
        <w:t xml:space="preserve">within its broader project scope. As a result, the regional funding figure overstates the level of dedicated </w:t>
      </w:r>
      <w:r w:rsidR="000D3E00" w:rsidRPr="000D3E00">
        <w:t>access and benefit-sharing</w:t>
      </w:r>
      <w:r w:rsidR="003E0654">
        <w:t xml:space="preserve"> </w:t>
      </w:r>
      <w:r w:rsidRPr="002E3635">
        <w:t>investment in the region. For CEE, national</w:t>
      </w:r>
      <w:r w:rsidRPr="002E3635">
        <w:noBreakHyphen/>
        <w:t xml:space="preserve">level allocations therefore provide a more accurate reflection of actual engagement with </w:t>
      </w:r>
      <w:r w:rsidR="00454883" w:rsidRPr="00454883">
        <w:t>access and benefit-sharing</w:t>
      </w:r>
      <w:r w:rsidR="0048204D">
        <w:t xml:space="preserve"> </w:t>
      </w:r>
      <w:r w:rsidRPr="002E3635">
        <w:t>implementation, while regional figures should be interpreted cautiously.</w:t>
      </w:r>
    </w:p>
    <w:p w14:paraId="1B82439D" w14:textId="073A0CC4" w:rsidR="00814FED" w:rsidRPr="00FF221F" w:rsidRDefault="00814FED" w:rsidP="00DE49A3">
      <w:pPr>
        <w:pStyle w:val="CBDNormalNumber"/>
        <w:ind w:left="567"/>
      </w:pPr>
      <w:r w:rsidRPr="002E3635">
        <w:t xml:space="preserve">Overall, the regional distribution of </w:t>
      </w:r>
      <w:r w:rsidR="00454883" w:rsidRPr="00454883">
        <w:t>access and benefit-sharing</w:t>
      </w:r>
      <w:r w:rsidRPr="002E3635">
        <w:noBreakHyphen/>
        <w:t>related funding reflects demand</w:t>
      </w:r>
      <w:r w:rsidRPr="002E3635">
        <w:noBreakHyphen/>
        <w:t>driven and context</w:t>
      </w:r>
      <w:r w:rsidRPr="002E3635">
        <w:noBreakHyphen/>
        <w:t>specific patterns, rather than uniform allocation across regions. Regions with higher national</w:t>
      </w:r>
      <w:r w:rsidRPr="002E3635">
        <w:noBreakHyphen/>
        <w:t xml:space="preserve">level allocations tend to exhibit more advanced or complex </w:t>
      </w:r>
      <w:r w:rsidR="00454883" w:rsidRPr="00454883">
        <w:t>access and benefit-sharing</w:t>
      </w:r>
      <w:r w:rsidR="0048204D">
        <w:t xml:space="preserve"> </w:t>
      </w:r>
      <w:r w:rsidRPr="002E3635">
        <w:t>implementation pathways and greater capacity to absorb and implement country</w:t>
      </w:r>
      <w:r w:rsidRPr="002E3635">
        <w:noBreakHyphen/>
        <w:t>level projects. Regional and subregional initiatives appear most effective where they complement, rather than substitute, national implementation efforts. This pattern is consistent with observations reported by Parties regarding the importance of targeted capacity</w:t>
      </w:r>
      <w:r w:rsidRPr="002E3635">
        <w:noBreakHyphen/>
        <w:t xml:space="preserve">building, the sustainability of national </w:t>
      </w:r>
      <w:r w:rsidR="00454883" w:rsidRPr="00454883">
        <w:t>access and benefit-sharing</w:t>
      </w:r>
      <w:r w:rsidR="0048204D">
        <w:t xml:space="preserve"> </w:t>
      </w:r>
      <w:r w:rsidRPr="002E3635">
        <w:t>systems, and the strategic use of regional cooperation mechanisms to support implementation outcomes.</w:t>
      </w:r>
    </w:p>
    <w:p w14:paraId="6F689794" w14:textId="1A5E7898" w:rsidR="00814FED" w:rsidRPr="00FF221F" w:rsidRDefault="00EB0328" w:rsidP="006268E5">
      <w:pPr>
        <w:pStyle w:val="CBDH1"/>
      </w:pPr>
      <w:r>
        <w:t>VI.</w:t>
      </w:r>
      <w:r>
        <w:tab/>
      </w:r>
      <w:r w:rsidR="00814FED" w:rsidRPr="00FF221F">
        <w:t xml:space="preserve">Trends </w:t>
      </w:r>
      <w:r w:rsidR="00814FED">
        <w:t>a</w:t>
      </w:r>
      <w:r w:rsidR="00814FED" w:rsidRPr="00FF221F">
        <w:t xml:space="preserve">nd </w:t>
      </w:r>
      <w:r w:rsidR="00C73CC3">
        <w:t>p</w:t>
      </w:r>
      <w:r w:rsidR="00814FED" w:rsidRPr="00FF221F">
        <w:t xml:space="preserve">atterns </w:t>
      </w:r>
      <w:r w:rsidR="00814FED">
        <w:t>i</w:t>
      </w:r>
      <w:r w:rsidR="00814FED" w:rsidRPr="00FF221F">
        <w:t xml:space="preserve">n </w:t>
      </w:r>
      <w:r w:rsidR="00C73CC3">
        <w:t>f</w:t>
      </w:r>
      <w:r w:rsidR="00814FED" w:rsidRPr="00FF221F">
        <w:t xml:space="preserve">inancial </w:t>
      </w:r>
      <w:r w:rsidR="00C73CC3">
        <w:t>r</w:t>
      </w:r>
      <w:r w:rsidR="00814FED" w:rsidRPr="00FF221F">
        <w:t xml:space="preserve">esources </w:t>
      </w:r>
      <w:r w:rsidR="00814FED">
        <w:t>a</w:t>
      </w:r>
      <w:r w:rsidR="00814FED" w:rsidRPr="00FF221F">
        <w:t xml:space="preserve">nd </w:t>
      </w:r>
      <w:r w:rsidR="00C73CC3">
        <w:t>r</w:t>
      </w:r>
      <w:r w:rsidR="00814FED" w:rsidRPr="00FF221F">
        <w:t xml:space="preserve">esource </w:t>
      </w:r>
      <w:r w:rsidR="00E51D85">
        <w:t>mobilization</w:t>
      </w:r>
    </w:p>
    <w:p w14:paraId="1A8BF5CA" w14:textId="35451D69" w:rsidR="00814FED" w:rsidRPr="00FF221F" w:rsidRDefault="00814FED" w:rsidP="00DE49A3">
      <w:pPr>
        <w:pStyle w:val="CBDNormalNumber"/>
        <w:ind w:left="567"/>
      </w:pPr>
      <w:r w:rsidRPr="00FF221F">
        <w:t xml:space="preserve">Drawing together evidence from preceding sections, this section synthesises observed trends and patterns in financial resources and resource </w:t>
      </w:r>
      <w:r w:rsidR="00E51D85">
        <w:t>mobilization</w:t>
      </w:r>
      <w:r w:rsidRPr="00FF221F">
        <w:t xml:space="preserve"> supporting the implementation of the Nagoya Protocol. It highlights cross</w:t>
      </w:r>
      <w:r w:rsidRPr="00FF221F">
        <w:noBreakHyphen/>
        <w:t xml:space="preserve">cutting developments in the scale, focus, and modalities of support across funding sources and over time. </w:t>
      </w:r>
    </w:p>
    <w:p w14:paraId="066104F4" w14:textId="378615D8" w:rsidR="00814FED" w:rsidRPr="00F728AC" w:rsidRDefault="00EB0328" w:rsidP="006268E5">
      <w:pPr>
        <w:pStyle w:val="CBDH2"/>
      </w:pPr>
      <w:r>
        <w:t>A.</w:t>
      </w:r>
      <w:r>
        <w:tab/>
      </w:r>
      <w:r w:rsidR="00814FED">
        <w:t>G</w:t>
      </w:r>
      <w:r w:rsidR="00814FED" w:rsidRPr="00F728AC">
        <w:t xml:space="preserve">EF and </w:t>
      </w:r>
      <w:r w:rsidR="00C73CC3">
        <w:t>r</w:t>
      </w:r>
      <w:r w:rsidR="00814FED" w:rsidRPr="00F728AC">
        <w:t xml:space="preserve">esource </w:t>
      </w:r>
      <w:r w:rsidR="00C73CC3">
        <w:t>m</w:t>
      </w:r>
      <w:r w:rsidR="00814FED" w:rsidRPr="00F728AC">
        <w:t>obili</w:t>
      </w:r>
      <w:r>
        <w:t>z</w:t>
      </w:r>
      <w:r w:rsidR="00814FED" w:rsidRPr="00F728AC">
        <w:t>ation</w:t>
      </w:r>
    </w:p>
    <w:p w14:paraId="5307AB74" w14:textId="2E00CAFF" w:rsidR="00814FED" w:rsidRPr="00F728AC" w:rsidRDefault="00814FED" w:rsidP="00DE49A3">
      <w:pPr>
        <w:pStyle w:val="CBDNormalNumber"/>
        <w:ind w:left="567"/>
      </w:pPr>
      <w:r w:rsidRPr="00F728AC">
        <w:t>Experience under GEF</w:t>
      </w:r>
      <w:r w:rsidRPr="00F728AC">
        <w:noBreakHyphen/>
        <w:t xml:space="preserve">7 confirms that </w:t>
      </w:r>
      <w:r w:rsidR="001A414A" w:rsidRPr="001A414A">
        <w:t>access and benefit-sharing</w:t>
      </w:r>
      <w:r w:rsidR="00436DE3">
        <w:t xml:space="preserve"> </w:t>
      </w:r>
      <w:r w:rsidRPr="00F728AC">
        <w:t xml:space="preserve">financing has remained largely dependent on international public finance, with the GEF Trust Fund continuing to serve as the primary source of support. Funding for </w:t>
      </w:r>
      <w:r w:rsidR="001A414A" w:rsidRPr="001A414A">
        <w:t>access and benefit-sharing</w:t>
      </w:r>
      <w:r w:rsidRPr="00F728AC">
        <w:t xml:space="preserve"> under this cycle was predominantly project</w:t>
      </w:r>
      <w:r w:rsidRPr="00F728AC">
        <w:noBreakHyphen/>
        <w:t>based and time</w:t>
      </w:r>
      <w:r w:rsidRPr="00F728AC">
        <w:noBreakHyphen/>
        <w:t xml:space="preserve">bound, with only limited and uneven integration of </w:t>
      </w:r>
      <w:r w:rsidR="001A414A" w:rsidRPr="001A414A">
        <w:t>access and benefit-sharing</w:t>
      </w:r>
      <w:r w:rsidR="00060A5E">
        <w:t xml:space="preserve"> </w:t>
      </w:r>
      <w:r w:rsidRPr="00F728AC">
        <w:t xml:space="preserve">functions into national budgets. While some Parties reported allocating domestic resources, these contributions were generally modest and insufficient to reduce reliance on external funding. Expectations that </w:t>
      </w:r>
      <w:r w:rsidR="00AD4A67" w:rsidRPr="00AD4A67">
        <w:t>access and benefit-sharing</w:t>
      </w:r>
      <w:r w:rsidRPr="00F728AC">
        <w:t xml:space="preserve"> implementation would generate increased private</w:t>
      </w:r>
      <w:r w:rsidRPr="00F728AC">
        <w:noBreakHyphen/>
        <w:t>sector engagement and monetary benefit</w:t>
      </w:r>
      <w:r w:rsidRPr="00F728AC">
        <w:noBreakHyphen/>
        <w:t>sharing flows were not widely reali</w:t>
      </w:r>
      <w:r w:rsidR="005F64B3">
        <w:t>z</w:t>
      </w:r>
      <w:r w:rsidRPr="00F728AC">
        <w:t>ed during this period; instead, non</w:t>
      </w:r>
      <w:r w:rsidRPr="00F728AC">
        <w:noBreakHyphen/>
        <w:t>monetary benefits</w:t>
      </w:r>
      <w:r w:rsidRPr="00FF221F">
        <w:t xml:space="preserve"> </w:t>
      </w:r>
      <w:r w:rsidRPr="00F728AC">
        <w:t>such as research cooperation, capacity building and technology transfer</w:t>
      </w:r>
      <w:r w:rsidRPr="00FF221F">
        <w:t xml:space="preserve"> </w:t>
      </w:r>
      <w:r w:rsidRPr="00F728AC">
        <w:t>continued to predominate.</w:t>
      </w:r>
    </w:p>
    <w:p w14:paraId="68495E6D" w14:textId="6F787612" w:rsidR="00814FED" w:rsidRPr="00F728AC" w:rsidRDefault="00814FED" w:rsidP="00DE49A3">
      <w:pPr>
        <w:pStyle w:val="CBDNormalNumber"/>
        <w:ind w:left="567"/>
      </w:pPr>
      <w:r w:rsidRPr="00F728AC">
        <w:t>From a resource</w:t>
      </w:r>
      <w:r w:rsidRPr="00F728AC">
        <w:noBreakHyphen/>
      </w:r>
      <w:r w:rsidR="00E51D85">
        <w:t>mobilization</w:t>
      </w:r>
      <w:r w:rsidRPr="00F728AC">
        <w:t xml:space="preserve"> perspective, GEF</w:t>
      </w:r>
      <w:r w:rsidRPr="00F728AC">
        <w:noBreakHyphen/>
        <w:t xml:space="preserve">8 presents a mixed picture. On the positive side, the introduction of the Global Biodiversity Framework Fund (GBFF) has added a new financing modality that strengthens alignment between </w:t>
      </w:r>
      <w:r w:rsidR="00631AC5" w:rsidRPr="00631AC5">
        <w:t>access and benefit-sharing</w:t>
      </w:r>
      <w:r w:rsidR="00D50F6A">
        <w:t xml:space="preserve"> </w:t>
      </w:r>
      <w:r w:rsidRPr="00F728AC">
        <w:t>implementation, broader biodiversity finance strategies and results</w:t>
      </w:r>
      <w:r w:rsidRPr="00F728AC">
        <w:noBreakHyphen/>
        <w:t>based monitoring under the Kunming</w:t>
      </w:r>
      <w:r w:rsidRPr="00F728AC">
        <w:noBreakHyphen/>
        <w:t xml:space="preserve">Montreal Global Biodiversity Framework. This has contributed to improved coherence between financial resources, policy objectives and accountability frameworks. However, these advances have not yet translated into a structural shift in the financing landscape. </w:t>
      </w:r>
      <w:r w:rsidR="00D50F6A" w:rsidRPr="00D50F6A">
        <w:t>access and benefit-sharing</w:t>
      </w:r>
      <w:r w:rsidR="00DA5EE8">
        <w:t xml:space="preserve"> </w:t>
      </w:r>
      <w:r w:rsidRPr="00F728AC">
        <w:t>funding remains largely reliant on international public finance, with domestic budget allocations still limited and uneven, and private</w:t>
      </w:r>
      <w:r w:rsidRPr="00F728AC">
        <w:noBreakHyphen/>
        <w:t>sector contributions and monetary benefit</w:t>
      </w:r>
      <w:r w:rsidRPr="00F728AC">
        <w:noBreakHyphen/>
        <w:t>sharing flows continuing to be sporadic, difficult to aggregate and insufficient to offset dependence on project</w:t>
      </w:r>
      <w:r w:rsidRPr="00F728AC">
        <w:noBreakHyphen/>
        <w:t>based funding.</w:t>
      </w:r>
    </w:p>
    <w:p w14:paraId="61B85AE8" w14:textId="77777777" w:rsidR="00814FED" w:rsidRDefault="00814FED" w:rsidP="00DE49A3">
      <w:pPr>
        <w:pStyle w:val="CBDNormalNumber"/>
        <w:ind w:left="567"/>
      </w:pPr>
      <w:r w:rsidRPr="00F728AC">
        <w:lastRenderedPageBreak/>
        <w:t>Across both replenishment cycles, Parties reported that GEF support through the biodiversity focal area has been instrumental in strengthening national legal and institutional frameworks, developing permitting systems and piloting benefit</w:t>
      </w:r>
      <w:r w:rsidRPr="00F728AC">
        <w:noBreakHyphen/>
        <w:t>sharing approaches. At the same time, Parties highlighted recurring challenges, including competition for STAR allocations, procedural delays, and sustainability concerns following project completion.</w:t>
      </w:r>
    </w:p>
    <w:p w14:paraId="788451EA" w14:textId="7B567DC8" w:rsidR="00814FED" w:rsidRPr="00F728AC" w:rsidRDefault="00814FED" w:rsidP="00DE49A3">
      <w:pPr>
        <w:pStyle w:val="CBDNormalNumber"/>
        <w:ind w:left="567"/>
      </w:pPr>
      <w:r w:rsidRPr="00F728AC">
        <w:t>Overall, while GEF</w:t>
      </w:r>
      <w:r w:rsidRPr="00F728AC">
        <w:noBreakHyphen/>
        <w:t>8 reflects incremental diversification, including through global funds, it does not yet signal a structural breakthrough in domestic or market</w:t>
      </w:r>
      <w:r w:rsidRPr="00F728AC">
        <w:noBreakHyphen/>
        <w:t xml:space="preserve">based resource </w:t>
      </w:r>
      <w:r w:rsidR="00E51D85">
        <w:t>mobilization</w:t>
      </w:r>
      <w:r w:rsidRPr="00F728AC">
        <w:t xml:space="preserve"> for </w:t>
      </w:r>
      <w:r w:rsidR="00DF6806" w:rsidRPr="00DF6806">
        <w:t>access and benefit-sharing</w:t>
      </w:r>
      <w:r w:rsidR="009B759A">
        <w:t xml:space="preserve"> </w:t>
      </w:r>
      <w:r w:rsidRPr="00F728AC">
        <w:t>implementation.</w:t>
      </w:r>
    </w:p>
    <w:p w14:paraId="074783D5" w14:textId="4DD99188" w:rsidR="00814FED" w:rsidRPr="00FF221F" w:rsidRDefault="00EB0328" w:rsidP="006268E5">
      <w:pPr>
        <w:pStyle w:val="CBDH2"/>
        <w:jc w:val="left"/>
      </w:pPr>
      <w:r>
        <w:t>B.</w:t>
      </w:r>
      <w:r>
        <w:tab/>
      </w:r>
      <w:r w:rsidR="00814FED" w:rsidRPr="00FF221F">
        <w:t>Insights from resource mobili</w:t>
      </w:r>
      <w:r>
        <w:t>z</w:t>
      </w:r>
      <w:r w:rsidR="00814FED" w:rsidRPr="00FF221F">
        <w:t xml:space="preserve">ation from the distribution of </w:t>
      </w:r>
      <w:r w:rsidR="008C638C">
        <w:t xml:space="preserve">financial resources </w:t>
      </w:r>
      <w:r w:rsidR="00702F6F">
        <w:t xml:space="preserve">across </w:t>
      </w:r>
      <w:r w:rsidR="00814FED" w:rsidRPr="00FF221F">
        <w:t xml:space="preserve">national, global and regional subregional </w:t>
      </w:r>
      <w:r w:rsidR="00702F6F">
        <w:t>and global levels</w:t>
      </w:r>
    </w:p>
    <w:p w14:paraId="16BFA22C" w14:textId="435F0324" w:rsidR="00E54D78" w:rsidRPr="00DE49A3" w:rsidRDefault="00E54D78" w:rsidP="00DE49A3">
      <w:pPr>
        <w:pStyle w:val="CBDNormalNumber"/>
        <w:ind w:left="567"/>
      </w:pPr>
      <w:r w:rsidRPr="00DE49A3">
        <w:t>The distribution of financial resources across national, regional, sub</w:t>
      </w:r>
      <w:r w:rsidRPr="00DE49A3">
        <w:noBreakHyphen/>
        <w:t>regional and global levels suggests a financing landscape that is predominantly nationally oriented, reflecting the central role of domestic legal, institutional and administrative systems in implementing the Nagoya Protocol. This pattern indicates a broad alignment between financial support and the operational requirements of access and benefit</w:t>
      </w:r>
      <w:r w:rsidRPr="00DE49A3">
        <w:noBreakHyphen/>
        <w:t>sharing, which rely primarily on national implementation capacities</w:t>
      </w:r>
      <w:r w:rsidR="0016698A">
        <w:t>.</w:t>
      </w:r>
    </w:p>
    <w:p w14:paraId="302C1D7B" w14:textId="3F9BF54A" w:rsidR="00E54D78" w:rsidRPr="00DE49A3" w:rsidRDefault="00743C0F" w:rsidP="00DE49A3">
      <w:pPr>
        <w:pStyle w:val="CBDNormalNumber"/>
        <w:ind w:left="567"/>
      </w:pPr>
      <w:r w:rsidRPr="00162C65">
        <w:t>At the same time, the comparatively significant share of resources allocated at the regional and sub</w:t>
      </w:r>
      <w:r w:rsidRPr="00162C65">
        <w:noBreakHyphen/>
        <w:t>regional levels points to growing recognition of the value of cooperation, peer exchange and coordinated capacity</w:t>
      </w:r>
      <w:r w:rsidRPr="00162C65">
        <w:noBreakHyphen/>
        <w:t>building among Parties, particularly in addressing shared challenges and building efficiency through collective approaches</w:t>
      </w:r>
      <w:r w:rsidR="0016698A">
        <w:t>.</w:t>
      </w:r>
    </w:p>
    <w:p w14:paraId="4284150A" w14:textId="2EB0EFAA" w:rsidR="00743C0F" w:rsidRPr="00DE49A3" w:rsidRDefault="00AD4407" w:rsidP="00DE49A3">
      <w:pPr>
        <w:pStyle w:val="CBDNormalNumber"/>
        <w:ind w:left="567"/>
      </w:pPr>
      <w:r w:rsidRPr="004C4888">
        <w:t xml:space="preserve">Taken together, these patterns illustrate a mature, nationally anchored financing model, complemented by targeted regional and global interventions. They provide an evidence base for considering how resource </w:t>
      </w:r>
      <w:r w:rsidR="00E51D85">
        <w:t>mobilization</w:t>
      </w:r>
      <w:r w:rsidRPr="004C4888">
        <w:t xml:space="preserve"> under the Nagoya Protocol may evolve to maintain implementation momentum, address emerging thematic priorities, and ensure balanced support across levels and regions, </w:t>
      </w:r>
      <w:proofErr w:type="gramStart"/>
      <w:r w:rsidRPr="004C4888">
        <w:t>taking into account</w:t>
      </w:r>
      <w:proofErr w:type="gramEnd"/>
      <w:r w:rsidRPr="004C4888">
        <w:t xml:space="preserve"> Parties’ respective capacities and circumstances</w:t>
      </w:r>
      <w:r w:rsidR="0016698A">
        <w:t>.</w:t>
      </w:r>
    </w:p>
    <w:p w14:paraId="2368A136" w14:textId="5CC03ADF" w:rsidR="00E81BBF" w:rsidRDefault="00EB0328" w:rsidP="006268E5">
      <w:pPr>
        <w:pStyle w:val="CBDH2"/>
        <w:jc w:val="left"/>
      </w:pPr>
      <w:r>
        <w:t>C.</w:t>
      </w:r>
      <w:r>
        <w:tab/>
      </w:r>
      <w:r w:rsidR="0069695B">
        <w:t xml:space="preserve">Responsiveness of </w:t>
      </w:r>
      <w:r w:rsidR="00814FED" w:rsidRPr="005D2EF3">
        <w:t xml:space="preserve">the </w:t>
      </w:r>
      <w:r w:rsidR="00C73CC3">
        <w:t>f</w:t>
      </w:r>
      <w:r w:rsidR="00814FED" w:rsidRPr="005D2EF3">
        <w:t xml:space="preserve">inancial </w:t>
      </w:r>
      <w:r w:rsidR="00C73CC3">
        <w:t>m</w:t>
      </w:r>
      <w:r w:rsidR="00814FED" w:rsidRPr="005D2EF3">
        <w:t xml:space="preserve">echanism </w:t>
      </w:r>
      <w:r w:rsidR="00084972">
        <w:t xml:space="preserve">to COP-MOP guidance </w:t>
      </w:r>
      <w:r w:rsidR="00814FED" w:rsidRPr="005D2EF3">
        <w:t>under the Nagoya Protoc</w:t>
      </w:r>
      <w:r w:rsidR="00814FED" w:rsidRPr="00FF221F">
        <w:t>ol</w:t>
      </w:r>
    </w:p>
    <w:p w14:paraId="5A9C30B5" w14:textId="4CD872EB" w:rsidR="00814FED" w:rsidRPr="00AF25C6" w:rsidRDefault="00E81BBF" w:rsidP="00DE49A3">
      <w:pPr>
        <w:pStyle w:val="CBDNormalNumber"/>
        <w:ind w:left="567"/>
      </w:pPr>
      <w:r w:rsidRPr="001E0787">
        <w:t xml:space="preserve">This section examines how guidance provided by the Conference of the Parties serving as the meeting of the Parties to the Nagoya Protocol </w:t>
      </w:r>
      <w:r w:rsidR="00D570AD">
        <w:t xml:space="preserve">(COP-MOP) </w:t>
      </w:r>
      <w:r w:rsidRPr="001E0787">
        <w:t>has been reflected in the operation of the financial mechanism, with a view to assessing access and responsiveness rather than the adequacy of funding levels. A summary of COP</w:t>
      </w:r>
      <w:r w:rsidRPr="001E0787">
        <w:noBreakHyphen/>
        <w:t>MOP guidance and corresponding responses by the Global Environment Facility (GEF) across successive implementation phases is provided in annex 1</w:t>
      </w:r>
      <w:r w:rsidR="00481632" w:rsidRPr="001E0787">
        <w:t>.</w:t>
      </w:r>
    </w:p>
    <w:p w14:paraId="350579C7" w14:textId="08C1416E" w:rsidR="00814FED" w:rsidRPr="002C4C00" w:rsidRDefault="00814FED" w:rsidP="00DE49A3">
      <w:pPr>
        <w:pStyle w:val="CBDNormalNumber"/>
        <w:ind w:left="567"/>
      </w:pPr>
      <w:r w:rsidRPr="002C4C00">
        <w:t xml:space="preserve">Across the period of 2010–2026, </w:t>
      </w:r>
      <w:r w:rsidR="00D15412">
        <w:t xml:space="preserve">COP-MOP </w:t>
      </w:r>
      <w:r w:rsidRPr="002C4C00">
        <w:t>guidance</w:t>
      </w:r>
      <w:r w:rsidRPr="002C4C00" w:rsidDel="00805185">
        <w:t xml:space="preserve"> </w:t>
      </w:r>
      <w:r w:rsidRPr="002C4C00">
        <w:t>has consistently emphasized the need for adequate, predictable and timely financial support, alongside strengthened national institutional capacities and improved mainstreaming of access and benefit</w:t>
      </w:r>
      <w:r w:rsidRPr="002C4C00">
        <w:noBreakHyphen/>
        <w:t>sharing into broader biodiversity and sustainable development strategies. The Global Environment Facility (GEF), as the financial mechanism of the Protocol, has remained the principal channel through which this guidance has been operationalized.</w:t>
      </w:r>
    </w:p>
    <w:p w14:paraId="2E1DA1F5" w14:textId="0C4C313B" w:rsidR="00814FED" w:rsidRPr="002C4C00" w:rsidRDefault="00814FED" w:rsidP="00DE49A3">
      <w:pPr>
        <w:pStyle w:val="CBDNormalNumber"/>
        <w:ind w:left="567"/>
      </w:pPr>
      <w:r w:rsidRPr="002C4C00">
        <w:t>During the foundational phase</w:t>
      </w:r>
      <w:r w:rsidR="00FF51A5">
        <w:t xml:space="preserve"> following </w:t>
      </w:r>
      <w:r w:rsidRPr="002C4C00">
        <w:t>adoption and entry into force of the Protocol</w:t>
      </w:r>
      <w:r w:rsidR="0011632E">
        <w:t xml:space="preserve"> (2010-2018)</w:t>
      </w:r>
      <w:r w:rsidRPr="002C4C00">
        <w:t xml:space="preserve">, the GEF responded to early guidance by mobilizing more than </w:t>
      </w:r>
      <w:r w:rsidR="0011632E">
        <w:t xml:space="preserve">substantial resources to </w:t>
      </w:r>
      <w:r w:rsidRPr="002C4C00">
        <w:t>support ratification, legislative development, institutional arrangements and readiness activities, including through the Nagoya Protocol Implementation Fund. This support enabl</w:t>
      </w:r>
      <w:r w:rsidR="0011632E">
        <w:t>ed</w:t>
      </w:r>
      <w:r w:rsidRPr="002C4C00">
        <w:t xml:space="preserve"> Parties to establish the basic legal and administrative conditions necessary for Protocol implementation.</w:t>
      </w:r>
    </w:p>
    <w:p w14:paraId="41DB059A" w14:textId="55E930AB" w:rsidR="00814FED" w:rsidRDefault="00814FED" w:rsidP="00DE49A3">
      <w:pPr>
        <w:pStyle w:val="CBDNormalNumber"/>
        <w:ind w:left="567"/>
      </w:pPr>
      <w:r w:rsidRPr="002C4C00">
        <w:t>In the subsequent phase (2018–2026), COP</w:t>
      </w:r>
      <w:r w:rsidRPr="002C4C00">
        <w:noBreakHyphen/>
        <w:t xml:space="preserve">MOP guidance became </w:t>
      </w:r>
      <w:r w:rsidR="0011632E">
        <w:t xml:space="preserve">more </w:t>
      </w:r>
      <w:r w:rsidRPr="002C4C00">
        <w:t>implementation</w:t>
      </w:r>
      <w:r w:rsidRPr="002C4C00">
        <w:noBreakHyphen/>
        <w:t>oriented, c</w:t>
      </w:r>
      <w:r w:rsidR="0011632E">
        <w:t>alling for</w:t>
      </w:r>
      <w:r w:rsidRPr="002C4C00">
        <w:t xml:space="preserve"> sustained capacity</w:t>
      </w:r>
      <w:r w:rsidRPr="002C4C00">
        <w:noBreakHyphen/>
        <w:t>building, s</w:t>
      </w:r>
      <w:r w:rsidR="00A257D7">
        <w:t>upport for national reporting, s</w:t>
      </w:r>
      <w:r w:rsidRPr="002C4C00">
        <w:t>trengthened institutional arrangements, and improved mainstreaming</w:t>
      </w:r>
      <w:r w:rsidR="00A257D7">
        <w:t xml:space="preserve"> and integration</w:t>
      </w:r>
      <w:r w:rsidRPr="002C4C00">
        <w:t xml:space="preserve"> of </w:t>
      </w:r>
      <w:r w:rsidR="00596554" w:rsidRPr="00596554">
        <w:t>access and benefit-sharing</w:t>
      </w:r>
      <w:r w:rsidR="00596554">
        <w:t xml:space="preserve"> </w:t>
      </w:r>
      <w:r w:rsidRPr="002C4C00">
        <w:t xml:space="preserve">into national planning processes. </w:t>
      </w:r>
      <w:r w:rsidR="00A257D7">
        <w:t>The GEF continued to respond to</w:t>
      </w:r>
      <w:r w:rsidR="00491982">
        <w:t xml:space="preserve"> through successive replenishment cycles and, </w:t>
      </w:r>
      <w:r w:rsidR="00C5254E">
        <w:t xml:space="preserve">under GEF 8, through the introduction of the Global </w:t>
      </w:r>
      <w:r w:rsidR="00C5254E">
        <w:lastRenderedPageBreak/>
        <w:t xml:space="preserve">Biodiversity Framework Fund, which created additional opportunities to support </w:t>
      </w:r>
      <w:r w:rsidR="00596554" w:rsidRPr="00596554">
        <w:t>access and benefit-sharing</w:t>
      </w:r>
      <w:r w:rsidR="00C5254E">
        <w:t>-relevant outcomes aligned with the Kunming-Montreal Global Biodiversity Framework.</w:t>
      </w:r>
    </w:p>
    <w:p w14:paraId="337AA074" w14:textId="1C2F4274" w:rsidR="00F92535" w:rsidRPr="00DE49A3" w:rsidRDefault="00F92535" w:rsidP="00DE49A3">
      <w:pPr>
        <w:pStyle w:val="CBDNormalNumber"/>
        <w:ind w:left="567"/>
      </w:pPr>
      <w:r w:rsidRPr="00DE49A3">
        <w:t xml:space="preserve">At the same time, review processes have noted that </w:t>
      </w:r>
      <w:r w:rsidR="00F76DF0" w:rsidRPr="00F76DF0">
        <w:t>access and benefit-sharing</w:t>
      </w:r>
      <w:r w:rsidR="00F76DF0">
        <w:t xml:space="preserve"> </w:t>
      </w:r>
      <w:r w:rsidRPr="00DE49A3">
        <w:t>continues to represent a relatively small share of overall GEF project approvals, and that institutional and operational challenges persist at the national level. Taken together, the evolution of guidance and corresponding responses demonstrates a generally consistent alignment between policy direction and financial support, while underscoring ongoing questions regarding the scale, prioritisation</w:t>
      </w:r>
      <w:r w:rsidR="0065420A" w:rsidRPr="00DE49A3">
        <w:t>,</w:t>
      </w:r>
      <w:r w:rsidRPr="00DE49A3">
        <w:t xml:space="preserve"> and strategic positioning of </w:t>
      </w:r>
      <w:r w:rsidR="0012627E" w:rsidRPr="0012627E">
        <w:t>access and benefit-sharing</w:t>
      </w:r>
      <w:r w:rsidR="0012627E">
        <w:t xml:space="preserve"> </w:t>
      </w:r>
      <w:r w:rsidRPr="00DE49A3">
        <w:t>within the broader biodiversity finance architecture</w:t>
      </w:r>
      <w:r w:rsidR="008262F0">
        <w:t>.</w:t>
      </w:r>
    </w:p>
    <w:p w14:paraId="55C17CD0" w14:textId="54E71DC1" w:rsidR="0053232C" w:rsidRPr="00C16ED5" w:rsidRDefault="008D47D9" w:rsidP="006268E5">
      <w:pPr>
        <w:pStyle w:val="CBDH2"/>
        <w:rPr>
          <w:lang w:val="en-CA"/>
        </w:rPr>
      </w:pPr>
      <w:r>
        <w:rPr>
          <w:lang w:val="en-CA"/>
        </w:rPr>
        <w:t>D.</w:t>
      </w:r>
      <w:r>
        <w:rPr>
          <w:lang w:val="en-CA"/>
        </w:rPr>
        <w:tab/>
      </w:r>
      <w:r w:rsidR="0053232C">
        <w:rPr>
          <w:lang w:val="en-CA"/>
        </w:rPr>
        <w:t>Strategic considerations arising from financial resource mobili</w:t>
      </w:r>
      <w:r>
        <w:rPr>
          <w:lang w:val="en-CA"/>
        </w:rPr>
        <w:t>z</w:t>
      </w:r>
      <w:r w:rsidR="0053232C">
        <w:rPr>
          <w:lang w:val="en-CA"/>
        </w:rPr>
        <w:t>ation patterns</w:t>
      </w:r>
    </w:p>
    <w:p w14:paraId="4011A926" w14:textId="416D5C84" w:rsidR="000E02E4" w:rsidRPr="00690137" w:rsidRDefault="008F233F" w:rsidP="00DE49A3">
      <w:pPr>
        <w:pStyle w:val="CBDNormalNumber"/>
        <w:ind w:left="567"/>
      </w:pPr>
      <w:r w:rsidRPr="005077C0">
        <w:t xml:space="preserve">The assessment and review of reports from Parties indicate that challenges related to financial resources and resource </w:t>
      </w:r>
      <w:r w:rsidR="00E51D85">
        <w:t>mobilization</w:t>
      </w:r>
      <w:r w:rsidRPr="005077C0">
        <w:t xml:space="preserve"> for implementation of the Nagoya Protocol are driven less by the absence of funding mechanisms than by structural, political and institutional factors that shape prioritisation, funding modalities and long</w:t>
      </w:r>
      <w:r w:rsidRPr="005077C0">
        <w:noBreakHyphen/>
        <w:t>term sustainability of access and benefit</w:t>
      </w:r>
      <w:r w:rsidRPr="005077C0">
        <w:noBreakHyphen/>
        <w:t>sharing implementation</w:t>
      </w:r>
      <w:r w:rsidR="000E02E4" w:rsidRPr="00690137">
        <w:t>.</w:t>
      </w:r>
    </w:p>
    <w:p w14:paraId="5BE45419" w14:textId="1B8300E8" w:rsidR="00A14E92" w:rsidRPr="005077C0" w:rsidRDefault="00A14E92" w:rsidP="00DE49A3">
      <w:pPr>
        <w:pStyle w:val="CBDNormalNumber"/>
        <w:ind w:left="567"/>
      </w:pPr>
      <w:r w:rsidRPr="005077C0">
        <w:t xml:space="preserve">A first strategic consideration concerns political prioritisation at the national level. Where </w:t>
      </w:r>
      <w:r w:rsidR="006A4535" w:rsidRPr="006A4535">
        <w:t>access and benefit-sharing</w:t>
      </w:r>
      <w:r w:rsidRPr="005077C0">
        <w:t xml:space="preserve"> is not recogni</w:t>
      </w:r>
      <w:r w:rsidR="005F64B3">
        <w:t>z</w:t>
      </w:r>
      <w:r w:rsidRPr="005077C0">
        <w:t>ed as a governance and development priority, it receives limited budgetary allocation and remains insufficiently integrated into national biodiversity finance strategies and planning frameworks. This, in turn, affects the ability of Parties to access and effectively utilise international financial support, underscoring the importance of sustained political engagement and awareness</w:t>
      </w:r>
      <w:r w:rsidRPr="005077C0">
        <w:noBreakHyphen/>
        <w:t>raising on the long</w:t>
      </w:r>
      <w:r w:rsidRPr="005077C0">
        <w:noBreakHyphen/>
        <w:t xml:space="preserve">term governance, equity and biodiversity benefits of </w:t>
      </w:r>
      <w:r w:rsidR="006A4535" w:rsidRPr="006A4535">
        <w:t>access and benefit-sharing</w:t>
      </w:r>
      <w:r w:rsidRPr="005077C0">
        <w:t>.</w:t>
      </w:r>
    </w:p>
    <w:p w14:paraId="27846EAA" w14:textId="2F083E69" w:rsidR="00AC65E6" w:rsidRPr="005077C0" w:rsidRDefault="00AC65E6" w:rsidP="00DE49A3">
      <w:pPr>
        <w:pStyle w:val="CBDNormalNumber"/>
        <w:ind w:left="567"/>
      </w:pPr>
      <w:r w:rsidRPr="005077C0">
        <w:t xml:space="preserve">A second consideration relates to the structure of international </w:t>
      </w:r>
      <w:r w:rsidR="006A4535" w:rsidRPr="006A4535">
        <w:t>access and benefit-sharing</w:t>
      </w:r>
      <w:r w:rsidR="00961438">
        <w:t xml:space="preserve"> </w:t>
      </w:r>
      <w:r w:rsidRPr="005077C0">
        <w:t>financing, which remains highly concentrated and dependent on a limited number of bilateral donors and the Global Environment Facility (GEF). While the GEF continues to play a central role as the financial mechanism of the Convention and the Protocol, this concentration limits predictability and resilience. Greater coherence and coordination across international funding streams, including increased use of regional, sub</w:t>
      </w:r>
      <w:r w:rsidRPr="005077C0">
        <w:noBreakHyphen/>
        <w:t>regional and global approaches where appropriate, could enhance efficiency, learning and long</w:t>
      </w:r>
      <w:r w:rsidRPr="005077C0">
        <w:noBreakHyphen/>
        <w:t>term impact.</w:t>
      </w:r>
    </w:p>
    <w:p w14:paraId="0CF6B8CA" w14:textId="6CB38503" w:rsidR="00CA05DF" w:rsidRPr="005077C0" w:rsidRDefault="00CA05DF" w:rsidP="00DE49A3">
      <w:pPr>
        <w:pStyle w:val="CBDNormalNumber"/>
        <w:ind w:left="567"/>
      </w:pPr>
      <w:r w:rsidRPr="005077C0">
        <w:t>Third, the analysis highlights a persistent mismatch between short</w:t>
      </w:r>
      <w:r w:rsidRPr="005077C0">
        <w:noBreakHyphen/>
        <w:t>term, project</w:t>
      </w:r>
      <w:r w:rsidRPr="005077C0">
        <w:noBreakHyphen/>
        <w:t>based funding modalities and the inherently long</w:t>
      </w:r>
      <w:r w:rsidRPr="005077C0">
        <w:noBreakHyphen/>
        <w:t xml:space="preserve">term nature of </w:t>
      </w:r>
      <w:r w:rsidR="006A4535" w:rsidRPr="006A4535">
        <w:t>access and benefit-sharing</w:t>
      </w:r>
      <w:r w:rsidR="006A4535">
        <w:t xml:space="preserve"> </w:t>
      </w:r>
      <w:r w:rsidRPr="005077C0">
        <w:t>implementation, particularly given the time lag between access, utilisation and benefit</w:t>
      </w:r>
      <w:r w:rsidRPr="005077C0">
        <w:noBreakHyphen/>
        <w:t>sharing. Episodic capacity</w:t>
      </w:r>
      <w:r w:rsidRPr="005077C0">
        <w:noBreakHyphen/>
        <w:t>building has shown limited effectiveness where it is not accompanied by sustained investment in institutional systems, compliance mechanisms and administrative continuity, pointing to the need for a gradual reorientation towards long</w:t>
      </w:r>
      <w:r w:rsidRPr="005077C0">
        <w:noBreakHyphen/>
        <w:t>term, system</w:t>
      </w:r>
      <w:r w:rsidRPr="005077C0">
        <w:noBreakHyphen/>
        <w:t>level support.</w:t>
      </w:r>
    </w:p>
    <w:p w14:paraId="31D356F9" w14:textId="078B0D1A" w:rsidR="0080451B" w:rsidRPr="00DE49A3" w:rsidRDefault="0080451B" w:rsidP="00DE49A3">
      <w:pPr>
        <w:pStyle w:val="CBDNormalNumber"/>
        <w:ind w:left="567"/>
      </w:pPr>
      <w:r w:rsidRPr="00DE49A3">
        <w:t>Finally, the assessment underscores that responsibility for resourcing the implementation of access and benefit</w:t>
      </w:r>
      <w:r w:rsidRPr="00DE49A3">
        <w:noBreakHyphen/>
        <w:t xml:space="preserve">sharing is shared among all Parties, in line with their respective roles and capacities. While developing country Parties continue to face </w:t>
      </w:r>
      <w:proofErr w:type="gramStart"/>
      <w:r w:rsidRPr="00DE49A3">
        <w:t>particular capacity</w:t>
      </w:r>
      <w:proofErr w:type="gramEnd"/>
      <w:r w:rsidRPr="00DE49A3">
        <w:t xml:space="preserve"> and resource constraints, developed country Parties and user countries also contribute through a range of financial, bilateral and in</w:t>
      </w:r>
      <w:r w:rsidRPr="00DE49A3">
        <w:noBreakHyphen/>
        <w:t xml:space="preserve">kind forms of support, including assistance for compliance, monitoring and transparency systems. Framing </w:t>
      </w:r>
      <w:r w:rsidR="006A4535" w:rsidRPr="006A4535">
        <w:t>access and benefit-sharing</w:t>
      </w:r>
      <w:r>
        <w:t xml:space="preserve"> </w:t>
      </w:r>
      <w:r w:rsidRPr="00DE49A3">
        <w:t>financing as a collective investment in legal certainty, equity and global biodiversity governance may help broaden and stabilise the resource base over time</w:t>
      </w:r>
      <w:r w:rsidR="008C0ABA">
        <w:t>.</w:t>
      </w:r>
    </w:p>
    <w:p w14:paraId="18AD059C" w14:textId="0BC68CAA" w:rsidR="00056E76" w:rsidRPr="0053232C" w:rsidRDefault="00757719" w:rsidP="00DE49A3">
      <w:pPr>
        <w:pStyle w:val="CBDNormalNumber"/>
        <w:ind w:left="567"/>
      </w:pPr>
      <w:r w:rsidRPr="00690137">
        <w:t xml:space="preserve">Taken together, these considerations suggest that strengthening financial resources and resource </w:t>
      </w:r>
      <w:r w:rsidR="00E51D85">
        <w:t>mobilization</w:t>
      </w:r>
      <w:r w:rsidRPr="00690137">
        <w:t xml:space="preserve"> for </w:t>
      </w:r>
      <w:r w:rsidR="006A4535" w:rsidRPr="006A4535">
        <w:t>access and benefit-sharing</w:t>
      </w:r>
      <w:r w:rsidR="006A4535">
        <w:t xml:space="preserve"> </w:t>
      </w:r>
      <w:r w:rsidRPr="00690137">
        <w:t xml:space="preserve">implementation will depend less on reliance on individual funding sources or instruments and more on repositioning </w:t>
      </w:r>
      <w:r w:rsidR="006A4535" w:rsidRPr="006A4535">
        <w:t>access and benefit-sharing</w:t>
      </w:r>
      <w:r w:rsidR="006A4535">
        <w:t xml:space="preserve"> </w:t>
      </w:r>
      <w:r w:rsidRPr="00690137">
        <w:t>as a long</w:t>
      </w:r>
      <w:r w:rsidRPr="00690137">
        <w:noBreakHyphen/>
        <w:t>term, shared governance priority, supported through predictable, coordinated and system</w:t>
      </w:r>
      <w:r w:rsidRPr="00690137">
        <w:noBreakHyphen/>
        <w:t>oriented financing approaches</w:t>
      </w:r>
      <w:r w:rsidR="008C0ABA">
        <w:t>.</w:t>
      </w:r>
    </w:p>
    <w:p w14:paraId="6082CA83" w14:textId="520E1D1A" w:rsidR="00814FED" w:rsidRPr="001E61E8" w:rsidRDefault="008D47D9" w:rsidP="006268E5">
      <w:pPr>
        <w:pStyle w:val="CBDH2"/>
      </w:pPr>
      <w:r>
        <w:lastRenderedPageBreak/>
        <w:t>E.</w:t>
      </w:r>
      <w:r>
        <w:tab/>
      </w:r>
      <w:r w:rsidR="00814FED" w:rsidRPr="001E61E8">
        <w:t xml:space="preserve">Opportunities, </w:t>
      </w:r>
      <w:r w:rsidR="00C73CC3">
        <w:t>g</w:t>
      </w:r>
      <w:r w:rsidR="00814FED" w:rsidRPr="001E61E8">
        <w:t xml:space="preserve">aps, and </w:t>
      </w:r>
      <w:r w:rsidR="00C73CC3">
        <w:t>e</w:t>
      </w:r>
      <w:r w:rsidR="00814FED" w:rsidRPr="001E61E8">
        <w:t xml:space="preserve">merging </w:t>
      </w:r>
      <w:r w:rsidR="00C73CC3">
        <w:t>a</w:t>
      </w:r>
      <w:r w:rsidR="00814FED" w:rsidRPr="001E61E8">
        <w:t>reas</w:t>
      </w:r>
    </w:p>
    <w:p w14:paraId="5E8D609E" w14:textId="5B0F1B11" w:rsidR="00675A25" w:rsidRDefault="00351F06" w:rsidP="00DE49A3">
      <w:pPr>
        <w:pStyle w:val="CBDNormalNumber"/>
        <w:ind w:left="567"/>
      </w:pPr>
      <w:r w:rsidRPr="00091EB3">
        <w:t xml:space="preserve">This section highlights opportunities, gaps and emerging areas in relation to financial resources and resource </w:t>
      </w:r>
      <w:r w:rsidR="00E51D85">
        <w:t>mobilization</w:t>
      </w:r>
      <w:r w:rsidRPr="00091EB3">
        <w:t xml:space="preserve"> for implementation of the Nagoya Protocol, as reflected in information reported by Parties and supplementary analysis. It focuses on where support remains limited or uneven, and on areas of evolving relevance as national </w:t>
      </w:r>
      <w:r w:rsidR="001E1C65" w:rsidRPr="001E1C65">
        <w:t>access and benefit-sharing</w:t>
      </w:r>
      <w:r w:rsidR="001E1C65">
        <w:t xml:space="preserve"> </w:t>
      </w:r>
      <w:r w:rsidRPr="00091EB3">
        <w:t>frameworks mature</w:t>
      </w:r>
      <w:r w:rsidR="00F474E1">
        <w:t>.</w:t>
      </w:r>
    </w:p>
    <w:p w14:paraId="50C9B166" w14:textId="454AF4AA" w:rsidR="000C065F" w:rsidRPr="004E5C83" w:rsidRDefault="00524492" w:rsidP="00DE49A3">
      <w:pPr>
        <w:pStyle w:val="CBDNormalNumber"/>
        <w:ind w:left="567"/>
      </w:pPr>
      <w:r w:rsidRPr="00091EB3">
        <w:t xml:space="preserve">Information reviewed indicates that international financial support for </w:t>
      </w:r>
      <w:r w:rsidR="00A90251" w:rsidRPr="00A90251">
        <w:t>access and benefit-sharing</w:t>
      </w:r>
      <w:r w:rsidR="00A90251">
        <w:t xml:space="preserve"> </w:t>
      </w:r>
      <w:r w:rsidRPr="00091EB3">
        <w:t>outside the GEF remains concentrated among a small number of donor Parties and is predominantly channelled through multilateral mechanisms, with direct bilateral financial transfers remaining limited. While a growing number of Parties report having received financial or related support, access remains uneven and reporting on funding amounts and sources is partial, constraining comprehensive assessment of overall resource flows and comparability across countries</w:t>
      </w:r>
      <w:r w:rsidR="000C065F" w:rsidRPr="004E5C83">
        <w:t>.</w:t>
      </w:r>
    </w:p>
    <w:p w14:paraId="0F28C382" w14:textId="70CA2C7C" w:rsidR="004A5FCC" w:rsidRDefault="004F4606" w:rsidP="00DE49A3">
      <w:pPr>
        <w:pStyle w:val="CBDNormalNumber"/>
        <w:ind w:left="567"/>
      </w:pPr>
      <w:r w:rsidRPr="00091EB3">
        <w:t xml:space="preserve">At the national level, Parties continue to identify gaps in predictable and sustained financing for the operation of </w:t>
      </w:r>
      <w:r w:rsidR="001E1C65" w:rsidRPr="001E1C65">
        <w:t>access and benefit-sharing</w:t>
      </w:r>
      <w:r w:rsidR="001E1C65">
        <w:t xml:space="preserve"> </w:t>
      </w:r>
      <w:r w:rsidRPr="00091EB3">
        <w:t>legal, administrative, monitoring and compliance functions. Reported needs include long</w:t>
      </w:r>
      <w:r w:rsidRPr="00091EB3">
        <w:noBreakHyphen/>
        <w:t xml:space="preserve">term support for competent national authorities, financing for monitoring and reporting obligations, and investment in digital permitting and information systems. These needs reflect the increasing complexity and institutionalisation of national </w:t>
      </w:r>
      <w:r w:rsidR="001E1C65" w:rsidRPr="001E1C65">
        <w:t>access and benefit-sharing</w:t>
      </w:r>
      <w:r w:rsidR="001E1C65">
        <w:t xml:space="preserve"> </w:t>
      </w:r>
      <w:r w:rsidRPr="00091EB3">
        <w:t>frameworks and point to demand for financing approaches that extend beyond time</w:t>
      </w:r>
      <w:r w:rsidRPr="00091EB3">
        <w:noBreakHyphen/>
        <w:t>bound project support</w:t>
      </w:r>
      <w:r w:rsidR="006540D3">
        <w:t>.</w:t>
      </w:r>
    </w:p>
    <w:p w14:paraId="0ED42467" w14:textId="30DE6295" w:rsidR="002404A7" w:rsidRDefault="0083254C" w:rsidP="00DE49A3">
      <w:pPr>
        <w:pStyle w:val="CBDNormalNumber"/>
        <w:ind w:left="567"/>
      </w:pPr>
      <w:r w:rsidRPr="00721DAE">
        <w:t xml:space="preserve">Analysis of first national reports further indicates that innovative financing approaches, including blended finance, have not yet been applied at scale in the context of </w:t>
      </w:r>
      <w:r w:rsidR="001E1C65" w:rsidRPr="001E1C65">
        <w:t>access and benefit-sharing</w:t>
      </w:r>
      <w:r w:rsidR="001E1C65">
        <w:t xml:space="preserve"> </w:t>
      </w:r>
      <w:r w:rsidRPr="00721DAE">
        <w:t xml:space="preserve">implementation. No Parties reported the use of blended or similar mechanisms for </w:t>
      </w:r>
      <w:r w:rsidR="00665231" w:rsidRPr="00665231">
        <w:t>access and benefit-sharing</w:t>
      </w:r>
      <w:r w:rsidRPr="00721DAE">
        <w:noBreakHyphen/>
        <w:t>related activities. This finding is consistent with broader biodiversity finance trends, where such approaches have only recently begun to emerge and have so far been applied primarily to conservation</w:t>
      </w:r>
      <w:r w:rsidRPr="00721DAE">
        <w:noBreakHyphen/>
        <w:t xml:space="preserve">oriented initiatives rather than to </w:t>
      </w:r>
      <w:r w:rsidR="001E1C65" w:rsidRPr="001E1C65">
        <w:t>access and benefit-sharing</w:t>
      </w:r>
      <w:r w:rsidRPr="00721DAE">
        <w:noBreakHyphen/>
        <w:t>related value chains</w:t>
      </w:r>
      <w:r w:rsidR="006540D3">
        <w:t>.</w:t>
      </w:r>
    </w:p>
    <w:p w14:paraId="2F4F72AC" w14:textId="03C275CE" w:rsidR="006540D3" w:rsidRPr="00403E2E" w:rsidRDefault="00B264B7" w:rsidP="00DE49A3">
      <w:pPr>
        <w:pStyle w:val="CBDNormalNumber"/>
        <w:ind w:left="567"/>
      </w:pPr>
      <w:r w:rsidRPr="00091EB3">
        <w:t xml:space="preserve">Within the </w:t>
      </w:r>
      <w:r w:rsidR="00665231" w:rsidRPr="00665231">
        <w:t>access and benefit-sharing</w:t>
      </w:r>
      <w:r w:rsidRPr="00091EB3">
        <w:t xml:space="preserve"> context, blended finance has been observed only at an exploratory stage through a limited number of pilot initiatives, including those examining its potential relevance for </w:t>
      </w:r>
      <w:proofErr w:type="spellStart"/>
      <w:r w:rsidRPr="00091EB3">
        <w:t>biotrade</w:t>
      </w:r>
      <w:proofErr w:type="spellEnd"/>
      <w:r w:rsidRPr="00091EB3">
        <w:t xml:space="preserve"> development and </w:t>
      </w:r>
      <w:r w:rsidR="00665231" w:rsidRPr="00665231">
        <w:t>access and benefit-sharing</w:t>
      </w:r>
      <w:r w:rsidRPr="00091EB3">
        <w:noBreakHyphen/>
        <w:t xml:space="preserve">related research and commercialisation. Emerging analytical work, including under initiatives such as BIOFIN, suggests that certain </w:t>
      </w:r>
      <w:r w:rsidR="00A97515" w:rsidRPr="00A97515">
        <w:t>access and benefit-sharing</w:t>
      </w:r>
      <w:r w:rsidRPr="00091EB3">
        <w:noBreakHyphen/>
        <w:t xml:space="preserve">compliant value chains may share characteristics commonly associated with blended finance contexts, such as </w:t>
      </w:r>
      <w:r w:rsidR="00CD4D41" w:rsidRPr="00091EB3">
        <w:t>long-time</w:t>
      </w:r>
      <w:r w:rsidRPr="00091EB3">
        <w:t xml:space="preserve"> horizons and high perceived risk. While such approaches remain nascent, these developments point to areas where continued learning and targeted exploration may be relevant over time</w:t>
      </w:r>
      <w:r w:rsidR="006540D3" w:rsidRPr="00403E2E">
        <w:t>.</w:t>
      </w:r>
    </w:p>
    <w:p w14:paraId="3078E236" w14:textId="79B96680" w:rsidR="006540D3" w:rsidRDefault="001816C0" w:rsidP="00DE49A3">
      <w:pPr>
        <w:pStyle w:val="CBDNormalNumber"/>
        <w:ind w:left="567"/>
      </w:pPr>
      <w:r w:rsidRPr="00403E2E">
        <w:t xml:space="preserve">Together, these observations illustrate both persistent gaps and evolving areas of opportunity in the financial landscape for </w:t>
      </w:r>
      <w:r w:rsidR="00A97515" w:rsidRPr="00A97515">
        <w:t>access and benefit-sharing</w:t>
      </w:r>
      <w:r w:rsidR="00297E53">
        <w:t xml:space="preserve"> </w:t>
      </w:r>
      <w:r w:rsidRPr="00403E2E">
        <w:t xml:space="preserve">implementation. They underscore the importance of sustained attention to predictability, transparency and coordination of financial support, while also pointing to the potential relevance of complementary financing approaches as national </w:t>
      </w:r>
      <w:r w:rsidR="00A97515" w:rsidRPr="00A97515">
        <w:t>access and benefit-sharing</w:t>
      </w:r>
      <w:r w:rsidR="0025691A">
        <w:t xml:space="preserve"> </w:t>
      </w:r>
      <w:r w:rsidRPr="00403E2E">
        <w:t>systems continue to mature</w:t>
      </w:r>
      <w:r w:rsidR="006B5DFD">
        <w:t>.</w:t>
      </w:r>
    </w:p>
    <w:p w14:paraId="74684483" w14:textId="47D6FB02" w:rsidR="00814FED" w:rsidRPr="00FF221F" w:rsidRDefault="008D47D9" w:rsidP="006268E5">
      <w:pPr>
        <w:pStyle w:val="CBDH1"/>
      </w:pPr>
      <w:r>
        <w:t>VII.</w:t>
      </w:r>
      <w:r>
        <w:tab/>
      </w:r>
      <w:r w:rsidR="00814FED" w:rsidRPr="00FF221F">
        <w:t>Conclusions</w:t>
      </w:r>
      <w:r w:rsidR="00082D65">
        <w:t xml:space="preserve"> and strategic direction on financial resources and resour</w:t>
      </w:r>
      <w:r w:rsidR="00D94C74">
        <w:t>ce mobilization</w:t>
      </w:r>
    </w:p>
    <w:p w14:paraId="2F17F1CE" w14:textId="6D8E35B0" w:rsidR="001F74DD" w:rsidRPr="00DE49A3" w:rsidRDefault="005A30E7" w:rsidP="00DE49A3">
      <w:pPr>
        <w:pStyle w:val="CBDNormalNumber"/>
        <w:ind w:left="567"/>
      </w:pPr>
      <w:r w:rsidRPr="009E3FED">
        <w:t xml:space="preserve">The assessment of financial resources and resource </w:t>
      </w:r>
      <w:r w:rsidR="00E51D85">
        <w:t>mobilization</w:t>
      </w:r>
      <w:r w:rsidRPr="009E3FED">
        <w:t xml:space="preserve"> for the implementation of the Nagoya Protocol reveals a financing landscape that has evolved alongside the Protocol and remains predominantly oriented towards national</w:t>
      </w:r>
      <w:r w:rsidRPr="009E3FED">
        <w:noBreakHyphen/>
        <w:t>level implementation. Financial support has broadly aligned with operational needs, particularly in strengthening legal, institutional and administrative capacities, complemented by targeted regional and global initiatives that support cooperation, exchange of experience and learning among Parties</w:t>
      </w:r>
      <w:r w:rsidR="00481632" w:rsidRPr="00DE49A3">
        <w:t>.</w:t>
      </w:r>
    </w:p>
    <w:p w14:paraId="2A5EC3CB" w14:textId="4E2081C2" w:rsidR="004D6DF6" w:rsidRPr="009E3FED" w:rsidRDefault="004D6DF6" w:rsidP="00DE49A3">
      <w:pPr>
        <w:pStyle w:val="CBDNormalNumber"/>
        <w:ind w:left="567"/>
      </w:pPr>
      <w:r w:rsidRPr="009E3FED">
        <w:lastRenderedPageBreak/>
        <w:t>The Global Environment Facility (GEF) has remained the central pillar of international public finance for access and benefit</w:t>
      </w:r>
      <w:r w:rsidRPr="009E3FED">
        <w:noBreakHyphen/>
        <w:t xml:space="preserve">sharing, providing a consistent foundation for early and ongoing implementation. At the same time, reliance on a limited number of funding sources persists, and </w:t>
      </w:r>
      <w:r w:rsidR="007315E7" w:rsidRPr="007315E7">
        <w:t>access and benefit-sharing</w:t>
      </w:r>
      <w:r w:rsidR="007315E7">
        <w:t xml:space="preserve"> </w:t>
      </w:r>
      <w:r w:rsidRPr="009E3FED">
        <w:t xml:space="preserve">continues to represent a modest share of overall biodiversity finance. International and bilateral resources outside the financial mechanism have played an important catalytic role in addressing specific needs and sustaining </w:t>
      </w:r>
      <w:r w:rsidR="002F6135" w:rsidRPr="009E3FED">
        <w:t>momentum but</w:t>
      </w:r>
      <w:r w:rsidRPr="009E3FED">
        <w:t xml:space="preserve"> have not significantly altered the overall funding structure.</w:t>
      </w:r>
    </w:p>
    <w:p w14:paraId="4D8471B1" w14:textId="03AE8AF7" w:rsidR="00933CE1" w:rsidRDefault="00933CE1" w:rsidP="00DE49A3">
      <w:pPr>
        <w:pStyle w:val="CBDNormalNumber"/>
        <w:ind w:left="567"/>
      </w:pPr>
      <w:r w:rsidRPr="009E3FED">
        <w:t>First national reports indicate gradual, albeit uneven, progress in domestic resource mobili</w:t>
      </w:r>
      <w:r w:rsidR="008D47D9">
        <w:t>z</w:t>
      </w:r>
      <w:r w:rsidRPr="009E3FED">
        <w:t xml:space="preserve">ation, including efforts to integrate </w:t>
      </w:r>
      <w:r w:rsidR="009375DB" w:rsidRPr="009375DB">
        <w:t>access and benefit-sharing</w:t>
      </w:r>
      <w:r w:rsidR="009375DB">
        <w:t xml:space="preserve"> </w:t>
      </w:r>
      <w:r w:rsidRPr="009E3FED">
        <w:t>into broader biodiversity finance strategies aligned with the Kunming–Montreal Global Biodiversity Framework. While domestic public budgets remain secondary to international funding in most countries, enhancing the scale, predictability and institutionalisation of domestic financing will be critical to strengthening national ownership and long</w:t>
      </w:r>
      <w:r w:rsidRPr="009E3FED">
        <w:noBreakHyphen/>
        <w:t>term sustainability, alongside continued international support.</w:t>
      </w:r>
    </w:p>
    <w:p w14:paraId="4081E5CA" w14:textId="350407B0" w:rsidR="005966C8" w:rsidRPr="009E3FED" w:rsidRDefault="00BF0FDD" w:rsidP="00DE49A3">
      <w:pPr>
        <w:pStyle w:val="CBDNormalNumber"/>
        <w:ind w:left="567"/>
      </w:pPr>
      <w:r w:rsidRPr="00B73358">
        <w:t>Analysis of first national</w:t>
      </w:r>
      <w:r>
        <w:t xml:space="preserve"> </w:t>
      </w:r>
      <w:r w:rsidRPr="00B73358">
        <w:t>reports also indicates that innovative financing approaches, including blended finance, are not yet applied at scale in the context of access and benefit</w:t>
      </w:r>
      <w:r w:rsidRPr="00B73358">
        <w:noBreakHyphen/>
        <w:t xml:space="preserve">sharing and remain largely exploratory. While limited pilot initiatives and emerging analytical work suggest potential relevance for specific downstream activities, such as </w:t>
      </w:r>
      <w:r w:rsidR="009375DB" w:rsidRPr="009375DB">
        <w:t>access and benefit-sharing</w:t>
      </w:r>
      <w:r w:rsidRPr="00B73358">
        <w:noBreakHyphen/>
        <w:t xml:space="preserve">related research, commercialisation and </w:t>
      </w:r>
      <w:proofErr w:type="spellStart"/>
      <w:r w:rsidRPr="00B73358">
        <w:t>biotrade</w:t>
      </w:r>
      <w:proofErr w:type="spellEnd"/>
      <w:r w:rsidRPr="00B73358">
        <w:t>, these approaches are nascent and context</w:t>
      </w:r>
      <w:r w:rsidRPr="00B73358">
        <w:noBreakHyphen/>
        <w:t xml:space="preserve">specific. Continued learning and targeted exploration may therefore be warranted over time, without displacing the central role of sustained public and multilateral financing for core </w:t>
      </w:r>
      <w:r w:rsidR="00233C3A" w:rsidRPr="00233C3A">
        <w:t>access and benefit-sharing</w:t>
      </w:r>
      <w:r w:rsidR="00233C3A">
        <w:t xml:space="preserve"> </w:t>
      </w:r>
      <w:r w:rsidRPr="00B73358">
        <w:t>governance functions</w:t>
      </w:r>
    </w:p>
    <w:p w14:paraId="25253EF3" w14:textId="135D1660" w:rsidR="007454F3" w:rsidRPr="00DE49A3" w:rsidRDefault="00FE6A1E" w:rsidP="00DE49A3">
      <w:pPr>
        <w:pStyle w:val="CBDNormalNumber"/>
        <w:ind w:left="567"/>
      </w:pPr>
      <w:r w:rsidRPr="009E3FED">
        <w:t xml:space="preserve">Looking ahead, the assessment and review suggest that enhanced effectiveness of financial resources and resource </w:t>
      </w:r>
      <w:r w:rsidR="00E51D85">
        <w:t>mobilization</w:t>
      </w:r>
      <w:r w:rsidRPr="009E3FED">
        <w:t xml:space="preserve"> will depend less on the expansion of individual funding instruments than on how </w:t>
      </w:r>
      <w:r w:rsidR="00BB5ABE" w:rsidRPr="00BB5ABE">
        <w:t>access and benefit-sharing</w:t>
      </w:r>
      <w:r w:rsidR="00BB5ABE">
        <w:t xml:space="preserve"> </w:t>
      </w:r>
      <w:r w:rsidRPr="009E3FED">
        <w:t>is prioriti</w:t>
      </w:r>
      <w:r w:rsidR="005F64B3">
        <w:t>z</w:t>
      </w:r>
      <w:r w:rsidRPr="009E3FED">
        <w:t>ed, structured and financed over the long term as a shared governance endeavour. In this context, enhanced effectiveness would be supported by:</w:t>
      </w:r>
    </w:p>
    <w:p w14:paraId="76E27196" w14:textId="1D06DA09" w:rsidR="00FE6A1E" w:rsidRPr="00DE49A3" w:rsidRDefault="00CC4591" w:rsidP="006268E5">
      <w:pPr>
        <w:pStyle w:val="CBDNormalNumber"/>
        <w:numPr>
          <w:ilvl w:val="1"/>
          <w:numId w:val="7"/>
        </w:numPr>
        <w:tabs>
          <w:tab w:val="clear" w:pos="567"/>
          <w:tab w:val="clear" w:pos="1134"/>
        </w:tabs>
      </w:pPr>
      <w:r w:rsidRPr="009E3FED">
        <w:t xml:space="preserve">the positioning of </w:t>
      </w:r>
      <w:r w:rsidR="00BB5ABE" w:rsidRPr="00BB5ABE">
        <w:t>access and benefit-sharing</w:t>
      </w:r>
      <w:r w:rsidR="00BB5ABE">
        <w:t xml:space="preserve"> </w:t>
      </w:r>
      <w:r w:rsidRPr="009E3FED">
        <w:t>as a long</w:t>
      </w:r>
      <w:r w:rsidRPr="009E3FED">
        <w:noBreakHyphen/>
        <w:t>term governance priority and public infrastructure investment, rather than a stand</w:t>
      </w:r>
      <w:r w:rsidRPr="009E3FED">
        <w:noBreakHyphen/>
        <w:t>alone regulatory or project</w:t>
      </w:r>
      <w:r w:rsidRPr="009E3FED">
        <w:noBreakHyphen/>
        <w:t>based activit</w:t>
      </w:r>
      <w:r>
        <w:t>y;</w:t>
      </w:r>
    </w:p>
    <w:p w14:paraId="50975BD6" w14:textId="2AE75A05" w:rsidR="00CC4591" w:rsidRPr="00DE49A3" w:rsidRDefault="00837B17" w:rsidP="006268E5">
      <w:pPr>
        <w:pStyle w:val="CBDNormalNumber"/>
        <w:numPr>
          <w:ilvl w:val="1"/>
          <w:numId w:val="7"/>
        </w:numPr>
        <w:tabs>
          <w:tab w:val="clear" w:pos="567"/>
          <w:tab w:val="clear" w:pos="1134"/>
        </w:tabs>
      </w:pPr>
      <w:r w:rsidRPr="009E3FED">
        <w:t xml:space="preserve">consideration of approaches that frame </w:t>
      </w:r>
      <w:r w:rsidR="00BB5ABE" w:rsidRPr="00BB5ABE">
        <w:t>access and benefit-sharing</w:t>
      </w:r>
      <w:r w:rsidR="00BB5ABE">
        <w:t xml:space="preserve"> </w:t>
      </w:r>
      <w:r w:rsidRPr="009E3FED">
        <w:t>financing as a collective investment in legal certainty, equitable benefit</w:t>
      </w:r>
      <w:r w:rsidRPr="009E3FED">
        <w:noBreakHyphen/>
        <w:t>sharing and global biodiversity governance, recognising differentiated roles and capacities among Parties and the complementary contributions of user countries and other relevant actors</w:t>
      </w:r>
      <w:r>
        <w:t>;</w:t>
      </w:r>
    </w:p>
    <w:p w14:paraId="6541DB26" w14:textId="4F8D9AFC" w:rsidR="00837B17" w:rsidRPr="00DE49A3" w:rsidRDefault="00BB723E" w:rsidP="006268E5">
      <w:pPr>
        <w:pStyle w:val="CBDNormalNumber"/>
        <w:numPr>
          <w:ilvl w:val="1"/>
          <w:numId w:val="7"/>
        </w:numPr>
        <w:tabs>
          <w:tab w:val="clear" w:pos="567"/>
          <w:tab w:val="clear" w:pos="1134"/>
        </w:tabs>
      </w:pPr>
      <w:r w:rsidRPr="009E3FED">
        <w:t>a gradual shift from episodic, project</w:t>
      </w:r>
      <w:r w:rsidRPr="009E3FED">
        <w:noBreakHyphen/>
        <w:t>based capacity</w:t>
      </w:r>
      <w:r w:rsidRPr="009E3FED">
        <w:noBreakHyphen/>
        <w:t>building towards sustained, system</w:t>
      </w:r>
      <w:r w:rsidRPr="009E3FED">
        <w:noBreakHyphen/>
        <w:t>level support for institutional capacity, monitoring and compliance</w:t>
      </w:r>
      <w:r w:rsidR="009850B1">
        <w:t>;</w:t>
      </w:r>
    </w:p>
    <w:p w14:paraId="77649F19" w14:textId="730F68F7" w:rsidR="002943C9" w:rsidRPr="00DE49A3" w:rsidRDefault="000143DB" w:rsidP="006268E5">
      <w:pPr>
        <w:pStyle w:val="CBDNormalNumber"/>
        <w:numPr>
          <w:ilvl w:val="1"/>
          <w:numId w:val="7"/>
        </w:numPr>
        <w:tabs>
          <w:tab w:val="clear" w:pos="567"/>
          <w:tab w:val="clear" w:pos="1134"/>
        </w:tabs>
      </w:pPr>
      <w:r w:rsidRPr="009E3FED">
        <w:t>the continued responsiveness and adequacy of the financial mechanism to support long</w:t>
      </w:r>
      <w:r w:rsidRPr="009E3FED">
        <w:noBreakHyphen/>
        <w:t>term and system</w:t>
      </w:r>
      <w:r w:rsidRPr="009E3FED">
        <w:noBreakHyphen/>
        <w:t>oriented investments consistent with evolving implementation needs;</w:t>
      </w:r>
    </w:p>
    <w:p w14:paraId="3E3B607F" w14:textId="77777777" w:rsidR="00AF3AF6" w:rsidRDefault="00AF3AF6" w:rsidP="006268E5">
      <w:pPr>
        <w:pStyle w:val="CBDNormalNumber"/>
        <w:numPr>
          <w:ilvl w:val="1"/>
          <w:numId w:val="7"/>
        </w:numPr>
        <w:tabs>
          <w:tab w:val="clear" w:pos="567"/>
          <w:tab w:val="clear" w:pos="1134"/>
        </w:tabs>
      </w:pPr>
      <w:r w:rsidRPr="009E3FED">
        <w:t>greater coherence, coordination and transparency across international, bilateral and national funding streams, including alignment with priorities emerging from the assessment and review;</w:t>
      </w:r>
    </w:p>
    <w:p w14:paraId="342896BF" w14:textId="75302F2C" w:rsidR="00202BBE" w:rsidRPr="009E3FED" w:rsidRDefault="00202BBE" w:rsidP="006268E5">
      <w:pPr>
        <w:pStyle w:val="CBDNormalNumber"/>
        <w:numPr>
          <w:ilvl w:val="1"/>
          <w:numId w:val="7"/>
        </w:numPr>
        <w:tabs>
          <w:tab w:val="clear" w:pos="567"/>
          <w:tab w:val="clear" w:pos="1134"/>
        </w:tabs>
      </w:pPr>
      <w:r w:rsidRPr="009E3FED">
        <w:t xml:space="preserve">strengthened domestic resource </w:t>
      </w:r>
      <w:r w:rsidR="00E51D85">
        <w:t>mobilization</w:t>
      </w:r>
      <w:r w:rsidRPr="009E3FED">
        <w:t xml:space="preserve"> within national biodiversity finance and development planning frameworks, </w:t>
      </w:r>
      <w:proofErr w:type="gramStart"/>
      <w:r w:rsidRPr="009E3FED">
        <w:t>taking into account</w:t>
      </w:r>
      <w:proofErr w:type="gramEnd"/>
      <w:r w:rsidRPr="009E3FED">
        <w:t xml:space="preserve"> national circumstances and capacities; and</w:t>
      </w:r>
    </w:p>
    <w:p w14:paraId="0B64C2C2" w14:textId="6A4F0042" w:rsidR="00AF3AF6" w:rsidRDefault="00E91469" w:rsidP="006268E5">
      <w:pPr>
        <w:pStyle w:val="CBDNormalNumber"/>
        <w:numPr>
          <w:ilvl w:val="1"/>
          <w:numId w:val="7"/>
        </w:numPr>
        <w:tabs>
          <w:tab w:val="clear" w:pos="567"/>
          <w:tab w:val="clear" w:pos="1134"/>
        </w:tabs>
      </w:pPr>
      <w:r w:rsidRPr="009E3FED">
        <w:t>enhanced integration of financial support with system enablers, including capacity</w:t>
      </w:r>
      <w:r w:rsidRPr="009E3FED">
        <w:noBreakHyphen/>
        <w:t xml:space="preserve">building and development and the </w:t>
      </w:r>
      <w:r w:rsidR="00BB5ABE">
        <w:t>A</w:t>
      </w:r>
      <w:r w:rsidR="00BB5ABE" w:rsidRPr="00BB5ABE">
        <w:t xml:space="preserve">ccess and </w:t>
      </w:r>
      <w:r w:rsidR="00BB5ABE">
        <w:t>B</w:t>
      </w:r>
      <w:r w:rsidR="00BB5ABE" w:rsidRPr="00BB5ABE">
        <w:t>enefit-sharing</w:t>
      </w:r>
      <w:r w:rsidR="00961438">
        <w:t xml:space="preserve"> </w:t>
      </w:r>
      <w:r w:rsidRPr="009E3FED">
        <w:t>Clearing</w:t>
      </w:r>
      <w:r w:rsidRPr="009E3FED">
        <w:noBreakHyphen/>
        <w:t>House, through programmatic and, where appropriate, regional or global approaches</w:t>
      </w:r>
      <w:r w:rsidR="009850B1">
        <w:t>.</w:t>
      </w:r>
    </w:p>
    <w:p w14:paraId="394226E6" w14:textId="00C2329E" w:rsidR="002D31FF" w:rsidRPr="00DE49A3" w:rsidRDefault="002A656F" w:rsidP="00DE49A3">
      <w:pPr>
        <w:pStyle w:val="CBDNormalNumber"/>
        <w:ind w:left="567"/>
      </w:pPr>
      <w:r w:rsidRPr="000E62FC">
        <w:t xml:space="preserve">Taken together, these considerations reinforce that effective resourcing of </w:t>
      </w:r>
      <w:r w:rsidR="00452534" w:rsidRPr="00452534">
        <w:t>access and benefit-sharing</w:t>
      </w:r>
      <w:r w:rsidR="00452534">
        <w:t xml:space="preserve"> </w:t>
      </w:r>
      <w:r w:rsidRPr="000E62FC">
        <w:t>implementation is best understood as a collective investment in durable governance arrangements, rather than as an aid</w:t>
      </w:r>
      <w:r w:rsidRPr="000E62FC">
        <w:noBreakHyphen/>
        <w:t xml:space="preserve">based financing relationship. This framing provides a strategic </w:t>
      </w:r>
      <w:r w:rsidRPr="000E62FC">
        <w:lastRenderedPageBreak/>
        <w:t>basis for further consideration of financial resources and the financial mechanism in subsequent stages of the assessment and review process</w:t>
      </w:r>
      <w:r>
        <w:t>.</w:t>
      </w:r>
    </w:p>
    <w:p w14:paraId="6F0EA5DC" w14:textId="77777777" w:rsidR="00814FED" w:rsidRDefault="00814FED" w:rsidP="00814FED">
      <w:pPr>
        <w:tabs>
          <w:tab w:val="clear" w:pos="567"/>
          <w:tab w:val="clear" w:pos="1134"/>
          <w:tab w:val="clear" w:pos="1701"/>
          <w:tab w:val="clear" w:pos="2268"/>
        </w:tabs>
        <w:jc w:val="left"/>
        <w:sectPr w:rsidR="00814FED" w:rsidSect="00814FE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pPr>
      <w:r>
        <w:br w:type="page"/>
      </w:r>
    </w:p>
    <w:p w14:paraId="1FFDD772" w14:textId="548EA411" w:rsidR="00814FED" w:rsidRPr="00605E08" w:rsidRDefault="00814FED" w:rsidP="00814FED">
      <w:pPr>
        <w:pStyle w:val="CBDAnnex"/>
      </w:pPr>
      <w:r w:rsidRPr="00605E08">
        <w:lastRenderedPageBreak/>
        <w:t>Annex</w:t>
      </w:r>
    </w:p>
    <w:p w14:paraId="683EE0E4" w14:textId="7F390E64" w:rsidR="00814FED" w:rsidRPr="00605E08" w:rsidRDefault="0084406A" w:rsidP="00814FED">
      <w:pPr>
        <w:pStyle w:val="CBDTitle"/>
        <w:rPr>
          <w:lang w:bidi="ar-SY"/>
        </w:rPr>
      </w:pPr>
      <w:r>
        <w:rPr>
          <w:lang w:bidi="ar-SY"/>
        </w:rPr>
        <w:t>G</w:t>
      </w:r>
      <w:r w:rsidR="00814FED" w:rsidRPr="00605E08">
        <w:rPr>
          <w:lang w:bidi="ar-SY"/>
        </w:rPr>
        <w:t xml:space="preserve">uidance </w:t>
      </w:r>
      <w:r w:rsidR="00821C84">
        <w:rPr>
          <w:lang w:bidi="ar-SY"/>
        </w:rPr>
        <w:t>from</w:t>
      </w:r>
      <w:r w:rsidR="008D47D9">
        <w:rPr>
          <w:lang w:bidi="ar-SY"/>
        </w:rPr>
        <w:t xml:space="preserve"> the Conference of the Parties serving as the meeting of the Parties to t</w:t>
      </w:r>
      <w:r>
        <w:rPr>
          <w:lang w:bidi="ar-SY"/>
        </w:rPr>
        <w:t xml:space="preserve">he Protocol </w:t>
      </w:r>
      <w:r w:rsidR="00814FED" w:rsidRPr="00605E08">
        <w:rPr>
          <w:lang w:bidi="ar-SY"/>
        </w:rPr>
        <w:t>and corresponding GEF responses under the Nagoya Protocol (2010–2026)</w:t>
      </w:r>
    </w:p>
    <w:tbl>
      <w:tblPr>
        <w:tblStyle w:val="TableGrid"/>
        <w:tblW w:w="13036" w:type="dxa"/>
        <w:tblLook w:val="04A0" w:firstRow="1" w:lastRow="0" w:firstColumn="1" w:lastColumn="0" w:noHBand="0" w:noVBand="1"/>
      </w:tblPr>
      <w:tblGrid>
        <w:gridCol w:w="3116"/>
        <w:gridCol w:w="3814"/>
        <w:gridCol w:w="6106"/>
      </w:tblGrid>
      <w:tr w:rsidR="00814FED" w:rsidRPr="00852E89" w14:paraId="4EBB7114" w14:textId="77777777" w:rsidTr="00EB1529">
        <w:tc>
          <w:tcPr>
            <w:tcW w:w="3116" w:type="dxa"/>
            <w:tcBorders>
              <w:top w:val="single" w:sz="4" w:space="0" w:color="auto"/>
              <w:left w:val="nil"/>
              <w:bottom w:val="single" w:sz="12" w:space="0" w:color="auto"/>
              <w:right w:val="nil"/>
            </w:tcBorders>
          </w:tcPr>
          <w:p w14:paraId="4F4678AC" w14:textId="4AEA19F3" w:rsidR="00814FED" w:rsidRPr="006268E5" w:rsidRDefault="00814FED" w:rsidP="003D4990">
            <w:pPr>
              <w:rPr>
                <w:i/>
                <w:iCs/>
                <w:sz w:val="20"/>
                <w:szCs w:val="20"/>
              </w:rPr>
            </w:pPr>
            <w:r w:rsidRPr="006268E5">
              <w:rPr>
                <w:i/>
                <w:iCs/>
                <w:sz w:val="20"/>
                <w:szCs w:val="20"/>
              </w:rPr>
              <w:t xml:space="preserve">Time </w:t>
            </w:r>
            <w:r w:rsidR="00C138B3">
              <w:rPr>
                <w:i/>
                <w:iCs/>
                <w:sz w:val="20"/>
                <w:szCs w:val="20"/>
              </w:rPr>
              <w:t>p</w:t>
            </w:r>
            <w:r w:rsidRPr="006268E5">
              <w:rPr>
                <w:i/>
                <w:iCs/>
                <w:sz w:val="20"/>
                <w:szCs w:val="20"/>
              </w:rPr>
              <w:t>eriod</w:t>
            </w:r>
          </w:p>
        </w:tc>
        <w:tc>
          <w:tcPr>
            <w:tcW w:w="3814" w:type="dxa"/>
            <w:tcBorders>
              <w:top w:val="single" w:sz="4" w:space="0" w:color="auto"/>
              <w:left w:val="nil"/>
              <w:bottom w:val="single" w:sz="12" w:space="0" w:color="auto"/>
              <w:right w:val="nil"/>
            </w:tcBorders>
          </w:tcPr>
          <w:p w14:paraId="5D904343" w14:textId="18043493" w:rsidR="00814FED" w:rsidRPr="006268E5" w:rsidRDefault="00C138B3" w:rsidP="003D4990">
            <w:pPr>
              <w:rPr>
                <w:i/>
                <w:iCs/>
                <w:sz w:val="20"/>
                <w:szCs w:val="20"/>
              </w:rPr>
            </w:pPr>
            <w:r>
              <w:rPr>
                <w:i/>
                <w:iCs/>
                <w:sz w:val="20"/>
                <w:szCs w:val="20"/>
              </w:rPr>
              <w:t xml:space="preserve">Guidance from the Conference of the Parties </w:t>
            </w:r>
            <w:r w:rsidR="0011357E">
              <w:rPr>
                <w:i/>
                <w:iCs/>
                <w:sz w:val="20"/>
                <w:szCs w:val="20"/>
              </w:rPr>
              <w:t xml:space="preserve">to the Convention </w:t>
            </w:r>
            <w:r>
              <w:rPr>
                <w:i/>
                <w:iCs/>
                <w:sz w:val="20"/>
                <w:szCs w:val="20"/>
              </w:rPr>
              <w:t xml:space="preserve">/ Conference of the Parties serving as the meeting of the Parties to the Protocol </w:t>
            </w:r>
            <w:r w:rsidR="00814FED" w:rsidRPr="006268E5">
              <w:rPr>
                <w:i/>
                <w:iCs/>
                <w:sz w:val="20"/>
                <w:szCs w:val="20"/>
              </w:rPr>
              <w:t xml:space="preserve">to the </w:t>
            </w:r>
            <w:r>
              <w:rPr>
                <w:i/>
                <w:iCs/>
                <w:sz w:val="20"/>
                <w:szCs w:val="20"/>
              </w:rPr>
              <w:t>Global Environment Facility</w:t>
            </w:r>
          </w:p>
        </w:tc>
        <w:tc>
          <w:tcPr>
            <w:tcW w:w="6106" w:type="dxa"/>
            <w:tcBorders>
              <w:top w:val="single" w:sz="4" w:space="0" w:color="auto"/>
              <w:left w:val="nil"/>
              <w:bottom w:val="single" w:sz="12" w:space="0" w:color="auto"/>
              <w:right w:val="nil"/>
            </w:tcBorders>
          </w:tcPr>
          <w:p w14:paraId="027146F2" w14:textId="7461B01C" w:rsidR="00814FED" w:rsidRPr="006268E5" w:rsidRDefault="00814FED" w:rsidP="003D4990">
            <w:pPr>
              <w:rPr>
                <w:i/>
                <w:iCs/>
                <w:sz w:val="20"/>
                <w:szCs w:val="20"/>
              </w:rPr>
            </w:pPr>
            <w:r w:rsidRPr="006268E5">
              <w:rPr>
                <w:i/>
                <w:iCs/>
                <w:sz w:val="20"/>
                <w:szCs w:val="20"/>
              </w:rPr>
              <w:t xml:space="preserve">GEF </w:t>
            </w:r>
            <w:r w:rsidR="00237F4A">
              <w:rPr>
                <w:i/>
                <w:iCs/>
                <w:sz w:val="20"/>
                <w:szCs w:val="20"/>
              </w:rPr>
              <w:t>r</w:t>
            </w:r>
            <w:r w:rsidRPr="006268E5">
              <w:rPr>
                <w:i/>
                <w:iCs/>
                <w:sz w:val="20"/>
                <w:szCs w:val="20"/>
              </w:rPr>
              <w:t>esponse</w:t>
            </w:r>
          </w:p>
        </w:tc>
      </w:tr>
      <w:tr w:rsidR="00814FED" w:rsidRPr="007E3FD8" w14:paraId="6BDE0FEE" w14:textId="77777777" w:rsidTr="00EB1529">
        <w:tc>
          <w:tcPr>
            <w:tcW w:w="3116" w:type="dxa"/>
            <w:tcBorders>
              <w:top w:val="single" w:sz="12" w:space="0" w:color="auto"/>
              <w:left w:val="nil"/>
              <w:bottom w:val="single" w:sz="4" w:space="0" w:color="auto"/>
              <w:right w:val="nil"/>
            </w:tcBorders>
          </w:tcPr>
          <w:p w14:paraId="07EDEAD5" w14:textId="4AE88B63" w:rsidR="00814FED" w:rsidRPr="006268E5" w:rsidRDefault="00814FED" w:rsidP="003D4990">
            <w:pPr>
              <w:rPr>
                <w:sz w:val="20"/>
                <w:szCs w:val="20"/>
              </w:rPr>
            </w:pPr>
            <w:r w:rsidRPr="006268E5">
              <w:rPr>
                <w:sz w:val="20"/>
                <w:szCs w:val="20"/>
              </w:rPr>
              <w:t>2010–2018</w:t>
            </w:r>
          </w:p>
          <w:p w14:paraId="4D569A56" w14:textId="77777777" w:rsidR="00814FED" w:rsidRPr="006268E5" w:rsidRDefault="00814FED" w:rsidP="003D4990">
            <w:pPr>
              <w:rPr>
                <w:sz w:val="20"/>
                <w:szCs w:val="20"/>
              </w:rPr>
            </w:pPr>
            <w:r w:rsidRPr="006268E5">
              <w:rPr>
                <w:sz w:val="20"/>
                <w:szCs w:val="20"/>
              </w:rPr>
              <w:t>(Foundational Phase)</w:t>
            </w:r>
          </w:p>
        </w:tc>
        <w:tc>
          <w:tcPr>
            <w:tcW w:w="3814" w:type="dxa"/>
            <w:tcBorders>
              <w:top w:val="single" w:sz="12" w:space="0" w:color="auto"/>
              <w:left w:val="nil"/>
              <w:bottom w:val="single" w:sz="4" w:space="0" w:color="auto"/>
              <w:right w:val="nil"/>
            </w:tcBorders>
          </w:tcPr>
          <w:p w14:paraId="0E6BAE7C" w14:textId="351C98D0"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Provide financial for ratification and early implementation of the Protocol. Including establishment of </w:t>
            </w:r>
            <w:r w:rsidR="00452534" w:rsidRPr="00452534">
              <w:rPr>
                <w:sz w:val="20"/>
                <w:szCs w:val="20"/>
              </w:rPr>
              <w:t>access and benefit-sharing</w:t>
            </w:r>
            <w:r w:rsidR="0001076A">
              <w:rPr>
                <w:sz w:val="20"/>
                <w:szCs w:val="20"/>
              </w:rPr>
              <w:t xml:space="preserve"> </w:t>
            </w:r>
            <w:r w:rsidRPr="007E3FD8">
              <w:rPr>
                <w:sz w:val="20"/>
                <w:szCs w:val="20"/>
              </w:rPr>
              <w:t>legislation, PIC/MAT</w:t>
            </w:r>
            <w:r w:rsidR="003A006D">
              <w:rPr>
                <w:rStyle w:val="FootnoteReference"/>
                <w:sz w:val="20"/>
                <w:szCs w:val="20"/>
              </w:rPr>
              <w:footnoteReference w:id="6"/>
            </w:r>
            <w:r w:rsidRPr="007E3FD8">
              <w:rPr>
                <w:sz w:val="20"/>
                <w:szCs w:val="20"/>
              </w:rPr>
              <w:t xml:space="preserve"> procedures, and institutional frameworks.</w:t>
            </w:r>
          </w:p>
          <w:p w14:paraId="54118B56" w14:textId="5D8CA516"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Support capacity-building for legal, administrative and policy measures required for operational </w:t>
            </w:r>
            <w:r w:rsidR="00544C3F" w:rsidRPr="00544C3F">
              <w:rPr>
                <w:sz w:val="20"/>
                <w:szCs w:val="20"/>
              </w:rPr>
              <w:t>access and benefit-sharing</w:t>
            </w:r>
            <w:r w:rsidRPr="007E3FD8">
              <w:rPr>
                <w:sz w:val="20"/>
                <w:szCs w:val="20"/>
              </w:rPr>
              <w:t xml:space="preserve"> systems</w:t>
            </w:r>
          </w:p>
        </w:tc>
        <w:tc>
          <w:tcPr>
            <w:tcW w:w="6106" w:type="dxa"/>
            <w:tcBorders>
              <w:top w:val="single" w:sz="12" w:space="0" w:color="auto"/>
              <w:left w:val="nil"/>
              <w:bottom w:val="single" w:sz="4" w:space="0" w:color="auto"/>
              <w:right w:val="nil"/>
            </w:tcBorders>
          </w:tcPr>
          <w:p w14:paraId="401B363D" w14:textId="15FF7CF0"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Invested more than </w:t>
            </w:r>
            <w:r>
              <w:rPr>
                <w:sz w:val="20"/>
                <w:szCs w:val="20"/>
              </w:rPr>
              <w:t>$</w:t>
            </w:r>
            <w:r w:rsidRPr="007E3FD8">
              <w:rPr>
                <w:sz w:val="20"/>
                <w:szCs w:val="20"/>
              </w:rPr>
              <w:t>60 million</w:t>
            </w:r>
            <w:r>
              <w:rPr>
                <w:sz w:val="20"/>
                <w:szCs w:val="20"/>
              </w:rPr>
              <w:t xml:space="preserve"> United States dollars</w:t>
            </w:r>
            <w:r w:rsidRPr="007E3FD8">
              <w:rPr>
                <w:sz w:val="20"/>
                <w:szCs w:val="20"/>
              </w:rPr>
              <w:t xml:space="preserve"> and leveraged </w:t>
            </w:r>
            <w:r>
              <w:rPr>
                <w:sz w:val="20"/>
                <w:szCs w:val="20"/>
              </w:rPr>
              <w:t>$</w:t>
            </w:r>
            <w:r w:rsidRPr="007E3FD8">
              <w:rPr>
                <w:sz w:val="20"/>
                <w:szCs w:val="20"/>
              </w:rPr>
              <w:t xml:space="preserve">120 million in co-financing to support </w:t>
            </w:r>
            <w:r w:rsidR="00C53006" w:rsidRPr="00C53006">
              <w:rPr>
                <w:sz w:val="20"/>
                <w:szCs w:val="20"/>
              </w:rPr>
              <w:t>access and benefit-sharing</w:t>
            </w:r>
            <w:r w:rsidR="00C53006">
              <w:rPr>
                <w:sz w:val="20"/>
                <w:szCs w:val="20"/>
              </w:rPr>
              <w:t xml:space="preserve"> </w:t>
            </w:r>
            <w:r w:rsidRPr="007E3FD8">
              <w:rPr>
                <w:sz w:val="20"/>
                <w:szCs w:val="20"/>
              </w:rPr>
              <w:t>readiness in 100+ countries</w:t>
            </w:r>
          </w:p>
          <w:p w14:paraId="6EFC8D63" w14:textId="510421F5"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Created </w:t>
            </w:r>
            <w:r w:rsidR="00C53006" w:rsidRPr="00C53006">
              <w:rPr>
                <w:sz w:val="20"/>
                <w:szCs w:val="20"/>
              </w:rPr>
              <w:t>access and benefit-sharing</w:t>
            </w:r>
            <w:r w:rsidRPr="007E3FD8">
              <w:rPr>
                <w:sz w:val="20"/>
                <w:szCs w:val="20"/>
              </w:rPr>
              <w:t>– specific funding windows in GEF-4 and GEF-5 biodiversity</w:t>
            </w:r>
          </w:p>
          <w:p w14:paraId="69C8F6E3"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Establishment and implemented the Nagoya Protocol Implementation Fund (NPIF), funding 13 projects and supporting ratification and early implementation</w:t>
            </w:r>
          </w:p>
          <w:p w14:paraId="5DB46045"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However, evaluations noted persistent institutional and technical capacity gaps</w:t>
            </w:r>
          </w:p>
        </w:tc>
      </w:tr>
      <w:tr w:rsidR="00814FED" w:rsidRPr="007E3FD8" w14:paraId="0BC9767A" w14:textId="77777777" w:rsidTr="00EB1529">
        <w:tc>
          <w:tcPr>
            <w:tcW w:w="3116" w:type="dxa"/>
            <w:tcBorders>
              <w:top w:val="single" w:sz="4" w:space="0" w:color="auto"/>
              <w:left w:val="nil"/>
              <w:bottom w:val="single" w:sz="4" w:space="0" w:color="auto"/>
              <w:right w:val="nil"/>
            </w:tcBorders>
          </w:tcPr>
          <w:p w14:paraId="411607A2" w14:textId="44150A42" w:rsidR="00814FED" w:rsidRPr="006268E5" w:rsidRDefault="00814FED" w:rsidP="003D4990">
            <w:pPr>
              <w:rPr>
                <w:sz w:val="20"/>
                <w:szCs w:val="20"/>
              </w:rPr>
            </w:pPr>
            <w:r w:rsidRPr="006268E5">
              <w:rPr>
                <w:sz w:val="20"/>
                <w:szCs w:val="20"/>
              </w:rPr>
              <w:t>2018</w:t>
            </w:r>
            <w:r w:rsidR="00852E89" w:rsidRPr="00364030">
              <w:rPr>
                <w:sz w:val="20"/>
                <w:szCs w:val="20"/>
              </w:rPr>
              <w:t>–</w:t>
            </w:r>
            <w:r w:rsidRPr="006268E5">
              <w:rPr>
                <w:sz w:val="20"/>
                <w:szCs w:val="20"/>
              </w:rPr>
              <w:t>2026</w:t>
            </w:r>
          </w:p>
        </w:tc>
        <w:tc>
          <w:tcPr>
            <w:tcW w:w="3814" w:type="dxa"/>
            <w:tcBorders>
              <w:top w:val="single" w:sz="4" w:space="0" w:color="auto"/>
              <w:left w:val="nil"/>
              <w:bottom w:val="single" w:sz="4" w:space="0" w:color="auto"/>
              <w:right w:val="nil"/>
            </w:tcBorders>
          </w:tcPr>
          <w:p w14:paraId="052FBA88" w14:textId="763763C9" w:rsidR="00814FED" w:rsidRPr="007E3FD8" w:rsidRDefault="005F64B3" w:rsidP="006268E5">
            <w:pPr>
              <w:jc w:val="left"/>
              <w:rPr>
                <w:sz w:val="20"/>
                <w:szCs w:val="20"/>
              </w:rPr>
            </w:pPr>
            <w:r>
              <w:rPr>
                <w:sz w:val="20"/>
                <w:szCs w:val="20"/>
              </w:rPr>
              <w:t>Guidance from the fifth meeting of the Conference of the Parties serving as the meeting of the Parties to the Protocol</w:t>
            </w:r>
            <w:r w:rsidR="00814FED" w:rsidRPr="007E3FD8">
              <w:rPr>
                <w:sz w:val="20"/>
                <w:szCs w:val="20"/>
              </w:rPr>
              <w:t>:</w:t>
            </w:r>
          </w:p>
          <w:p w14:paraId="13139D5F"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Ensure timely funding for the first national reports</w:t>
            </w:r>
          </w:p>
          <w:p w14:paraId="7288EE32"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Strengthen dedicated funding for NP implementation</w:t>
            </w:r>
          </w:p>
          <w:p w14:paraId="0A26E635"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Support capacity-building and the NP Capacity-building &amp; development action plan</w:t>
            </w:r>
          </w:p>
          <w:p w14:paraId="115A446A" w14:textId="4175BAAF"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Support </w:t>
            </w:r>
            <w:r w:rsidR="004F07C1" w:rsidRPr="004F07C1">
              <w:rPr>
                <w:sz w:val="20"/>
                <w:szCs w:val="20"/>
              </w:rPr>
              <w:t>access and benefit-sharing</w:t>
            </w:r>
            <w:r w:rsidR="00EF03A7">
              <w:rPr>
                <w:sz w:val="20"/>
                <w:szCs w:val="20"/>
              </w:rPr>
              <w:t xml:space="preserve"> </w:t>
            </w:r>
            <w:r w:rsidRPr="007E3FD8">
              <w:rPr>
                <w:sz w:val="20"/>
                <w:szCs w:val="20"/>
              </w:rPr>
              <w:t>mainstreaming into biodiversity and developments strategies</w:t>
            </w:r>
          </w:p>
          <w:p w14:paraId="4EFF6315" w14:textId="5C87A7BC"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Support </w:t>
            </w:r>
            <w:r w:rsidR="004F07C1" w:rsidRPr="004F07C1">
              <w:rPr>
                <w:sz w:val="20"/>
                <w:szCs w:val="20"/>
              </w:rPr>
              <w:t>access and benefit-sharing</w:t>
            </w:r>
            <w:r w:rsidR="00EF03A7">
              <w:rPr>
                <w:sz w:val="20"/>
                <w:szCs w:val="20"/>
              </w:rPr>
              <w:t xml:space="preserve"> </w:t>
            </w:r>
            <w:r w:rsidRPr="007E3FD8">
              <w:rPr>
                <w:sz w:val="20"/>
                <w:szCs w:val="20"/>
              </w:rPr>
              <w:t>mainstreaming into biodiversity and development strategies.</w:t>
            </w:r>
          </w:p>
          <w:p w14:paraId="36890EE5" w14:textId="5B3AC12B"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lastRenderedPageBreak/>
              <w:t xml:space="preserve">Support development of long-term institutional capacity (M&amp;E, </w:t>
            </w:r>
            <w:r w:rsidR="004F07C1" w:rsidRPr="004F07C1">
              <w:rPr>
                <w:sz w:val="20"/>
                <w:szCs w:val="20"/>
              </w:rPr>
              <w:t>access and benefit-sharing</w:t>
            </w:r>
            <w:r w:rsidR="00EF03A7">
              <w:rPr>
                <w:sz w:val="20"/>
                <w:szCs w:val="20"/>
              </w:rPr>
              <w:t xml:space="preserve"> </w:t>
            </w:r>
            <w:r w:rsidRPr="007E3FD8">
              <w:rPr>
                <w:sz w:val="20"/>
                <w:szCs w:val="20"/>
              </w:rPr>
              <w:t>frameworks).</w:t>
            </w:r>
          </w:p>
          <w:p w14:paraId="430D411B" w14:textId="03B3EBA4"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Explore options to improve GEF effectiveness and </w:t>
            </w:r>
            <w:r w:rsidR="00FF7B4A" w:rsidRPr="007E3FD8">
              <w:rPr>
                <w:sz w:val="20"/>
                <w:szCs w:val="20"/>
              </w:rPr>
              <w:t>fulfil</w:t>
            </w:r>
            <w:r w:rsidRPr="007E3FD8">
              <w:rPr>
                <w:sz w:val="20"/>
                <w:szCs w:val="20"/>
              </w:rPr>
              <w:t xml:space="preserve"> responding under Article 25</w:t>
            </w:r>
          </w:p>
          <w:p w14:paraId="6E878172" w14:textId="77777777" w:rsidR="00814FED" w:rsidRPr="007E3FD8" w:rsidRDefault="00814FED" w:rsidP="003D4990">
            <w:pPr>
              <w:pStyle w:val="ListParagraph"/>
              <w:rPr>
                <w:sz w:val="20"/>
                <w:szCs w:val="20"/>
              </w:rPr>
            </w:pPr>
          </w:p>
        </w:tc>
        <w:tc>
          <w:tcPr>
            <w:tcW w:w="6106" w:type="dxa"/>
            <w:tcBorders>
              <w:top w:val="single" w:sz="4" w:space="0" w:color="auto"/>
              <w:left w:val="nil"/>
              <w:bottom w:val="single" w:sz="4" w:space="0" w:color="auto"/>
              <w:right w:val="nil"/>
            </w:tcBorders>
          </w:tcPr>
          <w:p w14:paraId="5F7DEE0B" w14:textId="781181B5"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lastRenderedPageBreak/>
              <w:t xml:space="preserve">Continued </w:t>
            </w:r>
            <w:r w:rsidR="00A24F81" w:rsidRPr="00A24F81">
              <w:rPr>
                <w:sz w:val="20"/>
                <w:szCs w:val="20"/>
              </w:rPr>
              <w:t>access and benefit-sharing</w:t>
            </w:r>
            <w:r w:rsidRPr="007E3FD8">
              <w:rPr>
                <w:sz w:val="20"/>
                <w:szCs w:val="20"/>
              </w:rPr>
              <w:t xml:space="preserve"> support via GEF-7 and GEF-8 biodiversity strategies.</w:t>
            </w:r>
          </w:p>
          <w:p w14:paraId="7D22111B" w14:textId="45FBFFBE"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Operationali</w:t>
            </w:r>
            <w:r w:rsidR="005F64B3">
              <w:rPr>
                <w:sz w:val="20"/>
                <w:szCs w:val="20"/>
              </w:rPr>
              <w:t>z</w:t>
            </w:r>
            <w:r w:rsidRPr="007E3FD8">
              <w:rPr>
                <w:sz w:val="20"/>
                <w:szCs w:val="20"/>
              </w:rPr>
              <w:t xml:space="preserve">ed the Global Biodiversity Framework Fund (GBFF) in 2023, allocating </w:t>
            </w:r>
            <w:r>
              <w:rPr>
                <w:sz w:val="20"/>
                <w:szCs w:val="20"/>
              </w:rPr>
              <w:t>$</w:t>
            </w:r>
            <w:r w:rsidRPr="007E3FD8">
              <w:rPr>
                <w:sz w:val="20"/>
                <w:szCs w:val="20"/>
              </w:rPr>
              <w:t xml:space="preserve">2111 million to biodiversity </w:t>
            </w:r>
            <w:r w:rsidR="00FF7B4A" w:rsidRPr="007E3FD8">
              <w:rPr>
                <w:sz w:val="20"/>
                <w:szCs w:val="20"/>
              </w:rPr>
              <w:t>programming</w:t>
            </w:r>
            <w:r w:rsidRPr="007E3FD8">
              <w:rPr>
                <w:sz w:val="20"/>
                <w:szCs w:val="20"/>
              </w:rPr>
              <w:t xml:space="preserve"> relevant to </w:t>
            </w:r>
            <w:r w:rsidR="00DE0292" w:rsidRPr="00DE0292">
              <w:rPr>
                <w:sz w:val="20"/>
                <w:szCs w:val="20"/>
              </w:rPr>
              <w:t>access and benefit-sharing</w:t>
            </w:r>
            <w:r w:rsidR="00D235EA">
              <w:rPr>
                <w:sz w:val="20"/>
                <w:szCs w:val="20"/>
              </w:rPr>
              <w:t>.</w:t>
            </w:r>
          </w:p>
          <w:p w14:paraId="1EF73557"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Launched GEF-8 enabling activity to support first national reports on NP implementation</w:t>
            </w:r>
          </w:p>
          <w:p w14:paraId="0CC62041"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Provided institutional and mainstreaming support aligned with COP-MOP directives</w:t>
            </w:r>
          </w:p>
          <w:p w14:paraId="27D00254" w14:textId="5E5A14C0"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COP-MOP noted low number of </w:t>
            </w:r>
            <w:r w:rsidR="00D235EA" w:rsidRPr="00D235EA">
              <w:rPr>
                <w:sz w:val="20"/>
                <w:szCs w:val="20"/>
              </w:rPr>
              <w:t>access and benefit-sharing</w:t>
            </w:r>
            <w:r w:rsidR="00EF03A7">
              <w:rPr>
                <w:sz w:val="20"/>
                <w:szCs w:val="20"/>
              </w:rPr>
              <w:t xml:space="preserve"> </w:t>
            </w:r>
            <w:r w:rsidRPr="007E3FD8">
              <w:rPr>
                <w:sz w:val="20"/>
                <w:szCs w:val="20"/>
              </w:rPr>
              <w:t xml:space="preserve">projects under GEF-8 relative to </w:t>
            </w:r>
            <w:r w:rsidR="00FF7B4A" w:rsidRPr="007E3FD8">
              <w:rPr>
                <w:sz w:val="20"/>
                <w:szCs w:val="20"/>
              </w:rPr>
              <w:t>signalling</w:t>
            </w:r>
            <w:r w:rsidRPr="007E3FD8">
              <w:rPr>
                <w:sz w:val="20"/>
                <w:szCs w:val="20"/>
              </w:rPr>
              <w:t xml:space="preserve"> ongoing funding gaps</w:t>
            </w:r>
          </w:p>
          <w:p w14:paraId="71F62A80" w14:textId="77777777" w:rsidR="00814FED" w:rsidRPr="007E3FD8" w:rsidRDefault="00814FED" w:rsidP="003D4990">
            <w:pPr>
              <w:pStyle w:val="ListParagraph"/>
              <w:rPr>
                <w:sz w:val="20"/>
                <w:szCs w:val="20"/>
              </w:rPr>
            </w:pPr>
          </w:p>
        </w:tc>
      </w:tr>
      <w:tr w:rsidR="00814FED" w:rsidRPr="007E3FD8" w14:paraId="648FC80E" w14:textId="77777777" w:rsidTr="00EB1529">
        <w:tc>
          <w:tcPr>
            <w:tcW w:w="3116" w:type="dxa"/>
            <w:tcBorders>
              <w:top w:val="single" w:sz="4" w:space="0" w:color="auto"/>
              <w:left w:val="nil"/>
              <w:bottom w:val="single" w:sz="12" w:space="0" w:color="auto"/>
              <w:right w:val="nil"/>
            </w:tcBorders>
          </w:tcPr>
          <w:p w14:paraId="4AD2D11B" w14:textId="6F8F0140" w:rsidR="00814FED" w:rsidRPr="006268E5" w:rsidRDefault="00814FED" w:rsidP="003D4990">
            <w:pPr>
              <w:rPr>
                <w:sz w:val="20"/>
                <w:szCs w:val="20"/>
              </w:rPr>
            </w:pPr>
            <w:r w:rsidRPr="006268E5">
              <w:rPr>
                <w:sz w:val="20"/>
                <w:szCs w:val="20"/>
              </w:rPr>
              <w:t>2010</w:t>
            </w:r>
            <w:r w:rsidR="00852E89" w:rsidRPr="00364030">
              <w:rPr>
                <w:sz w:val="20"/>
                <w:szCs w:val="20"/>
              </w:rPr>
              <w:t>–</w:t>
            </w:r>
            <w:r w:rsidRPr="006268E5">
              <w:rPr>
                <w:sz w:val="20"/>
                <w:szCs w:val="20"/>
              </w:rPr>
              <w:t xml:space="preserve">2026 </w:t>
            </w:r>
          </w:p>
          <w:p w14:paraId="14ACC7C9" w14:textId="77777777" w:rsidR="00814FED" w:rsidRPr="007E3FD8" w:rsidRDefault="00814FED" w:rsidP="003D4990">
            <w:pPr>
              <w:rPr>
                <w:b/>
                <w:bCs/>
                <w:sz w:val="20"/>
                <w:szCs w:val="20"/>
              </w:rPr>
            </w:pPr>
            <w:r w:rsidRPr="006268E5">
              <w:rPr>
                <w:sz w:val="20"/>
                <w:szCs w:val="20"/>
              </w:rPr>
              <w:t>(Full Trend Assessment)</w:t>
            </w:r>
          </w:p>
        </w:tc>
        <w:tc>
          <w:tcPr>
            <w:tcW w:w="3814" w:type="dxa"/>
            <w:tcBorders>
              <w:top w:val="single" w:sz="4" w:space="0" w:color="auto"/>
              <w:left w:val="nil"/>
              <w:bottom w:val="single" w:sz="12" w:space="0" w:color="auto"/>
              <w:right w:val="nil"/>
            </w:tcBorders>
          </w:tcPr>
          <w:p w14:paraId="43792EBB"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Maintain adequate, predictable, and timely financing for implementation.</w:t>
            </w:r>
          </w:p>
          <w:p w14:paraId="1B028511"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Strengthen long-term institutional and monitoring systems</w:t>
            </w:r>
          </w:p>
          <w:p w14:paraId="4AB79B71"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Address underlying causes of implementation challenges</w:t>
            </w:r>
          </w:p>
          <w:p w14:paraId="00D315B9" w14:textId="40DAEA1C"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Align </w:t>
            </w:r>
            <w:r w:rsidR="00123F1D" w:rsidRPr="00123F1D">
              <w:rPr>
                <w:sz w:val="20"/>
                <w:szCs w:val="20"/>
              </w:rPr>
              <w:t>access and benefit-sharing</w:t>
            </w:r>
            <w:r w:rsidRPr="007E3FD8">
              <w:rPr>
                <w:sz w:val="20"/>
                <w:szCs w:val="20"/>
              </w:rPr>
              <w:t xml:space="preserve"> financing with wider CBD strategies and emerging obligations, including IPLC priorities (per COP-MOP-5)</w:t>
            </w:r>
          </w:p>
          <w:p w14:paraId="3CF4FB40" w14:textId="77777777" w:rsidR="00814FED" w:rsidRPr="007E3FD8" w:rsidRDefault="00814FED" w:rsidP="003D4990">
            <w:pPr>
              <w:rPr>
                <w:sz w:val="20"/>
                <w:szCs w:val="20"/>
              </w:rPr>
            </w:pPr>
          </w:p>
        </w:tc>
        <w:tc>
          <w:tcPr>
            <w:tcW w:w="6106" w:type="dxa"/>
            <w:tcBorders>
              <w:top w:val="single" w:sz="4" w:space="0" w:color="auto"/>
              <w:left w:val="nil"/>
              <w:bottom w:val="single" w:sz="12" w:space="0" w:color="auto"/>
              <w:right w:val="nil"/>
            </w:tcBorders>
          </w:tcPr>
          <w:p w14:paraId="1D57A410"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Sustained support through GEF-4/5/6/7/8 cycles, focusing on legislative, institutional, and capacity development</w:t>
            </w:r>
          </w:p>
          <w:p w14:paraId="463DC8A3"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Progressive shift from readiness funding to institutionalisation and mainstream</w:t>
            </w:r>
          </w:p>
          <w:p w14:paraId="4B46F25A" w14:textId="77777777"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Launch of the GBFF marks a major structural evolution, expanding biodiversity financing scale and infrastructure </w:t>
            </w:r>
          </w:p>
          <w:p w14:paraId="7BCC3810" w14:textId="164EB5EC" w:rsidR="00814FED" w:rsidRPr="007E3FD8" w:rsidRDefault="00814FED" w:rsidP="006268E5">
            <w:pPr>
              <w:pStyle w:val="ListParagraph"/>
              <w:numPr>
                <w:ilvl w:val="0"/>
                <w:numId w:val="13"/>
              </w:numPr>
              <w:tabs>
                <w:tab w:val="clear" w:pos="567"/>
                <w:tab w:val="clear" w:pos="1134"/>
                <w:tab w:val="clear" w:pos="1701"/>
                <w:tab w:val="clear" w:pos="2268"/>
              </w:tabs>
              <w:ind w:left="324" w:hanging="284"/>
              <w:jc w:val="left"/>
              <w:rPr>
                <w:sz w:val="20"/>
                <w:szCs w:val="20"/>
              </w:rPr>
            </w:pPr>
            <w:r w:rsidRPr="007E3FD8">
              <w:rPr>
                <w:sz w:val="20"/>
                <w:szCs w:val="20"/>
              </w:rPr>
              <w:t xml:space="preserve">Persistent gaps: slow project approval, insufficient </w:t>
            </w:r>
            <w:r w:rsidR="00123F1D" w:rsidRPr="00123F1D">
              <w:rPr>
                <w:sz w:val="20"/>
                <w:szCs w:val="20"/>
              </w:rPr>
              <w:t>access and benefit-sharing</w:t>
            </w:r>
            <w:r w:rsidRPr="007E3FD8">
              <w:rPr>
                <w:sz w:val="20"/>
                <w:szCs w:val="20"/>
              </w:rPr>
              <w:t>-specific allocations under GEF-8, continued institutional bottlenecks</w:t>
            </w:r>
          </w:p>
        </w:tc>
      </w:tr>
    </w:tbl>
    <w:p w14:paraId="755817C1" w14:textId="77777777" w:rsidR="00A111D1" w:rsidRDefault="00A111D1" w:rsidP="00814FED"/>
    <w:p w14:paraId="1434BA0F" w14:textId="13E32662" w:rsidR="007E77FF" w:rsidRPr="00814FED" w:rsidRDefault="007E77FF" w:rsidP="006268E5">
      <w:pPr>
        <w:jc w:val="center"/>
      </w:pPr>
      <w:r>
        <w:t>__________</w:t>
      </w:r>
    </w:p>
    <w:sectPr w:rsidR="007E77FF" w:rsidRPr="00814FED" w:rsidSect="002C5298">
      <w:headerReference w:type="even" r:id="rId22"/>
      <w:headerReference w:type="default" r:id="rId23"/>
      <w:footerReference w:type="even" r:id="rId24"/>
      <w:footerReference w:type="default" r:id="rId25"/>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BBF83" w14:textId="77777777" w:rsidR="00131B95" w:rsidRPr="00866063" w:rsidRDefault="00131B95" w:rsidP="00CF1848">
      <w:r w:rsidRPr="00866063">
        <w:separator/>
      </w:r>
    </w:p>
  </w:endnote>
  <w:endnote w:type="continuationSeparator" w:id="0">
    <w:p w14:paraId="314ECD3E" w14:textId="77777777" w:rsidR="00131B95" w:rsidRPr="00866063" w:rsidRDefault="00131B9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889559"/>
      <w:docPartObj>
        <w:docPartGallery w:val="Page Numbers (Bottom of Page)"/>
        <w:docPartUnique/>
      </w:docPartObj>
    </w:sdtPr>
    <w:sdtContent>
      <w:sdt>
        <w:sdtPr>
          <w:id w:val="-1427577403"/>
          <w:docPartObj>
            <w:docPartGallery w:val="Page Numbers (Top of Page)"/>
            <w:docPartUnique/>
          </w:docPartObj>
        </w:sdtPr>
        <w:sdtContent>
          <w:p w14:paraId="17482B9E" w14:textId="77777777" w:rsidR="00814FED" w:rsidRPr="00866063" w:rsidRDefault="00814FED" w:rsidP="00D75CA6">
            <w:pPr>
              <w:pStyle w:val="Footer"/>
              <w:jc w:val="left"/>
            </w:pPr>
            <w:r w:rsidRPr="006268E5">
              <w:rPr>
                <w:szCs w:val="20"/>
              </w:rPr>
              <w:fldChar w:fldCharType="begin"/>
            </w:r>
            <w:r w:rsidRPr="006268E5">
              <w:rPr>
                <w:szCs w:val="20"/>
              </w:rPr>
              <w:instrText xml:space="preserve"> PAGE </w:instrText>
            </w:r>
            <w:r w:rsidRPr="006268E5">
              <w:rPr>
                <w:szCs w:val="20"/>
              </w:rPr>
              <w:fldChar w:fldCharType="separate"/>
            </w:r>
            <w:r w:rsidRPr="006268E5">
              <w:rPr>
                <w:noProof/>
                <w:szCs w:val="20"/>
              </w:rPr>
              <w:t>2</w:t>
            </w:r>
            <w:r w:rsidRPr="006268E5">
              <w:rPr>
                <w:szCs w:val="20"/>
              </w:rPr>
              <w:fldChar w:fldCharType="end"/>
            </w:r>
            <w:r w:rsidRPr="007E77FF">
              <w:rPr>
                <w:szCs w:val="20"/>
              </w:rPr>
              <w:t>/</w:t>
            </w:r>
            <w:r w:rsidRPr="006268E5">
              <w:rPr>
                <w:szCs w:val="20"/>
              </w:rPr>
              <w:fldChar w:fldCharType="begin"/>
            </w:r>
            <w:r w:rsidRPr="006268E5">
              <w:rPr>
                <w:szCs w:val="20"/>
              </w:rPr>
              <w:instrText xml:space="preserve"> NUMPAGES  </w:instrText>
            </w:r>
            <w:r w:rsidRPr="006268E5">
              <w:rPr>
                <w:szCs w:val="20"/>
              </w:rPr>
              <w:fldChar w:fldCharType="separate"/>
            </w:r>
            <w:r w:rsidRPr="006268E5">
              <w:rPr>
                <w:noProof/>
                <w:szCs w:val="20"/>
              </w:rPr>
              <w:t>2</w:t>
            </w:r>
            <w:r w:rsidRPr="006268E5">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22175"/>
      <w:docPartObj>
        <w:docPartGallery w:val="Page Numbers (Top of Page)"/>
        <w:docPartUnique/>
      </w:docPartObj>
    </w:sdtPr>
    <w:sdtContent>
      <w:p w14:paraId="339254EE" w14:textId="77777777" w:rsidR="00814FED" w:rsidRPr="00866063" w:rsidRDefault="00814FED"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09997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E4AD62C" w14:textId="77777777" w:rsidR="00D75CA6" w:rsidRPr="00866063" w:rsidRDefault="00D75CA6" w:rsidP="006268E5">
        <w:pPr>
          <w:pStyle w:val="Footer"/>
          <w:jc w:val="right"/>
        </w:pPr>
        <w:r w:rsidRPr="006268E5">
          <w:rPr>
            <w:szCs w:val="20"/>
          </w:rPr>
          <w:fldChar w:fldCharType="begin"/>
        </w:r>
        <w:r w:rsidRPr="006268E5">
          <w:rPr>
            <w:szCs w:val="20"/>
          </w:rPr>
          <w:instrText xml:space="preserve"> PAGE </w:instrText>
        </w:r>
        <w:r w:rsidRPr="006268E5">
          <w:rPr>
            <w:szCs w:val="20"/>
          </w:rPr>
          <w:fldChar w:fldCharType="separate"/>
        </w:r>
        <w:r w:rsidRPr="006268E5">
          <w:rPr>
            <w:szCs w:val="20"/>
          </w:rPr>
          <w:t>2</w:t>
        </w:r>
        <w:r w:rsidRPr="006268E5">
          <w:rPr>
            <w:szCs w:val="20"/>
          </w:rPr>
          <w:fldChar w:fldCharType="end"/>
        </w:r>
        <w:r w:rsidRPr="007E77FF">
          <w:rPr>
            <w:szCs w:val="20"/>
          </w:rPr>
          <w:t>/</w:t>
        </w:r>
        <w:r w:rsidRPr="006268E5">
          <w:rPr>
            <w:szCs w:val="20"/>
          </w:rPr>
          <w:fldChar w:fldCharType="begin"/>
        </w:r>
        <w:r w:rsidRPr="006268E5">
          <w:rPr>
            <w:szCs w:val="20"/>
          </w:rPr>
          <w:instrText xml:space="preserve"> NUMPAGES  </w:instrText>
        </w:r>
        <w:r w:rsidRPr="006268E5">
          <w:rPr>
            <w:szCs w:val="20"/>
          </w:rPr>
          <w:fldChar w:fldCharType="separate"/>
        </w:r>
        <w:r w:rsidRPr="006268E5">
          <w:rPr>
            <w:szCs w:val="20"/>
          </w:rPr>
          <w:t>3</w:t>
        </w:r>
        <w:r w:rsidRPr="006268E5">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0B753" w14:textId="77777777" w:rsidR="00131B95" w:rsidRPr="00866063" w:rsidRDefault="00131B95" w:rsidP="00CF1848">
      <w:r w:rsidRPr="00866063">
        <w:separator/>
      </w:r>
    </w:p>
  </w:footnote>
  <w:footnote w:type="continuationSeparator" w:id="0">
    <w:p w14:paraId="62BA702E" w14:textId="77777777" w:rsidR="00131B95" w:rsidRPr="00866063" w:rsidRDefault="00131B95" w:rsidP="00CF1848">
      <w:r w:rsidRPr="00866063">
        <w:continuationSeparator/>
      </w:r>
    </w:p>
  </w:footnote>
  <w:footnote w:id="1">
    <w:p w14:paraId="0D64DCFA" w14:textId="77777777" w:rsidR="00814FED" w:rsidRPr="00866063" w:rsidRDefault="00814FED" w:rsidP="00814FED">
      <w:pPr>
        <w:pStyle w:val="FootnoteText"/>
      </w:pPr>
      <w:hyperlink r:id="rId1" w:history="1">
        <w:r w:rsidRPr="00D744A5">
          <w:rPr>
            <w:rStyle w:val="Hyperlink"/>
            <w:vertAlign w:val="superscript"/>
          </w:rPr>
          <w:t>*</w:t>
        </w:r>
        <w:r w:rsidRPr="00D744A5">
          <w:rPr>
            <w:rStyle w:val="Hyperlink"/>
          </w:rPr>
          <w:t xml:space="preserve"> CBD/SBI/7/1</w:t>
        </w:r>
      </w:hyperlink>
      <w:r w:rsidRPr="00866063">
        <w:t>.</w:t>
      </w:r>
    </w:p>
  </w:footnote>
  <w:footnote w:id="2">
    <w:p w14:paraId="0B5B53F8" w14:textId="17BD7CF5" w:rsidR="00391CF5" w:rsidRPr="006268E5" w:rsidRDefault="00391CF5">
      <w:pPr>
        <w:pStyle w:val="FootnoteText"/>
        <w:rPr>
          <w:lang w:val="en-US"/>
        </w:rPr>
      </w:pPr>
      <w:r>
        <w:rPr>
          <w:rStyle w:val="FootnoteReference"/>
        </w:rPr>
        <w:t>**</w:t>
      </w:r>
      <w:r>
        <w:t xml:space="preserve"> </w:t>
      </w:r>
      <w:r>
        <w:rPr>
          <w:lang w:val="en-US"/>
        </w:rPr>
        <w:t>The present document is being issued without formal editing.</w:t>
      </w:r>
    </w:p>
  </w:footnote>
  <w:footnote w:id="3">
    <w:p w14:paraId="40BCAF52" w14:textId="6DA46766" w:rsidR="00DF042D" w:rsidRPr="004D77C4" w:rsidRDefault="00DF042D" w:rsidP="00DF042D">
      <w:pPr>
        <w:pStyle w:val="Footnote"/>
      </w:pPr>
      <w:r>
        <w:rPr>
          <w:rStyle w:val="FootnoteReference"/>
        </w:rPr>
        <w:footnoteRef/>
      </w:r>
      <w:r>
        <w:t xml:space="preserve"> </w:t>
      </w:r>
      <w:r w:rsidRPr="001139D7">
        <w:t xml:space="preserve">All national reports submitted on the Access and Benefit Sharing (ABS) Clearing-House are available at the following link: </w:t>
      </w:r>
      <w:hyperlink r:id="rId2" w:history="1">
        <w:r w:rsidRPr="00933A42">
          <w:rPr>
            <w:rStyle w:val="Hyperlink"/>
          </w:rPr>
          <w:t>https://absch.cbd.int/en/reports</w:t>
        </w:r>
      </w:hyperlink>
      <w:r w:rsidR="0058363E">
        <w:t>.</w:t>
      </w:r>
    </w:p>
  </w:footnote>
  <w:footnote w:id="4">
    <w:p w14:paraId="10B29696" w14:textId="77777777" w:rsidR="00814FED" w:rsidRPr="002F22A6" w:rsidRDefault="00814FED" w:rsidP="00814FED">
      <w:pPr>
        <w:pStyle w:val="FootnoteText"/>
        <w:suppressLineNumbers/>
        <w:suppressAutoHyphens/>
        <w:kinsoku w:val="0"/>
        <w:overflowPunct w:val="0"/>
        <w:autoSpaceDE w:val="0"/>
        <w:autoSpaceDN w:val="0"/>
        <w:rPr>
          <w:snapToGrid w:val="0"/>
          <w:kern w:val="18"/>
          <w:szCs w:val="18"/>
        </w:rPr>
      </w:pPr>
      <w:r w:rsidRPr="002F22A6">
        <w:rPr>
          <w:rStyle w:val="FootnoteReference"/>
          <w:snapToGrid w:val="0"/>
          <w:kern w:val="18"/>
          <w:szCs w:val="18"/>
        </w:rPr>
        <w:footnoteRef/>
      </w:r>
      <w:r w:rsidRPr="002F22A6">
        <w:rPr>
          <w:snapToGrid w:val="0"/>
          <w:kern w:val="18"/>
          <w:szCs w:val="18"/>
        </w:rPr>
        <w:t xml:space="preserve"> The GEF Project Database can be accessed at: </w:t>
      </w:r>
      <w:hyperlink r:id="rId3" w:history="1">
        <w:r w:rsidRPr="002F22A6">
          <w:rPr>
            <w:rStyle w:val="Hyperlink"/>
            <w:snapToGrid w:val="0"/>
            <w:kern w:val="18"/>
            <w:szCs w:val="18"/>
          </w:rPr>
          <w:t>http://www.thegef.org/projects</w:t>
        </w:r>
      </w:hyperlink>
      <w:r w:rsidRPr="002F22A6">
        <w:rPr>
          <w:snapToGrid w:val="0"/>
          <w:kern w:val="18"/>
          <w:szCs w:val="18"/>
        </w:rPr>
        <w:t>.</w:t>
      </w:r>
    </w:p>
  </w:footnote>
  <w:footnote w:id="5">
    <w:p w14:paraId="2E47B290" w14:textId="77777777" w:rsidR="00814FED" w:rsidRPr="002F22A6" w:rsidRDefault="00814FED" w:rsidP="00814FED">
      <w:pPr>
        <w:pStyle w:val="FootnoteText"/>
        <w:suppressLineNumbers/>
        <w:suppressAutoHyphens/>
        <w:kinsoku w:val="0"/>
        <w:overflowPunct w:val="0"/>
        <w:autoSpaceDE w:val="0"/>
        <w:autoSpaceDN w:val="0"/>
        <w:rPr>
          <w:snapToGrid w:val="0"/>
          <w:kern w:val="18"/>
          <w:szCs w:val="18"/>
        </w:rPr>
      </w:pPr>
      <w:r w:rsidRPr="002F22A6">
        <w:rPr>
          <w:rStyle w:val="FootnoteReference"/>
          <w:snapToGrid w:val="0"/>
          <w:kern w:val="18"/>
          <w:szCs w:val="18"/>
        </w:rPr>
        <w:footnoteRef/>
      </w:r>
      <w:r w:rsidRPr="002F22A6">
        <w:rPr>
          <w:snapToGrid w:val="0"/>
          <w:kern w:val="18"/>
          <w:szCs w:val="18"/>
        </w:rPr>
        <w:t xml:space="preserve"> The GEF Small Grants Programme Project Database can be accessed at: </w:t>
      </w:r>
      <w:hyperlink r:id="rId4" w:history="1">
        <w:r w:rsidRPr="002F22A6">
          <w:rPr>
            <w:rStyle w:val="Hyperlink"/>
            <w:snapToGrid w:val="0"/>
            <w:kern w:val="18"/>
            <w:szCs w:val="18"/>
          </w:rPr>
          <w:t>https://sgp.undp.org/</w:t>
        </w:r>
      </w:hyperlink>
      <w:r w:rsidRPr="002F22A6">
        <w:rPr>
          <w:snapToGrid w:val="0"/>
          <w:kern w:val="18"/>
          <w:szCs w:val="18"/>
        </w:rPr>
        <w:t>.</w:t>
      </w:r>
    </w:p>
  </w:footnote>
  <w:footnote w:id="6">
    <w:p w14:paraId="0C7E2493" w14:textId="464F65D1" w:rsidR="003A006D" w:rsidRPr="00EB1529" w:rsidRDefault="003A006D">
      <w:pPr>
        <w:pStyle w:val="FootnoteText"/>
        <w:rPr>
          <w:lang w:val="en-US"/>
        </w:rPr>
      </w:pPr>
      <w:r w:rsidRPr="00AE7272">
        <w:rPr>
          <w:rStyle w:val="FootnoteReference"/>
          <w:szCs w:val="18"/>
        </w:rPr>
        <w:footnoteRef/>
      </w:r>
      <w:r w:rsidRPr="00AE7272">
        <w:rPr>
          <w:szCs w:val="18"/>
        </w:rPr>
        <w:t xml:space="preserve"> PIC/MAT refers to </w:t>
      </w:r>
      <w:r w:rsidRPr="002C3790">
        <w:rPr>
          <w:szCs w:val="18"/>
        </w:rPr>
        <w:t>prior informed consen</w:t>
      </w:r>
      <w:r w:rsidR="005717C4" w:rsidRPr="002C3790">
        <w:rPr>
          <w:szCs w:val="18"/>
        </w:rPr>
        <w:t xml:space="preserve">t and </w:t>
      </w:r>
      <w:r w:rsidRPr="002C3790">
        <w:rPr>
          <w:szCs w:val="18"/>
        </w:rPr>
        <w:t>mutually agreed terms</w:t>
      </w:r>
      <w:r w:rsidR="005717C4" w:rsidRPr="002C3790">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523454617"/>
      <w:dataBinding w:prefixMappings="xmlns:ns0='http://purl.org/dc/elements/1.1/' xmlns:ns1='http://schemas.openxmlformats.org/package/2006/metadata/core-properties' " w:xpath="/ns1:coreProperties[1]/ns0:subject[1]" w:storeItemID="{6C3C8BC8-F283-45AE-878A-BAB7291924A1}"/>
      <w:text/>
    </w:sdtPr>
    <w:sdtContent>
      <w:p w14:paraId="3B90E94A" w14:textId="34429A38" w:rsidR="00814FED" w:rsidRPr="00866063" w:rsidRDefault="007E77FF" w:rsidP="007C4951">
        <w:pPr>
          <w:pStyle w:val="Header"/>
          <w:spacing w:after="240"/>
          <w:rPr>
            <w:szCs w:val="20"/>
          </w:rPr>
        </w:pPr>
        <w:r>
          <w:rPr>
            <w:szCs w:val="20"/>
          </w:rPr>
          <w:t>CBD/SBI/7/INF/7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28655628"/>
      <w:dataBinding w:prefixMappings="xmlns:ns0='http://purl.org/dc/elements/1.1/' xmlns:ns1='http://schemas.openxmlformats.org/package/2006/metadata/core-properties' " w:xpath="/ns1:coreProperties[1]/ns0:subject[1]" w:storeItemID="{6C3C8BC8-F283-45AE-878A-BAB7291924A1}"/>
      <w:text/>
    </w:sdtPr>
    <w:sdtContent>
      <w:p w14:paraId="454641FC" w14:textId="7A23375F" w:rsidR="00814FED" w:rsidRPr="00866063" w:rsidRDefault="007E77FF" w:rsidP="007C4951">
        <w:pPr>
          <w:pStyle w:val="Header"/>
          <w:spacing w:after="240"/>
          <w:jc w:val="right"/>
        </w:pPr>
        <w:r>
          <w:t>CBD/SBI/7/INF/7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1636351" w14:textId="5DE2B7B9" w:rsidR="00534681" w:rsidRPr="00866063" w:rsidRDefault="007E77FF" w:rsidP="006268E5">
        <w:pPr>
          <w:pStyle w:val="CBDHeader"/>
        </w:pPr>
        <w:r w:rsidRPr="00866063">
          <w:t>CBD/</w:t>
        </w:r>
        <w:r>
          <w:t>SBI/7/</w:t>
        </w:r>
        <w:r>
          <w:t>INF/7</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FFD822A" w14:textId="5DAF256C" w:rsidR="009505C9" w:rsidRPr="00866063" w:rsidRDefault="007E77FF" w:rsidP="006268E5">
        <w:pPr>
          <w:pStyle w:val="CBDHeader"/>
          <w:jc w:val="right"/>
        </w:pPr>
        <w:r>
          <w:t>CBD/SBI/7/INF/7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D26"/>
    <w:multiLevelType w:val="multilevel"/>
    <w:tmpl w:val="13B4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07B6A"/>
    <w:multiLevelType w:val="multilevel"/>
    <w:tmpl w:val="E06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56B78"/>
    <w:multiLevelType w:val="multilevel"/>
    <w:tmpl w:val="480A1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54DCD"/>
    <w:multiLevelType w:val="multilevel"/>
    <w:tmpl w:val="16843A6E"/>
    <w:lvl w:ilvl="0">
      <w:start w:val="1"/>
      <w:numFmt w:val="bullet"/>
      <w:lvlText w:val=""/>
      <w:lvlJc w:val="left"/>
      <w:pPr>
        <w:tabs>
          <w:tab w:val="num" w:pos="1080"/>
        </w:tabs>
        <w:ind w:left="1080" w:hanging="360"/>
      </w:pPr>
      <w:rPr>
        <w:rFonts w:ascii="Symbol" w:hAnsi="Symbol" w:hint="default"/>
        <w:sz w:val="20"/>
      </w:rPr>
    </w:lvl>
    <w:lvl w:ilvl="1">
      <w:start w:val="6"/>
      <w:numFmt w:val="upperRoman"/>
      <w:lvlText w:val="%2."/>
      <w:lvlJc w:val="left"/>
      <w:pPr>
        <w:ind w:left="2160" w:hanging="72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920426D"/>
    <w:multiLevelType w:val="multilevel"/>
    <w:tmpl w:val="4442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B04516C"/>
    <w:multiLevelType w:val="hybridMultilevel"/>
    <w:tmpl w:val="D18695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6C41E3"/>
    <w:multiLevelType w:val="hybridMultilevel"/>
    <w:tmpl w:val="49C217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805D94"/>
    <w:multiLevelType w:val="hybridMultilevel"/>
    <w:tmpl w:val="6CFC6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5691CF0"/>
    <w:multiLevelType w:val="multilevel"/>
    <w:tmpl w:val="B64A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828777">
    <w:abstractNumId w:val="7"/>
  </w:num>
  <w:num w:numId="2" w16cid:durableId="1858829">
    <w:abstractNumId w:val="5"/>
  </w:num>
  <w:num w:numId="3" w16cid:durableId="1333221471">
    <w:abstractNumId w:val="11"/>
  </w:num>
  <w:num w:numId="4" w16cid:durableId="1072390599">
    <w:abstractNumId w:val="13"/>
  </w:num>
  <w:num w:numId="5" w16cid:durableId="960385107">
    <w:abstractNumId w:val="6"/>
  </w:num>
  <w:num w:numId="6" w16cid:durableId="893932166">
    <w:abstractNumId w:val="10"/>
  </w:num>
  <w:num w:numId="7" w16cid:durableId="323945383">
    <w:abstractNumId w:val="8"/>
  </w:num>
  <w:num w:numId="8" w16cid:durableId="111636455">
    <w:abstractNumId w:val="3"/>
  </w:num>
  <w:num w:numId="9" w16cid:durableId="1968244452">
    <w:abstractNumId w:val="15"/>
  </w:num>
  <w:num w:numId="10" w16cid:durableId="1782340550">
    <w:abstractNumId w:val="0"/>
  </w:num>
  <w:num w:numId="11" w16cid:durableId="630479462">
    <w:abstractNumId w:val="2"/>
  </w:num>
  <w:num w:numId="12" w16cid:durableId="1401365917">
    <w:abstractNumId w:val="4"/>
  </w:num>
  <w:num w:numId="13" w16cid:durableId="1963684043">
    <w:abstractNumId w:val="12"/>
  </w:num>
  <w:num w:numId="14" w16cid:durableId="326053226">
    <w:abstractNumId w:val="9"/>
  </w:num>
  <w:num w:numId="15" w16cid:durableId="406269593">
    <w:abstractNumId w:val="14"/>
  </w:num>
  <w:num w:numId="16" w16cid:durableId="1890190370">
    <w:abstractNumId w:val="1"/>
  </w:num>
  <w:num w:numId="17" w16cid:durableId="1283728846">
    <w:abstractNumId w:val="10"/>
  </w:num>
  <w:num w:numId="18" w16cid:durableId="2019455414">
    <w:abstractNumId w:val="8"/>
  </w:num>
  <w:num w:numId="19" w16cid:durableId="1160777242">
    <w:abstractNumId w:val="8"/>
  </w:num>
  <w:num w:numId="20" w16cid:durableId="1698311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74812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5398944">
    <w:abstractNumId w:val="8"/>
  </w:num>
  <w:num w:numId="23" w16cid:durableId="528106629">
    <w:abstractNumId w:val="8"/>
  </w:num>
  <w:num w:numId="24" w16cid:durableId="1779179818">
    <w:abstractNumId w:val="8"/>
  </w:num>
  <w:num w:numId="25" w16cid:durableId="10248668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F76"/>
    <w:rsid w:val="000002F8"/>
    <w:rsid w:val="0000166F"/>
    <w:rsid w:val="0000336B"/>
    <w:rsid w:val="00003A8A"/>
    <w:rsid w:val="00003D23"/>
    <w:rsid w:val="00006388"/>
    <w:rsid w:val="00007561"/>
    <w:rsid w:val="000076AE"/>
    <w:rsid w:val="0001056A"/>
    <w:rsid w:val="0001076A"/>
    <w:rsid w:val="000143DB"/>
    <w:rsid w:val="00014514"/>
    <w:rsid w:val="00014971"/>
    <w:rsid w:val="00017270"/>
    <w:rsid w:val="000176CA"/>
    <w:rsid w:val="000207AC"/>
    <w:rsid w:val="00021305"/>
    <w:rsid w:val="00023F8B"/>
    <w:rsid w:val="0002578D"/>
    <w:rsid w:val="00027A45"/>
    <w:rsid w:val="00035431"/>
    <w:rsid w:val="00035E56"/>
    <w:rsid w:val="00037DFA"/>
    <w:rsid w:val="00045415"/>
    <w:rsid w:val="000459DF"/>
    <w:rsid w:val="00045D25"/>
    <w:rsid w:val="00045F10"/>
    <w:rsid w:val="00050A6F"/>
    <w:rsid w:val="00053274"/>
    <w:rsid w:val="00053742"/>
    <w:rsid w:val="00053C50"/>
    <w:rsid w:val="000540C7"/>
    <w:rsid w:val="00054C2D"/>
    <w:rsid w:val="000567A3"/>
    <w:rsid w:val="00056E76"/>
    <w:rsid w:val="00060A5E"/>
    <w:rsid w:val="00061687"/>
    <w:rsid w:val="00061FF0"/>
    <w:rsid w:val="00064C4A"/>
    <w:rsid w:val="00067212"/>
    <w:rsid w:val="000673C4"/>
    <w:rsid w:val="00067667"/>
    <w:rsid w:val="0007171B"/>
    <w:rsid w:val="00072ED7"/>
    <w:rsid w:val="00073CB4"/>
    <w:rsid w:val="000770BA"/>
    <w:rsid w:val="000808C7"/>
    <w:rsid w:val="00080A4F"/>
    <w:rsid w:val="00082418"/>
    <w:rsid w:val="00082D65"/>
    <w:rsid w:val="00084972"/>
    <w:rsid w:val="00084D4A"/>
    <w:rsid w:val="0009087A"/>
    <w:rsid w:val="000908CF"/>
    <w:rsid w:val="00090AF9"/>
    <w:rsid w:val="000913E5"/>
    <w:rsid w:val="00093F28"/>
    <w:rsid w:val="000952A7"/>
    <w:rsid w:val="000968E4"/>
    <w:rsid w:val="00097008"/>
    <w:rsid w:val="000A2DB0"/>
    <w:rsid w:val="000A4B01"/>
    <w:rsid w:val="000A7D29"/>
    <w:rsid w:val="000B0C2D"/>
    <w:rsid w:val="000B0C96"/>
    <w:rsid w:val="000B136E"/>
    <w:rsid w:val="000B198A"/>
    <w:rsid w:val="000B59F6"/>
    <w:rsid w:val="000B7DF3"/>
    <w:rsid w:val="000C04ED"/>
    <w:rsid w:val="000C065F"/>
    <w:rsid w:val="000C2E51"/>
    <w:rsid w:val="000C395F"/>
    <w:rsid w:val="000C3989"/>
    <w:rsid w:val="000C39A3"/>
    <w:rsid w:val="000C500C"/>
    <w:rsid w:val="000C7383"/>
    <w:rsid w:val="000C74DF"/>
    <w:rsid w:val="000D0F68"/>
    <w:rsid w:val="000D3284"/>
    <w:rsid w:val="000D3E00"/>
    <w:rsid w:val="000D4BA1"/>
    <w:rsid w:val="000D4E1D"/>
    <w:rsid w:val="000D583D"/>
    <w:rsid w:val="000D6F55"/>
    <w:rsid w:val="000E02E4"/>
    <w:rsid w:val="000E365B"/>
    <w:rsid w:val="000E44A9"/>
    <w:rsid w:val="000E5CC8"/>
    <w:rsid w:val="000E5E34"/>
    <w:rsid w:val="000E60B0"/>
    <w:rsid w:val="000E673A"/>
    <w:rsid w:val="000F0133"/>
    <w:rsid w:val="000F1410"/>
    <w:rsid w:val="000F2704"/>
    <w:rsid w:val="000F4816"/>
    <w:rsid w:val="000F4BD6"/>
    <w:rsid w:val="000F637F"/>
    <w:rsid w:val="000F6945"/>
    <w:rsid w:val="000F74F5"/>
    <w:rsid w:val="000F78FC"/>
    <w:rsid w:val="000F7D7C"/>
    <w:rsid w:val="00101E77"/>
    <w:rsid w:val="00105372"/>
    <w:rsid w:val="001054A6"/>
    <w:rsid w:val="0010564F"/>
    <w:rsid w:val="001066A3"/>
    <w:rsid w:val="00106C20"/>
    <w:rsid w:val="00106F84"/>
    <w:rsid w:val="001078A1"/>
    <w:rsid w:val="00107FFC"/>
    <w:rsid w:val="00112899"/>
    <w:rsid w:val="0011357E"/>
    <w:rsid w:val="0011632E"/>
    <w:rsid w:val="00120E06"/>
    <w:rsid w:val="00122958"/>
    <w:rsid w:val="00123F1D"/>
    <w:rsid w:val="00125A7B"/>
    <w:rsid w:val="0012627E"/>
    <w:rsid w:val="001312AD"/>
    <w:rsid w:val="00131A9E"/>
    <w:rsid w:val="00131B95"/>
    <w:rsid w:val="00131E7A"/>
    <w:rsid w:val="00132020"/>
    <w:rsid w:val="001325CD"/>
    <w:rsid w:val="0013410E"/>
    <w:rsid w:val="00134846"/>
    <w:rsid w:val="0013617B"/>
    <w:rsid w:val="00136632"/>
    <w:rsid w:val="00142CBD"/>
    <w:rsid w:val="00147516"/>
    <w:rsid w:val="00147848"/>
    <w:rsid w:val="0015026F"/>
    <w:rsid w:val="0015420D"/>
    <w:rsid w:val="001572CC"/>
    <w:rsid w:val="0015748A"/>
    <w:rsid w:val="00157A67"/>
    <w:rsid w:val="0016108A"/>
    <w:rsid w:val="00162793"/>
    <w:rsid w:val="0016317B"/>
    <w:rsid w:val="001631F2"/>
    <w:rsid w:val="0016364D"/>
    <w:rsid w:val="00163D96"/>
    <w:rsid w:val="00163EA8"/>
    <w:rsid w:val="00164B01"/>
    <w:rsid w:val="0016644C"/>
    <w:rsid w:val="0016698A"/>
    <w:rsid w:val="00172121"/>
    <w:rsid w:val="00172AF6"/>
    <w:rsid w:val="00172FE2"/>
    <w:rsid w:val="00174DE0"/>
    <w:rsid w:val="00176CEE"/>
    <w:rsid w:val="00177FD3"/>
    <w:rsid w:val="001816C0"/>
    <w:rsid w:val="0018251D"/>
    <w:rsid w:val="00183792"/>
    <w:rsid w:val="0018386C"/>
    <w:rsid w:val="00185E61"/>
    <w:rsid w:val="00185F2B"/>
    <w:rsid w:val="00186DD8"/>
    <w:rsid w:val="00187755"/>
    <w:rsid w:val="00190892"/>
    <w:rsid w:val="001930A7"/>
    <w:rsid w:val="00195895"/>
    <w:rsid w:val="001A0231"/>
    <w:rsid w:val="001A186D"/>
    <w:rsid w:val="001A2E7A"/>
    <w:rsid w:val="001A32CF"/>
    <w:rsid w:val="001A35EC"/>
    <w:rsid w:val="001A414A"/>
    <w:rsid w:val="001A4D48"/>
    <w:rsid w:val="001B08AF"/>
    <w:rsid w:val="001B0FCD"/>
    <w:rsid w:val="001B13FE"/>
    <w:rsid w:val="001B2C69"/>
    <w:rsid w:val="001B3F89"/>
    <w:rsid w:val="001B424F"/>
    <w:rsid w:val="001B4595"/>
    <w:rsid w:val="001C06F9"/>
    <w:rsid w:val="001C6247"/>
    <w:rsid w:val="001C6F01"/>
    <w:rsid w:val="001C75B9"/>
    <w:rsid w:val="001D0F0A"/>
    <w:rsid w:val="001D104A"/>
    <w:rsid w:val="001D247A"/>
    <w:rsid w:val="001D43FC"/>
    <w:rsid w:val="001D51BF"/>
    <w:rsid w:val="001D6149"/>
    <w:rsid w:val="001D6D78"/>
    <w:rsid w:val="001E0011"/>
    <w:rsid w:val="001E0787"/>
    <w:rsid w:val="001E1C65"/>
    <w:rsid w:val="001E570B"/>
    <w:rsid w:val="001E73E4"/>
    <w:rsid w:val="001E74D4"/>
    <w:rsid w:val="001E7B54"/>
    <w:rsid w:val="001E7BCE"/>
    <w:rsid w:val="001F74DD"/>
    <w:rsid w:val="001F79F0"/>
    <w:rsid w:val="00202BBE"/>
    <w:rsid w:val="0021006E"/>
    <w:rsid w:val="00214F65"/>
    <w:rsid w:val="002157DD"/>
    <w:rsid w:val="00217FAC"/>
    <w:rsid w:val="00220421"/>
    <w:rsid w:val="002227B2"/>
    <w:rsid w:val="00223959"/>
    <w:rsid w:val="00224ADA"/>
    <w:rsid w:val="0022530C"/>
    <w:rsid w:val="00227E0B"/>
    <w:rsid w:val="002305EE"/>
    <w:rsid w:val="00232029"/>
    <w:rsid w:val="00232445"/>
    <w:rsid w:val="00232E9B"/>
    <w:rsid w:val="00233C3A"/>
    <w:rsid w:val="0023513B"/>
    <w:rsid w:val="00235B95"/>
    <w:rsid w:val="00236930"/>
    <w:rsid w:val="00236F58"/>
    <w:rsid w:val="00237F4A"/>
    <w:rsid w:val="002404A7"/>
    <w:rsid w:val="002447A1"/>
    <w:rsid w:val="002454E4"/>
    <w:rsid w:val="0024729B"/>
    <w:rsid w:val="00250056"/>
    <w:rsid w:val="00252591"/>
    <w:rsid w:val="00254478"/>
    <w:rsid w:val="0025691A"/>
    <w:rsid w:val="00256AD2"/>
    <w:rsid w:val="0026017C"/>
    <w:rsid w:val="00263B88"/>
    <w:rsid w:val="00263DBA"/>
    <w:rsid w:val="00263F86"/>
    <w:rsid w:val="00264C19"/>
    <w:rsid w:val="00266B55"/>
    <w:rsid w:val="002671AC"/>
    <w:rsid w:val="002678F9"/>
    <w:rsid w:val="002714E4"/>
    <w:rsid w:val="00273402"/>
    <w:rsid w:val="0027475E"/>
    <w:rsid w:val="00274B9F"/>
    <w:rsid w:val="00280C1C"/>
    <w:rsid w:val="00286074"/>
    <w:rsid w:val="00286388"/>
    <w:rsid w:val="002868AD"/>
    <w:rsid w:val="00286E97"/>
    <w:rsid w:val="00287ADE"/>
    <w:rsid w:val="002922EA"/>
    <w:rsid w:val="00293635"/>
    <w:rsid w:val="0029393D"/>
    <w:rsid w:val="002943C9"/>
    <w:rsid w:val="00294AEC"/>
    <w:rsid w:val="00295E1F"/>
    <w:rsid w:val="00296AE8"/>
    <w:rsid w:val="00297E53"/>
    <w:rsid w:val="00297F45"/>
    <w:rsid w:val="002A09B4"/>
    <w:rsid w:val="002A0EBC"/>
    <w:rsid w:val="002A325D"/>
    <w:rsid w:val="002A4554"/>
    <w:rsid w:val="002A4EA0"/>
    <w:rsid w:val="002A656F"/>
    <w:rsid w:val="002A7DE8"/>
    <w:rsid w:val="002B0365"/>
    <w:rsid w:val="002B156B"/>
    <w:rsid w:val="002B1C88"/>
    <w:rsid w:val="002B1EEA"/>
    <w:rsid w:val="002B3675"/>
    <w:rsid w:val="002B403D"/>
    <w:rsid w:val="002B424C"/>
    <w:rsid w:val="002B5033"/>
    <w:rsid w:val="002B5151"/>
    <w:rsid w:val="002B58CF"/>
    <w:rsid w:val="002B6445"/>
    <w:rsid w:val="002B7353"/>
    <w:rsid w:val="002C3790"/>
    <w:rsid w:val="002C3DB0"/>
    <w:rsid w:val="002C4602"/>
    <w:rsid w:val="002C5298"/>
    <w:rsid w:val="002C6DF8"/>
    <w:rsid w:val="002C7435"/>
    <w:rsid w:val="002C7BEA"/>
    <w:rsid w:val="002C7BF1"/>
    <w:rsid w:val="002D1FE4"/>
    <w:rsid w:val="002D2954"/>
    <w:rsid w:val="002D31FF"/>
    <w:rsid w:val="002D5950"/>
    <w:rsid w:val="002D7670"/>
    <w:rsid w:val="002E5412"/>
    <w:rsid w:val="002E703E"/>
    <w:rsid w:val="002F0E37"/>
    <w:rsid w:val="002F12A0"/>
    <w:rsid w:val="002F2B07"/>
    <w:rsid w:val="002F37AD"/>
    <w:rsid w:val="002F3B5A"/>
    <w:rsid w:val="002F58D9"/>
    <w:rsid w:val="002F60B1"/>
    <w:rsid w:val="002F6135"/>
    <w:rsid w:val="003002FF"/>
    <w:rsid w:val="00300753"/>
    <w:rsid w:val="003008FE"/>
    <w:rsid w:val="0030169D"/>
    <w:rsid w:val="00302B33"/>
    <w:rsid w:val="003046FB"/>
    <w:rsid w:val="003060EB"/>
    <w:rsid w:val="00313EA1"/>
    <w:rsid w:val="003153EB"/>
    <w:rsid w:val="00315B89"/>
    <w:rsid w:val="00317C31"/>
    <w:rsid w:val="00321985"/>
    <w:rsid w:val="00322094"/>
    <w:rsid w:val="003224E4"/>
    <w:rsid w:val="0032263E"/>
    <w:rsid w:val="003235BE"/>
    <w:rsid w:val="00325160"/>
    <w:rsid w:val="00325CDF"/>
    <w:rsid w:val="0032613D"/>
    <w:rsid w:val="00327836"/>
    <w:rsid w:val="003304EA"/>
    <w:rsid w:val="00331204"/>
    <w:rsid w:val="003332C0"/>
    <w:rsid w:val="00334133"/>
    <w:rsid w:val="00334243"/>
    <w:rsid w:val="00334CBD"/>
    <w:rsid w:val="00337EC1"/>
    <w:rsid w:val="003402A9"/>
    <w:rsid w:val="00340FC8"/>
    <w:rsid w:val="00341CF9"/>
    <w:rsid w:val="00342E53"/>
    <w:rsid w:val="00343F92"/>
    <w:rsid w:val="00346605"/>
    <w:rsid w:val="00351205"/>
    <w:rsid w:val="00351AA0"/>
    <w:rsid w:val="00351D8A"/>
    <w:rsid w:val="00351F06"/>
    <w:rsid w:val="00354035"/>
    <w:rsid w:val="00357827"/>
    <w:rsid w:val="00362BF8"/>
    <w:rsid w:val="00365E0F"/>
    <w:rsid w:val="003661C3"/>
    <w:rsid w:val="00367E56"/>
    <w:rsid w:val="003709F8"/>
    <w:rsid w:val="00372CA8"/>
    <w:rsid w:val="00372F74"/>
    <w:rsid w:val="003730ED"/>
    <w:rsid w:val="00375E64"/>
    <w:rsid w:val="00377093"/>
    <w:rsid w:val="0038027D"/>
    <w:rsid w:val="00380A6B"/>
    <w:rsid w:val="003824EF"/>
    <w:rsid w:val="00382774"/>
    <w:rsid w:val="00382BF1"/>
    <w:rsid w:val="003836A6"/>
    <w:rsid w:val="003842BD"/>
    <w:rsid w:val="00384E5E"/>
    <w:rsid w:val="00385392"/>
    <w:rsid w:val="00386F78"/>
    <w:rsid w:val="00387CD3"/>
    <w:rsid w:val="00391CF5"/>
    <w:rsid w:val="00392AE2"/>
    <w:rsid w:val="00392E63"/>
    <w:rsid w:val="00392F76"/>
    <w:rsid w:val="003930D2"/>
    <w:rsid w:val="00394CDD"/>
    <w:rsid w:val="00395719"/>
    <w:rsid w:val="003A006D"/>
    <w:rsid w:val="003A0A8D"/>
    <w:rsid w:val="003A129F"/>
    <w:rsid w:val="003A1AC0"/>
    <w:rsid w:val="003A346B"/>
    <w:rsid w:val="003A7156"/>
    <w:rsid w:val="003A74D5"/>
    <w:rsid w:val="003B16A5"/>
    <w:rsid w:val="003B2C9C"/>
    <w:rsid w:val="003B4E75"/>
    <w:rsid w:val="003B6251"/>
    <w:rsid w:val="003C0ED1"/>
    <w:rsid w:val="003C2110"/>
    <w:rsid w:val="003C24FF"/>
    <w:rsid w:val="003C4D68"/>
    <w:rsid w:val="003C7E5C"/>
    <w:rsid w:val="003D4990"/>
    <w:rsid w:val="003E0654"/>
    <w:rsid w:val="003E1059"/>
    <w:rsid w:val="003E2880"/>
    <w:rsid w:val="003E6FB9"/>
    <w:rsid w:val="003E78DE"/>
    <w:rsid w:val="003F032A"/>
    <w:rsid w:val="003F03EB"/>
    <w:rsid w:val="003F11CB"/>
    <w:rsid w:val="003F1F52"/>
    <w:rsid w:val="003F2FCD"/>
    <w:rsid w:val="003F49D6"/>
    <w:rsid w:val="003F55CB"/>
    <w:rsid w:val="003F5B37"/>
    <w:rsid w:val="003F5FB7"/>
    <w:rsid w:val="003F7224"/>
    <w:rsid w:val="004006AA"/>
    <w:rsid w:val="00400CAC"/>
    <w:rsid w:val="004010E7"/>
    <w:rsid w:val="00401B4B"/>
    <w:rsid w:val="004029AA"/>
    <w:rsid w:val="0040446F"/>
    <w:rsid w:val="0040465F"/>
    <w:rsid w:val="00405301"/>
    <w:rsid w:val="0040713C"/>
    <w:rsid w:val="00410B35"/>
    <w:rsid w:val="0041299B"/>
    <w:rsid w:val="0041689A"/>
    <w:rsid w:val="00416A49"/>
    <w:rsid w:val="00421283"/>
    <w:rsid w:val="00421B99"/>
    <w:rsid w:val="00426D3E"/>
    <w:rsid w:val="00426E3F"/>
    <w:rsid w:val="00427D21"/>
    <w:rsid w:val="004300E4"/>
    <w:rsid w:val="00430CBF"/>
    <w:rsid w:val="00431E68"/>
    <w:rsid w:val="00433556"/>
    <w:rsid w:val="004337E6"/>
    <w:rsid w:val="00436DE3"/>
    <w:rsid w:val="00440A94"/>
    <w:rsid w:val="00447F4A"/>
    <w:rsid w:val="00452534"/>
    <w:rsid w:val="00454883"/>
    <w:rsid w:val="00455AF2"/>
    <w:rsid w:val="00455E84"/>
    <w:rsid w:val="00456F67"/>
    <w:rsid w:val="00460146"/>
    <w:rsid w:val="004636F6"/>
    <w:rsid w:val="004644C2"/>
    <w:rsid w:val="004645F5"/>
    <w:rsid w:val="004667D4"/>
    <w:rsid w:val="00467F9C"/>
    <w:rsid w:val="00467FDC"/>
    <w:rsid w:val="00470559"/>
    <w:rsid w:val="0047238C"/>
    <w:rsid w:val="004736CF"/>
    <w:rsid w:val="004737D7"/>
    <w:rsid w:val="0047542C"/>
    <w:rsid w:val="00476427"/>
    <w:rsid w:val="004769A4"/>
    <w:rsid w:val="00477157"/>
    <w:rsid w:val="004773AE"/>
    <w:rsid w:val="00480D84"/>
    <w:rsid w:val="00481632"/>
    <w:rsid w:val="00481B1B"/>
    <w:rsid w:val="00481D7D"/>
    <w:rsid w:val="0048204D"/>
    <w:rsid w:val="00482F08"/>
    <w:rsid w:val="00484350"/>
    <w:rsid w:val="00486322"/>
    <w:rsid w:val="0048693F"/>
    <w:rsid w:val="00491918"/>
    <w:rsid w:val="00491982"/>
    <w:rsid w:val="004932DA"/>
    <w:rsid w:val="00496AEF"/>
    <w:rsid w:val="00496C22"/>
    <w:rsid w:val="004A393F"/>
    <w:rsid w:val="004A4D14"/>
    <w:rsid w:val="004A5FCC"/>
    <w:rsid w:val="004A7D13"/>
    <w:rsid w:val="004B04BC"/>
    <w:rsid w:val="004B5D21"/>
    <w:rsid w:val="004B67AA"/>
    <w:rsid w:val="004B6BA6"/>
    <w:rsid w:val="004C0C48"/>
    <w:rsid w:val="004C429A"/>
    <w:rsid w:val="004C49C7"/>
    <w:rsid w:val="004C6576"/>
    <w:rsid w:val="004C65AC"/>
    <w:rsid w:val="004C6D05"/>
    <w:rsid w:val="004D1BBD"/>
    <w:rsid w:val="004D2245"/>
    <w:rsid w:val="004D2EC2"/>
    <w:rsid w:val="004D6DF6"/>
    <w:rsid w:val="004E21A6"/>
    <w:rsid w:val="004E4E3A"/>
    <w:rsid w:val="004E5E41"/>
    <w:rsid w:val="004F07C1"/>
    <w:rsid w:val="004F1EE4"/>
    <w:rsid w:val="004F31C8"/>
    <w:rsid w:val="004F4606"/>
    <w:rsid w:val="004F60C0"/>
    <w:rsid w:val="004F7C84"/>
    <w:rsid w:val="00500161"/>
    <w:rsid w:val="005004AB"/>
    <w:rsid w:val="00501765"/>
    <w:rsid w:val="0051006C"/>
    <w:rsid w:val="005108B3"/>
    <w:rsid w:val="00513872"/>
    <w:rsid w:val="00514244"/>
    <w:rsid w:val="005154DE"/>
    <w:rsid w:val="005158C9"/>
    <w:rsid w:val="0051592E"/>
    <w:rsid w:val="00515D8F"/>
    <w:rsid w:val="00516B23"/>
    <w:rsid w:val="00522B85"/>
    <w:rsid w:val="005230DA"/>
    <w:rsid w:val="005231D6"/>
    <w:rsid w:val="00523B2F"/>
    <w:rsid w:val="00523D29"/>
    <w:rsid w:val="00524492"/>
    <w:rsid w:val="005270B1"/>
    <w:rsid w:val="00530ABD"/>
    <w:rsid w:val="005314DE"/>
    <w:rsid w:val="00531BE4"/>
    <w:rsid w:val="0053232C"/>
    <w:rsid w:val="00532C90"/>
    <w:rsid w:val="0053407F"/>
    <w:rsid w:val="00534681"/>
    <w:rsid w:val="005349FC"/>
    <w:rsid w:val="00536170"/>
    <w:rsid w:val="00537A49"/>
    <w:rsid w:val="00541A53"/>
    <w:rsid w:val="005433C1"/>
    <w:rsid w:val="00544C3F"/>
    <w:rsid w:val="005458DE"/>
    <w:rsid w:val="00550119"/>
    <w:rsid w:val="00551349"/>
    <w:rsid w:val="00554AC4"/>
    <w:rsid w:val="0056068E"/>
    <w:rsid w:val="005621A6"/>
    <w:rsid w:val="00562648"/>
    <w:rsid w:val="00563306"/>
    <w:rsid w:val="00563442"/>
    <w:rsid w:val="0056348E"/>
    <w:rsid w:val="00564994"/>
    <w:rsid w:val="00565387"/>
    <w:rsid w:val="0056573B"/>
    <w:rsid w:val="00565B42"/>
    <w:rsid w:val="00570D1B"/>
    <w:rsid w:val="005717C4"/>
    <w:rsid w:val="00574A1D"/>
    <w:rsid w:val="005770D3"/>
    <w:rsid w:val="00577CA3"/>
    <w:rsid w:val="00582C60"/>
    <w:rsid w:val="0058363E"/>
    <w:rsid w:val="00583853"/>
    <w:rsid w:val="005848D7"/>
    <w:rsid w:val="00587764"/>
    <w:rsid w:val="00590007"/>
    <w:rsid w:val="00591197"/>
    <w:rsid w:val="00594BBB"/>
    <w:rsid w:val="00596094"/>
    <w:rsid w:val="00596554"/>
    <w:rsid w:val="005966C8"/>
    <w:rsid w:val="005970E7"/>
    <w:rsid w:val="005972BD"/>
    <w:rsid w:val="005A0D3C"/>
    <w:rsid w:val="005A1A28"/>
    <w:rsid w:val="005A2762"/>
    <w:rsid w:val="005A2901"/>
    <w:rsid w:val="005A30E7"/>
    <w:rsid w:val="005A4418"/>
    <w:rsid w:val="005A5B03"/>
    <w:rsid w:val="005A7EBA"/>
    <w:rsid w:val="005B08A3"/>
    <w:rsid w:val="005B19D5"/>
    <w:rsid w:val="005B240D"/>
    <w:rsid w:val="005B307E"/>
    <w:rsid w:val="005B35E2"/>
    <w:rsid w:val="005B4D3C"/>
    <w:rsid w:val="005B76EE"/>
    <w:rsid w:val="005C1805"/>
    <w:rsid w:val="005C352A"/>
    <w:rsid w:val="005C3633"/>
    <w:rsid w:val="005C3C5E"/>
    <w:rsid w:val="005C4CE6"/>
    <w:rsid w:val="005D0A1E"/>
    <w:rsid w:val="005D19DA"/>
    <w:rsid w:val="005D62CA"/>
    <w:rsid w:val="005D6A69"/>
    <w:rsid w:val="005D7602"/>
    <w:rsid w:val="005E126C"/>
    <w:rsid w:val="005E16B7"/>
    <w:rsid w:val="005E18F6"/>
    <w:rsid w:val="005E68E7"/>
    <w:rsid w:val="005E76D0"/>
    <w:rsid w:val="005F0760"/>
    <w:rsid w:val="005F1281"/>
    <w:rsid w:val="005F19EE"/>
    <w:rsid w:val="005F3EAD"/>
    <w:rsid w:val="005F4177"/>
    <w:rsid w:val="005F64B3"/>
    <w:rsid w:val="005F6C7E"/>
    <w:rsid w:val="00603A44"/>
    <w:rsid w:val="006064DB"/>
    <w:rsid w:val="00607188"/>
    <w:rsid w:val="006122BA"/>
    <w:rsid w:val="006126D4"/>
    <w:rsid w:val="00612AA5"/>
    <w:rsid w:val="0061539E"/>
    <w:rsid w:val="00617101"/>
    <w:rsid w:val="0061756F"/>
    <w:rsid w:val="006211D7"/>
    <w:rsid w:val="00626034"/>
    <w:rsid w:val="0062625C"/>
    <w:rsid w:val="006268E5"/>
    <w:rsid w:val="00631AC5"/>
    <w:rsid w:val="006330E1"/>
    <w:rsid w:val="00634322"/>
    <w:rsid w:val="00637B5F"/>
    <w:rsid w:val="00637CBD"/>
    <w:rsid w:val="006409C9"/>
    <w:rsid w:val="00643E17"/>
    <w:rsid w:val="00644729"/>
    <w:rsid w:val="00647794"/>
    <w:rsid w:val="006478BF"/>
    <w:rsid w:val="0065140F"/>
    <w:rsid w:val="006521A0"/>
    <w:rsid w:val="0065292A"/>
    <w:rsid w:val="00652E84"/>
    <w:rsid w:val="006540D3"/>
    <w:rsid w:val="0065420A"/>
    <w:rsid w:val="00654F5F"/>
    <w:rsid w:val="00655DD4"/>
    <w:rsid w:val="006576A6"/>
    <w:rsid w:val="006577EE"/>
    <w:rsid w:val="00660B19"/>
    <w:rsid w:val="006633FC"/>
    <w:rsid w:val="00665231"/>
    <w:rsid w:val="0067026A"/>
    <w:rsid w:val="006730C6"/>
    <w:rsid w:val="0067344A"/>
    <w:rsid w:val="00673AFC"/>
    <w:rsid w:val="00674093"/>
    <w:rsid w:val="00675A25"/>
    <w:rsid w:val="00676CA3"/>
    <w:rsid w:val="00681EE7"/>
    <w:rsid w:val="006837A4"/>
    <w:rsid w:val="00683B64"/>
    <w:rsid w:val="006852B6"/>
    <w:rsid w:val="006875AB"/>
    <w:rsid w:val="006878C0"/>
    <w:rsid w:val="00687D6C"/>
    <w:rsid w:val="00687E32"/>
    <w:rsid w:val="00691125"/>
    <w:rsid w:val="00691292"/>
    <w:rsid w:val="00692D95"/>
    <w:rsid w:val="00693731"/>
    <w:rsid w:val="00695932"/>
    <w:rsid w:val="006959E5"/>
    <w:rsid w:val="00696958"/>
    <w:rsid w:val="0069695B"/>
    <w:rsid w:val="006978A6"/>
    <w:rsid w:val="006A09E9"/>
    <w:rsid w:val="006A256D"/>
    <w:rsid w:val="006A34C0"/>
    <w:rsid w:val="006A3806"/>
    <w:rsid w:val="006A4535"/>
    <w:rsid w:val="006A4FC5"/>
    <w:rsid w:val="006A52E2"/>
    <w:rsid w:val="006A5988"/>
    <w:rsid w:val="006A64FF"/>
    <w:rsid w:val="006A66B4"/>
    <w:rsid w:val="006A6B29"/>
    <w:rsid w:val="006A73C1"/>
    <w:rsid w:val="006B0A13"/>
    <w:rsid w:val="006B1F5F"/>
    <w:rsid w:val="006B2290"/>
    <w:rsid w:val="006B3E04"/>
    <w:rsid w:val="006B4ED3"/>
    <w:rsid w:val="006B5DFD"/>
    <w:rsid w:val="006B63BA"/>
    <w:rsid w:val="006B6672"/>
    <w:rsid w:val="006C16DB"/>
    <w:rsid w:val="006C5900"/>
    <w:rsid w:val="006C6D18"/>
    <w:rsid w:val="006D0AFA"/>
    <w:rsid w:val="006D1FDC"/>
    <w:rsid w:val="006D28DF"/>
    <w:rsid w:val="006D301E"/>
    <w:rsid w:val="006D3860"/>
    <w:rsid w:val="006D4362"/>
    <w:rsid w:val="006D5533"/>
    <w:rsid w:val="006D63CF"/>
    <w:rsid w:val="006E56BF"/>
    <w:rsid w:val="006F1EEA"/>
    <w:rsid w:val="006F3CC4"/>
    <w:rsid w:val="006F450D"/>
    <w:rsid w:val="006F5A5A"/>
    <w:rsid w:val="006F7170"/>
    <w:rsid w:val="00701361"/>
    <w:rsid w:val="00702D93"/>
    <w:rsid w:val="00702F6F"/>
    <w:rsid w:val="00703616"/>
    <w:rsid w:val="007057FC"/>
    <w:rsid w:val="0070596E"/>
    <w:rsid w:val="0071346E"/>
    <w:rsid w:val="00717840"/>
    <w:rsid w:val="00717D88"/>
    <w:rsid w:val="00722E82"/>
    <w:rsid w:val="00723941"/>
    <w:rsid w:val="00723AB7"/>
    <w:rsid w:val="007241CB"/>
    <w:rsid w:val="007257DD"/>
    <w:rsid w:val="00726A43"/>
    <w:rsid w:val="007314E0"/>
    <w:rsid w:val="007315E7"/>
    <w:rsid w:val="00731EC1"/>
    <w:rsid w:val="00732D62"/>
    <w:rsid w:val="00741CB4"/>
    <w:rsid w:val="0074237D"/>
    <w:rsid w:val="00742D82"/>
    <w:rsid w:val="00743C0F"/>
    <w:rsid w:val="00745153"/>
    <w:rsid w:val="007454F3"/>
    <w:rsid w:val="007467E2"/>
    <w:rsid w:val="007470D8"/>
    <w:rsid w:val="007501E6"/>
    <w:rsid w:val="00753677"/>
    <w:rsid w:val="00755BB2"/>
    <w:rsid w:val="00757719"/>
    <w:rsid w:val="00760386"/>
    <w:rsid w:val="00760DBA"/>
    <w:rsid w:val="00761C1B"/>
    <w:rsid w:val="0076231F"/>
    <w:rsid w:val="00766F83"/>
    <w:rsid w:val="00767237"/>
    <w:rsid w:val="007711DA"/>
    <w:rsid w:val="00771D46"/>
    <w:rsid w:val="00775894"/>
    <w:rsid w:val="00775D1F"/>
    <w:rsid w:val="00777503"/>
    <w:rsid w:val="00777DBD"/>
    <w:rsid w:val="00780156"/>
    <w:rsid w:val="00781C20"/>
    <w:rsid w:val="0078412B"/>
    <w:rsid w:val="00784A7F"/>
    <w:rsid w:val="007855D3"/>
    <w:rsid w:val="00785A4D"/>
    <w:rsid w:val="00786056"/>
    <w:rsid w:val="00790618"/>
    <w:rsid w:val="0079187A"/>
    <w:rsid w:val="00791DF6"/>
    <w:rsid w:val="007921C3"/>
    <w:rsid w:val="00792861"/>
    <w:rsid w:val="00793CA9"/>
    <w:rsid w:val="007942D3"/>
    <w:rsid w:val="007972E5"/>
    <w:rsid w:val="007976A5"/>
    <w:rsid w:val="007A096B"/>
    <w:rsid w:val="007A1B99"/>
    <w:rsid w:val="007A596A"/>
    <w:rsid w:val="007A63C7"/>
    <w:rsid w:val="007B08E8"/>
    <w:rsid w:val="007B1CE8"/>
    <w:rsid w:val="007B1ED1"/>
    <w:rsid w:val="007B2099"/>
    <w:rsid w:val="007B33C9"/>
    <w:rsid w:val="007B58A9"/>
    <w:rsid w:val="007B6C09"/>
    <w:rsid w:val="007B7741"/>
    <w:rsid w:val="007C0298"/>
    <w:rsid w:val="007C129D"/>
    <w:rsid w:val="007C179F"/>
    <w:rsid w:val="007C25DA"/>
    <w:rsid w:val="007C490D"/>
    <w:rsid w:val="007C4951"/>
    <w:rsid w:val="007C4F03"/>
    <w:rsid w:val="007C7583"/>
    <w:rsid w:val="007D00F7"/>
    <w:rsid w:val="007D0ABB"/>
    <w:rsid w:val="007D10B9"/>
    <w:rsid w:val="007D4363"/>
    <w:rsid w:val="007D5115"/>
    <w:rsid w:val="007D56C2"/>
    <w:rsid w:val="007E0107"/>
    <w:rsid w:val="007E09DA"/>
    <w:rsid w:val="007E0F8A"/>
    <w:rsid w:val="007E436B"/>
    <w:rsid w:val="007E632F"/>
    <w:rsid w:val="007E6D38"/>
    <w:rsid w:val="007E77FF"/>
    <w:rsid w:val="007F0BA1"/>
    <w:rsid w:val="007F33F4"/>
    <w:rsid w:val="007F4F67"/>
    <w:rsid w:val="007F718D"/>
    <w:rsid w:val="00801FAD"/>
    <w:rsid w:val="0080206B"/>
    <w:rsid w:val="0080451B"/>
    <w:rsid w:val="00804774"/>
    <w:rsid w:val="00805185"/>
    <w:rsid w:val="008057DC"/>
    <w:rsid w:val="008105C6"/>
    <w:rsid w:val="00812054"/>
    <w:rsid w:val="00813885"/>
    <w:rsid w:val="00814FED"/>
    <w:rsid w:val="00816479"/>
    <w:rsid w:val="008178B6"/>
    <w:rsid w:val="00821653"/>
    <w:rsid w:val="00821C84"/>
    <w:rsid w:val="008245A0"/>
    <w:rsid w:val="008245F0"/>
    <w:rsid w:val="00824E7A"/>
    <w:rsid w:val="008262F0"/>
    <w:rsid w:val="00831E0F"/>
    <w:rsid w:val="00831F87"/>
    <w:rsid w:val="0083254C"/>
    <w:rsid w:val="00833B73"/>
    <w:rsid w:val="00833B9B"/>
    <w:rsid w:val="0083557D"/>
    <w:rsid w:val="00835D34"/>
    <w:rsid w:val="00836AE6"/>
    <w:rsid w:val="00837B17"/>
    <w:rsid w:val="0084052E"/>
    <w:rsid w:val="00840953"/>
    <w:rsid w:val="008426EE"/>
    <w:rsid w:val="0084406A"/>
    <w:rsid w:val="008455AA"/>
    <w:rsid w:val="0084643F"/>
    <w:rsid w:val="00850A08"/>
    <w:rsid w:val="00852A60"/>
    <w:rsid w:val="00852E89"/>
    <w:rsid w:val="00855901"/>
    <w:rsid w:val="008636E2"/>
    <w:rsid w:val="00864092"/>
    <w:rsid w:val="008649F0"/>
    <w:rsid w:val="00864E4F"/>
    <w:rsid w:val="00865B74"/>
    <w:rsid w:val="00866063"/>
    <w:rsid w:val="00866B36"/>
    <w:rsid w:val="00867D51"/>
    <w:rsid w:val="00870EE3"/>
    <w:rsid w:val="00870F29"/>
    <w:rsid w:val="00872B42"/>
    <w:rsid w:val="00874698"/>
    <w:rsid w:val="00881768"/>
    <w:rsid w:val="00882369"/>
    <w:rsid w:val="00882FC9"/>
    <w:rsid w:val="008832D4"/>
    <w:rsid w:val="00883C05"/>
    <w:rsid w:val="0088526E"/>
    <w:rsid w:val="00891177"/>
    <w:rsid w:val="00891C9A"/>
    <w:rsid w:val="008935A2"/>
    <w:rsid w:val="008949D1"/>
    <w:rsid w:val="008974F0"/>
    <w:rsid w:val="008A00B3"/>
    <w:rsid w:val="008A055F"/>
    <w:rsid w:val="008A1499"/>
    <w:rsid w:val="008A1506"/>
    <w:rsid w:val="008A44F9"/>
    <w:rsid w:val="008A78F5"/>
    <w:rsid w:val="008B012A"/>
    <w:rsid w:val="008B0D0D"/>
    <w:rsid w:val="008B13BB"/>
    <w:rsid w:val="008B2BD0"/>
    <w:rsid w:val="008B4C71"/>
    <w:rsid w:val="008B565F"/>
    <w:rsid w:val="008B719D"/>
    <w:rsid w:val="008C0ABA"/>
    <w:rsid w:val="008C0C2E"/>
    <w:rsid w:val="008C190B"/>
    <w:rsid w:val="008C328E"/>
    <w:rsid w:val="008C3863"/>
    <w:rsid w:val="008C3C05"/>
    <w:rsid w:val="008C3F45"/>
    <w:rsid w:val="008C3F99"/>
    <w:rsid w:val="008C638C"/>
    <w:rsid w:val="008C6E2B"/>
    <w:rsid w:val="008C7703"/>
    <w:rsid w:val="008D0D74"/>
    <w:rsid w:val="008D11B0"/>
    <w:rsid w:val="008D4450"/>
    <w:rsid w:val="008D47D9"/>
    <w:rsid w:val="008D63B0"/>
    <w:rsid w:val="008E2188"/>
    <w:rsid w:val="008E2A58"/>
    <w:rsid w:val="008E6DFE"/>
    <w:rsid w:val="008E6E09"/>
    <w:rsid w:val="008F2272"/>
    <w:rsid w:val="008F233F"/>
    <w:rsid w:val="008F29A5"/>
    <w:rsid w:val="008F3317"/>
    <w:rsid w:val="008F38E2"/>
    <w:rsid w:val="00900746"/>
    <w:rsid w:val="00902DE9"/>
    <w:rsid w:val="00903A45"/>
    <w:rsid w:val="00903BDD"/>
    <w:rsid w:val="00904E1B"/>
    <w:rsid w:val="00905A47"/>
    <w:rsid w:val="0090614F"/>
    <w:rsid w:val="00906E0B"/>
    <w:rsid w:val="00906E17"/>
    <w:rsid w:val="009120F8"/>
    <w:rsid w:val="0091532B"/>
    <w:rsid w:val="00915F24"/>
    <w:rsid w:val="009168A1"/>
    <w:rsid w:val="0092080E"/>
    <w:rsid w:val="00920985"/>
    <w:rsid w:val="0092153E"/>
    <w:rsid w:val="00921865"/>
    <w:rsid w:val="00925800"/>
    <w:rsid w:val="0092735E"/>
    <w:rsid w:val="00930BA1"/>
    <w:rsid w:val="0093169E"/>
    <w:rsid w:val="00931CFA"/>
    <w:rsid w:val="00933CE1"/>
    <w:rsid w:val="00935F98"/>
    <w:rsid w:val="009375DB"/>
    <w:rsid w:val="0093782E"/>
    <w:rsid w:val="00947F18"/>
    <w:rsid w:val="009505C9"/>
    <w:rsid w:val="00950752"/>
    <w:rsid w:val="00956345"/>
    <w:rsid w:val="0095718A"/>
    <w:rsid w:val="00961438"/>
    <w:rsid w:val="009627E4"/>
    <w:rsid w:val="00962C99"/>
    <w:rsid w:val="00963EA7"/>
    <w:rsid w:val="00964AEC"/>
    <w:rsid w:val="00965E00"/>
    <w:rsid w:val="00966424"/>
    <w:rsid w:val="00967A9B"/>
    <w:rsid w:val="00967C64"/>
    <w:rsid w:val="00970E5D"/>
    <w:rsid w:val="00972257"/>
    <w:rsid w:val="00973EA6"/>
    <w:rsid w:val="0097577F"/>
    <w:rsid w:val="009828DB"/>
    <w:rsid w:val="00982CB9"/>
    <w:rsid w:val="009832C4"/>
    <w:rsid w:val="00983FD8"/>
    <w:rsid w:val="009845EA"/>
    <w:rsid w:val="009850B1"/>
    <w:rsid w:val="009852C2"/>
    <w:rsid w:val="0098716D"/>
    <w:rsid w:val="00991C21"/>
    <w:rsid w:val="0099317C"/>
    <w:rsid w:val="00994563"/>
    <w:rsid w:val="009A1E3F"/>
    <w:rsid w:val="009A2189"/>
    <w:rsid w:val="009A21B5"/>
    <w:rsid w:val="009A2738"/>
    <w:rsid w:val="009A3D32"/>
    <w:rsid w:val="009A3E7F"/>
    <w:rsid w:val="009A44E6"/>
    <w:rsid w:val="009A4780"/>
    <w:rsid w:val="009A4CC8"/>
    <w:rsid w:val="009B0E01"/>
    <w:rsid w:val="009B1CAF"/>
    <w:rsid w:val="009B2429"/>
    <w:rsid w:val="009B3291"/>
    <w:rsid w:val="009B45DA"/>
    <w:rsid w:val="009B55DC"/>
    <w:rsid w:val="009B572F"/>
    <w:rsid w:val="009B5FBA"/>
    <w:rsid w:val="009B62BF"/>
    <w:rsid w:val="009B759A"/>
    <w:rsid w:val="009B75DE"/>
    <w:rsid w:val="009B796C"/>
    <w:rsid w:val="009C1AB1"/>
    <w:rsid w:val="009C2DE6"/>
    <w:rsid w:val="009C41D7"/>
    <w:rsid w:val="009C4E1B"/>
    <w:rsid w:val="009C7471"/>
    <w:rsid w:val="009D08FF"/>
    <w:rsid w:val="009D0FE7"/>
    <w:rsid w:val="009D1301"/>
    <w:rsid w:val="009D1479"/>
    <w:rsid w:val="009D17A6"/>
    <w:rsid w:val="009D2752"/>
    <w:rsid w:val="009D6631"/>
    <w:rsid w:val="009E4A21"/>
    <w:rsid w:val="009E50F0"/>
    <w:rsid w:val="009E6494"/>
    <w:rsid w:val="009E712F"/>
    <w:rsid w:val="009F199E"/>
    <w:rsid w:val="009F3014"/>
    <w:rsid w:val="009F340A"/>
    <w:rsid w:val="009F5FF1"/>
    <w:rsid w:val="009F7AF4"/>
    <w:rsid w:val="00A00035"/>
    <w:rsid w:val="00A00EB8"/>
    <w:rsid w:val="00A015CF"/>
    <w:rsid w:val="00A031AB"/>
    <w:rsid w:val="00A03BD3"/>
    <w:rsid w:val="00A043B2"/>
    <w:rsid w:val="00A04597"/>
    <w:rsid w:val="00A05694"/>
    <w:rsid w:val="00A05717"/>
    <w:rsid w:val="00A063A8"/>
    <w:rsid w:val="00A072CD"/>
    <w:rsid w:val="00A07768"/>
    <w:rsid w:val="00A10545"/>
    <w:rsid w:val="00A111D1"/>
    <w:rsid w:val="00A13823"/>
    <w:rsid w:val="00A13C01"/>
    <w:rsid w:val="00A13C8A"/>
    <w:rsid w:val="00A14A05"/>
    <w:rsid w:val="00A14A4C"/>
    <w:rsid w:val="00A14E92"/>
    <w:rsid w:val="00A15337"/>
    <w:rsid w:val="00A21DD6"/>
    <w:rsid w:val="00A23535"/>
    <w:rsid w:val="00A24F81"/>
    <w:rsid w:val="00A257D7"/>
    <w:rsid w:val="00A26FB0"/>
    <w:rsid w:val="00A27E21"/>
    <w:rsid w:val="00A31117"/>
    <w:rsid w:val="00A336CB"/>
    <w:rsid w:val="00A347BF"/>
    <w:rsid w:val="00A34EC4"/>
    <w:rsid w:val="00A35BC1"/>
    <w:rsid w:val="00A367FF"/>
    <w:rsid w:val="00A3710E"/>
    <w:rsid w:val="00A37195"/>
    <w:rsid w:val="00A42AD9"/>
    <w:rsid w:val="00A43B93"/>
    <w:rsid w:val="00A44BBD"/>
    <w:rsid w:val="00A51EFA"/>
    <w:rsid w:val="00A53208"/>
    <w:rsid w:val="00A534C8"/>
    <w:rsid w:val="00A53515"/>
    <w:rsid w:val="00A54487"/>
    <w:rsid w:val="00A57FE8"/>
    <w:rsid w:val="00A61806"/>
    <w:rsid w:val="00A658E1"/>
    <w:rsid w:val="00A65E5C"/>
    <w:rsid w:val="00A704EF"/>
    <w:rsid w:val="00A70CCE"/>
    <w:rsid w:val="00A74463"/>
    <w:rsid w:val="00A75234"/>
    <w:rsid w:val="00A75DCC"/>
    <w:rsid w:val="00A76E5A"/>
    <w:rsid w:val="00A77954"/>
    <w:rsid w:val="00A81925"/>
    <w:rsid w:val="00A85219"/>
    <w:rsid w:val="00A85309"/>
    <w:rsid w:val="00A870F2"/>
    <w:rsid w:val="00A90251"/>
    <w:rsid w:val="00A90427"/>
    <w:rsid w:val="00A90C75"/>
    <w:rsid w:val="00A92FE5"/>
    <w:rsid w:val="00A938FE"/>
    <w:rsid w:val="00A93A33"/>
    <w:rsid w:val="00A9464F"/>
    <w:rsid w:val="00A94E8F"/>
    <w:rsid w:val="00A94EA6"/>
    <w:rsid w:val="00A96A96"/>
    <w:rsid w:val="00A97515"/>
    <w:rsid w:val="00AA09BC"/>
    <w:rsid w:val="00AA46F5"/>
    <w:rsid w:val="00AA591E"/>
    <w:rsid w:val="00AA6F92"/>
    <w:rsid w:val="00AA7093"/>
    <w:rsid w:val="00AA7621"/>
    <w:rsid w:val="00AA7B96"/>
    <w:rsid w:val="00AB1662"/>
    <w:rsid w:val="00AB2D6A"/>
    <w:rsid w:val="00AB4A1F"/>
    <w:rsid w:val="00AB6298"/>
    <w:rsid w:val="00AB6934"/>
    <w:rsid w:val="00AB7368"/>
    <w:rsid w:val="00AC367E"/>
    <w:rsid w:val="00AC3FCF"/>
    <w:rsid w:val="00AC6052"/>
    <w:rsid w:val="00AC65E6"/>
    <w:rsid w:val="00AC6CC1"/>
    <w:rsid w:val="00AC7F25"/>
    <w:rsid w:val="00AD4407"/>
    <w:rsid w:val="00AD4A67"/>
    <w:rsid w:val="00AD5CC8"/>
    <w:rsid w:val="00AD61FD"/>
    <w:rsid w:val="00AD6372"/>
    <w:rsid w:val="00AD6475"/>
    <w:rsid w:val="00AD6A62"/>
    <w:rsid w:val="00AD6C52"/>
    <w:rsid w:val="00AD7CDE"/>
    <w:rsid w:val="00AE07E5"/>
    <w:rsid w:val="00AE1879"/>
    <w:rsid w:val="00AE4855"/>
    <w:rsid w:val="00AE6BD9"/>
    <w:rsid w:val="00AE7272"/>
    <w:rsid w:val="00AF1398"/>
    <w:rsid w:val="00AF3AF6"/>
    <w:rsid w:val="00AF42DE"/>
    <w:rsid w:val="00B00246"/>
    <w:rsid w:val="00B02DA3"/>
    <w:rsid w:val="00B032D1"/>
    <w:rsid w:val="00B034DE"/>
    <w:rsid w:val="00B03D08"/>
    <w:rsid w:val="00B06340"/>
    <w:rsid w:val="00B0652B"/>
    <w:rsid w:val="00B107E1"/>
    <w:rsid w:val="00B13056"/>
    <w:rsid w:val="00B1508A"/>
    <w:rsid w:val="00B155CE"/>
    <w:rsid w:val="00B15601"/>
    <w:rsid w:val="00B17031"/>
    <w:rsid w:val="00B20D9D"/>
    <w:rsid w:val="00B21440"/>
    <w:rsid w:val="00B21677"/>
    <w:rsid w:val="00B23290"/>
    <w:rsid w:val="00B2397E"/>
    <w:rsid w:val="00B24B57"/>
    <w:rsid w:val="00B264B7"/>
    <w:rsid w:val="00B2740D"/>
    <w:rsid w:val="00B3052E"/>
    <w:rsid w:val="00B3369F"/>
    <w:rsid w:val="00B34E84"/>
    <w:rsid w:val="00B42ACA"/>
    <w:rsid w:val="00B43665"/>
    <w:rsid w:val="00B43A0A"/>
    <w:rsid w:val="00B46115"/>
    <w:rsid w:val="00B501B9"/>
    <w:rsid w:val="00B525C0"/>
    <w:rsid w:val="00B52E6D"/>
    <w:rsid w:val="00B54B2A"/>
    <w:rsid w:val="00B5664F"/>
    <w:rsid w:val="00B5705D"/>
    <w:rsid w:val="00B5778E"/>
    <w:rsid w:val="00B619BF"/>
    <w:rsid w:val="00B64CCD"/>
    <w:rsid w:val="00B669C3"/>
    <w:rsid w:val="00B66BAF"/>
    <w:rsid w:val="00B66ED0"/>
    <w:rsid w:val="00B67CAF"/>
    <w:rsid w:val="00B7189B"/>
    <w:rsid w:val="00B74557"/>
    <w:rsid w:val="00B74643"/>
    <w:rsid w:val="00B75703"/>
    <w:rsid w:val="00B77319"/>
    <w:rsid w:val="00B82A55"/>
    <w:rsid w:val="00B8344C"/>
    <w:rsid w:val="00B839D7"/>
    <w:rsid w:val="00B847FF"/>
    <w:rsid w:val="00B851B8"/>
    <w:rsid w:val="00B85B3A"/>
    <w:rsid w:val="00B8693F"/>
    <w:rsid w:val="00B871E1"/>
    <w:rsid w:val="00B94E6C"/>
    <w:rsid w:val="00B97790"/>
    <w:rsid w:val="00BA2F76"/>
    <w:rsid w:val="00BA3305"/>
    <w:rsid w:val="00BA7407"/>
    <w:rsid w:val="00BB1CB7"/>
    <w:rsid w:val="00BB4606"/>
    <w:rsid w:val="00BB5ABE"/>
    <w:rsid w:val="00BB661A"/>
    <w:rsid w:val="00BB723E"/>
    <w:rsid w:val="00BC30D4"/>
    <w:rsid w:val="00BC4124"/>
    <w:rsid w:val="00BC4CE9"/>
    <w:rsid w:val="00BC5ED8"/>
    <w:rsid w:val="00BD0B01"/>
    <w:rsid w:val="00BD1291"/>
    <w:rsid w:val="00BD3B47"/>
    <w:rsid w:val="00BD47BD"/>
    <w:rsid w:val="00BD48E6"/>
    <w:rsid w:val="00BD75D1"/>
    <w:rsid w:val="00BE2941"/>
    <w:rsid w:val="00BE3617"/>
    <w:rsid w:val="00BE36A5"/>
    <w:rsid w:val="00BE54C0"/>
    <w:rsid w:val="00BF007A"/>
    <w:rsid w:val="00BF0FDD"/>
    <w:rsid w:val="00BF26AA"/>
    <w:rsid w:val="00BF3AB0"/>
    <w:rsid w:val="00BF6494"/>
    <w:rsid w:val="00BF7670"/>
    <w:rsid w:val="00C00201"/>
    <w:rsid w:val="00C051B8"/>
    <w:rsid w:val="00C05799"/>
    <w:rsid w:val="00C0749A"/>
    <w:rsid w:val="00C107B5"/>
    <w:rsid w:val="00C11F21"/>
    <w:rsid w:val="00C138B3"/>
    <w:rsid w:val="00C14DA0"/>
    <w:rsid w:val="00C14FA5"/>
    <w:rsid w:val="00C16CC5"/>
    <w:rsid w:val="00C16ED5"/>
    <w:rsid w:val="00C17542"/>
    <w:rsid w:val="00C221D9"/>
    <w:rsid w:val="00C23D2F"/>
    <w:rsid w:val="00C252AF"/>
    <w:rsid w:val="00C2629C"/>
    <w:rsid w:val="00C27A5F"/>
    <w:rsid w:val="00C27CC9"/>
    <w:rsid w:val="00C305E1"/>
    <w:rsid w:val="00C32275"/>
    <w:rsid w:val="00C32972"/>
    <w:rsid w:val="00C35D99"/>
    <w:rsid w:val="00C4228E"/>
    <w:rsid w:val="00C4348A"/>
    <w:rsid w:val="00C4417D"/>
    <w:rsid w:val="00C443BD"/>
    <w:rsid w:val="00C451C5"/>
    <w:rsid w:val="00C50F7B"/>
    <w:rsid w:val="00C51B10"/>
    <w:rsid w:val="00C521B0"/>
    <w:rsid w:val="00C521F9"/>
    <w:rsid w:val="00C5254E"/>
    <w:rsid w:val="00C5273C"/>
    <w:rsid w:val="00C53006"/>
    <w:rsid w:val="00C53C6E"/>
    <w:rsid w:val="00C541BB"/>
    <w:rsid w:val="00C55171"/>
    <w:rsid w:val="00C560BC"/>
    <w:rsid w:val="00C56124"/>
    <w:rsid w:val="00C562C0"/>
    <w:rsid w:val="00C562D2"/>
    <w:rsid w:val="00C573A5"/>
    <w:rsid w:val="00C6242B"/>
    <w:rsid w:val="00C639A8"/>
    <w:rsid w:val="00C66ED1"/>
    <w:rsid w:val="00C70084"/>
    <w:rsid w:val="00C70E00"/>
    <w:rsid w:val="00C72CDC"/>
    <w:rsid w:val="00C73CC3"/>
    <w:rsid w:val="00C77A5D"/>
    <w:rsid w:val="00C80290"/>
    <w:rsid w:val="00C804C1"/>
    <w:rsid w:val="00C80EB8"/>
    <w:rsid w:val="00C85441"/>
    <w:rsid w:val="00C86D14"/>
    <w:rsid w:val="00C87A32"/>
    <w:rsid w:val="00C9161D"/>
    <w:rsid w:val="00C93084"/>
    <w:rsid w:val="00C9369C"/>
    <w:rsid w:val="00C94F90"/>
    <w:rsid w:val="00C95574"/>
    <w:rsid w:val="00C973B5"/>
    <w:rsid w:val="00CA05DF"/>
    <w:rsid w:val="00CA0C1D"/>
    <w:rsid w:val="00CA180B"/>
    <w:rsid w:val="00CA18DD"/>
    <w:rsid w:val="00CB0979"/>
    <w:rsid w:val="00CB1B56"/>
    <w:rsid w:val="00CB4166"/>
    <w:rsid w:val="00CB7CE4"/>
    <w:rsid w:val="00CC0EF1"/>
    <w:rsid w:val="00CC3228"/>
    <w:rsid w:val="00CC4591"/>
    <w:rsid w:val="00CD0610"/>
    <w:rsid w:val="00CD3BDB"/>
    <w:rsid w:val="00CD4D41"/>
    <w:rsid w:val="00CD5443"/>
    <w:rsid w:val="00CD6053"/>
    <w:rsid w:val="00CD70C9"/>
    <w:rsid w:val="00CD783D"/>
    <w:rsid w:val="00CE1334"/>
    <w:rsid w:val="00CE19DA"/>
    <w:rsid w:val="00CE2CED"/>
    <w:rsid w:val="00CE2E02"/>
    <w:rsid w:val="00CE2E8F"/>
    <w:rsid w:val="00CE3706"/>
    <w:rsid w:val="00CE3BC2"/>
    <w:rsid w:val="00CE4099"/>
    <w:rsid w:val="00CE421B"/>
    <w:rsid w:val="00CE4880"/>
    <w:rsid w:val="00CE4A25"/>
    <w:rsid w:val="00CE6E19"/>
    <w:rsid w:val="00CF1848"/>
    <w:rsid w:val="00CF2FE5"/>
    <w:rsid w:val="00CF4AF4"/>
    <w:rsid w:val="00CF77E2"/>
    <w:rsid w:val="00CF791E"/>
    <w:rsid w:val="00D005B3"/>
    <w:rsid w:val="00D00CA3"/>
    <w:rsid w:val="00D03628"/>
    <w:rsid w:val="00D044F0"/>
    <w:rsid w:val="00D047FE"/>
    <w:rsid w:val="00D05197"/>
    <w:rsid w:val="00D06241"/>
    <w:rsid w:val="00D10448"/>
    <w:rsid w:val="00D1079F"/>
    <w:rsid w:val="00D12044"/>
    <w:rsid w:val="00D14083"/>
    <w:rsid w:val="00D15412"/>
    <w:rsid w:val="00D15946"/>
    <w:rsid w:val="00D15968"/>
    <w:rsid w:val="00D1612B"/>
    <w:rsid w:val="00D163A4"/>
    <w:rsid w:val="00D1641C"/>
    <w:rsid w:val="00D170D9"/>
    <w:rsid w:val="00D2181D"/>
    <w:rsid w:val="00D235EA"/>
    <w:rsid w:val="00D248F3"/>
    <w:rsid w:val="00D24D69"/>
    <w:rsid w:val="00D26719"/>
    <w:rsid w:val="00D27039"/>
    <w:rsid w:val="00D336A1"/>
    <w:rsid w:val="00D339E9"/>
    <w:rsid w:val="00D33EFC"/>
    <w:rsid w:val="00D40161"/>
    <w:rsid w:val="00D40DBC"/>
    <w:rsid w:val="00D42CFD"/>
    <w:rsid w:val="00D43CB9"/>
    <w:rsid w:val="00D461A1"/>
    <w:rsid w:val="00D500BF"/>
    <w:rsid w:val="00D509D8"/>
    <w:rsid w:val="00D50F6A"/>
    <w:rsid w:val="00D51521"/>
    <w:rsid w:val="00D51621"/>
    <w:rsid w:val="00D5238E"/>
    <w:rsid w:val="00D52FB7"/>
    <w:rsid w:val="00D54571"/>
    <w:rsid w:val="00D56B2C"/>
    <w:rsid w:val="00D570AD"/>
    <w:rsid w:val="00D604C5"/>
    <w:rsid w:val="00D61C85"/>
    <w:rsid w:val="00D6672E"/>
    <w:rsid w:val="00D66ACD"/>
    <w:rsid w:val="00D6770B"/>
    <w:rsid w:val="00D6785E"/>
    <w:rsid w:val="00D7066E"/>
    <w:rsid w:val="00D70CF3"/>
    <w:rsid w:val="00D71F30"/>
    <w:rsid w:val="00D720D1"/>
    <w:rsid w:val="00D7327D"/>
    <w:rsid w:val="00D744A5"/>
    <w:rsid w:val="00D7524E"/>
    <w:rsid w:val="00D755D4"/>
    <w:rsid w:val="00D75CA6"/>
    <w:rsid w:val="00D76A18"/>
    <w:rsid w:val="00D7715B"/>
    <w:rsid w:val="00D80849"/>
    <w:rsid w:val="00D81468"/>
    <w:rsid w:val="00D81F22"/>
    <w:rsid w:val="00D82E8F"/>
    <w:rsid w:val="00D83E8D"/>
    <w:rsid w:val="00D83E91"/>
    <w:rsid w:val="00D83E9E"/>
    <w:rsid w:val="00D84EFC"/>
    <w:rsid w:val="00D8737E"/>
    <w:rsid w:val="00D8791E"/>
    <w:rsid w:val="00D87949"/>
    <w:rsid w:val="00D90FBD"/>
    <w:rsid w:val="00D9159A"/>
    <w:rsid w:val="00D93F82"/>
    <w:rsid w:val="00D94C74"/>
    <w:rsid w:val="00D97DA2"/>
    <w:rsid w:val="00DA37C3"/>
    <w:rsid w:val="00DA5693"/>
    <w:rsid w:val="00DA5EE8"/>
    <w:rsid w:val="00DA70EF"/>
    <w:rsid w:val="00DB04EC"/>
    <w:rsid w:val="00DB121B"/>
    <w:rsid w:val="00DB129C"/>
    <w:rsid w:val="00DB322C"/>
    <w:rsid w:val="00DB47E9"/>
    <w:rsid w:val="00DB5E0F"/>
    <w:rsid w:val="00DB7262"/>
    <w:rsid w:val="00DC0320"/>
    <w:rsid w:val="00DC12E8"/>
    <w:rsid w:val="00DC13F5"/>
    <w:rsid w:val="00DC2130"/>
    <w:rsid w:val="00DC3820"/>
    <w:rsid w:val="00DC75B1"/>
    <w:rsid w:val="00DC799B"/>
    <w:rsid w:val="00DD0268"/>
    <w:rsid w:val="00DD052F"/>
    <w:rsid w:val="00DD118C"/>
    <w:rsid w:val="00DD1CC2"/>
    <w:rsid w:val="00DD2CD9"/>
    <w:rsid w:val="00DD4C1C"/>
    <w:rsid w:val="00DD5786"/>
    <w:rsid w:val="00DD6084"/>
    <w:rsid w:val="00DD61C1"/>
    <w:rsid w:val="00DD7BED"/>
    <w:rsid w:val="00DE0292"/>
    <w:rsid w:val="00DE49A3"/>
    <w:rsid w:val="00DE5690"/>
    <w:rsid w:val="00DE765C"/>
    <w:rsid w:val="00DF042D"/>
    <w:rsid w:val="00DF0BDD"/>
    <w:rsid w:val="00DF16A5"/>
    <w:rsid w:val="00DF388A"/>
    <w:rsid w:val="00DF5724"/>
    <w:rsid w:val="00DF6806"/>
    <w:rsid w:val="00DF7197"/>
    <w:rsid w:val="00E0087A"/>
    <w:rsid w:val="00E0295A"/>
    <w:rsid w:val="00E02DF4"/>
    <w:rsid w:val="00E03651"/>
    <w:rsid w:val="00E0432D"/>
    <w:rsid w:val="00E05EDD"/>
    <w:rsid w:val="00E06672"/>
    <w:rsid w:val="00E066C6"/>
    <w:rsid w:val="00E06B39"/>
    <w:rsid w:val="00E14463"/>
    <w:rsid w:val="00E15C0A"/>
    <w:rsid w:val="00E16E10"/>
    <w:rsid w:val="00E17728"/>
    <w:rsid w:val="00E24BD5"/>
    <w:rsid w:val="00E24F28"/>
    <w:rsid w:val="00E2511D"/>
    <w:rsid w:val="00E27950"/>
    <w:rsid w:val="00E319D5"/>
    <w:rsid w:val="00E334C4"/>
    <w:rsid w:val="00E33764"/>
    <w:rsid w:val="00E3430D"/>
    <w:rsid w:val="00E44339"/>
    <w:rsid w:val="00E4513E"/>
    <w:rsid w:val="00E45FB4"/>
    <w:rsid w:val="00E46427"/>
    <w:rsid w:val="00E51D85"/>
    <w:rsid w:val="00E5257C"/>
    <w:rsid w:val="00E532F8"/>
    <w:rsid w:val="00E53897"/>
    <w:rsid w:val="00E538ED"/>
    <w:rsid w:val="00E541C2"/>
    <w:rsid w:val="00E54D78"/>
    <w:rsid w:val="00E553CB"/>
    <w:rsid w:val="00E57212"/>
    <w:rsid w:val="00E57C53"/>
    <w:rsid w:val="00E62252"/>
    <w:rsid w:val="00E66235"/>
    <w:rsid w:val="00E67D5F"/>
    <w:rsid w:val="00E67E0E"/>
    <w:rsid w:val="00E70F76"/>
    <w:rsid w:val="00E71475"/>
    <w:rsid w:val="00E71FB9"/>
    <w:rsid w:val="00E7254E"/>
    <w:rsid w:val="00E72878"/>
    <w:rsid w:val="00E72E7D"/>
    <w:rsid w:val="00E742F9"/>
    <w:rsid w:val="00E757D7"/>
    <w:rsid w:val="00E7635B"/>
    <w:rsid w:val="00E8032C"/>
    <w:rsid w:val="00E813F0"/>
    <w:rsid w:val="00E81BBF"/>
    <w:rsid w:val="00E821B4"/>
    <w:rsid w:val="00E82581"/>
    <w:rsid w:val="00E82814"/>
    <w:rsid w:val="00E83C24"/>
    <w:rsid w:val="00E841D7"/>
    <w:rsid w:val="00E85A44"/>
    <w:rsid w:val="00E8631A"/>
    <w:rsid w:val="00E87E50"/>
    <w:rsid w:val="00E90A50"/>
    <w:rsid w:val="00E91469"/>
    <w:rsid w:val="00E91C43"/>
    <w:rsid w:val="00E9248C"/>
    <w:rsid w:val="00E9318D"/>
    <w:rsid w:val="00E93F3E"/>
    <w:rsid w:val="00E95EA5"/>
    <w:rsid w:val="00E973CC"/>
    <w:rsid w:val="00E976DA"/>
    <w:rsid w:val="00EA115D"/>
    <w:rsid w:val="00EA1FF9"/>
    <w:rsid w:val="00EA2A65"/>
    <w:rsid w:val="00EA3A8D"/>
    <w:rsid w:val="00EA70B1"/>
    <w:rsid w:val="00EB0328"/>
    <w:rsid w:val="00EB1529"/>
    <w:rsid w:val="00EB1A6D"/>
    <w:rsid w:val="00EB354C"/>
    <w:rsid w:val="00EB5617"/>
    <w:rsid w:val="00EB5F29"/>
    <w:rsid w:val="00EB717A"/>
    <w:rsid w:val="00EC3A81"/>
    <w:rsid w:val="00EC4390"/>
    <w:rsid w:val="00EC5BB4"/>
    <w:rsid w:val="00EC65D2"/>
    <w:rsid w:val="00EC6FF3"/>
    <w:rsid w:val="00EC758B"/>
    <w:rsid w:val="00ED03BA"/>
    <w:rsid w:val="00ED0DDF"/>
    <w:rsid w:val="00ED14EE"/>
    <w:rsid w:val="00ED194F"/>
    <w:rsid w:val="00ED36C9"/>
    <w:rsid w:val="00ED4DB1"/>
    <w:rsid w:val="00ED5D16"/>
    <w:rsid w:val="00ED7DEC"/>
    <w:rsid w:val="00EE0432"/>
    <w:rsid w:val="00EE06ED"/>
    <w:rsid w:val="00EE7433"/>
    <w:rsid w:val="00EE78A3"/>
    <w:rsid w:val="00EF03A7"/>
    <w:rsid w:val="00EF1CBE"/>
    <w:rsid w:val="00EF39AC"/>
    <w:rsid w:val="00EF6A77"/>
    <w:rsid w:val="00EF79A7"/>
    <w:rsid w:val="00F013BA"/>
    <w:rsid w:val="00F01787"/>
    <w:rsid w:val="00F02BB7"/>
    <w:rsid w:val="00F03F87"/>
    <w:rsid w:val="00F04ABD"/>
    <w:rsid w:val="00F063C2"/>
    <w:rsid w:val="00F069AF"/>
    <w:rsid w:val="00F120C5"/>
    <w:rsid w:val="00F140CB"/>
    <w:rsid w:val="00F14AD7"/>
    <w:rsid w:val="00F20CCD"/>
    <w:rsid w:val="00F22D3C"/>
    <w:rsid w:val="00F24D4A"/>
    <w:rsid w:val="00F327ED"/>
    <w:rsid w:val="00F32B31"/>
    <w:rsid w:val="00F34F4B"/>
    <w:rsid w:val="00F34FE1"/>
    <w:rsid w:val="00F3522D"/>
    <w:rsid w:val="00F37AF3"/>
    <w:rsid w:val="00F40ED3"/>
    <w:rsid w:val="00F44D59"/>
    <w:rsid w:val="00F46100"/>
    <w:rsid w:val="00F474E1"/>
    <w:rsid w:val="00F47875"/>
    <w:rsid w:val="00F50E99"/>
    <w:rsid w:val="00F51639"/>
    <w:rsid w:val="00F51D21"/>
    <w:rsid w:val="00F53193"/>
    <w:rsid w:val="00F5357E"/>
    <w:rsid w:val="00F5776C"/>
    <w:rsid w:val="00F579D3"/>
    <w:rsid w:val="00F60762"/>
    <w:rsid w:val="00F6143B"/>
    <w:rsid w:val="00F61F45"/>
    <w:rsid w:val="00F62FFA"/>
    <w:rsid w:val="00F638AF"/>
    <w:rsid w:val="00F63CA0"/>
    <w:rsid w:val="00F6586C"/>
    <w:rsid w:val="00F65F92"/>
    <w:rsid w:val="00F665A9"/>
    <w:rsid w:val="00F66A32"/>
    <w:rsid w:val="00F67E18"/>
    <w:rsid w:val="00F72F82"/>
    <w:rsid w:val="00F7362C"/>
    <w:rsid w:val="00F75362"/>
    <w:rsid w:val="00F758CB"/>
    <w:rsid w:val="00F76DF0"/>
    <w:rsid w:val="00F8029F"/>
    <w:rsid w:val="00F8203D"/>
    <w:rsid w:val="00F82A55"/>
    <w:rsid w:val="00F84A15"/>
    <w:rsid w:val="00F86822"/>
    <w:rsid w:val="00F8759B"/>
    <w:rsid w:val="00F9038B"/>
    <w:rsid w:val="00F907BA"/>
    <w:rsid w:val="00F90893"/>
    <w:rsid w:val="00F92535"/>
    <w:rsid w:val="00F94774"/>
    <w:rsid w:val="00F968A7"/>
    <w:rsid w:val="00F97AC1"/>
    <w:rsid w:val="00FA0924"/>
    <w:rsid w:val="00FA663B"/>
    <w:rsid w:val="00FB078B"/>
    <w:rsid w:val="00FB1160"/>
    <w:rsid w:val="00FB132E"/>
    <w:rsid w:val="00FB6391"/>
    <w:rsid w:val="00FB7C4B"/>
    <w:rsid w:val="00FC22F3"/>
    <w:rsid w:val="00FC412C"/>
    <w:rsid w:val="00FC47F1"/>
    <w:rsid w:val="00FC50C7"/>
    <w:rsid w:val="00FC53DB"/>
    <w:rsid w:val="00FC5C24"/>
    <w:rsid w:val="00FC6FC4"/>
    <w:rsid w:val="00FC77C8"/>
    <w:rsid w:val="00FD05AC"/>
    <w:rsid w:val="00FD10A7"/>
    <w:rsid w:val="00FD1346"/>
    <w:rsid w:val="00FD4110"/>
    <w:rsid w:val="00FD6892"/>
    <w:rsid w:val="00FD75E6"/>
    <w:rsid w:val="00FE1C0F"/>
    <w:rsid w:val="00FE287B"/>
    <w:rsid w:val="00FE340F"/>
    <w:rsid w:val="00FE36F6"/>
    <w:rsid w:val="00FE3EF5"/>
    <w:rsid w:val="00FE5544"/>
    <w:rsid w:val="00FE5CBB"/>
    <w:rsid w:val="00FE5F78"/>
    <w:rsid w:val="00FE6300"/>
    <w:rsid w:val="00FE6A1E"/>
    <w:rsid w:val="00FE6E2A"/>
    <w:rsid w:val="00FF1488"/>
    <w:rsid w:val="00FF1657"/>
    <w:rsid w:val="00FF334A"/>
    <w:rsid w:val="00FF3C24"/>
    <w:rsid w:val="00FF51A5"/>
    <w:rsid w:val="00FF5ED6"/>
    <w:rsid w:val="00FF69C4"/>
    <w:rsid w:val="00FF6C50"/>
    <w:rsid w:val="00FF7B4A"/>
    <w:rsid w:val="1227E796"/>
    <w:rsid w:val="1F8CFB75"/>
    <w:rsid w:val="227E37A1"/>
    <w:rsid w:val="255EEC65"/>
    <w:rsid w:val="328C1309"/>
    <w:rsid w:val="4A5D7320"/>
    <w:rsid w:val="55E3F8E1"/>
    <w:rsid w:val="65DBFB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C6D160"/>
  <w15:docId w15:val="{8EF1199E-5E94-4B2E-95BF-CD3998CA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FE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38027D"/>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814FED"/>
    <w:pPr>
      <w:tabs>
        <w:tab w:val="clear" w:pos="567"/>
        <w:tab w:val="clear" w:pos="1701"/>
        <w:tab w:val="clear" w:pos="2268"/>
      </w:tabs>
      <w:spacing w:before="120" w:after="120"/>
    </w:pPr>
    <w:rPr>
      <w:rFonts w:eastAsia="Times New Roman"/>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814FED"/>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oc/decisions/np-mop-05/np-mop-05-dec-05-en.pdf"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thegef.org/projects" TargetMode="External"/><Relationship Id="rId2" Type="http://schemas.openxmlformats.org/officeDocument/2006/relationships/hyperlink" Target="https://absch.cbd.int/en/reports" TargetMode="External"/><Relationship Id="rId1" Type="http://schemas.openxmlformats.org/officeDocument/2006/relationships/hyperlink" Target="https://www.cbd.int/documents/CBD/SBI/7/1" TargetMode="External"/><Relationship Id="rId4" Type="http://schemas.openxmlformats.org/officeDocument/2006/relationships/hyperlink" Target="https://sgp.und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sbi-07-template-en%20(3).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sharepoint.com/sites/MEA-CBD-Nagoya/Shared%20Documents/Capacity%20Development/IAC/6th%20Meeting-%202026/documents/CB%20Projects/CB%20initiatives%202023-2025%20%20-%20G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unitednations.sharepoint.com/sites/MEA-CBD-Nagoya/Shared%20Documents/Capacity%20Development/IAC/6th%20Meeting-%202026/documents/CB%20Projects/CB%20initiatives%202023-2025%20%20-%20G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Analysis!$D$189:$D$194</c:f>
              <c:strCache>
                <c:ptCount val="6"/>
                <c:pt idx="0">
                  <c:v>GEF-4
(2006-2010)</c:v>
                </c:pt>
                <c:pt idx="1">
                  <c:v>GEF-5
(2010-2014)</c:v>
                </c:pt>
                <c:pt idx="2">
                  <c:v>GEF SGP
(2012-2017)</c:v>
                </c:pt>
                <c:pt idx="3">
                  <c:v>GEF-6
(2014-2018)</c:v>
                </c:pt>
                <c:pt idx="4">
                  <c:v>GEF-7
(2018-2022)</c:v>
                </c:pt>
                <c:pt idx="5">
                  <c:v>GEF-8 + GBFF
(2022-2026)</c:v>
                </c:pt>
              </c:strCache>
            </c:strRef>
          </c:cat>
          <c:val>
            <c:numRef>
              <c:f>Analysis!$E$189:$E$194</c:f>
              <c:numCache>
                <c:formatCode>0.0</c:formatCode>
                <c:ptCount val="6"/>
                <c:pt idx="0">
                  <c:v>8.9405000000000001</c:v>
                </c:pt>
                <c:pt idx="1">
                  <c:v>52.086365999999998</c:v>
                </c:pt>
                <c:pt idx="2">
                  <c:v>0.68647400000000003</c:v>
                </c:pt>
                <c:pt idx="3">
                  <c:v>36.566609</c:v>
                </c:pt>
                <c:pt idx="4">
                  <c:v>22.288474000000001</c:v>
                </c:pt>
                <c:pt idx="5">
                  <c:v>20.647575</c:v>
                </c:pt>
              </c:numCache>
            </c:numRef>
          </c:val>
          <c:extLst>
            <c:ext xmlns:c16="http://schemas.microsoft.com/office/drawing/2014/chart" uri="{C3380CC4-5D6E-409C-BE32-E72D297353CC}">
              <c16:uniqueId val="{00000000-47D9-420E-B3A1-A572C86A7AB8}"/>
            </c:ext>
          </c:extLst>
        </c:ser>
        <c:dLbls>
          <c:dLblPos val="ctr"/>
          <c:showLegendKey val="0"/>
          <c:showVal val="1"/>
          <c:showCatName val="0"/>
          <c:showSerName val="0"/>
          <c:showPercent val="0"/>
          <c:showBubbleSize val="0"/>
        </c:dLbls>
        <c:gapWidth val="150"/>
        <c:axId val="129450343"/>
        <c:axId val="129451063"/>
      </c:barChart>
      <c:catAx>
        <c:axId val="1294503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GEF replenishment</a:t>
                </a:r>
                <a:r>
                  <a:rPr lang="en-US" baseline="0"/>
                  <a:t> cycle</a:t>
                </a:r>
                <a:endParaRPr lang="en-US"/>
              </a:p>
            </c:rich>
          </c:tx>
          <c:layout>
            <c:manualLayout>
              <c:xMode val="edge"/>
              <c:yMode val="edge"/>
              <c:x val="0.42987799035346475"/>
              <c:y val="0.9537506577481547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451063"/>
        <c:crosses val="autoZero"/>
        <c:auto val="1"/>
        <c:lblAlgn val="ctr"/>
        <c:lblOffset val="100"/>
        <c:noMultiLvlLbl val="0"/>
      </c:catAx>
      <c:valAx>
        <c:axId val="1294510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Funding</a:t>
                </a:r>
                <a:r>
                  <a:rPr lang="en-US" baseline="0"/>
                  <a:t> in Million United states dollars</a:t>
                </a:r>
                <a:endParaRPr lang="en-US"/>
              </a:p>
            </c:rich>
          </c:tx>
          <c:layout>
            <c:manualLayout>
              <c:xMode val="edge"/>
              <c:yMode val="edge"/>
              <c:x val="1.1111111111111112E-2"/>
              <c:y val="0.3166852169794565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45034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72665062700495775"/>
        </c:manualLayout>
      </c:layout>
      <c:barChart>
        <c:barDir val="col"/>
        <c:grouping val="clustered"/>
        <c:varyColors val="0"/>
        <c:ser>
          <c:idx val="0"/>
          <c:order val="0"/>
          <c:tx>
            <c:strRef>
              <c:f>Analysis!$C$158</c:f>
              <c:strCache>
                <c:ptCount val="1"/>
                <c:pt idx="0">
                  <c:v>National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Analysis!$B$159:$B$162</c:f>
              <c:strCache>
                <c:ptCount val="4"/>
                <c:pt idx="0">
                  <c:v>Africa</c:v>
                </c:pt>
                <c:pt idx="1">
                  <c:v>Asia-Pacific</c:v>
                </c:pt>
                <c:pt idx="2">
                  <c:v>Central and Eastern Europe</c:v>
                </c:pt>
                <c:pt idx="3">
                  <c:v>Latin America and the Caribbean </c:v>
                </c:pt>
              </c:strCache>
            </c:strRef>
          </c:cat>
          <c:val>
            <c:numRef>
              <c:f>Analysis!$C$159:$C$162</c:f>
              <c:numCache>
                <c:formatCode>"$"#,##0.0</c:formatCode>
                <c:ptCount val="4"/>
                <c:pt idx="0" formatCode="&quot;$&quot;#,##0">
                  <c:v>112.032436</c:v>
                </c:pt>
                <c:pt idx="1">
                  <c:v>44.716267000000002</c:v>
                </c:pt>
                <c:pt idx="2">
                  <c:v>1.2</c:v>
                </c:pt>
                <c:pt idx="3">
                  <c:v>55.269911</c:v>
                </c:pt>
              </c:numCache>
            </c:numRef>
          </c:val>
          <c:extLst>
            <c:ext xmlns:c16="http://schemas.microsoft.com/office/drawing/2014/chart" uri="{C3380CC4-5D6E-409C-BE32-E72D297353CC}">
              <c16:uniqueId val="{00000000-34F4-4695-A84B-757F9F790B98}"/>
            </c:ext>
          </c:extLst>
        </c:ser>
        <c:ser>
          <c:idx val="1"/>
          <c:order val="1"/>
          <c:tx>
            <c:strRef>
              <c:f>Analysis!$D$158</c:f>
              <c:strCache>
                <c:ptCount val="1"/>
                <c:pt idx="0">
                  <c:v>Regional/Subregional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Analysis!$B$159:$B$162</c:f>
              <c:strCache>
                <c:ptCount val="4"/>
                <c:pt idx="0">
                  <c:v>Africa</c:v>
                </c:pt>
                <c:pt idx="1">
                  <c:v>Asia-Pacific</c:v>
                </c:pt>
                <c:pt idx="2">
                  <c:v>Central and Eastern Europe</c:v>
                </c:pt>
                <c:pt idx="3">
                  <c:v>Latin America and the Caribbean </c:v>
                </c:pt>
              </c:strCache>
            </c:strRef>
          </c:cat>
          <c:val>
            <c:numRef>
              <c:f>Analysis!$D$159:$D$162</c:f>
              <c:numCache>
                <c:formatCode>"$"#,##0.0</c:formatCode>
                <c:ptCount val="4"/>
                <c:pt idx="0">
                  <c:v>41.070317000000003</c:v>
                </c:pt>
                <c:pt idx="1">
                  <c:v>2.812557</c:v>
                </c:pt>
                <c:pt idx="2">
                  <c:v>30.468934999999998</c:v>
                </c:pt>
                <c:pt idx="3">
                  <c:v>22.57925852</c:v>
                </c:pt>
              </c:numCache>
            </c:numRef>
          </c:val>
          <c:extLst>
            <c:ext xmlns:c16="http://schemas.microsoft.com/office/drawing/2014/chart" uri="{C3380CC4-5D6E-409C-BE32-E72D297353CC}">
              <c16:uniqueId val="{00000001-34F4-4695-A84B-757F9F790B98}"/>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55336089238845143"/>
          <c:y val="4.687445319335079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36CF0060640C9897A175C60273E90"/>
        <w:category>
          <w:name w:val="General"/>
          <w:gallery w:val="placeholder"/>
        </w:category>
        <w:types>
          <w:type w:val="bbPlcHdr"/>
        </w:types>
        <w:behaviors>
          <w:behavior w:val="content"/>
        </w:behaviors>
        <w:guid w:val="{7C601994-A38F-4809-A543-353D78985E50}"/>
      </w:docPartPr>
      <w:docPartBody>
        <w:p w:rsidR="0072294D" w:rsidRDefault="00317C31" w:rsidP="00317C31">
          <w:pPr>
            <w:pStyle w:val="74436CF0060640C9897A175C60273E9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31"/>
    <w:rsid w:val="001D43FC"/>
    <w:rsid w:val="002D0776"/>
    <w:rsid w:val="00317C31"/>
    <w:rsid w:val="003728B1"/>
    <w:rsid w:val="005C352A"/>
    <w:rsid w:val="0064047C"/>
    <w:rsid w:val="006A4FC5"/>
    <w:rsid w:val="0072294D"/>
    <w:rsid w:val="00771D46"/>
    <w:rsid w:val="00845C97"/>
    <w:rsid w:val="00855901"/>
    <w:rsid w:val="008C293B"/>
    <w:rsid w:val="009B18F1"/>
    <w:rsid w:val="009C38EA"/>
    <w:rsid w:val="00A43BE6"/>
    <w:rsid w:val="00BE0173"/>
    <w:rsid w:val="00C051B8"/>
    <w:rsid w:val="00D83E9E"/>
    <w:rsid w:val="00E9683B"/>
    <w:rsid w:val="00EF650F"/>
    <w:rsid w:val="00F66A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7C31"/>
    <w:rPr>
      <w:color w:val="808080"/>
    </w:rPr>
  </w:style>
  <w:style w:type="paragraph" w:customStyle="1" w:styleId="74436CF0060640C9897A175C60273E90">
    <w:name w:val="74436CF0060640C9897A175C60273E90"/>
    <w:rsid w:val="00317C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CEB244A-BAC5-4032-AA94-909E2D984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(3).dotm</Template>
  <TotalTime>0</TotalTime>
  <Pages>18</Pages>
  <Words>8693</Words>
  <Characters>48681</Characters>
  <Application>Microsoft Office Word</Application>
  <DocSecurity>0</DocSecurity>
  <Lines>748</Lines>
  <Paragraphs>265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57109</CharactersWithSpaces>
  <SharedDoc>false</SharedDoc>
  <HLinks>
    <vt:vector size="36" baseType="variant">
      <vt:variant>
        <vt:i4>458783</vt:i4>
      </vt:variant>
      <vt:variant>
        <vt:i4>3</vt:i4>
      </vt:variant>
      <vt:variant>
        <vt:i4>0</vt:i4>
      </vt:variant>
      <vt:variant>
        <vt:i4>5</vt:i4>
      </vt:variant>
      <vt:variant>
        <vt:lpwstr>https://www.cbd.int/doc/c/13f5/e857/62386774f5f732b391b24878/sbi-07-inf-06-en.pdf</vt:lpwstr>
      </vt:variant>
      <vt:variant>
        <vt:lpwstr/>
      </vt:variant>
      <vt:variant>
        <vt:i4>7405617</vt:i4>
      </vt:variant>
      <vt:variant>
        <vt:i4>0</vt:i4>
      </vt:variant>
      <vt:variant>
        <vt:i4>0</vt:i4>
      </vt:variant>
      <vt:variant>
        <vt:i4>5</vt:i4>
      </vt:variant>
      <vt:variant>
        <vt:lpwstr>https://www.cbd.int/doc/decisions/np-mop-05/np-mop-05-dec-05-en.pdf</vt:lpwstr>
      </vt:variant>
      <vt:variant>
        <vt:lpwstr/>
      </vt:variant>
      <vt:variant>
        <vt:i4>5111822</vt:i4>
      </vt:variant>
      <vt:variant>
        <vt:i4>9</vt:i4>
      </vt:variant>
      <vt:variant>
        <vt:i4>0</vt:i4>
      </vt:variant>
      <vt:variant>
        <vt:i4>5</vt:i4>
      </vt:variant>
      <vt:variant>
        <vt:lpwstr>https://sgp.undp.org/</vt:lpwstr>
      </vt:variant>
      <vt:variant>
        <vt:lpwstr/>
      </vt:variant>
      <vt:variant>
        <vt:i4>2359359</vt:i4>
      </vt:variant>
      <vt:variant>
        <vt:i4>6</vt:i4>
      </vt:variant>
      <vt:variant>
        <vt:i4>0</vt:i4>
      </vt:variant>
      <vt:variant>
        <vt:i4>5</vt:i4>
      </vt:variant>
      <vt:variant>
        <vt:lpwstr>http://www.thegef.org/projects</vt:lpwstr>
      </vt:variant>
      <vt:variant>
        <vt:lpwstr/>
      </vt:variant>
      <vt:variant>
        <vt:i4>6160404</vt:i4>
      </vt:variant>
      <vt:variant>
        <vt:i4>3</vt:i4>
      </vt:variant>
      <vt:variant>
        <vt:i4>0</vt:i4>
      </vt:variant>
      <vt:variant>
        <vt:i4>5</vt:i4>
      </vt:variant>
      <vt:variant>
        <vt:lpwstr>https://absch.cbd.int/en/reports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financial resources and resource mobilization supporting the implementation of the Nagoya Protocol</dc:title>
  <dc:subject>CBD/SBI/7/INF/7</dc:subject>
  <dc:creator>Alexandra Coelho</dc:creator>
  <cp:keywords>Convention on Biological Diversity</cp:keywords>
  <cp:lastModifiedBy>Veronique Lefebvre</cp:lastModifiedBy>
  <cp:revision>3</cp:revision>
  <cp:lastPrinted>2026-05-06T08:23:00Z</cp:lastPrinted>
  <dcterms:created xsi:type="dcterms:W3CDTF">2026-05-08T20:24:00Z</dcterms:created>
  <dcterms:modified xsi:type="dcterms:W3CDTF">2026-05-08T20:24:00Z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