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7CAD167B"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SBSTTA</w:t>
            </w:r>
            <w:r w:rsidR="009B1582" w:rsidRPr="009B1582">
              <w:rPr>
                <w:rFonts w:eastAsia="SimSun"/>
                <w:bCs/>
                <w:snapToGrid w:val="0"/>
                <w:kern w:val="22"/>
                <w:lang w:val="en-GB" w:eastAsia="zh-CN"/>
              </w:rPr>
              <w:t>/</w:t>
            </w:r>
            <w:r w:rsidR="0061227F">
              <w:rPr>
                <w:rFonts w:eastAsia="SimSun" w:hint="eastAsia"/>
                <w:bCs/>
                <w:snapToGrid w:val="0"/>
                <w:kern w:val="22"/>
                <w:lang w:val="en-GB" w:eastAsia="zh-CN"/>
              </w:rPr>
              <w:t>27</w:t>
            </w:r>
            <w:r w:rsidR="009B1582" w:rsidRPr="009B1582">
              <w:rPr>
                <w:rFonts w:eastAsia="SimSun"/>
                <w:bCs/>
                <w:snapToGrid w:val="0"/>
                <w:kern w:val="22"/>
                <w:lang w:val="en-GB" w:eastAsia="zh-CN"/>
              </w:rPr>
              <w:t>/</w:t>
            </w:r>
            <w:r w:rsidR="00063488">
              <w:rPr>
                <w:rFonts w:eastAsia="SimSun" w:hint="eastAsia"/>
                <w:bCs/>
                <w:snapToGrid w:val="0"/>
                <w:kern w:val="22"/>
                <w:lang w:val="en-GB" w:eastAsia="zh-CN"/>
              </w:rPr>
              <w:t>CRP.3</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7CE8888F" w:rsidR="007A1F82" w:rsidRPr="00A148DC" w:rsidRDefault="007A1F82" w:rsidP="0036267C">
            <w:pPr>
              <w:ind w:left="2016"/>
              <w:jc w:val="both"/>
              <w:rPr>
                <w:rFonts w:eastAsia="SimSun" w:hint="eastAsia"/>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063488">
              <w:rPr>
                <w:rFonts w:eastAsia="SimSun" w:hint="eastAsia"/>
                <w:bCs/>
                <w:snapToGrid w:val="0"/>
                <w:kern w:val="22"/>
                <w:lang w:val="en-GB" w:eastAsia="zh-CN"/>
              </w:rPr>
              <w:t>Limited</w:t>
            </w:r>
          </w:p>
          <w:p w14:paraId="78E4C0E4" w14:textId="0EED16BA" w:rsidR="0036267C" w:rsidRDefault="00063488" w:rsidP="0036267C">
            <w:pPr>
              <w:snapToGrid w:val="0"/>
              <w:ind w:left="2016"/>
              <w:jc w:val="both"/>
              <w:rPr>
                <w:rFonts w:eastAsia="SimSun"/>
                <w:snapToGrid w:val="0"/>
                <w:kern w:val="22"/>
                <w:lang w:val="en-GB" w:eastAsia="zh-CN"/>
              </w:rPr>
            </w:pPr>
            <w:r>
              <w:rPr>
                <w:rFonts w:eastAsia="SimSun" w:hint="eastAsia"/>
                <w:snapToGrid w:val="0"/>
                <w:kern w:val="22"/>
                <w:lang w:val="en-GB" w:eastAsia="zh-CN"/>
              </w:rPr>
              <w:t>22 October</w:t>
            </w:r>
            <w:r w:rsidR="00A67B81">
              <w:rPr>
                <w:rFonts w:eastAsia="SimSun" w:hint="eastAsia"/>
                <w:snapToGrid w:val="0"/>
                <w:kern w:val="22"/>
                <w:lang w:val="en-GB" w:eastAsia="zh-CN"/>
              </w:rPr>
              <w:t xml:space="preserve"> </w:t>
            </w:r>
            <w:r w:rsidR="007A1F82" w:rsidRPr="00A148DC">
              <w:rPr>
                <w:rFonts w:eastAsia="SimSun"/>
                <w:snapToGrid w:val="0"/>
                <w:kern w:val="22"/>
                <w:lang w:val="en-GB" w:eastAsia="zh-CN"/>
              </w:rPr>
              <w:t>202</w:t>
            </w:r>
            <w:r w:rsidR="0061227F">
              <w:rPr>
                <w:rFonts w:eastAsia="SimSun" w:hint="eastAsia"/>
                <w:snapToGrid w:val="0"/>
                <w:kern w:val="22"/>
                <w:lang w:val="en-GB" w:eastAsia="zh-CN"/>
              </w:rPr>
              <w:t>5</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744E76D" w:rsidR="007A1F82" w:rsidRPr="009B1582" w:rsidRDefault="00EE6135"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科学、技术和工艺咨询</w:t>
      </w:r>
      <w:r w:rsidR="00DA4CEC">
        <w:rPr>
          <w:rFonts w:ascii="SimSun" w:eastAsia="SimSun" w:hAnsi="SimSun" w:cs="SimSun" w:hint="eastAsia"/>
          <w:b/>
          <w:bCs/>
          <w:kern w:val="22"/>
          <w:lang w:eastAsia="zh-CN"/>
        </w:rPr>
        <w:t>附属机构</w:t>
      </w:r>
    </w:p>
    <w:p w14:paraId="34068AA3" w14:textId="4A12FA4F" w:rsidR="007A1F82" w:rsidRPr="00A23FB8" w:rsidRDefault="007A1F82" w:rsidP="007A1F82">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00DA4CEC" w:rsidRPr="00A23FB8">
        <w:rPr>
          <w:rFonts w:eastAsia="SimSun" w:hint="eastAsia"/>
          <w:b/>
          <w:bCs/>
          <w:caps/>
          <w:snapToGrid w:val="0"/>
          <w:lang w:val="en-GB" w:eastAsia="zh-CN"/>
        </w:rPr>
        <w:t>二十</w:t>
      </w:r>
      <w:r w:rsidR="0061227F">
        <w:rPr>
          <w:rFonts w:eastAsia="SimSun" w:hint="eastAsia"/>
          <w:b/>
          <w:bCs/>
          <w:caps/>
          <w:snapToGrid w:val="0"/>
          <w:lang w:val="en-GB" w:eastAsia="zh-CN"/>
        </w:rPr>
        <w:t>七</w:t>
      </w:r>
      <w:r w:rsidRPr="00A23FB8">
        <w:rPr>
          <w:rFonts w:eastAsia="SimSun"/>
          <w:b/>
          <w:bCs/>
          <w:caps/>
          <w:snapToGrid w:val="0"/>
          <w:lang w:val="en-GB" w:eastAsia="zh-CN"/>
        </w:rPr>
        <w:t>次会议</w:t>
      </w:r>
    </w:p>
    <w:p w14:paraId="7A016814" w14:textId="0B7E8345"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61227F">
        <w:rPr>
          <w:rFonts w:eastAsiaTheme="minorEastAsia" w:hint="eastAsia"/>
          <w:kern w:val="22"/>
          <w:lang w:eastAsia="zh-CN"/>
        </w:rPr>
        <w:t>5</w:t>
      </w:r>
      <w:r w:rsidRPr="00CF6449">
        <w:rPr>
          <w:rFonts w:ascii="SimSun" w:eastAsia="SimSun" w:hAnsi="SimSun" w:cs="SimSun" w:hint="eastAsia"/>
          <w:kern w:val="22"/>
          <w:lang w:eastAsia="zh-CN"/>
        </w:rPr>
        <w:t>年</w:t>
      </w:r>
      <w:r w:rsidR="0061227F">
        <w:rPr>
          <w:rFonts w:ascii="SimSun" w:eastAsia="SimSun" w:hAnsi="SimSun" w:cs="SimSun" w:hint="eastAsia"/>
          <w:kern w:val="22"/>
          <w:lang w:eastAsia="zh-CN"/>
        </w:rPr>
        <w:t>10</w:t>
      </w:r>
      <w:r w:rsidRPr="00CF6449">
        <w:rPr>
          <w:rFonts w:ascii="SimSun" w:eastAsia="SimSun" w:hAnsi="SimSun" w:cs="SimSun" w:hint="eastAsia"/>
          <w:kern w:val="22"/>
          <w:lang w:eastAsia="zh-CN"/>
        </w:rPr>
        <w:t>月</w:t>
      </w:r>
      <w:r w:rsidR="0061227F">
        <w:rPr>
          <w:rFonts w:ascii="SimSun" w:eastAsia="SimSun" w:hAnsi="SimSun" w:cs="SimSun" w:hint="eastAsia"/>
          <w:kern w:val="22"/>
          <w:lang w:val="en-US" w:eastAsia="zh-CN"/>
        </w:rPr>
        <w:t>20</w:t>
      </w:r>
      <w:r w:rsidR="00472185">
        <w:rPr>
          <w:rFonts w:ascii="SimSun" w:eastAsia="SimSun" w:hAnsi="SimSun" w:cs="SimSun" w:hint="eastAsia"/>
          <w:kern w:val="22"/>
          <w:lang w:val="en-US" w:eastAsia="zh-CN"/>
        </w:rPr>
        <w:t>日</w:t>
      </w:r>
      <w:r w:rsidR="0061227F">
        <w:rPr>
          <w:rFonts w:ascii="SimSun" w:eastAsia="SimSun" w:hAnsi="SimSun" w:cs="SimSun" w:hint="eastAsia"/>
          <w:kern w:val="22"/>
          <w:lang w:val="en-US" w:eastAsia="zh-CN"/>
        </w:rPr>
        <w:t>至24日</w:t>
      </w:r>
      <w:r w:rsidR="007413E3">
        <w:rPr>
          <w:rFonts w:ascii="SimSun" w:eastAsia="SimSun" w:hAnsi="SimSun" w:cs="SimSun" w:hint="eastAsia"/>
          <w:kern w:val="22"/>
          <w:lang w:eastAsia="zh-CN"/>
        </w:rPr>
        <w:t>，</w:t>
      </w:r>
      <w:r w:rsidR="0061227F">
        <w:rPr>
          <w:rFonts w:ascii="SimSun" w:eastAsia="SimSun" w:hAnsi="SimSun" w:cs="SimSun" w:hint="eastAsia"/>
          <w:kern w:val="22"/>
          <w:lang w:eastAsia="zh-CN"/>
        </w:rPr>
        <w:t>巴拿马城</w:t>
      </w:r>
    </w:p>
    <w:p w14:paraId="123C563F" w14:textId="0049AEA1" w:rsidR="00E15579" w:rsidRDefault="00A67B81" w:rsidP="007A1F82">
      <w:pPr>
        <w:spacing w:line="240" w:lineRule="atLeast"/>
        <w:jc w:val="both"/>
        <w:rPr>
          <w:rFonts w:ascii="SimSun" w:eastAsia="SimSun" w:hAnsi="SimSun" w:cs="SimSun"/>
          <w:kern w:val="22"/>
          <w:lang w:eastAsia="zh-CN"/>
        </w:rPr>
      </w:pPr>
      <w:r>
        <w:rPr>
          <w:rFonts w:eastAsia="SimSun" w:hint="eastAsia"/>
          <w:caps/>
          <w:snapToGrid w:val="0"/>
          <w:lang w:val="en-GB" w:eastAsia="zh-CN"/>
        </w:rPr>
        <w:t>议程项目</w:t>
      </w:r>
      <w:r w:rsidR="00063488">
        <w:rPr>
          <w:rFonts w:ascii="SimSun" w:eastAsia="SimSun" w:hAnsi="SimSun" w:cs="SimSun" w:hint="eastAsia"/>
          <w:kern w:val="22"/>
          <w:lang w:eastAsia="zh-CN"/>
        </w:rPr>
        <w:t>9</w:t>
      </w:r>
    </w:p>
    <w:p w14:paraId="0B2D0E13" w14:textId="045D5BE7" w:rsidR="00063488" w:rsidRPr="0001653C" w:rsidRDefault="00063488" w:rsidP="007A1F82">
      <w:pPr>
        <w:spacing w:line="240" w:lineRule="atLeast"/>
        <w:jc w:val="both"/>
        <w:rPr>
          <w:rFonts w:eastAsia="SimSun" w:hint="eastAsia"/>
          <w:b/>
          <w:bCs/>
          <w:caps/>
          <w:snapToGrid w:val="0"/>
          <w:lang w:val="en-GB" w:eastAsia="zh-CN"/>
        </w:rPr>
      </w:pPr>
      <w:r w:rsidRPr="0001653C">
        <w:rPr>
          <w:rFonts w:ascii="SimSun" w:eastAsia="SimSun" w:hAnsi="SimSun" w:cs="SimSun" w:hint="eastAsia"/>
          <w:b/>
          <w:bCs/>
          <w:kern w:val="22"/>
          <w:lang w:eastAsia="zh-CN"/>
        </w:rPr>
        <w:t>生物多样性与农业</w:t>
      </w:r>
    </w:p>
    <w:p w14:paraId="0C6380F2" w14:textId="77777777" w:rsidR="00A67B81" w:rsidRDefault="00A67B81" w:rsidP="007A1F82">
      <w:pPr>
        <w:spacing w:line="240" w:lineRule="atLeast"/>
        <w:jc w:val="both"/>
        <w:rPr>
          <w:rFonts w:eastAsia="SimSun"/>
          <w:caps/>
          <w:snapToGrid w:val="0"/>
          <w:lang w:val="en-GB" w:eastAsia="zh-CN"/>
        </w:rPr>
      </w:pPr>
    </w:p>
    <w:p w14:paraId="52DF10BA" w14:textId="75DD2C78" w:rsidR="00063488" w:rsidRPr="003C0413" w:rsidRDefault="00063488" w:rsidP="00063488">
      <w:pPr>
        <w:pStyle w:val="CBDTitle"/>
        <w:rPr>
          <w:lang w:eastAsia="zh-CN"/>
        </w:rPr>
      </w:pPr>
      <w:r>
        <w:rPr>
          <w:rFonts w:eastAsia="SimHei" w:hint="eastAsia"/>
          <w:bCs/>
          <w:szCs w:val="28"/>
          <w:lang w:eastAsia="zh-CN"/>
        </w:rPr>
        <w:t>生物多样性与农业</w:t>
      </w:r>
    </w:p>
    <w:p w14:paraId="52918211" w14:textId="77777777" w:rsidR="00063488" w:rsidRPr="00063488" w:rsidRDefault="00063488" w:rsidP="0001653C">
      <w:pPr>
        <w:pStyle w:val="CBDSubTitle"/>
        <w:tabs>
          <w:tab w:val="clear" w:pos="567"/>
          <w:tab w:val="clear" w:pos="1134"/>
          <w:tab w:val="clear" w:pos="1701"/>
          <w:tab w:val="clear" w:pos="2268"/>
          <w:tab w:val="clear" w:pos="2835"/>
          <w:tab w:val="clear" w:pos="3402"/>
        </w:tabs>
        <w:spacing w:before="120"/>
        <w:ind w:left="0"/>
        <w:rPr>
          <w:sz w:val="24"/>
          <w:szCs w:val="24"/>
          <w:lang w:eastAsia="zh-CN"/>
        </w:rPr>
      </w:pPr>
      <w:r>
        <w:rPr>
          <w:sz w:val="24"/>
          <w:szCs w:val="24"/>
          <w:lang w:eastAsia="zh-CN"/>
        </w:rPr>
        <w:tab/>
      </w:r>
      <w:r w:rsidRPr="00063488">
        <w:rPr>
          <w:sz w:val="24"/>
          <w:szCs w:val="24"/>
          <w:lang w:eastAsia="zh-CN"/>
        </w:rPr>
        <w:t>主席提交的建议草案</w:t>
      </w:r>
    </w:p>
    <w:p w14:paraId="33379F7E" w14:textId="77777777" w:rsidR="00063488" w:rsidRPr="00063488" w:rsidRDefault="00063488" w:rsidP="00063488">
      <w:pPr>
        <w:pStyle w:val="Para1"/>
        <w:keepNext/>
        <w:suppressLineNumbers/>
        <w:suppressAutoHyphens/>
        <w:kinsoku w:val="0"/>
        <w:overflowPunct w:val="0"/>
        <w:autoSpaceDE w:val="0"/>
        <w:autoSpaceDN w:val="0"/>
        <w:adjustRightInd w:val="0"/>
        <w:snapToGrid w:val="0"/>
        <w:ind w:left="490" w:firstLine="490"/>
        <w:rPr>
          <w:rFonts w:eastAsia="SimSun"/>
          <w:iCs/>
          <w:kern w:val="22"/>
          <w:szCs w:val="24"/>
          <w:lang w:eastAsia="zh-CN"/>
        </w:rPr>
      </w:pPr>
      <w:r w:rsidRPr="00063488">
        <w:rPr>
          <w:rFonts w:eastAsia="KaiTi"/>
          <w:iCs/>
          <w:kern w:val="22"/>
          <w:szCs w:val="24"/>
          <w:lang w:eastAsia="zh-CN"/>
        </w:rPr>
        <w:t>科学、技术和工艺咨询附属结构</w:t>
      </w:r>
      <w:r w:rsidRPr="00063488">
        <w:rPr>
          <w:rFonts w:eastAsia="SimSun"/>
          <w:iCs/>
          <w:kern w:val="22"/>
          <w:szCs w:val="24"/>
          <w:lang w:eastAsia="zh-CN"/>
        </w:rPr>
        <w:t>，</w:t>
      </w:r>
    </w:p>
    <w:p w14:paraId="77EE6C07" w14:textId="18ED2247" w:rsidR="00063488" w:rsidRPr="0001653C" w:rsidRDefault="00063488" w:rsidP="00063488">
      <w:pPr>
        <w:pStyle w:val="Para1"/>
        <w:keepNext/>
        <w:suppressLineNumbers/>
        <w:suppressAutoHyphens/>
        <w:kinsoku w:val="0"/>
        <w:overflowPunct w:val="0"/>
        <w:autoSpaceDE w:val="0"/>
        <w:autoSpaceDN w:val="0"/>
        <w:adjustRightInd w:val="0"/>
        <w:snapToGrid w:val="0"/>
        <w:ind w:left="490" w:firstLine="490"/>
        <w:rPr>
          <w:rFonts w:eastAsia="SimSun"/>
          <w:szCs w:val="24"/>
          <w:lang w:eastAsia="zh-CN"/>
        </w:rPr>
      </w:pPr>
      <w:r w:rsidRPr="00063488">
        <w:rPr>
          <w:rFonts w:eastAsia="KaiTi"/>
          <w:iCs/>
          <w:color w:val="000000" w:themeColor="text1"/>
          <w:szCs w:val="24"/>
          <w:lang w:val="en-US" w:eastAsia="zh-CN"/>
        </w:rPr>
        <w:t>审议了</w:t>
      </w:r>
      <w:r w:rsidRPr="00063488">
        <w:rPr>
          <w:rFonts w:eastAsia="SimSun"/>
          <w:szCs w:val="24"/>
          <w:lang w:val="en-US" w:eastAsia="zh-CN"/>
        </w:rPr>
        <w:t>秘书处关于生物多样性与农业的说明</w:t>
      </w:r>
      <w:r w:rsidRPr="00063488">
        <w:rPr>
          <w:rStyle w:val="FootnoteReference"/>
          <w:rFonts w:eastAsia="SimSun"/>
          <w:iCs/>
          <w:kern w:val="22"/>
          <w:szCs w:val="24"/>
        </w:rPr>
        <w:footnoteReference w:id="2"/>
      </w:r>
      <w:r w:rsidR="0001653C">
        <w:rPr>
          <w:rFonts w:eastAsia="SimSun" w:hint="eastAsia"/>
          <w:szCs w:val="24"/>
          <w:lang w:eastAsia="zh-CN"/>
        </w:rPr>
        <w:t>，</w:t>
      </w:r>
    </w:p>
    <w:p w14:paraId="10B33EC8" w14:textId="77777777" w:rsidR="00063488" w:rsidRPr="00063488" w:rsidRDefault="00063488" w:rsidP="00063488">
      <w:pPr>
        <w:pStyle w:val="Para1"/>
        <w:keepNext/>
        <w:suppressLineNumbers/>
        <w:suppressAutoHyphens/>
        <w:kinsoku w:val="0"/>
        <w:overflowPunct w:val="0"/>
        <w:autoSpaceDE w:val="0"/>
        <w:autoSpaceDN w:val="0"/>
        <w:adjustRightInd w:val="0"/>
        <w:snapToGrid w:val="0"/>
        <w:ind w:left="490" w:firstLine="490"/>
        <w:rPr>
          <w:rFonts w:eastAsia="SimSun"/>
          <w:iCs/>
          <w:color w:val="000000" w:themeColor="text1"/>
          <w:szCs w:val="24"/>
          <w:lang w:val="en-US" w:eastAsia="zh-CN"/>
        </w:rPr>
      </w:pPr>
      <w:r w:rsidRPr="00063488">
        <w:rPr>
          <w:rFonts w:eastAsia="KaiTi"/>
          <w:iCs/>
          <w:color w:val="000000" w:themeColor="text1"/>
          <w:szCs w:val="24"/>
          <w:lang w:val="en-US" w:eastAsia="zh-CN"/>
        </w:rPr>
        <w:t>建议</w:t>
      </w:r>
      <w:r w:rsidRPr="00063488">
        <w:rPr>
          <w:rFonts w:eastAsia="SimSun"/>
          <w:szCs w:val="24"/>
          <w:lang w:val="en-US" w:eastAsia="zh-CN"/>
        </w:rPr>
        <w:t>缔约方大会第十七届会议通过</w:t>
      </w:r>
      <w:r w:rsidRPr="00063488">
        <w:rPr>
          <w:rFonts w:eastAsia="SimSun"/>
          <w:kern w:val="22"/>
          <w:szCs w:val="24"/>
          <w:lang w:eastAsia="zh-CN"/>
        </w:rPr>
        <w:t>一项内容大致如下的</w:t>
      </w:r>
      <w:r w:rsidRPr="00063488">
        <w:rPr>
          <w:rFonts w:eastAsia="SimSun"/>
          <w:szCs w:val="24"/>
          <w:lang w:val="en-US" w:eastAsia="zh-CN"/>
        </w:rPr>
        <w:t>决定：</w:t>
      </w:r>
    </w:p>
    <w:p w14:paraId="477C4A69" w14:textId="77777777" w:rsidR="00063488" w:rsidRPr="00063488" w:rsidRDefault="00063488" w:rsidP="00063488">
      <w:pPr>
        <w:pStyle w:val="CBDNormalNoNumber"/>
        <w:ind w:left="1134" w:firstLine="567"/>
        <w:rPr>
          <w:iCs/>
          <w:color w:val="000000" w:themeColor="text1"/>
          <w:sz w:val="24"/>
          <w:szCs w:val="24"/>
          <w:lang w:val="en-US" w:eastAsia="zh-CN"/>
        </w:rPr>
      </w:pPr>
      <w:r w:rsidRPr="00063488">
        <w:rPr>
          <w:rFonts w:eastAsia="KaiTi"/>
          <w:iCs/>
          <w:color w:val="000000" w:themeColor="text1"/>
          <w:sz w:val="24"/>
          <w:szCs w:val="24"/>
          <w:lang w:val="en-US" w:eastAsia="zh-CN"/>
        </w:rPr>
        <w:t>缔约方大会</w:t>
      </w:r>
      <w:r w:rsidRPr="00063488">
        <w:rPr>
          <w:iCs/>
          <w:color w:val="000000" w:themeColor="text1"/>
          <w:sz w:val="24"/>
          <w:szCs w:val="24"/>
          <w:lang w:val="en-US" w:eastAsia="zh-CN"/>
        </w:rPr>
        <w:t>，</w:t>
      </w:r>
    </w:p>
    <w:p w14:paraId="063F6A20" w14:textId="4E0AF3D3" w:rsidR="00063488" w:rsidRPr="00063488" w:rsidRDefault="00063488" w:rsidP="00063488">
      <w:pPr>
        <w:pStyle w:val="CBDNormalNoNumber"/>
        <w:ind w:left="1134" w:firstLine="567"/>
        <w:rPr>
          <w:snapToGrid w:val="0"/>
          <w:sz w:val="24"/>
          <w:szCs w:val="24"/>
          <w:lang w:val="en-US" w:eastAsia="zh-CN"/>
        </w:rPr>
      </w:pPr>
      <w:r w:rsidRPr="00063488">
        <w:rPr>
          <w:rFonts w:eastAsia="KaiTi"/>
          <w:iCs/>
          <w:color w:val="000000" w:themeColor="text1"/>
          <w:sz w:val="24"/>
          <w:szCs w:val="24"/>
          <w:lang w:val="en-US" w:eastAsia="zh-CN"/>
        </w:rPr>
        <w:t>回顾</w:t>
      </w:r>
      <w:r w:rsidRPr="00063488">
        <w:rPr>
          <w:snapToGrid w:val="0"/>
          <w:sz w:val="24"/>
          <w:szCs w:val="24"/>
          <w:lang w:val="en-US" w:eastAsia="zh-CN"/>
        </w:rPr>
        <w:t>其</w:t>
      </w:r>
      <w:r w:rsidRPr="00063488">
        <w:rPr>
          <w:snapToGrid w:val="0"/>
          <w:sz w:val="24"/>
          <w:szCs w:val="24"/>
          <w:lang w:val="en-US" w:eastAsia="zh-CN"/>
        </w:rPr>
        <w:t>2002</w:t>
      </w:r>
      <w:r w:rsidRPr="00063488">
        <w:rPr>
          <w:snapToGrid w:val="0"/>
          <w:sz w:val="24"/>
          <w:szCs w:val="24"/>
          <w:lang w:val="en-US" w:eastAsia="zh-CN"/>
        </w:rPr>
        <w:t>年</w:t>
      </w:r>
      <w:r w:rsidRPr="00063488">
        <w:rPr>
          <w:snapToGrid w:val="0"/>
          <w:sz w:val="24"/>
          <w:szCs w:val="24"/>
          <w:lang w:val="en-US" w:eastAsia="zh-CN"/>
        </w:rPr>
        <w:t>4</w:t>
      </w:r>
      <w:r w:rsidRPr="00063488">
        <w:rPr>
          <w:snapToGrid w:val="0"/>
          <w:sz w:val="24"/>
          <w:szCs w:val="24"/>
          <w:lang w:val="en-US" w:eastAsia="zh-CN"/>
        </w:rPr>
        <w:t>月</w:t>
      </w:r>
      <w:r w:rsidRPr="00063488">
        <w:rPr>
          <w:snapToGrid w:val="0"/>
          <w:sz w:val="24"/>
          <w:szCs w:val="24"/>
          <w:lang w:val="en-US" w:eastAsia="zh-CN"/>
        </w:rPr>
        <w:t>19</w:t>
      </w:r>
      <w:r w:rsidRPr="00063488">
        <w:rPr>
          <w:snapToGrid w:val="0"/>
          <w:sz w:val="24"/>
          <w:szCs w:val="24"/>
          <w:lang w:val="en-US" w:eastAsia="zh-CN"/>
        </w:rPr>
        <w:t>日第</w:t>
      </w:r>
      <w:hyperlink r:id="rId14" w:history="1">
        <w:r w:rsidRPr="00063488">
          <w:rPr>
            <w:rStyle w:val="Hyperlink"/>
            <w:sz w:val="24"/>
            <w:szCs w:val="24"/>
            <w:lang w:eastAsia="zh-CN"/>
          </w:rPr>
          <w:t>VI/5</w:t>
        </w:r>
      </w:hyperlink>
      <w:r w:rsidRPr="00063488">
        <w:rPr>
          <w:snapToGrid w:val="0"/>
          <w:sz w:val="24"/>
          <w:szCs w:val="24"/>
          <w:lang w:val="en-US" w:eastAsia="zh-CN"/>
        </w:rPr>
        <w:t>号决定、</w:t>
      </w:r>
      <w:r w:rsidRPr="00063488">
        <w:rPr>
          <w:snapToGrid w:val="0"/>
          <w:sz w:val="24"/>
          <w:szCs w:val="24"/>
          <w:lang w:val="en-US" w:eastAsia="zh-CN"/>
        </w:rPr>
        <w:t>2006</w:t>
      </w:r>
      <w:r w:rsidRPr="00063488">
        <w:rPr>
          <w:snapToGrid w:val="0"/>
          <w:sz w:val="24"/>
          <w:szCs w:val="24"/>
          <w:lang w:val="en-US" w:eastAsia="zh-CN"/>
        </w:rPr>
        <w:t>年</w:t>
      </w:r>
      <w:r w:rsidRPr="00063488">
        <w:rPr>
          <w:snapToGrid w:val="0"/>
          <w:sz w:val="24"/>
          <w:szCs w:val="24"/>
          <w:lang w:val="en-US" w:eastAsia="zh-CN"/>
        </w:rPr>
        <w:t>3</w:t>
      </w:r>
      <w:r w:rsidRPr="00063488">
        <w:rPr>
          <w:snapToGrid w:val="0"/>
          <w:sz w:val="24"/>
          <w:szCs w:val="24"/>
          <w:lang w:val="en-US" w:eastAsia="zh-CN"/>
        </w:rPr>
        <w:t>月</w:t>
      </w:r>
      <w:r w:rsidRPr="00063488">
        <w:rPr>
          <w:snapToGrid w:val="0"/>
          <w:sz w:val="24"/>
          <w:szCs w:val="24"/>
          <w:lang w:val="en-US" w:eastAsia="zh-CN"/>
        </w:rPr>
        <w:t>31</w:t>
      </w:r>
      <w:r w:rsidRPr="00063488">
        <w:rPr>
          <w:snapToGrid w:val="0"/>
          <w:sz w:val="24"/>
          <w:szCs w:val="24"/>
          <w:lang w:val="en-US" w:eastAsia="zh-CN"/>
        </w:rPr>
        <w:t>日第</w:t>
      </w:r>
      <w:hyperlink r:id="rId15" w:history="1">
        <w:r w:rsidRPr="00063488">
          <w:rPr>
            <w:rStyle w:val="Hyperlink"/>
            <w:sz w:val="24"/>
            <w:szCs w:val="24"/>
            <w:lang w:eastAsia="zh-CN"/>
          </w:rPr>
          <w:t>VI</w:t>
        </w:r>
        <w:r w:rsidRPr="00063488">
          <w:rPr>
            <w:rStyle w:val="Hyperlink"/>
            <w:sz w:val="24"/>
            <w:szCs w:val="24"/>
            <w:lang w:eastAsia="zh-CN"/>
          </w:rPr>
          <w:t>I</w:t>
        </w:r>
        <w:r w:rsidRPr="00063488">
          <w:rPr>
            <w:rStyle w:val="Hyperlink"/>
            <w:sz w:val="24"/>
            <w:szCs w:val="24"/>
            <w:lang w:eastAsia="zh-CN"/>
          </w:rPr>
          <w:t>I/23</w:t>
        </w:r>
      </w:hyperlink>
      <w:r w:rsidRPr="00063488">
        <w:rPr>
          <w:snapToGrid w:val="0"/>
          <w:sz w:val="24"/>
          <w:szCs w:val="24"/>
          <w:lang w:val="en-US" w:eastAsia="zh-CN"/>
        </w:rPr>
        <w:t>号决定、</w:t>
      </w:r>
      <w:r w:rsidRPr="00063488">
        <w:rPr>
          <w:snapToGrid w:val="0"/>
          <w:sz w:val="24"/>
          <w:szCs w:val="24"/>
          <w:lang w:val="en-US" w:eastAsia="zh-CN"/>
        </w:rPr>
        <w:t>2010</w:t>
      </w:r>
      <w:r w:rsidRPr="00063488">
        <w:rPr>
          <w:snapToGrid w:val="0"/>
          <w:sz w:val="24"/>
          <w:szCs w:val="24"/>
          <w:lang w:val="en-US" w:eastAsia="zh-CN"/>
        </w:rPr>
        <w:t>年</w:t>
      </w:r>
      <w:r w:rsidRPr="00063488">
        <w:rPr>
          <w:snapToGrid w:val="0"/>
          <w:sz w:val="24"/>
          <w:szCs w:val="24"/>
          <w:lang w:val="en-US" w:eastAsia="zh-CN"/>
        </w:rPr>
        <w:t>10</w:t>
      </w:r>
      <w:r w:rsidRPr="00063488">
        <w:rPr>
          <w:snapToGrid w:val="0"/>
          <w:sz w:val="24"/>
          <w:szCs w:val="24"/>
          <w:lang w:val="en-US" w:eastAsia="zh-CN"/>
        </w:rPr>
        <w:t>月</w:t>
      </w:r>
      <w:r w:rsidRPr="00063488">
        <w:rPr>
          <w:snapToGrid w:val="0"/>
          <w:sz w:val="24"/>
          <w:szCs w:val="24"/>
          <w:lang w:val="en-US" w:eastAsia="zh-CN"/>
        </w:rPr>
        <w:t>29</w:t>
      </w:r>
      <w:r w:rsidRPr="00063488">
        <w:rPr>
          <w:snapToGrid w:val="0"/>
          <w:sz w:val="24"/>
          <w:szCs w:val="24"/>
          <w:lang w:val="en-US" w:eastAsia="zh-CN"/>
        </w:rPr>
        <w:t>日第</w:t>
      </w:r>
      <w:hyperlink r:id="rId16" w:history="1">
        <w:r w:rsidRPr="00063488">
          <w:rPr>
            <w:rStyle w:val="Hyperlink"/>
            <w:snapToGrid w:val="0"/>
            <w:kern w:val="22"/>
            <w:sz w:val="24"/>
            <w:szCs w:val="24"/>
            <w:lang w:eastAsia="zh-CN"/>
          </w:rPr>
          <w:t>X/34</w:t>
        </w:r>
      </w:hyperlink>
      <w:r w:rsidRPr="00063488">
        <w:rPr>
          <w:snapToGrid w:val="0"/>
          <w:sz w:val="24"/>
          <w:szCs w:val="24"/>
          <w:lang w:val="en-US" w:eastAsia="zh-CN"/>
        </w:rPr>
        <w:t>号决定、</w:t>
      </w:r>
      <w:r w:rsidRPr="00063488">
        <w:rPr>
          <w:snapToGrid w:val="0"/>
          <w:sz w:val="24"/>
          <w:szCs w:val="24"/>
          <w:lang w:val="en-US" w:eastAsia="zh-CN"/>
        </w:rPr>
        <w:t>2016</w:t>
      </w:r>
      <w:r w:rsidRPr="00063488">
        <w:rPr>
          <w:snapToGrid w:val="0"/>
          <w:sz w:val="24"/>
          <w:szCs w:val="24"/>
          <w:lang w:val="en-US" w:eastAsia="zh-CN"/>
        </w:rPr>
        <w:t>年</w:t>
      </w:r>
      <w:r w:rsidRPr="00063488">
        <w:rPr>
          <w:snapToGrid w:val="0"/>
          <w:sz w:val="24"/>
          <w:szCs w:val="24"/>
          <w:lang w:val="en-US" w:eastAsia="zh-CN"/>
        </w:rPr>
        <w:t>10</w:t>
      </w:r>
      <w:r w:rsidRPr="00063488">
        <w:rPr>
          <w:snapToGrid w:val="0"/>
          <w:sz w:val="24"/>
          <w:szCs w:val="24"/>
          <w:lang w:val="en-US" w:eastAsia="zh-CN"/>
        </w:rPr>
        <w:t>月</w:t>
      </w:r>
      <w:r w:rsidRPr="00063488">
        <w:rPr>
          <w:snapToGrid w:val="0"/>
          <w:sz w:val="24"/>
          <w:szCs w:val="24"/>
          <w:lang w:val="en-US" w:eastAsia="zh-CN"/>
        </w:rPr>
        <w:t>17</w:t>
      </w:r>
      <w:r w:rsidRPr="00063488">
        <w:rPr>
          <w:snapToGrid w:val="0"/>
          <w:sz w:val="24"/>
          <w:szCs w:val="24"/>
          <w:lang w:val="en-US" w:eastAsia="zh-CN"/>
        </w:rPr>
        <w:t>日第</w:t>
      </w:r>
      <w:hyperlink r:id="rId17" w:history="1">
        <w:r w:rsidRPr="00063488">
          <w:rPr>
            <w:rStyle w:val="Hyperlink"/>
            <w:sz w:val="24"/>
            <w:szCs w:val="24"/>
            <w:lang w:eastAsia="zh-CN"/>
          </w:rPr>
          <w:t>XIII/3</w:t>
        </w:r>
      </w:hyperlink>
      <w:r w:rsidRPr="00063488">
        <w:rPr>
          <w:snapToGrid w:val="0"/>
          <w:sz w:val="24"/>
          <w:szCs w:val="24"/>
          <w:lang w:val="en-US" w:eastAsia="zh-CN"/>
        </w:rPr>
        <w:t>号决定和</w:t>
      </w:r>
      <w:r w:rsidRPr="00063488">
        <w:rPr>
          <w:snapToGrid w:val="0"/>
          <w:sz w:val="24"/>
          <w:szCs w:val="24"/>
          <w:lang w:val="en-US" w:eastAsia="zh-CN"/>
        </w:rPr>
        <w:t>2022</w:t>
      </w:r>
      <w:r w:rsidRPr="00063488">
        <w:rPr>
          <w:snapToGrid w:val="0"/>
          <w:sz w:val="24"/>
          <w:szCs w:val="24"/>
          <w:lang w:val="en-US" w:eastAsia="zh-CN"/>
        </w:rPr>
        <w:t>年</w:t>
      </w:r>
      <w:r w:rsidRPr="00063488">
        <w:rPr>
          <w:snapToGrid w:val="0"/>
          <w:sz w:val="24"/>
          <w:szCs w:val="24"/>
          <w:lang w:val="en-US" w:eastAsia="zh-CN"/>
        </w:rPr>
        <w:t>12</w:t>
      </w:r>
      <w:r w:rsidRPr="00063488">
        <w:rPr>
          <w:snapToGrid w:val="0"/>
          <w:sz w:val="24"/>
          <w:szCs w:val="24"/>
          <w:lang w:val="en-US" w:eastAsia="zh-CN"/>
        </w:rPr>
        <w:t>月</w:t>
      </w:r>
      <w:r w:rsidRPr="00063488">
        <w:rPr>
          <w:snapToGrid w:val="0"/>
          <w:sz w:val="24"/>
          <w:szCs w:val="24"/>
          <w:lang w:val="en-US" w:eastAsia="zh-CN"/>
        </w:rPr>
        <w:t>19</w:t>
      </w:r>
      <w:r w:rsidRPr="00063488">
        <w:rPr>
          <w:snapToGrid w:val="0"/>
          <w:sz w:val="24"/>
          <w:szCs w:val="24"/>
          <w:lang w:val="en-US" w:eastAsia="zh-CN"/>
        </w:rPr>
        <w:t>日第</w:t>
      </w:r>
      <w:hyperlink r:id="rId18" w:history="1">
        <w:r w:rsidRPr="00063488">
          <w:rPr>
            <w:rStyle w:val="Hyperlink"/>
            <w:sz w:val="24"/>
            <w:szCs w:val="24"/>
            <w:lang w:eastAsia="zh-CN"/>
          </w:rPr>
          <w:t>15/28</w:t>
        </w:r>
      </w:hyperlink>
      <w:r w:rsidRPr="00063488">
        <w:rPr>
          <w:snapToGrid w:val="0"/>
          <w:sz w:val="24"/>
          <w:szCs w:val="24"/>
          <w:lang w:val="en-US" w:eastAsia="zh-CN"/>
        </w:rPr>
        <w:t>号决定，</w:t>
      </w:r>
    </w:p>
    <w:p w14:paraId="49D70825" w14:textId="77777777" w:rsidR="00063488" w:rsidRPr="00063488" w:rsidRDefault="00063488" w:rsidP="00063488">
      <w:pPr>
        <w:pStyle w:val="CBDNormalNoNumber"/>
        <w:ind w:left="1134" w:firstLine="567"/>
        <w:rPr>
          <w:snapToGrid w:val="0"/>
          <w:sz w:val="24"/>
          <w:szCs w:val="24"/>
          <w:lang w:val="en-US" w:eastAsia="zh-CN"/>
        </w:rPr>
      </w:pPr>
      <w:r w:rsidRPr="00063488">
        <w:rPr>
          <w:rFonts w:eastAsia="KaiTi"/>
          <w:iCs/>
          <w:color w:val="000000" w:themeColor="text1"/>
          <w:sz w:val="24"/>
          <w:szCs w:val="24"/>
          <w:lang w:val="en-US" w:eastAsia="zh-CN"/>
        </w:rPr>
        <w:t>注意到</w:t>
      </w:r>
      <w:r w:rsidRPr="00063488">
        <w:rPr>
          <w:snapToGrid w:val="0"/>
          <w:sz w:val="24"/>
          <w:szCs w:val="24"/>
          <w:lang w:val="en-US" w:eastAsia="zh-CN"/>
        </w:rPr>
        <w:t>土壤生物多样性有助于支持气候变化缓解和适应和解决生物多样性丧失以及荒漠化、土地退化和干旱问题，对于履行包括里约三公约在内的多项全球承诺十分重要，</w:t>
      </w:r>
    </w:p>
    <w:p w14:paraId="596047F6" w14:textId="77777777" w:rsidR="00063488" w:rsidRPr="00063488" w:rsidRDefault="00063488" w:rsidP="00063488">
      <w:pPr>
        <w:pStyle w:val="CBDNormalNoNumber"/>
        <w:ind w:left="1134" w:firstLine="567"/>
        <w:rPr>
          <w:snapToGrid w:val="0"/>
          <w:sz w:val="24"/>
          <w:szCs w:val="24"/>
          <w:lang w:eastAsia="zh-CN"/>
        </w:rPr>
      </w:pPr>
      <w:r w:rsidRPr="00063488">
        <w:rPr>
          <w:rFonts w:eastAsia="KaiTi"/>
          <w:iCs/>
          <w:color w:val="000000" w:themeColor="text1"/>
          <w:sz w:val="24"/>
          <w:szCs w:val="24"/>
          <w:lang w:val="en-US" w:eastAsia="zh-CN"/>
        </w:rPr>
        <w:t>又注意到</w:t>
      </w:r>
      <w:r w:rsidRPr="00063488">
        <w:rPr>
          <w:snapToGrid w:val="0"/>
          <w:sz w:val="24"/>
          <w:szCs w:val="24"/>
          <w:lang w:val="en-US" w:eastAsia="zh-CN"/>
        </w:rPr>
        <w:t>对于土壤中真菌生物多样性的作用和农业生物多样性政策</w:t>
      </w:r>
      <w:r w:rsidRPr="00063488">
        <w:rPr>
          <w:snapToGrid w:val="0"/>
          <w:sz w:val="24"/>
          <w:szCs w:val="24"/>
          <w:lang w:eastAsia="zh-CN"/>
        </w:rPr>
        <w:t>严重缺乏理解，以及强化此种理解的机会，</w:t>
      </w:r>
    </w:p>
    <w:p w14:paraId="5DB57E02" w14:textId="6C41102D" w:rsidR="00063488" w:rsidRPr="00063488" w:rsidRDefault="00063488" w:rsidP="00063488">
      <w:pPr>
        <w:pStyle w:val="CBDNormalNoNumber"/>
        <w:ind w:left="1134" w:firstLine="567"/>
        <w:rPr>
          <w:snapToGrid w:val="0"/>
          <w:sz w:val="24"/>
          <w:szCs w:val="24"/>
          <w:lang w:val="en-US" w:eastAsia="zh-CN"/>
        </w:rPr>
      </w:pPr>
      <w:r w:rsidRPr="00063488">
        <w:rPr>
          <w:rFonts w:eastAsia="KaiTi"/>
          <w:sz w:val="24"/>
          <w:szCs w:val="24"/>
          <w:lang w:val="en-CA" w:eastAsia="zh-CN"/>
        </w:rPr>
        <w:t>认识到</w:t>
      </w:r>
      <w:r w:rsidRPr="00063488">
        <w:rPr>
          <w:snapToGrid w:val="0"/>
          <w:sz w:val="24"/>
          <w:szCs w:val="24"/>
          <w:lang w:val="en-US" w:eastAsia="zh-CN"/>
        </w:rPr>
        <w:t>保护、恢复和可持续利用土壤生物多样性是实现粮食安全和营养的关键，并对土壤有机碳储存至关重要，同时有助于实现《昆明</w:t>
      </w:r>
      <w:r w:rsidRPr="00063488">
        <w:rPr>
          <w:snapToGrid w:val="0"/>
          <w:sz w:val="24"/>
          <w:szCs w:val="24"/>
          <w:lang w:val="en-US" w:eastAsia="zh-CN"/>
        </w:rPr>
        <w:t>-</w:t>
      </w:r>
      <w:r w:rsidRPr="00063488">
        <w:rPr>
          <w:snapToGrid w:val="0"/>
          <w:sz w:val="24"/>
          <w:szCs w:val="24"/>
          <w:lang w:val="en-US" w:eastAsia="zh-CN"/>
        </w:rPr>
        <w:t>蒙特利尔全球生物多样性框架》的多项长期目标和行动目标</w:t>
      </w:r>
      <w:r w:rsidRPr="00063488">
        <w:rPr>
          <w:rStyle w:val="FootnoteReference"/>
          <w:snapToGrid w:val="0"/>
          <w:szCs w:val="24"/>
        </w:rPr>
        <w:footnoteReference w:id="3"/>
      </w:r>
      <w:r w:rsidR="0001653C">
        <w:rPr>
          <w:rFonts w:hint="eastAsia"/>
          <w:snapToGrid w:val="0"/>
          <w:sz w:val="24"/>
          <w:szCs w:val="24"/>
          <w:lang w:val="en-US" w:eastAsia="zh-CN"/>
        </w:rPr>
        <w:t>，</w:t>
      </w:r>
    </w:p>
    <w:p w14:paraId="16B0042C" w14:textId="77777777" w:rsidR="00063488" w:rsidRPr="00063488" w:rsidRDefault="00063488" w:rsidP="00063488">
      <w:pPr>
        <w:pStyle w:val="CBDNormalNoNumber"/>
        <w:tabs>
          <w:tab w:val="clear" w:pos="567"/>
        </w:tabs>
        <w:ind w:left="1134" w:firstLine="567"/>
        <w:rPr>
          <w:i/>
          <w:iCs/>
          <w:sz w:val="24"/>
          <w:szCs w:val="24"/>
          <w:lang w:val="en-US" w:eastAsia="zh-CN"/>
        </w:rPr>
      </w:pPr>
      <w:r w:rsidRPr="00063488">
        <w:rPr>
          <w:rFonts w:eastAsia="KaiTi"/>
          <w:sz w:val="24"/>
          <w:szCs w:val="24"/>
          <w:lang w:val="en-CA" w:eastAsia="zh-CN"/>
        </w:rPr>
        <w:lastRenderedPageBreak/>
        <w:t>又认识到</w:t>
      </w:r>
      <w:r w:rsidRPr="00063488">
        <w:rPr>
          <w:snapToGrid w:val="0"/>
          <w:sz w:val="24"/>
          <w:szCs w:val="24"/>
          <w:lang w:val="en-US" w:eastAsia="zh-CN"/>
        </w:rPr>
        <w:t>发展中国家的特殊需要和情况以及土著人民和地方社区对于保护和可持续利用土壤生物多样性的贡献，</w:t>
      </w:r>
    </w:p>
    <w:p w14:paraId="799CBF9B" w14:textId="1538D42D" w:rsidR="00063488" w:rsidRPr="00063488" w:rsidRDefault="00063488" w:rsidP="00063488">
      <w:pPr>
        <w:pStyle w:val="CBDNormalNoNumber"/>
        <w:tabs>
          <w:tab w:val="clear" w:pos="567"/>
        </w:tabs>
        <w:ind w:left="1134" w:firstLine="567"/>
        <w:rPr>
          <w:iCs/>
          <w:sz w:val="24"/>
          <w:szCs w:val="24"/>
          <w:lang w:eastAsia="zh-CN"/>
        </w:rPr>
      </w:pPr>
      <w:r w:rsidRPr="00063488">
        <w:rPr>
          <w:rFonts w:eastAsia="KaiTi"/>
          <w:sz w:val="24"/>
          <w:szCs w:val="24"/>
          <w:lang w:val="en-CA" w:eastAsia="zh-CN"/>
        </w:rPr>
        <w:t>还认识到</w:t>
      </w:r>
      <w:r w:rsidRPr="00063488">
        <w:rPr>
          <w:sz w:val="24"/>
          <w:szCs w:val="24"/>
          <w:lang w:val="en-CA" w:eastAsia="zh-CN"/>
        </w:rPr>
        <w:t>，</w:t>
      </w:r>
      <w:r w:rsidRPr="00063488">
        <w:rPr>
          <w:snapToGrid w:val="0"/>
          <w:sz w:val="24"/>
          <w:szCs w:val="24"/>
          <w:lang w:val="en-US" w:eastAsia="zh-CN"/>
        </w:rPr>
        <w:t>正如</w:t>
      </w:r>
      <w:r w:rsidRPr="00063488">
        <w:rPr>
          <w:snapToGrid w:val="0"/>
          <w:sz w:val="24"/>
          <w:szCs w:val="24"/>
          <w:lang w:eastAsia="zh-CN"/>
        </w:rPr>
        <w:t>政府间生物多样性和生态系统服务科学</w:t>
      </w:r>
      <w:r w:rsidR="0001653C">
        <w:rPr>
          <w:rFonts w:hint="eastAsia"/>
          <w:snapToGrid w:val="0"/>
          <w:sz w:val="24"/>
          <w:szCs w:val="24"/>
          <w:lang w:eastAsia="zh-CN"/>
        </w:rPr>
        <w:t>与</w:t>
      </w:r>
      <w:r w:rsidRPr="00063488">
        <w:rPr>
          <w:snapToGrid w:val="0"/>
          <w:sz w:val="24"/>
          <w:szCs w:val="24"/>
          <w:lang w:eastAsia="zh-CN"/>
        </w:rPr>
        <w:t>政策平台《关于生物多样性、水、粮食和健康之间相互联系的专题评估报告》阐明的，</w:t>
      </w:r>
      <w:r w:rsidRPr="00063488">
        <w:rPr>
          <w:snapToGrid w:val="0"/>
          <w:sz w:val="24"/>
          <w:szCs w:val="24"/>
          <w:lang w:val="en-US" w:eastAsia="zh-CN"/>
        </w:rPr>
        <w:t>作为生物多样性有关方法的一部分，恢复土壤健康和增加土壤有机碳储存对于实现《</w:t>
      </w:r>
      <w:r>
        <w:rPr>
          <w:rFonts w:hint="eastAsia"/>
          <w:snapToGrid w:val="0"/>
          <w:sz w:val="24"/>
          <w:szCs w:val="24"/>
          <w:lang w:val="en-US" w:eastAsia="zh-CN"/>
        </w:rPr>
        <w:t>昆蒙</w:t>
      </w:r>
      <w:r w:rsidRPr="00063488">
        <w:rPr>
          <w:snapToGrid w:val="0"/>
          <w:sz w:val="24"/>
          <w:szCs w:val="24"/>
          <w:lang w:val="en-US" w:eastAsia="zh-CN"/>
        </w:rPr>
        <w:t>框架》的多重目标十分重要，</w:t>
      </w:r>
    </w:p>
    <w:p w14:paraId="0D6FA349" w14:textId="6DF36B12" w:rsidR="00063488" w:rsidRPr="00063488" w:rsidRDefault="00063488" w:rsidP="00063488">
      <w:pPr>
        <w:pStyle w:val="CBDNormalNoNumber"/>
        <w:tabs>
          <w:tab w:val="clear" w:pos="567"/>
        </w:tabs>
        <w:ind w:left="1134" w:firstLine="567"/>
        <w:rPr>
          <w:sz w:val="24"/>
          <w:szCs w:val="24"/>
          <w:lang w:eastAsia="zh-CN"/>
        </w:rPr>
      </w:pPr>
      <w:r w:rsidRPr="00063488">
        <w:rPr>
          <w:sz w:val="24"/>
          <w:szCs w:val="24"/>
          <w:lang w:eastAsia="zh-CN"/>
        </w:rPr>
        <w:t>1.</w:t>
      </w:r>
      <w:r w:rsidRPr="00063488">
        <w:rPr>
          <w:sz w:val="24"/>
          <w:szCs w:val="24"/>
          <w:lang w:eastAsia="zh-CN"/>
        </w:rPr>
        <w:tab/>
      </w:r>
      <w:r w:rsidRPr="00CC639C">
        <w:rPr>
          <w:rFonts w:eastAsia="KaiTi"/>
          <w:iCs/>
          <w:color w:val="000000" w:themeColor="text1"/>
          <w:sz w:val="24"/>
          <w:szCs w:val="24"/>
          <w:lang w:val="en-US" w:eastAsia="zh-CN"/>
        </w:rPr>
        <w:t>欢迎</w:t>
      </w:r>
      <w:r w:rsidRPr="00063488">
        <w:rPr>
          <w:snapToGrid w:val="0"/>
          <w:sz w:val="24"/>
          <w:szCs w:val="24"/>
          <w:lang w:val="en-US" w:eastAsia="zh-CN"/>
        </w:rPr>
        <w:t>《国际土壤生物多样性保护和可持续利用倡议行动计划（</w:t>
      </w:r>
      <w:r w:rsidRPr="00063488">
        <w:rPr>
          <w:snapToGrid w:val="0"/>
          <w:sz w:val="24"/>
          <w:szCs w:val="24"/>
          <w:lang w:val="en-US" w:eastAsia="zh-CN"/>
        </w:rPr>
        <w:t>2020-2030</w:t>
      </w:r>
      <w:r w:rsidRPr="00063488">
        <w:rPr>
          <w:snapToGrid w:val="0"/>
          <w:sz w:val="24"/>
          <w:szCs w:val="24"/>
          <w:lang w:val="en-US" w:eastAsia="zh-CN"/>
        </w:rPr>
        <w:t>年）》</w:t>
      </w:r>
      <w:r w:rsidRPr="00063488">
        <w:rPr>
          <w:rStyle w:val="FootnoteReference"/>
          <w:szCs w:val="24"/>
        </w:rPr>
        <w:footnoteReference w:id="4"/>
      </w:r>
      <w:r w:rsidRPr="00063488">
        <w:rPr>
          <w:snapToGrid w:val="0"/>
          <w:sz w:val="24"/>
          <w:szCs w:val="24"/>
          <w:lang w:val="en-US" w:eastAsia="zh-CN"/>
        </w:rPr>
        <w:t xml:space="preserve"> </w:t>
      </w:r>
      <w:r w:rsidRPr="00063488">
        <w:rPr>
          <w:snapToGrid w:val="0"/>
          <w:sz w:val="24"/>
          <w:szCs w:val="24"/>
          <w:lang w:val="en-US" w:eastAsia="zh-CN"/>
        </w:rPr>
        <w:t>执行方面取得的进展，</w:t>
      </w:r>
      <w:r w:rsidR="00643164">
        <w:rPr>
          <w:rFonts w:hint="eastAsia"/>
          <w:snapToGrid w:val="0"/>
          <w:sz w:val="24"/>
          <w:szCs w:val="24"/>
          <w:lang w:val="en-US" w:eastAsia="zh-CN"/>
        </w:rPr>
        <w:t>表示</w:t>
      </w:r>
      <w:r w:rsidRPr="00063488">
        <w:rPr>
          <w:snapToGrid w:val="0"/>
          <w:sz w:val="24"/>
          <w:szCs w:val="24"/>
          <w:lang w:val="en-US" w:eastAsia="zh-CN"/>
        </w:rPr>
        <w:t>注意到</w:t>
      </w:r>
      <w:hyperlink r:id="rId19" w:history="1">
        <w:r w:rsidRPr="00063488">
          <w:rPr>
            <w:rStyle w:val="Hyperlink"/>
            <w:sz w:val="24"/>
            <w:szCs w:val="24"/>
            <w:lang w:eastAsia="zh-CN"/>
          </w:rPr>
          <w:t>CBD/SBSTTA/27/8</w:t>
        </w:r>
      </w:hyperlink>
      <w:r w:rsidRPr="00063488">
        <w:rPr>
          <w:snapToGrid w:val="0"/>
          <w:sz w:val="24"/>
          <w:szCs w:val="24"/>
          <w:lang w:val="en-US" w:eastAsia="zh-CN"/>
        </w:rPr>
        <w:t>号文件中概述的国家执行中面临的障碍和机遇。该文件强调必须强化分类学研究，解决真菌生物多样性方面的知识差距和加强可持续资金的调动；</w:t>
      </w:r>
    </w:p>
    <w:p w14:paraId="7E74D77B" w14:textId="535B56B2" w:rsidR="00063488" w:rsidRPr="00063488" w:rsidRDefault="00063488" w:rsidP="00063488">
      <w:pPr>
        <w:pStyle w:val="CBDNormalNoNumber"/>
        <w:tabs>
          <w:tab w:val="clear" w:pos="567"/>
        </w:tabs>
        <w:ind w:left="1134" w:firstLine="567"/>
        <w:rPr>
          <w:sz w:val="24"/>
          <w:szCs w:val="24"/>
          <w:lang w:eastAsia="zh-CN"/>
        </w:rPr>
      </w:pPr>
      <w:r w:rsidRPr="00063488">
        <w:rPr>
          <w:sz w:val="24"/>
          <w:szCs w:val="24"/>
          <w:lang w:eastAsia="zh-CN"/>
        </w:rPr>
        <w:t>2.</w:t>
      </w:r>
      <w:r w:rsidRPr="00063488">
        <w:rPr>
          <w:sz w:val="24"/>
          <w:szCs w:val="24"/>
          <w:lang w:eastAsia="zh-CN"/>
        </w:rPr>
        <w:tab/>
      </w:r>
      <w:r w:rsidRPr="00CC639C">
        <w:rPr>
          <w:rFonts w:eastAsia="KaiTi"/>
          <w:iCs/>
          <w:color w:val="000000" w:themeColor="text1"/>
          <w:sz w:val="24"/>
          <w:szCs w:val="24"/>
          <w:lang w:val="en-US" w:eastAsia="zh-CN"/>
        </w:rPr>
        <w:t>鼓励</w:t>
      </w:r>
      <w:r w:rsidRPr="00063488">
        <w:rPr>
          <w:snapToGrid w:val="0"/>
          <w:sz w:val="24"/>
          <w:szCs w:val="24"/>
          <w:lang w:val="en-US" w:eastAsia="zh-CN"/>
        </w:rPr>
        <w:t>缔约方、其他国家各级政府和相关组织通过提供财政资源、能力建设和技术转让，特别是为发展中国家提供财政资源、能力建设和技术转让的方式，继续根据《昆明</w:t>
      </w:r>
      <w:r w:rsidRPr="00063488">
        <w:rPr>
          <w:snapToGrid w:val="0"/>
          <w:sz w:val="24"/>
          <w:szCs w:val="24"/>
          <w:lang w:val="en-US" w:eastAsia="zh-CN"/>
        </w:rPr>
        <w:t>-</w:t>
      </w:r>
      <w:r w:rsidRPr="00063488">
        <w:rPr>
          <w:snapToGrid w:val="0"/>
          <w:sz w:val="24"/>
          <w:szCs w:val="24"/>
          <w:lang w:val="en-US" w:eastAsia="zh-CN"/>
        </w:rPr>
        <w:t>蒙特利尔全球生物多样性框架》</w:t>
      </w:r>
      <w:r w:rsidR="00643164" w:rsidRPr="00063488">
        <w:rPr>
          <w:snapToGrid w:val="0"/>
          <w:sz w:val="24"/>
          <w:szCs w:val="24"/>
          <w:lang w:val="en-US" w:eastAsia="zh-CN"/>
        </w:rPr>
        <w:t>支持</w:t>
      </w:r>
      <w:r w:rsidRPr="00063488">
        <w:rPr>
          <w:snapToGrid w:val="0"/>
          <w:sz w:val="24"/>
          <w:szCs w:val="24"/>
          <w:lang w:val="en-US" w:eastAsia="zh-CN"/>
        </w:rPr>
        <w:t>执行《行动计划》，包括通过将土壤生物多样性指标明确纳入国家报告和全球评估；</w:t>
      </w:r>
    </w:p>
    <w:p w14:paraId="637B822B" w14:textId="77777777" w:rsidR="00063488" w:rsidRPr="00BB3797" w:rsidRDefault="00063488" w:rsidP="00063488">
      <w:pPr>
        <w:pStyle w:val="CBDNormalNoNumber"/>
        <w:tabs>
          <w:tab w:val="clear" w:pos="567"/>
        </w:tabs>
        <w:ind w:left="1134" w:firstLine="567"/>
        <w:rPr>
          <w:sz w:val="24"/>
          <w:szCs w:val="24"/>
          <w:lang w:eastAsia="zh-CN"/>
        </w:rPr>
      </w:pPr>
      <w:r w:rsidRPr="00063488">
        <w:rPr>
          <w:iCs/>
          <w:kern w:val="22"/>
          <w:sz w:val="24"/>
          <w:szCs w:val="24"/>
          <w:lang w:eastAsia="zh-CN"/>
        </w:rPr>
        <w:t>3</w:t>
      </w:r>
      <w:r w:rsidRPr="00063488">
        <w:rPr>
          <w:i/>
          <w:kern w:val="22"/>
          <w:sz w:val="24"/>
          <w:szCs w:val="24"/>
          <w:lang w:eastAsia="zh-CN"/>
        </w:rPr>
        <w:t>.</w:t>
      </w:r>
      <w:r w:rsidRPr="00063488">
        <w:rPr>
          <w:i/>
          <w:kern w:val="22"/>
          <w:sz w:val="24"/>
          <w:szCs w:val="24"/>
          <w:lang w:eastAsia="zh-CN"/>
        </w:rPr>
        <w:tab/>
      </w:r>
      <w:r w:rsidRPr="00643164">
        <w:rPr>
          <w:rFonts w:eastAsia="KaiTi"/>
          <w:iCs/>
          <w:color w:val="000000" w:themeColor="text1"/>
          <w:sz w:val="24"/>
          <w:szCs w:val="24"/>
          <w:lang w:val="en-US" w:eastAsia="zh-CN"/>
        </w:rPr>
        <w:t>鼓励</w:t>
      </w:r>
      <w:r w:rsidRPr="00063488">
        <w:rPr>
          <w:iCs/>
          <w:kern w:val="22"/>
          <w:sz w:val="24"/>
          <w:szCs w:val="24"/>
          <w:lang w:val="en-CA" w:eastAsia="zh-CN"/>
        </w:rPr>
        <w:t>缔约方通过以参与方式开展的</w:t>
      </w:r>
      <w:r w:rsidRPr="00063488">
        <w:rPr>
          <w:color w:val="000000"/>
          <w:sz w:val="24"/>
          <w:szCs w:val="24"/>
          <w:lang w:eastAsia="zh-CN"/>
        </w:rPr>
        <w:t>涵盖</w:t>
      </w:r>
      <w:r w:rsidRPr="00063488">
        <w:rPr>
          <w:iCs/>
          <w:kern w:val="22"/>
          <w:sz w:val="24"/>
          <w:szCs w:val="24"/>
          <w:lang w:val="en-CA" w:eastAsia="zh-CN"/>
        </w:rPr>
        <w:t>生物多样性的空间规划，将土壤生物多样性的保护、恢复和可持续利用纳入其国家生物多样性战略和行动计划和气候及土地政策文书；</w:t>
      </w:r>
    </w:p>
    <w:p w14:paraId="143D8876" w14:textId="77777777" w:rsidR="00063488" w:rsidRPr="00063488" w:rsidRDefault="00063488" w:rsidP="00063488">
      <w:pPr>
        <w:pStyle w:val="CBDNormalNoNumber"/>
        <w:tabs>
          <w:tab w:val="clear" w:pos="567"/>
        </w:tabs>
        <w:ind w:left="1134" w:firstLine="567"/>
        <w:rPr>
          <w:sz w:val="24"/>
          <w:szCs w:val="24"/>
          <w:lang w:eastAsia="zh-CN"/>
        </w:rPr>
      </w:pPr>
      <w:r w:rsidRPr="00063488">
        <w:rPr>
          <w:iCs/>
          <w:kern w:val="22"/>
          <w:sz w:val="24"/>
          <w:szCs w:val="24"/>
          <w:lang w:val="en-US" w:eastAsia="zh-CN"/>
        </w:rPr>
        <w:t>4.</w:t>
      </w:r>
      <w:r w:rsidRPr="00063488">
        <w:rPr>
          <w:iCs/>
          <w:kern w:val="22"/>
          <w:sz w:val="24"/>
          <w:szCs w:val="24"/>
          <w:lang w:val="en-US" w:eastAsia="zh-CN"/>
        </w:rPr>
        <w:tab/>
      </w:r>
      <w:r w:rsidRPr="00643164">
        <w:rPr>
          <w:rFonts w:eastAsia="KaiTi"/>
          <w:sz w:val="24"/>
          <w:szCs w:val="24"/>
          <w:lang w:val="en-US" w:eastAsia="zh-CN"/>
        </w:rPr>
        <w:t>邀请</w:t>
      </w:r>
      <w:r w:rsidRPr="00063488">
        <w:rPr>
          <w:sz w:val="24"/>
          <w:szCs w:val="24"/>
          <w:lang w:val="en-US" w:eastAsia="zh-CN"/>
        </w:rPr>
        <w:t>缔约方建立机制加强农业、环境和卫生部门之间的协调，将可持续土壤生物多样性倡议纳入其他各部门的计划、政策和战略的主流，以符合《昆蒙框架》并确保土著人民和地方社区、妇女和青年的充分和有效参与；</w:t>
      </w:r>
    </w:p>
    <w:p w14:paraId="17A8CC5E" w14:textId="52F8595C" w:rsidR="00063488" w:rsidRPr="00063488" w:rsidRDefault="00063488" w:rsidP="00063488">
      <w:pPr>
        <w:pStyle w:val="CBDNormalNoNumber"/>
        <w:tabs>
          <w:tab w:val="clear" w:pos="567"/>
        </w:tabs>
        <w:ind w:left="1134" w:firstLine="567"/>
        <w:rPr>
          <w:iCs/>
          <w:kern w:val="22"/>
          <w:sz w:val="24"/>
          <w:szCs w:val="24"/>
          <w:lang w:val="en-CA" w:eastAsia="zh-CN"/>
        </w:rPr>
      </w:pPr>
      <w:r w:rsidRPr="00063488">
        <w:rPr>
          <w:iCs/>
          <w:kern w:val="22"/>
          <w:sz w:val="24"/>
          <w:szCs w:val="24"/>
          <w:lang w:eastAsia="zh-CN"/>
        </w:rPr>
        <w:t>5.</w:t>
      </w:r>
      <w:r w:rsidRPr="00063488">
        <w:rPr>
          <w:iCs/>
          <w:kern w:val="22"/>
          <w:sz w:val="24"/>
          <w:szCs w:val="24"/>
          <w:lang w:eastAsia="zh-CN"/>
        </w:rPr>
        <w:tab/>
      </w:r>
      <w:r w:rsidR="00643164" w:rsidRPr="00643164">
        <w:rPr>
          <w:rFonts w:eastAsia="KaiTi" w:hint="eastAsia"/>
          <w:iCs/>
          <w:color w:val="000000" w:themeColor="text1"/>
          <w:sz w:val="24"/>
          <w:szCs w:val="24"/>
          <w:lang w:val="en-US" w:eastAsia="zh-CN"/>
        </w:rPr>
        <w:t>又</w:t>
      </w:r>
      <w:r w:rsidRPr="00643164">
        <w:rPr>
          <w:rFonts w:eastAsia="KaiTi"/>
          <w:iCs/>
          <w:color w:val="000000" w:themeColor="text1"/>
          <w:sz w:val="24"/>
          <w:szCs w:val="24"/>
          <w:lang w:val="en-US" w:eastAsia="zh-CN"/>
        </w:rPr>
        <w:t>邀请</w:t>
      </w:r>
      <w:r w:rsidRPr="00063488">
        <w:rPr>
          <w:iCs/>
          <w:kern w:val="22"/>
          <w:sz w:val="24"/>
          <w:szCs w:val="24"/>
          <w:lang w:val="en-CA" w:eastAsia="zh-CN"/>
        </w:rPr>
        <w:t>缔约方加强《关于汞的水俣公约》</w:t>
      </w:r>
      <w:r w:rsidRPr="00063488">
        <w:rPr>
          <w:rStyle w:val="FootnoteReference"/>
          <w:iCs/>
          <w:kern w:val="22"/>
          <w:szCs w:val="24"/>
        </w:rPr>
        <w:footnoteReference w:id="5"/>
      </w:r>
      <w:r w:rsidR="00CC639C">
        <w:rPr>
          <w:rFonts w:hint="eastAsia"/>
          <w:iCs/>
          <w:kern w:val="22"/>
          <w:sz w:val="24"/>
          <w:szCs w:val="24"/>
          <w:lang w:val="en-CA" w:eastAsia="zh-CN"/>
        </w:rPr>
        <w:t>、</w:t>
      </w:r>
      <w:r w:rsidRPr="00063488">
        <w:rPr>
          <w:iCs/>
          <w:kern w:val="22"/>
          <w:sz w:val="24"/>
          <w:szCs w:val="24"/>
          <w:lang w:val="en-CA" w:eastAsia="zh-CN"/>
        </w:rPr>
        <w:t>《控制危险废物越境转移及其处置巴塞尔公约》</w:t>
      </w:r>
      <w:r w:rsidRPr="00063488">
        <w:rPr>
          <w:rStyle w:val="FootnoteReference"/>
          <w:iCs/>
          <w:kern w:val="22"/>
          <w:szCs w:val="24"/>
        </w:rPr>
        <w:footnoteReference w:id="6"/>
      </w:r>
      <w:r w:rsidR="00CC639C">
        <w:rPr>
          <w:rFonts w:hint="eastAsia"/>
          <w:iCs/>
          <w:kern w:val="22"/>
          <w:sz w:val="24"/>
          <w:szCs w:val="24"/>
          <w:lang w:val="en-CA" w:eastAsia="zh-CN"/>
        </w:rPr>
        <w:t>、</w:t>
      </w:r>
      <w:r w:rsidRPr="00063488">
        <w:rPr>
          <w:iCs/>
          <w:kern w:val="22"/>
          <w:sz w:val="24"/>
          <w:szCs w:val="24"/>
          <w:lang w:val="en-CA" w:eastAsia="zh-CN"/>
        </w:rPr>
        <w:t>《关于在国际贸易中对某些危险化学品和农药采用事先知情同意程序的鹿特丹公约》</w:t>
      </w:r>
      <w:r w:rsidRPr="00063488">
        <w:rPr>
          <w:rStyle w:val="FootnoteReference"/>
          <w:iCs/>
          <w:kern w:val="22"/>
          <w:szCs w:val="24"/>
        </w:rPr>
        <w:footnoteReference w:id="7"/>
      </w:r>
      <w:r w:rsidRPr="00063488">
        <w:rPr>
          <w:iCs/>
          <w:kern w:val="22"/>
          <w:sz w:val="24"/>
          <w:szCs w:val="24"/>
          <w:lang w:val="en-CA" w:eastAsia="zh-CN"/>
        </w:rPr>
        <w:t xml:space="preserve"> </w:t>
      </w:r>
      <w:r w:rsidRPr="00063488">
        <w:rPr>
          <w:iCs/>
          <w:kern w:val="22"/>
          <w:sz w:val="24"/>
          <w:szCs w:val="24"/>
          <w:lang w:val="en-CA" w:eastAsia="zh-CN"/>
        </w:rPr>
        <w:t>、《关于持久性有机污染物的斯德哥尔摩公约》</w:t>
      </w:r>
      <w:r w:rsidRPr="00063488">
        <w:rPr>
          <w:rStyle w:val="FootnoteReference"/>
          <w:iCs/>
          <w:kern w:val="22"/>
          <w:szCs w:val="24"/>
        </w:rPr>
        <w:footnoteReference w:id="8"/>
      </w:r>
      <w:r w:rsidRPr="00063488">
        <w:rPr>
          <w:sz w:val="24"/>
          <w:szCs w:val="24"/>
          <w:lang w:eastAsia="zh-CN"/>
        </w:rPr>
        <w:t>、《关于特别是作为水禽栖息地的国际重要湿地公约》</w:t>
      </w:r>
      <w:r w:rsidRPr="00063488">
        <w:rPr>
          <w:rStyle w:val="FootnoteReference"/>
          <w:kern w:val="22"/>
          <w:szCs w:val="24"/>
        </w:rPr>
        <w:footnoteReference w:id="9"/>
      </w:r>
      <w:r w:rsidRPr="00063488">
        <w:rPr>
          <w:sz w:val="24"/>
          <w:szCs w:val="24"/>
          <w:lang w:eastAsia="zh-CN"/>
        </w:rPr>
        <w:t>、《联合国关于在发生严重干旱和</w:t>
      </w:r>
      <w:r w:rsidRPr="00063488">
        <w:rPr>
          <w:sz w:val="24"/>
          <w:szCs w:val="24"/>
          <w:lang w:eastAsia="zh-CN"/>
        </w:rPr>
        <w:t>/</w:t>
      </w:r>
      <w:r w:rsidRPr="00063488">
        <w:rPr>
          <w:sz w:val="24"/>
          <w:szCs w:val="24"/>
          <w:lang w:eastAsia="zh-CN"/>
        </w:rPr>
        <w:t>或荒漠化的国家特别是在非洲防治荒漠化的公约》</w:t>
      </w:r>
      <w:r w:rsidRPr="00063488">
        <w:rPr>
          <w:rStyle w:val="FootnoteReference"/>
          <w:kern w:val="22"/>
          <w:szCs w:val="24"/>
        </w:rPr>
        <w:footnoteReference w:id="10"/>
      </w:r>
      <w:r w:rsidRPr="00063488">
        <w:rPr>
          <w:sz w:val="24"/>
          <w:szCs w:val="24"/>
          <w:lang w:eastAsia="zh-CN"/>
        </w:rPr>
        <w:t>、《联合国气候变化框架公约》</w:t>
      </w:r>
      <w:r w:rsidRPr="00063488">
        <w:rPr>
          <w:rStyle w:val="FootnoteReference"/>
          <w:kern w:val="22"/>
          <w:szCs w:val="24"/>
        </w:rPr>
        <w:footnoteReference w:id="11"/>
      </w:r>
      <w:r w:rsidRPr="00063488">
        <w:rPr>
          <w:sz w:val="24"/>
          <w:szCs w:val="24"/>
          <w:lang w:eastAsia="zh-CN"/>
        </w:rPr>
        <w:t>和联合国粮食及农业组织的国家联络点之间的合作，以便根据各自的任务规定并结合国情和优先事项，采取协调一致的综合行动，处理土壤生物多样性和土壤健康的养护和恢复及其与污染控制之间的相互</w:t>
      </w:r>
      <w:r w:rsidRPr="00063488">
        <w:rPr>
          <w:iCs/>
          <w:kern w:val="22"/>
          <w:sz w:val="24"/>
          <w:szCs w:val="24"/>
          <w:lang w:val="en-CA" w:eastAsia="zh-CN"/>
        </w:rPr>
        <w:t>关联问题；</w:t>
      </w:r>
    </w:p>
    <w:p w14:paraId="41B50026" w14:textId="77777777" w:rsidR="00063488" w:rsidRPr="00063488" w:rsidRDefault="00063488" w:rsidP="00063488">
      <w:pPr>
        <w:pStyle w:val="CBDNormalNoNumber"/>
        <w:tabs>
          <w:tab w:val="clear" w:pos="567"/>
        </w:tabs>
        <w:ind w:left="1134" w:firstLine="567"/>
        <w:rPr>
          <w:iCs/>
          <w:kern w:val="22"/>
          <w:sz w:val="24"/>
          <w:szCs w:val="24"/>
          <w:lang w:val="en-US" w:eastAsia="zh-CN"/>
        </w:rPr>
      </w:pPr>
      <w:r w:rsidRPr="00063488">
        <w:rPr>
          <w:iCs/>
          <w:kern w:val="22"/>
          <w:sz w:val="24"/>
          <w:szCs w:val="24"/>
          <w:lang w:val="en-US" w:eastAsia="zh-CN"/>
        </w:rPr>
        <w:lastRenderedPageBreak/>
        <w:t>6.</w:t>
      </w:r>
      <w:r w:rsidRPr="00063488">
        <w:rPr>
          <w:iCs/>
          <w:kern w:val="22"/>
          <w:sz w:val="24"/>
          <w:szCs w:val="24"/>
          <w:lang w:val="en-US" w:eastAsia="zh-CN"/>
        </w:rPr>
        <w:tab/>
      </w:r>
      <w:r w:rsidRPr="00CC639C">
        <w:rPr>
          <w:rFonts w:eastAsia="KaiTi"/>
          <w:iCs/>
          <w:kern w:val="22"/>
          <w:sz w:val="24"/>
          <w:szCs w:val="24"/>
          <w:lang w:eastAsia="zh-CN"/>
        </w:rPr>
        <w:t>敦促</w:t>
      </w:r>
      <w:r w:rsidRPr="00063488">
        <w:rPr>
          <w:iCs/>
          <w:kern w:val="22"/>
          <w:sz w:val="24"/>
          <w:szCs w:val="24"/>
          <w:lang w:eastAsia="zh-CN"/>
        </w:rPr>
        <w:t>发达国家缔约方并鼓励有能力的缔约方、多边基金和相关组织提供</w:t>
      </w:r>
      <w:r w:rsidRPr="00063488">
        <w:rPr>
          <w:iCs/>
          <w:kern w:val="22"/>
          <w:sz w:val="24"/>
          <w:szCs w:val="24"/>
          <w:lang w:val="en-US" w:eastAsia="zh-CN"/>
        </w:rPr>
        <w:t>财政资源</w:t>
      </w:r>
      <w:r w:rsidRPr="00063488">
        <w:rPr>
          <w:iCs/>
          <w:kern w:val="22"/>
          <w:sz w:val="24"/>
          <w:szCs w:val="24"/>
          <w:lang w:eastAsia="zh-CN"/>
        </w:rPr>
        <w:t>、能力建设、技术和科学合作、技术转让和专家培训，以扩大关于土壤生物多样性的研究，包括通过创新数字工具，支持发展中国家，特别是其中的最不发达国家和小岛屿发展中国家以及经济转型国家，以建立和加强土壤生物多样性的监测，包括以社区为基础的监测，在获得土著人民和地方社区、农民、牧民、妇女和青年自由、事先和知情同意的情况下，有效地让他们参与其中，并鼓励他们执行《行动计划》；</w:t>
      </w:r>
    </w:p>
    <w:p w14:paraId="16E22071" w14:textId="7AB16BE1" w:rsidR="00063488" w:rsidRPr="00063488" w:rsidRDefault="00063488" w:rsidP="00063488">
      <w:pPr>
        <w:pStyle w:val="CBDNormalNoNumber"/>
        <w:tabs>
          <w:tab w:val="clear" w:pos="567"/>
        </w:tabs>
        <w:ind w:left="1134" w:firstLine="567"/>
        <w:rPr>
          <w:iCs/>
          <w:kern w:val="22"/>
          <w:sz w:val="24"/>
          <w:szCs w:val="24"/>
          <w:lang w:eastAsia="zh-CN"/>
        </w:rPr>
      </w:pPr>
      <w:r w:rsidRPr="00063488">
        <w:rPr>
          <w:iCs/>
          <w:kern w:val="22"/>
          <w:sz w:val="24"/>
          <w:szCs w:val="24"/>
          <w:lang w:eastAsia="zh-CN"/>
        </w:rPr>
        <w:t>7.</w:t>
      </w:r>
      <w:r w:rsidRPr="00063488">
        <w:rPr>
          <w:iCs/>
          <w:kern w:val="22"/>
          <w:sz w:val="24"/>
          <w:szCs w:val="24"/>
          <w:lang w:eastAsia="zh-CN"/>
        </w:rPr>
        <w:tab/>
      </w:r>
      <w:r w:rsidRPr="00CC639C">
        <w:rPr>
          <w:rFonts w:eastAsia="KaiTi"/>
          <w:iCs/>
          <w:kern w:val="22"/>
          <w:sz w:val="24"/>
          <w:szCs w:val="24"/>
          <w:lang w:eastAsia="zh-CN"/>
        </w:rPr>
        <w:t>敦促</w:t>
      </w:r>
      <w:r w:rsidRPr="00063488">
        <w:rPr>
          <w:iCs/>
          <w:kern w:val="22"/>
          <w:sz w:val="24"/>
          <w:szCs w:val="24"/>
          <w:lang w:eastAsia="zh-CN"/>
        </w:rPr>
        <w:t>缔约方和其他国家政府查明、消除、逐步取消或修改对生物多样性有害的奖励措施</w:t>
      </w:r>
      <w:r w:rsidR="00122259">
        <w:rPr>
          <w:rFonts w:hint="eastAsia"/>
          <w:iCs/>
          <w:kern w:val="22"/>
          <w:sz w:val="24"/>
          <w:szCs w:val="24"/>
          <w:lang w:eastAsia="zh-CN"/>
        </w:rPr>
        <w:t>，</w:t>
      </w:r>
      <w:r w:rsidRPr="00063488">
        <w:rPr>
          <w:iCs/>
          <w:kern w:val="22"/>
          <w:sz w:val="24"/>
          <w:szCs w:val="24"/>
          <w:lang w:eastAsia="zh-CN"/>
        </w:rPr>
        <w:t>包括补贴，将其转变为促进土壤生物多样性保护、养护和管理的生物多样性友好做法；</w:t>
      </w:r>
    </w:p>
    <w:p w14:paraId="7C0350FC" w14:textId="77777777" w:rsidR="00063488" w:rsidRPr="00063488" w:rsidRDefault="00063488" w:rsidP="00063488">
      <w:pPr>
        <w:pStyle w:val="CBDNormalNoNumber"/>
        <w:tabs>
          <w:tab w:val="clear" w:pos="567"/>
        </w:tabs>
        <w:ind w:left="1134" w:firstLine="567"/>
        <w:rPr>
          <w:iCs/>
          <w:kern w:val="22"/>
          <w:sz w:val="24"/>
          <w:szCs w:val="24"/>
          <w:lang w:eastAsia="zh-CN"/>
        </w:rPr>
      </w:pPr>
      <w:r w:rsidRPr="00063488">
        <w:rPr>
          <w:iCs/>
          <w:kern w:val="22"/>
          <w:sz w:val="24"/>
          <w:szCs w:val="24"/>
          <w:lang w:eastAsia="zh-CN"/>
        </w:rPr>
        <w:t>8.</w:t>
      </w:r>
      <w:r w:rsidRPr="00063488">
        <w:rPr>
          <w:iCs/>
          <w:kern w:val="22"/>
          <w:sz w:val="24"/>
          <w:szCs w:val="24"/>
          <w:lang w:eastAsia="zh-CN"/>
        </w:rPr>
        <w:tab/>
      </w:r>
      <w:r w:rsidRPr="00CC639C">
        <w:rPr>
          <w:rFonts w:eastAsia="KaiTi"/>
          <w:iCs/>
          <w:kern w:val="22"/>
          <w:sz w:val="24"/>
          <w:szCs w:val="24"/>
          <w:lang w:eastAsia="zh-CN"/>
        </w:rPr>
        <w:t>邀请</w:t>
      </w:r>
      <w:r w:rsidRPr="00063488">
        <w:rPr>
          <w:iCs/>
          <w:kern w:val="22"/>
          <w:sz w:val="24"/>
          <w:szCs w:val="24"/>
          <w:lang w:eastAsia="zh-CN"/>
        </w:rPr>
        <w:t>相关全球和区域组织以及学术机构、土著人民和地方社区、妇女和青年填补土壤生物多样性（包括真菌生物多样性）方面的知识空白，加强分类能力，促进将土壤、气候、人类健康和粮食系统联系起来的跨学科研究；</w:t>
      </w:r>
    </w:p>
    <w:p w14:paraId="2646CDC2" w14:textId="77777777" w:rsidR="00063488" w:rsidRPr="00063488" w:rsidRDefault="00063488" w:rsidP="00063488">
      <w:pPr>
        <w:pStyle w:val="CBDNormalNoNumber"/>
        <w:tabs>
          <w:tab w:val="clear" w:pos="567"/>
        </w:tabs>
        <w:ind w:left="1134" w:firstLine="567"/>
        <w:rPr>
          <w:iCs/>
          <w:kern w:val="22"/>
          <w:sz w:val="24"/>
          <w:szCs w:val="24"/>
          <w:lang w:eastAsia="zh-CN"/>
        </w:rPr>
      </w:pPr>
      <w:r w:rsidRPr="00063488">
        <w:rPr>
          <w:iCs/>
          <w:kern w:val="22"/>
          <w:sz w:val="24"/>
          <w:szCs w:val="24"/>
          <w:lang w:eastAsia="zh-CN"/>
        </w:rPr>
        <w:t>9.</w:t>
      </w:r>
      <w:r w:rsidRPr="00063488">
        <w:rPr>
          <w:iCs/>
          <w:kern w:val="22"/>
          <w:sz w:val="24"/>
          <w:szCs w:val="24"/>
          <w:lang w:eastAsia="zh-CN"/>
        </w:rPr>
        <w:tab/>
      </w:r>
      <w:r w:rsidRPr="00CC639C">
        <w:rPr>
          <w:rFonts w:eastAsia="KaiTi"/>
          <w:iCs/>
          <w:kern w:val="22"/>
          <w:sz w:val="24"/>
          <w:szCs w:val="24"/>
          <w:lang w:eastAsia="zh-CN"/>
        </w:rPr>
        <w:t>注意到</w:t>
      </w:r>
      <w:r w:rsidRPr="00063488">
        <w:rPr>
          <w:iCs/>
          <w:kern w:val="22"/>
          <w:sz w:val="24"/>
          <w:szCs w:val="24"/>
          <w:lang w:eastAsia="zh-CN"/>
        </w:rPr>
        <w:t>粮食和农业遗传资源委员会正在开展的有关微生物和无脊椎动物遗传资源以及粮食和农业生物多样性的工作，欣见委员会成员在其第二十届会议上要求委员会秘书处，在资源允许的情况下，与生物多样性公约秘书处</w:t>
      </w:r>
      <w:r w:rsidRPr="00063488">
        <w:rPr>
          <w:rStyle w:val="FootnoteReference"/>
          <w:iCs/>
          <w:kern w:val="22"/>
          <w:szCs w:val="24"/>
        </w:rPr>
        <w:footnoteReference w:id="12"/>
      </w:r>
      <w:r w:rsidRPr="00063488">
        <w:rPr>
          <w:iCs/>
          <w:kern w:val="22"/>
          <w:sz w:val="24"/>
          <w:szCs w:val="24"/>
          <w:lang w:eastAsia="zh-CN"/>
        </w:rPr>
        <w:t>等潜在伙伴合作，建立一个全球传粉媒介平台；</w:t>
      </w:r>
    </w:p>
    <w:p w14:paraId="055048D9" w14:textId="77777777" w:rsidR="00063488" w:rsidRPr="00063488" w:rsidRDefault="00063488" w:rsidP="00063488">
      <w:pPr>
        <w:pStyle w:val="CBDNormalNoNumber"/>
        <w:tabs>
          <w:tab w:val="clear" w:pos="567"/>
        </w:tabs>
        <w:ind w:left="1134" w:firstLine="567"/>
        <w:rPr>
          <w:iCs/>
          <w:kern w:val="22"/>
          <w:sz w:val="24"/>
          <w:szCs w:val="24"/>
          <w:lang w:val="en-US" w:eastAsia="zh-CN"/>
        </w:rPr>
      </w:pPr>
      <w:r w:rsidRPr="00063488">
        <w:rPr>
          <w:iCs/>
          <w:kern w:val="22"/>
          <w:sz w:val="24"/>
          <w:szCs w:val="24"/>
          <w:lang w:val="en-US" w:eastAsia="zh-CN"/>
        </w:rPr>
        <w:t>10.</w:t>
      </w:r>
      <w:r w:rsidRPr="00063488">
        <w:rPr>
          <w:iCs/>
          <w:kern w:val="22"/>
          <w:sz w:val="24"/>
          <w:szCs w:val="24"/>
          <w:lang w:val="en-US" w:eastAsia="zh-CN"/>
        </w:rPr>
        <w:tab/>
      </w:r>
      <w:r w:rsidRPr="00CC639C">
        <w:rPr>
          <w:rFonts w:eastAsia="KaiTi"/>
          <w:iCs/>
          <w:kern w:val="22"/>
          <w:sz w:val="24"/>
          <w:szCs w:val="24"/>
          <w:lang w:eastAsia="zh-CN"/>
        </w:rPr>
        <w:t>欢迎</w:t>
      </w:r>
      <w:r w:rsidRPr="00063488">
        <w:rPr>
          <w:iCs/>
          <w:kern w:val="22"/>
          <w:sz w:val="24"/>
          <w:szCs w:val="24"/>
          <w:lang w:eastAsia="zh-CN"/>
        </w:rPr>
        <w:t>《传粉媒介保护和可持续利用国际倡议</w:t>
      </w:r>
      <w:r w:rsidRPr="00063488">
        <w:rPr>
          <w:iCs/>
          <w:kern w:val="22"/>
          <w:sz w:val="24"/>
          <w:szCs w:val="24"/>
          <w:lang w:val="en-US" w:eastAsia="zh-CN"/>
        </w:rPr>
        <w:t>》二十五周年，邀请联合国粮食及农业组织加强行动，特别是加强针对野生传粉媒介的行动，加强实施该倡议力度；</w:t>
      </w:r>
      <w:r w:rsidRPr="00063488">
        <w:rPr>
          <w:iCs/>
          <w:kern w:val="22"/>
          <w:sz w:val="24"/>
          <w:szCs w:val="24"/>
          <w:lang w:val="en-US" w:eastAsia="zh-CN"/>
        </w:rPr>
        <w:t xml:space="preserve"> </w:t>
      </w:r>
    </w:p>
    <w:p w14:paraId="7407573D" w14:textId="77777777" w:rsidR="00063488" w:rsidRPr="00063488" w:rsidRDefault="00063488" w:rsidP="00063488">
      <w:pPr>
        <w:pStyle w:val="CBDNormalNoNumber"/>
        <w:tabs>
          <w:tab w:val="clear" w:pos="567"/>
        </w:tabs>
        <w:ind w:left="1134" w:firstLine="567"/>
        <w:rPr>
          <w:iCs/>
          <w:kern w:val="22"/>
          <w:sz w:val="24"/>
          <w:szCs w:val="24"/>
          <w:lang w:eastAsia="zh-CN"/>
        </w:rPr>
      </w:pPr>
      <w:r w:rsidRPr="00063488">
        <w:rPr>
          <w:iCs/>
          <w:kern w:val="22"/>
          <w:sz w:val="24"/>
          <w:szCs w:val="24"/>
          <w:lang w:eastAsia="zh-CN"/>
        </w:rPr>
        <w:t>11.</w:t>
      </w:r>
      <w:r w:rsidRPr="00063488">
        <w:rPr>
          <w:iCs/>
          <w:kern w:val="22"/>
          <w:sz w:val="24"/>
          <w:szCs w:val="24"/>
          <w:lang w:eastAsia="zh-CN"/>
        </w:rPr>
        <w:tab/>
      </w:r>
      <w:r w:rsidRPr="00CC639C">
        <w:rPr>
          <w:rFonts w:eastAsia="KaiTi"/>
          <w:iCs/>
          <w:kern w:val="22"/>
          <w:sz w:val="24"/>
          <w:szCs w:val="24"/>
          <w:lang w:eastAsia="zh-CN"/>
        </w:rPr>
        <w:t>请</w:t>
      </w:r>
      <w:r w:rsidRPr="00063488">
        <w:rPr>
          <w:iCs/>
          <w:kern w:val="22"/>
          <w:sz w:val="24"/>
          <w:szCs w:val="24"/>
          <w:lang w:eastAsia="zh-CN"/>
        </w:rPr>
        <w:t>公约执行秘书在资源允许的情况下，继续与联合国粮食及农业组织和粮食和农业遗传资源委员会就土壤生物多样性和传粉媒介相关工作进行合作，包括通过第</w:t>
      </w:r>
      <w:r w:rsidRPr="00063488">
        <w:rPr>
          <w:iCs/>
          <w:kern w:val="22"/>
          <w:sz w:val="24"/>
          <w:szCs w:val="24"/>
          <w:lang w:eastAsia="zh-CN"/>
        </w:rPr>
        <w:t xml:space="preserve"> 9 </w:t>
      </w:r>
      <w:r w:rsidRPr="00063488">
        <w:rPr>
          <w:iCs/>
          <w:kern w:val="22"/>
          <w:sz w:val="24"/>
          <w:szCs w:val="24"/>
          <w:lang w:eastAsia="zh-CN"/>
        </w:rPr>
        <w:t>段提到的全球传粉媒介平台进行合作；</w:t>
      </w:r>
    </w:p>
    <w:p w14:paraId="2FC79B5F" w14:textId="644D62BA" w:rsidR="00A67B81" w:rsidRPr="00122259" w:rsidRDefault="00063488" w:rsidP="00CC639C">
      <w:pPr>
        <w:pStyle w:val="CBDNormalNoNumber"/>
        <w:tabs>
          <w:tab w:val="clear" w:pos="567"/>
          <w:tab w:val="clear" w:pos="1134"/>
          <w:tab w:val="clear" w:pos="1701"/>
          <w:tab w:val="clear" w:pos="2268"/>
          <w:tab w:val="clear" w:pos="2835"/>
          <w:tab w:val="clear" w:pos="3402"/>
        </w:tabs>
        <w:ind w:left="1138" w:firstLine="562"/>
        <w:rPr>
          <w:caps/>
          <w:kern w:val="22"/>
          <w:sz w:val="24"/>
          <w:szCs w:val="24"/>
          <w:lang w:eastAsia="zh-CN"/>
        </w:rPr>
      </w:pPr>
      <w:r w:rsidRPr="00122259">
        <w:rPr>
          <w:iCs/>
          <w:kern w:val="22"/>
          <w:sz w:val="24"/>
          <w:szCs w:val="24"/>
          <w:lang w:eastAsia="zh-CN"/>
        </w:rPr>
        <w:t>12.</w:t>
      </w:r>
      <w:r w:rsidR="00CC639C" w:rsidRPr="00122259">
        <w:rPr>
          <w:iCs/>
          <w:kern w:val="22"/>
          <w:sz w:val="24"/>
          <w:szCs w:val="24"/>
          <w:lang w:eastAsia="zh-CN"/>
        </w:rPr>
        <w:t xml:space="preserve">   </w:t>
      </w:r>
      <w:r w:rsidRPr="00122259">
        <w:rPr>
          <w:rFonts w:eastAsia="KaiTi"/>
          <w:iCs/>
          <w:kern w:val="22"/>
          <w:sz w:val="24"/>
          <w:szCs w:val="24"/>
          <w:lang w:eastAsia="zh-CN"/>
        </w:rPr>
        <w:t>又请</w:t>
      </w:r>
      <w:r w:rsidRPr="00122259">
        <w:rPr>
          <w:kern w:val="22"/>
          <w:sz w:val="24"/>
          <w:szCs w:val="24"/>
          <w:lang w:eastAsia="zh-CN"/>
        </w:rPr>
        <w:t>执行秘书在资源允许的情况下，与相关公约和组织，特别是与第</w:t>
      </w:r>
      <w:r w:rsidRPr="00122259">
        <w:rPr>
          <w:kern w:val="22"/>
          <w:sz w:val="24"/>
          <w:szCs w:val="24"/>
          <w:lang w:eastAsia="zh-CN"/>
        </w:rPr>
        <w:t xml:space="preserve"> 5 </w:t>
      </w:r>
      <w:r w:rsidRPr="00122259">
        <w:rPr>
          <w:kern w:val="22"/>
          <w:sz w:val="24"/>
          <w:szCs w:val="24"/>
          <w:lang w:eastAsia="zh-CN"/>
        </w:rPr>
        <w:t>段提到的公约和组织合作，根据各自的任务规定，制定相关工具和指导，促进减少污染对土壤生物多样性影响的能力建设活动，包括通过循证利用真菌生物多样性进行土壤修复，同时考虑到发展中国家面临的具体挑战，并向在缔约方大会第十八届会议之前举行的科学、技术和工艺咨询附属机构会议报告进展情况；</w:t>
      </w:r>
    </w:p>
    <w:p w14:paraId="7BCBC1C6" w14:textId="2BCD37D6" w:rsidR="00063488" w:rsidRPr="00CC639C" w:rsidRDefault="00CC639C" w:rsidP="00CC639C">
      <w:pPr>
        <w:pStyle w:val="CBDNormalNoNumber"/>
        <w:tabs>
          <w:tab w:val="clear" w:pos="567"/>
        </w:tabs>
        <w:ind w:left="1138" w:hanging="4"/>
        <w:jc w:val="left"/>
        <w:rPr>
          <w:iCs/>
          <w:kern w:val="22"/>
          <w:sz w:val="24"/>
          <w:szCs w:val="24"/>
          <w:lang w:eastAsia="zh-CN"/>
        </w:rPr>
      </w:pPr>
      <w:r>
        <w:rPr>
          <w:iCs/>
          <w:kern w:val="22"/>
          <w:sz w:val="24"/>
          <w:szCs w:val="24"/>
          <w:lang w:eastAsia="zh-CN"/>
        </w:rPr>
        <w:tab/>
      </w:r>
      <w:r w:rsidR="0001653C">
        <w:rPr>
          <w:iCs/>
          <w:kern w:val="22"/>
          <w:sz w:val="24"/>
          <w:szCs w:val="24"/>
          <w:lang w:eastAsia="zh-CN"/>
        </w:rPr>
        <w:tab/>
      </w:r>
      <w:r w:rsidR="00063488" w:rsidRPr="00063488">
        <w:rPr>
          <w:iCs/>
          <w:kern w:val="22"/>
          <w:sz w:val="24"/>
          <w:szCs w:val="24"/>
          <w:lang w:eastAsia="zh-CN"/>
        </w:rPr>
        <w:t>13.</w:t>
      </w:r>
      <w:r w:rsidR="00063488" w:rsidRPr="00CC639C">
        <w:rPr>
          <w:iCs/>
          <w:kern w:val="22"/>
          <w:sz w:val="24"/>
          <w:szCs w:val="24"/>
          <w:lang w:eastAsia="zh-CN"/>
        </w:rPr>
        <w:tab/>
      </w:r>
      <w:r w:rsidR="00063488" w:rsidRPr="00CC639C">
        <w:rPr>
          <w:rFonts w:eastAsia="KaiTi"/>
          <w:iCs/>
          <w:kern w:val="22"/>
          <w:sz w:val="24"/>
          <w:szCs w:val="24"/>
          <w:lang w:eastAsia="zh-CN"/>
        </w:rPr>
        <w:t>还请</w:t>
      </w:r>
      <w:r w:rsidR="00063488" w:rsidRPr="00063488">
        <w:rPr>
          <w:iCs/>
          <w:kern w:val="22"/>
          <w:sz w:val="24"/>
          <w:szCs w:val="24"/>
          <w:lang w:eastAsia="zh-CN"/>
        </w:rPr>
        <w:t>执行秘书在资源允许的情况下，</w:t>
      </w:r>
      <w:r w:rsidR="00122259">
        <w:rPr>
          <w:rFonts w:hint="eastAsia"/>
          <w:iCs/>
          <w:kern w:val="22"/>
          <w:sz w:val="24"/>
          <w:szCs w:val="24"/>
          <w:lang w:eastAsia="zh-CN"/>
        </w:rPr>
        <w:t>并</w:t>
      </w:r>
      <w:r w:rsidR="00063488" w:rsidRPr="00063488">
        <w:rPr>
          <w:iCs/>
          <w:kern w:val="22"/>
          <w:sz w:val="24"/>
          <w:szCs w:val="24"/>
          <w:lang w:eastAsia="zh-CN"/>
        </w:rPr>
        <w:t>邀请联合国粮食及农业组织、全球土壤伙伴关系、全球土壤生物多样性倡议、国际自然保护联盟以及其他相关组织，继续努力制定用于土壤生物多样性保护和可持续利用的</w:t>
      </w:r>
      <w:r w:rsidR="00122259">
        <w:rPr>
          <w:rFonts w:hint="eastAsia"/>
          <w:iCs/>
          <w:kern w:val="22"/>
          <w:sz w:val="24"/>
          <w:szCs w:val="24"/>
          <w:lang w:eastAsia="zh-CN"/>
        </w:rPr>
        <w:t>统一</w:t>
      </w:r>
      <w:r w:rsidR="00063488" w:rsidRPr="00063488">
        <w:rPr>
          <w:iCs/>
          <w:kern w:val="22"/>
          <w:sz w:val="24"/>
          <w:szCs w:val="24"/>
          <w:lang w:eastAsia="zh-CN"/>
        </w:rPr>
        <w:t>方法和兼容指标，同时确保所制定的方法不会造成额外报告负担，符合各自机构的职责范围，且避免重复工作，以确保所生成的数据可获取和互操作，且能纳入《昆蒙框架》</w:t>
      </w:r>
      <w:r w:rsidR="00122259">
        <w:rPr>
          <w:rFonts w:hint="eastAsia"/>
          <w:iCs/>
          <w:kern w:val="22"/>
          <w:sz w:val="24"/>
          <w:szCs w:val="24"/>
          <w:lang w:eastAsia="zh-CN"/>
        </w:rPr>
        <w:t>，</w:t>
      </w:r>
      <w:r w:rsidR="00063488" w:rsidRPr="00063488">
        <w:rPr>
          <w:iCs/>
          <w:kern w:val="22"/>
          <w:sz w:val="24"/>
          <w:szCs w:val="24"/>
          <w:lang w:eastAsia="zh-CN"/>
        </w:rPr>
        <w:t>并向在缔约方大会第十八届会议之前举行的科学、技术和工艺咨询机构会议报告进展情况。</w:t>
      </w:r>
      <w:r w:rsidR="00063488" w:rsidRPr="00063488">
        <w:rPr>
          <w:iCs/>
          <w:kern w:val="22"/>
          <w:sz w:val="24"/>
          <w:szCs w:val="24"/>
          <w:lang w:eastAsia="zh-CN"/>
        </w:rPr>
        <w:br/>
      </w:r>
      <w:r w:rsidR="00063488" w:rsidRPr="00063488">
        <w:rPr>
          <w:iCs/>
          <w:kern w:val="22"/>
          <w:sz w:val="24"/>
          <w:szCs w:val="24"/>
          <w:lang w:eastAsia="zh-CN"/>
        </w:rPr>
        <w:br/>
      </w:r>
      <w:r w:rsidR="00063488" w:rsidRPr="00CC639C">
        <w:rPr>
          <w:iCs/>
          <w:kern w:val="22"/>
          <w:sz w:val="24"/>
          <w:szCs w:val="24"/>
          <w:lang w:eastAsia="zh-CN"/>
        </w:rPr>
        <w:lastRenderedPageBreak/>
        <w:t xml:space="preserve"> </w:t>
      </w:r>
      <w:r>
        <w:rPr>
          <w:iCs/>
          <w:kern w:val="22"/>
          <w:sz w:val="24"/>
          <w:szCs w:val="24"/>
          <w:lang w:eastAsia="zh-CN"/>
        </w:rPr>
        <w:tab/>
      </w:r>
      <w:r>
        <w:rPr>
          <w:rFonts w:hint="eastAsia"/>
          <w:iCs/>
          <w:kern w:val="22"/>
          <w:sz w:val="24"/>
          <w:szCs w:val="24"/>
          <w:lang w:eastAsia="zh-CN"/>
        </w:rPr>
        <w:t>14.</w:t>
      </w:r>
      <w:r>
        <w:rPr>
          <w:iCs/>
          <w:kern w:val="22"/>
          <w:sz w:val="24"/>
          <w:szCs w:val="24"/>
          <w:lang w:eastAsia="zh-CN"/>
        </w:rPr>
        <w:tab/>
      </w:r>
      <w:r w:rsidR="00063488" w:rsidRPr="00CC639C">
        <w:rPr>
          <w:rFonts w:eastAsia="KaiTi"/>
          <w:iCs/>
          <w:kern w:val="22"/>
          <w:sz w:val="24"/>
          <w:szCs w:val="24"/>
          <w:lang w:eastAsia="zh-CN"/>
        </w:rPr>
        <w:t>请</w:t>
      </w:r>
      <w:r w:rsidR="00063488" w:rsidRPr="00CC639C">
        <w:rPr>
          <w:iCs/>
          <w:kern w:val="22"/>
          <w:sz w:val="24"/>
          <w:szCs w:val="24"/>
          <w:lang w:eastAsia="zh-CN"/>
        </w:rPr>
        <w:t>执行秘书在资源允许的情况下，考虑建立一个跨机构联络小组，以协调有关土壤生物多样性的工作，避免任何重复工作；并将本决定转交联合国粮食及农业组织、联合国开发计划署、联合国教育、科学及文化组织、世界卫生组织、世界动物卫生组织、《巴塞尔公约》</w:t>
      </w:r>
      <w:r>
        <w:rPr>
          <w:rFonts w:hint="eastAsia"/>
          <w:iCs/>
          <w:kern w:val="22"/>
          <w:sz w:val="24"/>
          <w:szCs w:val="24"/>
          <w:lang w:eastAsia="zh-CN"/>
        </w:rPr>
        <w:t>、</w:t>
      </w:r>
      <w:r w:rsidR="00063488" w:rsidRPr="00CC639C">
        <w:rPr>
          <w:iCs/>
          <w:kern w:val="22"/>
          <w:sz w:val="24"/>
          <w:szCs w:val="24"/>
          <w:lang w:eastAsia="zh-CN"/>
        </w:rPr>
        <w:t>《鹿特丹公约》</w:t>
      </w:r>
      <w:r>
        <w:rPr>
          <w:rFonts w:hint="eastAsia"/>
          <w:iCs/>
          <w:kern w:val="22"/>
          <w:sz w:val="24"/>
          <w:szCs w:val="24"/>
          <w:lang w:eastAsia="zh-CN"/>
        </w:rPr>
        <w:t>、</w:t>
      </w:r>
      <w:r w:rsidR="00063488" w:rsidRPr="00CC639C">
        <w:rPr>
          <w:iCs/>
          <w:kern w:val="22"/>
          <w:sz w:val="24"/>
          <w:szCs w:val="24"/>
          <w:lang w:eastAsia="zh-CN"/>
        </w:rPr>
        <w:t>《斯德哥尔摩公约》、《湿地公约》、《关于汞的水俣公约》、《防治荒漠化公约》、《联合国气候变化框架公约》、政府间生物多样性和生态系统服务科学与政策平台、国际资源委员会以及其他生物多样性相关公约和联合国系统实体，特别是参与</w:t>
      </w:r>
      <w:r w:rsidR="0001653C">
        <w:rPr>
          <w:rFonts w:hint="eastAsia"/>
          <w:iCs/>
          <w:kern w:val="22"/>
          <w:sz w:val="24"/>
          <w:szCs w:val="24"/>
          <w:lang w:eastAsia="zh-CN"/>
        </w:rPr>
        <w:t>执行</w:t>
      </w:r>
      <w:r w:rsidR="00063488" w:rsidRPr="00CC639C">
        <w:rPr>
          <w:iCs/>
          <w:kern w:val="22"/>
          <w:sz w:val="24"/>
          <w:szCs w:val="24"/>
          <w:lang w:eastAsia="zh-CN"/>
        </w:rPr>
        <w:t>《联合国生态系统恢复十年》</w:t>
      </w:r>
      <w:r>
        <w:rPr>
          <w:rStyle w:val="FootnoteReference"/>
          <w:iCs/>
          <w:kern w:val="22"/>
          <w:szCs w:val="24"/>
          <w:lang w:eastAsia="zh-CN"/>
        </w:rPr>
        <w:footnoteReference w:id="13"/>
      </w:r>
      <w:r w:rsidR="00063488" w:rsidRPr="00CC639C">
        <w:rPr>
          <w:iCs/>
          <w:kern w:val="22"/>
          <w:sz w:val="24"/>
          <w:szCs w:val="24"/>
          <w:lang w:eastAsia="zh-CN"/>
        </w:rPr>
        <w:t>的实体，以促进这些进程之间的协同作用，最大限度地实现气候、生物多样性和粮食安全附带效益。</w:t>
      </w:r>
      <w:r w:rsidR="00BB3797">
        <w:rPr>
          <w:rFonts w:hint="eastAsia"/>
          <w:iCs/>
          <w:kern w:val="22"/>
          <w:sz w:val="24"/>
          <w:szCs w:val="24"/>
          <w:lang w:eastAsia="zh-CN"/>
        </w:rPr>
        <w:t xml:space="preserve"> </w:t>
      </w:r>
    </w:p>
    <w:p w14:paraId="546CD974" w14:textId="77777777" w:rsidR="00CC639C" w:rsidRDefault="00CC639C" w:rsidP="00CC639C">
      <w:pPr>
        <w:suppressLineNumbers/>
        <w:suppressAutoHyphens/>
        <w:jc w:val="center"/>
        <w:rPr>
          <w:rFonts w:eastAsiaTheme="minorEastAsia"/>
          <w:lang w:eastAsia="zh-CN"/>
        </w:rPr>
      </w:pPr>
    </w:p>
    <w:p w14:paraId="6F87D4D7" w14:textId="33A4CD83" w:rsidR="00A67B81" w:rsidRPr="00CC639C" w:rsidRDefault="00063488" w:rsidP="00CC639C">
      <w:pPr>
        <w:suppressLineNumbers/>
        <w:suppressAutoHyphens/>
        <w:jc w:val="center"/>
        <w:rPr>
          <w:rFonts w:eastAsiaTheme="minorEastAsia" w:hint="eastAsia"/>
          <w:lang w:eastAsia="zh-CN"/>
        </w:rPr>
      </w:pPr>
      <w:r w:rsidRPr="009A00A7">
        <w:t>__________</w:t>
      </w:r>
    </w:p>
    <w:p w14:paraId="34E00161" w14:textId="77777777" w:rsidR="00A67B81" w:rsidRDefault="00A67B81" w:rsidP="00682919">
      <w:pPr>
        <w:suppressLineNumbers/>
        <w:suppressAutoHyphens/>
        <w:adjustRightInd w:val="0"/>
        <w:snapToGrid w:val="0"/>
        <w:jc w:val="center"/>
        <w:rPr>
          <w:rFonts w:eastAsia="SimHei"/>
          <w:caps/>
          <w:kern w:val="22"/>
          <w:lang w:val="en-GB" w:eastAsia="zh-CN"/>
        </w:rPr>
      </w:pPr>
    </w:p>
    <w:p w14:paraId="3F96225E" w14:textId="76C51E0F" w:rsidR="00B44BEA" w:rsidRPr="00CE0D90" w:rsidRDefault="00B44BEA" w:rsidP="00CC639C">
      <w:pPr>
        <w:suppressLineNumbers/>
        <w:suppressAutoHyphens/>
        <w:adjustRightInd w:val="0"/>
        <w:snapToGrid w:val="0"/>
        <w:rPr>
          <w:rFonts w:eastAsia="SimHei"/>
          <w:caps/>
          <w:kern w:val="22"/>
          <w:lang w:val="en-GB" w:eastAsia="zh-CN"/>
        </w:rPr>
      </w:pPr>
    </w:p>
    <w:sectPr w:rsidR="00B44BEA" w:rsidRPr="00CE0D90" w:rsidSect="00617905">
      <w:headerReference w:type="even" r:id="rId20"/>
      <w:headerReference w:type="default" r:id="rId21"/>
      <w:footerReference w:type="even" r:id="rId22"/>
      <w:footerReference w:type="default" r:id="rId23"/>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5E605" w14:textId="77777777" w:rsidR="00400958" w:rsidRDefault="00400958">
      <w:r>
        <w:separator/>
      </w:r>
    </w:p>
  </w:endnote>
  <w:endnote w:type="continuationSeparator" w:id="0">
    <w:p w14:paraId="29F9E752" w14:textId="77777777" w:rsidR="00400958" w:rsidRDefault="00400958">
      <w:r>
        <w:continuationSeparator/>
      </w:r>
    </w:p>
  </w:endnote>
  <w:endnote w:type="continuationNotice" w:id="1">
    <w:p w14:paraId="79DB8372" w14:textId="77777777" w:rsidR="00400958" w:rsidRDefault="004009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Content>
      <w:sdt>
        <w:sdtPr>
          <w:id w:val="-1705238520"/>
          <w:docPartObj>
            <w:docPartGallery w:val="Page Numbers (Top of Page)"/>
            <w:docPartUnique/>
          </w:docPartObj>
        </w:sdtPr>
        <w:sdtContent>
          <w:p w14:paraId="3D82A41C" w14:textId="77777777"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B9AF5" w14:textId="77777777" w:rsidR="00400958" w:rsidRDefault="00400958">
      <w:r>
        <w:separator/>
      </w:r>
    </w:p>
  </w:footnote>
  <w:footnote w:type="continuationSeparator" w:id="0">
    <w:p w14:paraId="59A07ED5" w14:textId="77777777" w:rsidR="00400958" w:rsidRDefault="00400958">
      <w:r>
        <w:continuationSeparator/>
      </w:r>
    </w:p>
  </w:footnote>
  <w:footnote w:type="continuationNotice" w:id="1">
    <w:p w14:paraId="7EA2695F" w14:textId="77777777" w:rsidR="00400958" w:rsidRDefault="00400958"/>
  </w:footnote>
  <w:footnote w:id="2">
    <w:p w14:paraId="0ED7D24F" w14:textId="63A2A0C8" w:rsidR="00063488" w:rsidRPr="00DE2707" w:rsidRDefault="00063488" w:rsidP="00063488">
      <w:pPr>
        <w:pStyle w:val="FootnoteText"/>
        <w:ind w:firstLine="0"/>
        <w:jc w:val="both"/>
        <w:rPr>
          <w:lang w:eastAsia="zh-CN"/>
        </w:rPr>
      </w:pPr>
      <w:r w:rsidRPr="00DE2707">
        <w:rPr>
          <w:rStyle w:val="FootnoteReference"/>
        </w:rPr>
        <w:footnoteRef/>
      </w:r>
      <w:r w:rsidRPr="00DE2707">
        <w:t xml:space="preserve"> </w:t>
      </w:r>
      <w:hyperlink r:id="rId1" w:history="1">
        <w:r w:rsidRPr="0001653C">
          <w:rPr>
            <w:rStyle w:val="Hyperlink"/>
          </w:rPr>
          <w:t>CBD/SBSTTA</w:t>
        </w:r>
        <w:r w:rsidRPr="0001653C">
          <w:rPr>
            <w:rStyle w:val="Hyperlink"/>
            <w:lang w:eastAsia="zh-CN"/>
          </w:rPr>
          <w:t>/27/8</w:t>
        </w:r>
      </w:hyperlink>
      <w:r w:rsidRPr="00DE2707">
        <w:rPr>
          <w:rFonts w:ascii="SimSun" w:hAnsi="SimSun" w:cs="SimSun" w:hint="eastAsia"/>
          <w:lang w:eastAsia="zh-CN"/>
        </w:rPr>
        <w:t>。</w:t>
      </w:r>
    </w:p>
  </w:footnote>
  <w:footnote w:id="3">
    <w:p w14:paraId="08ABC950" w14:textId="77777777" w:rsidR="00063488" w:rsidRPr="00531E89" w:rsidRDefault="00063488" w:rsidP="00063488">
      <w:pPr>
        <w:pStyle w:val="FootnoteText"/>
        <w:ind w:firstLine="0"/>
        <w:jc w:val="both"/>
        <w:rPr>
          <w:rFonts w:eastAsiaTheme="minorEastAsia"/>
          <w:lang w:eastAsia="zh-CN"/>
        </w:rPr>
      </w:pPr>
      <w:r w:rsidRPr="00DE2707">
        <w:rPr>
          <w:rStyle w:val="FootnoteReference"/>
        </w:rPr>
        <w:footnoteRef/>
      </w:r>
      <w:r w:rsidRPr="00DE2707">
        <w:rPr>
          <w:rStyle w:val="FootnoteReference"/>
          <w:lang w:eastAsia="zh-CN"/>
        </w:rPr>
        <w:t xml:space="preserve"> </w:t>
      </w:r>
      <w:r w:rsidRPr="00DE2707">
        <w:rPr>
          <w:rFonts w:hint="eastAsia"/>
          <w:lang w:eastAsia="zh-CN"/>
        </w:rPr>
        <w:t>第</w:t>
      </w:r>
      <w:hyperlink r:id="rId2" w:history="1">
        <w:r w:rsidRPr="00DE2707">
          <w:rPr>
            <w:rStyle w:val="Hyperlink"/>
            <w:lang w:eastAsia="zh-CN"/>
          </w:rPr>
          <w:t>15/4</w:t>
        </w:r>
      </w:hyperlink>
      <w:r w:rsidRPr="00DE2707">
        <w:rPr>
          <w:rFonts w:ascii="SimSun" w:hAnsi="SimSun" w:cs="SimSun" w:hint="eastAsia"/>
          <w:lang w:eastAsia="zh-CN"/>
        </w:rPr>
        <w:t>号决定</w:t>
      </w:r>
      <w:r>
        <w:rPr>
          <w:rFonts w:hint="eastAsia"/>
          <w:lang w:eastAsia="zh-CN"/>
        </w:rPr>
        <w:t>，</w:t>
      </w:r>
      <w:r w:rsidRPr="00DE2707">
        <w:rPr>
          <w:rFonts w:ascii="SimSun" w:hAnsi="SimSun" w:cs="SimSun" w:hint="eastAsia"/>
          <w:lang w:eastAsia="zh-CN"/>
        </w:rPr>
        <w:t>附件。</w:t>
      </w:r>
    </w:p>
  </w:footnote>
  <w:footnote w:id="4">
    <w:p w14:paraId="4156C6C6" w14:textId="7064C910" w:rsidR="00063488" w:rsidRPr="0001653C" w:rsidRDefault="00063488" w:rsidP="0001653C">
      <w:pPr>
        <w:pStyle w:val="FootnoteText"/>
        <w:ind w:firstLine="0"/>
        <w:jc w:val="both"/>
        <w:rPr>
          <w:rStyle w:val="FootnoteReference"/>
          <w:rFonts w:eastAsia="SimSun"/>
          <w:sz w:val="20"/>
          <w:szCs w:val="20"/>
          <w:lang w:eastAsia="zh-CN"/>
        </w:rPr>
      </w:pPr>
      <w:r w:rsidRPr="0001653C">
        <w:rPr>
          <w:rStyle w:val="FootnoteReference"/>
          <w:rFonts w:eastAsia="SimSun"/>
          <w:sz w:val="20"/>
          <w:szCs w:val="20"/>
        </w:rPr>
        <w:footnoteRef/>
      </w:r>
      <w:r w:rsidRPr="0001653C">
        <w:rPr>
          <w:rFonts w:eastAsia="SimSun"/>
          <w:szCs w:val="20"/>
          <w:lang w:eastAsia="zh-CN"/>
        </w:rPr>
        <w:t xml:space="preserve"> </w:t>
      </w:r>
      <w:r w:rsidRPr="008E6605">
        <w:rPr>
          <w:rFonts w:eastAsia="SimSun"/>
          <w:szCs w:val="20"/>
          <w:lang w:eastAsia="zh-CN"/>
        </w:rPr>
        <w:t>第</w:t>
      </w:r>
      <w:hyperlink r:id="rId3" w:history="1">
        <w:r w:rsidRPr="008E6605">
          <w:rPr>
            <w:rStyle w:val="Hyperlink"/>
            <w:rFonts w:eastAsia="SimSun"/>
            <w:szCs w:val="20"/>
            <w:lang w:eastAsia="zh-CN"/>
          </w:rPr>
          <w:t>15/28</w:t>
        </w:r>
      </w:hyperlink>
      <w:r w:rsidRPr="008E6605">
        <w:rPr>
          <w:rFonts w:eastAsia="SimSun"/>
          <w:szCs w:val="20"/>
          <w:lang w:eastAsia="zh-CN"/>
        </w:rPr>
        <w:t>号决定</w:t>
      </w:r>
      <w:r w:rsidR="008E6605" w:rsidRPr="008E6605">
        <w:rPr>
          <w:rFonts w:eastAsia="SimSun" w:hint="eastAsia"/>
          <w:szCs w:val="20"/>
          <w:lang w:eastAsia="zh-CN"/>
        </w:rPr>
        <w:t>，</w:t>
      </w:r>
      <w:r w:rsidRPr="008E6605">
        <w:rPr>
          <w:rFonts w:eastAsia="SimSun"/>
          <w:szCs w:val="20"/>
          <w:lang w:eastAsia="zh-CN"/>
        </w:rPr>
        <w:t>附件。</w:t>
      </w:r>
    </w:p>
  </w:footnote>
  <w:footnote w:id="5">
    <w:p w14:paraId="57D38F04" w14:textId="6103E106" w:rsidR="00063488" w:rsidRPr="0001653C" w:rsidRDefault="00063488" w:rsidP="0001653C">
      <w:pPr>
        <w:pStyle w:val="FootnoteText"/>
        <w:ind w:firstLine="0"/>
        <w:jc w:val="both"/>
        <w:rPr>
          <w:rFonts w:eastAsia="SimSun"/>
          <w:szCs w:val="20"/>
          <w:lang w:val="x-none" w:eastAsia="zh-CN"/>
        </w:rPr>
      </w:pPr>
      <w:r w:rsidRPr="0001653C">
        <w:rPr>
          <w:rStyle w:val="FootnoteReference"/>
          <w:rFonts w:eastAsia="SimSun"/>
          <w:sz w:val="20"/>
          <w:szCs w:val="20"/>
        </w:rPr>
        <w:footnoteRef/>
      </w:r>
      <w:r w:rsidRPr="0001653C">
        <w:rPr>
          <w:rStyle w:val="FootnoteReference"/>
          <w:rFonts w:eastAsia="SimSun"/>
          <w:sz w:val="20"/>
          <w:szCs w:val="20"/>
          <w:lang w:eastAsia="zh-CN"/>
        </w:rPr>
        <w:t xml:space="preserve"> </w:t>
      </w:r>
      <w:r w:rsidRPr="0001653C">
        <w:rPr>
          <w:rFonts w:eastAsia="SimSun"/>
          <w:szCs w:val="20"/>
          <w:lang w:eastAsia="zh-CN"/>
        </w:rPr>
        <w:t>联合国《条约汇编》</w:t>
      </w:r>
      <w:r w:rsidRPr="0001653C">
        <w:rPr>
          <w:rFonts w:eastAsia="SimSun"/>
          <w:szCs w:val="20"/>
          <w:lang w:eastAsia="zh-CN"/>
        </w:rPr>
        <w:t>3201</w:t>
      </w:r>
      <w:r w:rsidRPr="0001653C">
        <w:rPr>
          <w:rFonts w:eastAsia="SimSun"/>
          <w:szCs w:val="20"/>
          <w:lang w:eastAsia="zh-CN"/>
        </w:rPr>
        <w:t>卷，第</w:t>
      </w:r>
      <w:r w:rsidRPr="0001653C">
        <w:rPr>
          <w:rFonts w:eastAsia="SimSun"/>
          <w:szCs w:val="20"/>
          <w:lang w:eastAsia="zh-CN"/>
        </w:rPr>
        <w:t>54669</w:t>
      </w:r>
      <w:r w:rsidRPr="0001653C">
        <w:rPr>
          <w:rFonts w:eastAsia="SimSun"/>
          <w:szCs w:val="20"/>
          <w:lang w:eastAsia="zh-CN"/>
        </w:rPr>
        <w:t>号。</w:t>
      </w:r>
    </w:p>
  </w:footnote>
  <w:footnote w:id="6">
    <w:p w14:paraId="6A2264CB" w14:textId="77777777" w:rsidR="00063488" w:rsidRPr="0001653C" w:rsidRDefault="00063488" w:rsidP="0001653C">
      <w:pPr>
        <w:pStyle w:val="FootnoteText"/>
        <w:ind w:firstLine="0"/>
        <w:jc w:val="both"/>
        <w:rPr>
          <w:rFonts w:eastAsia="SimSun"/>
          <w:szCs w:val="20"/>
          <w:lang w:eastAsia="zh-CN"/>
        </w:rPr>
      </w:pPr>
      <w:r w:rsidRPr="0001653C">
        <w:rPr>
          <w:rStyle w:val="FootnoteReference"/>
          <w:rFonts w:eastAsia="SimSun"/>
          <w:sz w:val="20"/>
          <w:szCs w:val="20"/>
        </w:rPr>
        <w:footnoteRef/>
      </w:r>
      <w:r w:rsidRPr="0001653C">
        <w:rPr>
          <w:rStyle w:val="FootnoteReference"/>
          <w:rFonts w:eastAsia="SimSun"/>
          <w:sz w:val="20"/>
          <w:szCs w:val="20"/>
          <w:lang w:eastAsia="zh-CN"/>
        </w:rPr>
        <w:t xml:space="preserve"> </w:t>
      </w:r>
      <w:r w:rsidRPr="0001653C">
        <w:rPr>
          <w:rFonts w:eastAsia="SimSun"/>
          <w:szCs w:val="20"/>
          <w:lang w:eastAsia="zh-CN"/>
        </w:rPr>
        <w:t>同上，第</w:t>
      </w:r>
      <w:r w:rsidRPr="0001653C">
        <w:rPr>
          <w:rFonts w:eastAsia="SimSun"/>
          <w:szCs w:val="20"/>
          <w:lang w:eastAsia="zh-CN"/>
        </w:rPr>
        <w:t>1673</w:t>
      </w:r>
      <w:r w:rsidRPr="0001653C">
        <w:rPr>
          <w:rFonts w:eastAsia="SimSun"/>
          <w:szCs w:val="20"/>
          <w:lang w:eastAsia="zh-CN"/>
        </w:rPr>
        <w:t>卷，第</w:t>
      </w:r>
      <w:r w:rsidRPr="0001653C">
        <w:rPr>
          <w:rFonts w:eastAsia="SimSun"/>
          <w:szCs w:val="20"/>
          <w:lang w:eastAsia="zh-CN"/>
        </w:rPr>
        <w:t>28911</w:t>
      </w:r>
      <w:r w:rsidRPr="0001653C">
        <w:rPr>
          <w:rFonts w:eastAsia="SimSun"/>
          <w:szCs w:val="20"/>
          <w:lang w:eastAsia="zh-CN"/>
        </w:rPr>
        <w:t>号。</w:t>
      </w:r>
    </w:p>
  </w:footnote>
  <w:footnote w:id="7">
    <w:p w14:paraId="44819F81" w14:textId="77777777" w:rsidR="00063488" w:rsidRPr="0001653C" w:rsidRDefault="00063488" w:rsidP="0001653C">
      <w:pPr>
        <w:pStyle w:val="FootnoteText"/>
        <w:ind w:firstLine="0"/>
        <w:jc w:val="both"/>
        <w:rPr>
          <w:rFonts w:eastAsia="SimSun"/>
          <w:szCs w:val="20"/>
          <w:lang w:eastAsia="zh-CN"/>
        </w:rPr>
      </w:pPr>
      <w:r w:rsidRPr="0001653C">
        <w:rPr>
          <w:rStyle w:val="FootnoteReference"/>
          <w:rFonts w:eastAsia="SimSun"/>
          <w:sz w:val="20"/>
          <w:szCs w:val="20"/>
        </w:rPr>
        <w:footnoteRef/>
      </w:r>
      <w:r w:rsidRPr="0001653C">
        <w:rPr>
          <w:rStyle w:val="FootnoteReference"/>
          <w:rFonts w:eastAsia="SimSun"/>
          <w:sz w:val="20"/>
          <w:szCs w:val="20"/>
          <w:lang w:eastAsia="zh-CN"/>
        </w:rPr>
        <w:t xml:space="preserve"> </w:t>
      </w:r>
      <w:r w:rsidRPr="0001653C">
        <w:rPr>
          <w:rFonts w:eastAsia="SimSun"/>
          <w:szCs w:val="20"/>
          <w:lang w:eastAsia="zh-CN"/>
        </w:rPr>
        <w:t>同上，第</w:t>
      </w:r>
      <w:r w:rsidRPr="0001653C">
        <w:rPr>
          <w:rFonts w:eastAsia="SimSun"/>
          <w:szCs w:val="20"/>
          <w:lang w:eastAsia="zh-CN"/>
        </w:rPr>
        <w:t>2244</w:t>
      </w:r>
      <w:r w:rsidRPr="0001653C">
        <w:rPr>
          <w:rFonts w:eastAsia="SimSun"/>
          <w:szCs w:val="20"/>
          <w:lang w:eastAsia="zh-CN"/>
        </w:rPr>
        <w:t>卷，第</w:t>
      </w:r>
      <w:r w:rsidRPr="0001653C">
        <w:rPr>
          <w:rFonts w:eastAsia="SimSun"/>
          <w:szCs w:val="20"/>
          <w:lang w:eastAsia="zh-CN"/>
        </w:rPr>
        <w:t>39973</w:t>
      </w:r>
      <w:r w:rsidRPr="0001653C">
        <w:rPr>
          <w:rFonts w:eastAsia="SimSun"/>
          <w:szCs w:val="20"/>
          <w:lang w:eastAsia="zh-CN"/>
        </w:rPr>
        <w:t>号。</w:t>
      </w:r>
    </w:p>
  </w:footnote>
  <w:footnote w:id="8">
    <w:p w14:paraId="3BD0F6F3" w14:textId="77777777" w:rsidR="00063488" w:rsidRPr="0001653C" w:rsidRDefault="00063488" w:rsidP="0001653C">
      <w:pPr>
        <w:pStyle w:val="FootnoteText"/>
        <w:ind w:firstLine="0"/>
        <w:jc w:val="both"/>
        <w:rPr>
          <w:rFonts w:eastAsia="SimSun"/>
          <w:szCs w:val="20"/>
          <w:lang w:eastAsia="zh-CN"/>
        </w:rPr>
      </w:pPr>
      <w:r w:rsidRPr="0001653C">
        <w:rPr>
          <w:rStyle w:val="FootnoteReference"/>
          <w:rFonts w:eastAsia="SimSun"/>
          <w:sz w:val="20"/>
          <w:szCs w:val="20"/>
        </w:rPr>
        <w:footnoteRef/>
      </w:r>
      <w:r w:rsidRPr="0001653C">
        <w:rPr>
          <w:rStyle w:val="FootnoteReference"/>
          <w:rFonts w:eastAsia="SimSun"/>
          <w:sz w:val="20"/>
          <w:szCs w:val="20"/>
          <w:lang w:eastAsia="zh-CN"/>
        </w:rPr>
        <w:t xml:space="preserve"> </w:t>
      </w:r>
      <w:r w:rsidRPr="0001653C">
        <w:rPr>
          <w:rFonts w:eastAsia="SimSun"/>
          <w:szCs w:val="20"/>
          <w:lang w:eastAsia="zh-CN"/>
        </w:rPr>
        <w:t>同上，第</w:t>
      </w:r>
      <w:r w:rsidRPr="0001653C">
        <w:rPr>
          <w:rFonts w:eastAsia="SimSun"/>
          <w:szCs w:val="20"/>
          <w:lang w:eastAsia="zh-CN"/>
        </w:rPr>
        <w:t>2256</w:t>
      </w:r>
      <w:r w:rsidRPr="0001653C">
        <w:rPr>
          <w:rFonts w:eastAsia="SimSun"/>
          <w:szCs w:val="20"/>
          <w:lang w:eastAsia="zh-CN"/>
        </w:rPr>
        <w:t>卷，第</w:t>
      </w:r>
      <w:r w:rsidRPr="0001653C">
        <w:rPr>
          <w:rFonts w:eastAsia="SimSun"/>
          <w:szCs w:val="20"/>
          <w:lang w:eastAsia="zh-CN"/>
        </w:rPr>
        <w:t>40214</w:t>
      </w:r>
      <w:r w:rsidRPr="0001653C">
        <w:rPr>
          <w:rFonts w:eastAsia="SimSun"/>
          <w:szCs w:val="20"/>
          <w:lang w:eastAsia="zh-CN"/>
        </w:rPr>
        <w:t>号。</w:t>
      </w:r>
    </w:p>
  </w:footnote>
  <w:footnote w:id="9">
    <w:p w14:paraId="5A9E8F02" w14:textId="77777777" w:rsidR="00063488" w:rsidRPr="0001653C" w:rsidRDefault="00063488" w:rsidP="0001653C">
      <w:pPr>
        <w:pStyle w:val="FootnoteText"/>
        <w:ind w:firstLine="0"/>
        <w:rPr>
          <w:rFonts w:eastAsia="SimSun"/>
          <w:szCs w:val="20"/>
          <w:lang w:val="es-ES" w:eastAsia="zh-CN"/>
        </w:rPr>
      </w:pPr>
      <w:r w:rsidRPr="0001653C">
        <w:rPr>
          <w:rStyle w:val="FootnoteReference"/>
          <w:rFonts w:eastAsia="SimSun"/>
          <w:sz w:val="20"/>
          <w:szCs w:val="20"/>
        </w:rPr>
        <w:footnoteRef/>
      </w:r>
      <w:r w:rsidRPr="0001653C">
        <w:rPr>
          <w:rFonts w:eastAsia="SimSun"/>
          <w:szCs w:val="20"/>
          <w:lang w:val="es-ES" w:eastAsia="zh-CN"/>
        </w:rPr>
        <w:t xml:space="preserve"> </w:t>
      </w:r>
      <w:r w:rsidRPr="0001653C">
        <w:rPr>
          <w:rFonts w:eastAsia="SimSun"/>
          <w:szCs w:val="20"/>
          <w:lang w:val="es-ES" w:eastAsia="zh-CN"/>
        </w:rPr>
        <w:t>同上，第</w:t>
      </w:r>
      <w:r w:rsidRPr="0001653C">
        <w:rPr>
          <w:rFonts w:eastAsia="SimSun"/>
          <w:szCs w:val="20"/>
          <w:lang w:val="es-ES" w:eastAsia="zh-CN"/>
        </w:rPr>
        <w:t>996</w:t>
      </w:r>
      <w:r w:rsidRPr="0001653C">
        <w:rPr>
          <w:rFonts w:eastAsia="SimSun"/>
          <w:szCs w:val="20"/>
          <w:lang w:val="es-ES" w:eastAsia="zh-CN"/>
        </w:rPr>
        <w:t>卷，第</w:t>
      </w:r>
      <w:r w:rsidRPr="0001653C">
        <w:rPr>
          <w:rFonts w:eastAsia="SimSun"/>
          <w:szCs w:val="20"/>
          <w:lang w:val="es-ES" w:eastAsia="zh-CN"/>
        </w:rPr>
        <w:t>14583</w:t>
      </w:r>
      <w:r w:rsidRPr="0001653C">
        <w:rPr>
          <w:rFonts w:eastAsia="SimSun"/>
          <w:szCs w:val="20"/>
          <w:lang w:val="es-ES" w:eastAsia="zh-CN"/>
        </w:rPr>
        <w:t>号。</w:t>
      </w:r>
    </w:p>
  </w:footnote>
  <w:footnote w:id="10">
    <w:p w14:paraId="0FE12B8D" w14:textId="403072C0" w:rsidR="00063488" w:rsidRPr="0001653C" w:rsidRDefault="00063488" w:rsidP="0001653C">
      <w:pPr>
        <w:pStyle w:val="FootnoteText"/>
        <w:ind w:firstLine="0"/>
        <w:rPr>
          <w:rFonts w:eastAsia="SimSun"/>
          <w:szCs w:val="20"/>
          <w:lang w:val="es-ES" w:eastAsia="zh-CN"/>
        </w:rPr>
      </w:pPr>
      <w:r w:rsidRPr="0001653C">
        <w:rPr>
          <w:rStyle w:val="FootnoteReference"/>
          <w:rFonts w:eastAsia="SimSun"/>
          <w:sz w:val="20"/>
          <w:szCs w:val="20"/>
        </w:rPr>
        <w:footnoteRef/>
      </w:r>
      <w:r w:rsidR="0001653C" w:rsidRPr="0001653C">
        <w:rPr>
          <w:rFonts w:eastAsia="SimSun"/>
          <w:szCs w:val="20"/>
          <w:lang w:val="es-ES" w:eastAsia="zh-CN"/>
        </w:rPr>
        <w:t xml:space="preserve"> </w:t>
      </w:r>
      <w:r w:rsidRPr="0001653C">
        <w:rPr>
          <w:rFonts w:eastAsia="SimSun"/>
          <w:szCs w:val="20"/>
          <w:lang w:val="es-ES" w:eastAsia="zh-CN"/>
        </w:rPr>
        <w:t>同上，第</w:t>
      </w:r>
      <w:r w:rsidRPr="0001653C">
        <w:rPr>
          <w:rFonts w:eastAsia="SimSun"/>
          <w:szCs w:val="20"/>
          <w:lang w:val="es-ES" w:eastAsia="zh-CN"/>
        </w:rPr>
        <w:t>1954</w:t>
      </w:r>
      <w:r w:rsidRPr="0001653C">
        <w:rPr>
          <w:rFonts w:eastAsia="SimSun"/>
          <w:szCs w:val="20"/>
          <w:lang w:val="es-ES" w:eastAsia="zh-CN"/>
        </w:rPr>
        <w:t>卷，第</w:t>
      </w:r>
      <w:r w:rsidRPr="0001653C">
        <w:rPr>
          <w:rFonts w:eastAsia="SimSun"/>
          <w:szCs w:val="20"/>
          <w:lang w:val="es-ES" w:eastAsia="zh-CN"/>
        </w:rPr>
        <w:t>33480</w:t>
      </w:r>
      <w:r w:rsidRPr="0001653C">
        <w:rPr>
          <w:rFonts w:eastAsia="SimSun"/>
          <w:szCs w:val="20"/>
          <w:lang w:val="es-ES" w:eastAsia="zh-CN"/>
        </w:rPr>
        <w:t>号。</w:t>
      </w:r>
    </w:p>
  </w:footnote>
  <w:footnote w:id="11">
    <w:p w14:paraId="4C50824F" w14:textId="1DAF16A1" w:rsidR="00063488" w:rsidRPr="00483A87" w:rsidRDefault="00063488" w:rsidP="0001653C">
      <w:pPr>
        <w:pStyle w:val="FootnoteText"/>
        <w:ind w:firstLine="0"/>
        <w:rPr>
          <w:lang w:val="es-ES" w:eastAsia="zh-CN"/>
        </w:rPr>
      </w:pPr>
      <w:r w:rsidRPr="0001653C">
        <w:rPr>
          <w:rStyle w:val="FootnoteReference"/>
          <w:rFonts w:eastAsia="SimSun"/>
          <w:sz w:val="20"/>
          <w:szCs w:val="20"/>
        </w:rPr>
        <w:footnoteRef/>
      </w:r>
      <w:r w:rsidR="0001653C" w:rsidRPr="0001653C">
        <w:rPr>
          <w:rFonts w:eastAsia="SimSun"/>
          <w:szCs w:val="20"/>
          <w:lang w:val="es-ES" w:eastAsia="zh-CN"/>
        </w:rPr>
        <w:t xml:space="preserve"> </w:t>
      </w:r>
      <w:r w:rsidRPr="0001653C">
        <w:rPr>
          <w:rFonts w:eastAsia="SimSun"/>
          <w:szCs w:val="20"/>
          <w:lang w:val="es-ES" w:eastAsia="zh-CN"/>
        </w:rPr>
        <w:t>同上，第</w:t>
      </w:r>
      <w:r w:rsidRPr="0001653C">
        <w:rPr>
          <w:rFonts w:eastAsia="SimSun"/>
          <w:szCs w:val="20"/>
          <w:lang w:val="es-ES" w:eastAsia="zh-CN"/>
        </w:rPr>
        <w:t>1771</w:t>
      </w:r>
      <w:r w:rsidRPr="0001653C">
        <w:rPr>
          <w:rFonts w:eastAsia="SimSun"/>
          <w:szCs w:val="20"/>
          <w:lang w:val="es-ES" w:eastAsia="zh-CN"/>
        </w:rPr>
        <w:t>卷，第</w:t>
      </w:r>
      <w:r w:rsidRPr="0001653C">
        <w:rPr>
          <w:rFonts w:eastAsia="SimSun"/>
          <w:szCs w:val="20"/>
          <w:lang w:val="es-ES" w:eastAsia="zh-CN"/>
        </w:rPr>
        <w:t>30822</w:t>
      </w:r>
      <w:r w:rsidRPr="0001653C">
        <w:rPr>
          <w:rFonts w:eastAsia="SimSun"/>
          <w:szCs w:val="20"/>
          <w:lang w:val="es-ES" w:eastAsia="zh-CN"/>
        </w:rPr>
        <w:t>号。</w:t>
      </w:r>
    </w:p>
  </w:footnote>
  <w:footnote w:id="12">
    <w:p w14:paraId="28627135" w14:textId="10562BC5" w:rsidR="00063488" w:rsidRPr="0001653C" w:rsidRDefault="00063488" w:rsidP="0001653C">
      <w:pPr>
        <w:pStyle w:val="FootnoteText"/>
        <w:ind w:firstLine="0"/>
        <w:jc w:val="both"/>
        <w:rPr>
          <w:szCs w:val="20"/>
        </w:rPr>
      </w:pPr>
      <w:r w:rsidRPr="0001653C">
        <w:rPr>
          <w:rStyle w:val="FootnoteReference"/>
          <w:sz w:val="20"/>
          <w:szCs w:val="20"/>
        </w:rPr>
        <w:footnoteRef/>
      </w:r>
      <w:r w:rsidRPr="0001653C">
        <w:rPr>
          <w:szCs w:val="20"/>
        </w:rPr>
        <w:t xml:space="preserve"> </w:t>
      </w:r>
      <w:r w:rsidRPr="0001653C">
        <w:rPr>
          <w:rFonts w:hint="eastAsia"/>
          <w:szCs w:val="20"/>
          <w:lang w:eastAsia="zh-CN"/>
        </w:rPr>
        <w:t>同上，</w:t>
      </w:r>
      <w:r w:rsidRPr="0001653C">
        <w:rPr>
          <w:rFonts w:hint="eastAsia"/>
          <w:szCs w:val="20"/>
        </w:rPr>
        <w:t>第</w:t>
      </w:r>
      <w:r w:rsidRPr="0001653C">
        <w:rPr>
          <w:szCs w:val="20"/>
        </w:rPr>
        <w:t>1760</w:t>
      </w:r>
      <w:r w:rsidRPr="0001653C">
        <w:rPr>
          <w:rFonts w:hint="eastAsia"/>
          <w:szCs w:val="20"/>
        </w:rPr>
        <w:t>卷</w:t>
      </w:r>
      <w:r w:rsidRPr="0001653C">
        <w:rPr>
          <w:rFonts w:ascii="SimSun" w:hAnsi="SimSun" w:cs="SimSun" w:hint="eastAsia"/>
          <w:szCs w:val="20"/>
        </w:rPr>
        <w:t>，第</w:t>
      </w:r>
      <w:r w:rsidRPr="0001653C">
        <w:rPr>
          <w:szCs w:val="20"/>
        </w:rPr>
        <w:t>30619</w:t>
      </w:r>
      <w:r w:rsidRPr="0001653C">
        <w:rPr>
          <w:rFonts w:ascii="SimSun" w:hAnsi="SimSun" w:cs="SimSun" w:hint="eastAsia"/>
          <w:szCs w:val="20"/>
        </w:rPr>
        <w:t>号。</w:t>
      </w:r>
    </w:p>
    <w:p w14:paraId="639DCC7A" w14:textId="77777777" w:rsidR="00063488" w:rsidRPr="00CD41DE" w:rsidRDefault="00063488" w:rsidP="00063488">
      <w:pPr>
        <w:pStyle w:val="FootnoteText"/>
      </w:pPr>
    </w:p>
  </w:footnote>
  <w:footnote w:id="13">
    <w:p w14:paraId="62E65134" w14:textId="2AD4754D" w:rsidR="00CC639C" w:rsidRPr="00CC639C" w:rsidRDefault="00CC639C" w:rsidP="00CC639C">
      <w:pPr>
        <w:pStyle w:val="FootnoteText"/>
        <w:ind w:firstLine="0"/>
        <w:rPr>
          <w:rFonts w:eastAsiaTheme="minorEastAsia" w:hint="eastAsia"/>
          <w:b/>
          <w:bCs/>
          <w:lang w:eastAsia="zh-CN"/>
        </w:rPr>
      </w:pPr>
      <w:r>
        <w:rPr>
          <w:rStyle w:val="FootnoteReference"/>
        </w:rPr>
        <w:footnoteRef/>
      </w:r>
      <w:r>
        <w:t xml:space="preserve"> </w:t>
      </w:r>
      <w:r>
        <w:rPr>
          <w:rFonts w:ascii="SimSun" w:eastAsia="SimSun" w:hAnsi="SimSun" w:cs="SimSun" w:hint="eastAsia"/>
        </w:rPr>
        <w:t>见</w:t>
      </w:r>
      <w:r>
        <w:rPr>
          <w:rFonts w:ascii="SimSun" w:eastAsia="SimSun" w:hAnsi="SimSun" w:cs="SimSun" w:hint="eastAsia"/>
          <w:lang w:eastAsia="zh-CN"/>
        </w:rPr>
        <w:t>联合国</w:t>
      </w:r>
      <w:r>
        <w:rPr>
          <w:rFonts w:ascii="SimSun" w:eastAsia="SimSun" w:hAnsi="SimSun" w:cs="SimSun" w:hint="eastAsia"/>
        </w:rPr>
        <w:t>大会第</w:t>
      </w:r>
      <w:r>
        <w:t>73/284</w:t>
      </w:r>
      <w:r>
        <w:rPr>
          <w:rFonts w:ascii="SimSun" w:eastAsia="SimSun" w:hAnsi="SimSun" w:cs="SimSun" w:hint="eastAsia"/>
        </w:rPr>
        <w:t>号决议。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21F20D22" w:rsidR="00821565" w:rsidRPr="00483C33" w:rsidRDefault="0067323D" w:rsidP="00483C33">
    <w:pPr>
      <w:pStyle w:val="Header"/>
      <w:adjustRightInd w:val="0"/>
      <w:snapToGrid w:val="0"/>
      <w:spacing w:after="120"/>
      <w:rPr>
        <w:rFonts w:eastAsia="SimSun" w:hint="eastAsia"/>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1312"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AD98DC"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01653C">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01653C">
      <w:rPr>
        <w:rFonts w:eastAsia="SimSun" w:hint="eastAsia"/>
        <w:bCs/>
        <w:snapToGrid w:val="0"/>
        <w:kern w:val="22"/>
        <w:sz w:val="20"/>
        <w:szCs w:val="20"/>
        <w:lang w:val="en-GB" w:eastAsia="zh-CN"/>
      </w:rPr>
      <w:t>CRP.3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0EDA2F3C" w:rsidR="00821565" w:rsidRPr="00483C33" w:rsidRDefault="0067323D" w:rsidP="0067323D">
    <w:pPr>
      <w:pStyle w:val="Header"/>
      <w:tabs>
        <w:tab w:val="right" w:pos="9360"/>
      </w:tabs>
      <w:jc w:val="right"/>
      <w:rPr>
        <w:rFonts w:eastAsia="SimSun" w:hint="eastAsia"/>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2336"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79A169"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CBD/SBSTTA/</w:t>
    </w:r>
    <w:r w:rsidR="0001653C">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01653C">
      <w:rPr>
        <w:rFonts w:eastAsia="SimSun" w:hint="eastAsia"/>
        <w:bCs/>
        <w:snapToGrid w:val="0"/>
        <w:kern w:val="22"/>
        <w:sz w:val="20"/>
        <w:szCs w:val="20"/>
        <w:lang w:val="en-GB" w:eastAsia="zh-CN"/>
      </w:rPr>
      <w:t>CRP.3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546"/>
    <w:multiLevelType w:val="hybridMultilevel"/>
    <w:tmpl w:val="C85ADEBE"/>
    <w:lvl w:ilvl="0" w:tplc="D8E0CAA4">
      <w:start w:val="1"/>
      <w:numFmt w:val="lowerLetter"/>
      <w:lvlText w:val="（%1）"/>
      <w:lvlJc w:val="left"/>
      <w:pPr>
        <w:ind w:left="1699" w:hanging="360"/>
      </w:pPr>
      <w:rPr>
        <w:rFonts w:hint="default"/>
        <w:caps w:val="0"/>
      </w:rPr>
    </w:lvl>
    <w:lvl w:ilvl="1" w:tplc="FFFFFFFF">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1" w15:restartNumberingAfterBreak="0">
    <w:nsid w:val="05B40408"/>
    <w:multiLevelType w:val="hybridMultilevel"/>
    <w:tmpl w:val="89144EEE"/>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A98649F"/>
    <w:multiLevelType w:val="hybridMultilevel"/>
    <w:tmpl w:val="BEAE96D6"/>
    <w:lvl w:ilvl="0" w:tplc="579C6FDA">
      <w:start w:val="1"/>
      <w:numFmt w:val="lowerLetter"/>
      <w:lvlText w:val="（%1）"/>
      <w:lvlJc w:val="left"/>
      <w:pPr>
        <w:ind w:left="850" w:hanging="360"/>
      </w:pPr>
      <w:rPr>
        <w:rFonts w:hint="default"/>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 w15:restartNumberingAfterBreak="0">
    <w:nsid w:val="1E583FDC"/>
    <w:multiLevelType w:val="hybridMultilevel"/>
    <w:tmpl w:val="C5A60918"/>
    <w:lvl w:ilvl="0" w:tplc="FFFFFFFF">
      <w:start w:val="1"/>
      <w:numFmt w:val="decimal"/>
      <w:lvlText w:val="%1."/>
      <w:lvlJc w:val="left"/>
      <w:pPr>
        <w:ind w:left="1699" w:hanging="360"/>
      </w:pPr>
      <w:rPr>
        <w:rFonts w:hint="default"/>
      </w:rPr>
    </w:lvl>
    <w:lvl w:ilvl="1" w:tplc="579C6FDA">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B654D6"/>
    <w:multiLevelType w:val="hybridMultilevel"/>
    <w:tmpl w:val="F1DE8D46"/>
    <w:lvl w:ilvl="0" w:tplc="FFFFFFFF">
      <w:start w:val="1"/>
      <w:numFmt w:val="decimal"/>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0990240"/>
    <w:multiLevelType w:val="hybridMultilevel"/>
    <w:tmpl w:val="8106543C"/>
    <w:lvl w:ilvl="0" w:tplc="0DBEA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5C47992"/>
    <w:multiLevelType w:val="hybridMultilevel"/>
    <w:tmpl w:val="E6BE9D8C"/>
    <w:lvl w:ilvl="0" w:tplc="579C6FDA">
      <w:start w:val="1"/>
      <w:numFmt w:val="lowerLetter"/>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4A4542"/>
    <w:multiLevelType w:val="multilevel"/>
    <w:tmpl w:val="56F0BD16"/>
    <w:lvl w:ilvl="0">
      <w:start w:val="1"/>
      <w:numFmt w:val="lowerLetter"/>
      <w:lvlText w:val="（%1）"/>
      <w:lvlJc w:val="left"/>
      <w:pPr>
        <w:tabs>
          <w:tab w:val="num" w:pos="360"/>
        </w:tabs>
        <w:ind w:left="0" w:firstLine="0"/>
      </w:pPr>
      <w:rPr>
        <w:rFonts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E791EC2"/>
    <w:multiLevelType w:val="hybridMultilevel"/>
    <w:tmpl w:val="B7CA6D0C"/>
    <w:lvl w:ilvl="0" w:tplc="D8E0CAA4">
      <w:start w:val="1"/>
      <w:numFmt w:val="lowerLetter"/>
      <w:lvlText w:val="（%1）"/>
      <w:lvlJc w:val="left"/>
      <w:pPr>
        <w:ind w:left="720" w:hanging="360"/>
      </w:pPr>
      <w:rPr>
        <w:rFonts w:hint="default"/>
        <w:caps w:val="0"/>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2A87FB1"/>
    <w:multiLevelType w:val="hybridMultilevel"/>
    <w:tmpl w:val="690C899E"/>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8"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4926C3"/>
    <w:multiLevelType w:val="hybridMultilevel"/>
    <w:tmpl w:val="63D67BD6"/>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6403C1D"/>
    <w:multiLevelType w:val="hybridMultilevel"/>
    <w:tmpl w:val="E5522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9"/>
  </w:num>
  <w:num w:numId="2" w16cid:durableId="2026520573">
    <w:abstractNumId w:val="16"/>
  </w:num>
  <w:num w:numId="3" w16cid:durableId="1202787262">
    <w:abstractNumId w:val="14"/>
    <w:lvlOverride w:ilvl="0">
      <w:startOverride w:val="1"/>
    </w:lvlOverride>
  </w:num>
  <w:num w:numId="4" w16cid:durableId="358430061">
    <w:abstractNumId w:val="2"/>
  </w:num>
  <w:num w:numId="5" w16cid:durableId="849022796">
    <w:abstractNumId w:val="10"/>
  </w:num>
  <w:num w:numId="6" w16cid:durableId="958603510">
    <w:abstractNumId w:val="27"/>
  </w:num>
  <w:num w:numId="7" w16cid:durableId="1567691252">
    <w:abstractNumId w:val="19"/>
  </w:num>
  <w:num w:numId="8" w16cid:durableId="786003218">
    <w:abstractNumId w:val="11"/>
  </w:num>
  <w:num w:numId="9" w16cid:durableId="166405636">
    <w:abstractNumId w:val="15"/>
  </w:num>
  <w:num w:numId="10" w16cid:durableId="665985111">
    <w:abstractNumId w:val="12"/>
  </w:num>
  <w:num w:numId="11" w16cid:durableId="521824924">
    <w:abstractNumId w:val="24"/>
  </w:num>
  <w:num w:numId="12" w16cid:durableId="1111626486">
    <w:abstractNumId w:val="6"/>
  </w:num>
  <w:num w:numId="13" w16cid:durableId="252935709">
    <w:abstractNumId w:val="18"/>
  </w:num>
  <w:num w:numId="14" w16cid:durableId="515509982">
    <w:abstractNumId w:val="7"/>
  </w:num>
  <w:num w:numId="15" w16cid:durableId="458691264">
    <w:abstractNumId w:val="20"/>
  </w:num>
  <w:num w:numId="16" w16cid:durableId="1586068767">
    <w:abstractNumId w:val="17"/>
  </w:num>
  <w:num w:numId="17" w16cid:durableId="1487235445">
    <w:abstractNumId w:val="29"/>
  </w:num>
  <w:num w:numId="18" w16cid:durableId="594675079">
    <w:abstractNumId w:val="21"/>
  </w:num>
  <w:num w:numId="19" w16cid:durableId="47727383">
    <w:abstractNumId w:val="1"/>
  </w:num>
  <w:num w:numId="20" w16cid:durableId="953293338">
    <w:abstractNumId w:val="13"/>
  </w:num>
  <w:num w:numId="21" w16cid:durableId="2054497753">
    <w:abstractNumId w:val="26"/>
  </w:num>
  <w:num w:numId="22" w16cid:durableId="716667993">
    <w:abstractNumId w:val="23"/>
  </w:num>
  <w:num w:numId="23" w16cid:durableId="732657191">
    <w:abstractNumId w:val="30"/>
  </w:num>
  <w:num w:numId="24" w16cid:durableId="1707368728">
    <w:abstractNumId w:val="28"/>
  </w:num>
  <w:num w:numId="25" w16cid:durableId="1297296916">
    <w:abstractNumId w:val="8"/>
  </w:num>
  <w:num w:numId="26" w16cid:durableId="197553982">
    <w:abstractNumId w:val="5"/>
  </w:num>
  <w:num w:numId="27" w16cid:durableId="1445807751">
    <w:abstractNumId w:val="0"/>
  </w:num>
  <w:num w:numId="28" w16cid:durableId="1898396789">
    <w:abstractNumId w:val="1"/>
  </w:num>
  <w:num w:numId="29" w16cid:durableId="489099657">
    <w:abstractNumId w:val="22"/>
  </w:num>
  <w:num w:numId="30" w16cid:durableId="1027945587">
    <w:abstractNumId w:val="25"/>
  </w:num>
  <w:num w:numId="31" w16cid:durableId="2112780491">
    <w:abstractNumId w:val="3"/>
  </w:num>
  <w:num w:numId="32" w16cid:durableId="665785427">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53C"/>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488"/>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5C9"/>
    <w:rsid w:val="000766F4"/>
    <w:rsid w:val="000768AB"/>
    <w:rsid w:val="00076B99"/>
    <w:rsid w:val="00076DAA"/>
    <w:rsid w:val="000773E4"/>
    <w:rsid w:val="00077935"/>
    <w:rsid w:val="00077FDB"/>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461C"/>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0DF"/>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E91"/>
    <w:rsid w:val="001021CF"/>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259"/>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FD0"/>
    <w:rsid w:val="00154E5F"/>
    <w:rsid w:val="00155E68"/>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061"/>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514"/>
    <w:rsid w:val="00191686"/>
    <w:rsid w:val="0019186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B59"/>
    <w:rsid w:val="001B1E79"/>
    <w:rsid w:val="001B23D0"/>
    <w:rsid w:val="001B2C58"/>
    <w:rsid w:val="001B2F43"/>
    <w:rsid w:val="001B33CC"/>
    <w:rsid w:val="001B3E81"/>
    <w:rsid w:val="001B412D"/>
    <w:rsid w:val="001B4730"/>
    <w:rsid w:val="001B5A2D"/>
    <w:rsid w:val="001B5F64"/>
    <w:rsid w:val="001B607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641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6B1"/>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4E2"/>
    <w:rsid w:val="00243F6D"/>
    <w:rsid w:val="00244094"/>
    <w:rsid w:val="00244FD7"/>
    <w:rsid w:val="00246471"/>
    <w:rsid w:val="00246A8A"/>
    <w:rsid w:val="00246CD0"/>
    <w:rsid w:val="00246FC4"/>
    <w:rsid w:val="0024794E"/>
    <w:rsid w:val="00247FBF"/>
    <w:rsid w:val="00250093"/>
    <w:rsid w:val="0025064E"/>
    <w:rsid w:val="00250E87"/>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0BC0"/>
    <w:rsid w:val="00261577"/>
    <w:rsid w:val="0026191A"/>
    <w:rsid w:val="00261C0D"/>
    <w:rsid w:val="00261DED"/>
    <w:rsid w:val="00262581"/>
    <w:rsid w:val="00263151"/>
    <w:rsid w:val="00263355"/>
    <w:rsid w:val="002638C2"/>
    <w:rsid w:val="00263A0F"/>
    <w:rsid w:val="002643CD"/>
    <w:rsid w:val="0026453E"/>
    <w:rsid w:val="00264C60"/>
    <w:rsid w:val="00264CFA"/>
    <w:rsid w:val="00264E4F"/>
    <w:rsid w:val="0026519D"/>
    <w:rsid w:val="0026624C"/>
    <w:rsid w:val="00266E7E"/>
    <w:rsid w:val="002679B3"/>
    <w:rsid w:val="002679C0"/>
    <w:rsid w:val="00267AA3"/>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0FAD"/>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8CD"/>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330B"/>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A7C"/>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B1"/>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958"/>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0D8A"/>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E1C"/>
    <w:rsid w:val="004521B2"/>
    <w:rsid w:val="00453937"/>
    <w:rsid w:val="00454A22"/>
    <w:rsid w:val="004552FB"/>
    <w:rsid w:val="00455A10"/>
    <w:rsid w:val="00456A1C"/>
    <w:rsid w:val="0045702C"/>
    <w:rsid w:val="004577B0"/>
    <w:rsid w:val="0046019F"/>
    <w:rsid w:val="0046037E"/>
    <w:rsid w:val="00460DEA"/>
    <w:rsid w:val="004616CF"/>
    <w:rsid w:val="004616E3"/>
    <w:rsid w:val="00461F9D"/>
    <w:rsid w:val="00462327"/>
    <w:rsid w:val="00462786"/>
    <w:rsid w:val="00462B0B"/>
    <w:rsid w:val="00462C83"/>
    <w:rsid w:val="004632E4"/>
    <w:rsid w:val="00463ED0"/>
    <w:rsid w:val="00463F0E"/>
    <w:rsid w:val="0046412A"/>
    <w:rsid w:val="004646C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4B78"/>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668"/>
    <w:rsid w:val="004B7BDD"/>
    <w:rsid w:val="004C1312"/>
    <w:rsid w:val="004C1545"/>
    <w:rsid w:val="004C1D73"/>
    <w:rsid w:val="004C1EDC"/>
    <w:rsid w:val="004C40E6"/>
    <w:rsid w:val="004C41C9"/>
    <w:rsid w:val="004C67C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09"/>
    <w:rsid w:val="004E6F10"/>
    <w:rsid w:val="004E6F42"/>
    <w:rsid w:val="004E758E"/>
    <w:rsid w:val="004E77E5"/>
    <w:rsid w:val="004E7E5B"/>
    <w:rsid w:val="004F1286"/>
    <w:rsid w:val="004F12DE"/>
    <w:rsid w:val="004F16B5"/>
    <w:rsid w:val="004F1E31"/>
    <w:rsid w:val="004F2398"/>
    <w:rsid w:val="004F2918"/>
    <w:rsid w:val="004F2FC8"/>
    <w:rsid w:val="004F3F02"/>
    <w:rsid w:val="004F4935"/>
    <w:rsid w:val="004F5342"/>
    <w:rsid w:val="004F63FF"/>
    <w:rsid w:val="004F6536"/>
    <w:rsid w:val="004F666B"/>
    <w:rsid w:val="004F6BA1"/>
    <w:rsid w:val="004F6D15"/>
    <w:rsid w:val="004F7359"/>
    <w:rsid w:val="004F74AC"/>
    <w:rsid w:val="004F7BB3"/>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71F7"/>
    <w:rsid w:val="005B068D"/>
    <w:rsid w:val="005B0B25"/>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B37"/>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27F"/>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05"/>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3E57"/>
    <w:rsid w:val="00634323"/>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164"/>
    <w:rsid w:val="006433C5"/>
    <w:rsid w:val="006438E4"/>
    <w:rsid w:val="00643B9C"/>
    <w:rsid w:val="00643E0D"/>
    <w:rsid w:val="00643E15"/>
    <w:rsid w:val="0064413D"/>
    <w:rsid w:val="006441E0"/>
    <w:rsid w:val="00644438"/>
    <w:rsid w:val="00644564"/>
    <w:rsid w:val="0064468A"/>
    <w:rsid w:val="00644918"/>
    <w:rsid w:val="00645229"/>
    <w:rsid w:val="00645441"/>
    <w:rsid w:val="00645E59"/>
    <w:rsid w:val="00645E65"/>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3A3"/>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C43"/>
    <w:rsid w:val="00657E36"/>
    <w:rsid w:val="00660521"/>
    <w:rsid w:val="006606AF"/>
    <w:rsid w:val="006608FD"/>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2C9"/>
    <w:rsid w:val="006708A8"/>
    <w:rsid w:val="006728CF"/>
    <w:rsid w:val="00672DBA"/>
    <w:rsid w:val="0067323D"/>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486F"/>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309"/>
    <w:rsid w:val="006A2910"/>
    <w:rsid w:val="006A2C51"/>
    <w:rsid w:val="006A4253"/>
    <w:rsid w:val="006A42D1"/>
    <w:rsid w:val="006A4A0F"/>
    <w:rsid w:val="006A4A90"/>
    <w:rsid w:val="006A4BD8"/>
    <w:rsid w:val="006A57D1"/>
    <w:rsid w:val="006A6714"/>
    <w:rsid w:val="006A68C2"/>
    <w:rsid w:val="006A6E81"/>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DE2"/>
    <w:rsid w:val="00740F75"/>
    <w:rsid w:val="007410AA"/>
    <w:rsid w:val="007413E3"/>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ED8"/>
    <w:rsid w:val="0076065A"/>
    <w:rsid w:val="00760AC5"/>
    <w:rsid w:val="00760D74"/>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0C77"/>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7B8"/>
    <w:rsid w:val="00797DE5"/>
    <w:rsid w:val="007A009C"/>
    <w:rsid w:val="007A0207"/>
    <w:rsid w:val="007A03D2"/>
    <w:rsid w:val="007A1334"/>
    <w:rsid w:val="007A1D2B"/>
    <w:rsid w:val="007A1F82"/>
    <w:rsid w:val="007A2253"/>
    <w:rsid w:val="007A26C3"/>
    <w:rsid w:val="007A273C"/>
    <w:rsid w:val="007A27F7"/>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5E29"/>
    <w:rsid w:val="007C644B"/>
    <w:rsid w:val="007C6700"/>
    <w:rsid w:val="007C6812"/>
    <w:rsid w:val="007C68A6"/>
    <w:rsid w:val="007C6DDB"/>
    <w:rsid w:val="007C7325"/>
    <w:rsid w:val="007C7CB0"/>
    <w:rsid w:val="007D07CB"/>
    <w:rsid w:val="007D08BF"/>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884"/>
    <w:rsid w:val="007D7A8B"/>
    <w:rsid w:val="007E0582"/>
    <w:rsid w:val="007E078E"/>
    <w:rsid w:val="007E0C7A"/>
    <w:rsid w:val="007E0ED0"/>
    <w:rsid w:val="007E0EFA"/>
    <w:rsid w:val="007E0FAD"/>
    <w:rsid w:val="007E16CA"/>
    <w:rsid w:val="007E1EC2"/>
    <w:rsid w:val="007E24DF"/>
    <w:rsid w:val="007E2625"/>
    <w:rsid w:val="007E344C"/>
    <w:rsid w:val="007E3AC9"/>
    <w:rsid w:val="007E3B27"/>
    <w:rsid w:val="007E3DFF"/>
    <w:rsid w:val="007E4525"/>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22F"/>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6FD4"/>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05"/>
    <w:rsid w:val="008E66B7"/>
    <w:rsid w:val="008E66F2"/>
    <w:rsid w:val="008E67C6"/>
    <w:rsid w:val="008E688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AEA"/>
    <w:rsid w:val="009762BD"/>
    <w:rsid w:val="00976675"/>
    <w:rsid w:val="00976C6D"/>
    <w:rsid w:val="009775B0"/>
    <w:rsid w:val="009775E1"/>
    <w:rsid w:val="00977933"/>
    <w:rsid w:val="00977A4D"/>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5EC3"/>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3FB8"/>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B81"/>
    <w:rsid w:val="00A67FEB"/>
    <w:rsid w:val="00A701C8"/>
    <w:rsid w:val="00A702FB"/>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58D"/>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7D"/>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3F2"/>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523"/>
    <w:rsid w:val="00AE475D"/>
    <w:rsid w:val="00AE5257"/>
    <w:rsid w:val="00AE5A99"/>
    <w:rsid w:val="00AE622F"/>
    <w:rsid w:val="00AE63A4"/>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6CE5"/>
    <w:rsid w:val="00B07743"/>
    <w:rsid w:val="00B07A0D"/>
    <w:rsid w:val="00B07AC3"/>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700"/>
    <w:rsid w:val="00B2697E"/>
    <w:rsid w:val="00B26A63"/>
    <w:rsid w:val="00B26C36"/>
    <w:rsid w:val="00B30A32"/>
    <w:rsid w:val="00B3154F"/>
    <w:rsid w:val="00B31B41"/>
    <w:rsid w:val="00B32455"/>
    <w:rsid w:val="00B324E8"/>
    <w:rsid w:val="00B326C2"/>
    <w:rsid w:val="00B32D7B"/>
    <w:rsid w:val="00B32F94"/>
    <w:rsid w:val="00B332E3"/>
    <w:rsid w:val="00B3340B"/>
    <w:rsid w:val="00B338CF"/>
    <w:rsid w:val="00B33900"/>
    <w:rsid w:val="00B3429E"/>
    <w:rsid w:val="00B34402"/>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A8"/>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35BD"/>
    <w:rsid w:val="00BB3797"/>
    <w:rsid w:val="00BB39DF"/>
    <w:rsid w:val="00BB3D41"/>
    <w:rsid w:val="00BB47B2"/>
    <w:rsid w:val="00BB4A36"/>
    <w:rsid w:val="00BB4B5B"/>
    <w:rsid w:val="00BB4C2C"/>
    <w:rsid w:val="00BB50D0"/>
    <w:rsid w:val="00BB5287"/>
    <w:rsid w:val="00BB572D"/>
    <w:rsid w:val="00BB58F4"/>
    <w:rsid w:val="00BB5AD0"/>
    <w:rsid w:val="00BB5FB3"/>
    <w:rsid w:val="00BB6C96"/>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7192"/>
    <w:rsid w:val="00BE7E03"/>
    <w:rsid w:val="00BE7ED0"/>
    <w:rsid w:val="00BF00E9"/>
    <w:rsid w:val="00BF02A6"/>
    <w:rsid w:val="00BF0356"/>
    <w:rsid w:val="00BF041F"/>
    <w:rsid w:val="00BF04E0"/>
    <w:rsid w:val="00BF1056"/>
    <w:rsid w:val="00BF1841"/>
    <w:rsid w:val="00BF19E1"/>
    <w:rsid w:val="00BF2482"/>
    <w:rsid w:val="00BF267A"/>
    <w:rsid w:val="00BF3613"/>
    <w:rsid w:val="00BF3BB4"/>
    <w:rsid w:val="00BF4537"/>
    <w:rsid w:val="00BF453E"/>
    <w:rsid w:val="00BF480B"/>
    <w:rsid w:val="00BF484E"/>
    <w:rsid w:val="00BF48EA"/>
    <w:rsid w:val="00BF4F0D"/>
    <w:rsid w:val="00BF59AA"/>
    <w:rsid w:val="00BF59C9"/>
    <w:rsid w:val="00BF5C5A"/>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65B1"/>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70DC"/>
    <w:rsid w:val="00C8741E"/>
    <w:rsid w:val="00C87C24"/>
    <w:rsid w:val="00C90192"/>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39C"/>
    <w:rsid w:val="00CC6405"/>
    <w:rsid w:val="00CC64E3"/>
    <w:rsid w:val="00CC650B"/>
    <w:rsid w:val="00CC6770"/>
    <w:rsid w:val="00CC6AF4"/>
    <w:rsid w:val="00CC73C2"/>
    <w:rsid w:val="00CC7811"/>
    <w:rsid w:val="00CC7DFD"/>
    <w:rsid w:val="00CC7F5B"/>
    <w:rsid w:val="00CD00F7"/>
    <w:rsid w:val="00CD1758"/>
    <w:rsid w:val="00CD1DC2"/>
    <w:rsid w:val="00CD2D05"/>
    <w:rsid w:val="00CD372D"/>
    <w:rsid w:val="00CD3DD7"/>
    <w:rsid w:val="00CD46A4"/>
    <w:rsid w:val="00CD4D4F"/>
    <w:rsid w:val="00CD5091"/>
    <w:rsid w:val="00CD5220"/>
    <w:rsid w:val="00CD5E1D"/>
    <w:rsid w:val="00CD7477"/>
    <w:rsid w:val="00CD778F"/>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C97"/>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9EB"/>
    <w:rsid w:val="00D36E3F"/>
    <w:rsid w:val="00D36FD0"/>
    <w:rsid w:val="00D37E13"/>
    <w:rsid w:val="00D407EF"/>
    <w:rsid w:val="00D41366"/>
    <w:rsid w:val="00D41702"/>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B7730"/>
    <w:rsid w:val="00DC10BC"/>
    <w:rsid w:val="00DC16E6"/>
    <w:rsid w:val="00DC1B72"/>
    <w:rsid w:val="00DC1D71"/>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610"/>
    <w:rsid w:val="00DE77F9"/>
    <w:rsid w:val="00DF0274"/>
    <w:rsid w:val="00DF0EB7"/>
    <w:rsid w:val="00DF0FE6"/>
    <w:rsid w:val="00DF187B"/>
    <w:rsid w:val="00DF1EB8"/>
    <w:rsid w:val="00DF1FAB"/>
    <w:rsid w:val="00DF2A17"/>
    <w:rsid w:val="00DF2B09"/>
    <w:rsid w:val="00DF2CBF"/>
    <w:rsid w:val="00DF3153"/>
    <w:rsid w:val="00DF38C1"/>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036"/>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256"/>
    <w:rsid w:val="00E154C2"/>
    <w:rsid w:val="00E15579"/>
    <w:rsid w:val="00E165AB"/>
    <w:rsid w:val="00E1698A"/>
    <w:rsid w:val="00E1745C"/>
    <w:rsid w:val="00E176EC"/>
    <w:rsid w:val="00E17966"/>
    <w:rsid w:val="00E17D44"/>
    <w:rsid w:val="00E17EFC"/>
    <w:rsid w:val="00E20DA1"/>
    <w:rsid w:val="00E21A07"/>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73C"/>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6F7B"/>
    <w:rsid w:val="00E675C3"/>
    <w:rsid w:val="00E6777A"/>
    <w:rsid w:val="00E70343"/>
    <w:rsid w:val="00E70534"/>
    <w:rsid w:val="00E708B8"/>
    <w:rsid w:val="00E70951"/>
    <w:rsid w:val="00E70B33"/>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5D2B"/>
    <w:rsid w:val="00F1608D"/>
    <w:rsid w:val="00F16CB6"/>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2CD"/>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425D"/>
    <w:rsid w:val="00FE5059"/>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0B1"/>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A27F7"/>
    <w:rPr>
      <w:rFonts w:ascii="Times New Roman" w:hAnsi="Times New Roman"/>
      <w:b w:val="0"/>
      <w:i w:val="0"/>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9"/>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063488"/>
    <w:pPr>
      <w:tabs>
        <w:tab w:val="left" w:pos="567"/>
        <w:tab w:val="left" w:pos="1134"/>
        <w:tab w:val="left" w:pos="1701"/>
        <w:tab w:val="left" w:pos="2268"/>
      </w:tabs>
      <w:spacing w:after="160" w:line="240" w:lineRule="exact"/>
    </w:pPr>
    <w:rPr>
      <w:rFonts w:eastAsia="MS Mincho"/>
      <w:szCs w:val="20"/>
      <w:vertAlign w:val="superscript"/>
      <w:lang w:val="en-US"/>
    </w:rPr>
  </w:style>
  <w:style w:type="paragraph" w:customStyle="1" w:styleId="CBDNormalNoNumber">
    <w:name w:val="CBD_Normal_NoNumber"/>
    <w:basedOn w:val="Normal"/>
    <w:qFormat/>
    <w:rsid w:val="00063488"/>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customStyle="1" w:styleId="CBDSubTitle">
    <w:name w:val="CBD_SubTitle"/>
    <w:basedOn w:val="Normal"/>
    <w:qFormat/>
    <w:rsid w:val="00063488"/>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rPr>
  </w:style>
  <w:style w:type="paragraph" w:customStyle="1" w:styleId="CBDTitle">
    <w:name w:val="CBD_Title"/>
    <w:basedOn w:val="Normal"/>
    <w:next w:val="CBDSubTitle"/>
    <w:qFormat/>
    <w:rsid w:val="00063488"/>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28-zh.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03-zh.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0/cop-10-dec-34-zh.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full/cop-08-dec-zh.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uments/CBD/SBSTTA/2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6/full/cop-06-dec-zh.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28-zh.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STTA/2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1633</Words>
  <Characters>1700</Characters>
  <Application>Microsoft Office Word</Application>
  <DocSecurity>0</DocSecurity>
  <Lines>56</Lines>
  <Paragraphs>34</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3299</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生物多样性与农业</dc:title>
  <dc:subject>CBD/SBSTTA/25/1/Add.1/Rev.2</dc:subject>
  <dc:creator>Steve Pei</dc:creator>
  <cp:keywords>Subsidiary Body on Implementation, third meeting (resumed), Geneva, Switzerland, 12-28 January 2022, Convention on Biological Diversity</cp:keywords>
  <dc:description/>
  <cp:lastModifiedBy>SCBD</cp:lastModifiedBy>
  <cp:revision>4</cp:revision>
  <cp:lastPrinted>2023-08-15T19:42:00Z</cp:lastPrinted>
  <dcterms:created xsi:type="dcterms:W3CDTF">2025-10-22T18:21:00Z</dcterms:created>
  <dcterms:modified xsi:type="dcterms:W3CDTF">2025-10-22T19:18:00Z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