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5238"/>
        <w:gridCol w:w="450"/>
        <w:gridCol w:w="4201"/>
      </w:tblGrid>
      <w:tr w:rsidR="00EF77F5" w:rsidTr="00C23C28">
        <w:trPr>
          <w:trHeight w:val="1438"/>
        </w:trPr>
        <w:tc>
          <w:tcPr>
            <w:tcW w:w="5238" w:type="dxa"/>
          </w:tcPr>
          <w:p w:rsidR="00405146" w:rsidRPr="00FA14E3" w:rsidRDefault="00AE6DBB" w:rsidP="00C23C28">
            <w:pPr>
              <w:ind w:right="1426"/>
              <w:rPr>
                <w:rFonts w:ascii="Univers" w:hAnsi="Univers"/>
                <w:sz w:val="32"/>
              </w:rPr>
            </w:pPr>
            <w:r>
              <w:rPr>
                <w:rFonts w:ascii="Univers" w:eastAsia="Univers" w:hAnsi="Univers"/>
                <w:b/>
                <w:bCs/>
                <w:sz w:val="32"/>
                <w:szCs w:val="32"/>
                <w:lang w:val="ru-RU"/>
              </w:rPr>
              <w:t>КОНВЕНЦИЯ О</w:t>
            </w:r>
          </w:p>
          <w:p w:rsidR="00405146" w:rsidRPr="00215585" w:rsidRDefault="00AE6DBB" w:rsidP="00C23C28">
            <w:pPr>
              <w:spacing w:after="120"/>
              <w:ind w:right="1422"/>
              <w:rPr>
                <w:lang w:val="ru-RU"/>
              </w:rPr>
            </w:pPr>
            <w:r>
              <w:rPr>
                <w:rFonts w:ascii="Univers" w:eastAsia="Univers" w:hAnsi="Univers"/>
                <w:b/>
                <w:bCs/>
                <w:sz w:val="32"/>
                <w:szCs w:val="32"/>
                <w:lang w:val="ru-RU"/>
              </w:rPr>
              <w:t>БИОЛОГИЧЕСКОМ РАЗНООБРАЗИИ</w:t>
            </w:r>
          </w:p>
        </w:tc>
        <w:tc>
          <w:tcPr>
            <w:tcW w:w="450" w:type="dxa"/>
          </w:tcPr>
          <w:p w:rsidR="00405146" w:rsidRPr="00FA14E3" w:rsidRDefault="00405146" w:rsidP="00C23C28">
            <w:pPr>
              <w:spacing w:after="120"/>
            </w:pPr>
          </w:p>
        </w:tc>
        <w:tc>
          <w:tcPr>
            <w:tcW w:w="4201" w:type="dxa"/>
          </w:tcPr>
          <w:sdt>
            <w:sdtPr>
              <w:alias w:val="Subject"/>
              <w:id w:val="874587506"/>
              <w:placeholder>
                <w:docPart w:val="4E65651ED9B94465BA73B6B6EA85C626"/>
              </w:placeholder>
              <w:dataBinding w:prefixMappings="xmlns:ns0='http://purl.org/dc/elements/1.1/' xmlns:ns1='http://schemas.openxmlformats.org/package/2006/metadata/core-properties' " w:xpath="/ns1:coreProperties[1]/ns0:subject[1]" w:storeItemID="{6C3C8BC8-F283-45AE-878A-BAB7291924A1}"/>
              <w:text/>
            </w:sdtPr>
            <w:sdtEndPr/>
            <w:sdtContent>
              <w:p w:rsidR="00EF77F5" w:rsidRPr="00B14EDE" w:rsidRDefault="00AE6DBB" w:rsidP="00000614">
                <w:pPr>
                  <w:ind w:left="1298"/>
                  <w:rPr>
                    <w:rFonts w:ascii="Univers" w:eastAsia="Univers" w:hAnsi="Univers"/>
                    <w:sz w:val="32"/>
                    <w:szCs w:val="32"/>
                  </w:rPr>
                </w:pPr>
                <w:r w:rsidRPr="000F58A8">
                  <w:rPr>
                    <w:szCs w:val="22"/>
                  </w:rPr>
                  <w:t>CBD/SBSTTA/2</w:t>
                </w:r>
                <w:r w:rsidR="003358CF" w:rsidRPr="000F58A8">
                  <w:rPr>
                    <w:szCs w:val="22"/>
                  </w:rPr>
                  <w:t>4</w:t>
                </w:r>
                <w:r w:rsidRPr="000F58A8">
                  <w:rPr>
                    <w:szCs w:val="22"/>
                  </w:rPr>
                  <w:t>/CRP.</w:t>
                </w:r>
                <w:r w:rsidR="00E96313">
                  <w:rPr>
                    <w:szCs w:val="22"/>
                    <w:lang w:val="ru-RU"/>
                  </w:rPr>
                  <w:t>8</w:t>
                </w:r>
              </w:p>
            </w:sdtContent>
          </w:sdt>
          <w:p w:rsidR="00405146" w:rsidRPr="00FA14E3" w:rsidRDefault="00E96313" w:rsidP="001D40B5">
            <w:pPr>
              <w:spacing w:after="120"/>
              <w:ind w:left="1298"/>
            </w:pPr>
            <w:r>
              <w:rPr>
                <w:szCs w:val="22"/>
                <w:lang w:val="ru-RU"/>
              </w:rPr>
              <w:t>3</w:t>
            </w:r>
            <w:r w:rsidR="003358CF">
              <w:rPr>
                <w:szCs w:val="22"/>
              </w:rPr>
              <w:t xml:space="preserve"> May</w:t>
            </w:r>
            <w:r w:rsidR="00AE6DBB" w:rsidRPr="00B14EDE">
              <w:rPr>
                <w:szCs w:val="22"/>
              </w:rPr>
              <w:t xml:space="preserve"> 20</w:t>
            </w:r>
            <w:r w:rsidR="003358CF">
              <w:rPr>
                <w:szCs w:val="22"/>
              </w:rPr>
              <w:t>21</w:t>
            </w:r>
          </w:p>
          <w:p w:rsidR="0047347B" w:rsidRDefault="00AE6DBB" w:rsidP="005C28DA">
            <w:pPr>
              <w:ind w:left="1298"/>
              <w:rPr>
                <w:szCs w:val="22"/>
              </w:rPr>
            </w:pPr>
            <w:r w:rsidRPr="00B14EDE">
              <w:rPr>
                <w:szCs w:val="22"/>
              </w:rPr>
              <w:t xml:space="preserve">RUSSIAN </w:t>
            </w:r>
          </w:p>
          <w:p w:rsidR="00405146" w:rsidRPr="00FA14E3" w:rsidRDefault="00AE6DBB" w:rsidP="005C28DA">
            <w:pPr>
              <w:ind w:left="1298"/>
            </w:pPr>
            <w:r w:rsidRPr="00B14EDE">
              <w:rPr>
                <w:szCs w:val="22"/>
              </w:rPr>
              <w:t>ORIGINAL:  ENGLISH</w:t>
            </w:r>
          </w:p>
        </w:tc>
      </w:tr>
    </w:tbl>
    <w:bookmarkStart w:id="0" w:name="Meeting"/>
    <w:p w:rsidR="0042412C" w:rsidRPr="00B14EDE" w:rsidRDefault="006B0CF1" w:rsidP="0042412C">
      <w:pPr>
        <w:pStyle w:val="meetingname"/>
        <w:suppressLineNumbers/>
        <w:suppressAutoHyphens/>
        <w:kinsoku w:val="0"/>
        <w:overflowPunct w:val="0"/>
        <w:autoSpaceDE w:val="0"/>
        <w:autoSpaceDN w:val="0"/>
        <w:ind w:right="4590"/>
        <w:jc w:val="left"/>
        <w:rPr>
          <w:kern w:val="22"/>
          <w:lang w:val="ru-RU"/>
        </w:rPr>
      </w:pPr>
      <w:sdt>
        <w:sdtPr>
          <w:rPr>
            <w:kern w:val="22"/>
          </w:rPr>
          <w:alias w:val="Meeting"/>
          <w:tag w:val="Meeting"/>
          <w:id w:val="1412045910"/>
          <w:placeholder>
            <w:docPart w:val="C444DEE40D7C456B82AF1A09CD132ABF"/>
          </w:placeholder>
          <w:text/>
        </w:sdtPr>
        <w:sdtEndPr/>
        <w:sdtContent>
          <w:r w:rsidR="00AE6DBB">
            <w:rPr>
              <w:kern w:val="22"/>
              <w:lang w:val="ru-RU"/>
            </w:rPr>
            <w:t>ВСПОМОГАТЕЛЬНЫЙ ОРГАН ПО НАУЧНЫМ, ТЕХНИЧЕСКИМ И ТЕХНОЛОГИЧЕСКИМ КОНСУЛЬТАЦИЯМ</w:t>
          </w:r>
        </w:sdtContent>
      </w:sdt>
      <w:bookmarkEnd w:id="0"/>
    </w:p>
    <w:p w:rsidR="003C5220" w:rsidRPr="00B14EDE" w:rsidRDefault="00AE6DBB" w:rsidP="003C5220">
      <w:pPr>
        <w:rPr>
          <w:snapToGrid w:val="0"/>
          <w:kern w:val="22"/>
          <w:szCs w:val="22"/>
          <w:lang w:val="ru-RU" w:eastAsia="nb-NO"/>
        </w:rPr>
      </w:pPr>
      <w:r>
        <w:rPr>
          <w:kern w:val="22"/>
          <w:szCs w:val="22"/>
          <w:lang w:val="ru-RU" w:eastAsia="nb-NO"/>
        </w:rPr>
        <w:t xml:space="preserve">Двадцать </w:t>
      </w:r>
      <w:r w:rsidR="003358CF">
        <w:rPr>
          <w:kern w:val="22"/>
          <w:szCs w:val="22"/>
          <w:lang w:val="ru-RU" w:eastAsia="nb-NO"/>
        </w:rPr>
        <w:t>четвертое</w:t>
      </w:r>
      <w:r>
        <w:rPr>
          <w:kern w:val="22"/>
          <w:szCs w:val="22"/>
          <w:lang w:val="ru-RU" w:eastAsia="nb-NO"/>
        </w:rPr>
        <w:t xml:space="preserve"> совещание</w:t>
      </w:r>
    </w:p>
    <w:p w:rsidR="003358CF" w:rsidRPr="000445B8" w:rsidRDefault="003358CF" w:rsidP="003358CF">
      <w:pPr>
        <w:suppressLineNumbers/>
        <w:suppressAutoHyphens/>
        <w:kinsoku w:val="0"/>
        <w:overflowPunct w:val="0"/>
        <w:autoSpaceDE w:val="0"/>
        <w:autoSpaceDN w:val="0"/>
        <w:adjustRightInd w:val="0"/>
        <w:snapToGrid w:val="0"/>
        <w:ind w:left="142" w:right="3792" w:hanging="142"/>
        <w:jc w:val="left"/>
        <w:rPr>
          <w:snapToGrid w:val="0"/>
          <w:kern w:val="22"/>
          <w:szCs w:val="22"/>
          <w:lang w:val="ru-RU"/>
        </w:rPr>
      </w:pPr>
      <w:r w:rsidRPr="000445B8">
        <w:rPr>
          <w:snapToGrid w:val="0"/>
          <w:szCs w:val="22"/>
          <w:lang w:val="ru-RU"/>
        </w:rPr>
        <w:t xml:space="preserve">Онлайновый формат, 3 мая </w:t>
      </w:r>
      <w:r w:rsidR="00E313DA" w:rsidRPr="000445B8">
        <w:rPr>
          <w:snapToGrid w:val="0"/>
          <w:szCs w:val="22"/>
          <w:lang w:val="ru-RU"/>
        </w:rPr>
        <w:t>–</w:t>
      </w:r>
      <w:r w:rsidRPr="000445B8">
        <w:rPr>
          <w:snapToGrid w:val="0"/>
          <w:szCs w:val="22"/>
          <w:lang w:val="ru-RU"/>
        </w:rPr>
        <w:t xml:space="preserve"> 9</w:t>
      </w:r>
      <w:r w:rsidR="00E313DA" w:rsidRPr="000445B8">
        <w:rPr>
          <w:snapToGrid w:val="0"/>
          <w:szCs w:val="22"/>
          <w:lang w:val="ru-RU"/>
        </w:rPr>
        <w:t xml:space="preserve"> </w:t>
      </w:r>
      <w:r w:rsidRPr="000445B8">
        <w:rPr>
          <w:snapToGrid w:val="0"/>
          <w:szCs w:val="22"/>
          <w:lang w:val="ru-RU"/>
        </w:rPr>
        <w:t xml:space="preserve">июня 2021 </w:t>
      </w:r>
      <w:r w:rsidRPr="000F58A8">
        <w:rPr>
          <w:snapToGrid w:val="0"/>
          <w:szCs w:val="22"/>
          <w:lang w:val="ru-RU"/>
        </w:rPr>
        <w:t>год</w:t>
      </w:r>
      <w:r w:rsidR="000445B8" w:rsidRPr="000F58A8">
        <w:rPr>
          <w:snapToGrid w:val="0"/>
          <w:szCs w:val="22"/>
          <w:lang w:val="ru-RU"/>
        </w:rPr>
        <w:t>а</w:t>
      </w:r>
    </w:p>
    <w:p w:rsidR="00C9161D" w:rsidRDefault="00AE6DBB" w:rsidP="00C9161D">
      <w:pPr>
        <w:rPr>
          <w:szCs w:val="22"/>
          <w:lang w:val="ru-RU"/>
        </w:rPr>
      </w:pPr>
      <w:r>
        <w:rPr>
          <w:szCs w:val="22"/>
          <w:lang w:val="ru-RU"/>
        </w:rPr>
        <w:t xml:space="preserve">Пункт </w:t>
      </w:r>
      <w:r w:rsidR="00E96313">
        <w:rPr>
          <w:szCs w:val="22"/>
          <w:lang w:val="ru-RU"/>
        </w:rPr>
        <w:t>4</w:t>
      </w:r>
      <w:r>
        <w:rPr>
          <w:szCs w:val="22"/>
          <w:lang w:val="ru-RU"/>
        </w:rPr>
        <w:t xml:space="preserve"> повестки дня</w:t>
      </w:r>
    </w:p>
    <w:p w:rsidR="00875777" w:rsidRPr="00875777" w:rsidRDefault="00875777" w:rsidP="00C9161D">
      <w:pPr>
        <w:rPr>
          <w:szCs w:val="22"/>
          <w:lang w:val="ru-RU"/>
        </w:rPr>
      </w:pPr>
    </w:p>
    <w:p w:rsidR="00A70BB1" w:rsidRPr="00A70BB1" w:rsidRDefault="00E96313" w:rsidP="002574C0">
      <w:pPr>
        <w:spacing w:before="120" w:after="120"/>
        <w:jc w:val="center"/>
        <w:rPr>
          <w:b/>
          <w:bCs/>
          <w:szCs w:val="22"/>
          <w:lang w:val="ru-RU"/>
        </w:rPr>
      </w:pPr>
      <w:r>
        <w:rPr>
          <w:b/>
          <w:bCs/>
          <w:snapToGrid w:val="0"/>
          <w:kern w:val="22"/>
          <w:szCs w:val="22"/>
          <w:lang w:val="ru-RU"/>
        </w:rPr>
        <w:t>СИНТЕТИЧЕСКАЯ БИОЛОГИЯ</w:t>
      </w:r>
      <w:r w:rsidR="00A70BB1" w:rsidRPr="00A70BB1">
        <w:rPr>
          <w:b/>
          <w:bCs/>
          <w:szCs w:val="22"/>
          <w:lang w:val="ru-RU"/>
        </w:rPr>
        <w:t xml:space="preserve"> </w:t>
      </w:r>
    </w:p>
    <w:p w:rsidR="00176CEE" w:rsidRPr="00B14EDE" w:rsidRDefault="00AE6DBB" w:rsidP="002574C0">
      <w:pPr>
        <w:spacing w:before="120" w:after="120"/>
        <w:jc w:val="center"/>
        <w:rPr>
          <w:b/>
          <w:szCs w:val="22"/>
          <w:lang w:val="ru-RU"/>
        </w:rPr>
      </w:pPr>
      <w:r>
        <w:rPr>
          <w:b/>
          <w:bCs/>
          <w:szCs w:val="22"/>
          <w:lang w:val="ru-RU"/>
        </w:rPr>
        <w:t>Проект рекомендации, представленный Председателем</w:t>
      </w:r>
    </w:p>
    <w:p w:rsidR="004B1F46" w:rsidRPr="004B1F46" w:rsidRDefault="004B1F46" w:rsidP="004B1F46">
      <w:pPr>
        <w:spacing w:before="120" w:after="120"/>
        <w:rPr>
          <w:lang w:val="ru-RU"/>
        </w:rPr>
      </w:pPr>
      <w:r w:rsidRPr="004B1F46">
        <w:rPr>
          <w:lang w:val="ru-RU"/>
        </w:rPr>
        <w:t>1.</w:t>
      </w:r>
      <w:r w:rsidRPr="004B1F46">
        <w:rPr>
          <w:lang w:val="ru-RU"/>
        </w:rPr>
        <w:tab/>
        <w:t xml:space="preserve">Вспомогательный орган по научным, техническим и технологическим консультациям </w:t>
      </w:r>
      <w:r w:rsidRPr="004B1F46">
        <w:rPr>
          <w:i/>
          <w:iCs/>
          <w:lang w:val="ru-RU"/>
        </w:rPr>
        <w:t>рекомендует</w:t>
      </w:r>
      <w:r w:rsidRPr="004B1F46">
        <w:rPr>
          <w:lang w:val="ru-RU"/>
        </w:rPr>
        <w:t xml:space="preserve"> Конференции Сторон на ее 15-м совещании принять решение следующего содержания:</w:t>
      </w:r>
    </w:p>
    <w:p w:rsidR="004B1F46" w:rsidRPr="004B1F46" w:rsidRDefault="004B1F46" w:rsidP="004B1F46">
      <w:pPr>
        <w:spacing w:before="120" w:after="120"/>
        <w:ind w:left="720" w:firstLine="720"/>
        <w:rPr>
          <w:lang w:val="ru-RU"/>
        </w:rPr>
      </w:pPr>
      <w:r w:rsidRPr="004B1F46">
        <w:rPr>
          <w:i/>
          <w:iCs/>
          <w:lang w:val="ru-RU"/>
        </w:rPr>
        <w:t>Конференция Сторон,</w:t>
      </w:r>
    </w:p>
    <w:p w:rsidR="004B1F46" w:rsidRPr="004B1F46" w:rsidRDefault="004B1F46" w:rsidP="004B1F46">
      <w:pPr>
        <w:tabs>
          <w:tab w:val="left" w:pos="360"/>
        </w:tabs>
        <w:spacing w:before="120" w:after="120"/>
        <w:ind w:left="720" w:firstLine="720"/>
        <w:rPr>
          <w:i/>
          <w:iCs/>
          <w:lang w:val="ru-RU"/>
        </w:rPr>
      </w:pPr>
      <w:r w:rsidRPr="004B1F46">
        <w:rPr>
          <w:i/>
          <w:lang w:val="ru-RU"/>
        </w:rPr>
        <w:t xml:space="preserve">ссылаясь </w:t>
      </w:r>
      <w:r w:rsidRPr="004B1F46">
        <w:rPr>
          <w:lang w:val="ru-RU"/>
        </w:rPr>
        <w:t xml:space="preserve">на решения </w:t>
      </w:r>
      <w:r>
        <w:t>XII</w:t>
      </w:r>
      <w:r w:rsidRPr="004B1F46">
        <w:rPr>
          <w:lang w:val="ru-RU"/>
        </w:rPr>
        <w:t xml:space="preserve">/24, </w:t>
      </w:r>
      <w:r>
        <w:t>XIII</w:t>
      </w:r>
      <w:r w:rsidRPr="004B1F46">
        <w:rPr>
          <w:lang w:val="ru-RU"/>
        </w:rPr>
        <w:t>/17 и 14/19 Конференции Сторон, в которых содержались руководящие указания и предусматривалась работа в области синтетической биологии в увязке с тремя целями Конвенции,</w:t>
      </w:r>
    </w:p>
    <w:p w:rsidR="004B1F46" w:rsidRPr="004B1F46" w:rsidRDefault="004B1F46" w:rsidP="004B1F46">
      <w:pPr>
        <w:tabs>
          <w:tab w:val="left" w:pos="360"/>
        </w:tabs>
        <w:spacing w:before="120" w:after="120"/>
        <w:ind w:left="720" w:firstLine="720"/>
        <w:rPr>
          <w:i/>
          <w:iCs/>
          <w:lang w:val="ru-RU"/>
        </w:rPr>
      </w:pPr>
      <w:r w:rsidRPr="004B1F46">
        <w:rPr>
          <w:i/>
          <w:lang w:val="ru-RU"/>
        </w:rPr>
        <w:t xml:space="preserve">также ссылаясь </w:t>
      </w:r>
      <w:r w:rsidRPr="004B1F46">
        <w:rPr>
          <w:lang w:val="ru-RU"/>
        </w:rPr>
        <w:t xml:space="preserve">на пункт 2 рекомендации 23/7 Вспомогательного органа по по научным, техническим и технологическим консультациям, в котором Вспомогательный орган отложил рассмотрение предложения об отнесении синтетической биологии к новым и возникающим вопросам до своего 24-го совещания, </w:t>
      </w:r>
    </w:p>
    <w:p w:rsidR="004B1F46" w:rsidRPr="004B1F46" w:rsidRDefault="004B1F46" w:rsidP="004B1F46">
      <w:pPr>
        <w:tabs>
          <w:tab w:val="left" w:pos="360"/>
        </w:tabs>
        <w:spacing w:before="120" w:after="120"/>
        <w:ind w:left="720" w:firstLine="720"/>
        <w:rPr>
          <w:b/>
          <w:bCs/>
          <w:lang w:val="ru-RU"/>
        </w:rPr>
      </w:pPr>
      <w:r w:rsidRPr="004B1F46">
        <w:rPr>
          <w:i/>
          <w:lang w:val="ru-RU"/>
        </w:rPr>
        <w:t xml:space="preserve">отмечая </w:t>
      </w:r>
      <w:r w:rsidRPr="004B1F46">
        <w:rPr>
          <w:lang w:val="ru-RU"/>
        </w:rPr>
        <w:t xml:space="preserve">анализ взаимосвязи между синтетической биологией и критериями для выявления новых и возникающих вопросов, установленными в решении </w:t>
      </w:r>
      <w:r>
        <w:t>IX</w:t>
      </w:r>
      <w:r w:rsidRPr="004B1F46">
        <w:rPr>
          <w:lang w:val="ru-RU"/>
        </w:rPr>
        <w:t>/29, проведенный Специальной группой технических экспертов по синтетической биологии</w:t>
      </w:r>
      <w:r>
        <w:rPr>
          <w:rStyle w:val="FootnoteReference"/>
        </w:rPr>
        <w:footnoteReference w:id="2"/>
      </w:r>
      <w:r w:rsidRPr="004B1F46">
        <w:rPr>
          <w:lang w:val="ru-RU"/>
        </w:rPr>
        <w:t xml:space="preserve">, и принимая к сведению </w:t>
      </w:r>
      <w:r w:rsidR="00A6379F">
        <w:rPr>
          <w:lang w:val="ru-RU"/>
        </w:rPr>
        <w:t>разнообразные</w:t>
      </w:r>
      <w:r w:rsidRPr="004B1F46">
        <w:rPr>
          <w:lang w:val="ru-RU"/>
        </w:rPr>
        <w:t xml:space="preserve"> трудности, с которыми столкнулась Специальная группа технических экспертов по синтетической биологии при проведении этого анализа,</w:t>
      </w:r>
    </w:p>
    <w:p w:rsidR="004B1F46" w:rsidRPr="004B1F46" w:rsidRDefault="004B1F46" w:rsidP="004B1F46">
      <w:pPr>
        <w:tabs>
          <w:tab w:val="left" w:pos="360"/>
        </w:tabs>
        <w:spacing w:before="120" w:after="120"/>
        <w:ind w:left="720" w:firstLine="720"/>
        <w:rPr>
          <w:lang w:val="ru-RU"/>
        </w:rPr>
      </w:pPr>
      <w:r w:rsidRPr="004B1F46">
        <w:rPr>
          <w:i/>
          <w:iCs/>
          <w:lang w:val="ru-RU"/>
        </w:rPr>
        <w:t>ссылаясь</w:t>
      </w:r>
      <w:r w:rsidRPr="004B1F46">
        <w:rPr>
          <w:lang w:val="ru-RU"/>
        </w:rPr>
        <w:t xml:space="preserve"> на решение 14/19, в котором был достигнут консенсус в отношении необходимости проведения широких и регулярных обзоров, мониторинга и оценки самых последних технологических разработок для анализа новой информации о потенциальном положительном и потенциальном отрицательном воздействии синтетической биологии на достижение трех целей Конвенции, а также целей Картахенского протокола по биобезопасности и Нагойского протокола регулирования доступа к генетическим ресурсам и совместного использование выгод,</w:t>
      </w:r>
    </w:p>
    <w:p w:rsidR="004B1F46" w:rsidRPr="004B1F46" w:rsidRDefault="004B1F46" w:rsidP="004B1F46">
      <w:pPr>
        <w:tabs>
          <w:tab w:val="left" w:pos="360"/>
        </w:tabs>
        <w:spacing w:before="120" w:after="120"/>
        <w:ind w:left="720" w:firstLine="720"/>
        <w:rPr>
          <w:lang w:val="ru-RU"/>
        </w:rPr>
      </w:pPr>
      <w:r w:rsidRPr="004B1F46">
        <w:rPr>
          <w:i/>
          <w:lang w:val="ru-RU"/>
        </w:rPr>
        <w:t>также ссылаясь</w:t>
      </w:r>
      <w:r w:rsidRPr="004B1F46">
        <w:rPr>
          <w:lang w:val="ru-RU"/>
        </w:rPr>
        <w:t xml:space="preserve"> на пункт 7 решения 14/19, в котором подчеркивалась необходимость в скоординированном, дополнительном и избегающем дублирования подходе к вопросам, касающимся синтетической биологии, в рамках Конвенции и протоколов к ней, а т</w:t>
      </w:r>
      <w:r w:rsidR="0066332C">
        <w:rPr>
          <w:lang w:val="ru-RU"/>
        </w:rPr>
        <w:t>акже между другими конвенциями</w:t>
      </w:r>
      <w:r w:rsidR="00E422E0">
        <w:rPr>
          <w:lang w:val="ru-RU"/>
        </w:rPr>
        <w:t>,</w:t>
      </w:r>
      <w:r w:rsidRPr="004B1F46">
        <w:rPr>
          <w:lang w:val="ru-RU"/>
        </w:rPr>
        <w:t xml:space="preserve"> соответствующими организациями и инициативами;</w:t>
      </w:r>
    </w:p>
    <w:p w:rsidR="004B1F46" w:rsidRPr="004B1F46" w:rsidRDefault="004B1F46" w:rsidP="004B1F46">
      <w:pPr>
        <w:tabs>
          <w:tab w:val="left" w:pos="360"/>
        </w:tabs>
        <w:spacing w:before="120" w:after="120"/>
        <w:ind w:left="720" w:firstLine="720"/>
        <w:rPr>
          <w:lang w:val="ru-RU"/>
        </w:rPr>
      </w:pPr>
      <w:r w:rsidRPr="004B1F46">
        <w:rPr>
          <w:i/>
          <w:lang w:val="ru-RU"/>
        </w:rPr>
        <w:t>отмечая</w:t>
      </w:r>
      <w:r w:rsidRPr="004B1F46">
        <w:rPr>
          <w:lang w:val="ru-RU"/>
        </w:rPr>
        <w:t xml:space="preserve"> значимость цифровой информации о последовательностях для синтетической биологии и ссылаясь на решение 14/20, посвященное цифровой информации о последовательностях, и продолжающиеся обсуждения,</w:t>
      </w:r>
    </w:p>
    <w:p w:rsidR="004B1F46" w:rsidRPr="004B1F46" w:rsidRDefault="004B1F46" w:rsidP="004B1F46">
      <w:pPr>
        <w:tabs>
          <w:tab w:val="left" w:pos="360"/>
        </w:tabs>
        <w:spacing w:before="120" w:after="120"/>
        <w:ind w:left="720" w:firstLine="720"/>
        <w:rPr>
          <w:lang w:val="ru-RU"/>
        </w:rPr>
      </w:pPr>
      <w:r w:rsidRPr="004B1F46">
        <w:rPr>
          <w:i/>
          <w:iCs/>
          <w:lang w:val="ru-RU"/>
        </w:rPr>
        <w:lastRenderedPageBreak/>
        <w:t>ссылаясь</w:t>
      </w:r>
      <w:r w:rsidRPr="004B1F46">
        <w:rPr>
          <w:lang w:val="ru-RU"/>
        </w:rPr>
        <w:t xml:space="preserve"> на пункты 9-11 решения 14/19 и призывая Стороны и другие правительства, учитывая текущую неопределенность в отношении технологии генного драйва, придерживаться осмотрительного подхода в соответствии с целями Конвенции,</w:t>
      </w:r>
    </w:p>
    <w:p w:rsidR="004B1F46" w:rsidRPr="004B1F46" w:rsidRDefault="004B1F46" w:rsidP="004B1F46">
      <w:pPr>
        <w:tabs>
          <w:tab w:val="left" w:pos="360"/>
        </w:tabs>
        <w:spacing w:before="120" w:after="120"/>
        <w:ind w:left="720" w:firstLine="720"/>
        <w:rPr>
          <w:i/>
          <w:iCs/>
          <w:lang w:val="ru-RU"/>
        </w:rPr>
      </w:pPr>
      <w:r w:rsidRPr="004B1F46">
        <w:rPr>
          <w:i/>
          <w:lang w:val="ru-RU"/>
        </w:rPr>
        <w:t>признавая</w:t>
      </w:r>
      <w:r w:rsidRPr="004B1F46">
        <w:rPr>
          <w:lang w:val="ru-RU"/>
        </w:rPr>
        <w:t xml:space="preserve"> важную роль создания потенциала, обмена знаниями, передачи технологий и финансовых ресурсов для решения вопросов, касающихся синтетической биологии,</w:t>
      </w:r>
    </w:p>
    <w:p w:rsidR="004B1F46" w:rsidRPr="004B1F46" w:rsidRDefault="004B1F46" w:rsidP="004B1F46">
      <w:pPr>
        <w:tabs>
          <w:tab w:val="left" w:pos="360"/>
        </w:tabs>
        <w:spacing w:before="120" w:after="120"/>
        <w:ind w:left="720" w:firstLine="720"/>
        <w:rPr>
          <w:i/>
          <w:iCs/>
          <w:lang w:val="ru-RU"/>
        </w:rPr>
      </w:pPr>
      <w:r w:rsidRPr="004B1F46">
        <w:rPr>
          <w:i/>
          <w:lang w:val="ru-RU"/>
        </w:rPr>
        <w:t xml:space="preserve">приветствуя </w:t>
      </w:r>
      <w:r w:rsidRPr="004B1F46">
        <w:rPr>
          <w:lang w:val="ru-RU"/>
        </w:rPr>
        <w:t>итоги совещания Специальной группы технических экспертов по синтетической биологии, состоявшегося в Монреале, Канада, с 4 по 7 июня 2019 года</w:t>
      </w:r>
      <w:r>
        <w:rPr>
          <w:rStyle w:val="FootnoteReference"/>
        </w:rPr>
        <w:footnoteReference w:id="3"/>
      </w:r>
      <w:r w:rsidRPr="004B1F46">
        <w:rPr>
          <w:lang w:val="ru-RU"/>
        </w:rPr>
        <w:t>,</w:t>
      </w:r>
    </w:p>
    <w:p w:rsidR="004B1F46" w:rsidRPr="004B1F46" w:rsidRDefault="004B1F46" w:rsidP="004B1F46">
      <w:pPr>
        <w:pStyle w:val="Para1"/>
        <w:keepNext/>
        <w:numPr>
          <w:ilvl w:val="0"/>
          <w:numId w:val="0"/>
        </w:numPr>
        <w:ind w:left="851"/>
        <w:jc w:val="center"/>
        <w:rPr>
          <w:szCs w:val="22"/>
          <w:lang w:val="ru-RU"/>
        </w:rPr>
      </w:pPr>
      <w:r>
        <w:rPr>
          <w:b/>
        </w:rPr>
        <w:t>A</w:t>
      </w:r>
      <w:r w:rsidRPr="004B1F46">
        <w:rPr>
          <w:b/>
          <w:lang w:val="ru-RU"/>
        </w:rPr>
        <w:t>.</w:t>
      </w:r>
      <w:r w:rsidRPr="004B1F46">
        <w:rPr>
          <w:b/>
          <w:lang w:val="ru-RU"/>
        </w:rPr>
        <w:tab/>
        <w:t>Соображения в отношении новых и возникающих вопросов и связанных с ними критериев</w:t>
      </w:r>
    </w:p>
    <w:p w:rsidR="004B1F46" w:rsidRPr="004B1F46" w:rsidRDefault="004B1F46" w:rsidP="004B1F46">
      <w:pPr>
        <w:tabs>
          <w:tab w:val="left" w:pos="360"/>
        </w:tabs>
        <w:spacing w:before="120" w:after="120"/>
        <w:ind w:left="720" w:firstLine="720"/>
        <w:rPr>
          <w:i/>
          <w:iCs/>
          <w:lang w:val="ru-RU"/>
        </w:rPr>
      </w:pPr>
      <w:r w:rsidRPr="004B1F46">
        <w:rPr>
          <w:lang w:val="ru-RU"/>
        </w:rPr>
        <w:t>1.</w:t>
      </w:r>
      <w:r w:rsidRPr="004B1F46">
        <w:rPr>
          <w:lang w:val="ru-RU"/>
        </w:rPr>
        <w:tab/>
      </w:r>
      <w:r w:rsidRPr="004B1F46">
        <w:rPr>
          <w:i/>
          <w:lang w:val="ru-RU"/>
        </w:rPr>
        <w:t>признает</w:t>
      </w:r>
      <w:r w:rsidRPr="004B1F46">
        <w:rPr>
          <w:lang w:val="ru-RU"/>
        </w:rPr>
        <w:t xml:space="preserve"> разнообразные трудности, с которыми столкнулась Специальная группа технических экспертов по синтетической биологии при проведении анализа взаимосвязи между синтетической биологией и критериями для выявления новых и возникающих вопросов;</w:t>
      </w:r>
    </w:p>
    <w:p w:rsidR="004B1F46" w:rsidRPr="004B1F46" w:rsidRDefault="004B1F46" w:rsidP="004B1F46">
      <w:pPr>
        <w:tabs>
          <w:tab w:val="left" w:pos="360"/>
        </w:tabs>
        <w:spacing w:before="120" w:after="120"/>
        <w:ind w:left="720" w:firstLine="720"/>
        <w:rPr>
          <w:i/>
          <w:iCs/>
          <w:lang w:val="ru-RU"/>
        </w:rPr>
      </w:pPr>
      <w:r w:rsidRPr="004B1F46">
        <w:rPr>
          <w:lang w:val="ru-RU"/>
        </w:rPr>
        <w:t>2.</w:t>
      </w:r>
      <w:r w:rsidRPr="004B1F46">
        <w:rPr>
          <w:lang w:val="ru-RU"/>
        </w:rPr>
        <w:tab/>
      </w:r>
      <w:r w:rsidRPr="004B1F46">
        <w:rPr>
          <w:i/>
          <w:lang w:val="ru-RU"/>
        </w:rPr>
        <w:t>признает также,</w:t>
      </w:r>
      <w:r w:rsidRPr="004B1F46">
        <w:rPr>
          <w:lang w:val="ru-RU"/>
        </w:rPr>
        <w:t xml:space="preserve"> что решения </w:t>
      </w:r>
      <w:r>
        <w:t>X</w:t>
      </w:r>
      <w:r w:rsidRPr="004B1F46">
        <w:rPr>
          <w:lang w:val="ru-RU"/>
        </w:rPr>
        <w:t xml:space="preserve">/13, </w:t>
      </w:r>
      <w:r>
        <w:t>XI</w:t>
      </w:r>
      <w:r w:rsidRPr="004B1F46">
        <w:rPr>
          <w:lang w:val="ru-RU"/>
        </w:rPr>
        <w:t xml:space="preserve">/11, </w:t>
      </w:r>
      <w:r>
        <w:t>XII</w:t>
      </w:r>
      <w:r w:rsidRPr="004B1F46">
        <w:rPr>
          <w:lang w:val="ru-RU"/>
        </w:rPr>
        <w:t xml:space="preserve">/24, </w:t>
      </w:r>
      <w:r>
        <w:t>XIII</w:t>
      </w:r>
      <w:r w:rsidRPr="004B1F46">
        <w:rPr>
          <w:lang w:val="ru-RU"/>
        </w:rPr>
        <w:t xml:space="preserve">/17 и 14/19 </w:t>
      </w:r>
      <w:r w:rsidR="00E422E0">
        <w:rPr>
          <w:lang w:val="ru-RU"/>
        </w:rPr>
        <w:t>предусматривают</w:t>
      </w:r>
      <w:r w:rsidRPr="004B1F46">
        <w:rPr>
          <w:lang w:val="ru-RU"/>
        </w:rPr>
        <w:t xml:space="preserve"> работу в области синтетической биологии в рамках Конвенции и что результаты применения критериев, сформулированных в решении </w:t>
      </w:r>
      <w:r>
        <w:t>IX</w:t>
      </w:r>
      <w:r w:rsidRPr="004B1F46">
        <w:rPr>
          <w:lang w:val="ru-RU"/>
        </w:rPr>
        <w:t>/29, к вопросу синтетической биологии не позволили однозначно определить, является ли синтетическая биология новым и возникающим вопросом или нет [и постановляет не поручать проведение дальнейшего анализа по вопросу о том, является ли синтетическая биология новым и возникающим вопросом], [одновременно продолжая держать под наблюдением работу Конвенции в области синтетической биологии][признавая, что не было окончательно установлено, что синтетическая биология является [или не является] новым и возникающим вопросом];</w:t>
      </w:r>
    </w:p>
    <w:p w:rsidR="004B1F46" w:rsidRPr="004B1F46" w:rsidRDefault="004B1F46" w:rsidP="004B1F46">
      <w:pPr>
        <w:tabs>
          <w:tab w:val="left" w:pos="360"/>
        </w:tabs>
        <w:spacing w:before="120" w:after="120"/>
        <w:ind w:left="720" w:firstLine="720"/>
        <w:rPr>
          <w:i/>
          <w:iCs/>
          <w:highlight w:val="yellow"/>
          <w:lang w:val="ru-RU"/>
        </w:rPr>
      </w:pPr>
      <w:r w:rsidRPr="004B1F46">
        <w:rPr>
          <w:lang w:val="ru-RU"/>
        </w:rPr>
        <w:t>3.</w:t>
      </w:r>
      <w:r w:rsidRPr="004B1F46">
        <w:rPr>
          <w:lang w:val="ru-RU"/>
        </w:rPr>
        <w:tab/>
      </w:r>
      <w:r w:rsidRPr="004B1F46">
        <w:rPr>
          <w:i/>
          <w:lang w:val="ru-RU"/>
        </w:rPr>
        <w:t xml:space="preserve">отмечает, </w:t>
      </w:r>
      <w:r w:rsidRPr="004B1F46">
        <w:rPr>
          <w:lang w:val="ru-RU"/>
        </w:rPr>
        <w:t>что это не должно рассматриваться как ситуация, создающая прецедент для будущих процессов рассмотрения предлагаемых новых и возникающих вопросов;</w:t>
      </w:r>
    </w:p>
    <w:p w:rsidR="004B1F46" w:rsidRPr="004B1F46" w:rsidRDefault="004B1F46" w:rsidP="004B1F46">
      <w:pPr>
        <w:keepNext/>
        <w:tabs>
          <w:tab w:val="left" w:pos="360"/>
        </w:tabs>
        <w:spacing w:before="120" w:after="120"/>
        <w:ind w:left="709"/>
        <w:jc w:val="center"/>
        <w:rPr>
          <w:b/>
          <w:bCs/>
          <w:szCs w:val="22"/>
          <w:lang w:val="ru-RU"/>
        </w:rPr>
      </w:pPr>
      <w:r>
        <w:rPr>
          <w:b/>
        </w:rPr>
        <w:t>B</w:t>
      </w:r>
      <w:r w:rsidRPr="004B1F46">
        <w:rPr>
          <w:b/>
          <w:lang w:val="ru-RU"/>
        </w:rPr>
        <w:t>.</w:t>
      </w:r>
      <w:r w:rsidRPr="004B1F46">
        <w:rPr>
          <w:b/>
          <w:lang w:val="ru-RU"/>
        </w:rPr>
        <w:tab/>
        <w:t>Процесс широких и регулярных обзоров, мониторинга и оценки</w:t>
      </w:r>
    </w:p>
    <w:p w:rsidR="004B1F46" w:rsidRPr="004B1F46" w:rsidRDefault="004B1F46" w:rsidP="004B1F46">
      <w:pPr>
        <w:pStyle w:val="ListParagraph"/>
        <w:numPr>
          <w:ilvl w:val="0"/>
          <w:numId w:val="31"/>
        </w:numPr>
        <w:tabs>
          <w:tab w:val="left" w:pos="360"/>
        </w:tabs>
        <w:spacing w:before="120" w:after="120"/>
        <w:ind w:firstLine="720"/>
        <w:contextualSpacing w:val="0"/>
        <w:rPr>
          <w:i/>
          <w:iCs/>
          <w:lang w:val="ru-RU"/>
        </w:rPr>
      </w:pPr>
      <w:r w:rsidRPr="004B1F46">
        <w:rPr>
          <w:i/>
          <w:iCs/>
          <w:lang w:val="ru-RU"/>
        </w:rPr>
        <w:t>учреждает</w:t>
      </w:r>
      <w:r w:rsidRPr="004B1F46">
        <w:rPr>
          <w:lang w:val="ru-RU"/>
        </w:rPr>
        <w:t xml:space="preserve"> процесс широких и регулярных обзоров, мониторинга и оценки самых последних технологических разработок в области синтетической биологии, изложенный в разделе А приложения; [и на начальный период, состоящий из [двух циклов в течение двух следующих друг за другом межсессионных периодов;] [одного межсессионного периода;]]</w:t>
      </w:r>
    </w:p>
    <w:p w:rsidR="004B1F46" w:rsidRPr="004B1F46" w:rsidRDefault="004B1F46" w:rsidP="004B1F46">
      <w:pPr>
        <w:pStyle w:val="ListParagraph"/>
        <w:numPr>
          <w:ilvl w:val="0"/>
          <w:numId w:val="31"/>
        </w:numPr>
        <w:tabs>
          <w:tab w:val="left" w:pos="360"/>
        </w:tabs>
        <w:spacing w:before="120" w:after="120"/>
        <w:ind w:firstLine="720"/>
        <w:contextualSpacing w:val="0"/>
        <w:rPr>
          <w:lang w:val="ru-RU"/>
        </w:rPr>
      </w:pPr>
      <w:r w:rsidRPr="004B1F46">
        <w:rPr>
          <w:lang w:val="ru-RU"/>
        </w:rPr>
        <w:t>[</w:t>
      </w:r>
      <w:r w:rsidRPr="004B1F46">
        <w:rPr>
          <w:i/>
          <w:iCs/>
          <w:lang w:val="ru-RU"/>
        </w:rPr>
        <w:t>учреждает</w:t>
      </w:r>
      <w:r w:rsidRPr="004B1F46">
        <w:rPr>
          <w:lang w:val="ru-RU"/>
        </w:rPr>
        <w:t xml:space="preserve"> многодисциплинарную Специальную группу технических экспертов по синтетической биологии в целях содействия процессу широких и регулярных обзоров, мониторинга и оценки в соответствии с кругом полномочий, представленным в разделе В приложения;]</w:t>
      </w:r>
    </w:p>
    <w:p w:rsidR="004B1F46" w:rsidRPr="004B1F46" w:rsidRDefault="004B1F46" w:rsidP="004B1F46">
      <w:pPr>
        <w:pStyle w:val="ListParagraph"/>
        <w:numPr>
          <w:ilvl w:val="0"/>
          <w:numId w:val="31"/>
        </w:numPr>
        <w:tabs>
          <w:tab w:val="left" w:pos="360"/>
        </w:tabs>
        <w:spacing w:before="120" w:after="120"/>
        <w:ind w:firstLine="720"/>
        <w:contextualSpacing w:val="0"/>
        <w:rPr>
          <w:i/>
          <w:iCs/>
          <w:lang w:val="ru-RU"/>
        </w:rPr>
      </w:pPr>
      <w:r w:rsidRPr="004B1F46">
        <w:rPr>
          <w:i/>
          <w:lang w:val="ru-RU"/>
        </w:rPr>
        <w:t>постановляет</w:t>
      </w:r>
      <w:r w:rsidRPr="004B1F46">
        <w:rPr>
          <w:lang w:val="ru-RU"/>
        </w:rPr>
        <w:t>, что тенденции применительно к новым технологическим разработкам в области синтетической биологии, выявленные Специальной группой технических экспертов по синтетической биологии</w:t>
      </w:r>
      <w:r>
        <w:rPr>
          <w:rStyle w:val="FootnoteReference"/>
        </w:rPr>
        <w:footnoteReference w:id="4"/>
      </w:r>
      <w:r w:rsidRPr="004B1F46">
        <w:rPr>
          <w:lang w:val="ru-RU"/>
        </w:rPr>
        <w:t xml:space="preserve"> [и многодисциплинарной Специальной группой технических экспертов] должны лечь в основу [начального] обзора, мониторинга и оценки [следующего межсессионного периода;]</w:t>
      </w:r>
    </w:p>
    <w:p w:rsidR="004B1F46" w:rsidRPr="004B1F46" w:rsidRDefault="004B1F46" w:rsidP="004B1F46">
      <w:pPr>
        <w:pStyle w:val="ListParagraph"/>
        <w:numPr>
          <w:ilvl w:val="0"/>
          <w:numId w:val="31"/>
        </w:numPr>
        <w:tabs>
          <w:tab w:val="left" w:pos="360"/>
        </w:tabs>
        <w:spacing w:before="120" w:after="120"/>
        <w:ind w:firstLine="720"/>
        <w:contextualSpacing w:val="0"/>
        <w:rPr>
          <w:i/>
          <w:iCs/>
          <w:lang w:val="ru-RU"/>
        </w:rPr>
      </w:pPr>
      <w:r w:rsidRPr="004B1F46">
        <w:rPr>
          <w:i/>
          <w:lang w:val="ru-RU"/>
        </w:rPr>
        <w:t>предлагает</w:t>
      </w:r>
      <w:r w:rsidRPr="004B1F46">
        <w:rPr>
          <w:lang w:val="ru-RU"/>
        </w:rPr>
        <w:t xml:space="preserve"> Сторонам, другим правительствам, коре</w:t>
      </w:r>
      <w:r w:rsidR="00A6379F">
        <w:rPr>
          <w:lang w:val="ru-RU"/>
        </w:rPr>
        <w:t>нным народам и местным общинам, а также</w:t>
      </w:r>
      <w:r w:rsidRPr="004B1F46">
        <w:rPr>
          <w:lang w:val="ru-RU"/>
        </w:rPr>
        <w:t xml:space="preserve"> соответствующим организациям представлять </w:t>
      </w:r>
      <w:r w:rsidRPr="004B1F46">
        <w:rPr>
          <w:lang w:val="ru-RU"/>
        </w:rPr>
        <w:lastRenderedPageBreak/>
        <w:t>Исполнительному секретарю информацию относительно тенденций, упоминаемых в пункте 6, с тем чтобы она служила основой для обзора, мониторинга и оценки;</w:t>
      </w:r>
    </w:p>
    <w:p w:rsidR="004B1F46" w:rsidRPr="004B1F46" w:rsidRDefault="004B1F46" w:rsidP="004B1F46">
      <w:pPr>
        <w:pStyle w:val="ListParagraph"/>
        <w:numPr>
          <w:ilvl w:val="0"/>
          <w:numId w:val="31"/>
        </w:numPr>
        <w:tabs>
          <w:tab w:val="left" w:pos="360"/>
        </w:tabs>
        <w:spacing w:before="120" w:after="120"/>
        <w:ind w:firstLine="720"/>
        <w:contextualSpacing w:val="0"/>
        <w:rPr>
          <w:lang w:val="ru-RU"/>
        </w:rPr>
      </w:pPr>
      <w:r w:rsidRPr="004B1F46">
        <w:rPr>
          <w:i/>
          <w:lang w:val="ru-RU"/>
        </w:rPr>
        <w:t>призывает</w:t>
      </w:r>
      <w:r w:rsidRPr="004B1F46">
        <w:rPr>
          <w:lang w:val="ru-RU"/>
        </w:rPr>
        <w:t xml:space="preserve"> Стороны и других субъектов деятельности способствовать широкому международному сотрудничеству, передаче технологий, обмену знаниями, особенно с помощью Механизма посредничества по биобезопасности, а также созданию потенциала в области синтетической биологии, с учетом потребностей Сторон, коренных народов и местных общин;</w:t>
      </w:r>
    </w:p>
    <w:p w:rsidR="004B1F46" w:rsidRPr="004B1F46" w:rsidRDefault="004B1F46" w:rsidP="004B1F46">
      <w:pPr>
        <w:pStyle w:val="ListParagraph"/>
        <w:numPr>
          <w:ilvl w:val="0"/>
          <w:numId w:val="31"/>
        </w:numPr>
        <w:tabs>
          <w:tab w:val="left" w:pos="360"/>
        </w:tabs>
        <w:spacing w:before="120" w:after="120"/>
        <w:ind w:firstLine="720"/>
        <w:contextualSpacing w:val="0"/>
        <w:rPr>
          <w:lang w:val="ru-RU"/>
        </w:rPr>
      </w:pPr>
      <w:r w:rsidRPr="004B1F46">
        <w:rPr>
          <w:i/>
          <w:lang w:val="ru-RU"/>
        </w:rPr>
        <w:t>поручает</w:t>
      </w:r>
      <w:r w:rsidRPr="004B1F46">
        <w:rPr>
          <w:lang w:val="ru-RU"/>
        </w:rPr>
        <w:t xml:space="preserve"> Исполнительному секретарю, при условии наличия ресурсов:</w:t>
      </w:r>
    </w:p>
    <w:p w:rsidR="004B1F46" w:rsidRPr="004B1F46" w:rsidRDefault="004B1F46" w:rsidP="004B1F46">
      <w:pPr>
        <w:tabs>
          <w:tab w:val="left" w:pos="360"/>
        </w:tabs>
        <w:spacing w:before="120" w:after="120"/>
        <w:ind w:left="720" w:firstLine="720"/>
        <w:rPr>
          <w:lang w:val="ru-RU"/>
        </w:rPr>
      </w:pPr>
      <w:r w:rsidRPr="004B1F46">
        <w:rPr>
          <w:lang w:val="ru-RU"/>
        </w:rPr>
        <w:t>(</w:t>
      </w:r>
      <w:r>
        <w:t>a</w:t>
      </w:r>
      <w:r w:rsidRPr="004B1F46">
        <w:rPr>
          <w:lang w:val="ru-RU"/>
        </w:rPr>
        <w:t>)</w:t>
      </w:r>
      <w:r w:rsidRPr="004B1F46">
        <w:rPr>
          <w:lang w:val="ru-RU"/>
        </w:rPr>
        <w:tab/>
        <w:t xml:space="preserve"> организовать онлайновые дискуссии Сетевого форума открытого состава по синтетической биологии в целях содействия работе многодисциплинарной Специальной группы технических экспертов, а также комплексному процессу, кратко описанному в пункте 4 выше;</w:t>
      </w:r>
    </w:p>
    <w:p w:rsidR="004B1F46" w:rsidRPr="004B1F46" w:rsidRDefault="004B1F46" w:rsidP="004B1F46">
      <w:pPr>
        <w:tabs>
          <w:tab w:val="left" w:pos="360"/>
        </w:tabs>
        <w:spacing w:before="120" w:after="120"/>
        <w:ind w:left="720" w:firstLine="720"/>
        <w:rPr>
          <w:lang w:val="ru-RU"/>
        </w:rPr>
      </w:pPr>
      <w:r w:rsidRPr="004B1F46">
        <w:rPr>
          <w:lang w:val="ru-RU"/>
        </w:rPr>
        <w:t>(</w:t>
      </w:r>
      <w:r>
        <w:t>b</w:t>
      </w:r>
      <w:r w:rsidRPr="004B1F46">
        <w:rPr>
          <w:lang w:val="ru-RU"/>
        </w:rPr>
        <w:t>)</w:t>
      </w:r>
      <w:r w:rsidRPr="004B1F46">
        <w:rPr>
          <w:lang w:val="ru-RU"/>
        </w:rPr>
        <w:tab/>
        <w:t>обобщить материалы, представленные в соответствии с пунктом 7 выше, а также информацию, полученную в ходе онлайновых дискуссий Сетевого форума открытого состава по синтетической биологии, с тем чтобы они послужили основой для обсуждений, проводимых многодисциплинарной Специальной группой технических экспертов;</w:t>
      </w:r>
    </w:p>
    <w:p w:rsidR="004B1F46" w:rsidRPr="004B1F46" w:rsidRDefault="004B1F46" w:rsidP="004B1F46">
      <w:pPr>
        <w:tabs>
          <w:tab w:val="left" w:pos="360"/>
        </w:tabs>
        <w:spacing w:before="120" w:after="120"/>
        <w:ind w:left="720" w:firstLine="720"/>
        <w:rPr>
          <w:lang w:val="ru-RU"/>
        </w:rPr>
      </w:pPr>
      <w:r w:rsidRPr="004B1F46">
        <w:rPr>
          <w:lang w:val="ru-RU"/>
        </w:rPr>
        <w:t>(</w:t>
      </w:r>
      <w:r>
        <w:t>c</w:t>
      </w:r>
      <w:r w:rsidRPr="004B1F46">
        <w:rPr>
          <w:lang w:val="ru-RU"/>
        </w:rPr>
        <w:t>)</w:t>
      </w:r>
      <w:r w:rsidRPr="004B1F46">
        <w:rPr>
          <w:lang w:val="ru-RU"/>
        </w:rPr>
        <w:tab/>
        <w:t>организовать не менее одного совещания многодисциплинарной Специальной группы технических экспертов для проведения работы, предусмотренной в разделе</w:t>
      </w:r>
      <w:r>
        <w:t> B</w:t>
      </w:r>
      <w:r w:rsidRPr="004B1F46">
        <w:rPr>
          <w:lang w:val="ru-RU"/>
        </w:rPr>
        <w:t xml:space="preserve"> приложения;</w:t>
      </w:r>
    </w:p>
    <w:p w:rsidR="004B1F46" w:rsidRPr="004B1F46" w:rsidRDefault="004B1F46" w:rsidP="004B1F46">
      <w:pPr>
        <w:tabs>
          <w:tab w:val="left" w:pos="360"/>
        </w:tabs>
        <w:spacing w:before="120" w:after="120"/>
        <w:ind w:left="720" w:firstLine="720"/>
        <w:rPr>
          <w:lang w:val="ru-RU"/>
        </w:rPr>
      </w:pPr>
      <w:r w:rsidRPr="004B1F46">
        <w:rPr>
          <w:lang w:val="ru-RU"/>
        </w:rPr>
        <w:t>(</w:t>
      </w:r>
      <w:r>
        <w:t>d</w:t>
      </w:r>
      <w:r w:rsidRPr="004B1F46">
        <w:rPr>
          <w:lang w:val="ru-RU"/>
        </w:rPr>
        <w:t>)</w:t>
      </w:r>
      <w:r w:rsidRPr="004B1F46">
        <w:rPr>
          <w:lang w:val="ru-RU"/>
        </w:rPr>
        <w:tab/>
        <w:t>подготовить доклады о результатах и функционировании процесса обзора, упомянутого в пункте 4 выше, и представить эти доклады для коллегиального обзора в целях содействия обзору эффективности процесса Вспомогательным органом по научным, техническим и технологическим консультациям на его совещаниях [до начала 16-го и 17-го совещаний Конференции Сторон соответственно;]</w:t>
      </w:r>
    </w:p>
    <w:p w:rsidR="004B1F46" w:rsidRPr="004B1F46" w:rsidRDefault="004B1F46" w:rsidP="004B1F46">
      <w:pPr>
        <w:tabs>
          <w:tab w:val="left" w:pos="360"/>
        </w:tabs>
        <w:spacing w:before="120" w:after="120"/>
        <w:ind w:left="720" w:firstLine="720"/>
        <w:rPr>
          <w:lang w:val="ru-RU"/>
        </w:rPr>
      </w:pPr>
      <w:r w:rsidRPr="004B1F46">
        <w:rPr>
          <w:lang w:val="ru-RU"/>
        </w:rPr>
        <w:t>(</w:t>
      </w:r>
      <w:r>
        <w:t>e</w:t>
      </w:r>
      <w:r w:rsidRPr="004B1F46">
        <w:rPr>
          <w:lang w:val="ru-RU"/>
        </w:rPr>
        <w:t>)</w:t>
      </w:r>
      <w:r w:rsidRPr="004B1F46">
        <w:rPr>
          <w:lang w:val="ru-RU"/>
        </w:rPr>
        <w:tab/>
        <w:t>способствовать международному сотрудничеству, поощрять и поддерживать создание потенциала, передачу технологий и обмен знаниями в области синтетической биологии с учетом потребностей Сторон, коренных народов и местных общин;</w:t>
      </w:r>
    </w:p>
    <w:p w:rsidR="004B1F46" w:rsidRPr="004B1F46" w:rsidRDefault="004B1F46" w:rsidP="004B1F46">
      <w:pPr>
        <w:tabs>
          <w:tab w:val="left" w:pos="360"/>
        </w:tabs>
        <w:spacing w:before="120" w:after="120"/>
        <w:ind w:left="720" w:firstLine="720"/>
        <w:rPr>
          <w:lang w:val="ru-RU"/>
        </w:rPr>
      </w:pPr>
      <w:r w:rsidRPr="004B1F46">
        <w:rPr>
          <w:lang w:val="ru-RU"/>
        </w:rPr>
        <w:t>(</w:t>
      </w:r>
      <w:r>
        <w:t>f</w:t>
      </w:r>
      <w:r w:rsidRPr="004B1F46">
        <w:rPr>
          <w:lang w:val="ru-RU"/>
        </w:rPr>
        <w:t>)</w:t>
      </w:r>
      <w:r w:rsidRPr="004B1F46">
        <w:rPr>
          <w:lang w:val="ru-RU"/>
        </w:rPr>
        <w:tab/>
        <w:t xml:space="preserve">и далее обеспечивать всемерное и деятельное участие коренных народов и местных общин в обсуждениях и работе в области синтетической биологии в рамках Конвенции в соответствии с решением </w:t>
      </w:r>
      <w:r>
        <w:t>X</w:t>
      </w:r>
      <w:r w:rsidRPr="004B1F46">
        <w:rPr>
          <w:lang w:val="ru-RU"/>
        </w:rPr>
        <w:t>/40 [и с применением подхода, основанного на правах человека;]</w:t>
      </w:r>
    </w:p>
    <w:p w:rsidR="004B1F46" w:rsidRPr="004B1F46" w:rsidRDefault="004B1F46" w:rsidP="004B1F46">
      <w:pPr>
        <w:pStyle w:val="ListParagraph"/>
        <w:numPr>
          <w:ilvl w:val="0"/>
          <w:numId w:val="31"/>
        </w:numPr>
        <w:tabs>
          <w:tab w:val="left" w:pos="360"/>
        </w:tabs>
        <w:spacing w:before="120" w:after="120"/>
        <w:ind w:firstLine="720"/>
        <w:contextualSpacing w:val="0"/>
        <w:rPr>
          <w:lang w:val="ru-RU"/>
        </w:rPr>
      </w:pPr>
      <w:r w:rsidRPr="004B1F46">
        <w:rPr>
          <w:i/>
          <w:lang w:val="ru-RU"/>
        </w:rPr>
        <w:t xml:space="preserve">поручает </w:t>
      </w:r>
      <w:r w:rsidRPr="004B1F46">
        <w:rPr>
          <w:lang w:val="ru-RU"/>
        </w:rPr>
        <w:t>Вспомогательному органу по научным, техническим и технологическим консультациям изучить итоги процесса обзора, представленные в докладе  многодисциплинарной Специальной группы технических экспертов</w:t>
      </w:r>
      <w:r>
        <w:rPr>
          <w:rStyle w:val="FootnoteReference"/>
        </w:rPr>
        <w:footnoteReference w:id="5"/>
      </w:r>
      <w:r w:rsidRPr="004B1F46">
        <w:rPr>
          <w:lang w:val="ru-RU"/>
        </w:rPr>
        <w:t>, и сформулировать рекомендации для рассмотрения Конференцией Сторон на ее 16-м</w:t>
      </w:r>
      <w:r>
        <w:t> </w:t>
      </w:r>
      <w:r w:rsidRPr="004B1F46">
        <w:rPr>
          <w:lang w:val="ru-RU"/>
        </w:rPr>
        <w:t>и 17-м совещаниях и при необходимости Конференцией Сторон, выступающей в качестве совещания Сторон Картахенского протокола, на ее 11-м и 12-м совещаниях и Конференцией Сторон, выступающей в качестве Совещания Сторон Нагойского протокола, на ее 5-м и 6-м совещаниях;</w:t>
      </w:r>
    </w:p>
    <w:p w:rsidR="004B1F46" w:rsidRPr="004B1F46" w:rsidRDefault="004B1F46" w:rsidP="004B1F46">
      <w:pPr>
        <w:pStyle w:val="ListParagraph"/>
        <w:numPr>
          <w:ilvl w:val="0"/>
          <w:numId w:val="31"/>
        </w:numPr>
        <w:tabs>
          <w:tab w:val="left" w:pos="360"/>
        </w:tabs>
        <w:spacing w:before="120" w:after="120"/>
        <w:ind w:firstLine="720"/>
        <w:contextualSpacing w:val="0"/>
        <w:rPr>
          <w:lang w:val="ru-RU"/>
        </w:rPr>
      </w:pPr>
      <w:r w:rsidRPr="004B1F46">
        <w:rPr>
          <w:i/>
          <w:lang w:val="ru-RU"/>
        </w:rPr>
        <w:t>также поручает</w:t>
      </w:r>
      <w:r w:rsidRPr="004B1F46">
        <w:rPr>
          <w:lang w:val="ru-RU"/>
        </w:rPr>
        <w:t xml:space="preserve"> Вспомогательному органу по научным, техническим и технологическим консультациям рассмотреть промежуточный и окончательный доклады об эффективности процесса обзора, учрежденного в пункте 1 выше, на его совещаниях, предшествующих 16-му</w:t>
      </w:r>
      <w:r>
        <w:t> </w:t>
      </w:r>
      <w:r w:rsidRPr="004B1F46">
        <w:rPr>
          <w:lang w:val="ru-RU"/>
        </w:rPr>
        <w:t>и 17-му совещаниям Конференции Сторон, соответственно, и сформулировать рекомендацию о необходимости в расширении этого процесса;</w:t>
      </w:r>
    </w:p>
    <w:p w:rsidR="004B1F46" w:rsidRPr="004B1F46" w:rsidRDefault="004B1F46" w:rsidP="004B1F46">
      <w:pPr>
        <w:pStyle w:val="ListParagraph"/>
        <w:numPr>
          <w:ilvl w:val="0"/>
          <w:numId w:val="31"/>
        </w:numPr>
        <w:tabs>
          <w:tab w:val="left" w:pos="360"/>
        </w:tabs>
        <w:spacing w:before="120" w:after="120"/>
        <w:ind w:firstLine="720"/>
        <w:contextualSpacing w:val="0"/>
        <w:rPr>
          <w:lang w:val="ru-RU"/>
        </w:rPr>
      </w:pPr>
      <w:r w:rsidRPr="004B1F46">
        <w:rPr>
          <w:i/>
          <w:lang w:val="ru-RU"/>
        </w:rPr>
        <w:t>поручает</w:t>
      </w:r>
      <w:r w:rsidRPr="004B1F46">
        <w:rPr>
          <w:lang w:val="ru-RU"/>
        </w:rPr>
        <w:t xml:space="preserve"> Исполнительному секретарю и далее налаживать сотрудничество с другими региональными и международными организациями, конвенциями и инициативами, </w:t>
      </w:r>
      <w:r w:rsidRPr="004B1F46">
        <w:rPr>
          <w:lang w:val="ru-RU"/>
        </w:rPr>
        <w:lastRenderedPageBreak/>
        <w:t>в том числе с академическими и научно-исследовательскими учреждениями, по вопросам, касающимся синтетической биологии.</w:t>
      </w:r>
    </w:p>
    <w:p w:rsidR="004B1F46" w:rsidRPr="004B1F46" w:rsidRDefault="004B1F46" w:rsidP="004B1F46">
      <w:pPr>
        <w:spacing w:before="120" w:after="120"/>
        <w:rPr>
          <w:lang w:val="ru-RU"/>
        </w:rPr>
      </w:pPr>
      <w:r w:rsidRPr="004B1F46">
        <w:rPr>
          <w:lang w:val="ru-RU"/>
        </w:rPr>
        <w:t>2.</w:t>
      </w:r>
      <w:r w:rsidRPr="004B1F46">
        <w:rPr>
          <w:lang w:val="ru-RU"/>
        </w:rPr>
        <w:tab/>
        <w:t xml:space="preserve">Вспомогательный орган по научным, техническим и технологическим консультациям </w:t>
      </w:r>
      <w:r w:rsidRPr="004B1F46">
        <w:rPr>
          <w:i/>
          <w:lang w:val="ru-RU"/>
        </w:rPr>
        <w:t>рекомендует</w:t>
      </w:r>
      <w:r w:rsidRPr="004B1F46">
        <w:rPr>
          <w:lang w:val="ru-RU"/>
        </w:rPr>
        <w:t xml:space="preserve"> Конференции Сторон, выступающей в качестве совещания Сторон Картахенского протокола, и Конференции Сторон, выступающей в качестве совещания Сторон Нагойского протокола, принять к сведению решение Конференции Сторон по этому вопросу.</w:t>
      </w:r>
    </w:p>
    <w:p w:rsidR="006115F5" w:rsidRPr="002F7ECC" w:rsidRDefault="006115F5" w:rsidP="006115F5">
      <w:pPr>
        <w:tabs>
          <w:tab w:val="left" w:pos="360"/>
        </w:tabs>
        <w:spacing w:before="240" w:after="120"/>
        <w:jc w:val="center"/>
        <w:rPr>
          <w:lang w:val="ru-RU"/>
        </w:rPr>
      </w:pPr>
      <w:r w:rsidRPr="002F7ECC">
        <w:rPr>
          <w:i/>
          <w:iCs/>
          <w:szCs w:val="22"/>
          <w:lang w:val="ru-RU"/>
        </w:rPr>
        <w:t>Приложение</w:t>
      </w:r>
    </w:p>
    <w:p w:rsidR="006115F5" w:rsidRPr="002F7ECC" w:rsidRDefault="006115F5" w:rsidP="006115F5">
      <w:pPr>
        <w:keepNext/>
        <w:suppressLineNumbers/>
        <w:suppressAutoHyphens/>
        <w:spacing w:before="120" w:after="120"/>
        <w:jc w:val="center"/>
        <w:outlineLvl w:val="0"/>
        <w:rPr>
          <w:b/>
          <w:bCs/>
          <w:caps/>
          <w:kern w:val="22"/>
          <w:szCs w:val="22"/>
          <w:lang w:val="ru-RU"/>
        </w:rPr>
      </w:pPr>
      <w:r w:rsidRPr="002F7ECC">
        <w:rPr>
          <w:b/>
          <w:bCs/>
          <w:szCs w:val="22"/>
          <w:lang w:val="ru-RU"/>
        </w:rPr>
        <w:t>ШИРОКИЕ И РЕГУЛЯРНЫЕ ОБЗОРЫ, МОНИТОРИНГ И ОЦЕНКА САМЫХ ПОСЛЕДНИХ ТЕХНОЛОГИЧЕСКИХ РАЗРАБОТОК В ОБЛАСТИ СИНТЕТИЧЕСКОЙ БИОЛОГИИ</w:t>
      </w:r>
    </w:p>
    <w:p w:rsidR="006115F5" w:rsidRPr="002F7ECC" w:rsidRDefault="006115F5" w:rsidP="006115F5">
      <w:pPr>
        <w:pStyle w:val="ListParagraph"/>
        <w:keepNext/>
        <w:numPr>
          <w:ilvl w:val="0"/>
          <w:numId w:val="34"/>
        </w:numPr>
        <w:suppressLineNumbers/>
        <w:suppressAutoHyphens/>
        <w:spacing w:before="120" w:after="120"/>
        <w:ind w:left="714" w:hanging="357"/>
        <w:contextualSpacing w:val="0"/>
        <w:jc w:val="center"/>
        <w:outlineLvl w:val="1"/>
        <w:rPr>
          <w:b/>
          <w:bCs/>
          <w:kern w:val="22"/>
          <w:szCs w:val="22"/>
          <w:lang w:val="ru-RU"/>
        </w:rPr>
      </w:pPr>
      <w:r w:rsidRPr="002F7ECC">
        <w:rPr>
          <w:b/>
          <w:bCs/>
          <w:szCs w:val="22"/>
          <w:lang w:val="ru-RU"/>
        </w:rPr>
        <w:t xml:space="preserve">Процесс обзора, мониторинга и оценки </w:t>
      </w:r>
    </w:p>
    <w:p w:rsidR="006115F5" w:rsidRPr="002F7ECC" w:rsidRDefault="006115F5" w:rsidP="006115F5">
      <w:pPr>
        <w:pStyle w:val="ListParagraph"/>
        <w:numPr>
          <w:ilvl w:val="0"/>
          <w:numId w:val="33"/>
        </w:numPr>
        <w:suppressLineNumbers/>
        <w:suppressAutoHyphens/>
        <w:spacing w:before="120" w:after="120"/>
        <w:ind w:left="0" w:firstLine="0"/>
        <w:contextualSpacing w:val="0"/>
        <w:rPr>
          <w:kern w:val="22"/>
          <w:szCs w:val="22"/>
          <w:lang w:val="ru-RU"/>
        </w:rPr>
      </w:pPr>
      <w:r w:rsidRPr="002F7ECC">
        <w:rPr>
          <w:szCs w:val="22"/>
          <w:lang w:val="ru-RU"/>
        </w:rPr>
        <w:t>Процесс широких и регулярных обзоров, мониторинга и оценки</w:t>
      </w:r>
      <w:r w:rsidRPr="006B0CF1">
        <w:rPr>
          <w:szCs w:val="22"/>
          <w:lang w:val="ru-RU"/>
        </w:rPr>
        <w:t xml:space="preserve"> (</w:t>
      </w:r>
      <w:r>
        <w:rPr>
          <w:szCs w:val="22"/>
          <w:lang w:val="ru-RU"/>
        </w:rPr>
        <w:t>далее «процесс»)</w:t>
      </w:r>
      <w:r w:rsidRPr="002F7ECC">
        <w:rPr>
          <w:szCs w:val="22"/>
          <w:lang w:val="ru-RU"/>
        </w:rPr>
        <w:t xml:space="preserve"> предполагает следующие этапы:</w:t>
      </w:r>
    </w:p>
    <w:p w:rsidR="006115F5" w:rsidRPr="002F7ECC" w:rsidRDefault="006115F5" w:rsidP="006115F5">
      <w:pPr>
        <w:pStyle w:val="ListParagraph"/>
        <w:numPr>
          <w:ilvl w:val="0"/>
          <w:numId w:val="36"/>
        </w:numPr>
        <w:suppressLineNumbers/>
        <w:suppressAutoHyphens/>
        <w:spacing w:before="120" w:after="120"/>
        <w:ind w:hanging="11"/>
        <w:contextualSpacing w:val="0"/>
        <w:jc w:val="left"/>
        <w:rPr>
          <w:kern w:val="22"/>
          <w:szCs w:val="22"/>
          <w:lang w:val="ru-RU"/>
        </w:rPr>
      </w:pPr>
      <w:r w:rsidRPr="002F7ECC">
        <w:rPr>
          <w:szCs w:val="22"/>
          <w:lang w:val="ru-RU"/>
        </w:rPr>
        <w:t>сбор информации;</w:t>
      </w:r>
    </w:p>
    <w:p w:rsidR="006115F5" w:rsidRPr="002F7ECC" w:rsidRDefault="006115F5" w:rsidP="006115F5">
      <w:pPr>
        <w:pStyle w:val="ListParagraph"/>
        <w:numPr>
          <w:ilvl w:val="0"/>
          <w:numId w:val="36"/>
        </w:numPr>
        <w:suppressLineNumbers/>
        <w:suppressAutoHyphens/>
        <w:spacing w:before="120" w:after="120"/>
        <w:ind w:hanging="11"/>
        <w:contextualSpacing w:val="0"/>
        <w:jc w:val="left"/>
        <w:rPr>
          <w:kern w:val="22"/>
          <w:szCs w:val="22"/>
          <w:lang w:val="ru-RU"/>
        </w:rPr>
      </w:pPr>
      <w:r w:rsidRPr="002F7ECC">
        <w:rPr>
          <w:szCs w:val="22"/>
          <w:lang w:val="ru-RU"/>
        </w:rPr>
        <w:t>компиляция, систематизация и обобщение информации;</w:t>
      </w:r>
    </w:p>
    <w:p w:rsidR="006115F5" w:rsidRPr="002F7ECC" w:rsidRDefault="006115F5" w:rsidP="006115F5">
      <w:pPr>
        <w:pStyle w:val="ListParagraph"/>
        <w:numPr>
          <w:ilvl w:val="0"/>
          <w:numId w:val="36"/>
        </w:numPr>
        <w:suppressLineNumbers/>
        <w:suppressAutoHyphens/>
        <w:spacing w:before="120" w:after="120"/>
        <w:ind w:hanging="11"/>
        <w:contextualSpacing w:val="0"/>
        <w:jc w:val="left"/>
        <w:rPr>
          <w:kern w:val="22"/>
          <w:szCs w:val="22"/>
          <w:lang w:val="ru-RU"/>
        </w:rPr>
      </w:pPr>
      <w:r w:rsidRPr="002F7ECC">
        <w:rPr>
          <w:szCs w:val="22"/>
          <w:lang w:val="ru-RU"/>
        </w:rPr>
        <w:t>оценка;</w:t>
      </w:r>
    </w:p>
    <w:p w:rsidR="006115F5" w:rsidRPr="002F7ECC" w:rsidRDefault="006115F5" w:rsidP="006115F5">
      <w:pPr>
        <w:pStyle w:val="ListParagraph"/>
        <w:numPr>
          <w:ilvl w:val="0"/>
          <w:numId w:val="36"/>
        </w:numPr>
        <w:suppressLineNumbers/>
        <w:suppressAutoHyphens/>
        <w:spacing w:before="120" w:after="120"/>
        <w:ind w:hanging="11"/>
        <w:contextualSpacing w:val="0"/>
        <w:jc w:val="left"/>
        <w:rPr>
          <w:kern w:val="22"/>
          <w:szCs w:val="22"/>
          <w:lang w:val="ru-RU"/>
        </w:rPr>
      </w:pPr>
      <w:r w:rsidRPr="002F7ECC">
        <w:rPr>
          <w:szCs w:val="22"/>
          <w:lang w:val="ru-RU"/>
        </w:rPr>
        <w:t>доклад об итогах.</w:t>
      </w:r>
    </w:p>
    <w:p w:rsidR="006115F5" w:rsidRPr="002F7ECC" w:rsidRDefault="006115F5" w:rsidP="006115F5">
      <w:pPr>
        <w:pStyle w:val="ListParagraph"/>
        <w:numPr>
          <w:ilvl w:val="0"/>
          <w:numId w:val="33"/>
        </w:numPr>
        <w:suppressLineNumbers/>
        <w:suppressAutoHyphens/>
        <w:spacing w:before="120" w:after="120"/>
        <w:ind w:left="0" w:firstLine="0"/>
        <w:contextualSpacing w:val="0"/>
        <w:rPr>
          <w:kern w:val="22"/>
          <w:szCs w:val="22"/>
          <w:lang w:val="ru-RU"/>
        </w:rPr>
      </w:pPr>
      <w:r w:rsidRPr="006B0CF1">
        <w:rPr>
          <w:lang w:val="ru-RU"/>
        </w:rPr>
        <w:t>[</w:t>
      </w:r>
      <w:r w:rsidRPr="002F7ECC">
        <w:rPr>
          <w:szCs w:val="22"/>
          <w:lang w:val="ru-RU"/>
        </w:rPr>
        <w:t>Для каждого этапа в таблице 1 обозначены координирующие органы, другие субъекты и основные замечания в отношении процесса.</w:t>
      </w:r>
      <w:r w:rsidRPr="006B0CF1">
        <w:rPr>
          <w:lang w:val="ru-RU"/>
        </w:rPr>
        <w:t>]</w:t>
      </w:r>
    </w:p>
    <w:p w:rsidR="006115F5" w:rsidRPr="002F7ECC" w:rsidRDefault="006115F5" w:rsidP="006115F5">
      <w:pPr>
        <w:pStyle w:val="ListParagraph"/>
        <w:numPr>
          <w:ilvl w:val="0"/>
          <w:numId w:val="33"/>
        </w:numPr>
        <w:suppressLineNumbers/>
        <w:suppressAutoHyphens/>
        <w:spacing w:before="120" w:after="120"/>
        <w:ind w:left="0" w:firstLine="0"/>
        <w:contextualSpacing w:val="0"/>
        <w:rPr>
          <w:kern w:val="22"/>
          <w:szCs w:val="22"/>
          <w:lang w:val="ru-RU"/>
        </w:rPr>
      </w:pPr>
      <w:r w:rsidRPr="002F7ECC">
        <w:rPr>
          <w:szCs w:val="22"/>
          <w:lang w:val="ru-RU"/>
        </w:rPr>
        <w:t xml:space="preserve">Вспомогательный орган по научным, техническим и технологическим консультациям проводит анализ итогов процесса и формулирует рекомендации в отношении технологических разработок в области синтетической биологии и их </w:t>
      </w:r>
      <w:r>
        <w:rPr>
          <w:szCs w:val="22"/>
          <w:lang w:val="ru-RU"/>
        </w:rPr>
        <w:t xml:space="preserve">потенциального </w:t>
      </w:r>
      <w:r w:rsidRPr="002F7ECC">
        <w:rPr>
          <w:szCs w:val="22"/>
          <w:lang w:val="ru-RU"/>
        </w:rPr>
        <w:t>положительного и отрицательного воздействия на достижение целей Конвенции.</w:t>
      </w:r>
      <w:r>
        <w:rPr>
          <w:szCs w:val="22"/>
          <w:lang w:val="ru-RU"/>
        </w:rPr>
        <w:t xml:space="preserve"> </w:t>
      </w:r>
      <w:r w:rsidRPr="000619D8">
        <w:rPr>
          <w:szCs w:val="22"/>
          <w:lang w:val="ru-RU"/>
        </w:rPr>
        <w:t>[включая социальные, экономические и культурные последствия, а также связанные с ними этические вопросы].</w:t>
      </w:r>
    </w:p>
    <w:p w:rsidR="006115F5" w:rsidRPr="002F7ECC" w:rsidRDefault="006115F5" w:rsidP="006115F5">
      <w:pPr>
        <w:pStyle w:val="ListParagraph"/>
        <w:numPr>
          <w:ilvl w:val="0"/>
          <w:numId w:val="33"/>
        </w:numPr>
        <w:suppressLineNumbers/>
        <w:suppressAutoHyphens/>
        <w:spacing w:before="120" w:after="120"/>
        <w:ind w:left="0" w:firstLine="0"/>
        <w:contextualSpacing w:val="0"/>
        <w:rPr>
          <w:kern w:val="22"/>
          <w:szCs w:val="22"/>
          <w:lang w:val="ru-RU"/>
        </w:rPr>
      </w:pPr>
      <w:r w:rsidRPr="002F7ECC">
        <w:rPr>
          <w:szCs w:val="22"/>
          <w:lang w:val="ru-RU"/>
        </w:rPr>
        <w:t>Обзор эффективности процесса будет пров</w:t>
      </w:r>
      <w:r>
        <w:rPr>
          <w:szCs w:val="22"/>
          <w:lang w:val="ru-RU"/>
        </w:rPr>
        <w:t>о</w:t>
      </w:r>
      <w:r w:rsidRPr="002F7ECC">
        <w:rPr>
          <w:szCs w:val="22"/>
          <w:lang w:val="ru-RU"/>
        </w:rPr>
        <w:t>д</w:t>
      </w:r>
      <w:r>
        <w:rPr>
          <w:szCs w:val="22"/>
          <w:lang w:val="ru-RU"/>
        </w:rPr>
        <w:t>иться</w:t>
      </w:r>
      <w:r w:rsidRPr="002F7ECC">
        <w:rPr>
          <w:szCs w:val="22"/>
          <w:lang w:val="ru-RU"/>
        </w:rPr>
        <w:t xml:space="preserve"> </w:t>
      </w:r>
      <w:r w:rsidRPr="00C257BE">
        <w:rPr>
          <w:szCs w:val="22"/>
          <w:lang w:val="ru-RU"/>
        </w:rPr>
        <w:t xml:space="preserve">[регулярно] [каждые два года] </w:t>
      </w:r>
      <w:r w:rsidRPr="00E42CC3">
        <w:rPr>
          <w:szCs w:val="22"/>
          <w:lang w:val="ru-RU"/>
        </w:rPr>
        <w:t>при условии принятия соответствующего решения</w:t>
      </w:r>
      <w:r>
        <w:rPr>
          <w:szCs w:val="22"/>
          <w:lang w:val="ru-RU"/>
        </w:rPr>
        <w:t xml:space="preserve"> Конференцией Сторон</w:t>
      </w:r>
      <w:r w:rsidRPr="002F7ECC">
        <w:rPr>
          <w:szCs w:val="22"/>
          <w:lang w:val="ru-RU"/>
        </w:rPr>
        <w:t>.</w:t>
      </w:r>
    </w:p>
    <w:p w:rsidR="006115F5" w:rsidRPr="002F7ECC" w:rsidRDefault="006115F5" w:rsidP="006115F5">
      <w:pPr>
        <w:pStyle w:val="ListParagraph"/>
        <w:keepNext/>
        <w:numPr>
          <w:ilvl w:val="0"/>
          <w:numId w:val="34"/>
        </w:numPr>
        <w:suppressLineNumbers/>
        <w:suppressAutoHyphens/>
        <w:spacing w:before="120" w:after="120"/>
        <w:ind w:left="714" w:hanging="357"/>
        <w:contextualSpacing w:val="0"/>
        <w:outlineLvl w:val="1"/>
        <w:rPr>
          <w:b/>
          <w:bCs/>
          <w:kern w:val="22"/>
          <w:szCs w:val="22"/>
          <w:lang w:val="ru-RU"/>
        </w:rPr>
      </w:pPr>
      <w:r w:rsidRPr="006B0CF1">
        <w:rPr>
          <w:b/>
          <w:bCs/>
          <w:lang w:val="ru-RU"/>
        </w:rPr>
        <w:t>[</w:t>
      </w:r>
      <w:r w:rsidRPr="002F7ECC">
        <w:rPr>
          <w:b/>
          <w:bCs/>
          <w:szCs w:val="22"/>
          <w:lang w:val="ru-RU"/>
        </w:rPr>
        <w:t xml:space="preserve">Круг полномочий </w:t>
      </w:r>
      <w:r>
        <w:rPr>
          <w:b/>
          <w:bCs/>
          <w:szCs w:val="22"/>
          <w:lang w:val="ru-RU"/>
        </w:rPr>
        <w:t>м</w:t>
      </w:r>
      <w:r w:rsidRPr="002F7ECC">
        <w:rPr>
          <w:b/>
          <w:bCs/>
          <w:szCs w:val="22"/>
          <w:lang w:val="ru-RU"/>
        </w:rPr>
        <w:t xml:space="preserve">ногодисциплинарной </w:t>
      </w:r>
      <w:r w:rsidRPr="006B551A">
        <w:rPr>
          <w:b/>
          <w:bCs/>
          <w:szCs w:val="22"/>
          <w:lang w:val="ru-RU"/>
        </w:rPr>
        <w:t xml:space="preserve">Специальной </w:t>
      </w:r>
      <w:r w:rsidRPr="002F7ECC">
        <w:rPr>
          <w:b/>
          <w:bCs/>
          <w:szCs w:val="22"/>
          <w:lang w:val="ru-RU"/>
        </w:rPr>
        <w:t>группы технических экспертов по синтетической биологии в поддержку процесса широких и регулярных обзоров, мониторинга и оценки</w:t>
      </w:r>
    </w:p>
    <w:p w:rsidR="006115F5" w:rsidRPr="00545975" w:rsidRDefault="006115F5" w:rsidP="006115F5">
      <w:pPr>
        <w:pStyle w:val="ListParagraph"/>
        <w:numPr>
          <w:ilvl w:val="0"/>
          <w:numId w:val="35"/>
        </w:numPr>
        <w:suppressLineNumbers/>
        <w:suppressAutoHyphens/>
        <w:spacing w:before="120" w:after="120"/>
        <w:ind w:left="0" w:firstLine="0"/>
        <w:contextualSpacing w:val="0"/>
        <w:rPr>
          <w:kern w:val="22"/>
          <w:szCs w:val="22"/>
          <w:lang w:val="ru-RU"/>
        </w:rPr>
      </w:pPr>
      <w:r w:rsidRPr="002F7ECC">
        <w:rPr>
          <w:szCs w:val="22"/>
          <w:lang w:val="ru-RU"/>
        </w:rPr>
        <w:t xml:space="preserve">Многодисциплинарная </w:t>
      </w:r>
      <w:r>
        <w:rPr>
          <w:szCs w:val="22"/>
          <w:lang w:val="ru-RU"/>
        </w:rPr>
        <w:t xml:space="preserve">Специальная </w:t>
      </w:r>
      <w:r w:rsidRPr="002F7ECC">
        <w:rPr>
          <w:szCs w:val="22"/>
          <w:lang w:val="ru-RU"/>
        </w:rPr>
        <w:t xml:space="preserve">группа технических экспертов </w:t>
      </w:r>
      <w:r w:rsidRPr="00CB768D">
        <w:rPr>
          <w:szCs w:val="22"/>
          <w:lang w:val="ru-RU"/>
        </w:rPr>
        <w:t xml:space="preserve">на </w:t>
      </w:r>
      <w:r>
        <w:rPr>
          <w:szCs w:val="22"/>
          <w:lang w:val="ru-RU"/>
        </w:rPr>
        <w:t xml:space="preserve">основе </w:t>
      </w:r>
      <w:r w:rsidRPr="00CB768D">
        <w:rPr>
          <w:szCs w:val="22"/>
          <w:lang w:val="ru-RU"/>
        </w:rPr>
        <w:t>соответствующ</w:t>
      </w:r>
      <w:r>
        <w:rPr>
          <w:szCs w:val="22"/>
          <w:lang w:val="ru-RU"/>
        </w:rPr>
        <w:t>ей</w:t>
      </w:r>
      <w:r w:rsidRPr="00CB768D">
        <w:rPr>
          <w:szCs w:val="22"/>
          <w:lang w:val="ru-RU"/>
        </w:rPr>
        <w:t xml:space="preserve"> рабо</w:t>
      </w:r>
      <w:r>
        <w:rPr>
          <w:szCs w:val="22"/>
          <w:lang w:val="ru-RU"/>
        </w:rPr>
        <w:t>ты, проделанной</w:t>
      </w:r>
      <w:r w:rsidRPr="00CB768D">
        <w:rPr>
          <w:szCs w:val="22"/>
          <w:lang w:val="ru-RU"/>
        </w:rPr>
        <w:t xml:space="preserve"> в рамках Конвенции и протоколов к ней, включая работу предыдущих </w:t>
      </w:r>
      <w:r w:rsidRPr="008D0383">
        <w:rPr>
          <w:szCs w:val="22"/>
          <w:lang w:val="ru-RU"/>
        </w:rPr>
        <w:t>Специальн</w:t>
      </w:r>
      <w:r>
        <w:rPr>
          <w:szCs w:val="22"/>
          <w:lang w:val="ru-RU"/>
        </w:rPr>
        <w:t>ых</w:t>
      </w:r>
      <w:r w:rsidRPr="008D0383">
        <w:rPr>
          <w:szCs w:val="22"/>
          <w:lang w:val="ru-RU"/>
        </w:rPr>
        <w:t xml:space="preserve"> групп технических экспертов по синтетической биологии,</w:t>
      </w:r>
      <w:r w:rsidRPr="00CB768D">
        <w:rPr>
          <w:szCs w:val="22"/>
          <w:lang w:val="ru-RU"/>
        </w:rPr>
        <w:t xml:space="preserve"> </w:t>
      </w:r>
      <w:r w:rsidRPr="002F7ECC">
        <w:rPr>
          <w:szCs w:val="22"/>
          <w:lang w:val="ru-RU"/>
        </w:rPr>
        <w:t xml:space="preserve">выполняет следующие функции: </w:t>
      </w:r>
    </w:p>
    <w:p w:rsidR="006115F5" w:rsidRPr="00062145" w:rsidRDefault="006115F5" w:rsidP="006115F5">
      <w:pPr>
        <w:pStyle w:val="ListParagraph"/>
        <w:suppressLineNumbers/>
        <w:suppressAutoHyphens/>
        <w:spacing w:before="120" w:after="120"/>
        <w:ind w:left="0" w:firstLine="709"/>
        <w:contextualSpacing w:val="0"/>
        <w:rPr>
          <w:kern w:val="22"/>
          <w:szCs w:val="22"/>
          <w:lang w:val="ru-RU"/>
        </w:rPr>
      </w:pPr>
      <w:r w:rsidRPr="00062145">
        <w:rPr>
          <w:kern w:val="22"/>
          <w:szCs w:val="22"/>
          <w:lang w:val="ru-RU"/>
        </w:rPr>
        <w:t xml:space="preserve">[(a) </w:t>
      </w:r>
      <w:r>
        <w:rPr>
          <w:kern w:val="22"/>
          <w:szCs w:val="22"/>
          <w:lang w:val="ru-RU"/>
        </w:rPr>
        <w:t xml:space="preserve">оценка применительно </w:t>
      </w:r>
      <w:r w:rsidRPr="00062145">
        <w:rPr>
          <w:kern w:val="22"/>
          <w:szCs w:val="22"/>
          <w:lang w:val="ru-RU"/>
        </w:rPr>
        <w:t xml:space="preserve">к трем целям Конвенции и </w:t>
      </w:r>
      <w:r>
        <w:rPr>
          <w:kern w:val="22"/>
          <w:szCs w:val="22"/>
          <w:lang w:val="ru-RU"/>
        </w:rPr>
        <w:t>п</w:t>
      </w:r>
      <w:r w:rsidRPr="00062145">
        <w:rPr>
          <w:kern w:val="22"/>
          <w:szCs w:val="22"/>
          <w:lang w:val="ru-RU"/>
        </w:rPr>
        <w:t>ротоколов к ней [</w:t>
      </w:r>
      <w:r>
        <w:rPr>
          <w:kern w:val="22"/>
          <w:szCs w:val="22"/>
          <w:lang w:val="ru-RU"/>
        </w:rPr>
        <w:t>,в том числе с</w:t>
      </w:r>
      <w:r w:rsidRPr="00062145">
        <w:rPr>
          <w:kern w:val="22"/>
          <w:szCs w:val="22"/>
          <w:lang w:val="ru-RU"/>
        </w:rPr>
        <w:t xml:space="preserve"> </w:t>
      </w:r>
      <w:r>
        <w:rPr>
          <w:kern w:val="22"/>
          <w:szCs w:val="22"/>
          <w:lang w:val="ru-RU"/>
        </w:rPr>
        <w:t>использованием</w:t>
      </w:r>
      <w:r w:rsidRPr="00062145">
        <w:rPr>
          <w:kern w:val="22"/>
          <w:szCs w:val="22"/>
          <w:lang w:val="ru-RU"/>
        </w:rPr>
        <w:t xml:space="preserve"> инструмент</w:t>
      </w:r>
      <w:r>
        <w:rPr>
          <w:kern w:val="22"/>
          <w:szCs w:val="22"/>
          <w:lang w:val="ru-RU"/>
        </w:rPr>
        <w:t>ов</w:t>
      </w:r>
      <w:r w:rsidRPr="00062145">
        <w:rPr>
          <w:kern w:val="22"/>
          <w:szCs w:val="22"/>
          <w:lang w:val="ru-RU"/>
        </w:rPr>
        <w:t xml:space="preserve"> и подход</w:t>
      </w:r>
      <w:r>
        <w:rPr>
          <w:kern w:val="22"/>
          <w:szCs w:val="22"/>
          <w:lang w:val="ru-RU"/>
        </w:rPr>
        <w:t>ов,</w:t>
      </w:r>
      <w:r w:rsidRPr="00062145">
        <w:rPr>
          <w:kern w:val="22"/>
          <w:szCs w:val="22"/>
          <w:lang w:val="ru-RU"/>
        </w:rPr>
        <w:t xml:space="preserve"> </w:t>
      </w:r>
      <w:r w:rsidRPr="00C07375">
        <w:rPr>
          <w:kern w:val="22"/>
          <w:szCs w:val="22"/>
          <w:lang w:val="ru-RU"/>
        </w:rPr>
        <w:t>позволяющих обеспечить процесс оценки на основе широкого участия</w:t>
      </w:r>
      <w:r w:rsidRPr="00062145">
        <w:rPr>
          <w:kern w:val="22"/>
          <w:szCs w:val="22"/>
          <w:lang w:val="ru-RU"/>
        </w:rPr>
        <w:t xml:space="preserve">], </w:t>
      </w:r>
      <w:r>
        <w:rPr>
          <w:kern w:val="22"/>
          <w:szCs w:val="22"/>
          <w:lang w:val="ru-RU"/>
        </w:rPr>
        <w:t>на основе</w:t>
      </w:r>
      <w:r w:rsidRPr="00062145">
        <w:rPr>
          <w:kern w:val="22"/>
          <w:szCs w:val="22"/>
          <w:lang w:val="ru-RU"/>
        </w:rPr>
        <w:t xml:space="preserve"> результат</w:t>
      </w:r>
      <w:r>
        <w:rPr>
          <w:kern w:val="22"/>
          <w:szCs w:val="22"/>
          <w:lang w:val="ru-RU"/>
        </w:rPr>
        <w:t>ов</w:t>
      </w:r>
      <w:r w:rsidRPr="00062145">
        <w:rPr>
          <w:kern w:val="22"/>
          <w:szCs w:val="22"/>
          <w:lang w:val="ru-RU"/>
        </w:rPr>
        <w:t xml:space="preserve"> </w:t>
      </w:r>
      <w:r>
        <w:rPr>
          <w:kern w:val="22"/>
          <w:szCs w:val="22"/>
          <w:lang w:val="ru-RU"/>
        </w:rPr>
        <w:t>этапов</w:t>
      </w:r>
      <w:r w:rsidRPr="00062145">
        <w:rPr>
          <w:kern w:val="22"/>
          <w:szCs w:val="22"/>
          <w:lang w:val="ru-RU"/>
        </w:rPr>
        <w:t xml:space="preserve"> A1(a) и A1(b) выше; (i) новы</w:t>
      </w:r>
      <w:r>
        <w:rPr>
          <w:kern w:val="22"/>
          <w:szCs w:val="22"/>
          <w:lang w:val="ru-RU"/>
        </w:rPr>
        <w:t>х</w:t>
      </w:r>
      <w:r w:rsidRPr="00062145">
        <w:rPr>
          <w:kern w:val="22"/>
          <w:szCs w:val="22"/>
          <w:lang w:val="ru-RU"/>
        </w:rPr>
        <w:t xml:space="preserve"> технологически</w:t>
      </w:r>
      <w:r>
        <w:rPr>
          <w:kern w:val="22"/>
          <w:szCs w:val="22"/>
          <w:lang w:val="ru-RU"/>
        </w:rPr>
        <w:t>х</w:t>
      </w:r>
      <w:r w:rsidRPr="00062145">
        <w:rPr>
          <w:kern w:val="22"/>
          <w:szCs w:val="22"/>
          <w:lang w:val="ru-RU"/>
        </w:rPr>
        <w:t xml:space="preserve"> разработ</w:t>
      </w:r>
      <w:r>
        <w:rPr>
          <w:kern w:val="22"/>
          <w:szCs w:val="22"/>
          <w:lang w:val="ru-RU"/>
        </w:rPr>
        <w:t>ок</w:t>
      </w:r>
      <w:r w:rsidRPr="00062145">
        <w:rPr>
          <w:kern w:val="22"/>
          <w:szCs w:val="22"/>
          <w:lang w:val="ru-RU"/>
        </w:rPr>
        <w:t xml:space="preserve"> и применения синтетической биологии, и (ii) состояни</w:t>
      </w:r>
      <w:r>
        <w:rPr>
          <w:kern w:val="22"/>
          <w:szCs w:val="22"/>
          <w:lang w:val="ru-RU"/>
        </w:rPr>
        <w:t>я</w:t>
      </w:r>
      <w:r w:rsidRPr="00062145">
        <w:rPr>
          <w:kern w:val="22"/>
          <w:szCs w:val="22"/>
          <w:lang w:val="ru-RU"/>
        </w:rPr>
        <w:t xml:space="preserve"> знаний о потенциальном воздействии на биоразнообразие и окружающую среду нынешних и будущих </w:t>
      </w:r>
      <w:r>
        <w:rPr>
          <w:kern w:val="22"/>
          <w:szCs w:val="22"/>
          <w:lang w:val="ru-RU"/>
        </w:rPr>
        <w:t xml:space="preserve">форм </w:t>
      </w:r>
      <w:r w:rsidRPr="00062145">
        <w:rPr>
          <w:kern w:val="22"/>
          <w:szCs w:val="22"/>
          <w:lang w:val="ru-RU"/>
        </w:rPr>
        <w:t>применени</w:t>
      </w:r>
      <w:r>
        <w:rPr>
          <w:kern w:val="22"/>
          <w:szCs w:val="22"/>
          <w:lang w:val="ru-RU"/>
        </w:rPr>
        <w:t>я</w:t>
      </w:r>
      <w:r w:rsidRPr="00062145">
        <w:rPr>
          <w:kern w:val="22"/>
          <w:szCs w:val="22"/>
          <w:lang w:val="ru-RU"/>
        </w:rPr>
        <w:t xml:space="preserve"> синтетической биологии, принимая во внимание </w:t>
      </w:r>
      <w:r>
        <w:rPr>
          <w:kern w:val="22"/>
          <w:szCs w:val="22"/>
          <w:lang w:val="ru-RU"/>
        </w:rPr>
        <w:t>последствия</w:t>
      </w:r>
      <w:r w:rsidRPr="00062145">
        <w:rPr>
          <w:kern w:val="22"/>
          <w:szCs w:val="22"/>
          <w:lang w:val="ru-RU"/>
        </w:rPr>
        <w:t xml:space="preserve"> </w:t>
      </w:r>
      <w:r>
        <w:rPr>
          <w:kern w:val="22"/>
          <w:szCs w:val="22"/>
          <w:lang w:val="ru-RU"/>
        </w:rPr>
        <w:t xml:space="preserve">для </w:t>
      </w:r>
      <w:r w:rsidRPr="00062145">
        <w:rPr>
          <w:kern w:val="22"/>
          <w:szCs w:val="22"/>
          <w:lang w:val="ru-RU"/>
        </w:rPr>
        <w:t>здоровь</w:t>
      </w:r>
      <w:r>
        <w:rPr>
          <w:kern w:val="22"/>
          <w:szCs w:val="22"/>
          <w:lang w:val="ru-RU"/>
        </w:rPr>
        <w:t>я</w:t>
      </w:r>
      <w:r w:rsidRPr="00062145">
        <w:rPr>
          <w:kern w:val="22"/>
          <w:szCs w:val="22"/>
          <w:lang w:val="ru-RU"/>
        </w:rPr>
        <w:t xml:space="preserve"> человека, животных и растений, а также культурные и социально-экономические </w:t>
      </w:r>
      <w:r>
        <w:rPr>
          <w:kern w:val="22"/>
          <w:szCs w:val="22"/>
          <w:lang w:val="ru-RU"/>
        </w:rPr>
        <w:t>аспекты</w:t>
      </w:r>
      <w:r w:rsidRPr="00062145">
        <w:rPr>
          <w:kern w:val="22"/>
          <w:szCs w:val="22"/>
          <w:lang w:val="ru-RU"/>
        </w:rPr>
        <w:t>;].</w:t>
      </w:r>
    </w:p>
    <w:p w:rsidR="006115F5" w:rsidRPr="0016060F" w:rsidRDefault="006115F5" w:rsidP="006115F5">
      <w:pPr>
        <w:suppressLineNumbers/>
        <w:suppressAutoHyphens/>
        <w:spacing w:before="120" w:after="120"/>
        <w:ind w:firstLine="709"/>
        <w:rPr>
          <w:szCs w:val="22"/>
          <w:lang w:val="ru-RU"/>
        </w:rPr>
      </w:pPr>
      <w:r w:rsidRPr="006B0CF1">
        <w:rPr>
          <w:szCs w:val="22"/>
          <w:lang w:val="ru-RU"/>
        </w:rPr>
        <w:t>(</w:t>
      </w:r>
      <w:r>
        <w:rPr>
          <w:szCs w:val="22"/>
          <w:lang w:val="fr-FR"/>
        </w:rPr>
        <w:t>b</w:t>
      </w:r>
      <w:r w:rsidRPr="006B0CF1">
        <w:rPr>
          <w:szCs w:val="22"/>
          <w:lang w:val="ru-RU"/>
        </w:rPr>
        <w:t>)</w:t>
      </w:r>
      <w:r w:rsidRPr="0016060F">
        <w:rPr>
          <w:szCs w:val="22"/>
          <w:lang w:val="ru-RU"/>
        </w:rPr>
        <w:tab/>
      </w:r>
      <w:r w:rsidRPr="0016060F">
        <w:rPr>
          <w:lang w:val="ru-RU"/>
        </w:rPr>
        <w:t xml:space="preserve">[использование инструментов и подходов, позволяющих обеспечить процесс оценки на основе широкого участия] для </w:t>
      </w:r>
      <w:r w:rsidRPr="0016060F">
        <w:rPr>
          <w:szCs w:val="22"/>
          <w:lang w:val="ru-RU"/>
        </w:rPr>
        <w:t>анализа и оценки информации, собранной в ходе процесса широких и регулярных обзоров, мониторинга и оценки, и изучения на основе этой работы технологических разработок в области синтетической биологии и их потенциального положительного и отрицательного воздействия [и их последстви</w:t>
      </w:r>
      <w:r>
        <w:rPr>
          <w:szCs w:val="22"/>
          <w:lang w:val="ru-RU"/>
        </w:rPr>
        <w:t>й</w:t>
      </w:r>
      <w:r w:rsidRPr="0016060F">
        <w:rPr>
          <w:szCs w:val="22"/>
          <w:lang w:val="ru-RU"/>
        </w:rPr>
        <w:t xml:space="preserve">] </w:t>
      </w:r>
      <w:r>
        <w:rPr>
          <w:szCs w:val="22"/>
          <w:lang w:val="ru-RU"/>
        </w:rPr>
        <w:t>для</w:t>
      </w:r>
      <w:r w:rsidRPr="0016060F">
        <w:rPr>
          <w:szCs w:val="22"/>
          <w:lang w:val="ru-RU"/>
        </w:rPr>
        <w:t xml:space="preserve"> достижени</w:t>
      </w:r>
      <w:r>
        <w:rPr>
          <w:szCs w:val="22"/>
          <w:lang w:val="ru-RU"/>
        </w:rPr>
        <w:t>я</w:t>
      </w:r>
      <w:r w:rsidRPr="0016060F">
        <w:rPr>
          <w:szCs w:val="22"/>
          <w:lang w:val="ru-RU"/>
        </w:rPr>
        <w:t xml:space="preserve"> целей Конвенции;</w:t>
      </w:r>
    </w:p>
    <w:p w:rsidR="006115F5" w:rsidRPr="0016060F" w:rsidRDefault="006115F5" w:rsidP="006115F5">
      <w:pPr>
        <w:suppressLineNumbers/>
        <w:suppressAutoHyphens/>
        <w:spacing w:before="120" w:after="120"/>
        <w:ind w:firstLine="709"/>
        <w:rPr>
          <w:kern w:val="22"/>
          <w:szCs w:val="22"/>
          <w:lang w:val="ru-RU"/>
        </w:rPr>
      </w:pPr>
      <w:r w:rsidRPr="0016060F">
        <w:rPr>
          <w:lang w:val="ru-RU"/>
        </w:rPr>
        <w:lastRenderedPageBreak/>
        <w:t>[(c)</w:t>
      </w:r>
      <w:r w:rsidRPr="0016060F">
        <w:rPr>
          <w:lang w:val="ru-RU"/>
        </w:rPr>
        <w:tab/>
        <w:t>определ</w:t>
      </w:r>
      <w:r>
        <w:rPr>
          <w:lang w:val="ru-RU"/>
        </w:rPr>
        <w:t>ение</w:t>
      </w:r>
      <w:r w:rsidRPr="0016060F">
        <w:rPr>
          <w:lang w:val="ru-RU"/>
        </w:rPr>
        <w:t xml:space="preserve"> методологи</w:t>
      </w:r>
      <w:r>
        <w:rPr>
          <w:lang w:val="ru-RU"/>
        </w:rPr>
        <w:t>и</w:t>
      </w:r>
      <w:r w:rsidRPr="0016060F">
        <w:rPr>
          <w:lang w:val="ru-RU"/>
        </w:rPr>
        <w:t xml:space="preserve"> оценки собранной информации на основе [научных данных] [</w:t>
      </w:r>
      <w:r>
        <w:rPr>
          <w:lang w:val="ru-RU"/>
        </w:rPr>
        <w:t>наиболее передовых</w:t>
      </w:r>
      <w:r w:rsidRPr="0016060F">
        <w:rPr>
          <w:lang w:val="ru-RU"/>
        </w:rPr>
        <w:t xml:space="preserve"> научных знаний и друг</w:t>
      </w:r>
      <w:r>
        <w:rPr>
          <w:lang w:val="ru-RU"/>
        </w:rPr>
        <w:t>их</w:t>
      </w:r>
      <w:r w:rsidRPr="0016060F">
        <w:rPr>
          <w:lang w:val="ru-RU"/>
        </w:rPr>
        <w:t xml:space="preserve"> систем знаний] с учетом наличия и доступности инструментов и </w:t>
      </w:r>
      <w:r>
        <w:rPr>
          <w:lang w:val="ru-RU"/>
        </w:rPr>
        <w:t>экспертного опыта</w:t>
      </w:r>
      <w:r w:rsidRPr="0016060F">
        <w:rPr>
          <w:lang w:val="ru-RU"/>
        </w:rPr>
        <w:t>;]</w:t>
      </w:r>
    </w:p>
    <w:p w:rsidR="006115F5" w:rsidRDefault="006115F5" w:rsidP="006115F5">
      <w:pPr>
        <w:pStyle w:val="ListParagraph"/>
        <w:suppressLineNumbers/>
        <w:suppressAutoHyphens/>
        <w:spacing w:before="120" w:after="120"/>
        <w:ind w:left="0" w:firstLine="709"/>
        <w:contextualSpacing w:val="0"/>
        <w:rPr>
          <w:szCs w:val="22"/>
          <w:lang w:val="ru-RU"/>
        </w:rPr>
      </w:pPr>
      <w:r w:rsidRPr="006B0CF1">
        <w:rPr>
          <w:lang w:val="ru-RU"/>
        </w:rPr>
        <w:t>(</w:t>
      </w:r>
      <w:r>
        <w:t>d</w:t>
      </w:r>
      <w:r w:rsidRPr="006B0CF1">
        <w:rPr>
          <w:lang w:val="ru-RU"/>
        </w:rPr>
        <w:t>)</w:t>
      </w:r>
      <w:r w:rsidRPr="006B0CF1">
        <w:rPr>
          <w:lang w:val="ru-RU"/>
        </w:rPr>
        <w:tab/>
        <w:t>[</w:t>
      </w:r>
      <w:r w:rsidRPr="002F7ECC">
        <w:rPr>
          <w:szCs w:val="22"/>
          <w:lang w:val="ru-RU"/>
        </w:rPr>
        <w:t xml:space="preserve">определение </w:t>
      </w:r>
      <w:r w:rsidRPr="002C459C">
        <w:rPr>
          <w:szCs w:val="22"/>
          <w:lang w:val="ru-RU"/>
        </w:rPr>
        <w:t>тенденци</w:t>
      </w:r>
      <w:r>
        <w:rPr>
          <w:szCs w:val="22"/>
          <w:lang w:val="ru-RU"/>
        </w:rPr>
        <w:t>й</w:t>
      </w:r>
      <w:r w:rsidRPr="002C459C">
        <w:rPr>
          <w:szCs w:val="22"/>
          <w:lang w:val="ru-RU"/>
        </w:rPr>
        <w:t xml:space="preserve"> и вопрос</w:t>
      </w:r>
      <w:r>
        <w:rPr>
          <w:szCs w:val="22"/>
          <w:lang w:val="ru-RU"/>
        </w:rPr>
        <w:t>ов</w:t>
      </w:r>
      <w:r w:rsidRPr="002C459C">
        <w:rPr>
          <w:szCs w:val="22"/>
          <w:lang w:val="ru-RU"/>
        </w:rPr>
        <w:t xml:space="preserve">, [включая категории синтетической биологии, которые, возможно, </w:t>
      </w:r>
      <w:r>
        <w:rPr>
          <w:szCs w:val="22"/>
          <w:lang w:val="ru-RU"/>
        </w:rPr>
        <w:t>требуют</w:t>
      </w:r>
      <w:r w:rsidRPr="002C459C">
        <w:rPr>
          <w:szCs w:val="22"/>
          <w:lang w:val="ru-RU"/>
        </w:rPr>
        <w:t xml:space="preserve"> [</w:t>
      </w:r>
      <w:r>
        <w:rPr>
          <w:szCs w:val="22"/>
          <w:lang w:val="ru-RU"/>
        </w:rPr>
        <w:t>п</w:t>
      </w:r>
      <w:r w:rsidRPr="002C459C">
        <w:rPr>
          <w:szCs w:val="22"/>
          <w:lang w:val="ru-RU"/>
        </w:rPr>
        <w:t>риоритетн</w:t>
      </w:r>
      <w:r>
        <w:rPr>
          <w:szCs w:val="22"/>
          <w:lang w:val="ru-RU"/>
        </w:rPr>
        <w:t xml:space="preserve">ого внимания </w:t>
      </w:r>
      <w:r w:rsidRPr="002C459C">
        <w:rPr>
          <w:szCs w:val="22"/>
          <w:lang w:val="ru-RU"/>
        </w:rPr>
        <w:t>[[</w:t>
      </w:r>
      <w:r>
        <w:rPr>
          <w:szCs w:val="22"/>
          <w:lang w:val="ru-RU"/>
        </w:rPr>
        <w:t>определения</w:t>
      </w:r>
      <w:r w:rsidRPr="002C459C">
        <w:rPr>
          <w:szCs w:val="22"/>
          <w:lang w:val="ru-RU"/>
        </w:rPr>
        <w:t xml:space="preserve">] или] </w:t>
      </w:r>
      <w:r>
        <w:rPr>
          <w:szCs w:val="22"/>
          <w:lang w:val="ru-RU"/>
        </w:rPr>
        <w:t xml:space="preserve">изучение </w:t>
      </w:r>
      <w:r w:rsidRPr="002C459C">
        <w:rPr>
          <w:szCs w:val="22"/>
          <w:lang w:val="ru-RU"/>
        </w:rPr>
        <w:t>которы</w:t>
      </w:r>
      <w:r>
        <w:rPr>
          <w:szCs w:val="22"/>
          <w:lang w:val="ru-RU"/>
        </w:rPr>
        <w:t>х</w:t>
      </w:r>
      <w:r w:rsidRPr="002C459C">
        <w:rPr>
          <w:szCs w:val="22"/>
          <w:lang w:val="ru-RU"/>
        </w:rPr>
        <w:t xml:space="preserve">, возможно, </w:t>
      </w:r>
      <w:r w:rsidRPr="002F7ECC">
        <w:rPr>
          <w:szCs w:val="22"/>
          <w:lang w:val="ru-RU"/>
        </w:rPr>
        <w:t xml:space="preserve">потребуется продолжать </w:t>
      </w:r>
      <w:r w:rsidRPr="002C459C">
        <w:rPr>
          <w:szCs w:val="22"/>
          <w:lang w:val="ru-RU"/>
        </w:rPr>
        <w:t>[в последующих циклах,] а также дополнительные вопросы, которые могут рассматриваться в качестве приоритетных [</w:t>
      </w:r>
      <w:r>
        <w:rPr>
          <w:kern w:val="22"/>
          <w:szCs w:val="22"/>
          <w:lang w:val="ru-RU"/>
        </w:rPr>
        <w:t xml:space="preserve">применительно </w:t>
      </w:r>
      <w:r w:rsidRPr="00062145">
        <w:rPr>
          <w:kern w:val="22"/>
          <w:szCs w:val="22"/>
          <w:lang w:val="ru-RU"/>
        </w:rPr>
        <w:t xml:space="preserve">к трем целям </w:t>
      </w:r>
      <w:r w:rsidRPr="002C459C">
        <w:rPr>
          <w:szCs w:val="22"/>
          <w:lang w:val="ru-RU"/>
        </w:rPr>
        <w:t>Конвенции] [</w:t>
      </w:r>
      <w:r>
        <w:rPr>
          <w:szCs w:val="22"/>
          <w:lang w:val="ru-RU"/>
        </w:rPr>
        <w:t>в ходе</w:t>
      </w:r>
      <w:r w:rsidRPr="002C459C">
        <w:rPr>
          <w:szCs w:val="22"/>
          <w:lang w:val="ru-RU"/>
        </w:rPr>
        <w:t xml:space="preserve"> следующ</w:t>
      </w:r>
      <w:r>
        <w:rPr>
          <w:szCs w:val="22"/>
          <w:lang w:val="ru-RU"/>
        </w:rPr>
        <w:t>его</w:t>
      </w:r>
      <w:r w:rsidRPr="002C459C">
        <w:rPr>
          <w:szCs w:val="22"/>
          <w:lang w:val="ru-RU"/>
        </w:rPr>
        <w:t xml:space="preserve"> межсессионн</w:t>
      </w:r>
      <w:r>
        <w:rPr>
          <w:szCs w:val="22"/>
          <w:lang w:val="ru-RU"/>
        </w:rPr>
        <w:t>ого</w:t>
      </w:r>
      <w:r w:rsidRPr="002C459C">
        <w:rPr>
          <w:szCs w:val="22"/>
          <w:lang w:val="ru-RU"/>
        </w:rPr>
        <w:t xml:space="preserve"> период</w:t>
      </w:r>
      <w:r>
        <w:rPr>
          <w:szCs w:val="22"/>
          <w:lang w:val="ru-RU"/>
        </w:rPr>
        <w:t>а</w:t>
      </w:r>
      <w:r w:rsidRPr="002C459C">
        <w:rPr>
          <w:szCs w:val="22"/>
          <w:lang w:val="ru-RU"/>
        </w:rPr>
        <w:t>;]]</w:t>
      </w:r>
    </w:p>
    <w:p w:rsidR="006115F5" w:rsidRPr="00ED1C01" w:rsidRDefault="006115F5" w:rsidP="006115F5">
      <w:pPr>
        <w:pStyle w:val="ListParagraph"/>
        <w:suppressLineNumbers/>
        <w:suppressAutoHyphens/>
        <w:spacing w:before="120" w:after="120"/>
        <w:ind w:left="0" w:firstLine="709"/>
        <w:contextualSpacing w:val="0"/>
        <w:rPr>
          <w:szCs w:val="22"/>
          <w:lang w:val="ru-RU"/>
        </w:rPr>
      </w:pPr>
      <w:r w:rsidRPr="00ED1C01">
        <w:rPr>
          <w:szCs w:val="22"/>
          <w:lang w:val="ru-RU"/>
        </w:rPr>
        <w:t>[</w:t>
      </w:r>
      <w:r>
        <w:rPr>
          <w:szCs w:val="22"/>
          <w:lang w:val="ru-RU"/>
        </w:rPr>
        <w:t>(</w:t>
      </w:r>
      <w:r w:rsidRPr="00ED1C01">
        <w:rPr>
          <w:szCs w:val="22"/>
          <w:lang w:val="ru-RU"/>
        </w:rPr>
        <w:t>е)</w:t>
      </w:r>
      <w:r>
        <w:rPr>
          <w:szCs w:val="22"/>
          <w:lang w:val="ru-RU"/>
        </w:rPr>
        <w:tab/>
      </w:r>
      <w:r w:rsidRPr="002F7ECC">
        <w:rPr>
          <w:szCs w:val="22"/>
          <w:lang w:val="ru-RU"/>
        </w:rPr>
        <w:t xml:space="preserve">определение </w:t>
      </w:r>
      <w:r w:rsidRPr="00ED1C01">
        <w:rPr>
          <w:szCs w:val="22"/>
          <w:lang w:val="ru-RU"/>
        </w:rPr>
        <w:t xml:space="preserve">потребностей в </w:t>
      </w:r>
      <w:r>
        <w:rPr>
          <w:szCs w:val="22"/>
          <w:lang w:val="ru-RU"/>
        </w:rPr>
        <w:t>области развития</w:t>
      </w:r>
      <w:r w:rsidRPr="00ED1C01">
        <w:rPr>
          <w:szCs w:val="22"/>
          <w:lang w:val="ru-RU"/>
        </w:rPr>
        <w:t xml:space="preserve"> потенциала, передач</w:t>
      </w:r>
      <w:r>
        <w:rPr>
          <w:szCs w:val="22"/>
          <w:lang w:val="ru-RU"/>
        </w:rPr>
        <w:t>и</w:t>
      </w:r>
      <w:r w:rsidRPr="00ED1C01">
        <w:rPr>
          <w:szCs w:val="22"/>
          <w:lang w:val="ru-RU"/>
        </w:rPr>
        <w:t xml:space="preserve"> технологии и обмен</w:t>
      </w:r>
      <w:r>
        <w:rPr>
          <w:szCs w:val="22"/>
          <w:lang w:val="ru-RU"/>
        </w:rPr>
        <w:t>а</w:t>
      </w:r>
      <w:r w:rsidRPr="00ED1C01">
        <w:rPr>
          <w:szCs w:val="22"/>
          <w:lang w:val="ru-RU"/>
        </w:rPr>
        <w:t xml:space="preserve"> знаниями на основе определенных Сторонами приоритетов по вопросам, связанным с синтетической биологией, и в свете результатов процесса </w:t>
      </w:r>
      <w:r>
        <w:rPr>
          <w:szCs w:val="22"/>
          <w:lang w:val="ru-RU"/>
        </w:rPr>
        <w:t>обзоров</w:t>
      </w:r>
      <w:r w:rsidRPr="00ED1C01">
        <w:rPr>
          <w:szCs w:val="22"/>
          <w:lang w:val="ru-RU"/>
        </w:rPr>
        <w:t>;]</w:t>
      </w:r>
    </w:p>
    <w:p w:rsidR="006115F5" w:rsidRPr="00ED1C01" w:rsidRDefault="006115F5" w:rsidP="006115F5">
      <w:pPr>
        <w:pStyle w:val="ListParagraph"/>
        <w:suppressLineNumbers/>
        <w:suppressAutoHyphens/>
        <w:spacing w:before="120" w:after="120"/>
        <w:ind w:left="0" w:firstLine="709"/>
        <w:contextualSpacing w:val="0"/>
        <w:rPr>
          <w:szCs w:val="22"/>
          <w:lang w:val="ru-RU"/>
        </w:rPr>
      </w:pPr>
      <w:r w:rsidRPr="00ED1C01">
        <w:rPr>
          <w:szCs w:val="22"/>
          <w:lang w:val="ru-RU"/>
        </w:rPr>
        <w:t>[</w:t>
      </w:r>
      <w:r>
        <w:rPr>
          <w:szCs w:val="22"/>
          <w:lang w:val="ru-RU"/>
        </w:rPr>
        <w:t>(</w:t>
      </w:r>
      <w:r w:rsidRPr="00ED1C01">
        <w:rPr>
          <w:szCs w:val="22"/>
          <w:lang w:val="ru-RU"/>
        </w:rPr>
        <w:t>f)</w:t>
      </w:r>
      <w:r>
        <w:rPr>
          <w:szCs w:val="22"/>
          <w:lang w:val="ru-RU"/>
        </w:rPr>
        <w:tab/>
        <w:t>оценка наличия</w:t>
      </w:r>
      <w:r w:rsidRPr="00ED1C01">
        <w:rPr>
          <w:szCs w:val="22"/>
          <w:lang w:val="ru-RU"/>
        </w:rPr>
        <w:t xml:space="preserve"> </w:t>
      </w:r>
      <w:r w:rsidRPr="00E41E3B">
        <w:rPr>
          <w:szCs w:val="22"/>
          <w:lang w:val="ru-RU"/>
        </w:rPr>
        <w:t>инструмент</w:t>
      </w:r>
      <w:r>
        <w:rPr>
          <w:szCs w:val="22"/>
          <w:lang w:val="ru-RU"/>
        </w:rPr>
        <w:t>ов</w:t>
      </w:r>
      <w:r w:rsidRPr="00E41E3B">
        <w:rPr>
          <w:szCs w:val="22"/>
          <w:lang w:val="ru-RU"/>
        </w:rPr>
        <w:t xml:space="preserve"> для выявления, идентификации и мониторинга </w:t>
      </w:r>
      <w:r w:rsidRPr="00ED1C01">
        <w:rPr>
          <w:szCs w:val="22"/>
          <w:lang w:val="ru-RU"/>
        </w:rPr>
        <w:t xml:space="preserve">[организмов, компонентов и продуктов] [потенциальных положительных и отрицательных </w:t>
      </w:r>
      <w:r>
        <w:rPr>
          <w:szCs w:val="22"/>
          <w:lang w:val="ru-RU"/>
        </w:rPr>
        <w:t>последствий</w:t>
      </w:r>
      <w:r w:rsidRPr="00ED1C01">
        <w:rPr>
          <w:szCs w:val="22"/>
          <w:lang w:val="ru-RU"/>
        </w:rPr>
        <w:t>] синтетической биологии;]</w:t>
      </w:r>
      <w:r>
        <w:rPr>
          <w:szCs w:val="22"/>
          <w:lang w:val="ru-RU"/>
        </w:rPr>
        <w:t xml:space="preserve"> </w:t>
      </w:r>
    </w:p>
    <w:p w:rsidR="006115F5" w:rsidRPr="00B1514E" w:rsidRDefault="006115F5" w:rsidP="006115F5">
      <w:pPr>
        <w:suppressLineNumbers/>
        <w:suppressAutoHyphens/>
        <w:spacing w:before="120" w:after="120"/>
        <w:ind w:firstLine="709"/>
        <w:rPr>
          <w:kern w:val="22"/>
          <w:szCs w:val="22"/>
          <w:lang w:val="ru-RU"/>
        </w:rPr>
      </w:pPr>
      <w:r w:rsidRPr="006B0CF1">
        <w:rPr>
          <w:szCs w:val="22"/>
          <w:lang w:val="ru-RU"/>
        </w:rPr>
        <w:t>(</w:t>
      </w:r>
      <w:r>
        <w:rPr>
          <w:szCs w:val="22"/>
          <w:lang w:val="fr-FR"/>
        </w:rPr>
        <w:t>g</w:t>
      </w:r>
      <w:r w:rsidRPr="006B0CF1">
        <w:rPr>
          <w:szCs w:val="22"/>
          <w:lang w:val="ru-RU"/>
        </w:rPr>
        <w:t>)</w:t>
      </w:r>
      <w:r w:rsidRPr="006B0CF1">
        <w:rPr>
          <w:szCs w:val="22"/>
          <w:lang w:val="ru-RU"/>
        </w:rPr>
        <w:tab/>
      </w:r>
      <w:r w:rsidRPr="00B1514E">
        <w:rPr>
          <w:szCs w:val="22"/>
          <w:lang w:val="ru-RU"/>
        </w:rPr>
        <w:t>подготовка доклада об итогах своей оценки для его представления Вспомогательному органу по научным, техническим и технологическим консультациям;</w:t>
      </w:r>
    </w:p>
    <w:p w:rsidR="006115F5" w:rsidRDefault="006115F5" w:rsidP="006115F5">
      <w:pPr>
        <w:suppressLineNumbers/>
        <w:suppressAutoHyphens/>
        <w:spacing w:before="120" w:after="120"/>
        <w:ind w:firstLine="709"/>
        <w:rPr>
          <w:szCs w:val="22"/>
          <w:lang w:val="ru-RU"/>
        </w:rPr>
      </w:pPr>
      <w:r w:rsidRPr="006B0CF1">
        <w:rPr>
          <w:szCs w:val="22"/>
          <w:lang w:val="ru-RU"/>
        </w:rPr>
        <w:t>(</w:t>
      </w:r>
      <w:r>
        <w:rPr>
          <w:szCs w:val="22"/>
          <w:lang w:val="fr-FR"/>
        </w:rPr>
        <w:t>h</w:t>
      </w:r>
      <w:r w:rsidRPr="006B0CF1">
        <w:rPr>
          <w:szCs w:val="22"/>
          <w:lang w:val="ru-RU"/>
        </w:rPr>
        <w:t>)</w:t>
      </w:r>
      <w:r w:rsidRPr="006B0CF1">
        <w:rPr>
          <w:szCs w:val="22"/>
          <w:lang w:val="ru-RU"/>
        </w:rPr>
        <w:tab/>
      </w:r>
      <w:r w:rsidRPr="00B1514E">
        <w:rPr>
          <w:szCs w:val="22"/>
          <w:lang w:val="ru-RU"/>
        </w:rPr>
        <w:t>формулировка рекомендаций Вспомогательному органу по научным, техническим и технологическим консультациям по конкретным вопросам, которые могут потребовать дальнейшего рассмотрения Конференцией Сторон и/или Конференцией Сторон, выступающей в качестве совещаний Сторон Картахенского протокола и Нагойского протокола.</w:t>
      </w:r>
    </w:p>
    <w:p w:rsidR="006115F5" w:rsidRPr="00E43E13" w:rsidRDefault="006115F5" w:rsidP="006115F5">
      <w:pPr>
        <w:suppressLineNumbers/>
        <w:suppressAutoHyphens/>
        <w:spacing w:before="120" w:after="120"/>
        <w:rPr>
          <w:szCs w:val="22"/>
          <w:lang w:val="ru-RU"/>
        </w:rPr>
      </w:pPr>
      <w:r w:rsidRPr="00E43E13">
        <w:rPr>
          <w:szCs w:val="22"/>
          <w:lang w:val="ru-RU"/>
        </w:rPr>
        <w:t xml:space="preserve">1 </w:t>
      </w:r>
      <w:r w:rsidRPr="00784414">
        <w:rPr>
          <w:i/>
          <w:szCs w:val="22"/>
          <w:lang w:val="ru-RU"/>
        </w:rPr>
        <w:t>alt.</w:t>
      </w:r>
      <w:r w:rsidRPr="00E43E13">
        <w:rPr>
          <w:szCs w:val="22"/>
          <w:lang w:val="ru-RU"/>
        </w:rPr>
        <w:tab/>
        <w:t>[Вспомогательный орган по научным, техническим и технологическим консультациям</w:t>
      </w:r>
      <w:r>
        <w:rPr>
          <w:szCs w:val="22"/>
          <w:lang w:val="ru-RU"/>
        </w:rPr>
        <w:t xml:space="preserve"> </w:t>
      </w:r>
      <w:r w:rsidRPr="002F7ECC">
        <w:rPr>
          <w:szCs w:val="22"/>
          <w:lang w:val="ru-RU"/>
        </w:rPr>
        <w:t>выполняет следующие функции</w:t>
      </w:r>
      <w:r w:rsidRPr="00E43E13">
        <w:rPr>
          <w:szCs w:val="22"/>
          <w:lang w:val="ru-RU"/>
        </w:rPr>
        <w:t>:</w:t>
      </w:r>
    </w:p>
    <w:p w:rsidR="006115F5" w:rsidRPr="00E43E13" w:rsidRDefault="006115F5" w:rsidP="006115F5">
      <w:pPr>
        <w:suppressLineNumbers/>
        <w:suppressAutoHyphens/>
        <w:spacing w:before="120" w:after="120"/>
        <w:ind w:firstLine="709"/>
        <w:rPr>
          <w:szCs w:val="22"/>
          <w:lang w:val="ru-RU"/>
        </w:rPr>
      </w:pPr>
      <w:r w:rsidRPr="006B0CF1">
        <w:rPr>
          <w:szCs w:val="22"/>
          <w:lang w:val="ru-RU"/>
        </w:rPr>
        <w:t>(</w:t>
      </w:r>
      <w:r w:rsidRPr="00E43E13">
        <w:rPr>
          <w:szCs w:val="22"/>
          <w:lang w:val="ru-RU"/>
        </w:rPr>
        <w:t>a)</w:t>
      </w:r>
      <w:r>
        <w:rPr>
          <w:szCs w:val="22"/>
          <w:lang w:val="ru-RU"/>
        </w:rPr>
        <w:tab/>
        <w:t>изучение</w:t>
      </w:r>
      <w:r w:rsidRPr="00E43E13">
        <w:rPr>
          <w:szCs w:val="22"/>
          <w:lang w:val="ru-RU"/>
        </w:rPr>
        <w:t xml:space="preserve"> и </w:t>
      </w:r>
      <w:r>
        <w:rPr>
          <w:szCs w:val="22"/>
          <w:lang w:val="ru-RU"/>
        </w:rPr>
        <w:t>оценка</w:t>
      </w:r>
      <w:r w:rsidRPr="00E43E13">
        <w:rPr>
          <w:szCs w:val="22"/>
          <w:lang w:val="ru-RU"/>
        </w:rPr>
        <w:t xml:space="preserve"> информаци</w:t>
      </w:r>
      <w:r>
        <w:rPr>
          <w:szCs w:val="22"/>
          <w:lang w:val="ru-RU"/>
        </w:rPr>
        <w:t>и</w:t>
      </w:r>
      <w:r w:rsidRPr="00E43E13">
        <w:rPr>
          <w:szCs w:val="22"/>
          <w:lang w:val="ru-RU"/>
        </w:rPr>
        <w:t>, собранн</w:t>
      </w:r>
      <w:r>
        <w:rPr>
          <w:szCs w:val="22"/>
          <w:lang w:val="ru-RU"/>
        </w:rPr>
        <w:t>ой</w:t>
      </w:r>
      <w:r w:rsidRPr="00E43E13">
        <w:rPr>
          <w:szCs w:val="22"/>
          <w:lang w:val="ru-RU"/>
        </w:rPr>
        <w:t xml:space="preserve"> в ходе этого процесса, и </w:t>
      </w:r>
      <w:r>
        <w:rPr>
          <w:szCs w:val="22"/>
          <w:lang w:val="ru-RU"/>
        </w:rPr>
        <w:t>анализ в ее свете</w:t>
      </w:r>
      <w:r w:rsidRPr="00E43E13">
        <w:rPr>
          <w:szCs w:val="22"/>
          <w:lang w:val="ru-RU"/>
        </w:rPr>
        <w:t xml:space="preserve"> технологически</w:t>
      </w:r>
      <w:r>
        <w:rPr>
          <w:szCs w:val="22"/>
          <w:lang w:val="ru-RU"/>
        </w:rPr>
        <w:t>х</w:t>
      </w:r>
      <w:r w:rsidRPr="00E43E13">
        <w:rPr>
          <w:szCs w:val="22"/>
          <w:lang w:val="ru-RU"/>
        </w:rPr>
        <w:t xml:space="preserve"> </w:t>
      </w:r>
      <w:r w:rsidRPr="00062145">
        <w:rPr>
          <w:kern w:val="22"/>
          <w:szCs w:val="22"/>
          <w:lang w:val="ru-RU"/>
        </w:rPr>
        <w:t>разработ</w:t>
      </w:r>
      <w:r>
        <w:rPr>
          <w:kern w:val="22"/>
          <w:szCs w:val="22"/>
          <w:lang w:val="ru-RU"/>
        </w:rPr>
        <w:t>ок</w:t>
      </w:r>
      <w:r w:rsidRPr="00062145">
        <w:rPr>
          <w:kern w:val="22"/>
          <w:szCs w:val="22"/>
          <w:lang w:val="ru-RU"/>
        </w:rPr>
        <w:t xml:space="preserve"> </w:t>
      </w:r>
      <w:r w:rsidRPr="00E43E13">
        <w:rPr>
          <w:szCs w:val="22"/>
          <w:lang w:val="ru-RU"/>
        </w:rPr>
        <w:t xml:space="preserve">в области синтетической биологии и </w:t>
      </w:r>
      <w:r>
        <w:rPr>
          <w:szCs w:val="22"/>
          <w:lang w:val="ru-RU"/>
        </w:rPr>
        <w:t xml:space="preserve">их </w:t>
      </w:r>
      <w:r w:rsidRPr="00E43E13">
        <w:rPr>
          <w:szCs w:val="22"/>
          <w:lang w:val="ru-RU"/>
        </w:rPr>
        <w:t>потенциальны</w:t>
      </w:r>
      <w:r>
        <w:rPr>
          <w:szCs w:val="22"/>
          <w:lang w:val="ru-RU"/>
        </w:rPr>
        <w:t>х</w:t>
      </w:r>
      <w:r w:rsidRPr="00E43E13">
        <w:rPr>
          <w:szCs w:val="22"/>
          <w:lang w:val="ru-RU"/>
        </w:rPr>
        <w:t xml:space="preserve"> </w:t>
      </w:r>
      <w:r w:rsidRPr="00ED1C01">
        <w:rPr>
          <w:szCs w:val="22"/>
          <w:lang w:val="ru-RU"/>
        </w:rPr>
        <w:t xml:space="preserve">положительных и отрицательных </w:t>
      </w:r>
      <w:r>
        <w:rPr>
          <w:szCs w:val="22"/>
          <w:lang w:val="ru-RU"/>
        </w:rPr>
        <w:t>последствий</w:t>
      </w:r>
      <w:r w:rsidRPr="00E43E13">
        <w:rPr>
          <w:szCs w:val="22"/>
          <w:lang w:val="ru-RU"/>
        </w:rPr>
        <w:t xml:space="preserve"> </w:t>
      </w:r>
      <w:r>
        <w:rPr>
          <w:szCs w:val="22"/>
          <w:lang w:val="ru-RU"/>
        </w:rPr>
        <w:t>для достижения</w:t>
      </w:r>
      <w:r w:rsidRPr="00E43E13">
        <w:rPr>
          <w:szCs w:val="22"/>
          <w:lang w:val="ru-RU"/>
        </w:rPr>
        <w:t xml:space="preserve"> цел</w:t>
      </w:r>
      <w:r>
        <w:rPr>
          <w:szCs w:val="22"/>
          <w:lang w:val="ru-RU"/>
        </w:rPr>
        <w:t>ей</w:t>
      </w:r>
      <w:r w:rsidRPr="00E43E13">
        <w:rPr>
          <w:szCs w:val="22"/>
          <w:lang w:val="ru-RU"/>
        </w:rPr>
        <w:t xml:space="preserve"> Конвенции;</w:t>
      </w:r>
    </w:p>
    <w:p w:rsidR="006115F5" w:rsidRPr="006B0CF1" w:rsidRDefault="006115F5" w:rsidP="006115F5">
      <w:pPr>
        <w:suppressLineNumbers/>
        <w:suppressAutoHyphens/>
        <w:spacing w:before="120" w:after="120"/>
        <w:ind w:firstLine="709"/>
        <w:rPr>
          <w:szCs w:val="22"/>
          <w:lang w:val="ru-RU"/>
        </w:rPr>
      </w:pPr>
      <w:r w:rsidRPr="006B0CF1">
        <w:rPr>
          <w:szCs w:val="22"/>
          <w:lang w:val="ru-RU"/>
        </w:rPr>
        <w:t>(</w:t>
      </w:r>
      <w:r w:rsidRPr="00E43E13">
        <w:rPr>
          <w:szCs w:val="22"/>
          <w:lang w:val="ru-RU"/>
        </w:rPr>
        <w:t>b)</w:t>
      </w:r>
      <w:r>
        <w:rPr>
          <w:szCs w:val="22"/>
          <w:lang w:val="ru-RU"/>
        </w:rPr>
        <w:tab/>
        <w:t>определение</w:t>
      </w:r>
      <w:r w:rsidRPr="00E43E13">
        <w:rPr>
          <w:szCs w:val="22"/>
          <w:lang w:val="ru-RU"/>
        </w:rPr>
        <w:t xml:space="preserve"> вопрос</w:t>
      </w:r>
      <w:r>
        <w:rPr>
          <w:szCs w:val="22"/>
          <w:lang w:val="ru-RU"/>
        </w:rPr>
        <w:t>ов</w:t>
      </w:r>
      <w:r w:rsidRPr="00E43E13">
        <w:rPr>
          <w:szCs w:val="22"/>
          <w:lang w:val="ru-RU"/>
        </w:rPr>
        <w:t xml:space="preserve">, </w:t>
      </w:r>
      <w:r>
        <w:rPr>
          <w:szCs w:val="22"/>
          <w:lang w:val="ru-RU"/>
        </w:rPr>
        <w:t xml:space="preserve">изучение </w:t>
      </w:r>
      <w:r w:rsidRPr="00E43E13">
        <w:rPr>
          <w:szCs w:val="22"/>
          <w:lang w:val="ru-RU"/>
        </w:rPr>
        <w:t>которы</w:t>
      </w:r>
      <w:r>
        <w:rPr>
          <w:szCs w:val="22"/>
          <w:lang w:val="ru-RU"/>
        </w:rPr>
        <w:t>х</w:t>
      </w:r>
      <w:r w:rsidRPr="00E43E13">
        <w:rPr>
          <w:szCs w:val="22"/>
          <w:lang w:val="ru-RU"/>
        </w:rPr>
        <w:t xml:space="preserve">, </w:t>
      </w:r>
      <w:r>
        <w:rPr>
          <w:szCs w:val="22"/>
          <w:lang w:val="ru-RU"/>
        </w:rPr>
        <w:t>возможно, потребуется</w:t>
      </w:r>
      <w:r w:rsidRPr="00E43E13">
        <w:rPr>
          <w:szCs w:val="22"/>
          <w:lang w:val="ru-RU"/>
        </w:rPr>
        <w:t xml:space="preserve"> продолжать, а также дополнительны</w:t>
      </w:r>
      <w:r>
        <w:rPr>
          <w:szCs w:val="22"/>
          <w:lang w:val="ru-RU"/>
        </w:rPr>
        <w:t>х</w:t>
      </w:r>
      <w:r w:rsidRPr="00E43E13">
        <w:rPr>
          <w:szCs w:val="22"/>
          <w:lang w:val="ru-RU"/>
        </w:rPr>
        <w:t xml:space="preserve"> вопрос</w:t>
      </w:r>
      <w:r>
        <w:rPr>
          <w:szCs w:val="22"/>
          <w:lang w:val="ru-RU"/>
        </w:rPr>
        <w:t>ов</w:t>
      </w:r>
      <w:r w:rsidRPr="00E43E13">
        <w:rPr>
          <w:szCs w:val="22"/>
          <w:lang w:val="ru-RU"/>
        </w:rPr>
        <w:t xml:space="preserve">, </w:t>
      </w:r>
      <w:r w:rsidRPr="002C459C">
        <w:rPr>
          <w:szCs w:val="22"/>
          <w:lang w:val="ru-RU"/>
        </w:rPr>
        <w:t xml:space="preserve">которые могут рассматриваться в качестве приоритетных </w:t>
      </w:r>
      <w:r>
        <w:rPr>
          <w:szCs w:val="22"/>
          <w:lang w:val="ru-RU"/>
        </w:rPr>
        <w:t>в ходе</w:t>
      </w:r>
      <w:r w:rsidRPr="002C459C">
        <w:rPr>
          <w:szCs w:val="22"/>
          <w:lang w:val="ru-RU"/>
        </w:rPr>
        <w:t xml:space="preserve"> следующ</w:t>
      </w:r>
      <w:r>
        <w:rPr>
          <w:szCs w:val="22"/>
          <w:lang w:val="ru-RU"/>
        </w:rPr>
        <w:t>его</w:t>
      </w:r>
      <w:r w:rsidRPr="002C459C">
        <w:rPr>
          <w:szCs w:val="22"/>
          <w:lang w:val="ru-RU"/>
        </w:rPr>
        <w:t xml:space="preserve"> межсессионн</w:t>
      </w:r>
      <w:r>
        <w:rPr>
          <w:szCs w:val="22"/>
          <w:lang w:val="ru-RU"/>
        </w:rPr>
        <w:t>ого</w:t>
      </w:r>
      <w:r w:rsidRPr="002C459C">
        <w:rPr>
          <w:szCs w:val="22"/>
          <w:lang w:val="ru-RU"/>
        </w:rPr>
        <w:t xml:space="preserve"> период</w:t>
      </w:r>
      <w:r>
        <w:rPr>
          <w:szCs w:val="22"/>
          <w:lang w:val="ru-RU"/>
        </w:rPr>
        <w:t>а</w:t>
      </w:r>
      <w:r w:rsidRPr="00E43E13">
        <w:rPr>
          <w:szCs w:val="22"/>
          <w:lang w:val="ru-RU"/>
        </w:rPr>
        <w:t>;</w:t>
      </w:r>
      <w:r w:rsidR="00784414" w:rsidRPr="006B0CF1">
        <w:rPr>
          <w:szCs w:val="22"/>
          <w:lang w:val="ru-RU"/>
        </w:rPr>
        <w:t xml:space="preserve"> </w:t>
      </w:r>
    </w:p>
    <w:p w:rsidR="006115F5" w:rsidRPr="00E43E13" w:rsidRDefault="006115F5" w:rsidP="006115F5">
      <w:pPr>
        <w:suppressLineNumbers/>
        <w:suppressAutoHyphens/>
        <w:spacing w:before="120" w:after="120"/>
        <w:ind w:firstLine="709"/>
        <w:rPr>
          <w:szCs w:val="22"/>
          <w:lang w:val="ru-RU"/>
        </w:rPr>
      </w:pPr>
      <w:r w:rsidRPr="006B0CF1">
        <w:rPr>
          <w:szCs w:val="22"/>
          <w:lang w:val="ru-RU"/>
        </w:rPr>
        <w:t>(</w:t>
      </w:r>
      <w:r w:rsidRPr="00E43E13">
        <w:rPr>
          <w:szCs w:val="22"/>
          <w:lang w:val="ru-RU"/>
        </w:rPr>
        <w:t>c)</w:t>
      </w:r>
      <w:r>
        <w:rPr>
          <w:szCs w:val="22"/>
          <w:lang w:val="ru-RU"/>
        </w:rPr>
        <w:tab/>
      </w:r>
      <w:r w:rsidRPr="00E43E13">
        <w:rPr>
          <w:szCs w:val="22"/>
          <w:lang w:val="ru-RU"/>
        </w:rPr>
        <w:t>подготов</w:t>
      </w:r>
      <w:r>
        <w:rPr>
          <w:szCs w:val="22"/>
          <w:lang w:val="ru-RU"/>
        </w:rPr>
        <w:t>ка</w:t>
      </w:r>
      <w:r w:rsidRPr="00E43E13">
        <w:rPr>
          <w:szCs w:val="22"/>
          <w:lang w:val="ru-RU"/>
        </w:rPr>
        <w:t xml:space="preserve"> вывод</w:t>
      </w:r>
      <w:r>
        <w:rPr>
          <w:szCs w:val="22"/>
          <w:lang w:val="ru-RU"/>
        </w:rPr>
        <w:t>ов</w:t>
      </w:r>
      <w:r w:rsidRPr="00E43E13">
        <w:rPr>
          <w:szCs w:val="22"/>
          <w:lang w:val="ru-RU"/>
        </w:rPr>
        <w:t xml:space="preserve"> и рекомендаци</w:t>
      </w:r>
      <w:r>
        <w:rPr>
          <w:szCs w:val="22"/>
          <w:lang w:val="ru-RU"/>
        </w:rPr>
        <w:t>й</w:t>
      </w:r>
      <w:r w:rsidRPr="00E43E13">
        <w:rPr>
          <w:szCs w:val="22"/>
          <w:lang w:val="ru-RU"/>
        </w:rPr>
        <w:t xml:space="preserve"> </w:t>
      </w:r>
      <w:r>
        <w:rPr>
          <w:szCs w:val="22"/>
          <w:lang w:val="ru-RU"/>
        </w:rPr>
        <w:t>в отношении</w:t>
      </w:r>
      <w:r w:rsidRPr="00E43E13">
        <w:rPr>
          <w:szCs w:val="22"/>
          <w:lang w:val="ru-RU"/>
        </w:rPr>
        <w:t xml:space="preserve"> технологически</w:t>
      </w:r>
      <w:r>
        <w:rPr>
          <w:szCs w:val="22"/>
          <w:lang w:val="ru-RU"/>
        </w:rPr>
        <w:t>х</w:t>
      </w:r>
      <w:r w:rsidRPr="00E43E13">
        <w:rPr>
          <w:szCs w:val="22"/>
          <w:lang w:val="ru-RU"/>
        </w:rPr>
        <w:t xml:space="preserve"> </w:t>
      </w:r>
      <w:r w:rsidRPr="00062145">
        <w:rPr>
          <w:kern w:val="22"/>
          <w:szCs w:val="22"/>
          <w:lang w:val="ru-RU"/>
        </w:rPr>
        <w:t>разработ</w:t>
      </w:r>
      <w:r>
        <w:rPr>
          <w:kern w:val="22"/>
          <w:szCs w:val="22"/>
          <w:lang w:val="ru-RU"/>
        </w:rPr>
        <w:t>ок</w:t>
      </w:r>
      <w:r w:rsidRPr="00062145">
        <w:rPr>
          <w:kern w:val="22"/>
          <w:szCs w:val="22"/>
          <w:lang w:val="ru-RU"/>
        </w:rPr>
        <w:t xml:space="preserve"> </w:t>
      </w:r>
      <w:r w:rsidRPr="00E43E13">
        <w:rPr>
          <w:szCs w:val="22"/>
          <w:lang w:val="ru-RU"/>
        </w:rPr>
        <w:t>в области синтетической биологии и их потенциальн</w:t>
      </w:r>
      <w:r>
        <w:rPr>
          <w:szCs w:val="22"/>
          <w:lang w:val="ru-RU"/>
        </w:rPr>
        <w:t>ых</w:t>
      </w:r>
      <w:r w:rsidRPr="00E43E13">
        <w:rPr>
          <w:szCs w:val="22"/>
          <w:lang w:val="ru-RU"/>
        </w:rPr>
        <w:t xml:space="preserve"> </w:t>
      </w:r>
      <w:r w:rsidRPr="00ED1C01">
        <w:rPr>
          <w:szCs w:val="22"/>
          <w:lang w:val="ru-RU"/>
        </w:rPr>
        <w:t xml:space="preserve">положительных и отрицательных </w:t>
      </w:r>
      <w:r>
        <w:rPr>
          <w:szCs w:val="22"/>
          <w:lang w:val="ru-RU"/>
        </w:rPr>
        <w:t>последствий</w:t>
      </w:r>
      <w:r w:rsidRPr="00E43E13">
        <w:rPr>
          <w:szCs w:val="22"/>
          <w:lang w:val="ru-RU"/>
        </w:rPr>
        <w:t xml:space="preserve"> </w:t>
      </w:r>
      <w:r>
        <w:rPr>
          <w:szCs w:val="22"/>
          <w:lang w:val="ru-RU"/>
        </w:rPr>
        <w:t>для</w:t>
      </w:r>
      <w:r w:rsidRPr="00E43E13">
        <w:rPr>
          <w:szCs w:val="22"/>
          <w:lang w:val="ru-RU"/>
        </w:rPr>
        <w:t xml:space="preserve"> </w:t>
      </w:r>
      <w:r>
        <w:rPr>
          <w:szCs w:val="22"/>
          <w:lang w:val="ru-RU"/>
        </w:rPr>
        <w:t>достижения</w:t>
      </w:r>
      <w:r w:rsidRPr="00E43E13">
        <w:rPr>
          <w:szCs w:val="22"/>
          <w:lang w:val="ru-RU"/>
        </w:rPr>
        <w:t xml:space="preserve"> цел</w:t>
      </w:r>
      <w:r>
        <w:rPr>
          <w:szCs w:val="22"/>
          <w:lang w:val="ru-RU"/>
        </w:rPr>
        <w:t>ей</w:t>
      </w:r>
      <w:r w:rsidRPr="00E43E13">
        <w:rPr>
          <w:szCs w:val="22"/>
          <w:lang w:val="ru-RU"/>
        </w:rPr>
        <w:t xml:space="preserve"> Конвенции].</w:t>
      </w:r>
    </w:p>
    <w:p w:rsidR="006115F5" w:rsidRPr="002F7ECC" w:rsidRDefault="006115F5" w:rsidP="006115F5">
      <w:pPr>
        <w:pStyle w:val="ListParagraph"/>
        <w:numPr>
          <w:ilvl w:val="0"/>
          <w:numId w:val="35"/>
        </w:numPr>
        <w:suppressLineNumbers/>
        <w:suppressAutoHyphens/>
        <w:spacing w:before="120" w:after="120"/>
        <w:ind w:left="0" w:firstLine="0"/>
        <w:contextualSpacing w:val="0"/>
        <w:rPr>
          <w:kern w:val="22"/>
          <w:szCs w:val="22"/>
          <w:lang w:val="ru-RU"/>
        </w:rPr>
      </w:pPr>
      <w:r>
        <w:rPr>
          <w:szCs w:val="22"/>
          <w:lang w:val="ru-RU"/>
        </w:rPr>
        <w:t>М</w:t>
      </w:r>
      <w:r w:rsidRPr="002F7ECC">
        <w:rPr>
          <w:szCs w:val="22"/>
          <w:lang w:val="ru-RU"/>
        </w:rPr>
        <w:t>ногодисциплинарн</w:t>
      </w:r>
      <w:r>
        <w:rPr>
          <w:szCs w:val="22"/>
          <w:lang w:val="ru-RU"/>
        </w:rPr>
        <w:t>ая</w:t>
      </w:r>
      <w:r w:rsidRPr="002F7ECC">
        <w:rPr>
          <w:szCs w:val="22"/>
          <w:lang w:val="ru-RU"/>
        </w:rPr>
        <w:t xml:space="preserve"> </w:t>
      </w:r>
      <w:r>
        <w:rPr>
          <w:szCs w:val="22"/>
          <w:lang w:val="ru-RU"/>
        </w:rPr>
        <w:t xml:space="preserve">Специальная </w:t>
      </w:r>
      <w:r w:rsidRPr="002F7ECC">
        <w:rPr>
          <w:szCs w:val="22"/>
          <w:lang w:val="ru-RU"/>
        </w:rPr>
        <w:t>групп</w:t>
      </w:r>
      <w:r>
        <w:rPr>
          <w:szCs w:val="22"/>
          <w:lang w:val="ru-RU"/>
        </w:rPr>
        <w:t>а</w:t>
      </w:r>
      <w:r w:rsidRPr="002F7ECC">
        <w:rPr>
          <w:szCs w:val="22"/>
          <w:lang w:val="ru-RU"/>
        </w:rPr>
        <w:t xml:space="preserve"> технических экспертов по синтетической биологии</w:t>
      </w:r>
      <w:r>
        <w:rPr>
          <w:szCs w:val="22"/>
          <w:lang w:val="ru-RU"/>
        </w:rPr>
        <w:t xml:space="preserve"> в составе,</w:t>
      </w:r>
      <w:r w:rsidRPr="006B0CF1">
        <w:rPr>
          <w:lang w:val="ru-RU"/>
        </w:rPr>
        <w:t xml:space="preserve"> </w:t>
      </w:r>
      <w:r w:rsidRPr="00A65032">
        <w:rPr>
          <w:szCs w:val="22"/>
          <w:lang w:val="ru-RU"/>
        </w:rPr>
        <w:t>по возможности, экспертов из широкого круга дисциплин, а также междисциплинарных и межкультурных экспертов, представителей коренных народов и местных общин</w:t>
      </w:r>
      <w:r w:rsidRPr="002F7ECC">
        <w:rPr>
          <w:szCs w:val="22"/>
          <w:lang w:val="ru-RU"/>
        </w:rPr>
        <w:t xml:space="preserve"> будет </w:t>
      </w:r>
      <w:r>
        <w:rPr>
          <w:szCs w:val="22"/>
          <w:lang w:val="ru-RU"/>
        </w:rPr>
        <w:t xml:space="preserve">изначально учреждена на два межсессионных периода </w:t>
      </w:r>
      <w:r w:rsidRPr="002F7ECC">
        <w:rPr>
          <w:szCs w:val="22"/>
          <w:lang w:val="ru-RU"/>
        </w:rPr>
        <w:t>в соответствии с разделом Н обобщенного modus operandi Вспомогательного органа по научным, техническим и технологическим консультациям</w:t>
      </w:r>
      <w:r w:rsidRPr="001C0E2C">
        <w:rPr>
          <w:szCs w:val="22"/>
          <w:lang w:val="ru-RU"/>
        </w:rPr>
        <w:t xml:space="preserve">. </w:t>
      </w:r>
      <w:r>
        <w:rPr>
          <w:szCs w:val="22"/>
          <w:lang w:val="ru-RU"/>
        </w:rPr>
        <w:t>Н</w:t>
      </w:r>
      <w:r w:rsidRPr="001C0E2C">
        <w:rPr>
          <w:szCs w:val="22"/>
          <w:lang w:val="ru-RU"/>
        </w:rPr>
        <w:t>еобходимость в</w:t>
      </w:r>
      <w:r>
        <w:rPr>
          <w:szCs w:val="22"/>
          <w:lang w:val="ru-RU"/>
        </w:rPr>
        <w:t xml:space="preserve"> работе</w:t>
      </w:r>
      <w:r w:rsidRPr="001C0E2C">
        <w:rPr>
          <w:szCs w:val="22"/>
          <w:lang w:val="ru-RU"/>
        </w:rPr>
        <w:t xml:space="preserve"> Групп</w:t>
      </w:r>
      <w:r>
        <w:rPr>
          <w:szCs w:val="22"/>
          <w:lang w:val="ru-RU"/>
        </w:rPr>
        <w:t>ы на постоянной основе</w:t>
      </w:r>
      <w:r w:rsidRPr="001C0E2C">
        <w:rPr>
          <w:szCs w:val="22"/>
          <w:lang w:val="ru-RU"/>
        </w:rPr>
        <w:t xml:space="preserve"> будет оцениваться в свете общей оценки эффективности процесса </w:t>
      </w:r>
      <w:r>
        <w:rPr>
          <w:szCs w:val="22"/>
          <w:lang w:val="ru-RU"/>
        </w:rPr>
        <w:t>обзоров</w:t>
      </w:r>
      <w:r w:rsidRPr="001C0E2C">
        <w:rPr>
          <w:szCs w:val="22"/>
          <w:lang w:val="ru-RU"/>
        </w:rPr>
        <w:t>.</w:t>
      </w:r>
    </w:p>
    <w:p w:rsidR="006115F5" w:rsidRPr="002F7ECC" w:rsidRDefault="006115F5" w:rsidP="006115F5">
      <w:pPr>
        <w:pStyle w:val="ListParagraph"/>
        <w:numPr>
          <w:ilvl w:val="0"/>
          <w:numId w:val="35"/>
        </w:numPr>
        <w:suppressLineNumbers/>
        <w:suppressAutoHyphens/>
        <w:spacing w:before="120" w:after="120"/>
        <w:ind w:left="0" w:firstLine="0"/>
        <w:contextualSpacing w:val="0"/>
        <w:rPr>
          <w:bCs/>
          <w:iCs/>
          <w:kern w:val="22"/>
          <w:szCs w:val="22"/>
          <w:lang w:val="ru-RU"/>
        </w:rPr>
      </w:pPr>
      <w:r w:rsidRPr="002F7ECC">
        <w:rPr>
          <w:szCs w:val="22"/>
          <w:lang w:val="ru-RU"/>
        </w:rPr>
        <w:t xml:space="preserve">В отношении </w:t>
      </w:r>
      <w:r>
        <w:rPr>
          <w:szCs w:val="22"/>
          <w:lang w:val="ru-RU"/>
        </w:rPr>
        <w:t>м</w:t>
      </w:r>
      <w:r w:rsidRPr="002F7ECC">
        <w:rPr>
          <w:szCs w:val="22"/>
          <w:lang w:val="ru-RU"/>
        </w:rPr>
        <w:t>ногодисциплинарной группы технических экспертов применяется процедура по предотвращению конфликтов интересов или управлению ими в экспертных группах, изложенная в приложении к решению 14/33.</w:t>
      </w:r>
    </w:p>
    <w:p w:rsidR="006115F5" w:rsidRPr="006B0CF1" w:rsidRDefault="006115F5" w:rsidP="006115F5">
      <w:pPr>
        <w:pStyle w:val="ListParagraph"/>
        <w:numPr>
          <w:ilvl w:val="0"/>
          <w:numId w:val="35"/>
        </w:numPr>
        <w:suppressLineNumbers/>
        <w:suppressAutoHyphens/>
        <w:spacing w:before="120" w:after="120"/>
        <w:ind w:left="0" w:firstLine="0"/>
        <w:contextualSpacing w:val="0"/>
        <w:rPr>
          <w:bCs/>
          <w:iCs/>
          <w:kern w:val="22"/>
          <w:szCs w:val="22"/>
          <w:lang w:val="ru-RU"/>
        </w:rPr>
      </w:pPr>
      <w:r w:rsidRPr="002F7ECC">
        <w:rPr>
          <w:szCs w:val="22"/>
          <w:lang w:val="ru-RU"/>
        </w:rPr>
        <w:t xml:space="preserve">Работа </w:t>
      </w:r>
      <w:r>
        <w:rPr>
          <w:szCs w:val="22"/>
          <w:lang w:val="ru-RU"/>
        </w:rPr>
        <w:t>м</w:t>
      </w:r>
      <w:r w:rsidRPr="002F7ECC">
        <w:rPr>
          <w:szCs w:val="22"/>
          <w:lang w:val="ru-RU"/>
        </w:rPr>
        <w:t xml:space="preserve">ногодисциплинарной </w:t>
      </w:r>
      <w:r>
        <w:rPr>
          <w:szCs w:val="22"/>
          <w:lang w:val="ru-RU"/>
        </w:rPr>
        <w:t xml:space="preserve">Специальной </w:t>
      </w:r>
      <w:r w:rsidRPr="002F7ECC">
        <w:rPr>
          <w:szCs w:val="22"/>
          <w:lang w:val="ru-RU"/>
        </w:rPr>
        <w:t>группы технических экспертов по синтетической биологии будет проходить в форме совещаний с личным присутствием экспертов, проводимых очно и/или в онлайновом режиме, и подкрепляться, по мере необходимости, сетевыми дискуссиями.</w:t>
      </w:r>
      <w:r w:rsidRPr="006B0CF1">
        <w:rPr>
          <w:bCs/>
          <w:lang w:val="ru-RU"/>
        </w:rPr>
        <w:t>]</w:t>
      </w:r>
    </w:p>
    <w:p w:rsidR="006B0CF1" w:rsidRPr="002F7ECC" w:rsidRDefault="006B0CF1" w:rsidP="006B0CF1">
      <w:pPr>
        <w:pStyle w:val="ListParagraph"/>
        <w:suppressLineNumbers/>
        <w:suppressAutoHyphens/>
        <w:spacing w:before="120" w:after="120"/>
        <w:ind w:left="0"/>
        <w:contextualSpacing w:val="0"/>
        <w:rPr>
          <w:bCs/>
          <w:iCs/>
          <w:kern w:val="22"/>
          <w:szCs w:val="22"/>
          <w:lang w:val="ru-RU"/>
        </w:rPr>
      </w:pPr>
    </w:p>
    <w:p w:rsidR="006115F5" w:rsidRPr="002F7ECC" w:rsidRDefault="006115F5" w:rsidP="006115F5">
      <w:pPr>
        <w:pStyle w:val="Para1"/>
        <w:keepNext/>
        <w:numPr>
          <w:ilvl w:val="0"/>
          <w:numId w:val="0"/>
        </w:numPr>
        <w:suppressLineNumbers/>
        <w:suppressAutoHyphens/>
        <w:ind w:left="1135" w:hanging="851"/>
        <w:outlineLvl w:val="1"/>
        <w:rPr>
          <w:b/>
          <w:bCs/>
          <w:kern w:val="22"/>
          <w:szCs w:val="22"/>
          <w:lang w:val="ru-RU"/>
        </w:rPr>
      </w:pPr>
      <w:r w:rsidRPr="006B0CF1">
        <w:rPr>
          <w:b/>
          <w:bCs/>
          <w:lang w:val="ru-RU"/>
        </w:rPr>
        <w:lastRenderedPageBreak/>
        <w:t>[</w:t>
      </w:r>
      <w:r w:rsidRPr="002F7ECC">
        <w:rPr>
          <w:b/>
          <w:bCs/>
          <w:szCs w:val="22"/>
          <w:lang w:val="ru-RU"/>
        </w:rPr>
        <w:t>Таблица 1.</w:t>
      </w:r>
      <w:r>
        <w:rPr>
          <w:b/>
          <w:bCs/>
          <w:szCs w:val="22"/>
          <w:lang w:val="ru-RU"/>
        </w:rPr>
        <w:tab/>
      </w:r>
      <w:r>
        <w:rPr>
          <w:b/>
          <w:bCs/>
          <w:szCs w:val="22"/>
          <w:lang w:val="ru-RU"/>
        </w:rPr>
        <w:tab/>
      </w:r>
      <w:r w:rsidRPr="002F7ECC">
        <w:rPr>
          <w:b/>
          <w:bCs/>
          <w:szCs w:val="22"/>
          <w:lang w:val="ru-RU"/>
        </w:rPr>
        <w:t>Процесс широких и регулярных обзоров, мониторинга и оценки самых последних технологических разработок в области синтетической биологии</w:t>
      </w:r>
    </w:p>
    <w:tbl>
      <w:tblPr>
        <w:tblStyle w:val="TableGrid"/>
        <w:tblW w:w="10002" w:type="dxa"/>
        <w:jc w:val="center"/>
        <w:tblLayout w:type="fixed"/>
        <w:tblLook w:val="04A0" w:firstRow="1" w:lastRow="0" w:firstColumn="1" w:lastColumn="0" w:noHBand="0" w:noVBand="1"/>
      </w:tblPr>
      <w:tblGrid>
        <w:gridCol w:w="1534"/>
        <w:gridCol w:w="2005"/>
        <w:gridCol w:w="2977"/>
        <w:gridCol w:w="3486"/>
      </w:tblGrid>
      <w:tr w:rsidR="006115F5" w:rsidRPr="002F7ECC" w:rsidTr="006B0CF1">
        <w:trPr>
          <w:tblHeader/>
          <w:jc w:val="center"/>
        </w:trPr>
        <w:tc>
          <w:tcPr>
            <w:tcW w:w="3539" w:type="dxa"/>
            <w:gridSpan w:val="2"/>
          </w:tcPr>
          <w:p w:rsidR="006115F5" w:rsidRPr="002F7ECC" w:rsidRDefault="006115F5" w:rsidP="00F10914">
            <w:pPr>
              <w:pStyle w:val="Para1"/>
              <w:numPr>
                <w:ilvl w:val="0"/>
                <w:numId w:val="0"/>
              </w:numPr>
              <w:suppressLineNumbers/>
              <w:suppressAutoHyphens/>
              <w:spacing w:before="40" w:after="40"/>
              <w:jc w:val="center"/>
              <w:rPr>
                <w:b/>
                <w:bCs/>
                <w:kern w:val="22"/>
                <w:szCs w:val="22"/>
                <w:highlight w:val="yellow"/>
                <w:lang w:val="ru-RU"/>
              </w:rPr>
            </w:pPr>
            <w:r w:rsidRPr="002F7ECC">
              <w:rPr>
                <w:b/>
                <w:bCs/>
                <w:szCs w:val="22"/>
                <w:lang w:val="ru-RU"/>
              </w:rPr>
              <w:t>Процесс и этапы</w:t>
            </w:r>
          </w:p>
        </w:tc>
        <w:tc>
          <w:tcPr>
            <w:tcW w:w="2977" w:type="dxa"/>
          </w:tcPr>
          <w:p w:rsidR="006115F5" w:rsidRPr="002F7ECC" w:rsidRDefault="006115F5" w:rsidP="00F10914">
            <w:pPr>
              <w:pStyle w:val="Para1"/>
              <w:numPr>
                <w:ilvl w:val="0"/>
                <w:numId w:val="0"/>
              </w:numPr>
              <w:suppressLineNumbers/>
              <w:suppressAutoHyphens/>
              <w:spacing w:before="40" w:after="40"/>
              <w:jc w:val="center"/>
              <w:rPr>
                <w:b/>
                <w:bCs/>
                <w:kern w:val="22"/>
                <w:szCs w:val="22"/>
                <w:lang w:val="ru-RU"/>
              </w:rPr>
            </w:pPr>
            <w:r w:rsidRPr="002F7ECC">
              <w:rPr>
                <w:b/>
                <w:bCs/>
                <w:szCs w:val="22"/>
                <w:lang w:val="ru-RU"/>
              </w:rPr>
              <w:t>Координирующие органы</w:t>
            </w:r>
          </w:p>
        </w:tc>
        <w:tc>
          <w:tcPr>
            <w:tcW w:w="3486" w:type="dxa"/>
          </w:tcPr>
          <w:p w:rsidR="006115F5" w:rsidRPr="002F7ECC" w:rsidRDefault="006115F5" w:rsidP="00F10914">
            <w:pPr>
              <w:pStyle w:val="Para1"/>
              <w:numPr>
                <w:ilvl w:val="0"/>
                <w:numId w:val="0"/>
              </w:numPr>
              <w:suppressLineNumbers/>
              <w:suppressAutoHyphens/>
              <w:spacing w:before="40" w:after="40"/>
              <w:jc w:val="center"/>
              <w:rPr>
                <w:b/>
                <w:bCs/>
                <w:kern w:val="22"/>
                <w:szCs w:val="22"/>
                <w:lang w:val="ru-RU"/>
              </w:rPr>
            </w:pPr>
            <w:r w:rsidRPr="002F7ECC">
              <w:rPr>
                <w:b/>
                <w:bCs/>
                <w:szCs w:val="22"/>
                <w:lang w:val="ru-RU"/>
              </w:rPr>
              <w:t xml:space="preserve">Другие субъекты и замечания  </w:t>
            </w:r>
          </w:p>
        </w:tc>
      </w:tr>
      <w:tr w:rsidR="006115F5" w:rsidRPr="006B0CF1" w:rsidTr="006B0CF1">
        <w:trPr>
          <w:jc w:val="center"/>
        </w:trPr>
        <w:tc>
          <w:tcPr>
            <w:tcW w:w="1534" w:type="dxa"/>
            <w:vMerge w:val="restart"/>
          </w:tcPr>
          <w:p w:rsidR="006115F5" w:rsidRPr="002F7ECC" w:rsidRDefault="006115F5" w:rsidP="00F10914">
            <w:pPr>
              <w:pStyle w:val="Para1"/>
              <w:numPr>
                <w:ilvl w:val="0"/>
                <w:numId w:val="0"/>
              </w:numPr>
              <w:suppressLineNumbers/>
              <w:suppressAutoHyphens/>
              <w:spacing w:before="40" w:after="40"/>
              <w:rPr>
                <w:b/>
                <w:bCs/>
                <w:kern w:val="22"/>
                <w:szCs w:val="22"/>
                <w:lang w:val="ru-RU"/>
              </w:rPr>
            </w:pPr>
            <w:r w:rsidRPr="002F7ECC">
              <w:rPr>
                <w:b/>
                <w:bCs/>
                <w:szCs w:val="22"/>
                <w:lang w:val="ru-RU"/>
              </w:rPr>
              <w:t xml:space="preserve">Процесс обзора, мониторинга и оценки </w:t>
            </w:r>
          </w:p>
        </w:tc>
        <w:tc>
          <w:tcPr>
            <w:tcW w:w="2005" w:type="dxa"/>
          </w:tcPr>
          <w:p w:rsidR="006115F5" w:rsidRPr="002F7ECC" w:rsidRDefault="006115F5" w:rsidP="00F10914">
            <w:pPr>
              <w:pStyle w:val="Para1"/>
              <w:numPr>
                <w:ilvl w:val="0"/>
                <w:numId w:val="0"/>
              </w:numPr>
              <w:suppressLineNumbers/>
              <w:suppressAutoHyphens/>
              <w:spacing w:before="40" w:after="40"/>
              <w:rPr>
                <w:b/>
                <w:bCs/>
                <w:kern w:val="22"/>
                <w:szCs w:val="22"/>
                <w:lang w:val="ru-RU"/>
              </w:rPr>
            </w:pPr>
            <w:r>
              <w:rPr>
                <w:b/>
                <w:bCs/>
                <w:iCs/>
                <w:szCs w:val="22"/>
                <w:lang w:val="ru-RU"/>
              </w:rPr>
              <w:t>(</w:t>
            </w:r>
            <w:r w:rsidRPr="002F7ECC">
              <w:rPr>
                <w:b/>
                <w:bCs/>
                <w:iCs/>
                <w:szCs w:val="22"/>
                <w:lang w:val="ru-RU"/>
              </w:rPr>
              <w:t>a)</w:t>
            </w:r>
            <w:r w:rsidR="006B0CF1">
              <w:rPr>
                <w:b/>
                <w:bCs/>
                <w:iCs/>
                <w:szCs w:val="22"/>
                <w:lang w:val="en-US"/>
              </w:rPr>
              <w:t xml:space="preserve"> </w:t>
            </w:r>
            <w:r w:rsidRPr="002F7ECC">
              <w:rPr>
                <w:b/>
                <w:bCs/>
                <w:iCs/>
                <w:szCs w:val="22"/>
                <w:lang w:val="ru-RU"/>
              </w:rPr>
              <w:t>сбор информации</w:t>
            </w:r>
          </w:p>
        </w:tc>
        <w:tc>
          <w:tcPr>
            <w:tcW w:w="2977" w:type="dxa"/>
          </w:tcPr>
          <w:p w:rsidR="006115F5" w:rsidRPr="002F7ECC" w:rsidRDefault="006115F5" w:rsidP="006115F5">
            <w:pPr>
              <w:pStyle w:val="Para1"/>
              <w:numPr>
                <w:ilvl w:val="0"/>
                <w:numId w:val="32"/>
              </w:numPr>
              <w:suppressLineNumbers/>
              <w:suppressAutoHyphens/>
              <w:spacing w:before="40" w:after="40"/>
              <w:ind w:left="316"/>
              <w:jc w:val="left"/>
              <w:rPr>
                <w:kern w:val="22"/>
                <w:szCs w:val="22"/>
                <w:lang w:val="ru-RU"/>
              </w:rPr>
            </w:pPr>
            <w:r w:rsidRPr="002F7ECC">
              <w:rPr>
                <w:iCs/>
                <w:szCs w:val="22"/>
                <w:lang w:val="ru-RU"/>
              </w:rPr>
              <w:t>Секретариат при поддержке консультантов в случае необходимости</w:t>
            </w:r>
          </w:p>
        </w:tc>
        <w:tc>
          <w:tcPr>
            <w:tcW w:w="3486" w:type="dxa"/>
          </w:tcPr>
          <w:p w:rsidR="006115F5" w:rsidRPr="002F7ECC" w:rsidRDefault="006115F5" w:rsidP="006115F5">
            <w:pPr>
              <w:pStyle w:val="Para1"/>
              <w:numPr>
                <w:ilvl w:val="0"/>
                <w:numId w:val="32"/>
              </w:numPr>
              <w:suppressLineNumbers/>
              <w:suppressAutoHyphens/>
              <w:spacing w:before="0" w:after="40"/>
              <w:ind w:left="312" w:hanging="357"/>
              <w:jc w:val="left"/>
              <w:rPr>
                <w:iCs/>
                <w:kern w:val="22"/>
                <w:szCs w:val="22"/>
                <w:lang w:val="ru-RU"/>
              </w:rPr>
            </w:pPr>
            <w:r w:rsidRPr="002F7ECC">
              <w:rPr>
                <w:iCs/>
                <w:szCs w:val="22"/>
                <w:lang w:val="ru-RU"/>
              </w:rPr>
              <w:t xml:space="preserve">Возможные механизмы включают в себя представление информации в ответ на уведомления; налаживание взаимодействия с соответствующими учреждениями и межправительственными организациями; сетевые форумы; совместные инициативы с региональными и национальными платформами по оценке; и другие имеющиеся инструменты, такие как национальные доклады и механизм посредничества. </w:t>
            </w:r>
          </w:p>
          <w:p w:rsidR="006115F5" w:rsidRPr="002F7ECC" w:rsidRDefault="006115F5" w:rsidP="006115F5">
            <w:pPr>
              <w:pStyle w:val="Para1"/>
              <w:numPr>
                <w:ilvl w:val="0"/>
                <w:numId w:val="32"/>
              </w:numPr>
              <w:suppressLineNumbers/>
              <w:tabs>
                <w:tab w:val="left" w:pos="720"/>
              </w:tabs>
              <w:suppressAutoHyphens/>
              <w:spacing w:before="40" w:after="40"/>
              <w:ind w:left="316"/>
              <w:jc w:val="left"/>
              <w:rPr>
                <w:iCs/>
                <w:kern w:val="22"/>
                <w:szCs w:val="22"/>
                <w:lang w:val="ru-RU"/>
              </w:rPr>
            </w:pPr>
            <w:r w:rsidRPr="002F7ECC">
              <w:rPr>
                <w:iCs/>
                <w:szCs w:val="22"/>
                <w:lang w:val="ru-RU"/>
              </w:rPr>
              <w:t>Получение информации от широкого спектра субъектов,</w:t>
            </w:r>
            <w:r w:rsidRPr="00411F53">
              <w:rPr>
                <w:iCs/>
                <w:szCs w:val="22"/>
                <w:lang w:val="ru-RU"/>
              </w:rPr>
              <w:t xml:space="preserve"> включая другие организации, работающие в области синтетической биологии, </w:t>
            </w:r>
            <w:r w:rsidRPr="002F7ECC">
              <w:rPr>
                <w:iCs/>
                <w:szCs w:val="22"/>
                <w:lang w:val="ru-RU"/>
              </w:rPr>
              <w:t>содействие участию коренных народов и местных общин в числе прочих групп и принятие за основу работы, проделанной в рамках других соответствующих процессов обзора или оценки технологий.</w:t>
            </w:r>
          </w:p>
          <w:p w:rsidR="006115F5" w:rsidRPr="002F7ECC" w:rsidRDefault="006115F5" w:rsidP="006115F5">
            <w:pPr>
              <w:pStyle w:val="Para1"/>
              <w:numPr>
                <w:ilvl w:val="0"/>
                <w:numId w:val="32"/>
              </w:numPr>
              <w:suppressLineNumbers/>
              <w:tabs>
                <w:tab w:val="left" w:pos="720"/>
              </w:tabs>
              <w:suppressAutoHyphens/>
              <w:spacing w:before="40" w:after="40"/>
              <w:ind w:left="316"/>
              <w:jc w:val="left"/>
              <w:rPr>
                <w:iCs/>
                <w:kern w:val="22"/>
                <w:szCs w:val="22"/>
                <w:lang w:val="ru-RU"/>
              </w:rPr>
            </w:pPr>
            <w:r w:rsidRPr="002F7ECC">
              <w:rPr>
                <w:iCs/>
                <w:szCs w:val="22"/>
                <w:lang w:val="ru-RU"/>
              </w:rPr>
              <w:t>Некоторые вопросы, выявленные в ходе одного цикла, возможно, потребуется продолжать изучать в рамках последующих циклов, обеспечивая последовательность в осуществлении этого процесса для получения сопоставимых во времени результатов.</w:t>
            </w:r>
          </w:p>
        </w:tc>
      </w:tr>
      <w:tr w:rsidR="006115F5" w:rsidRPr="006B0CF1" w:rsidTr="006B0CF1">
        <w:trPr>
          <w:jc w:val="center"/>
        </w:trPr>
        <w:tc>
          <w:tcPr>
            <w:tcW w:w="1534" w:type="dxa"/>
            <w:vMerge/>
          </w:tcPr>
          <w:p w:rsidR="006115F5" w:rsidRPr="002F7ECC" w:rsidRDefault="006115F5" w:rsidP="00F10914">
            <w:pPr>
              <w:pStyle w:val="Para1"/>
              <w:numPr>
                <w:ilvl w:val="0"/>
                <w:numId w:val="0"/>
              </w:numPr>
              <w:suppressLineNumbers/>
              <w:suppressAutoHyphens/>
              <w:spacing w:before="40" w:after="40"/>
              <w:rPr>
                <w:kern w:val="22"/>
                <w:szCs w:val="22"/>
                <w:lang w:val="ru-RU"/>
              </w:rPr>
            </w:pPr>
          </w:p>
        </w:tc>
        <w:tc>
          <w:tcPr>
            <w:tcW w:w="2005" w:type="dxa"/>
          </w:tcPr>
          <w:p w:rsidR="006115F5" w:rsidRPr="002F7ECC" w:rsidRDefault="006115F5" w:rsidP="00F10914">
            <w:pPr>
              <w:pStyle w:val="Para1"/>
              <w:numPr>
                <w:ilvl w:val="0"/>
                <w:numId w:val="0"/>
              </w:numPr>
              <w:suppressLineNumbers/>
              <w:tabs>
                <w:tab w:val="left" w:pos="332"/>
              </w:tabs>
              <w:suppressAutoHyphens/>
              <w:spacing w:before="40" w:after="40"/>
              <w:jc w:val="left"/>
              <w:rPr>
                <w:b/>
                <w:bCs/>
                <w:kern w:val="22"/>
                <w:szCs w:val="22"/>
                <w:lang w:val="ru-RU"/>
              </w:rPr>
            </w:pPr>
            <w:r w:rsidRPr="006B0CF1">
              <w:rPr>
                <w:b/>
                <w:snapToGrid/>
                <w:szCs w:val="24"/>
                <w:lang w:val="ru-RU"/>
              </w:rPr>
              <w:t>(</w:t>
            </w:r>
            <w:r w:rsidRPr="00C27EA8">
              <w:rPr>
                <w:b/>
                <w:snapToGrid/>
                <w:szCs w:val="24"/>
              </w:rPr>
              <w:t>b</w:t>
            </w:r>
            <w:r w:rsidRPr="006B0CF1">
              <w:rPr>
                <w:b/>
                <w:snapToGrid/>
                <w:szCs w:val="24"/>
                <w:lang w:val="ru-RU"/>
              </w:rPr>
              <w:t>)</w:t>
            </w:r>
            <w:r>
              <w:rPr>
                <w:b/>
                <w:snapToGrid/>
                <w:szCs w:val="24"/>
                <w:lang w:val="ru-RU"/>
              </w:rPr>
              <w:t xml:space="preserve"> </w:t>
            </w:r>
            <w:r w:rsidRPr="002F7ECC">
              <w:rPr>
                <w:b/>
                <w:bCs/>
                <w:iCs/>
                <w:szCs w:val="22"/>
                <w:lang w:val="ru-RU"/>
              </w:rPr>
              <w:t>компиляция, систематизация и обобщение информации</w:t>
            </w:r>
          </w:p>
        </w:tc>
        <w:tc>
          <w:tcPr>
            <w:tcW w:w="2977" w:type="dxa"/>
          </w:tcPr>
          <w:p w:rsidR="006115F5" w:rsidRPr="002F7ECC" w:rsidRDefault="006115F5" w:rsidP="006115F5">
            <w:pPr>
              <w:pStyle w:val="Para1"/>
              <w:numPr>
                <w:ilvl w:val="0"/>
                <w:numId w:val="32"/>
              </w:numPr>
              <w:suppressLineNumbers/>
              <w:suppressAutoHyphens/>
              <w:spacing w:before="40" w:after="40"/>
              <w:ind w:left="316"/>
              <w:jc w:val="left"/>
              <w:rPr>
                <w:kern w:val="22"/>
                <w:szCs w:val="22"/>
                <w:lang w:val="ru-RU"/>
              </w:rPr>
            </w:pPr>
            <w:r w:rsidRPr="002F7ECC">
              <w:rPr>
                <w:iCs/>
                <w:szCs w:val="22"/>
                <w:lang w:val="ru-RU"/>
              </w:rPr>
              <w:t>Секретариат при поддержке консультантов в случае необходимости</w:t>
            </w:r>
          </w:p>
        </w:tc>
        <w:tc>
          <w:tcPr>
            <w:tcW w:w="3486" w:type="dxa"/>
          </w:tcPr>
          <w:p w:rsidR="006115F5" w:rsidRPr="00A71838" w:rsidRDefault="006115F5" w:rsidP="006115F5">
            <w:pPr>
              <w:pStyle w:val="Para1"/>
              <w:numPr>
                <w:ilvl w:val="0"/>
                <w:numId w:val="32"/>
              </w:numPr>
              <w:suppressLineNumbers/>
              <w:suppressAutoHyphens/>
              <w:spacing w:before="0" w:after="40"/>
              <w:ind w:left="312" w:hanging="357"/>
              <w:jc w:val="left"/>
              <w:rPr>
                <w:iCs/>
                <w:kern w:val="22"/>
                <w:szCs w:val="22"/>
                <w:lang w:val="ru-RU"/>
              </w:rPr>
            </w:pPr>
            <w:r w:rsidRPr="00295A5B">
              <w:rPr>
                <w:iCs/>
                <w:kern w:val="22"/>
                <w:szCs w:val="22"/>
                <w:lang w:val="ru-RU"/>
              </w:rPr>
              <w:t>Использова</w:t>
            </w:r>
            <w:r>
              <w:rPr>
                <w:iCs/>
                <w:kern w:val="22"/>
                <w:szCs w:val="22"/>
                <w:lang w:val="ru-RU"/>
              </w:rPr>
              <w:t>ние</w:t>
            </w:r>
            <w:r w:rsidRPr="00295A5B">
              <w:rPr>
                <w:iCs/>
                <w:kern w:val="22"/>
                <w:szCs w:val="22"/>
                <w:lang w:val="ru-RU"/>
              </w:rPr>
              <w:t xml:space="preserve"> цифровы</w:t>
            </w:r>
            <w:r>
              <w:rPr>
                <w:iCs/>
                <w:kern w:val="22"/>
                <w:szCs w:val="22"/>
                <w:lang w:val="ru-RU"/>
              </w:rPr>
              <w:t>х</w:t>
            </w:r>
            <w:r w:rsidRPr="00295A5B">
              <w:rPr>
                <w:iCs/>
                <w:kern w:val="22"/>
                <w:szCs w:val="22"/>
                <w:lang w:val="ru-RU"/>
              </w:rPr>
              <w:t xml:space="preserve"> инструмент</w:t>
            </w:r>
            <w:r>
              <w:rPr>
                <w:iCs/>
                <w:kern w:val="22"/>
                <w:szCs w:val="22"/>
                <w:lang w:val="ru-RU"/>
              </w:rPr>
              <w:t>ов</w:t>
            </w:r>
            <w:r w:rsidRPr="00295A5B">
              <w:rPr>
                <w:iCs/>
                <w:kern w:val="22"/>
                <w:szCs w:val="22"/>
                <w:lang w:val="ru-RU"/>
              </w:rPr>
              <w:t xml:space="preserve"> для распространения информации и обратной связи, в частности, путем проведения вебинаров</w:t>
            </w:r>
            <w:r>
              <w:rPr>
                <w:iCs/>
                <w:kern w:val="22"/>
                <w:szCs w:val="22"/>
                <w:lang w:val="ru-RU"/>
              </w:rPr>
              <w:t xml:space="preserve"> для</w:t>
            </w:r>
            <w:r w:rsidRPr="00295A5B">
              <w:rPr>
                <w:iCs/>
                <w:kern w:val="22"/>
                <w:szCs w:val="22"/>
                <w:lang w:val="ru-RU"/>
              </w:rPr>
              <w:t xml:space="preserve"> Сторон и други</w:t>
            </w:r>
            <w:r>
              <w:rPr>
                <w:iCs/>
                <w:kern w:val="22"/>
                <w:szCs w:val="22"/>
                <w:lang w:val="ru-RU"/>
              </w:rPr>
              <w:t>х</w:t>
            </w:r>
            <w:r w:rsidRPr="00295A5B">
              <w:rPr>
                <w:iCs/>
                <w:kern w:val="22"/>
                <w:szCs w:val="22"/>
                <w:lang w:val="ru-RU"/>
              </w:rPr>
              <w:t xml:space="preserve"> </w:t>
            </w:r>
            <w:r>
              <w:rPr>
                <w:iCs/>
                <w:kern w:val="22"/>
                <w:szCs w:val="22"/>
                <w:lang w:val="ru-RU"/>
              </w:rPr>
              <w:t>субъектов деятельности</w:t>
            </w:r>
            <w:r w:rsidRPr="00295A5B">
              <w:rPr>
                <w:iCs/>
                <w:kern w:val="22"/>
                <w:szCs w:val="22"/>
                <w:lang w:val="ru-RU"/>
              </w:rPr>
              <w:t>.</w:t>
            </w:r>
          </w:p>
          <w:p w:rsidR="006115F5" w:rsidRPr="002F7ECC" w:rsidRDefault="006115F5" w:rsidP="006115F5">
            <w:pPr>
              <w:pStyle w:val="Para1"/>
              <w:numPr>
                <w:ilvl w:val="0"/>
                <w:numId w:val="32"/>
              </w:numPr>
              <w:suppressLineNumbers/>
              <w:suppressAutoHyphens/>
              <w:spacing w:before="0" w:after="40"/>
              <w:ind w:left="312" w:hanging="357"/>
              <w:jc w:val="left"/>
              <w:rPr>
                <w:iCs/>
                <w:kern w:val="22"/>
                <w:szCs w:val="22"/>
                <w:lang w:val="ru-RU"/>
              </w:rPr>
            </w:pPr>
            <w:r w:rsidRPr="002F7ECC">
              <w:rPr>
                <w:iCs/>
                <w:szCs w:val="22"/>
                <w:lang w:val="ru-RU"/>
              </w:rPr>
              <w:t>Обеспечение доступ</w:t>
            </w:r>
            <w:r>
              <w:rPr>
                <w:iCs/>
                <w:szCs w:val="22"/>
                <w:lang w:val="ru-RU"/>
              </w:rPr>
              <w:t>а</w:t>
            </w:r>
            <w:r w:rsidRPr="002F7ECC">
              <w:rPr>
                <w:iCs/>
                <w:szCs w:val="22"/>
                <w:lang w:val="ru-RU"/>
              </w:rPr>
              <w:t xml:space="preserve"> к собранной и обобщенной информации, в том числе через механизм посредничества.</w:t>
            </w:r>
          </w:p>
        </w:tc>
      </w:tr>
      <w:tr w:rsidR="006115F5" w:rsidRPr="006B0CF1" w:rsidTr="006B0CF1">
        <w:trPr>
          <w:jc w:val="center"/>
        </w:trPr>
        <w:tc>
          <w:tcPr>
            <w:tcW w:w="1534" w:type="dxa"/>
            <w:vMerge/>
          </w:tcPr>
          <w:p w:rsidR="006115F5" w:rsidRPr="002F7ECC" w:rsidRDefault="006115F5" w:rsidP="00F10914">
            <w:pPr>
              <w:pStyle w:val="Para1"/>
              <w:numPr>
                <w:ilvl w:val="0"/>
                <w:numId w:val="0"/>
              </w:numPr>
              <w:suppressLineNumbers/>
              <w:suppressAutoHyphens/>
              <w:spacing w:before="40" w:after="40"/>
              <w:rPr>
                <w:kern w:val="22"/>
                <w:szCs w:val="22"/>
                <w:lang w:val="ru-RU"/>
              </w:rPr>
            </w:pPr>
          </w:p>
        </w:tc>
        <w:tc>
          <w:tcPr>
            <w:tcW w:w="2005" w:type="dxa"/>
          </w:tcPr>
          <w:p w:rsidR="006115F5" w:rsidRPr="002F7ECC" w:rsidRDefault="006115F5" w:rsidP="00F10914">
            <w:pPr>
              <w:pStyle w:val="Para1"/>
              <w:numPr>
                <w:ilvl w:val="0"/>
                <w:numId w:val="0"/>
              </w:numPr>
              <w:suppressLineNumbers/>
              <w:suppressAutoHyphens/>
              <w:spacing w:before="40" w:after="40"/>
              <w:rPr>
                <w:b/>
                <w:bCs/>
                <w:kern w:val="22"/>
                <w:szCs w:val="22"/>
                <w:lang w:val="ru-RU"/>
              </w:rPr>
            </w:pPr>
            <w:r>
              <w:rPr>
                <w:b/>
                <w:bCs/>
                <w:iCs/>
                <w:szCs w:val="22"/>
                <w:lang w:val="ru-RU"/>
              </w:rPr>
              <w:t>(</w:t>
            </w:r>
            <w:r w:rsidRPr="002F7ECC">
              <w:rPr>
                <w:b/>
                <w:bCs/>
                <w:iCs/>
                <w:szCs w:val="22"/>
                <w:lang w:val="ru-RU"/>
              </w:rPr>
              <w:t>c)</w:t>
            </w:r>
            <w:r>
              <w:rPr>
                <w:b/>
                <w:bCs/>
                <w:iCs/>
                <w:szCs w:val="22"/>
                <w:lang w:val="ru-RU"/>
              </w:rPr>
              <w:t xml:space="preserve"> </w:t>
            </w:r>
            <w:r w:rsidRPr="002F7ECC">
              <w:rPr>
                <w:b/>
                <w:bCs/>
                <w:iCs/>
                <w:szCs w:val="22"/>
                <w:lang w:val="ru-RU"/>
              </w:rPr>
              <w:t>оценка</w:t>
            </w:r>
            <w:bookmarkStart w:id="1" w:name="_GoBack"/>
            <w:bookmarkEnd w:id="1"/>
          </w:p>
        </w:tc>
        <w:tc>
          <w:tcPr>
            <w:tcW w:w="2977" w:type="dxa"/>
          </w:tcPr>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szCs w:val="22"/>
                <w:lang w:val="ru-RU"/>
              </w:rPr>
              <w:t xml:space="preserve">Многодисциплинарная </w:t>
            </w:r>
            <w:r>
              <w:rPr>
                <w:szCs w:val="22"/>
                <w:lang w:val="ru-RU"/>
              </w:rPr>
              <w:t xml:space="preserve">Специальная </w:t>
            </w:r>
            <w:r w:rsidRPr="002F7ECC">
              <w:rPr>
                <w:szCs w:val="22"/>
                <w:lang w:val="ru-RU"/>
              </w:rPr>
              <w:t>группа технических экспертов по синтетической биологии</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Вспомогательный орган по научным, техническим и технологическим консультациям (утверждение основных выводов процесса)</w:t>
            </w:r>
          </w:p>
        </w:tc>
        <w:tc>
          <w:tcPr>
            <w:tcW w:w="3486" w:type="dxa"/>
          </w:tcPr>
          <w:p w:rsidR="006115F5" w:rsidRPr="002F7ECC" w:rsidRDefault="006115F5" w:rsidP="006115F5">
            <w:pPr>
              <w:pStyle w:val="Para1"/>
              <w:numPr>
                <w:ilvl w:val="0"/>
                <w:numId w:val="32"/>
              </w:numPr>
              <w:suppressLineNumbers/>
              <w:suppressAutoHyphens/>
              <w:spacing w:before="0" w:after="40"/>
              <w:ind w:left="312" w:hanging="357"/>
              <w:jc w:val="left"/>
              <w:rPr>
                <w:iCs/>
                <w:kern w:val="22"/>
                <w:szCs w:val="22"/>
                <w:lang w:val="ru-RU"/>
              </w:rPr>
            </w:pPr>
            <w:r w:rsidRPr="002F7ECC">
              <w:rPr>
                <w:iCs/>
                <w:szCs w:val="22"/>
                <w:lang w:val="ru-RU"/>
              </w:rPr>
              <w:t xml:space="preserve">Необходимы экспертные знания по широкому кругу дисциплин, а также междисциплинарные и межкультурные экспертные знания. </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 xml:space="preserve">Очные совещания, подкрепленные сетевыми механизмами. </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Использование инструментов и подходов, позволяющих обеспечить процесс оценки на основе широкого участия.</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 xml:space="preserve">Выбор экспертов в состав </w:t>
            </w:r>
            <w:r>
              <w:rPr>
                <w:iCs/>
                <w:szCs w:val="22"/>
                <w:lang w:val="ru-RU"/>
              </w:rPr>
              <w:t>м</w:t>
            </w:r>
            <w:r w:rsidRPr="002F7ECC">
              <w:rPr>
                <w:iCs/>
                <w:szCs w:val="22"/>
                <w:lang w:val="ru-RU"/>
              </w:rPr>
              <w:t>ногодисциплинарной</w:t>
            </w:r>
            <w:r>
              <w:rPr>
                <w:szCs w:val="22"/>
                <w:lang w:val="ru-RU"/>
              </w:rPr>
              <w:t xml:space="preserve"> Специальной</w:t>
            </w:r>
            <w:r w:rsidRPr="002F7ECC">
              <w:rPr>
                <w:iCs/>
                <w:szCs w:val="22"/>
                <w:lang w:val="ru-RU"/>
              </w:rPr>
              <w:t xml:space="preserve"> группы технических экспертов будет осуществляться в соответствии с обобщенным modus operandi Вспомогательного органа по научным, техническим и технологическим консультациям.</w:t>
            </w:r>
          </w:p>
          <w:p w:rsidR="006115F5" w:rsidRPr="00A30E1F"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 xml:space="preserve">В отношении основных участников процесса обзора, мониторинга и оценки, включая консультантов и членов </w:t>
            </w:r>
            <w:r>
              <w:rPr>
                <w:iCs/>
                <w:szCs w:val="22"/>
                <w:lang w:val="ru-RU"/>
              </w:rPr>
              <w:t>м</w:t>
            </w:r>
            <w:r w:rsidRPr="002F7ECC">
              <w:rPr>
                <w:iCs/>
                <w:szCs w:val="22"/>
                <w:lang w:val="ru-RU"/>
              </w:rPr>
              <w:t>ногодисциплинарной</w:t>
            </w:r>
            <w:r>
              <w:rPr>
                <w:iCs/>
                <w:szCs w:val="22"/>
                <w:lang w:val="ru-RU"/>
              </w:rPr>
              <w:t xml:space="preserve"> </w:t>
            </w:r>
            <w:r>
              <w:rPr>
                <w:szCs w:val="22"/>
                <w:lang w:val="ru-RU"/>
              </w:rPr>
              <w:t>Специальной</w:t>
            </w:r>
            <w:r w:rsidRPr="002F7ECC">
              <w:rPr>
                <w:iCs/>
                <w:szCs w:val="22"/>
                <w:lang w:val="ru-RU"/>
              </w:rPr>
              <w:t xml:space="preserve"> группы технических экспертов, будет применяться процедура по предотвращению конфликтов интересов или управлению ими, установленная в решении 14/33.</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A30E1F">
              <w:rPr>
                <w:iCs/>
                <w:kern w:val="22"/>
                <w:szCs w:val="22"/>
                <w:lang w:val="ru-RU"/>
              </w:rPr>
              <w:t xml:space="preserve">Этап оценки может быть </w:t>
            </w:r>
            <w:r>
              <w:rPr>
                <w:iCs/>
                <w:kern w:val="22"/>
                <w:szCs w:val="22"/>
                <w:lang w:val="ru-RU"/>
              </w:rPr>
              <w:t>укреплен</w:t>
            </w:r>
            <w:r w:rsidRPr="00A30E1F">
              <w:rPr>
                <w:iCs/>
                <w:kern w:val="22"/>
                <w:szCs w:val="22"/>
                <w:lang w:val="ru-RU"/>
              </w:rPr>
              <w:t xml:space="preserve">, в частности, путем </w:t>
            </w:r>
            <w:r>
              <w:rPr>
                <w:iCs/>
                <w:kern w:val="22"/>
                <w:szCs w:val="22"/>
                <w:lang w:val="ru-RU"/>
              </w:rPr>
              <w:t>поручения проведения</w:t>
            </w:r>
            <w:r w:rsidRPr="00A30E1F">
              <w:rPr>
                <w:iCs/>
                <w:kern w:val="22"/>
                <w:szCs w:val="22"/>
                <w:lang w:val="ru-RU"/>
              </w:rPr>
              <w:t xml:space="preserve"> исследований по оценке технологий.</w:t>
            </w:r>
          </w:p>
        </w:tc>
      </w:tr>
      <w:tr w:rsidR="006115F5" w:rsidRPr="006B0CF1" w:rsidTr="006B0CF1">
        <w:trPr>
          <w:jc w:val="center"/>
        </w:trPr>
        <w:tc>
          <w:tcPr>
            <w:tcW w:w="1534" w:type="dxa"/>
            <w:vMerge/>
            <w:tcBorders>
              <w:bottom w:val="single" w:sz="4" w:space="0" w:color="auto"/>
            </w:tcBorders>
          </w:tcPr>
          <w:p w:rsidR="006115F5" w:rsidRPr="002F7ECC" w:rsidRDefault="006115F5" w:rsidP="00F10914">
            <w:pPr>
              <w:pStyle w:val="Para1"/>
              <w:numPr>
                <w:ilvl w:val="0"/>
                <w:numId w:val="0"/>
              </w:numPr>
              <w:suppressLineNumbers/>
              <w:suppressAutoHyphens/>
              <w:spacing w:before="40" w:after="40"/>
              <w:rPr>
                <w:kern w:val="22"/>
                <w:szCs w:val="22"/>
                <w:lang w:val="ru-RU"/>
              </w:rPr>
            </w:pPr>
          </w:p>
        </w:tc>
        <w:tc>
          <w:tcPr>
            <w:tcW w:w="2005" w:type="dxa"/>
            <w:tcBorders>
              <w:bottom w:val="single" w:sz="4" w:space="0" w:color="auto"/>
            </w:tcBorders>
          </w:tcPr>
          <w:p w:rsidR="006115F5" w:rsidRPr="002F7ECC" w:rsidRDefault="006115F5" w:rsidP="00F10914">
            <w:pPr>
              <w:pStyle w:val="Para1"/>
              <w:numPr>
                <w:ilvl w:val="0"/>
                <w:numId w:val="0"/>
              </w:numPr>
              <w:suppressLineNumbers/>
              <w:suppressAutoHyphens/>
              <w:spacing w:before="40" w:after="40"/>
              <w:rPr>
                <w:b/>
                <w:bCs/>
                <w:kern w:val="22"/>
                <w:szCs w:val="22"/>
                <w:lang w:val="ru-RU"/>
              </w:rPr>
            </w:pPr>
            <w:r>
              <w:rPr>
                <w:b/>
                <w:bCs/>
                <w:iCs/>
                <w:szCs w:val="22"/>
                <w:lang w:val="ru-RU"/>
              </w:rPr>
              <w:t>(</w:t>
            </w:r>
            <w:r w:rsidRPr="002F7ECC">
              <w:rPr>
                <w:b/>
                <w:bCs/>
                <w:iCs/>
                <w:szCs w:val="22"/>
                <w:lang w:val="ru-RU"/>
              </w:rPr>
              <w:t>d)</w:t>
            </w:r>
            <w:r>
              <w:rPr>
                <w:b/>
                <w:bCs/>
                <w:iCs/>
                <w:szCs w:val="22"/>
                <w:lang w:val="ru-RU"/>
              </w:rPr>
              <w:t xml:space="preserve"> </w:t>
            </w:r>
            <w:r w:rsidRPr="002F7ECC">
              <w:rPr>
                <w:b/>
                <w:bCs/>
                <w:iCs/>
                <w:szCs w:val="22"/>
                <w:lang w:val="ru-RU"/>
              </w:rPr>
              <w:t>доклад об итогах</w:t>
            </w:r>
          </w:p>
        </w:tc>
        <w:tc>
          <w:tcPr>
            <w:tcW w:w="2977" w:type="dxa"/>
            <w:tcBorders>
              <w:bottom w:val="single" w:sz="4" w:space="0" w:color="auto"/>
            </w:tcBorders>
          </w:tcPr>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 xml:space="preserve">Многодисциплинарная </w:t>
            </w:r>
            <w:r>
              <w:rPr>
                <w:szCs w:val="22"/>
                <w:lang w:val="ru-RU"/>
              </w:rPr>
              <w:t xml:space="preserve">Специальная </w:t>
            </w:r>
            <w:r w:rsidRPr="002F7ECC">
              <w:rPr>
                <w:iCs/>
                <w:szCs w:val="22"/>
                <w:lang w:val="ru-RU"/>
              </w:rPr>
              <w:t>группа технических экспертов представляет доклад Вспомогательному органу по научным, техническим и технологическим консультациям</w:t>
            </w:r>
            <w:r>
              <w:rPr>
                <w:iCs/>
                <w:szCs w:val="22"/>
                <w:lang w:val="ru-RU"/>
              </w:rPr>
              <w:t>.</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 xml:space="preserve">Вспомогательный орган по научным, техническим </w:t>
            </w:r>
            <w:r w:rsidRPr="002F7ECC">
              <w:rPr>
                <w:iCs/>
                <w:szCs w:val="22"/>
                <w:lang w:val="ru-RU"/>
              </w:rPr>
              <w:lastRenderedPageBreak/>
              <w:t>и технологическим консультациям представляет доклад Конференции Сторон (и/или совещанию Сторон Картахенского протокола, совещанию Сторон Нагойского протокола)</w:t>
            </w:r>
            <w:r>
              <w:rPr>
                <w:iCs/>
                <w:szCs w:val="22"/>
                <w:lang w:val="ru-RU"/>
              </w:rPr>
              <w:t xml:space="preserve"> </w:t>
            </w:r>
            <w:r w:rsidRPr="00314B18">
              <w:rPr>
                <w:iCs/>
                <w:szCs w:val="22"/>
                <w:lang w:val="ru-RU"/>
              </w:rPr>
              <w:t>о результатах этап</w:t>
            </w:r>
            <w:r>
              <w:rPr>
                <w:iCs/>
                <w:szCs w:val="22"/>
                <w:lang w:val="ru-RU"/>
              </w:rPr>
              <w:t>ов</w:t>
            </w:r>
            <w:r w:rsidRPr="00314B18">
              <w:rPr>
                <w:iCs/>
                <w:szCs w:val="22"/>
                <w:lang w:val="ru-RU"/>
              </w:rPr>
              <w:t xml:space="preserve"> (a), (b) и (c).</w:t>
            </w:r>
          </w:p>
        </w:tc>
        <w:tc>
          <w:tcPr>
            <w:tcW w:w="3486" w:type="dxa"/>
            <w:tcBorders>
              <w:bottom w:val="single" w:sz="4" w:space="0" w:color="auto"/>
            </w:tcBorders>
          </w:tcPr>
          <w:p w:rsidR="006115F5" w:rsidRPr="002F7ECC" w:rsidRDefault="006115F5" w:rsidP="006115F5">
            <w:pPr>
              <w:pStyle w:val="Para1"/>
              <w:numPr>
                <w:ilvl w:val="0"/>
                <w:numId w:val="32"/>
              </w:numPr>
              <w:suppressLineNumbers/>
              <w:suppressAutoHyphens/>
              <w:spacing w:before="0" w:after="40"/>
              <w:ind w:left="312" w:hanging="357"/>
              <w:jc w:val="left"/>
              <w:rPr>
                <w:iCs/>
                <w:kern w:val="22"/>
                <w:szCs w:val="22"/>
                <w:lang w:val="ru-RU"/>
              </w:rPr>
            </w:pPr>
            <w:r w:rsidRPr="002F7ECC">
              <w:rPr>
                <w:iCs/>
                <w:szCs w:val="22"/>
                <w:lang w:val="ru-RU"/>
              </w:rPr>
              <w:lastRenderedPageBreak/>
              <w:t>Внешний обзор проекта итогов процесса.</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Эффективное доведение итогов процесса до сведения широкого круга потенциальных пользователей в культурно приемлемом формате и на соответствующих языках.</w:t>
            </w:r>
          </w:p>
        </w:tc>
      </w:tr>
      <w:tr w:rsidR="006115F5" w:rsidRPr="006B0CF1" w:rsidTr="006B0CF1">
        <w:trPr>
          <w:jc w:val="center"/>
        </w:trPr>
        <w:tc>
          <w:tcPr>
            <w:tcW w:w="3539" w:type="dxa"/>
            <w:gridSpan w:val="2"/>
          </w:tcPr>
          <w:p w:rsidR="006115F5" w:rsidRPr="002F7ECC" w:rsidRDefault="006115F5" w:rsidP="00F10914">
            <w:pPr>
              <w:pStyle w:val="Para1"/>
              <w:numPr>
                <w:ilvl w:val="0"/>
                <w:numId w:val="0"/>
              </w:numPr>
              <w:suppressLineNumbers/>
              <w:suppressAutoHyphens/>
              <w:spacing w:before="40" w:after="40"/>
              <w:rPr>
                <w:b/>
                <w:bCs/>
                <w:kern w:val="22"/>
                <w:szCs w:val="22"/>
                <w:lang w:val="ru-RU"/>
              </w:rPr>
            </w:pPr>
            <w:r w:rsidRPr="002F7ECC">
              <w:rPr>
                <w:b/>
                <w:bCs/>
                <w:szCs w:val="22"/>
                <w:lang w:val="ru-RU"/>
              </w:rPr>
              <w:t>Использование итогов в поддержку процесса принятия решений</w:t>
            </w:r>
          </w:p>
        </w:tc>
        <w:tc>
          <w:tcPr>
            <w:tcW w:w="2977" w:type="dxa"/>
          </w:tcPr>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Вспомогательный орган по научным, техническим и технологическим консультациям (обзор итогов, подготовка выводов и рекомендаций)</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Конференция Сторон и/или совещание Сторон Картахенского протокола, совещание Сторон Нагойского протокола (принятие решений)</w:t>
            </w:r>
          </w:p>
          <w:p w:rsidR="006115F5" w:rsidRPr="002F7ECC" w:rsidRDefault="006115F5" w:rsidP="006115F5">
            <w:pPr>
              <w:pStyle w:val="Para1"/>
              <w:numPr>
                <w:ilvl w:val="0"/>
                <w:numId w:val="32"/>
              </w:numPr>
              <w:suppressLineNumbers/>
              <w:suppressAutoHyphens/>
              <w:spacing w:before="40" w:after="40"/>
              <w:ind w:left="316"/>
              <w:jc w:val="left"/>
              <w:rPr>
                <w:iCs/>
                <w:kern w:val="22"/>
                <w:szCs w:val="22"/>
                <w:lang w:val="ru-RU"/>
              </w:rPr>
            </w:pPr>
            <w:r w:rsidRPr="002F7ECC">
              <w:rPr>
                <w:iCs/>
                <w:szCs w:val="22"/>
                <w:lang w:val="ru-RU"/>
              </w:rPr>
              <w:t>Стороны и другие субъекты, включая другие органы Организации Объединенных Наций</w:t>
            </w:r>
          </w:p>
        </w:tc>
        <w:tc>
          <w:tcPr>
            <w:tcW w:w="3486" w:type="dxa"/>
          </w:tcPr>
          <w:p w:rsidR="006115F5" w:rsidRPr="002F7ECC" w:rsidRDefault="006115F5" w:rsidP="00F10914">
            <w:pPr>
              <w:pStyle w:val="Para1"/>
              <w:numPr>
                <w:ilvl w:val="0"/>
                <w:numId w:val="0"/>
              </w:numPr>
              <w:suppressLineNumbers/>
              <w:suppressAutoHyphens/>
              <w:spacing w:before="40" w:after="40"/>
              <w:rPr>
                <w:kern w:val="22"/>
                <w:szCs w:val="22"/>
                <w:lang w:val="ru-RU"/>
              </w:rPr>
            </w:pPr>
          </w:p>
        </w:tc>
      </w:tr>
      <w:tr w:rsidR="006115F5" w:rsidRPr="006B0CF1" w:rsidTr="006B0CF1">
        <w:trPr>
          <w:jc w:val="center"/>
        </w:trPr>
        <w:tc>
          <w:tcPr>
            <w:tcW w:w="3539" w:type="dxa"/>
            <w:gridSpan w:val="2"/>
          </w:tcPr>
          <w:p w:rsidR="006115F5" w:rsidRPr="002F7ECC" w:rsidRDefault="006115F5" w:rsidP="00F10914">
            <w:pPr>
              <w:pStyle w:val="Para1"/>
              <w:numPr>
                <w:ilvl w:val="0"/>
                <w:numId w:val="0"/>
              </w:numPr>
              <w:suppressLineNumbers/>
              <w:suppressAutoHyphens/>
              <w:spacing w:before="40" w:after="40"/>
              <w:rPr>
                <w:b/>
                <w:bCs/>
                <w:kern w:val="22"/>
                <w:szCs w:val="22"/>
                <w:lang w:val="ru-RU"/>
              </w:rPr>
            </w:pPr>
            <w:r w:rsidRPr="002F7ECC">
              <w:rPr>
                <w:b/>
                <w:bCs/>
                <w:szCs w:val="22"/>
                <w:lang w:val="ru-RU"/>
              </w:rPr>
              <w:t xml:space="preserve">Обзор процесса и его эффективности </w:t>
            </w:r>
          </w:p>
        </w:tc>
        <w:tc>
          <w:tcPr>
            <w:tcW w:w="2977" w:type="dxa"/>
          </w:tcPr>
          <w:p w:rsidR="006115F5" w:rsidRPr="002F7ECC" w:rsidRDefault="006115F5" w:rsidP="006115F5">
            <w:pPr>
              <w:pStyle w:val="Para1"/>
              <w:numPr>
                <w:ilvl w:val="0"/>
                <w:numId w:val="32"/>
              </w:numPr>
              <w:suppressLineNumbers/>
              <w:suppressAutoHyphens/>
              <w:spacing w:before="40" w:after="40"/>
              <w:ind w:left="316"/>
              <w:jc w:val="left"/>
              <w:rPr>
                <w:kern w:val="22"/>
                <w:szCs w:val="22"/>
                <w:lang w:val="ru-RU"/>
              </w:rPr>
            </w:pPr>
            <w:r w:rsidRPr="002F7ECC">
              <w:rPr>
                <w:szCs w:val="22"/>
                <w:lang w:val="ru-RU"/>
              </w:rPr>
              <w:t>Конференция Сторон на основе периодического обзора, проводимого Вспомогательным органом по научным, техническим и технологическим консультациям</w:t>
            </w:r>
          </w:p>
        </w:tc>
        <w:tc>
          <w:tcPr>
            <w:tcW w:w="3486" w:type="dxa"/>
          </w:tcPr>
          <w:p w:rsidR="006115F5" w:rsidRPr="002F7ECC" w:rsidRDefault="006115F5" w:rsidP="00F10914">
            <w:pPr>
              <w:pStyle w:val="Para1"/>
              <w:numPr>
                <w:ilvl w:val="0"/>
                <w:numId w:val="0"/>
              </w:numPr>
              <w:suppressLineNumbers/>
              <w:suppressAutoHyphens/>
              <w:spacing w:before="40" w:after="40"/>
              <w:rPr>
                <w:kern w:val="22"/>
                <w:szCs w:val="22"/>
                <w:lang w:val="ru-RU"/>
              </w:rPr>
            </w:pPr>
          </w:p>
        </w:tc>
      </w:tr>
    </w:tbl>
    <w:p w:rsidR="006115F5" w:rsidRDefault="006115F5" w:rsidP="006115F5">
      <w:pPr>
        <w:suppressLineNumbers/>
        <w:suppressAutoHyphens/>
        <w:kinsoku w:val="0"/>
        <w:overflowPunct w:val="0"/>
        <w:autoSpaceDE w:val="0"/>
        <w:autoSpaceDN w:val="0"/>
        <w:spacing w:before="120" w:after="120"/>
        <w:jc w:val="center"/>
        <w:rPr>
          <w:snapToGrid w:val="0"/>
          <w:szCs w:val="22"/>
          <w:lang w:val="ru-RU"/>
        </w:rPr>
      </w:pPr>
    </w:p>
    <w:p w:rsidR="006115F5" w:rsidRPr="00A32BFD" w:rsidRDefault="006115F5" w:rsidP="006115F5">
      <w:pPr>
        <w:tabs>
          <w:tab w:val="left" w:pos="360"/>
        </w:tabs>
      </w:pPr>
      <w:r w:rsidRPr="00A32BFD">
        <w:t>]</w:t>
      </w:r>
    </w:p>
    <w:p w:rsidR="006115F5" w:rsidRPr="002F7ECC" w:rsidRDefault="006115F5" w:rsidP="006115F5">
      <w:pPr>
        <w:suppressLineNumbers/>
        <w:suppressAutoHyphens/>
        <w:kinsoku w:val="0"/>
        <w:overflowPunct w:val="0"/>
        <w:autoSpaceDE w:val="0"/>
        <w:autoSpaceDN w:val="0"/>
        <w:spacing w:before="120" w:after="120"/>
        <w:jc w:val="center"/>
        <w:rPr>
          <w:snapToGrid w:val="0"/>
          <w:kern w:val="22"/>
          <w:szCs w:val="22"/>
          <w:lang w:val="ru-RU"/>
        </w:rPr>
      </w:pPr>
      <w:r w:rsidRPr="002F7ECC">
        <w:rPr>
          <w:snapToGrid w:val="0"/>
          <w:szCs w:val="22"/>
          <w:lang w:val="ru-RU"/>
        </w:rPr>
        <w:t>______</w:t>
      </w:r>
    </w:p>
    <w:p w:rsidR="006115F5" w:rsidRPr="002F7ECC" w:rsidRDefault="006115F5" w:rsidP="006115F5">
      <w:pPr>
        <w:pStyle w:val="Heading1"/>
        <w:tabs>
          <w:tab w:val="clear" w:pos="720"/>
        </w:tabs>
        <w:rPr>
          <w:lang w:val="ru-RU"/>
        </w:rPr>
      </w:pPr>
    </w:p>
    <w:p w:rsidR="00B3369F" w:rsidRPr="001C1D65" w:rsidRDefault="00B3369F" w:rsidP="004B1F46">
      <w:pPr>
        <w:pStyle w:val="Para1"/>
        <w:numPr>
          <w:ilvl w:val="0"/>
          <w:numId w:val="0"/>
        </w:numPr>
        <w:suppressLineNumbers/>
        <w:suppressAutoHyphens/>
        <w:kinsoku w:val="0"/>
        <w:overflowPunct w:val="0"/>
        <w:autoSpaceDE w:val="0"/>
        <w:autoSpaceDN w:val="0"/>
        <w:rPr>
          <w:lang w:val="ru-RU"/>
        </w:rPr>
      </w:pPr>
    </w:p>
    <w:sectPr w:rsidR="00B3369F" w:rsidRPr="001C1D65" w:rsidSect="00940118">
      <w:headerReference w:type="even" r:id="rId12"/>
      <w:headerReference w:type="default" r:id="rId13"/>
      <w:footerReference w:type="first" r:id="rId14"/>
      <w:pgSz w:w="12240" w:h="15840"/>
      <w:pgMar w:top="567" w:right="1389" w:bottom="426"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0FD" w:rsidRDefault="002B20FD">
      <w:r>
        <w:separator/>
      </w:r>
    </w:p>
  </w:endnote>
  <w:endnote w:type="continuationSeparator" w:id="0">
    <w:p w:rsidR="002B20FD" w:rsidRDefault="002B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2A3" w:rsidRDefault="00B722A3" w:rsidP="001C3610">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0FD" w:rsidRDefault="002B20FD" w:rsidP="00CF1848">
      <w:r>
        <w:separator/>
      </w:r>
    </w:p>
  </w:footnote>
  <w:footnote w:type="continuationSeparator" w:id="0">
    <w:p w:rsidR="002B20FD" w:rsidRDefault="002B20FD" w:rsidP="00CF1848">
      <w:r>
        <w:continuationSeparator/>
      </w:r>
    </w:p>
  </w:footnote>
  <w:footnote w:type="continuationNotice" w:id="1">
    <w:p w:rsidR="002B20FD" w:rsidRDefault="002B20FD"/>
  </w:footnote>
  <w:footnote w:id="2">
    <w:p w:rsidR="004B1F46" w:rsidRPr="005F69FF" w:rsidRDefault="004B1F46" w:rsidP="004B1F46">
      <w:pPr>
        <w:pStyle w:val="FootnoteText"/>
        <w:ind w:firstLine="0"/>
        <w:jc w:val="left"/>
        <w:rPr>
          <w:szCs w:val="18"/>
        </w:rPr>
      </w:pPr>
      <w:r>
        <w:rPr>
          <w:rStyle w:val="FootnoteReference"/>
          <w:sz w:val="18"/>
          <w:szCs w:val="18"/>
        </w:rPr>
        <w:footnoteRef/>
      </w:r>
      <w:r>
        <w:t xml:space="preserve"> CBD/SBSTTA/24/4/Rev.1, </w:t>
      </w:r>
      <w:proofErr w:type="spellStart"/>
      <w:r>
        <w:t>приложение</w:t>
      </w:r>
      <w:proofErr w:type="spellEnd"/>
      <w:r>
        <w:t xml:space="preserve"> I, </w:t>
      </w:r>
      <w:proofErr w:type="spellStart"/>
      <w:r>
        <w:t>раздел</w:t>
      </w:r>
      <w:proofErr w:type="spellEnd"/>
      <w:r>
        <w:t> VI.</w:t>
      </w:r>
    </w:p>
  </w:footnote>
  <w:footnote w:id="3">
    <w:p w:rsidR="004B1F46" w:rsidRPr="004B1F46" w:rsidRDefault="004B1F46" w:rsidP="004B1F46">
      <w:pPr>
        <w:pStyle w:val="FootnoteText"/>
        <w:ind w:firstLine="0"/>
        <w:jc w:val="left"/>
        <w:rPr>
          <w:szCs w:val="18"/>
          <w:lang w:val="ru-RU"/>
        </w:rPr>
      </w:pPr>
      <w:r>
        <w:rPr>
          <w:rStyle w:val="FootnoteReference"/>
          <w:sz w:val="18"/>
          <w:szCs w:val="18"/>
        </w:rPr>
        <w:footnoteRef/>
      </w:r>
      <w:r w:rsidRPr="004B1F46">
        <w:rPr>
          <w:lang w:val="ru-RU"/>
        </w:rPr>
        <w:t xml:space="preserve"> Там же, приложение </w:t>
      </w:r>
      <w:r>
        <w:t>I</w:t>
      </w:r>
      <w:r w:rsidRPr="004B1F46">
        <w:rPr>
          <w:lang w:val="ru-RU"/>
        </w:rPr>
        <w:t>.</w:t>
      </w:r>
    </w:p>
  </w:footnote>
  <w:footnote w:id="4">
    <w:p w:rsidR="004B1F46" w:rsidRPr="004B1F46" w:rsidRDefault="004B1F46" w:rsidP="004B1F46">
      <w:pPr>
        <w:pStyle w:val="FootnoteText"/>
        <w:ind w:firstLine="0"/>
        <w:jc w:val="left"/>
        <w:rPr>
          <w:szCs w:val="18"/>
          <w:lang w:val="ru-RU"/>
        </w:rPr>
      </w:pPr>
      <w:r>
        <w:rPr>
          <w:rStyle w:val="FootnoteReference"/>
          <w:sz w:val="18"/>
          <w:szCs w:val="18"/>
        </w:rPr>
        <w:footnoteRef/>
      </w:r>
      <w:r w:rsidRPr="004B1F46">
        <w:rPr>
          <w:lang w:val="ru-RU"/>
        </w:rPr>
        <w:t xml:space="preserve"> Там же, приложение </w:t>
      </w:r>
      <w:r>
        <w:t>I</w:t>
      </w:r>
      <w:r w:rsidRPr="004B1F46">
        <w:rPr>
          <w:lang w:val="ru-RU"/>
        </w:rPr>
        <w:t xml:space="preserve">, раздел </w:t>
      </w:r>
      <w:r>
        <w:t>I</w:t>
      </w:r>
      <w:r w:rsidRPr="004B1F46">
        <w:rPr>
          <w:lang w:val="ru-RU"/>
        </w:rPr>
        <w:t>.</w:t>
      </w:r>
    </w:p>
  </w:footnote>
  <w:footnote w:id="5">
    <w:p w:rsidR="004B1F46" w:rsidRPr="005F69FF" w:rsidRDefault="004B1F46" w:rsidP="004B1F46">
      <w:pPr>
        <w:pStyle w:val="FootnoteText"/>
        <w:ind w:firstLine="0"/>
        <w:jc w:val="left"/>
        <w:rPr>
          <w:szCs w:val="18"/>
        </w:rPr>
      </w:pPr>
      <w:r>
        <w:rPr>
          <w:rStyle w:val="FootnoteReference"/>
          <w:sz w:val="18"/>
          <w:szCs w:val="18"/>
        </w:rPr>
        <w:footnoteRef/>
      </w:r>
      <w:r>
        <w:t xml:space="preserve"> </w:t>
      </w:r>
      <w:proofErr w:type="spellStart"/>
      <w:r>
        <w:t>Там</w:t>
      </w:r>
      <w:proofErr w:type="spellEnd"/>
      <w:r>
        <w:t xml:space="preserve"> </w:t>
      </w:r>
      <w:proofErr w:type="spellStart"/>
      <w:r>
        <w:t>же</w:t>
      </w:r>
      <w:proofErr w:type="spellEnd"/>
      <w:r>
        <w:t xml:space="preserve">, </w:t>
      </w:r>
      <w:proofErr w:type="spellStart"/>
      <w:r>
        <w:t>раздел</w:t>
      </w:r>
      <w:proofErr w:type="spellEnd"/>
      <w:r>
        <w:t> 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EF77F5" w:rsidRDefault="00E96313" w:rsidP="001C3610">
        <w:pPr>
          <w:pStyle w:val="Header"/>
          <w:keepLines/>
          <w:suppressLineNumbers/>
          <w:tabs>
            <w:tab w:val="clear" w:pos="4320"/>
            <w:tab w:val="clear" w:pos="8640"/>
          </w:tabs>
          <w:suppressAutoHyphens/>
          <w:jc w:val="left"/>
          <w:rPr>
            <w:rFonts w:ascii="Univers" w:eastAsia="Univers" w:hAnsi="Univers"/>
            <w:noProof/>
            <w:sz w:val="32"/>
            <w:szCs w:val="32"/>
            <w:lang w:val="ru-RU"/>
          </w:rPr>
        </w:pPr>
        <w:r>
          <w:rPr>
            <w:noProof/>
          </w:rPr>
          <w:t>CBD/SBSTTA/24/CRP.8</w:t>
        </w:r>
      </w:p>
    </w:sdtContent>
  </w:sdt>
  <w:p w:rsidR="00534681" w:rsidRPr="001C3610" w:rsidRDefault="00AE6DBB" w:rsidP="001C3610">
    <w:pPr>
      <w:pStyle w:val="Header"/>
      <w:keepLines/>
      <w:suppressLineNumbers/>
      <w:tabs>
        <w:tab w:val="clear" w:pos="4320"/>
        <w:tab w:val="clear" w:pos="8640"/>
      </w:tabs>
      <w:suppressAutoHyphens/>
      <w:jc w:val="left"/>
      <w:rPr>
        <w:noProof/>
      </w:rPr>
    </w:pPr>
    <w:r>
      <w:rPr>
        <w:noProof/>
        <w:szCs w:val="22"/>
        <w:lang w:val="ru-RU"/>
      </w:rPr>
      <w:t xml:space="preserve">Страница </w:t>
    </w:r>
    <w:r w:rsidR="00782A18" w:rsidRPr="001C3610">
      <w:rPr>
        <w:noProof/>
      </w:rPr>
      <w:fldChar w:fldCharType="begin"/>
    </w:r>
    <w:r w:rsidRPr="001C3610">
      <w:rPr>
        <w:noProof/>
      </w:rPr>
      <w:instrText xml:space="preserve"> PAGE   \* MERGEFORMAT </w:instrText>
    </w:r>
    <w:r w:rsidR="00782A18" w:rsidRPr="001C3610">
      <w:rPr>
        <w:noProof/>
      </w:rPr>
      <w:fldChar w:fldCharType="separate"/>
    </w:r>
    <w:r w:rsidR="00784414">
      <w:rPr>
        <w:noProof/>
      </w:rPr>
      <w:t>8</w:t>
    </w:r>
    <w:r w:rsidR="00782A18" w:rsidRPr="001C3610">
      <w:rPr>
        <w:noProof/>
      </w:rPr>
      <w:fldChar w:fldCharType="end"/>
    </w:r>
  </w:p>
  <w:p w:rsidR="00534681" w:rsidRPr="001C3610" w:rsidRDefault="00534681" w:rsidP="001C3610">
    <w:pPr>
      <w:pStyle w:val="Header"/>
      <w:keepLines/>
      <w:suppressLineNumbers/>
      <w:tabs>
        <w:tab w:val="clear" w:pos="4320"/>
        <w:tab w:val="clear" w:pos="8640"/>
      </w:tabs>
      <w:suppressAutoHyphen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EF77F5" w:rsidRDefault="00E96313" w:rsidP="009505C9">
        <w:pPr>
          <w:pStyle w:val="Header"/>
          <w:jc w:val="right"/>
          <w:rPr>
            <w:szCs w:val="22"/>
            <w:lang w:val="ru-RU"/>
          </w:rPr>
        </w:pPr>
        <w:r>
          <w:rPr>
            <w:lang w:val="fr-FR"/>
          </w:rPr>
          <w:t>CBD/SBSTTA/24/CRP.8</w:t>
        </w:r>
      </w:p>
    </w:sdtContent>
  </w:sdt>
  <w:p w:rsidR="009505C9" w:rsidRPr="00000614" w:rsidRDefault="00AE6DBB" w:rsidP="009505C9">
    <w:pPr>
      <w:pStyle w:val="Header"/>
      <w:jc w:val="right"/>
      <w:rPr>
        <w:lang w:val="fr-FR"/>
      </w:rPr>
    </w:pPr>
    <w:r>
      <w:rPr>
        <w:szCs w:val="22"/>
        <w:lang w:val="ru-RU"/>
      </w:rPr>
      <w:t xml:space="preserve">Страница </w:t>
    </w:r>
    <w:r w:rsidR="00782A18">
      <w:fldChar w:fldCharType="begin"/>
    </w:r>
    <w:r w:rsidRPr="00000614">
      <w:rPr>
        <w:lang w:val="fr-FR"/>
      </w:rPr>
      <w:instrText xml:space="preserve"> PAGE   \* MERGEFORMAT </w:instrText>
    </w:r>
    <w:r w:rsidR="00782A18">
      <w:fldChar w:fldCharType="separate"/>
    </w:r>
    <w:r w:rsidR="00784414">
      <w:rPr>
        <w:noProof/>
        <w:lang w:val="fr-FR"/>
      </w:rPr>
      <w:t>5</w:t>
    </w:r>
    <w:r w:rsidR="00782A18">
      <w:rPr>
        <w:noProof/>
      </w:rPr>
      <w:fldChar w:fldCharType="end"/>
    </w:r>
  </w:p>
  <w:p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474"/>
    <w:multiLevelType w:val="hybridMultilevel"/>
    <w:tmpl w:val="76B4550E"/>
    <w:lvl w:ilvl="0" w:tplc="F90E50E2">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 w15:restartNumberingAfterBreak="0">
    <w:nsid w:val="05180B97"/>
    <w:multiLevelType w:val="hybridMultilevel"/>
    <w:tmpl w:val="6954399C"/>
    <w:lvl w:ilvl="0" w:tplc="04190017">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0A3E"/>
    <w:multiLevelType w:val="hybridMultilevel"/>
    <w:tmpl w:val="C608A09C"/>
    <w:lvl w:ilvl="0" w:tplc="438CB432">
      <w:start w:val="1"/>
      <w:numFmt w:val="lowerRoman"/>
      <w:lvlText w:val="%1)"/>
      <w:lvlJc w:val="center"/>
      <w:pPr>
        <w:ind w:left="720" w:hanging="360"/>
      </w:pPr>
      <w:rPr>
        <w:rFonts w:cs="Times New Roman"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1206"/>
    <w:multiLevelType w:val="hybridMultilevel"/>
    <w:tmpl w:val="307A4680"/>
    <w:lvl w:ilvl="0" w:tplc="04190017">
      <w:start w:val="1"/>
      <w:numFmt w:val="lowerLetter"/>
      <w:lvlText w:val="%1)"/>
      <w:lvlJc w:val="left"/>
      <w:pPr>
        <w:ind w:left="2700" w:hanging="360"/>
      </w:pPr>
      <w:rPr>
        <w:rFonts w:hint="default"/>
        <w:b w:val="0"/>
        <w:bCs w:val="0"/>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5327"/>
    <w:multiLevelType w:val="hybridMultilevel"/>
    <w:tmpl w:val="3AA8CCB2"/>
    <w:lvl w:ilvl="0" w:tplc="04190017">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D32F0E"/>
    <w:multiLevelType w:val="hybridMultilevel"/>
    <w:tmpl w:val="A7200AB8"/>
    <w:lvl w:ilvl="0" w:tplc="04190017">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B612C"/>
    <w:multiLevelType w:val="hybridMultilevel"/>
    <w:tmpl w:val="B4363448"/>
    <w:lvl w:ilvl="0" w:tplc="04190017">
      <w:start w:val="1"/>
      <w:numFmt w:val="lowerLetter"/>
      <w:lvlText w:val="%1)"/>
      <w:lvlJc w:val="left"/>
      <w:pPr>
        <w:ind w:left="2700" w:hanging="360"/>
      </w:pPr>
      <w:rPr>
        <w:rFonts w:hint="default"/>
        <w:b w:val="0"/>
        <w:bCs w:val="0"/>
        <w:i w:val="0"/>
        <w:caps w:val="0"/>
        <w:strike w:val="0"/>
        <w:dstrike w:val="0"/>
        <w:vanish w:val="0"/>
        <w:color w:val="auto"/>
        <w:sz w:val="22"/>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C5A93"/>
    <w:multiLevelType w:val="hybridMultilevel"/>
    <w:tmpl w:val="0BA05A1A"/>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9E130E"/>
    <w:multiLevelType w:val="hybridMultilevel"/>
    <w:tmpl w:val="4FD6427C"/>
    <w:lvl w:ilvl="0" w:tplc="43023918">
      <w:start w:val="1"/>
      <w:numFmt w:val="lowerLetter"/>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1EF61D2C">
      <w:start w:val="1"/>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22EA"/>
    <w:multiLevelType w:val="hybridMultilevel"/>
    <w:tmpl w:val="53F2F5C6"/>
    <w:lvl w:ilvl="0" w:tplc="04190017">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73B09"/>
    <w:multiLevelType w:val="hybridMultilevel"/>
    <w:tmpl w:val="2BE8C2FC"/>
    <w:lvl w:ilvl="0" w:tplc="04190017">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968D8"/>
    <w:multiLevelType w:val="hybridMultilevel"/>
    <w:tmpl w:val="A510FF0C"/>
    <w:lvl w:ilvl="0" w:tplc="04190017">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67"/>
    <w:multiLevelType w:val="hybridMultilevel"/>
    <w:tmpl w:val="4A201A5A"/>
    <w:lvl w:ilvl="0" w:tplc="438CB432">
      <w:start w:val="1"/>
      <w:numFmt w:val="lowerRoman"/>
      <w:lvlText w:val="%1)"/>
      <w:lvlJc w:val="center"/>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B2B7B"/>
    <w:multiLevelType w:val="hybridMultilevel"/>
    <w:tmpl w:val="0ECCEFEE"/>
    <w:lvl w:ilvl="0" w:tplc="04190017">
      <w:start w:val="1"/>
      <w:numFmt w:val="lowerLetter"/>
      <w:lvlText w:val="%1)"/>
      <w:lvlJc w:val="left"/>
      <w:pPr>
        <w:ind w:left="2700" w:hanging="360"/>
      </w:pPr>
      <w:rPr>
        <w:rFonts w:hint="default"/>
        <w:b w:val="0"/>
        <w:bCs w:val="0"/>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29C37DD"/>
    <w:multiLevelType w:val="hybridMultilevel"/>
    <w:tmpl w:val="D6E482D6"/>
    <w:lvl w:ilvl="0" w:tplc="04190017">
      <w:start w:val="1"/>
      <w:numFmt w:val="lowerLetter"/>
      <w:lvlText w:val="%1)"/>
      <w:lvlJc w:val="left"/>
      <w:pPr>
        <w:ind w:left="2700" w:hanging="360"/>
      </w:pPr>
      <w:rPr>
        <w:rFonts w:hint="default"/>
        <w:b w:val="0"/>
        <w:bCs w:val="0"/>
        <w:i w:val="0"/>
        <w:caps w:val="0"/>
        <w:strike w:val="0"/>
        <w:dstrike w:val="0"/>
        <w:vanish w:val="0"/>
        <w:color w:val="auto"/>
        <w:sz w:val="22"/>
        <w:vertAlign w:val="baseline"/>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8" w15:restartNumberingAfterBreak="0">
    <w:nsid w:val="41D95870"/>
    <w:multiLevelType w:val="hybridMultilevel"/>
    <w:tmpl w:val="62CC8D14"/>
    <w:lvl w:ilvl="0" w:tplc="04190017">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2441E"/>
    <w:multiLevelType w:val="hybridMultilevel"/>
    <w:tmpl w:val="47F05690"/>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6897ED6"/>
    <w:multiLevelType w:val="hybridMultilevel"/>
    <w:tmpl w:val="960E0262"/>
    <w:lvl w:ilvl="0" w:tplc="04190017">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4"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5"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D1421"/>
    <w:multiLevelType w:val="hybridMultilevel"/>
    <w:tmpl w:val="D46AA4AA"/>
    <w:lvl w:ilvl="0" w:tplc="04190017">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0402F"/>
    <w:multiLevelType w:val="hybridMultilevel"/>
    <w:tmpl w:val="53A0B710"/>
    <w:lvl w:ilvl="0" w:tplc="04190017">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425DFB"/>
    <w:multiLevelType w:val="hybridMultilevel"/>
    <w:tmpl w:val="A7946ED2"/>
    <w:lvl w:ilvl="0" w:tplc="04190017">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878C7"/>
    <w:multiLevelType w:val="hybridMultilevel"/>
    <w:tmpl w:val="E42C012C"/>
    <w:lvl w:ilvl="0" w:tplc="04190017">
      <w:start w:val="1"/>
      <w:numFmt w:val="lowerLetter"/>
      <w:lvlText w:val="%1)"/>
      <w:lvlJc w:val="left"/>
      <w:pPr>
        <w:ind w:left="1407" w:hanging="360"/>
      </w:pPr>
      <w:rPr>
        <w:rFonts w:hint="default"/>
        <w:b w:val="0"/>
        <w:bCs w:val="0"/>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31" w15:restartNumberingAfterBreak="0">
    <w:nsid w:val="6ED82968"/>
    <w:multiLevelType w:val="hybridMultilevel"/>
    <w:tmpl w:val="FE162F2C"/>
    <w:lvl w:ilvl="0" w:tplc="0C488FE8">
      <w:start w:val="1"/>
      <w:numFmt w:val="bullet"/>
      <w:pStyle w:val="CBD-Doc"/>
      <w:lvlText w:val=""/>
      <w:lvlJc w:val="left"/>
      <w:pPr>
        <w:tabs>
          <w:tab w:val="num" w:pos="567"/>
        </w:tabs>
        <w:ind w:left="567" w:hanging="567"/>
      </w:pPr>
      <w:rPr>
        <w:rFonts w:ascii="Symbol" w:hAnsi="Symbol" w:hint="default"/>
      </w:rPr>
    </w:lvl>
    <w:lvl w:ilvl="1" w:tplc="3E2C8CE2" w:tentative="1">
      <w:start w:val="1"/>
      <w:numFmt w:val="bullet"/>
      <w:lvlText w:val="o"/>
      <w:lvlJc w:val="left"/>
      <w:pPr>
        <w:tabs>
          <w:tab w:val="num" w:pos="1440"/>
        </w:tabs>
        <w:ind w:left="1440" w:hanging="360"/>
      </w:pPr>
      <w:rPr>
        <w:rFonts w:ascii="Courier New" w:hAnsi="Courier New" w:cs="Courier New" w:hint="default"/>
      </w:rPr>
    </w:lvl>
    <w:lvl w:ilvl="2" w:tplc="3884693E" w:tentative="1">
      <w:start w:val="1"/>
      <w:numFmt w:val="bullet"/>
      <w:lvlText w:val=""/>
      <w:lvlJc w:val="left"/>
      <w:pPr>
        <w:tabs>
          <w:tab w:val="num" w:pos="2160"/>
        </w:tabs>
        <w:ind w:left="2160" w:hanging="360"/>
      </w:pPr>
      <w:rPr>
        <w:rFonts w:ascii="Wingdings" w:hAnsi="Wingdings" w:hint="default"/>
      </w:rPr>
    </w:lvl>
    <w:lvl w:ilvl="3" w:tplc="05060DAE" w:tentative="1">
      <w:start w:val="1"/>
      <w:numFmt w:val="bullet"/>
      <w:lvlText w:val=""/>
      <w:lvlJc w:val="left"/>
      <w:pPr>
        <w:tabs>
          <w:tab w:val="num" w:pos="2880"/>
        </w:tabs>
        <w:ind w:left="2880" w:hanging="360"/>
      </w:pPr>
      <w:rPr>
        <w:rFonts w:ascii="Symbol" w:hAnsi="Symbol" w:hint="default"/>
      </w:rPr>
    </w:lvl>
    <w:lvl w:ilvl="4" w:tplc="1F7A0E76" w:tentative="1">
      <w:start w:val="1"/>
      <w:numFmt w:val="bullet"/>
      <w:lvlText w:val="o"/>
      <w:lvlJc w:val="left"/>
      <w:pPr>
        <w:tabs>
          <w:tab w:val="num" w:pos="3600"/>
        </w:tabs>
        <w:ind w:left="3600" w:hanging="360"/>
      </w:pPr>
      <w:rPr>
        <w:rFonts w:ascii="Courier New" w:hAnsi="Courier New" w:cs="Courier New" w:hint="default"/>
      </w:rPr>
    </w:lvl>
    <w:lvl w:ilvl="5" w:tplc="0AA01DE8" w:tentative="1">
      <w:start w:val="1"/>
      <w:numFmt w:val="bullet"/>
      <w:lvlText w:val=""/>
      <w:lvlJc w:val="left"/>
      <w:pPr>
        <w:tabs>
          <w:tab w:val="num" w:pos="4320"/>
        </w:tabs>
        <w:ind w:left="4320" w:hanging="360"/>
      </w:pPr>
      <w:rPr>
        <w:rFonts w:ascii="Wingdings" w:hAnsi="Wingdings" w:hint="default"/>
      </w:rPr>
    </w:lvl>
    <w:lvl w:ilvl="6" w:tplc="92FAE58E" w:tentative="1">
      <w:start w:val="1"/>
      <w:numFmt w:val="bullet"/>
      <w:lvlText w:val=""/>
      <w:lvlJc w:val="left"/>
      <w:pPr>
        <w:tabs>
          <w:tab w:val="num" w:pos="5040"/>
        </w:tabs>
        <w:ind w:left="5040" w:hanging="360"/>
      </w:pPr>
      <w:rPr>
        <w:rFonts w:ascii="Symbol" w:hAnsi="Symbol" w:hint="default"/>
      </w:rPr>
    </w:lvl>
    <w:lvl w:ilvl="7" w:tplc="F4D8C8E2" w:tentative="1">
      <w:start w:val="1"/>
      <w:numFmt w:val="bullet"/>
      <w:lvlText w:val="o"/>
      <w:lvlJc w:val="left"/>
      <w:pPr>
        <w:tabs>
          <w:tab w:val="num" w:pos="5760"/>
        </w:tabs>
        <w:ind w:left="5760" w:hanging="360"/>
      </w:pPr>
      <w:rPr>
        <w:rFonts w:ascii="Courier New" w:hAnsi="Courier New" w:cs="Courier New" w:hint="default"/>
      </w:rPr>
    </w:lvl>
    <w:lvl w:ilvl="8" w:tplc="0D12B1A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num w:numId="1">
    <w:abstractNumId w:val="15"/>
  </w:num>
  <w:num w:numId="2">
    <w:abstractNumId w:val="21"/>
  </w:num>
  <w:num w:numId="3">
    <w:abstractNumId w:val="21"/>
  </w:num>
  <w:num w:numId="4">
    <w:abstractNumId w:val="19"/>
  </w:num>
  <w:num w:numId="5">
    <w:abstractNumId w:val="31"/>
  </w:num>
  <w:num w:numId="6">
    <w:abstractNumId w:val="9"/>
  </w:num>
  <w:num w:numId="7">
    <w:abstractNumId w:val="30"/>
  </w:num>
  <w:num w:numId="8">
    <w:abstractNumId w:val="10"/>
  </w:num>
  <w:num w:numId="9">
    <w:abstractNumId w:val="1"/>
  </w:num>
  <w:num w:numId="10">
    <w:abstractNumId w:val="29"/>
  </w:num>
  <w:num w:numId="11">
    <w:abstractNumId w:val="21"/>
    <w:lvlOverride w:ilvl="0">
      <w:startOverride w:val="1"/>
    </w:lvlOverride>
  </w:num>
  <w:num w:numId="12">
    <w:abstractNumId w:val="11"/>
  </w:num>
  <w:num w:numId="13">
    <w:abstractNumId w:val="18"/>
  </w:num>
  <w:num w:numId="14">
    <w:abstractNumId w:val="27"/>
  </w:num>
  <w:num w:numId="15">
    <w:abstractNumId w:val="12"/>
  </w:num>
  <w:num w:numId="16">
    <w:abstractNumId w:val="28"/>
  </w:num>
  <w:num w:numId="17">
    <w:abstractNumId w:val="5"/>
  </w:num>
  <w:num w:numId="18">
    <w:abstractNumId w:val="22"/>
  </w:num>
  <w:num w:numId="1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16"/>
  </w:num>
  <w:num w:numId="23">
    <w:abstractNumId w:val="2"/>
  </w:num>
  <w:num w:numId="24">
    <w:abstractNumId w:val="3"/>
  </w:num>
  <w:num w:numId="25">
    <w:abstractNumId w:val="14"/>
  </w:num>
  <w:num w:numId="26">
    <w:abstractNumId w:val="13"/>
  </w:num>
  <w:num w:numId="27">
    <w:abstractNumId w:val="7"/>
  </w:num>
  <w:num w:numId="28">
    <w:abstractNumId w:val="23"/>
  </w:num>
  <w:num w:numId="29">
    <w:abstractNumId w:val="32"/>
  </w:num>
  <w:num w:numId="30">
    <w:abstractNumId w:val="24"/>
  </w:num>
  <w:num w:numId="31">
    <w:abstractNumId w:val="20"/>
  </w:num>
  <w:num w:numId="32">
    <w:abstractNumId w:val="25"/>
  </w:num>
  <w:num w:numId="33">
    <w:abstractNumId w:val="0"/>
  </w:num>
  <w:num w:numId="34">
    <w:abstractNumId w:val="26"/>
  </w:num>
  <w:num w:numId="35">
    <w:abstractNumId w:val="17"/>
  </w:num>
  <w:num w:numId="3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SyNLQ0MbM0MLcwNTFW0lEKTi0uzszPAykwrAUA+vvRlSwAAAA="/>
  </w:docVars>
  <w:rsids>
    <w:rsidRoot w:val="00C9161D"/>
    <w:rsid w:val="00000614"/>
    <w:rsid w:val="0000254D"/>
    <w:rsid w:val="00025FA0"/>
    <w:rsid w:val="000345D7"/>
    <w:rsid w:val="000445B8"/>
    <w:rsid w:val="000458A9"/>
    <w:rsid w:val="0007687A"/>
    <w:rsid w:val="0009106B"/>
    <w:rsid w:val="000A2BE2"/>
    <w:rsid w:val="000A42F4"/>
    <w:rsid w:val="000C618F"/>
    <w:rsid w:val="000E673A"/>
    <w:rsid w:val="000F3C5D"/>
    <w:rsid w:val="000F58A8"/>
    <w:rsid w:val="000F74F5"/>
    <w:rsid w:val="00105372"/>
    <w:rsid w:val="00116E7E"/>
    <w:rsid w:val="00131E7A"/>
    <w:rsid w:val="001705C9"/>
    <w:rsid w:val="00172AF6"/>
    <w:rsid w:val="00176CEE"/>
    <w:rsid w:val="00183711"/>
    <w:rsid w:val="00192ABD"/>
    <w:rsid w:val="001A2E3B"/>
    <w:rsid w:val="001A3C86"/>
    <w:rsid w:val="001A6E17"/>
    <w:rsid w:val="001B06E7"/>
    <w:rsid w:val="001C1D65"/>
    <w:rsid w:val="001C3610"/>
    <w:rsid w:val="001C70A1"/>
    <w:rsid w:val="001C7D1D"/>
    <w:rsid w:val="001D187D"/>
    <w:rsid w:val="001D40B5"/>
    <w:rsid w:val="001D743C"/>
    <w:rsid w:val="001E54CF"/>
    <w:rsid w:val="001F4B14"/>
    <w:rsid w:val="001F5C23"/>
    <w:rsid w:val="002060D3"/>
    <w:rsid w:val="00215585"/>
    <w:rsid w:val="00223155"/>
    <w:rsid w:val="002523DD"/>
    <w:rsid w:val="002574C0"/>
    <w:rsid w:val="00273181"/>
    <w:rsid w:val="002800DB"/>
    <w:rsid w:val="00281977"/>
    <w:rsid w:val="002829B6"/>
    <w:rsid w:val="00286768"/>
    <w:rsid w:val="00290DC6"/>
    <w:rsid w:val="002A0AC3"/>
    <w:rsid w:val="002B20FD"/>
    <w:rsid w:val="002B7661"/>
    <w:rsid w:val="002C5656"/>
    <w:rsid w:val="002F2960"/>
    <w:rsid w:val="003169B4"/>
    <w:rsid w:val="0033346D"/>
    <w:rsid w:val="003358CF"/>
    <w:rsid w:val="003653A7"/>
    <w:rsid w:val="00372F74"/>
    <w:rsid w:val="0037510F"/>
    <w:rsid w:val="003B6737"/>
    <w:rsid w:val="003C2133"/>
    <w:rsid w:val="003C5220"/>
    <w:rsid w:val="003D73D5"/>
    <w:rsid w:val="003F7224"/>
    <w:rsid w:val="00403C49"/>
    <w:rsid w:val="00405146"/>
    <w:rsid w:val="004149AE"/>
    <w:rsid w:val="0042412C"/>
    <w:rsid w:val="00425282"/>
    <w:rsid w:val="00427D21"/>
    <w:rsid w:val="00433E4C"/>
    <w:rsid w:val="0044469B"/>
    <w:rsid w:val="004644C2"/>
    <w:rsid w:val="00465CDB"/>
    <w:rsid w:val="00467F9C"/>
    <w:rsid w:val="00472974"/>
    <w:rsid w:val="0047347B"/>
    <w:rsid w:val="004762F3"/>
    <w:rsid w:val="00483DB5"/>
    <w:rsid w:val="004A50D5"/>
    <w:rsid w:val="004B1F46"/>
    <w:rsid w:val="004B6488"/>
    <w:rsid w:val="004C1B82"/>
    <w:rsid w:val="004D6AEE"/>
    <w:rsid w:val="004F43F0"/>
    <w:rsid w:val="004F7AF5"/>
    <w:rsid w:val="004F7C88"/>
    <w:rsid w:val="00510200"/>
    <w:rsid w:val="005216A9"/>
    <w:rsid w:val="00522946"/>
    <w:rsid w:val="00534681"/>
    <w:rsid w:val="0054015C"/>
    <w:rsid w:val="00547C2F"/>
    <w:rsid w:val="00550339"/>
    <w:rsid w:val="00581F52"/>
    <w:rsid w:val="005A42D5"/>
    <w:rsid w:val="005A787D"/>
    <w:rsid w:val="005C28DA"/>
    <w:rsid w:val="006052FD"/>
    <w:rsid w:val="006115F5"/>
    <w:rsid w:val="006122BA"/>
    <w:rsid w:val="0061262E"/>
    <w:rsid w:val="00616BD2"/>
    <w:rsid w:val="00627E32"/>
    <w:rsid w:val="0066332C"/>
    <w:rsid w:val="0069162B"/>
    <w:rsid w:val="006935DB"/>
    <w:rsid w:val="0069516F"/>
    <w:rsid w:val="0069775F"/>
    <w:rsid w:val="00697949"/>
    <w:rsid w:val="006A2AC0"/>
    <w:rsid w:val="006B0CF1"/>
    <w:rsid w:val="006B111D"/>
    <w:rsid w:val="006B2290"/>
    <w:rsid w:val="006B66A1"/>
    <w:rsid w:val="006C6CCC"/>
    <w:rsid w:val="006D09CF"/>
    <w:rsid w:val="006D0F48"/>
    <w:rsid w:val="006D2B0A"/>
    <w:rsid w:val="006E094F"/>
    <w:rsid w:val="006F1DF1"/>
    <w:rsid w:val="007008F3"/>
    <w:rsid w:val="00713473"/>
    <w:rsid w:val="00717D88"/>
    <w:rsid w:val="00720F63"/>
    <w:rsid w:val="00744B9F"/>
    <w:rsid w:val="007605A3"/>
    <w:rsid w:val="00761F40"/>
    <w:rsid w:val="0076795C"/>
    <w:rsid w:val="007826FC"/>
    <w:rsid w:val="00782A18"/>
    <w:rsid w:val="00783C78"/>
    <w:rsid w:val="00784414"/>
    <w:rsid w:val="00791ACA"/>
    <w:rsid w:val="007935A7"/>
    <w:rsid w:val="007942D3"/>
    <w:rsid w:val="00795C95"/>
    <w:rsid w:val="007B6C09"/>
    <w:rsid w:val="007C1555"/>
    <w:rsid w:val="007C38BF"/>
    <w:rsid w:val="007C3B47"/>
    <w:rsid w:val="007C7DF5"/>
    <w:rsid w:val="007D52A0"/>
    <w:rsid w:val="007E02EB"/>
    <w:rsid w:val="007E09DA"/>
    <w:rsid w:val="007E1218"/>
    <w:rsid w:val="008178B6"/>
    <w:rsid w:val="00863B0B"/>
    <w:rsid w:val="008649F9"/>
    <w:rsid w:val="00865991"/>
    <w:rsid w:val="00865B74"/>
    <w:rsid w:val="00874AF8"/>
    <w:rsid w:val="00875777"/>
    <w:rsid w:val="00891F66"/>
    <w:rsid w:val="00892DB7"/>
    <w:rsid w:val="008C1EFB"/>
    <w:rsid w:val="008C2A2A"/>
    <w:rsid w:val="008C59F7"/>
    <w:rsid w:val="008D420E"/>
    <w:rsid w:val="008E6F7B"/>
    <w:rsid w:val="00901D00"/>
    <w:rsid w:val="00911151"/>
    <w:rsid w:val="00930BA1"/>
    <w:rsid w:val="0093169E"/>
    <w:rsid w:val="00940118"/>
    <w:rsid w:val="009505C9"/>
    <w:rsid w:val="00956D25"/>
    <w:rsid w:val="00965777"/>
    <w:rsid w:val="00967E10"/>
    <w:rsid w:val="0098642F"/>
    <w:rsid w:val="0098767B"/>
    <w:rsid w:val="00992404"/>
    <w:rsid w:val="009C200D"/>
    <w:rsid w:val="009D25AA"/>
    <w:rsid w:val="00A13060"/>
    <w:rsid w:val="00A21680"/>
    <w:rsid w:val="00A33F87"/>
    <w:rsid w:val="00A36670"/>
    <w:rsid w:val="00A55554"/>
    <w:rsid w:val="00A6379F"/>
    <w:rsid w:val="00A70BB1"/>
    <w:rsid w:val="00A7611F"/>
    <w:rsid w:val="00A93A31"/>
    <w:rsid w:val="00AB4FA0"/>
    <w:rsid w:val="00AD24C5"/>
    <w:rsid w:val="00AE6DBB"/>
    <w:rsid w:val="00B1302C"/>
    <w:rsid w:val="00B14EDE"/>
    <w:rsid w:val="00B2105F"/>
    <w:rsid w:val="00B3369F"/>
    <w:rsid w:val="00B541B1"/>
    <w:rsid w:val="00B6101C"/>
    <w:rsid w:val="00B722A3"/>
    <w:rsid w:val="00B85223"/>
    <w:rsid w:val="00C040B5"/>
    <w:rsid w:val="00C04F65"/>
    <w:rsid w:val="00C20258"/>
    <w:rsid w:val="00C23C28"/>
    <w:rsid w:val="00C6360B"/>
    <w:rsid w:val="00C65F23"/>
    <w:rsid w:val="00C77E2A"/>
    <w:rsid w:val="00C82269"/>
    <w:rsid w:val="00C9161D"/>
    <w:rsid w:val="00C93CAA"/>
    <w:rsid w:val="00C961CE"/>
    <w:rsid w:val="00CA22F6"/>
    <w:rsid w:val="00CA44E3"/>
    <w:rsid w:val="00CB2134"/>
    <w:rsid w:val="00CE5ED9"/>
    <w:rsid w:val="00CE6602"/>
    <w:rsid w:val="00CF1848"/>
    <w:rsid w:val="00D12044"/>
    <w:rsid w:val="00D331AA"/>
    <w:rsid w:val="00D47E96"/>
    <w:rsid w:val="00D504FA"/>
    <w:rsid w:val="00D61CAB"/>
    <w:rsid w:val="00D76863"/>
    <w:rsid w:val="00D76A18"/>
    <w:rsid w:val="00D93857"/>
    <w:rsid w:val="00D9566B"/>
    <w:rsid w:val="00DA683E"/>
    <w:rsid w:val="00DA7F6B"/>
    <w:rsid w:val="00DC002A"/>
    <w:rsid w:val="00DD118C"/>
    <w:rsid w:val="00E211C9"/>
    <w:rsid w:val="00E25FF3"/>
    <w:rsid w:val="00E313DA"/>
    <w:rsid w:val="00E422E0"/>
    <w:rsid w:val="00E56414"/>
    <w:rsid w:val="00E66235"/>
    <w:rsid w:val="00E70396"/>
    <w:rsid w:val="00E75FBA"/>
    <w:rsid w:val="00E7682E"/>
    <w:rsid w:val="00E83C24"/>
    <w:rsid w:val="00E84504"/>
    <w:rsid w:val="00E9318D"/>
    <w:rsid w:val="00E96313"/>
    <w:rsid w:val="00E97A70"/>
    <w:rsid w:val="00EE5095"/>
    <w:rsid w:val="00EF2F61"/>
    <w:rsid w:val="00EF77F5"/>
    <w:rsid w:val="00F16489"/>
    <w:rsid w:val="00F57590"/>
    <w:rsid w:val="00F907EF"/>
    <w:rsid w:val="00F94774"/>
    <w:rsid w:val="00FA14E3"/>
    <w:rsid w:val="00FA1A5D"/>
    <w:rsid w:val="00FB11EB"/>
    <w:rsid w:val="00FC256F"/>
    <w:rsid w:val="00FC53DB"/>
    <w:rsid w:val="00FC7409"/>
    <w:rsid w:val="00FD2AFD"/>
    <w:rsid w:val="00FD3D70"/>
    <w:rsid w:val="00FE0AC5"/>
    <w:rsid w:val="00FF0FE6"/>
    <w:rsid w:val="00FF475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01983"/>
  <w15:docId w15:val="{E17FE5DF-1249-4FE1-8288-1E2E5BCE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Para1Char1">
    <w:name w:val="Para1 Char1"/>
    <w:locked/>
    <w:rsid w:val="00992404"/>
    <w:rPr>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B6101C"/>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D331AA"/>
    <w:rPr>
      <w:rFonts w:ascii="Times New Roman" w:eastAsia="Times New Roman" w:hAnsi="Times New Roman" w:cs="Times New Roman"/>
      <w:sz w:val="22"/>
      <w:lang w:val="en-GB"/>
    </w:rPr>
  </w:style>
  <w:style w:type="character" w:customStyle="1" w:styleId="preferred">
    <w:name w:val="preferred"/>
    <w:basedOn w:val="DefaultParagraphFont"/>
    <w:rsid w:val="00D331AA"/>
  </w:style>
  <w:style w:type="paragraph" w:styleId="BodyTextIndent2">
    <w:name w:val="Body Text Indent 2"/>
    <w:basedOn w:val="Normal"/>
    <w:link w:val="BodyTextIndent2Char"/>
    <w:uiPriority w:val="99"/>
    <w:semiHidden/>
    <w:unhideWhenUsed/>
    <w:rsid w:val="00A70BB1"/>
    <w:pPr>
      <w:spacing w:after="120" w:line="480" w:lineRule="auto"/>
      <w:ind w:left="283"/>
    </w:pPr>
  </w:style>
  <w:style w:type="character" w:customStyle="1" w:styleId="BodyTextIndent2Char">
    <w:name w:val="Body Text Indent 2 Char"/>
    <w:basedOn w:val="DefaultParagraphFont"/>
    <w:link w:val="BodyTextIndent2"/>
    <w:uiPriority w:val="99"/>
    <w:semiHidden/>
    <w:rsid w:val="00A70BB1"/>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6187">
      <w:bodyDiv w:val="1"/>
      <w:marLeft w:val="0"/>
      <w:marRight w:val="0"/>
      <w:marTop w:val="0"/>
      <w:marBottom w:val="0"/>
      <w:divBdr>
        <w:top w:val="none" w:sz="0" w:space="0" w:color="auto"/>
        <w:left w:val="none" w:sz="0" w:space="0" w:color="auto"/>
        <w:bottom w:val="none" w:sz="0" w:space="0" w:color="auto"/>
        <w:right w:val="none" w:sz="0" w:space="0" w:color="auto"/>
      </w:divBdr>
    </w:div>
    <w:div w:id="31928168">
      <w:bodyDiv w:val="1"/>
      <w:marLeft w:val="0"/>
      <w:marRight w:val="0"/>
      <w:marTop w:val="0"/>
      <w:marBottom w:val="0"/>
      <w:divBdr>
        <w:top w:val="none" w:sz="0" w:space="0" w:color="auto"/>
        <w:left w:val="none" w:sz="0" w:space="0" w:color="auto"/>
        <w:bottom w:val="none" w:sz="0" w:space="0" w:color="auto"/>
        <w:right w:val="none" w:sz="0" w:space="0" w:color="auto"/>
      </w:divBdr>
    </w:div>
    <w:div w:id="50228571">
      <w:bodyDiv w:val="1"/>
      <w:marLeft w:val="0"/>
      <w:marRight w:val="0"/>
      <w:marTop w:val="0"/>
      <w:marBottom w:val="0"/>
      <w:divBdr>
        <w:top w:val="none" w:sz="0" w:space="0" w:color="auto"/>
        <w:left w:val="none" w:sz="0" w:space="0" w:color="auto"/>
        <w:bottom w:val="none" w:sz="0" w:space="0" w:color="auto"/>
        <w:right w:val="none" w:sz="0" w:space="0" w:color="auto"/>
      </w:divBdr>
    </w:div>
    <w:div w:id="62414443">
      <w:bodyDiv w:val="1"/>
      <w:marLeft w:val="0"/>
      <w:marRight w:val="0"/>
      <w:marTop w:val="0"/>
      <w:marBottom w:val="0"/>
      <w:divBdr>
        <w:top w:val="none" w:sz="0" w:space="0" w:color="auto"/>
        <w:left w:val="none" w:sz="0" w:space="0" w:color="auto"/>
        <w:bottom w:val="none" w:sz="0" w:space="0" w:color="auto"/>
        <w:right w:val="none" w:sz="0" w:space="0" w:color="auto"/>
      </w:divBdr>
    </w:div>
    <w:div w:id="69930499">
      <w:bodyDiv w:val="1"/>
      <w:marLeft w:val="0"/>
      <w:marRight w:val="0"/>
      <w:marTop w:val="0"/>
      <w:marBottom w:val="0"/>
      <w:divBdr>
        <w:top w:val="none" w:sz="0" w:space="0" w:color="auto"/>
        <w:left w:val="none" w:sz="0" w:space="0" w:color="auto"/>
        <w:bottom w:val="none" w:sz="0" w:space="0" w:color="auto"/>
        <w:right w:val="none" w:sz="0" w:space="0" w:color="auto"/>
      </w:divBdr>
    </w:div>
    <w:div w:id="88232939">
      <w:bodyDiv w:val="1"/>
      <w:marLeft w:val="0"/>
      <w:marRight w:val="0"/>
      <w:marTop w:val="0"/>
      <w:marBottom w:val="0"/>
      <w:divBdr>
        <w:top w:val="none" w:sz="0" w:space="0" w:color="auto"/>
        <w:left w:val="none" w:sz="0" w:space="0" w:color="auto"/>
        <w:bottom w:val="none" w:sz="0" w:space="0" w:color="auto"/>
        <w:right w:val="none" w:sz="0" w:space="0" w:color="auto"/>
      </w:divBdr>
    </w:div>
    <w:div w:id="135030878">
      <w:bodyDiv w:val="1"/>
      <w:marLeft w:val="0"/>
      <w:marRight w:val="0"/>
      <w:marTop w:val="0"/>
      <w:marBottom w:val="0"/>
      <w:divBdr>
        <w:top w:val="none" w:sz="0" w:space="0" w:color="auto"/>
        <w:left w:val="none" w:sz="0" w:space="0" w:color="auto"/>
        <w:bottom w:val="none" w:sz="0" w:space="0" w:color="auto"/>
        <w:right w:val="none" w:sz="0" w:space="0" w:color="auto"/>
      </w:divBdr>
    </w:div>
    <w:div w:id="162743624">
      <w:bodyDiv w:val="1"/>
      <w:marLeft w:val="0"/>
      <w:marRight w:val="0"/>
      <w:marTop w:val="0"/>
      <w:marBottom w:val="0"/>
      <w:divBdr>
        <w:top w:val="none" w:sz="0" w:space="0" w:color="auto"/>
        <w:left w:val="none" w:sz="0" w:space="0" w:color="auto"/>
        <w:bottom w:val="none" w:sz="0" w:space="0" w:color="auto"/>
        <w:right w:val="none" w:sz="0" w:space="0" w:color="auto"/>
      </w:divBdr>
    </w:div>
    <w:div w:id="165444404">
      <w:bodyDiv w:val="1"/>
      <w:marLeft w:val="0"/>
      <w:marRight w:val="0"/>
      <w:marTop w:val="0"/>
      <w:marBottom w:val="0"/>
      <w:divBdr>
        <w:top w:val="none" w:sz="0" w:space="0" w:color="auto"/>
        <w:left w:val="none" w:sz="0" w:space="0" w:color="auto"/>
        <w:bottom w:val="none" w:sz="0" w:space="0" w:color="auto"/>
        <w:right w:val="none" w:sz="0" w:space="0" w:color="auto"/>
      </w:divBdr>
    </w:div>
    <w:div w:id="166360163">
      <w:bodyDiv w:val="1"/>
      <w:marLeft w:val="0"/>
      <w:marRight w:val="0"/>
      <w:marTop w:val="0"/>
      <w:marBottom w:val="0"/>
      <w:divBdr>
        <w:top w:val="none" w:sz="0" w:space="0" w:color="auto"/>
        <w:left w:val="none" w:sz="0" w:space="0" w:color="auto"/>
        <w:bottom w:val="none" w:sz="0" w:space="0" w:color="auto"/>
        <w:right w:val="none" w:sz="0" w:space="0" w:color="auto"/>
      </w:divBdr>
    </w:div>
    <w:div w:id="316764337">
      <w:bodyDiv w:val="1"/>
      <w:marLeft w:val="0"/>
      <w:marRight w:val="0"/>
      <w:marTop w:val="0"/>
      <w:marBottom w:val="0"/>
      <w:divBdr>
        <w:top w:val="none" w:sz="0" w:space="0" w:color="auto"/>
        <w:left w:val="none" w:sz="0" w:space="0" w:color="auto"/>
        <w:bottom w:val="none" w:sz="0" w:space="0" w:color="auto"/>
        <w:right w:val="none" w:sz="0" w:space="0" w:color="auto"/>
      </w:divBdr>
    </w:div>
    <w:div w:id="454443930">
      <w:bodyDiv w:val="1"/>
      <w:marLeft w:val="0"/>
      <w:marRight w:val="0"/>
      <w:marTop w:val="0"/>
      <w:marBottom w:val="0"/>
      <w:divBdr>
        <w:top w:val="none" w:sz="0" w:space="0" w:color="auto"/>
        <w:left w:val="none" w:sz="0" w:space="0" w:color="auto"/>
        <w:bottom w:val="none" w:sz="0" w:space="0" w:color="auto"/>
        <w:right w:val="none" w:sz="0" w:space="0" w:color="auto"/>
      </w:divBdr>
    </w:div>
    <w:div w:id="517429890">
      <w:bodyDiv w:val="1"/>
      <w:marLeft w:val="0"/>
      <w:marRight w:val="0"/>
      <w:marTop w:val="0"/>
      <w:marBottom w:val="0"/>
      <w:divBdr>
        <w:top w:val="none" w:sz="0" w:space="0" w:color="auto"/>
        <w:left w:val="none" w:sz="0" w:space="0" w:color="auto"/>
        <w:bottom w:val="none" w:sz="0" w:space="0" w:color="auto"/>
        <w:right w:val="none" w:sz="0" w:space="0" w:color="auto"/>
      </w:divBdr>
    </w:div>
    <w:div w:id="521284335">
      <w:bodyDiv w:val="1"/>
      <w:marLeft w:val="0"/>
      <w:marRight w:val="0"/>
      <w:marTop w:val="0"/>
      <w:marBottom w:val="0"/>
      <w:divBdr>
        <w:top w:val="none" w:sz="0" w:space="0" w:color="auto"/>
        <w:left w:val="none" w:sz="0" w:space="0" w:color="auto"/>
        <w:bottom w:val="none" w:sz="0" w:space="0" w:color="auto"/>
        <w:right w:val="none" w:sz="0" w:space="0" w:color="auto"/>
      </w:divBdr>
    </w:div>
    <w:div w:id="559246136">
      <w:bodyDiv w:val="1"/>
      <w:marLeft w:val="0"/>
      <w:marRight w:val="0"/>
      <w:marTop w:val="0"/>
      <w:marBottom w:val="0"/>
      <w:divBdr>
        <w:top w:val="none" w:sz="0" w:space="0" w:color="auto"/>
        <w:left w:val="none" w:sz="0" w:space="0" w:color="auto"/>
        <w:bottom w:val="none" w:sz="0" w:space="0" w:color="auto"/>
        <w:right w:val="none" w:sz="0" w:space="0" w:color="auto"/>
      </w:divBdr>
    </w:div>
    <w:div w:id="597325861">
      <w:bodyDiv w:val="1"/>
      <w:marLeft w:val="0"/>
      <w:marRight w:val="0"/>
      <w:marTop w:val="0"/>
      <w:marBottom w:val="0"/>
      <w:divBdr>
        <w:top w:val="none" w:sz="0" w:space="0" w:color="auto"/>
        <w:left w:val="none" w:sz="0" w:space="0" w:color="auto"/>
        <w:bottom w:val="none" w:sz="0" w:space="0" w:color="auto"/>
        <w:right w:val="none" w:sz="0" w:space="0" w:color="auto"/>
      </w:divBdr>
    </w:div>
    <w:div w:id="630132305">
      <w:bodyDiv w:val="1"/>
      <w:marLeft w:val="0"/>
      <w:marRight w:val="0"/>
      <w:marTop w:val="0"/>
      <w:marBottom w:val="0"/>
      <w:divBdr>
        <w:top w:val="none" w:sz="0" w:space="0" w:color="auto"/>
        <w:left w:val="none" w:sz="0" w:space="0" w:color="auto"/>
        <w:bottom w:val="none" w:sz="0" w:space="0" w:color="auto"/>
        <w:right w:val="none" w:sz="0" w:space="0" w:color="auto"/>
      </w:divBdr>
    </w:div>
    <w:div w:id="649943712">
      <w:bodyDiv w:val="1"/>
      <w:marLeft w:val="0"/>
      <w:marRight w:val="0"/>
      <w:marTop w:val="0"/>
      <w:marBottom w:val="0"/>
      <w:divBdr>
        <w:top w:val="none" w:sz="0" w:space="0" w:color="auto"/>
        <w:left w:val="none" w:sz="0" w:space="0" w:color="auto"/>
        <w:bottom w:val="none" w:sz="0" w:space="0" w:color="auto"/>
        <w:right w:val="none" w:sz="0" w:space="0" w:color="auto"/>
      </w:divBdr>
    </w:div>
    <w:div w:id="688869746">
      <w:bodyDiv w:val="1"/>
      <w:marLeft w:val="0"/>
      <w:marRight w:val="0"/>
      <w:marTop w:val="0"/>
      <w:marBottom w:val="0"/>
      <w:divBdr>
        <w:top w:val="none" w:sz="0" w:space="0" w:color="auto"/>
        <w:left w:val="none" w:sz="0" w:space="0" w:color="auto"/>
        <w:bottom w:val="none" w:sz="0" w:space="0" w:color="auto"/>
        <w:right w:val="none" w:sz="0" w:space="0" w:color="auto"/>
      </w:divBdr>
    </w:div>
    <w:div w:id="746918878">
      <w:bodyDiv w:val="1"/>
      <w:marLeft w:val="0"/>
      <w:marRight w:val="0"/>
      <w:marTop w:val="0"/>
      <w:marBottom w:val="0"/>
      <w:divBdr>
        <w:top w:val="none" w:sz="0" w:space="0" w:color="auto"/>
        <w:left w:val="none" w:sz="0" w:space="0" w:color="auto"/>
        <w:bottom w:val="none" w:sz="0" w:space="0" w:color="auto"/>
        <w:right w:val="none" w:sz="0" w:space="0" w:color="auto"/>
      </w:divBdr>
    </w:div>
    <w:div w:id="798038611">
      <w:bodyDiv w:val="1"/>
      <w:marLeft w:val="0"/>
      <w:marRight w:val="0"/>
      <w:marTop w:val="0"/>
      <w:marBottom w:val="0"/>
      <w:divBdr>
        <w:top w:val="none" w:sz="0" w:space="0" w:color="auto"/>
        <w:left w:val="none" w:sz="0" w:space="0" w:color="auto"/>
        <w:bottom w:val="none" w:sz="0" w:space="0" w:color="auto"/>
        <w:right w:val="none" w:sz="0" w:space="0" w:color="auto"/>
      </w:divBdr>
    </w:div>
    <w:div w:id="860625133">
      <w:bodyDiv w:val="1"/>
      <w:marLeft w:val="0"/>
      <w:marRight w:val="0"/>
      <w:marTop w:val="0"/>
      <w:marBottom w:val="0"/>
      <w:divBdr>
        <w:top w:val="none" w:sz="0" w:space="0" w:color="auto"/>
        <w:left w:val="none" w:sz="0" w:space="0" w:color="auto"/>
        <w:bottom w:val="none" w:sz="0" w:space="0" w:color="auto"/>
        <w:right w:val="none" w:sz="0" w:space="0" w:color="auto"/>
      </w:divBdr>
    </w:div>
    <w:div w:id="933853801">
      <w:bodyDiv w:val="1"/>
      <w:marLeft w:val="0"/>
      <w:marRight w:val="0"/>
      <w:marTop w:val="0"/>
      <w:marBottom w:val="0"/>
      <w:divBdr>
        <w:top w:val="none" w:sz="0" w:space="0" w:color="auto"/>
        <w:left w:val="none" w:sz="0" w:space="0" w:color="auto"/>
        <w:bottom w:val="none" w:sz="0" w:space="0" w:color="auto"/>
        <w:right w:val="none" w:sz="0" w:space="0" w:color="auto"/>
      </w:divBdr>
    </w:div>
    <w:div w:id="1045569619">
      <w:bodyDiv w:val="1"/>
      <w:marLeft w:val="0"/>
      <w:marRight w:val="0"/>
      <w:marTop w:val="0"/>
      <w:marBottom w:val="0"/>
      <w:divBdr>
        <w:top w:val="none" w:sz="0" w:space="0" w:color="auto"/>
        <w:left w:val="none" w:sz="0" w:space="0" w:color="auto"/>
        <w:bottom w:val="none" w:sz="0" w:space="0" w:color="auto"/>
        <w:right w:val="none" w:sz="0" w:space="0" w:color="auto"/>
      </w:divBdr>
    </w:div>
    <w:div w:id="1080718139">
      <w:bodyDiv w:val="1"/>
      <w:marLeft w:val="0"/>
      <w:marRight w:val="0"/>
      <w:marTop w:val="0"/>
      <w:marBottom w:val="0"/>
      <w:divBdr>
        <w:top w:val="none" w:sz="0" w:space="0" w:color="auto"/>
        <w:left w:val="none" w:sz="0" w:space="0" w:color="auto"/>
        <w:bottom w:val="none" w:sz="0" w:space="0" w:color="auto"/>
        <w:right w:val="none" w:sz="0" w:space="0" w:color="auto"/>
      </w:divBdr>
    </w:div>
    <w:div w:id="1149781887">
      <w:bodyDiv w:val="1"/>
      <w:marLeft w:val="0"/>
      <w:marRight w:val="0"/>
      <w:marTop w:val="0"/>
      <w:marBottom w:val="0"/>
      <w:divBdr>
        <w:top w:val="none" w:sz="0" w:space="0" w:color="auto"/>
        <w:left w:val="none" w:sz="0" w:space="0" w:color="auto"/>
        <w:bottom w:val="none" w:sz="0" w:space="0" w:color="auto"/>
        <w:right w:val="none" w:sz="0" w:space="0" w:color="auto"/>
      </w:divBdr>
    </w:div>
    <w:div w:id="1157301547">
      <w:bodyDiv w:val="1"/>
      <w:marLeft w:val="0"/>
      <w:marRight w:val="0"/>
      <w:marTop w:val="0"/>
      <w:marBottom w:val="0"/>
      <w:divBdr>
        <w:top w:val="none" w:sz="0" w:space="0" w:color="auto"/>
        <w:left w:val="none" w:sz="0" w:space="0" w:color="auto"/>
        <w:bottom w:val="none" w:sz="0" w:space="0" w:color="auto"/>
        <w:right w:val="none" w:sz="0" w:space="0" w:color="auto"/>
      </w:divBdr>
    </w:div>
    <w:div w:id="1168179630">
      <w:bodyDiv w:val="1"/>
      <w:marLeft w:val="0"/>
      <w:marRight w:val="0"/>
      <w:marTop w:val="0"/>
      <w:marBottom w:val="0"/>
      <w:divBdr>
        <w:top w:val="none" w:sz="0" w:space="0" w:color="auto"/>
        <w:left w:val="none" w:sz="0" w:space="0" w:color="auto"/>
        <w:bottom w:val="none" w:sz="0" w:space="0" w:color="auto"/>
        <w:right w:val="none" w:sz="0" w:space="0" w:color="auto"/>
      </w:divBdr>
    </w:div>
    <w:div w:id="1234975223">
      <w:bodyDiv w:val="1"/>
      <w:marLeft w:val="0"/>
      <w:marRight w:val="0"/>
      <w:marTop w:val="0"/>
      <w:marBottom w:val="0"/>
      <w:divBdr>
        <w:top w:val="none" w:sz="0" w:space="0" w:color="auto"/>
        <w:left w:val="none" w:sz="0" w:space="0" w:color="auto"/>
        <w:bottom w:val="none" w:sz="0" w:space="0" w:color="auto"/>
        <w:right w:val="none" w:sz="0" w:space="0" w:color="auto"/>
      </w:divBdr>
    </w:div>
    <w:div w:id="1252465727">
      <w:bodyDiv w:val="1"/>
      <w:marLeft w:val="0"/>
      <w:marRight w:val="0"/>
      <w:marTop w:val="0"/>
      <w:marBottom w:val="0"/>
      <w:divBdr>
        <w:top w:val="none" w:sz="0" w:space="0" w:color="auto"/>
        <w:left w:val="none" w:sz="0" w:space="0" w:color="auto"/>
        <w:bottom w:val="none" w:sz="0" w:space="0" w:color="auto"/>
        <w:right w:val="none" w:sz="0" w:space="0" w:color="auto"/>
      </w:divBdr>
    </w:div>
    <w:div w:id="1362897914">
      <w:bodyDiv w:val="1"/>
      <w:marLeft w:val="0"/>
      <w:marRight w:val="0"/>
      <w:marTop w:val="0"/>
      <w:marBottom w:val="0"/>
      <w:divBdr>
        <w:top w:val="none" w:sz="0" w:space="0" w:color="auto"/>
        <w:left w:val="none" w:sz="0" w:space="0" w:color="auto"/>
        <w:bottom w:val="none" w:sz="0" w:space="0" w:color="auto"/>
        <w:right w:val="none" w:sz="0" w:space="0" w:color="auto"/>
      </w:divBdr>
    </w:div>
    <w:div w:id="1421220504">
      <w:bodyDiv w:val="1"/>
      <w:marLeft w:val="0"/>
      <w:marRight w:val="0"/>
      <w:marTop w:val="0"/>
      <w:marBottom w:val="0"/>
      <w:divBdr>
        <w:top w:val="none" w:sz="0" w:space="0" w:color="auto"/>
        <w:left w:val="none" w:sz="0" w:space="0" w:color="auto"/>
        <w:bottom w:val="none" w:sz="0" w:space="0" w:color="auto"/>
        <w:right w:val="none" w:sz="0" w:space="0" w:color="auto"/>
      </w:divBdr>
    </w:div>
    <w:div w:id="1426220391">
      <w:bodyDiv w:val="1"/>
      <w:marLeft w:val="0"/>
      <w:marRight w:val="0"/>
      <w:marTop w:val="0"/>
      <w:marBottom w:val="0"/>
      <w:divBdr>
        <w:top w:val="none" w:sz="0" w:space="0" w:color="auto"/>
        <w:left w:val="none" w:sz="0" w:space="0" w:color="auto"/>
        <w:bottom w:val="none" w:sz="0" w:space="0" w:color="auto"/>
        <w:right w:val="none" w:sz="0" w:space="0" w:color="auto"/>
      </w:divBdr>
    </w:div>
    <w:div w:id="1486510117">
      <w:bodyDiv w:val="1"/>
      <w:marLeft w:val="0"/>
      <w:marRight w:val="0"/>
      <w:marTop w:val="0"/>
      <w:marBottom w:val="0"/>
      <w:divBdr>
        <w:top w:val="none" w:sz="0" w:space="0" w:color="auto"/>
        <w:left w:val="none" w:sz="0" w:space="0" w:color="auto"/>
        <w:bottom w:val="none" w:sz="0" w:space="0" w:color="auto"/>
        <w:right w:val="none" w:sz="0" w:space="0" w:color="auto"/>
      </w:divBdr>
    </w:div>
    <w:div w:id="1517959473">
      <w:bodyDiv w:val="1"/>
      <w:marLeft w:val="0"/>
      <w:marRight w:val="0"/>
      <w:marTop w:val="0"/>
      <w:marBottom w:val="0"/>
      <w:divBdr>
        <w:top w:val="none" w:sz="0" w:space="0" w:color="auto"/>
        <w:left w:val="none" w:sz="0" w:space="0" w:color="auto"/>
        <w:bottom w:val="none" w:sz="0" w:space="0" w:color="auto"/>
        <w:right w:val="none" w:sz="0" w:space="0" w:color="auto"/>
      </w:divBdr>
    </w:div>
    <w:div w:id="1577321357">
      <w:bodyDiv w:val="1"/>
      <w:marLeft w:val="0"/>
      <w:marRight w:val="0"/>
      <w:marTop w:val="0"/>
      <w:marBottom w:val="0"/>
      <w:divBdr>
        <w:top w:val="none" w:sz="0" w:space="0" w:color="auto"/>
        <w:left w:val="none" w:sz="0" w:space="0" w:color="auto"/>
        <w:bottom w:val="none" w:sz="0" w:space="0" w:color="auto"/>
        <w:right w:val="none" w:sz="0" w:space="0" w:color="auto"/>
      </w:divBdr>
    </w:div>
    <w:div w:id="1592161950">
      <w:bodyDiv w:val="1"/>
      <w:marLeft w:val="0"/>
      <w:marRight w:val="0"/>
      <w:marTop w:val="0"/>
      <w:marBottom w:val="0"/>
      <w:divBdr>
        <w:top w:val="none" w:sz="0" w:space="0" w:color="auto"/>
        <w:left w:val="none" w:sz="0" w:space="0" w:color="auto"/>
        <w:bottom w:val="none" w:sz="0" w:space="0" w:color="auto"/>
        <w:right w:val="none" w:sz="0" w:space="0" w:color="auto"/>
      </w:divBdr>
    </w:div>
    <w:div w:id="1668746892">
      <w:bodyDiv w:val="1"/>
      <w:marLeft w:val="0"/>
      <w:marRight w:val="0"/>
      <w:marTop w:val="0"/>
      <w:marBottom w:val="0"/>
      <w:divBdr>
        <w:top w:val="none" w:sz="0" w:space="0" w:color="auto"/>
        <w:left w:val="none" w:sz="0" w:space="0" w:color="auto"/>
        <w:bottom w:val="none" w:sz="0" w:space="0" w:color="auto"/>
        <w:right w:val="none" w:sz="0" w:space="0" w:color="auto"/>
      </w:divBdr>
    </w:div>
    <w:div w:id="1734349990">
      <w:bodyDiv w:val="1"/>
      <w:marLeft w:val="0"/>
      <w:marRight w:val="0"/>
      <w:marTop w:val="0"/>
      <w:marBottom w:val="0"/>
      <w:divBdr>
        <w:top w:val="none" w:sz="0" w:space="0" w:color="auto"/>
        <w:left w:val="none" w:sz="0" w:space="0" w:color="auto"/>
        <w:bottom w:val="none" w:sz="0" w:space="0" w:color="auto"/>
        <w:right w:val="none" w:sz="0" w:space="0" w:color="auto"/>
      </w:divBdr>
    </w:div>
    <w:div w:id="1830320455">
      <w:bodyDiv w:val="1"/>
      <w:marLeft w:val="0"/>
      <w:marRight w:val="0"/>
      <w:marTop w:val="0"/>
      <w:marBottom w:val="0"/>
      <w:divBdr>
        <w:top w:val="none" w:sz="0" w:space="0" w:color="auto"/>
        <w:left w:val="none" w:sz="0" w:space="0" w:color="auto"/>
        <w:bottom w:val="none" w:sz="0" w:space="0" w:color="auto"/>
        <w:right w:val="none" w:sz="0" w:space="0" w:color="auto"/>
      </w:divBdr>
    </w:div>
    <w:div w:id="1891771252">
      <w:bodyDiv w:val="1"/>
      <w:marLeft w:val="0"/>
      <w:marRight w:val="0"/>
      <w:marTop w:val="0"/>
      <w:marBottom w:val="0"/>
      <w:divBdr>
        <w:top w:val="none" w:sz="0" w:space="0" w:color="auto"/>
        <w:left w:val="none" w:sz="0" w:space="0" w:color="auto"/>
        <w:bottom w:val="none" w:sz="0" w:space="0" w:color="auto"/>
        <w:right w:val="none" w:sz="0" w:space="0" w:color="auto"/>
      </w:divBdr>
    </w:div>
    <w:div w:id="1988976995">
      <w:bodyDiv w:val="1"/>
      <w:marLeft w:val="0"/>
      <w:marRight w:val="0"/>
      <w:marTop w:val="0"/>
      <w:marBottom w:val="0"/>
      <w:divBdr>
        <w:top w:val="none" w:sz="0" w:space="0" w:color="auto"/>
        <w:left w:val="none" w:sz="0" w:space="0" w:color="auto"/>
        <w:bottom w:val="none" w:sz="0" w:space="0" w:color="auto"/>
        <w:right w:val="none" w:sz="0" w:space="0" w:color="auto"/>
      </w:divBdr>
    </w:div>
    <w:div w:id="2096438914">
      <w:bodyDiv w:val="1"/>
      <w:marLeft w:val="0"/>
      <w:marRight w:val="0"/>
      <w:marTop w:val="0"/>
      <w:marBottom w:val="0"/>
      <w:divBdr>
        <w:top w:val="none" w:sz="0" w:space="0" w:color="auto"/>
        <w:left w:val="none" w:sz="0" w:space="0" w:color="auto"/>
        <w:bottom w:val="none" w:sz="0" w:space="0" w:color="auto"/>
        <w:right w:val="none" w:sz="0" w:space="0" w:color="auto"/>
      </w:divBdr>
    </w:div>
    <w:div w:id="2110470128">
      <w:bodyDiv w:val="1"/>
      <w:marLeft w:val="0"/>
      <w:marRight w:val="0"/>
      <w:marTop w:val="0"/>
      <w:marBottom w:val="0"/>
      <w:divBdr>
        <w:top w:val="none" w:sz="0" w:space="0" w:color="auto"/>
        <w:left w:val="none" w:sz="0" w:space="0" w:color="auto"/>
        <w:bottom w:val="none" w:sz="0" w:space="0" w:color="auto"/>
        <w:right w:val="none" w:sz="0" w:space="0" w:color="auto"/>
      </w:divBdr>
    </w:div>
    <w:div w:id="2145464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F8548E">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F8548E">
          <w:r w:rsidRPr="006D0F48">
            <w:rPr>
              <w:rStyle w:val="PlaceholderText"/>
            </w:rPr>
            <w:t>[Subject]</w:t>
          </w:r>
        </w:p>
      </w:docPartBody>
    </w:docPart>
    <w:docPart>
      <w:docPartPr>
        <w:name w:val="4E65651ED9B94465BA73B6B6EA85C626"/>
        <w:category>
          <w:name w:val="General"/>
          <w:gallery w:val="placeholder"/>
        </w:category>
        <w:types>
          <w:type w:val="bbPlcHdr"/>
        </w:types>
        <w:behaviors>
          <w:behavior w:val="content"/>
        </w:behaviors>
        <w:guid w:val="{0F8D689D-49C9-47DE-8FCF-C3422BFF09B8}"/>
      </w:docPartPr>
      <w:docPartBody>
        <w:p w:rsidR="00720F63" w:rsidRDefault="00F8548E">
          <w:r w:rsidRPr="007935A7">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F8548E" w:rsidP="00CE6602">
          <w:pPr>
            <w:pStyle w:val="C444DEE40D7C456B82AF1A09CD132AB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97D38"/>
    <w:rsid w:val="00275DDB"/>
    <w:rsid w:val="00304AFC"/>
    <w:rsid w:val="003B0BDA"/>
    <w:rsid w:val="00406D61"/>
    <w:rsid w:val="00500A2B"/>
    <w:rsid w:val="0058288D"/>
    <w:rsid w:val="005C1781"/>
    <w:rsid w:val="005C352A"/>
    <w:rsid w:val="006302AC"/>
    <w:rsid w:val="006801B3"/>
    <w:rsid w:val="006E2E8B"/>
    <w:rsid w:val="00720F63"/>
    <w:rsid w:val="007F1B76"/>
    <w:rsid w:val="00810A55"/>
    <w:rsid w:val="008C6619"/>
    <w:rsid w:val="008D420E"/>
    <w:rsid w:val="0093121A"/>
    <w:rsid w:val="0098642F"/>
    <w:rsid w:val="0099352E"/>
    <w:rsid w:val="00AD18F4"/>
    <w:rsid w:val="00B126EF"/>
    <w:rsid w:val="00B91A48"/>
    <w:rsid w:val="00BD0360"/>
    <w:rsid w:val="00C82269"/>
    <w:rsid w:val="00CA582D"/>
    <w:rsid w:val="00CE6602"/>
    <w:rsid w:val="00CF515E"/>
    <w:rsid w:val="00D26FA2"/>
    <w:rsid w:val="00D90D71"/>
    <w:rsid w:val="00DD4AE9"/>
    <w:rsid w:val="00E01D4B"/>
    <w:rsid w:val="00E37AAA"/>
    <w:rsid w:val="00F8548E"/>
    <w:rsid w:val="00FC2B60"/>
    <w:rsid w:val="00FF3D0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97D38"/>
    <w:rPr>
      <w:color w:val="808080"/>
    </w:rPr>
  </w:style>
  <w:style w:type="paragraph" w:customStyle="1" w:styleId="C444DEE40D7C456B82AF1A09CD132ABF">
    <w:name w:val="C444DEE40D7C456B82AF1A09CD132ABF"/>
    <w:rsid w:val="00CE6602"/>
    <w:pPr>
      <w:spacing w:after="160" w:line="259" w:lineRule="auto"/>
    </w:pPr>
  </w:style>
  <w:style w:type="paragraph" w:customStyle="1" w:styleId="1689B728E2D74DF08AC7982C76F86122">
    <w:name w:val="1689B728E2D74DF08AC7982C76F86122"/>
    <w:rsid w:val="00097D3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8502CDE3-2756-4E1B-837B-9C91E9C9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2811</Words>
  <Characters>16026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ГЛОБАЛЬНАЯ РАМОЧНАЯ ПРОГРАММА В ОБЛАСТИ БИОРАЗНООБРАЗИЯ НА ПЕРИОД ПОСЛЕ 2020 ГОДА: НАУЧНО-ТЕХНИЧЕСКАЯ ИНФОРМАЦИЯ В ПОДДЕРЖКУ ОБЗОРА ОБНОВЛЕННЫХ ЦЕЛЕЙ И ЗАДАЧ, А ТАКЖЕ СВЯЗАННЫХ С НИМИ ИНДИКАТОРОВ И ИСХОДНЫХ ПАРАМЕТРОВ</vt:lpstr>
    </vt:vector>
  </TitlesOfParts>
  <Company>SCBD</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CBD/SBSTTA/24/CRP.8</dc:subject>
  <dc:creator>SBSTTA-23</dc:creator>
  <cp:keywords>Subsidiary Body on Scientific, Technical and Technological Advice, Twenty-third meeting, Montreal, Canada, 25-29 November 2019</cp:keywords>
  <cp:lastModifiedBy>Xue He Yan</cp:lastModifiedBy>
  <cp:revision>5</cp:revision>
  <dcterms:created xsi:type="dcterms:W3CDTF">2021-06-05T15:29:00Z</dcterms:created>
  <dcterms:modified xsi:type="dcterms:W3CDTF">2021-06-05T15:48:00Z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