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B3DAA" w14:paraId="54509796" w14:textId="77777777" w:rsidTr="008A1499">
        <w:trPr>
          <w:trHeight w:val="850"/>
        </w:trPr>
        <w:tc>
          <w:tcPr>
            <w:tcW w:w="975" w:type="dxa"/>
            <w:vAlign w:val="bottom"/>
          </w:tcPr>
          <w:p w14:paraId="72EA4708" w14:textId="77777777" w:rsidR="008A1499" w:rsidRPr="00FB3DAA" w:rsidRDefault="008A1499" w:rsidP="008A1499">
            <w:pPr>
              <w:pStyle w:val="AASmallLogo"/>
              <w:rPr>
                <w:lang w:val="es-ES"/>
              </w:rPr>
            </w:pPr>
            <w:r w:rsidRPr="00FB3DAA">
              <w:rPr>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B3DAA">
              <w:rPr>
                <w:lang w:val="es-ES"/>
              </w:rPr>
              <w:t xml:space="preserve"> </w:t>
            </w:r>
          </w:p>
          <w:p w14:paraId="20B3E755" w14:textId="77777777" w:rsidR="008A1499" w:rsidRPr="00FB3DAA" w:rsidRDefault="008A1499" w:rsidP="008A1499">
            <w:pPr>
              <w:pStyle w:val="AASmallLogo"/>
              <w:rPr>
                <w:lang w:val="es-ES"/>
              </w:rPr>
            </w:pPr>
          </w:p>
        </w:tc>
        <w:tc>
          <w:tcPr>
            <w:tcW w:w="1434" w:type="dxa"/>
            <w:noWrap/>
            <w:vAlign w:val="bottom"/>
          </w:tcPr>
          <w:p w14:paraId="30BE713C" w14:textId="6939E788" w:rsidR="008A1499" w:rsidRPr="00FB3DAA" w:rsidRDefault="00B622EB" w:rsidP="008A1499">
            <w:pPr>
              <w:pStyle w:val="AASmallLogo"/>
              <w:rPr>
                <w:lang w:val="es-ES"/>
              </w:rPr>
            </w:pPr>
            <w:r w:rsidRPr="00FB3DAA">
              <w:rPr>
                <w:sz w:val="22"/>
                <w:lang w:val="es-ES" w:eastAsia="es-ES"/>
              </w:rPr>
              <w:drawing>
                <wp:inline distT="0" distB="0" distL="0" distR="0" wp14:anchorId="6D742A24" wp14:editId="1C8189D6">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FB3DAA">
              <w:rPr>
                <w:lang w:val="es-ES"/>
              </w:rPr>
              <w:t xml:space="preserve"> </w:t>
            </w:r>
          </w:p>
          <w:p w14:paraId="150ADDF8" w14:textId="77777777" w:rsidR="008A1499" w:rsidRPr="00FB3DAA" w:rsidRDefault="008A1499" w:rsidP="008A1499">
            <w:pPr>
              <w:pStyle w:val="AASmallLogo"/>
              <w:rPr>
                <w:lang w:val="es-ES"/>
              </w:rPr>
            </w:pPr>
          </w:p>
        </w:tc>
        <w:tc>
          <w:tcPr>
            <w:tcW w:w="8073" w:type="dxa"/>
            <w:vAlign w:val="bottom"/>
          </w:tcPr>
          <w:p w14:paraId="5CF23E65" w14:textId="4075BC3C" w:rsidR="008A1499" w:rsidRPr="00FB3DAA" w:rsidRDefault="008A1499" w:rsidP="003F1A75">
            <w:pPr>
              <w:pStyle w:val="ABSymbol"/>
              <w:rPr>
                <w:lang w:val="es-ES"/>
              </w:rPr>
            </w:pPr>
            <w:r w:rsidRPr="00FB3DAA">
              <w:rPr>
                <w:sz w:val="40"/>
                <w:lang w:val="es-ES"/>
              </w:rPr>
              <w:t>CBD</w:t>
            </w:r>
            <w:r w:rsidRPr="00FB3DAA">
              <w:rPr>
                <w:lang w:val="es-ES"/>
              </w:rPr>
              <w:t>/</w:t>
            </w:r>
            <w:r w:rsidR="00F041E5" w:rsidRPr="00FB3DAA">
              <w:rPr>
                <w:lang w:val="es-ES"/>
              </w:rPr>
              <w:t>C</w:t>
            </w:r>
            <w:r w:rsidR="00975047" w:rsidRPr="00FB3DAA">
              <w:rPr>
                <w:lang w:val="es-ES"/>
              </w:rPr>
              <w:t>P</w:t>
            </w:r>
            <w:r w:rsidRPr="00FB3DAA">
              <w:rPr>
                <w:lang w:val="es-ES"/>
              </w:rPr>
              <w:t>/</w:t>
            </w:r>
            <w:r w:rsidR="00975047" w:rsidRPr="00FB3DAA">
              <w:rPr>
                <w:lang w:val="es-ES"/>
              </w:rPr>
              <w:t>MOP/</w:t>
            </w:r>
            <w:r w:rsidR="00F041E5" w:rsidRPr="00FB3DAA">
              <w:rPr>
                <w:lang w:val="es-ES"/>
              </w:rPr>
              <w:t>12</w:t>
            </w:r>
            <w:r w:rsidR="00975047" w:rsidRPr="00FB3DAA">
              <w:rPr>
                <w:lang w:val="es-ES"/>
              </w:rPr>
              <w:t>/</w:t>
            </w:r>
            <w:r w:rsidR="000F12D2" w:rsidRPr="00FB3DAA">
              <w:rPr>
                <w:lang w:val="es-ES"/>
              </w:rPr>
              <w:t>L.9</w:t>
            </w:r>
          </w:p>
        </w:tc>
      </w:tr>
    </w:tbl>
    <w:p w14:paraId="32D428BD" w14:textId="77777777" w:rsidR="008A1499" w:rsidRPr="00FB3DAA"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B3DAA" w14:paraId="68564309" w14:textId="77777777" w:rsidTr="008A1499">
        <w:trPr>
          <w:trHeight w:val="1814"/>
        </w:trPr>
        <w:tc>
          <w:tcPr>
            <w:tcW w:w="7370" w:type="dxa"/>
          </w:tcPr>
          <w:p w14:paraId="102BACEF" w14:textId="398C7078" w:rsidR="008A1499" w:rsidRPr="00FB3DAA" w:rsidRDefault="00B622EB" w:rsidP="008A1499">
            <w:pPr>
              <w:pStyle w:val="ACLargeLogo"/>
              <w:rPr>
                <w:lang w:val="es-ES"/>
              </w:rPr>
            </w:pPr>
            <w:r w:rsidRPr="00FB3DAA">
              <w:rPr>
                <w:sz w:val="22"/>
                <w:lang w:val="es-ES" w:eastAsia="es-ES"/>
              </w:rPr>
              <w:drawing>
                <wp:inline distT="0" distB="0" distL="0" distR="0" wp14:anchorId="5BC36D74" wp14:editId="734AEE61">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8A1499" w:rsidRPr="00FB3DAA">
              <w:rPr>
                <w:lang w:val="es-ES"/>
              </w:rPr>
              <w:t xml:space="preserve"> </w:t>
            </w:r>
          </w:p>
          <w:p w14:paraId="7696113B" w14:textId="77777777" w:rsidR="008A1499" w:rsidRPr="00FB3DAA" w:rsidRDefault="008A1499" w:rsidP="008A1499">
            <w:pPr>
              <w:pStyle w:val="ACLargeLogo"/>
              <w:rPr>
                <w:lang w:val="es-ES"/>
              </w:rPr>
            </w:pPr>
          </w:p>
        </w:tc>
        <w:tc>
          <w:tcPr>
            <w:tcW w:w="3112" w:type="dxa"/>
          </w:tcPr>
          <w:p w14:paraId="761FFE6A" w14:textId="6D111A59" w:rsidR="008A1499" w:rsidRPr="00FB3DAA" w:rsidRDefault="008A1499" w:rsidP="008A1499">
            <w:pPr>
              <w:pStyle w:val="AEDistrNormal"/>
              <w:rPr>
                <w:lang w:val="es-ES"/>
              </w:rPr>
            </w:pPr>
            <w:r w:rsidRPr="00FB3DAA">
              <w:rPr>
                <w:lang w:val="es-ES"/>
              </w:rPr>
              <w:t>Distr.</w:t>
            </w:r>
            <w:r w:rsidR="00B622EB" w:rsidRPr="00FB3DAA">
              <w:rPr>
                <w:lang w:val="es-ES"/>
              </w:rPr>
              <w:t xml:space="preserve"> limitada</w:t>
            </w:r>
            <w:r w:rsidRPr="00FB3DAA">
              <w:rPr>
                <w:lang w:val="es-ES"/>
              </w:rPr>
              <w:t xml:space="preserve"> </w:t>
            </w:r>
          </w:p>
          <w:p w14:paraId="1C2D3302" w14:textId="14E0CC52" w:rsidR="008A1499" w:rsidRPr="00FB3DAA" w:rsidRDefault="006712EF" w:rsidP="00B622EB">
            <w:pPr>
              <w:pStyle w:val="AEDistrNormal"/>
              <w:rPr>
                <w:lang w:val="es-ES"/>
              </w:rPr>
            </w:pPr>
            <w:r w:rsidRPr="00FB3DAA">
              <w:rPr>
                <w:lang w:val="es-ES"/>
              </w:rPr>
              <w:t>2</w:t>
            </w:r>
            <w:r w:rsidR="006D7B26" w:rsidRPr="00FB3DAA">
              <w:rPr>
                <w:lang w:val="es-ES"/>
              </w:rPr>
              <w:t>3</w:t>
            </w:r>
            <w:r w:rsidR="00B622EB" w:rsidRPr="00FB3DAA">
              <w:rPr>
                <w:lang w:val="es-ES"/>
              </w:rPr>
              <w:t xml:space="preserve"> de octubre de </w:t>
            </w:r>
            <w:r w:rsidR="008D41D3" w:rsidRPr="00FB3DAA">
              <w:rPr>
                <w:lang w:val="es-ES"/>
              </w:rPr>
              <w:t>2026</w:t>
            </w:r>
            <w:r w:rsidR="00B622EB" w:rsidRPr="00FB3DAA">
              <w:rPr>
                <w:lang w:val="es-ES"/>
              </w:rPr>
              <w:br/>
              <w:t>Español</w:t>
            </w:r>
            <w:r w:rsidR="00B622EB" w:rsidRPr="00FB3DAA">
              <w:rPr>
                <w:lang w:val="es-ES"/>
              </w:rPr>
              <w:br/>
            </w:r>
            <w:r w:rsidR="008A1499" w:rsidRPr="00FB3DAA">
              <w:rPr>
                <w:lang w:val="es-ES"/>
              </w:rPr>
              <w:t xml:space="preserve">Original: </w:t>
            </w:r>
            <w:r w:rsidR="00B622EB" w:rsidRPr="00FB3DAA">
              <w:rPr>
                <w:lang w:val="es-ES"/>
              </w:rPr>
              <w:t>inglés</w:t>
            </w:r>
            <w:r w:rsidR="008A1499" w:rsidRPr="00FB3DAA">
              <w:rPr>
                <w:lang w:val="es-ES"/>
              </w:rPr>
              <w:t xml:space="preserve"> </w:t>
            </w:r>
          </w:p>
          <w:p w14:paraId="0D0A89D4" w14:textId="77777777" w:rsidR="008A1499" w:rsidRPr="00FB3DAA" w:rsidRDefault="008A1499" w:rsidP="008A1499">
            <w:pPr>
              <w:pStyle w:val="AEDistrNormal6pt"/>
              <w:rPr>
                <w:lang w:val="es-ES"/>
              </w:rPr>
            </w:pPr>
          </w:p>
        </w:tc>
      </w:tr>
    </w:tbl>
    <w:p w14:paraId="505692E0" w14:textId="77777777" w:rsidR="008A1499" w:rsidRPr="00FB3DAA"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B3DAA" w14:paraId="7DD2392B" w14:textId="77777777" w:rsidTr="008A1499">
        <w:trPr>
          <w:trHeight w:val="57"/>
        </w:trPr>
        <w:tc>
          <w:tcPr>
            <w:tcW w:w="6094" w:type="dxa"/>
          </w:tcPr>
          <w:p w14:paraId="2AA6CC6E" w14:textId="77777777" w:rsidR="00D574AC" w:rsidRPr="00FB3DAA" w:rsidRDefault="00D574AC" w:rsidP="00D574AC">
            <w:pPr>
              <w:pStyle w:val="AFCorN12Bold"/>
              <w:ind w:left="-43"/>
              <w:rPr>
                <w:szCs w:val="24"/>
                <w:lang w:val="es-ES"/>
              </w:rPr>
            </w:pPr>
            <w:bookmarkStart w:id="0" w:name="_Hlk243556352"/>
            <w:r w:rsidRPr="00FB3DAA">
              <w:rPr>
                <w:szCs w:val="24"/>
                <w:lang w:val="es-ES"/>
              </w:rPr>
              <w:t xml:space="preserve">Conferencia de las Partes en el Convenio sobre </w:t>
            </w:r>
          </w:p>
          <w:p w14:paraId="5BFD6343" w14:textId="77777777" w:rsidR="00D574AC" w:rsidRPr="00FB3DAA" w:rsidRDefault="00D574AC" w:rsidP="00D574AC">
            <w:pPr>
              <w:pStyle w:val="AFCorN12Bold"/>
              <w:ind w:left="-43"/>
              <w:rPr>
                <w:szCs w:val="24"/>
                <w:lang w:val="es-ES"/>
              </w:rPr>
            </w:pPr>
            <w:r w:rsidRPr="00FB3DAA">
              <w:rPr>
                <w:szCs w:val="24"/>
                <w:lang w:val="es-ES"/>
              </w:rPr>
              <w:t xml:space="preserve">la Diversidad Biológica que actúa como reunión de </w:t>
            </w:r>
          </w:p>
          <w:p w14:paraId="4AD00E11" w14:textId="68DA9F27" w:rsidR="008A1499" w:rsidRPr="00FB3DAA" w:rsidRDefault="00D574AC" w:rsidP="00D574AC">
            <w:pPr>
              <w:pStyle w:val="AFCorNBold"/>
              <w:ind w:left="-43"/>
              <w:rPr>
                <w:sz w:val="24"/>
                <w:szCs w:val="24"/>
                <w:lang w:val="es-ES"/>
              </w:rPr>
            </w:pPr>
            <w:r w:rsidRPr="00FB3DAA">
              <w:rPr>
                <w:sz w:val="24"/>
                <w:szCs w:val="24"/>
                <w:lang w:val="es-ES"/>
              </w:rPr>
              <w:t xml:space="preserve">las Partes en el Protocolo de Cartagena sobre Seguridad de la Biotecnología </w:t>
            </w:r>
            <w:bookmarkEnd w:id="0"/>
            <w:r w:rsidRPr="00FB3DAA">
              <w:rPr>
                <w:sz w:val="24"/>
                <w:szCs w:val="24"/>
                <w:lang w:val="es-ES"/>
              </w:rPr>
              <w:br/>
            </w:r>
            <w:r w:rsidRPr="00FB3DAA">
              <w:rPr>
                <w:lang w:val="es-ES"/>
              </w:rPr>
              <w:t>12ª reunión</w:t>
            </w:r>
            <w:r w:rsidR="008A1499" w:rsidRPr="00FB3DAA">
              <w:rPr>
                <w:lang w:val="es-ES"/>
              </w:rPr>
              <w:t xml:space="preserve"> </w:t>
            </w:r>
          </w:p>
          <w:p w14:paraId="6AB06FD1" w14:textId="77777777" w:rsidR="00D574AC" w:rsidRPr="00FB3DAA" w:rsidRDefault="00D574AC" w:rsidP="00D574AC">
            <w:pPr>
              <w:pStyle w:val="AFCorNNormal"/>
              <w:ind w:left="-43"/>
              <w:rPr>
                <w:lang w:val="es-ES"/>
              </w:rPr>
            </w:pPr>
            <w:r w:rsidRPr="00FB3DAA">
              <w:rPr>
                <w:lang w:val="es-ES"/>
              </w:rPr>
              <w:t>Ereván (Armenia), 19 a 30 de octubre de 2026</w:t>
            </w:r>
          </w:p>
          <w:p w14:paraId="0DBE9193" w14:textId="7E78D9ED" w:rsidR="00D574AC" w:rsidRPr="00FB3DAA" w:rsidRDefault="00D574AC" w:rsidP="00D574AC">
            <w:pPr>
              <w:pStyle w:val="AFCorNNormal"/>
              <w:ind w:left="-43"/>
              <w:rPr>
                <w:lang w:val="es-ES"/>
              </w:rPr>
            </w:pPr>
            <w:r w:rsidRPr="00FB3DAA">
              <w:rPr>
                <w:lang w:val="es-ES"/>
              </w:rPr>
              <w:t xml:space="preserve">Tema 9 del programa </w:t>
            </w:r>
          </w:p>
          <w:p w14:paraId="5CAAF4FB" w14:textId="5C794819" w:rsidR="0027049E" w:rsidRPr="00FB3DAA" w:rsidRDefault="00D574AC" w:rsidP="00363DDA">
            <w:pPr>
              <w:pStyle w:val="AFCorNBold"/>
              <w:rPr>
                <w:lang w:val="es-ES"/>
              </w:rPr>
            </w:pPr>
            <w:r w:rsidRPr="00FB3DAA">
              <w:rPr>
                <w:lang w:val="es-ES"/>
              </w:rPr>
              <w:t>Asuntos relacionados con el mecanismo financiero y los recursos financieros</w:t>
            </w:r>
          </w:p>
        </w:tc>
        <w:tc>
          <w:tcPr>
            <w:tcW w:w="4388" w:type="dxa"/>
          </w:tcPr>
          <w:p w14:paraId="2585170E" w14:textId="77777777" w:rsidR="008A1499" w:rsidRPr="00FB3DAA" w:rsidRDefault="008A1499" w:rsidP="008A1499">
            <w:pPr>
              <w:pStyle w:val="CBDNormal"/>
              <w:jc w:val="left"/>
              <w:rPr>
                <w:lang w:val="es-ES"/>
              </w:rPr>
            </w:pPr>
          </w:p>
        </w:tc>
      </w:tr>
    </w:tbl>
    <w:p w14:paraId="04E81299" w14:textId="27894A75" w:rsidR="00C9161D" w:rsidRPr="00FB3DAA" w:rsidRDefault="00D574AC" w:rsidP="006712EF">
      <w:pPr>
        <w:pStyle w:val="CBDTitle"/>
        <w:rPr>
          <w:caps/>
          <w:lang w:val="es-ES"/>
        </w:rPr>
      </w:pPr>
      <w:sdt>
        <w:sdtPr>
          <w:rPr>
            <w:lang w:val="es-ES"/>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Pr="00FB3DAA">
            <w:rPr>
              <w:lang w:val="es-ES"/>
            </w:rPr>
            <w:t>Asuntos relacionados con el mecanismo financiero y los recursos financieros</w:t>
          </w:r>
        </w:sdtContent>
      </w:sdt>
      <w:r w:rsidR="00105372" w:rsidRPr="00FB3DAA">
        <w:rPr>
          <w:caps/>
          <w:lang w:val="es-ES"/>
        </w:rPr>
        <w:t xml:space="preserve"> </w:t>
      </w:r>
    </w:p>
    <w:p w14:paraId="561E2151" w14:textId="46B4CCFD" w:rsidR="00F6586C" w:rsidRPr="00FB3DAA" w:rsidRDefault="00D574AC" w:rsidP="00A111D1">
      <w:pPr>
        <w:pStyle w:val="CBDSubTitle"/>
        <w:rPr>
          <w:lang w:val="es-ES"/>
        </w:rPr>
      </w:pPr>
      <w:r w:rsidRPr="00FB3DAA">
        <w:rPr>
          <w:lang w:val="es-ES"/>
        </w:rPr>
        <w:t xml:space="preserve">Proyecto de decisión presentado por la Presidencia del Grupo de Trabajo </w:t>
      </w:r>
      <w:r w:rsidR="0027049E" w:rsidRPr="00FB3DAA">
        <w:rPr>
          <w:lang w:val="es-ES"/>
        </w:rPr>
        <w:t>II</w:t>
      </w:r>
    </w:p>
    <w:p w14:paraId="7E5FC34F" w14:textId="77777777" w:rsidR="001F1AFD" w:rsidRPr="00FB3DAA" w:rsidRDefault="001F1AFD" w:rsidP="001F1AFD">
      <w:pPr>
        <w:pStyle w:val="CBDRecommendText"/>
        <w:tabs>
          <w:tab w:val="clear" w:pos="567"/>
        </w:tabs>
        <w:ind w:left="576" w:firstLine="558"/>
        <w:rPr>
          <w:i/>
          <w:iCs/>
          <w:lang w:val="es-ES"/>
        </w:rPr>
      </w:pPr>
      <w:r w:rsidRPr="00FB3DAA">
        <w:rPr>
          <w:i/>
          <w:lang w:val="es-ES"/>
        </w:rPr>
        <w:t>La Conferencia de las Partes que actúa como reunión de las Partes en el Protocolo de Cartagena,</w:t>
      </w:r>
    </w:p>
    <w:p w14:paraId="3AD4B206" w14:textId="04AD6E51" w:rsidR="001F1AFD" w:rsidRPr="00FB3DAA" w:rsidRDefault="001F1AFD" w:rsidP="001F1AFD">
      <w:pPr>
        <w:pStyle w:val="CBDNormalNumber"/>
        <w:numPr>
          <w:ilvl w:val="0"/>
          <w:numId w:val="0"/>
        </w:numPr>
        <w:ind w:left="567" w:firstLine="567"/>
        <w:rPr>
          <w:lang w:val="es-ES"/>
        </w:rPr>
      </w:pPr>
      <w:r w:rsidRPr="00FB3DAA">
        <w:rPr>
          <w:i/>
          <w:lang w:val="es-ES"/>
        </w:rPr>
        <w:t>Recordando</w:t>
      </w:r>
      <w:r w:rsidRPr="00FB3DAA">
        <w:rPr>
          <w:lang w:val="es-ES"/>
        </w:rPr>
        <w:t xml:space="preserve"> el </w:t>
      </w:r>
      <w:r w:rsidR="00220164" w:rsidRPr="00FB3DAA">
        <w:rPr>
          <w:lang w:val="es-ES"/>
        </w:rPr>
        <w:t>artículo  21 del Convenio sobre la Diversidad Biológica</w:t>
      </w:r>
      <w:r w:rsidR="00220164" w:rsidRPr="00FB3DAA">
        <w:rPr>
          <w:rStyle w:val="FootnoteReference"/>
          <w:lang w:val="es-ES"/>
        </w:rPr>
        <w:footnoteReference w:id="1"/>
      </w:r>
      <w:r w:rsidR="00220164" w:rsidRPr="00FB3DAA">
        <w:rPr>
          <w:lang w:val="es-ES"/>
        </w:rPr>
        <w:t xml:space="preserve"> </w:t>
      </w:r>
      <w:r w:rsidR="00220164" w:rsidRPr="00FB3DAA">
        <w:rPr>
          <w:lang w:val="es-ES"/>
        </w:rPr>
        <w:t xml:space="preserve">y el </w:t>
      </w:r>
      <w:r w:rsidRPr="00FB3DAA">
        <w:rPr>
          <w:lang w:val="es-ES"/>
        </w:rPr>
        <w:t>artículo 28 del Protocolo de Cartagena sobre Seguridad de la Biotecnología</w:t>
      </w:r>
      <w:r w:rsidRPr="00FB3DAA">
        <w:rPr>
          <w:rStyle w:val="FootnoteReference"/>
          <w:lang w:val="es-ES"/>
        </w:rPr>
        <w:footnoteReference w:id="2"/>
      </w:r>
      <w:r w:rsidRPr="00FB3DAA">
        <w:rPr>
          <w:lang w:val="es-ES"/>
        </w:rPr>
        <w:t>,</w:t>
      </w:r>
    </w:p>
    <w:p w14:paraId="0CBE61A1" w14:textId="3747649A" w:rsidR="001F1AFD" w:rsidRPr="00FB3DAA" w:rsidRDefault="001F1AFD" w:rsidP="001F1AFD">
      <w:pPr>
        <w:pStyle w:val="CBDNormalNumber"/>
        <w:numPr>
          <w:ilvl w:val="0"/>
          <w:numId w:val="0"/>
        </w:numPr>
        <w:ind w:left="567" w:firstLine="567"/>
        <w:rPr>
          <w:i/>
          <w:iCs/>
          <w:lang w:val="es-ES"/>
        </w:rPr>
      </w:pPr>
      <w:r w:rsidRPr="00FB3DAA">
        <w:rPr>
          <w:i/>
          <w:iCs/>
          <w:lang w:val="es-ES"/>
        </w:rPr>
        <w:t>Habiendo examinado</w:t>
      </w:r>
      <w:r w:rsidRPr="00FB3DAA">
        <w:rPr>
          <w:lang w:val="es-ES"/>
        </w:rPr>
        <w:t xml:space="preserve"> la información sobre seguridad de la biotecnología que figura en el informe del Consejo del Fondo para el Medio Ambiente Mundial para la 17ª reunión de la Conferencia de las Partes en el Convenio sobre la Diversidad Biológica</w:t>
      </w:r>
      <w:r w:rsidR="00220164" w:rsidRPr="00FB3DAA">
        <w:rPr>
          <w:rStyle w:val="FootnoteReference"/>
          <w:lang w:val="es-ES"/>
        </w:rPr>
        <w:footnoteReference w:id="3"/>
      </w:r>
      <w:r w:rsidRPr="00FB3DAA">
        <w:rPr>
          <w:lang w:val="es-ES"/>
        </w:rPr>
        <w:t>,</w:t>
      </w:r>
    </w:p>
    <w:p w14:paraId="7EB421F8" w14:textId="72B6F9B4" w:rsidR="001F1AFD" w:rsidRPr="00FB3DAA" w:rsidRDefault="001F1AFD" w:rsidP="001F1AFD">
      <w:pPr>
        <w:pStyle w:val="CBDNormalNoNumber"/>
        <w:ind w:firstLine="567"/>
        <w:rPr>
          <w:lang w:val="es-ES"/>
        </w:rPr>
      </w:pPr>
      <w:r w:rsidRPr="00FB3DAA">
        <w:rPr>
          <w:lang w:val="es-ES"/>
        </w:rPr>
        <w:t>1.</w:t>
      </w:r>
      <w:r w:rsidRPr="00FB3DAA">
        <w:rPr>
          <w:i/>
          <w:lang w:val="es-ES"/>
        </w:rPr>
        <w:tab/>
        <w:t>Acoge con satisfacción</w:t>
      </w:r>
      <w:r w:rsidRPr="00FB3DAA">
        <w:rPr>
          <w:lang w:val="es-ES"/>
        </w:rPr>
        <w:t xml:space="preserve"> la novena reposición del Fondo Fiduciario del Fondo para el Medio Ambiente Mundial, así como sus orientaciones programáticas y el apoyo que, gracias a ella, se ha puesto a disposición de las Partes para la aplicación del Protocolo de Cartagena sobre Seguridad de la Biotecnología, </w:t>
      </w:r>
      <w:r w:rsidR="00E662A8" w:rsidRPr="00FB3DAA">
        <w:rPr>
          <w:lang w:val="es-ES"/>
        </w:rPr>
        <w:t>expresa su agradecimiento a los países que han contribuido a la reposición de fondos y anima a que se realicen nuevas aportaciones a la misma;</w:t>
      </w:r>
    </w:p>
    <w:p w14:paraId="5F88280B" w14:textId="771DCC7B" w:rsidR="001F1AFD" w:rsidRPr="00FB3DAA" w:rsidRDefault="001F1AFD" w:rsidP="001F1AFD">
      <w:pPr>
        <w:pStyle w:val="CBDNormalNoNumber"/>
        <w:ind w:firstLine="567"/>
        <w:rPr>
          <w:lang w:val="es-ES"/>
        </w:rPr>
      </w:pPr>
      <w:r w:rsidRPr="00FB3DAA">
        <w:rPr>
          <w:lang w:val="es-ES"/>
        </w:rPr>
        <w:t>2.</w:t>
      </w:r>
      <w:r w:rsidRPr="00FB3DAA">
        <w:rPr>
          <w:i/>
          <w:lang w:val="es-ES"/>
        </w:rPr>
        <w:tab/>
      </w:r>
      <w:r w:rsidR="00E662A8" w:rsidRPr="00FB3DAA">
        <w:rPr>
          <w:i/>
          <w:lang w:val="es-ES"/>
        </w:rPr>
        <w:t xml:space="preserve">Toma nota </w:t>
      </w:r>
      <w:r w:rsidRPr="00FB3DAA">
        <w:rPr>
          <w:i/>
          <w:lang w:val="es-ES"/>
        </w:rPr>
        <w:t>con reconocimiento</w:t>
      </w:r>
      <w:r w:rsidRPr="00FB3DAA">
        <w:rPr>
          <w:lang w:val="es-ES"/>
        </w:rPr>
        <w:t xml:space="preserve"> </w:t>
      </w:r>
      <w:r w:rsidR="00E662A8" w:rsidRPr="00FB3DAA">
        <w:rPr>
          <w:lang w:val="es-ES"/>
        </w:rPr>
        <w:t xml:space="preserve">de </w:t>
      </w:r>
      <w:r w:rsidRPr="00FB3DAA">
        <w:rPr>
          <w:lang w:val="es-ES"/>
        </w:rPr>
        <w:t>las medidas adoptadas por el Fondo para el Medio Ambiente Mundial con el fin de mejorar el mecanismo financiero en materia de seguridad de la biotecnología;</w:t>
      </w:r>
    </w:p>
    <w:p w14:paraId="05751F11" w14:textId="0DFFB3DB" w:rsidR="001F1AFD" w:rsidRPr="00FB3DAA" w:rsidRDefault="001F1AFD" w:rsidP="001F1AFD">
      <w:pPr>
        <w:pStyle w:val="CBDNormalNoNumber"/>
        <w:ind w:firstLine="567"/>
        <w:rPr>
          <w:lang w:val="es-ES"/>
        </w:rPr>
      </w:pPr>
      <w:r w:rsidRPr="00FB3DAA">
        <w:rPr>
          <w:lang w:val="es-ES"/>
        </w:rPr>
        <w:t>3.</w:t>
      </w:r>
      <w:r w:rsidRPr="00FB3DAA">
        <w:rPr>
          <w:i/>
          <w:lang w:val="es-ES"/>
        </w:rPr>
        <w:tab/>
      </w:r>
      <w:r w:rsidRPr="00FB3DAA">
        <w:rPr>
          <w:i/>
          <w:iCs/>
          <w:lang w:val="es-ES"/>
        </w:rPr>
        <w:t>Recomienda</w:t>
      </w:r>
      <w:r w:rsidRPr="00FB3DAA">
        <w:rPr>
          <w:lang w:val="es-ES"/>
        </w:rPr>
        <w:t xml:space="preserve"> que la Conferencia de las Partes en el Convenio sobre la Diversidad Biológica tenga plenamente en cuenta el Protocolo de Cartagena en el mandato que se adopte para el séptimo examen cuatrienal de la eficacia del mecanismo financiero en el marco del Convenio, entre otras cosas identificando los obstáculos a los que hacen frente las Partes en relación con el acceso a los recursos financieros destinados a la seguridad de la biotecnología y su uso, así como las </w:t>
      </w:r>
      <w:r w:rsidRPr="00FB3DAA">
        <w:rPr>
          <w:lang w:val="es-ES"/>
        </w:rPr>
        <w:lastRenderedPageBreak/>
        <w:t>medidas que pueden aplicarse para abordarlos, y teniendo en cuenta los resultados pertinentes de la quinta evaluación y revisión del plan de aplicación para el Protocolo;</w:t>
      </w:r>
    </w:p>
    <w:p w14:paraId="79358652" w14:textId="77777777" w:rsidR="001F1AFD" w:rsidRPr="00FB3DAA" w:rsidRDefault="001F1AFD" w:rsidP="001F1AFD">
      <w:pPr>
        <w:pStyle w:val="CBDNormalNoNumber"/>
        <w:ind w:firstLine="567"/>
        <w:rPr>
          <w:lang w:val="es-ES"/>
        </w:rPr>
      </w:pPr>
      <w:r w:rsidRPr="00FB3DAA">
        <w:rPr>
          <w:lang w:val="es-ES"/>
        </w:rPr>
        <w:t>4.</w:t>
      </w:r>
      <w:r w:rsidRPr="00FB3DAA">
        <w:rPr>
          <w:lang w:val="es-ES"/>
        </w:rPr>
        <w:tab/>
      </w:r>
      <w:r w:rsidRPr="00FB3DAA">
        <w:rPr>
          <w:i/>
          <w:lang w:val="es-ES"/>
        </w:rPr>
        <w:t>Invita</w:t>
      </w:r>
      <w:r w:rsidRPr="00FB3DAA">
        <w:rPr>
          <w:lang w:val="es-ES"/>
        </w:rPr>
        <w:t xml:space="preserve"> a las Partes en el Protocolo de Cartagena a que contribuyan al séptimo examen cuatrienal de la eficacia del mecanismo financiero y participen en él;</w:t>
      </w:r>
    </w:p>
    <w:p w14:paraId="156EEC01" w14:textId="77777777" w:rsidR="001F1AFD" w:rsidRPr="00FB3DAA" w:rsidRDefault="001F1AFD" w:rsidP="001F1AFD">
      <w:pPr>
        <w:pStyle w:val="CBDNormalNoNumber"/>
        <w:ind w:firstLine="567"/>
        <w:rPr>
          <w:lang w:val="es-ES"/>
        </w:rPr>
      </w:pPr>
      <w:r w:rsidRPr="00FB3DAA">
        <w:rPr>
          <w:lang w:val="es-ES"/>
        </w:rPr>
        <w:t>5.</w:t>
      </w:r>
      <w:r w:rsidRPr="00FB3DAA">
        <w:rPr>
          <w:i/>
          <w:lang w:val="es-ES"/>
        </w:rPr>
        <w:tab/>
        <w:t>Insta</w:t>
      </w:r>
      <w:r w:rsidRPr="00FB3DAA">
        <w:rPr>
          <w:lang w:val="es-ES"/>
        </w:rPr>
        <w:t xml:space="preserve"> a las Partes que reúnan las condiciones a utilizar los recursos asignados para actividades de seguridad de la biotecnología provenientes del Fondo para el Medio Ambiente Mundial a través de su Sistema para la Asignación Transparente de Recursos, y a integrar la seguridad de la biotecnología en sus proyectos relativos a la diversidad biológica, de conformidad con las necesidades y prioridades determinadas a nivel nacional;</w:t>
      </w:r>
    </w:p>
    <w:p w14:paraId="5B60B1B6" w14:textId="77777777" w:rsidR="001F1AFD" w:rsidRPr="00FB3DAA" w:rsidRDefault="001F1AFD" w:rsidP="001F1AFD">
      <w:pPr>
        <w:pStyle w:val="CBDNormalNoNumber"/>
        <w:ind w:firstLine="567"/>
        <w:rPr>
          <w:i/>
          <w:iCs/>
          <w:lang w:val="es-ES"/>
        </w:rPr>
      </w:pPr>
      <w:r w:rsidRPr="00FB3DAA">
        <w:rPr>
          <w:lang w:val="es-ES"/>
        </w:rPr>
        <w:t>6.</w:t>
      </w:r>
      <w:r w:rsidRPr="00FB3DAA">
        <w:rPr>
          <w:lang w:val="es-ES"/>
        </w:rPr>
        <w:tab/>
      </w:r>
      <w:r w:rsidRPr="00FB3DAA">
        <w:rPr>
          <w:i/>
          <w:iCs/>
          <w:lang w:val="es-ES"/>
        </w:rPr>
        <w:t>Invita</w:t>
      </w:r>
      <w:r w:rsidRPr="00FB3DAA">
        <w:rPr>
          <w:lang w:val="es-ES"/>
        </w:rPr>
        <w:t xml:space="preserve"> a las organizaciones pertinentes, incluidos los centros regionales y subregionales de apoyo a la cooperación científica y técnica, a seguir prestando apoyo a las Partes elaboración de propuestas de proyectos en materia de seguridad de la biotecnología;</w:t>
      </w:r>
    </w:p>
    <w:p w14:paraId="278E7AAB" w14:textId="77777777" w:rsidR="001F1AFD" w:rsidRPr="00FB3DAA" w:rsidRDefault="001F1AFD" w:rsidP="001F1AFD">
      <w:pPr>
        <w:pStyle w:val="CBDNormalNoNumber"/>
        <w:keepNext/>
        <w:ind w:firstLine="567"/>
        <w:rPr>
          <w:lang w:val="es-ES"/>
        </w:rPr>
      </w:pPr>
      <w:r w:rsidRPr="00FB3DAA">
        <w:rPr>
          <w:lang w:val="es-ES"/>
        </w:rPr>
        <w:t>7.</w:t>
      </w:r>
      <w:r w:rsidRPr="00FB3DAA">
        <w:rPr>
          <w:lang w:val="es-ES"/>
        </w:rPr>
        <w:tab/>
      </w:r>
      <w:r w:rsidRPr="00FB3DAA">
        <w:rPr>
          <w:i/>
          <w:lang w:val="es-ES"/>
        </w:rPr>
        <w:t>Alienta</w:t>
      </w:r>
      <w:r w:rsidRPr="00FB3DAA">
        <w:rPr>
          <w:lang w:val="es-ES"/>
        </w:rPr>
        <w:t xml:space="preserve"> a las Partes que reúnan las condiciones a:</w:t>
      </w:r>
    </w:p>
    <w:p w14:paraId="2004CD03" w14:textId="77777777" w:rsidR="001F1AFD" w:rsidRPr="00FB3DAA" w:rsidRDefault="001F1AFD" w:rsidP="001F1AFD">
      <w:pPr>
        <w:pStyle w:val="CBDsubpara-item"/>
        <w:ind w:left="567" w:firstLine="567"/>
        <w:jc w:val="both"/>
        <w:rPr>
          <w:lang w:val="es-ES"/>
        </w:rPr>
      </w:pPr>
      <w:r w:rsidRPr="00FB3DAA">
        <w:rPr>
          <w:lang w:val="es-ES"/>
        </w:rPr>
        <w:t>a)</w:t>
      </w:r>
      <w:r w:rsidRPr="00FB3DAA">
        <w:rPr>
          <w:lang w:val="es-ES"/>
        </w:rPr>
        <w:tab/>
        <w:t>Incluir en sus planes nacionales de financiación de la biodiversidad las necesidades y disposiciones necesarias para la aplicación del Protocolo de Cartagena;</w:t>
      </w:r>
    </w:p>
    <w:p w14:paraId="7339AC3A" w14:textId="77777777" w:rsidR="001F1AFD" w:rsidRPr="00FB3DAA" w:rsidRDefault="001F1AFD" w:rsidP="001F1AFD">
      <w:pPr>
        <w:pStyle w:val="CBDsubpara-item"/>
        <w:ind w:left="567" w:firstLine="567"/>
        <w:jc w:val="both"/>
        <w:rPr>
          <w:lang w:val="es-ES"/>
        </w:rPr>
      </w:pPr>
      <w:r w:rsidRPr="00FB3DAA">
        <w:rPr>
          <w:lang w:val="es-ES"/>
        </w:rPr>
        <w:t>b)</w:t>
      </w:r>
      <w:r w:rsidRPr="00FB3DAA">
        <w:rPr>
          <w:lang w:val="es-ES"/>
        </w:rPr>
        <w:tab/>
        <w:t>Cooperar a nivel regional y subregional, según proceda, con el fin de preparar solicitudes de apoyo del Fondo para el Medio Ambiente Mundial para proyectos conjuntos que contribuyan a un intercambio rentable de recursos, información, experiencias y conocimientos especializados, y para maximizar las complementariedades y oportunidades a ese respecto;</w:t>
      </w:r>
    </w:p>
    <w:p w14:paraId="60D4EB7B" w14:textId="6626E32B" w:rsidR="00E662A8" w:rsidRPr="00FB3DAA" w:rsidRDefault="001F1AFD" w:rsidP="001F1AFD">
      <w:pPr>
        <w:pStyle w:val="CBDsubpara-item"/>
        <w:ind w:left="567" w:firstLine="567"/>
        <w:jc w:val="both"/>
        <w:rPr>
          <w:lang w:val="es-ES"/>
        </w:rPr>
      </w:pPr>
      <w:r w:rsidRPr="00FB3DAA">
        <w:rPr>
          <w:lang w:val="es-ES"/>
        </w:rPr>
        <w:t>c)</w:t>
      </w:r>
      <w:r w:rsidRPr="00FB3DAA">
        <w:rPr>
          <w:lang w:val="es-ES"/>
        </w:rPr>
        <w:tab/>
      </w:r>
      <w:r w:rsidR="00E662A8" w:rsidRPr="00FB3DAA">
        <w:rPr>
          <w:lang w:val="es-ES"/>
        </w:rPr>
        <w:t xml:space="preserve">Contribuir, según proceda, a la labor de la Secretaria Ejecutiva en lo que respecta a la integración de los </w:t>
      </w:r>
      <w:r w:rsidR="00E662A8" w:rsidRPr="00FB3DAA">
        <w:rPr>
          <w:lang w:val="es-ES"/>
        </w:rPr>
        <w:t xml:space="preserve">elementos de </w:t>
      </w:r>
      <w:r w:rsidR="00E662A8" w:rsidRPr="00FB3DAA">
        <w:rPr>
          <w:lang w:val="es-ES"/>
        </w:rPr>
        <w:t xml:space="preserve">seguridad </w:t>
      </w:r>
      <w:r w:rsidR="00E662A8" w:rsidRPr="00FB3DAA">
        <w:rPr>
          <w:lang w:val="es-ES"/>
        </w:rPr>
        <w:t xml:space="preserve">de la biotecnología </w:t>
      </w:r>
      <w:r w:rsidRPr="00FB3DAA">
        <w:rPr>
          <w:lang w:val="es-ES"/>
        </w:rPr>
        <w:t>en el marco cuatrienal orientado a los resultados de las prioridades programáticas relacionadas con el uso de los recursos del Fondo para el Medio Ambiente Mundial destinados a la biodiversidad para el período comprendido entre julio de 2030 y junio de 2034, incluido en relación con la aplicación de marcos de seguridad de la biotecnología, las necesidades relacionadas con la creación y el desarrollo de capacidad y el acceso a tecnología y a conocimientos especializados, y su transferencia, de conformidad con el artículo 22 del Protocolo</w:t>
      </w:r>
      <w:r w:rsidR="00E662A8" w:rsidRPr="00FB3DAA">
        <w:rPr>
          <w:lang w:val="es-ES"/>
        </w:rPr>
        <w:t xml:space="preserve"> de Cartagena</w:t>
      </w:r>
      <w:r w:rsidRPr="00FB3DAA">
        <w:rPr>
          <w:lang w:val="es-ES"/>
        </w:rPr>
        <w:t>;</w:t>
      </w:r>
    </w:p>
    <w:p w14:paraId="078BCA52" w14:textId="77777777" w:rsidR="001F1AFD" w:rsidRPr="00FB3DAA" w:rsidRDefault="001F1AFD" w:rsidP="001F1AFD">
      <w:pPr>
        <w:pStyle w:val="CBDNormalNoNumber"/>
        <w:keepNext/>
        <w:ind w:firstLine="567"/>
        <w:rPr>
          <w:lang w:val="es-ES"/>
        </w:rPr>
      </w:pPr>
      <w:r w:rsidRPr="00FB3DAA">
        <w:rPr>
          <w:lang w:val="es-ES"/>
        </w:rPr>
        <w:t>8.</w:t>
      </w:r>
      <w:r w:rsidRPr="00FB3DAA">
        <w:rPr>
          <w:i/>
          <w:lang w:val="es-ES"/>
        </w:rPr>
        <w:tab/>
        <w:t>Recomienda</w:t>
      </w:r>
      <w:r w:rsidRPr="00FB3DAA">
        <w:rPr>
          <w:lang w:val="es-ES"/>
        </w:rPr>
        <w:t xml:space="preserve"> que, al adoptar su orientación al Fondo para el Medio Ambiente Mundial con respecto al apoyo para la aplicación del Protocolo de Cartagena, la Conferencia de las Partes en el Convenio pida al Fondo que:</w:t>
      </w:r>
    </w:p>
    <w:p w14:paraId="18DD7393" w14:textId="33872F99" w:rsidR="001F1AFD" w:rsidRPr="00FB3DAA" w:rsidRDefault="001F1AFD" w:rsidP="001F1AFD">
      <w:pPr>
        <w:pStyle w:val="CBDRecommendText"/>
        <w:ind w:firstLine="567"/>
        <w:rPr>
          <w:lang w:val="es-ES"/>
        </w:rPr>
      </w:pPr>
      <w:r w:rsidRPr="00FB3DAA">
        <w:rPr>
          <w:lang w:val="es-ES"/>
        </w:rPr>
        <w:t>a)</w:t>
      </w:r>
      <w:r w:rsidRPr="00FB3DAA">
        <w:rPr>
          <w:lang w:val="es-ES"/>
        </w:rPr>
        <w:tab/>
        <w:t>Proporcione financiación es</w:t>
      </w:r>
      <w:r w:rsidR="00CD5166" w:rsidRPr="00FB3DAA">
        <w:rPr>
          <w:lang w:val="es-ES"/>
        </w:rPr>
        <w:t>pecializada,</w:t>
      </w:r>
      <w:r w:rsidRPr="00FB3DAA">
        <w:rPr>
          <w:lang w:val="es-ES"/>
        </w:rPr>
        <w:t xml:space="preserve"> suficiente y oportuna a las Partes que reúnan las condiciones</w:t>
      </w:r>
      <w:r w:rsidR="00EC7965" w:rsidRPr="00FB3DAA">
        <w:rPr>
          <w:lang w:val="es-ES"/>
        </w:rPr>
        <w:t xml:space="preserve">, </w:t>
      </w:r>
      <w:r w:rsidR="00EC7965" w:rsidRPr="00FB3DAA">
        <w:rPr>
          <w:lang w:val="es-ES"/>
        </w:rPr>
        <w:t xml:space="preserve">en particular los países menos adelantados y los pequeños Estados insulares en desarrollo, </w:t>
      </w:r>
      <w:r w:rsidRPr="00FB3DAA">
        <w:rPr>
          <w:lang w:val="es-ES"/>
        </w:rPr>
        <w:t>para establecer medidas jurídicas, administrativas y de otra índole para la aplicación del Protocolo de Cartagena, incluido el fortalecimiento a largo plazo de las capacidades relacionadas con la aplicación en el plano nacional;</w:t>
      </w:r>
    </w:p>
    <w:p w14:paraId="02A78255" w14:textId="22E09443" w:rsidR="001F1AFD" w:rsidRPr="00FB3DAA" w:rsidRDefault="001F1AFD" w:rsidP="001F1AFD">
      <w:pPr>
        <w:pStyle w:val="CBDRecommendText"/>
        <w:ind w:firstLine="567"/>
        <w:rPr>
          <w:lang w:val="es-ES"/>
        </w:rPr>
      </w:pPr>
      <w:r w:rsidRPr="00FB3DAA">
        <w:rPr>
          <w:lang w:val="es-ES"/>
        </w:rPr>
        <w:t>b)</w:t>
      </w:r>
      <w:r w:rsidRPr="00FB3DAA">
        <w:rPr>
          <w:lang w:val="es-ES"/>
        </w:rPr>
        <w:tab/>
        <w:t>Continúe prestando apoyo para el uso efectivo del Centro de Intercambio de Información sobre Seguridad de la Biotecnología</w:t>
      </w:r>
      <w:r w:rsidR="009D59D4" w:rsidRPr="00FB3DAA">
        <w:rPr>
          <w:lang w:val="es-ES"/>
        </w:rPr>
        <w:t>, según sea necesario</w:t>
      </w:r>
      <w:r w:rsidRPr="00FB3DAA">
        <w:rPr>
          <w:lang w:val="es-ES"/>
        </w:rPr>
        <w:t>;</w:t>
      </w:r>
    </w:p>
    <w:p w14:paraId="6F3FA5A2" w14:textId="77777777" w:rsidR="001F1AFD" w:rsidRPr="00FB3DAA" w:rsidRDefault="001F1AFD" w:rsidP="001F1AFD">
      <w:pPr>
        <w:pStyle w:val="CBDRecommendText"/>
        <w:ind w:firstLine="567"/>
        <w:rPr>
          <w:lang w:val="es-ES"/>
        </w:rPr>
      </w:pPr>
      <w:r w:rsidRPr="00FB3DAA">
        <w:rPr>
          <w:lang w:val="es-ES"/>
        </w:rPr>
        <w:t>c)</w:t>
      </w:r>
      <w:r w:rsidRPr="00FB3DAA">
        <w:rPr>
          <w:lang w:val="es-ES"/>
        </w:rPr>
        <w:tab/>
        <w:t>Brinde asistencia a las Partes que reúnan las condiciones proporcionándoles, con antelación suficiente a los plazos para la presentación de informes, apoyo financiero para celebrar consultas nacionales adecuadas, de modo que dispongan de tiempo suficiente para preparar sus sextos informes nacionales y presentarlos de manera oportuna;</w:t>
      </w:r>
    </w:p>
    <w:p w14:paraId="77C21EE1" w14:textId="22F1C3AE" w:rsidR="001F1AFD" w:rsidRPr="00FB3DAA" w:rsidRDefault="001F1AFD" w:rsidP="001F1AFD">
      <w:pPr>
        <w:pStyle w:val="CBDRecommendText"/>
        <w:ind w:firstLine="567"/>
        <w:rPr>
          <w:lang w:val="es-ES"/>
        </w:rPr>
      </w:pPr>
      <w:r w:rsidRPr="00FB3DAA">
        <w:rPr>
          <w:lang w:val="es-ES"/>
        </w:rPr>
        <w:t>d)</w:t>
      </w:r>
      <w:r w:rsidRPr="00FB3DAA">
        <w:rPr>
          <w:lang w:val="es-ES"/>
        </w:rPr>
        <w:tab/>
        <w:t>Proporcione a las Partes que reúnan las condiciones financiación espec</w:t>
      </w:r>
      <w:r w:rsidR="009D59D4" w:rsidRPr="00FB3DAA">
        <w:rPr>
          <w:lang w:val="es-ES"/>
        </w:rPr>
        <w:t>ializada</w:t>
      </w:r>
      <w:r w:rsidRPr="00FB3DAA">
        <w:rPr>
          <w:lang w:val="es-ES"/>
        </w:rPr>
        <w:t>, suficiente y oportuna con el fin de ejecutar los planes de acción para el cumplimiento elaborados a solicitud del Comité de Cumplimiento en el marco del Protocolo de Cartagena;</w:t>
      </w:r>
    </w:p>
    <w:p w14:paraId="5B4DB299" w14:textId="59981D11" w:rsidR="009D59D4" w:rsidRPr="00FB3DAA" w:rsidRDefault="001F1AFD" w:rsidP="009D59D4">
      <w:pPr>
        <w:pStyle w:val="CBDRecommendText"/>
        <w:ind w:firstLine="567"/>
        <w:rPr>
          <w:lang w:val="es-ES"/>
        </w:rPr>
      </w:pPr>
      <w:r w:rsidRPr="00FB3DAA">
        <w:rPr>
          <w:lang w:val="es-ES"/>
        </w:rPr>
        <w:t>e)</w:t>
      </w:r>
      <w:r w:rsidRPr="00FB3DAA">
        <w:rPr>
          <w:lang w:val="es-ES"/>
        </w:rPr>
        <w:tab/>
        <w:t xml:space="preserve">Siga apoyando la creación y el desarrollo de capacidad en materia de seguridad de la biotecnología, como parte de los proyectos impulsados por los países, incluso durante el noveno período de reposición de su Fondo Fiduciario (julio de 2026-junio de 2030) y mediante el Fondo para el Marco Mundial de Biodiversidad, de conformidad con sus mandatos, </w:t>
      </w:r>
      <w:r w:rsidR="009D59D4" w:rsidRPr="00FB3DAA">
        <w:rPr>
          <w:lang w:val="es-ES"/>
        </w:rPr>
        <w:t xml:space="preserve">y </w:t>
      </w:r>
      <w:r w:rsidR="003258F4" w:rsidRPr="00FB3DAA">
        <w:rPr>
          <w:lang w:val="es-ES"/>
        </w:rPr>
        <w:t xml:space="preserve">que refuerce </w:t>
      </w:r>
      <w:r w:rsidR="009D59D4" w:rsidRPr="00FB3DAA">
        <w:rPr>
          <w:lang w:val="es-ES"/>
        </w:rPr>
        <w:t xml:space="preserve">la financiación </w:t>
      </w:r>
      <w:r w:rsidR="003258F4" w:rsidRPr="00FB3DAA">
        <w:rPr>
          <w:lang w:val="es-ES"/>
        </w:rPr>
        <w:t>suficiente</w:t>
      </w:r>
      <w:r w:rsidR="009D59D4" w:rsidRPr="00FB3DAA">
        <w:rPr>
          <w:lang w:val="es-ES"/>
        </w:rPr>
        <w:t xml:space="preserve">, </w:t>
      </w:r>
      <w:r w:rsidR="003258F4" w:rsidRPr="00FB3DAA">
        <w:rPr>
          <w:lang w:val="es-ES"/>
        </w:rPr>
        <w:t xml:space="preserve">previsible </w:t>
      </w:r>
      <w:r w:rsidR="009D59D4" w:rsidRPr="00FB3DAA">
        <w:rPr>
          <w:lang w:val="es-ES"/>
        </w:rPr>
        <w:t xml:space="preserve">y </w:t>
      </w:r>
      <w:r w:rsidR="003258F4" w:rsidRPr="00FB3DAA">
        <w:rPr>
          <w:lang w:val="es-ES"/>
        </w:rPr>
        <w:t xml:space="preserve">especializada </w:t>
      </w:r>
      <w:r w:rsidR="009D59D4" w:rsidRPr="00FB3DAA">
        <w:rPr>
          <w:lang w:val="es-ES"/>
        </w:rPr>
        <w:t xml:space="preserve">para la </w:t>
      </w:r>
      <w:r w:rsidR="003258F4" w:rsidRPr="00FB3DAA">
        <w:rPr>
          <w:lang w:val="es-ES"/>
        </w:rPr>
        <w:t xml:space="preserve">seguridad de la biotecnología </w:t>
      </w:r>
      <w:r w:rsidR="009D59D4" w:rsidRPr="00FB3DAA">
        <w:rPr>
          <w:lang w:val="es-ES"/>
        </w:rPr>
        <w:t>a fin de contribuir a la aplicación plena y efectiva del Protocolo de Cartagena;</w:t>
      </w:r>
    </w:p>
    <w:p w14:paraId="06626378" w14:textId="35B69999" w:rsidR="003258F4" w:rsidRPr="00FB3DAA" w:rsidRDefault="001F1AFD" w:rsidP="003258F4">
      <w:pPr>
        <w:pStyle w:val="CBDRecommendText"/>
        <w:ind w:firstLine="567"/>
        <w:rPr>
          <w:lang w:val="es-ES"/>
        </w:rPr>
      </w:pPr>
      <w:r w:rsidRPr="00FB3DAA">
        <w:rPr>
          <w:lang w:val="es-ES"/>
        </w:rPr>
        <w:t>f)</w:t>
      </w:r>
      <w:r w:rsidRPr="00FB3DAA">
        <w:rPr>
          <w:lang w:val="es-ES"/>
        </w:rPr>
        <w:tab/>
        <w:t xml:space="preserve">Siga explorando maneras de simplificar el proceso para la presentación de proyectos en materia de seguridad de la biotecnología, </w:t>
      </w:r>
      <w:r w:rsidR="003258F4" w:rsidRPr="00FB3DAA">
        <w:rPr>
          <w:lang w:val="es-ES"/>
        </w:rPr>
        <w:t>teniendo en cuenta las experiencias de las Partes, con el fin de facilitar el acceso a la financiación;</w:t>
      </w:r>
    </w:p>
    <w:p w14:paraId="2E97DC20" w14:textId="48B4EC82" w:rsidR="001F1AFD" w:rsidRPr="00FB3DAA" w:rsidRDefault="001F1AFD" w:rsidP="001F1AFD">
      <w:pPr>
        <w:pStyle w:val="CBDNormalNoNumber"/>
        <w:ind w:firstLine="567"/>
        <w:rPr>
          <w:lang w:val="es-ES"/>
        </w:rPr>
      </w:pPr>
      <w:r w:rsidRPr="00FB3DAA">
        <w:rPr>
          <w:lang w:val="es-ES"/>
        </w:rPr>
        <w:t>9.</w:t>
      </w:r>
      <w:r w:rsidRPr="00FB3DAA">
        <w:rPr>
          <w:lang w:val="es-ES"/>
        </w:rPr>
        <w:tab/>
      </w:r>
      <w:r w:rsidRPr="00FB3DAA">
        <w:rPr>
          <w:i/>
          <w:lang w:val="es-ES"/>
        </w:rPr>
        <w:t>Pide</w:t>
      </w:r>
      <w:r w:rsidRPr="00FB3DAA">
        <w:rPr>
          <w:lang w:val="es-ES"/>
        </w:rPr>
        <w:t xml:space="preserve"> a la Secretaria Ejecutiva que siga estudiando otros medios para movilizar recursos financieros adicionales </w:t>
      </w:r>
      <w:r w:rsidR="00E31CAB">
        <w:rPr>
          <w:lang w:val="es-ES"/>
        </w:rPr>
        <w:t xml:space="preserve">de todas las fuentes </w:t>
      </w:r>
      <w:r w:rsidRPr="00FB3DAA">
        <w:rPr>
          <w:lang w:val="es-ES"/>
        </w:rPr>
        <w:t>para la aplicación del Protocolo de Cartagena y que informe sobre esa labor en la 13ª reunión de la Conferencia de las Partes que actúa como reunión de las Partes en el Protocolo.</w:t>
      </w:r>
    </w:p>
    <w:p w14:paraId="4E687CBF" w14:textId="359B5B70" w:rsidR="00A111D1" w:rsidRPr="00FB3DAA" w:rsidRDefault="00A111D1" w:rsidP="00975047">
      <w:pPr>
        <w:pStyle w:val="Para1"/>
        <w:numPr>
          <w:ilvl w:val="0"/>
          <w:numId w:val="0"/>
        </w:numPr>
        <w:ind w:left="567"/>
        <w:jc w:val="center"/>
        <w:rPr>
          <w:lang w:val="es-ES"/>
        </w:rPr>
      </w:pPr>
      <w:r w:rsidRPr="00FB3DAA">
        <w:rPr>
          <w:lang w:val="es-ES"/>
        </w:rPr>
        <w:t>_______</w:t>
      </w:r>
      <w:r w:rsidR="004B60B3" w:rsidRPr="00FB3DAA">
        <w:rPr>
          <w:lang w:val="es-ES"/>
        </w:rPr>
        <w:t>___</w:t>
      </w:r>
    </w:p>
    <w:sectPr w:rsidR="00A111D1" w:rsidRPr="00FB3DAA" w:rsidSect="00C72AAE">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3530F" w14:textId="77777777" w:rsidR="00785E04" w:rsidRPr="003F1A75" w:rsidRDefault="00785E04" w:rsidP="00CF1848">
      <w:r w:rsidRPr="003F1A75">
        <w:separator/>
      </w:r>
    </w:p>
  </w:endnote>
  <w:endnote w:type="continuationSeparator" w:id="0">
    <w:p w14:paraId="484B628D" w14:textId="77777777" w:rsidR="00785E04" w:rsidRPr="003F1A75" w:rsidRDefault="00785E0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1B36A8">
              <w:rPr>
                <w:szCs w:val="20"/>
              </w:rPr>
              <w:fldChar w:fldCharType="begin"/>
            </w:r>
            <w:r w:rsidRPr="001B36A8">
              <w:rPr>
                <w:szCs w:val="20"/>
              </w:rPr>
              <w:instrText xml:space="preserve"> PAGE </w:instrText>
            </w:r>
            <w:r w:rsidRPr="001B36A8">
              <w:rPr>
                <w:szCs w:val="20"/>
              </w:rPr>
              <w:fldChar w:fldCharType="separate"/>
            </w:r>
            <w:r w:rsidRPr="001B36A8">
              <w:rPr>
                <w:noProof/>
                <w:szCs w:val="20"/>
              </w:rPr>
              <w:t>2</w:t>
            </w:r>
            <w:r w:rsidRPr="001B36A8">
              <w:rPr>
                <w:szCs w:val="20"/>
              </w:rPr>
              <w:fldChar w:fldCharType="end"/>
            </w:r>
            <w:r w:rsidRPr="001B36A8">
              <w:rPr>
                <w:szCs w:val="20"/>
              </w:rPr>
              <w:t>/</w:t>
            </w:r>
            <w:r w:rsidRPr="001B36A8">
              <w:rPr>
                <w:szCs w:val="20"/>
              </w:rPr>
              <w:fldChar w:fldCharType="begin"/>
            </w:r>
            <w:r w:rsidRPr="001B36A8">
              <w:rPr>
                <w:szCs w:val="20"/>
              </w:rPr>
              <w:instrText xml:space="preserve"> NUMPAGES  </w:instrText>
            </w:r>
            <w:r w:rsidRPr="001B36A8">
              <w:rPr>
                <w:szCs w:val="20"/>
              </w:rPr>
              <w:fldChar w:fldCharType="separate"/>
            </w:r>
            <w:r w:rsidRPr="001B36A8">
              <w:rPr>
                <w:noProof/>
                <w:szCs w:val="20"/>
              </w:rPr>
              <w:t>2</w:t>
            </w:r>
            <w:r w:rsidRPr="001B36A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0954E" w14:textId="77777777" w:rsidR="00785E04" w:rsidRPr="003F1A75" w:rsidRDefault="00785E04" w:rsidP="00CF1848">
      <w:r w:rsidRPr="003F1A75">
        <w:separator/>
      </w:r>
    </w:p>
  </w:footnote>
  <w:footnote w:type="continuationSeparator" w:id="0">
    <w:p w14:paraId="6BBDB319" w14:textId="77777777" w:rsidR="00785E04" w:rsidRPr="003F1A75" w:rsidRDefault="00785E04" w:rsidP="00CF1848">
      <w:r w:rsidRPr="003F1A75">
        <w:continuationSeparator/>
      </w:r>
    </w:p>
  </w:footnote>
  <w:footnote w:id="1">
    <w:p w14:paraId="0C6DDAEB" w14:textId="77777777" w:rsidR="00220164" w:rsidRPr="00536E9C" w:rsidRDefault="00220164" w:rsidP="00220164">
      <w:pPr>
        <w:pStyle w:val="FootnoteText"/>
      </w:pPr>
      <w:r>
        <w:rPr>
          <w:rStyle w:val="FootnoteReference"/>
        </w:rPr>
        <w:footnoteRef/>
      </w:r>
      <w:r>
        <w:t xml:space="preserve"> </w:t>
      </w:r>
      <w:r w:rsidRPr="007149D0">
        <w:t xml:space="preserve">United Nations, </w:t>
      </w:r>
      <w:r w:rsidRPr="00C869F0">
        <w:rPr>
          <w:i/>
          <w:iCs/>
        </w:rPr>
        <w:t>Treaty Series</w:t>
      </w:r>
      <w:r w:rsidRPr="00A805C6">
        <w:t>,</w:t>
      </w:r>
      <w:r w:rsidRPr="00536E9C">
        <w:t xml:space="preserve"> vol. 1760, No. 30619</w:t>
      </w:r>
    </w:p>
  </w:footnote>
  <w:footnote w:id="2">
    <w:p w14:paraId="12E48029" w14:textId="73BF6684" w:rsidR="001F1AFD" w:rsidRPr="00220164" w:rsidRDefault="001F1AFD" w:rsidP="001F1AFD">
      <w:pPr>
        <w:pStyle w:val="FootnoteText"/>
      </w:pPr>
      <w:r>
        <w:rPr>
          <w:rStyle w:val="FootnoteReference"/>
        </w:rPr>
        <w:footnoteRef/>
      </w:r>
      <w:r w:rsidRPr="00220164">
        <w:t xml:space="preserve"> </w:t>
      </w:r>
      <w:r w:rsidR="00220164" w:rsidRPr="00220164">
        <w:rPr>
          <w:i/>
          <w:iCs/>
        </w:rPr>
        <w:t>Ibid</w:t>
      </w:r>
      <w:r w:rsidRPr="00220164">
        <w:t>, vol. 2226, núm. 30619.</w:t>
      </w:r>
    </w:p>
  </w:footnote>
  <w:footnote w:id="3">
    <w:p w14:paraId="48EB3C04" w14:textId="77777777" w:rsidR="00220164" w:rsidRPr="00C869F0" w:rsidRDefault="00220164" w:rsidP="00220164">
      <w:pPr>
        <w:pStyle w:val="FootnoteText"/>
        <w:rPr>
          <w:lang w:val="en-CA"/>
        </w:rPr>
      </w:pPr>
      <w:r>
        <w:rPr>
          <w:rStyle w:val="FootnoteReference"/>
        </w:rPr>
        <w:footnoteRef/>
      </w:r>
      <w:r>
        <w:t xml:space="preserve"> </w:t>
      </w:r>
      <w:hyperlink r:id="rId1" w:history="1">
        <w:r w:rsidRPr="00B24E32">
          <w:rPr>
            <w:rStyle w:val="Hyperlink"/>
            <w:lang w:val="en-CA"/>
          </w:rPr>
          <w:t>CBD/COP/17/5/Add.1</w:t>
        </w:r>
      </w:hyperlink>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488121D6" w:rsidR="00534681" w:rsidRPr="003F1A75" w:rsidRDefault="006D7B26" w:rsidP="007C4951">
        <w:pPr>
          <w:pStyle w:val="Header"/>
          <w:spacing w:after="240"/>
          <w:rPr>
            <w:szCs w:val="20"/>
          </w:rPr>
        </w:pPr>
        <w:r>
          <w:rPr>
            <w:szCs w:val="20"/>
          </w:rPr>
          <w:t>CBD/CP/MOP/12/L.9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1CFBE36A" w:rsidR="009505C9" w:rsidRPr="003F1A75" w:rsidRDefault="006D7B26" w:rsidP="007C4951">
        <w:pPr>
          <w:pStyle w:val="Header"/>
          <w:spacing w:after="240"/>
          <w:jc w:val="right"/>
        </w:pPr>
        <w:r>
          <w:t>CBD/CP/MOP/12/L.9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7A50" w14:textId="77777777" w:rsidR="00B82040" w:rsidRDefault="00B82040" w:rsidP="0069498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5FD"/>
    <w:rsid w:val="00004C9B"/>
    <w:rsid w:val="000152C6"/>
    <w:rsid w:val="00040CBC"/>
    <w:rsid w:val="0006066B"/>
    <w:rsid w:val="00062D4C"/>
    <w:rsid w:val="0007171B"/>
    <w:rsid w:val="000921AA"/>
    <w:rsid w:val="000A4A61"/>
    <w:rsid w:val="000C0FB4"/>
    <w:rsid w:val="000C5B7A"/>
    <w:rsid w:val="000D0F68"/>
    <w:rsid w:val="000D19E0"/>
    <w:rsid w:val="000E28FE"/>
    <w:rsid w:val="000E673A"/>
    <w:rsid w:val="000F12D2"/>
    <w:rsid w:val="000F53A9"/>
    <w:rsid w:val="000F55B6"/>
    <w:rsid w:val="000F6945"/>
    <w:rsid w:val="000F74F5"/>
    <w:rsid w:val="000F78FC"/>
    <w:rsid w:val="001031DF"/>
    <w:rsid w:val="00105372"/>
    <w:rsid w:val="001054A6"/>
    <w:rsid w:val="001078A1"/>
    <w:rsid w:val="001172F4"/>
    <w:rsid w:val="001244A9"/>
    <w:rsid w:val="00125112"/>
    <w:rsid w:val="0012660E"/>
    <w:rsid w:val="00130D0E"/>
    <w:rsid w:val="001312AD"/>
    <w:rsid w:val="00131E7A"/>
    <w:rsid w:val="00134846"/>
    <w:rsid w:val="00137B32"/>
    <w:rsid w:val="001643E3"/>
    <w:rsid w:val="00172AF6"/>
    <w:rsid w:val="00176CEE"/>
    <w:rsid w:val="00186DD8"/>
    <w:rsid w:val="00187978"/>
    <w:rsid w:val="0019227D"/>
    <w:rsid w:val="00196086"/>
    <w:rsid w:val="00196A8C"/>
    <w:rsid w:val="001A2343"/>
    <w:rsid w:val="001A35EC"/>
    <w:rsid w:val="001A5872"/>
    <w:rsid w:val="001B13FE"/>
    <w:rsid w:val="001B36A8"/>
    <w:rsid w:val="001B37B6"/>
    <w:rsid w:val="001B78D3"/>
    <w:rsid w:val="001D092A"/>
    <w:rsid w:val="001D7779"/>
    <w:rsid w:val="001D7A39"/>
    <w:rsid w:val="001E0EAF"/>
    <w:rsid w:val="001E4D8F"/>
    <w:rsid w:val="001E5DDC"/>
    <w:rsid w:val="001E6CF4"/>
    <w:rsid w:val="001E749D"/>
    <w:rsid w:val="001F1AFD"/>
    <w:rsid w:val="001F7E69"/>
    <w:rsid w:val="0021289B"/>
    <w:rsid w:val="0021727E"/>
    <w:rsid w:val="00220164"/>
    <w:rsid w:val="00227D0F"/>
    <w:rsid w:val="0023080C"/>
    <w:rsid w:val="00232FC3"/>
    <w:rsid w:val="00234E9C"/>
    <w:rsid w:val="00235857"/>
    <w:rsid w:val="00246E5F"/>
    <w:rsid w:val="00254EB5"/>
    <w:rsid w:val="00256DF9"/>
    <w:rsid w:val="00261076"/>
    <w:rsid w:val="00266C4D"/>
    <w:rsid w:val="0027049E"/>
    <w:rsid w:val="002760A6"/>
    <w:rsid w:val="00282DB8"/>
    <w:rsid w:val="00286C23"/>
    <w:rsid w:val="00291D61"/>
    <w:rsid w:val="002978C6"/>
    <w:rsid w:val="003008FE"/>
    <w:rsid w:val="0030169D"/>
    <w:rsid w:val="0030207E"/>
    <w:rsid w:val="003060EB"/>
    <w:rsid w:val="003153EB"/>
    <w:rsid w:val="0032136E"/>
    <w:rsid w:val="00321985"/>
    <w:rsid w:val="003240EB"/>
    <w:rsid w:val="003258F4"/>
    <w:rsid w:val="00334A8D"/>
    <w:rsid w:val="00336C43"/>
    <w:rsid w:val="00337297"/>
    <w:rsid w:val="00341072"/>
    <w:rsid w:val="0034387E"/>
    <w:rsid w:val="00351205"/>
    <w:rsid w:val="00354430"/>
    <w:rsid w:val="00362434"/>
    <w:rsid w:val="00363A34"/>
    <w:rsid w:val="00363DDA"/>
    <w:rsid w:val="0036559D"/>
    <w:rsid w:val="00372F74"/>
    <w:rsid w:val="00373D1C"/>
    <w:rsid w:val="003763D4"/>
    <w:rsid w:val="00381180"/>
    <w:rsid w:val="00394A53"/>
    <w:rsid w:val="003964CF"/>
    <w:rsid w:val="00397407"/>
    <w:rsid w:val="003A3330"/>
    <w:rsid w:val="003C6698"/>
    <w:rsid w:val="003D7AE7"/>
    <w:rsid w:val="003E1C1E"/>
    <w:rsid w:val="003E4CC6"/>
    <w:rsid w:val="003F1A75"/>
    <w:rsid w:val="003F7224"/>
    <w:rsid w:val="00405223"/>
    <w:rsid w:val="00410AC2"/>
    <w:rsid w:val="00416230"/>
    <w:rsid w:val="00427C4A"/>
    <w:rsid w:val="00427D21"/>
    <w:rsid w:val="00431157"/>
    <w:rsid w:val="0043513F"/>
    <w:rsid w:val="004477D7"/>
    <w:rsid w:val="00447F4A"/>
    <w:rsid w:val="00452911"/>
    <w:rsid w:val="00453073"/>
    <w:rsid w:val="00456F67"/>
    <w:rsid w:val="004644C2"/>
    <w:rsid w:val="00467F9C"/>
    <w:rsid w:val="004718A8"/>
    <w:rsid w:val="004800F1"/>
    <w:rsid w:val="004812A1"/>
    <w:rsid w:val="00483EB9"/>
    <w:rsid w:val="004879D2"/>
    <w:rsid w:val="00496876"/>
    <w:rsid w:val="004A189C"/>
    <w:rsid w:val="004B60B3"/>
    <w:rsid w:val="004D6FDF"/>
    <w:rsid w:val="004F5BB3"/>
    <w:rsid w:val="004F5FA7"/>
    <w:rsid w:val="004F6490"/>
    <w:rsid w:val="005064BE"/>
    <w:rsid w:val="005070FB"/>
    <w:rsid w:val="0051006C"/>
    <w:rsid w:val="00522C9D"/>
    <w:rsid w:val="00534681"/>
    <w:rsid w:val="00536E9C"/>
    <w:rsid w:val="00543FD9"/>
    <w:rsid w:val="00544E4A"/>
    <w:rsid w:val="00552F38"/>
    <w:rsid w:val="0056068E"/>
    <w:rsid w:val="00563442"/>
    <w:rsid w:val="0056348E"/>
    <w:rsid w:val="00565B42"/>
    <w:rsid w:val="005A2C94"/>
    <w:rsid w:val="005A6632"/>
    <w:rsid w:val="005A6DAD"/>
    <w:rsid w:val="005B2874"/>
    <w:rsid w:val="005B35E2"/>
    <w:rsid w:val="005B5730"/>
    <w:rsid w:val="005C4CE6"/>
    <w:rsid w:val="005C54C0"/>
    <w:rsid w:val="005D01B3"/>
    <w:rsid w:val="005E1B43"/>
    <w:rsid w:val="005F02C7"/>
    <w:rsid w:val="005F2435"/>
    <w:rsid w:val="00610CA7"/>
    <w:rsid w:val="006122BA"/>
    <w:rsid w:val="00617D4D"/>
    <w:rsid w:val="006329BA"/>
    <w:rsid w:val="00640178"/>
    <w:rsid w:val="0064174C"/>
    <w:rsid w:val="006473CF"/>
    <w:rsid w:val="006478BF"/>
    <w:rsid w:val="006651F8"/>
    <w:rsid w:val="006712EF"/>
    <w:rsid w:val="00673BA9"/>
    <w:rsid w:val="006773ED"/>
    <w:rsid w:val="0069498E"/>
    <w:rsid w:val="006A73C1"/>
    <w:rsid w:val="006B2290"/>
    <w:rsid w:val="006C07FD"/>
    <w:rsid w:val="006C09FA"/>
    <w:rsid w:val="006C435C"/>
    <w:rsid w:val="006C53A5"/>
    <w:rsid w:val="006C7FDE"/>
    <w:rsid w:val="006D7761"/>
    <w:rsid w:val="006D7B26"/>
    <w:rsid w:val="006E70F4"/>
    <w:rsid w:val="006F3019"/>
    <w:rsid w:val="00717D88"/>
    <w:rsid w:val="00722CD3"/>
    <w:rsid w:val="00724631"/>
    <w:rsid w:val="00726A43"/>
    <w:rsid w:val="00726DEC"/>
    <w:rsid w:val="00732DB4"/>
    <w:rsid w:val="007417EB"/>
    <w:rsid w:val="0075372B"/>
    <w:rsid w:val="00785E04"/>
    <w:rsid w:val="00786056"/>
    <w:rsid w:val="00787352"/>
    <w:rsid w:val="007942D3"/>
    <w:rsid w:val="00796846"/>
    <w:rsid w:val="007B2099"/>
    <w:rsid w:val="007B2676"/>
    <w:rsid w:val="007B6C09"/>
    <w:rsid w:val="007B7741"/>
    <w:rsid w:val="007C4951"/>
    <w:rsid w:val="007D5FBC"/>
    <w:rsid w:val="007E063D"/>
    <w:rsid w:val="007E09DA"/>
    <w:rsid w:val="007E0F8A"/>
    <w:rsid w:val="007E4406"/>
    <w:rsid w:val="007F2E83"/>
    <w:rsid w:val="007F4971"/>
    <w:rsid w:val="007F718D"/>
    <w:rsid w:val="008005FE"/>
    <w:rsid w:val="00801FAD"/>
    <w:rsid w:val="00815B9C"/>
    <w:rsid w:val="008178B6"/>
    <w:rsid w:val="00821916"/>
    <w:rsid w:val="00833AA5"/>
    <w:rsid w:val="00842825"/>
    <w:rsid w:val="00853065"/>
    <w:rsid w:val="00863F28"/>
    <w:rsid w:val="00865B74"/>
    <w:rsid w:val="00866063"/>
    <w:rsid w:val="008974F0"/>
    <w:rsid w:val="008A0987"/>
    <w:rsid w:val="008A1499"/>
    <w:rsid w:val="008A2DD4"/>
    <w:rsid w:val="008A6452"/>
    <w:rsid w:val="008B012A"/>
    <w:rsid w:val="008B57B9"/>
    <w:rsid w:val="008C1ED3"/>
    <w:rsid w:val="008D41D3"/>
    <w:rsid w:val="008F7EF0"/>
    <w:rsid w:val="00906B4F"/>
    <w:rsid w:val="00906E17"/>
    <w:rsid w:val="00913699"/>
    <w:rsid w:val="00916FDA"/>
    <w:rsid w:val="00926821"/>
    <w:rsid w:val="00930BA1"/>
    <w:rsid w:val="0093169E"/>
    <w:rsid w:val="0094285E"/>
    <w:rsid w:val="00950380"/>
    <w:rsid w:val="009505C9"/>
    <w:rsid w:val="00950752"/>
    <w:rsid w:val="009516E4"/>
    <w:rsid w:val="00952225"/>
    <w:rsid w:val="009634F8"/>
    <w:rsid w:val="00966424"/>
    <w:rsid w:val="009665AD"/>
    <w:rsid w:val="0097051E"/>
    <w:rsid w:val="009717AD"/>
    <w:rsid w:val="00975047"/>
    <w:rsid w:val="00995C1D"/>
    <w:rsid w:val="00997DE3"/>
    <w:rsid w:val="009A382B"/>
    <w:rsid w:val="009A61EB"/>
    <w:rsid w:val="009B1B0D"/>
    <w:rsid w:val="009C2DE6"/>
    <w:rsid w:val="009C6D27"/>
    <w:rsid w:val="009D2E8F"/>
    <w:rsid w:val="009D585E"/>
    <w:rsid w:val="009D59D4"/>
    <w:rsid w:val="009D6AB3"/>
    <w:rsid w:val="009F3CE4"/>
    <w:rsid w:val="00A02B52"/>
    <w:rsid w:val="00A111D1"/>
    <w:rsid w:val="00A220D3"/>
    <w:rsid w:val="00A2511B"/>
    <w:rsid w:val="00A25B5F"/>
    <w:rsid w:val="00A33336"/>
    <w:rsid w:val="00A42F30"/>
    <w:rsid w:val="00A578D8"/>
    <w:rsid w:val="00A73C51"/>
    <w:rsid w:val="00AA6F92"/>
    <w:rsid w:val="00AB2B6A"/>
    <w:rsid w:val="00AB6934"/>
    <w:rsid w:val="00AD38EF"/>
    <w:rsid w:val="00AD7F64"/>
    <w:rsid w:val="00AE042A"/>
    <w:rsid w:val="00AE1597"/>
    <w:rsid w:val="00AF3802"/>
    <w:rsid w:val="00AF42DE"/>
    <w:rsid w:val="00B11C2A"/>
    <w:rsid w:val="00B14041"/>
    <w:rsid w:val="00B24DAB"/>
    <w:rsid w:val="00B3369F"/>
    <w:rsid w:val="00B337BC"/>
    <w:rsid w:val="00B50FAE"/>
    <w:rsid w:val="00B51FC6"/>
    <w:rsid w:val="00B622EB"/>
    <w:rsid w:val="00B66E53"/>
    <w:rsid w:val="00B82040"/>
    <w:rsid w:val="00B84B89"/>
    <w:rsid w:val="00B94E6C"/>
    <w:rsid w:val="00BB4606"/>
    <w:rsid w:val="00BB6DBC"/>
    <w:rsid w:val="00BC1786"/>
    <w:rsid w:val="00BC69DA"/>
    <w:rsid w:val="00BD6193"/>
    <w:rsid w:val="00BE6AC2"/>
    <w:rsid w:val="00C131BC"/>
    <w:rsid w:val="00C146CF"/>
    <w:rsid w:val="00C174E4"/>
    <w:rsid w:val="00C227CC"/>
    <w:rsid w:val="00C23D2F"/>
    <w:rsid w:val="00C34D44"/>
    <w:rsid w:val="00C443BD"/>
    <w:rsid w:val="00C451C5"/>
    <w:rsid w:val="00C50FD6"/>
    <w:rsid w:val="00C5162A"/>
    <w:rsid w:val="00C52868"/>
    <w:rsid w:val="00C646F3"/>
    <w:rsid w:val="00C664E6"/>
    <w:rsid w:val="00C72AAE"/>
    <w:rsid w:val="00C73729"/>
    <w:rsid w:val="00C76273"/>
    <w:rsid w:val="00C80D89"/>
    <w:rsid w:val="00C830D7"/>
    <w:rsid w:val="00C86077"/>
    <w:rsid w:val="00C90165"/>
    <w:rsid w:val="00C9161D"/>
    <w:rsid w:val="00CA0C1D"/>
    <w:rsid w:val="00CA3A58"/>
    <w:rsid w:val="00CB389A"/>
    <w:rsid w:val="00CB4EC4"/>
    <w:rsid w:val="00CB6DA4"/>
    <w:rsid w:val="00CC0CE8"/>
    <w:rsid w:val="00CC1D7E"/>
    <w:rsid w:val="00CD5166"/>
    <w:rsid w:val="00CF1848"/>
    <w:rsid w:val="00CF27DA"/>
    <w:rsid w:val="00D00C98"/>
    <w:rsid w:val="00D040BE"/>
    <w:rsid w:val="00D10FE5"/>
    <w:rsid w:val="00D12044"/>
    <w:rsid w:val="00D170D9"/>
    <w:rsid w:val="00D33EFC"/>
    <w:rsid w:val="00D40DBC"/>
    <w:rsid w:val="00D43FA4"/>
    <w:rsid w:val="00D44485"/>
    <w:rsid w:val="00D574AC"/>
    <w:rsid w:val="00D57CDC"/>
    <w:rsid w:val="00D61C85"/>
    <w:rsid w:val="00D74889"/>
    <w:rsid w:val="00D75CA6"/>
    <w:rsid w:val="00D76A18"/>
    <w:rsid w:val="00D80849"/>
    <w:rsid w:val="00D82E8F"/>
    <w:rsid w:val="00D84906"/>
    <w:rsid w:val="00D85923"/>
    <w:rsid w:val="00D94DAB"/>
    <w:rsid w:val="00DB14E5"/>
    <w:rsid w:val="00DB5E0F"/>
    <w:rsid w:val="00DB6C7D"/>
    <w:rsid w:val="00DC6070"/>
    <w:rsid w:val="00DD04B4"/>
    <w:rsid w:val="00DD118C"/>
    <w:rsid w:val="00DE765C"/>
    <w:rsid w:val="00DF703E"/>
    <w:rsid w:val="00E03A5B"/>
    <w:rsid w:val="00E07180"/>
    <w:rsid w:val="00E17F1F"/>
    <w:rsid w:val="00E30556"/>
    <w:rsid w:val="00E31CAB"/>
    <w:rsid w:val="00E34950"/>
    <w:rsid w:val="00E47FCB"/>
    <w:rsid w:val="00E50938"/>
    <w:rsid w:val="00E56C3B"/>
    <w:rsid w:val="00E66235"/>
    <w:rsid w:val="00E662A8"/>
    <w:rsid w:val="00E83C24"/>
    <w:rsid w:val="00E86374"/>
    <w:rsid w:val="00E913FA"/>
    <w:rsid w:val="00E9318D"/>
    <w:rsid w:val="00E93F3E"/>
    <w:rsid w:val="00EA25DD"/>
    <w:rsid w:val="00EB197A"/>
    <w:rsid w:val="00EB3AA3"/>
    <w:rsid w:val="00EB3ED5"/>
    <w:rsid w:val="00EB717C"/>
    <w:rsid w:val="00EB7694"/>
    <w:rsid w:val="00EC7965"/>
    <w:rsid w:val="00ED3111"/>
    <w:rsid w:val="00ED4CC7"/>
    <w:rsid w:val="00EE2752"/>
    <w:rsid w:val="00EE3C8F"/>
    <w:rsid w:val="00EE6B99"/>
    <w:rsid w:val="00EF0A41"/>
    <w:rsid w:val="00EF364B"/>
    <w:rsid w:val="00EF3C38"/>
    <w:rsid w:val="00F018EF"/>
    <w:rsid w:val="00F03C4A"/>
    <w:rsid w:val="00F041E5"/>
    <w:rsid w:val="00F063C2"/>
    <w:rsid w:val="00F10CEB"/>
    <w:rsid w:val="00F14982"/>
    <w:rsid w:val="00F167E1"/>
    <w:rsid w:val="00F2200F"/>
    <w:rsid w:val="00F32041"/>
    <w:rsid w:val="00F340F6"/>
    <w:rsid w:val="00F34136"/>
    <w:rsid w:val="00F47CBF"/>
    <w:rsid w:val="00F51395"/>
    <w:rsid w:val="00F5233B"/>
    <w:rsid w:val="00F53193"/>
    <w:rsid w:val="00F5357E"/>
    <w:rsid w:val="00F538E7"/>
    <w:rsid w:val="00F6586C"/>
    <w:rsid w:val="00F83BB8"/>
    <w:rsid w:val="00F9038B"/>
    <w:rsid w:val="00F90F9B"/>
    <w:rsid w:val="00F94774"/>
    <w:rsid w:val="00FA0346"/>
    <w:rsid w:val="00FA31C1"/>
    <w:rsid w:val="00FA5FD7"/>
    <w:rsid w:val="00FA663B"/>
    <w:rsid w:val="00FB3DAA"/>
    <w:rsid w:val="00FC4BBC"/>
    <w:rsid w:val="00FC53DB"/>
    <w:rsid w:val="00FD0A3A"/>
    <w:rsid w:val="00FE468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99789723-4824-4E13-BC5C-F41EE3D93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26037"/>
    <w:rsid w:val="000554E2"/>
    <w:rsid w:val="00130D0E"/>
    <w:rsid w:val="001C7BCC"/>
    <w:rsid w:val="00234E9C"/>
    <w:rsid w:val="00246E5F"/>
    <w:rsid w:val="00254EB5"/>
    <w:rsid w:val="003964CF"/>
    <w:rsid w:val="00403BFD"/>
    <w:rsid w:val="0040769F"/>
    <w:rsid w:val="004800F1"/>
    <w:rsid w:val="00570795"/>
    <w:rsid w:val="00620857"/>
    <w:rsid w:val="00640178"/>
    <w:rsid w:val="006E5A67"/>
    <w:rsid w:val="006F3019"/>
    <w:rsid w:val="008B57B9"/>
    <w:rsid w:val="008C1ED3"/>
    <w:rsid w:val="008D2EA9"/>
    <w:rsid w:val="008F309E"/>
    <w:rsid w:val="009516E4"/>
    <w:rsid w:val="009B5918"/>
    <w:rsid w:val="00A26017"/>
    <w:rsid w:val="00B50FAE"/>
    <w:rsid w:val="00B66E53"/>
    <w:rsid w:val="00BF3088"/>
    <w:rsid w:val="00C2102B"/>
    <w:rsid w:val="00C37E94"/>
    <w:rsid w:val="00C95A99"/>
    <w:rsid w:val="00CD44B7"/>
    <w:rsid w:val="00CE4656"/>
    <w:rsid w:val="00D41B1B"/>
    <w:rsid w:val="00D44485"/>
    <w:rsid w:val="00D85923"/>
    <w:rsid w:val="00DC06B3"/>
    <w:rsid w:val="00E458BB"/>
    <w:rsid w:val="00EB3ED5"/>
    <w:rsid w:val="00F20D6A"/>
    <w:rsid w:val="00F846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2BDA87D2-D38C-4C4D-8B23-822E655D337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39</TotalTime>
  <Pages>3</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Matters related to the financial mechanism and resources</vt:lpstr>
    </vt:vector>
  </TitlesOfParts>
  <Company>SCBD</Company>
  <LinksUpToDate>false</LinksUpToDate>
  <CharactersWithSpaces>6992</CharactersWithSpaces>
  <SharedDoc>false</SharedDoc>
  <HLinks>
    <vt:vector size="6" baseType="variant">
      <vt:variant>
        <vt:i4>7012460</vt:i4>
      </vt:variant>
      <vt:variant>
        <vt:i4>0</vt:i4>
      </vt:variant>
      <vt:variant>
        <vt:i4>0</vt:i4>
      </vt:variant>
      <vt:variant>
        <vt:i4>5</vt:i4>
      </vt:variant>
      <vt:variant>
        <vt:lpwstr>https://www.cbd.int/documents/CBD/COP/17/5/ADD1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Asuntos relacionados con el mecanismo financiero y los recursos financieros</dc:title>
  <dc:subject>CBD/CP/MOP/12/L.9</dc:subject>
  <dc:creator>Veronique Lefebvre</dc:creator>
  <cp:keywords>Convention on Biological Diversity</cp:keywords>
  <cp:lastModifiedBy>Daniel Nogues Duran</cp:lastModifiedBy>
  <cp:revision>10</cp:revision>
  <cp:lastPrinted>2026-10-23T14:04:00Z</cp:lastPrinted>
  <dcterms:created xsi:type="dcterms:W3CDTF">2026-10-23T13:29:00Z</dcterms:created>
  <dcterms:modified xsi:type="dcterms:W3CDTF">2026-10-23T14:19:00Z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