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39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5141"/>
        <w:gridCol w:w="4407"/>
      </w:tblGrid>
      <w:tr w:rsidR="00EA5786" w:rsidRPr="000058F1" w14:paraId="07F6750D" w14:textId="77777777" w:rsidTr="00573D57">
        <w:trPr>
          <w:trHeight w:val="851"/>
        </w:trPr>
        <w:tc>
          <w:tcPr>
            <w:tcW w:w="851" w:type="dxa"/>
            <w:tcBorders>
              <w:bottom w:val="single" w:sz="12" w:space="0" w:color="auto"/>
            </w:tcBorders>
          </w:tcPr>
          <w:p w14:paraId="1DEFF495" w14:textId="78C5D595" w:rsidR="00C9161D" w:rsidRPr="00044510" w:rsidRDefault="00573D57" w:rsidP="00866F16">
            <w:pPr>
              <w:suppressLineNumbers/>
              <w:suppressAutoHyphens/>
              <w:kinsoku w:val="0"/>
              <w:overflowPunct w:val="0"/>
              <w:autoSpaceDE w:val="0"/>
              <w:autoSpaceDN w:val="0"/>
              <w:adjustRightInd w:val="0"/>
              <w:snapToGrid w:val="0"/>
              <w:rPr>
                <w:kern w:val="22"/>
                <w:szCs w:val="22"/>
              </w:rPr>
            </w:pPr>
            <w:r w:rsidRPr="00444C31">
              <w:rPr>
                <w:noProof/>
                <w:kern w:val="22"/>
                <w:lang w:eastAsia="en-CA"/>
              </w:rPr>
              <w:drawing>
                <wp:inline distT="0" distB="0" distL="0" distR="0" wp14:anchorId="589FA43F" wp14:editId="7F6CED1C">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1986B63F" w14:textId="567062A1" w:rsidR="00FA663B" w:rsidRPr="00044510" w:rsidRDefault="00573D57" w:rsidP="00866F16">
            <w:pPr>
              <w:suppressLineNumbers/>
              <w:suppressAutoHyphens/>
              <w:kinsoku w:val="0"/>
              <w:overflowPunct w:val="0"/>
              <w:autoSpaceDE w:val="0"/>
              <w:autoSpaceDN w:val="0"/>
              <w:adjustRightInd w:val="0"/>
              <w:snapToGrid w:val="0"/>
              <w:rPr>
                <w:kern w:val="22"/>
                <w:szCs w:val="22"/>
              </w:rPr>
            </w:pPr>
            <w:r w:rsidRPr="00444C31">
              <w:rPr>
                <w:noProof/>
              </w:rPr>
              <w:drawing>
                <wp:inline distT="0" distB="0" distL="0" distR="0" wp14:anchorId="3084A87C" wp14:editId="6C406965">
                  <wp:extent cx="940435" cy="593090"/>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stretch>
                            <a:fillRect/>
                          </a:stretch>
                        </pic:blipFill>
                        <pic:spPr>
                          <a:xfrm>
                            <a:off x="0" y="0"/>
                            <a:ext cx="940435" cy="593090"/>
                          </a:xfrm>
                          <a:prstGeom prst="rect">
                            <a:avLst/>
                          </a:prstGeom>
                        </pic:spPr>
                      </pic:pic>
                    </a:graphicData>
                  </a:graphic>
                </wp:inline>
              </w:drawing>
            </w:r>
          </w:p>
        </w:tc>
        <w:tc>
          <w:tcPr>
            <w:tcW w:w="4407" w:type="dxa"/>
            <w:tcBorders>
              <w:bottom w:val="single" w:sz="12" w:space="0" w:color="auto"/>
            </w:tcBorders>
          </w:tcPr>
          <w:p w14:paraId="600A589D" w14:textId="77777777" w:rsidR="00C9161D" w:rsidRPr="000058F1" w:rsidRDefault="00C9161D" w:rsidP="00866F16">
            <w:pPr>
              <w:suppressLineNumbers/>
              <w:suppressAutoHyphens/>
              <w:kinsoku w:val="0"/>
              <w:overflowPunct w:val="0"/>
              <w:autoSpaceDE w:val="0"/>
              <w:autoSpaceDN w:val="0"/>
              <w:adjustRightInd w:val="0"/>
              <w:snapToGrid w:val="0"/>
              <w:jc w:val="right"/>
              <w:rPr>
                <w:rFonts w:ascii="Arial" w:hAnsi="Arial" w:cs="Arial"/>
                <w:b/>
                <w:kern w:val="22"/>
                <w:sz w:val="32"/>
                <w:szCs w:val="32"/>
              </w:rPr>
            </w:pPr>
            <w:r w:rsidRPr="000058F1">
              <w:rPr>
                <w:rFonts w:ascii="Arial" w:hAnsi="Arial" w:cs="Arial"/>
                <w:b/>
                <w:kern w:val="22"/>
                <w:sz w:val="32"/>
                <w:szCs w:val="32"/>
              </w:rPr>
              <w:t>CBD</w:t>
            </w:r>
          </w:p>
        </w:tc>
      </w:tr>
      <w:tr w:rsidR="00EA5786" w:rsidRPr="000058F1" w14:paraId="6F751905" w14:textId="77777777" w:rsidTr="005C4E47">
        <w:tc>
          <w:tcPr>
            <w:tcW w:w="5992" w:type="dxa"/>
            <w:gridSpan w:val="2"/>
            <w:tcBorders>
              <w:top w:val="single" w:sz="12" w:space="0" w:color="auto"/>
              <w:bottom w:val="single" w:sz="36" w:space="0" w:color="auto"/>
            </w:tcBorders>
            <w:vAlign w:val="center"/>
          </w:tcPr>
          <w:p w14:paraId="14F52A6C" w14:textId="77777777" w:rsidR="00C9161D" w:rsidRPr="00044510" w:rsidRDefault="00C9161D" w:rsidP="00866F16">
            <w:pPr>
              <w:suppressLineNumbers/>
              <w:suppressAutoHyphens/>
              <w:kinsoku w:val="0"/>
              <w:overflowPunct w:val="0"/>
              <w:autoSpaceDE w:val="0"/>
              <w:autoSpaceDN w:val="0"/>
              <w:adjustRightInd w:val="0"/>
              <w:snapToGrid w:val="0"/>
              <w:rPr>
                <w:kern w:val="22"/>
                <w:szCs w:val="22"/>
              </w:rPr>
            </w:pPr>
            <w:r w:rsidRPr="00444C31">
              <w:rPr>
                <w:noProof/>
                <w:kern w:val="22"/>
                <w:szCs w:val="22"/>
              </w:rPr>
              <w:drawing>
                <wp:inline distT="0" distB="0" distL="0" distR="0" wp14:anchorId="7BABC8B6" wp14:editId="083FE5C8">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407" w:type="dxa"/>
            <w:tcBorders>
              <w:top w:val="single" w:sz="12" w:space="0" w:color="auto"/>
              <w:bottom w:val="single" w:sz="36" w:space="0" w:color="auto"/>
            </w:tcBorders>
          </w:tcPr>
          <w:p w14:paraId="1C693BA4" w14:textId="77777777" w:rsidR="00C9161D" w:rsidRPr="000058F1" w:rsidRDefault="00C9161D" w:rsidP="00866F16">
            <w:pPr>
              <w:suppressLineNumbers/>
              <w:suppressAutoHyphens/>
              <w:kinsoku w:val="0"/>
              <w:overflowPunct w:val="0"/>
              <w:autoSpaceDE w:val="0"/>
              <w:autoSpaceDN w:val="0"/>
              <w:adjustRightInd w:val="0"/>
              <w:snapToGrid w:val="0"/>
              <w:ind w:left="1215"/>
              <w:jc w:val="left"/>
              <w:rPr>
                <w:kern w:val="22"/>
                <w:szCs w:val="22"/>
              </w:rPr>
            </w:pPr>
            <w:r w:rsidRPr="000058F1">
              <w:rPr>
                <w:kern w:val="22"/>
                <w:szCs w:val="22"/>
              </w:rPr>
              <w:t>Distr.</w:t>
            </w:r>
          </w:p>
          <w:p w14:paraId="0C21C438" w14:textId="79E12067" w:rsidR="00C9161D" w:rsidRPr="000058F1" w:rsidRDefault="00134846" w:rsidP="00866F16">
            <w:pPr>
              <w:suppressLineNumbers/>
              <w:suppressAutoHyphens/>
              <w:kinsoku w:val="0"/>
              <w:overflowPunct w:val="0"/>
              <w:autoSpaceDE w:val="0"/>
              <w:autoSpaceDN w:val="0"/>
              <w:adjustRightInd w:val="0"/>
              <w:snapToGrid w:val="0"/>
              <w:ind w:left="1215"/>
              <w:jc w:val="left"/>
              <w:rPr>
                <w:kern w:val="22"/>
                <w:szCs w:val="22"/>
              </w:rPr>
            </w:pPr>
            <w:r w:rsidRPr="000058F1">
              <w:rPr>
                <w:kern w:val="22"/>
                <w:szCs w:val="22"/>
              </w:rPr>
              <w:t>GENERAL</w:t>
            </w:r>
          </w:p>
          <w:p w14:paraId="06715052" w14:textId="77777777" w:rsidR="00C9161D" w:rsidRPr="000058F1" w:rsidRDefault="00C9161D" w:rsidP="00866F16">
            <w:pPr>
              <w:suppressLineNumbers/>
              <w:suppressAutoHyphens/>
              <w:kinsoku w:val="0"/>
              <w:overflowPunct w:val="0"/>
              <w:autoSpaceDE w:val="0"/>
              <w:autoSpaceDN w:val="0"/>
              <w:adjustRightInd w:val="0"/>
              <w:snapToGrid w:val="0"/>
              <w:ind w:left="1215"/>
              <w:jc w:val="left"/>
              <w:rPr>
                <w:kern w:val="22"/>
                <w:szCs w:val="22"/>
              </w:rPr>
            </w:pPr>
          </w:p>
          <w:p w14:paraId="44230134" w14:textId="0805EDE3" w:rsidR="00C9161D" w:rsidRPr="00044510" w:rsidRDefault="004D2C41" w:rsidP="00866F16">
            <w:pPr>
              <w:suppressLineNumbers/>
              <w:suppressAutoHyphens/>
              <w:kinsoku w:val="0"/>
              <w:overflowPunct w:val="0"/>
              <w:autoSpaceDE w:val="0"/>
              <w:autoSpaceDN w:val="0"/>
              <w:adjustRightInd w:val="0"/>
              <w:snapToGrid w:val="0"/>
              <w:ind w:left="1215"/>
              <w:jc w:val="left"/>
              <w:rPr>
                <w:kern w:val="22"/>
                <w:szCs w:val="22"/>
              </w:rPr>
            </w:pPr>
            <w:sdt>
              <w:sdtPr>
                <w:rPr>
                  <w:kern w:val="22"/>
                  <w:szCs w:val="22"/>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BF1263" w:rsidRPr="00044510">
                  <w:rPr>
                    <w:kern w:val="22"/>
                    <w:szCs w:val="22"/>
                  </w:rPr>
                  <w:t>CBD/WG2020/3/3/Add.1</w:t>
                </w:r>
              </w:sdtContent>
            </w:sdt>
          </w:p>
          <w:p w14:paraId="0DF1F033" w14:textId="5EC4DC94" w:rsidR="00C9161D" w:rsidRPr="000058F1" w:rsidRDefault="00BF1263" w:rsidP="00866F16">
            <w:pPr>
              <w:suppressLineNumbers/>
              <w:suppressAutoHyphens/>
              <w:kinsoku w:val="0"/>
              <w:overflowPunct w:val="0"/>
              <w:autoSpaceDE w:val="0"/>
              <w:autoSpaceDN w:val="0"/>
              <w:adjustRightInd w:val="0"/>
              <w:snapToGrid w:val="0"/>
              <w:ind w:left="1215"/>
              <w:jc w:val="left"/>
              <w:rPr>
                <w:kern w:val="22"/>
                <w:szCs w:val="22"/>
              </w:rPr>
            </w:pPr>
            <w:r w:rsidRPr="000058F1">
              <w:rPr>
                <w:kern w:val="22"/>
                <w:szCs w:val="22"/>
              </w:rPr>
              <w:t xml:space="preserve">11 </w:t>
            </w:r>
            <w:r w:rsidR="005C4E47" w:rsidRPr="000058F1">
              <w:rPr>
                <w:kern w:val="22"/>
                <w:szCs w:val="22"/>
              </w:rPr>
              <w:t xml:space="preserve">July </w:t>
            </w:r>
            <w:r w:rsidR="00F6586C" w:rsidRPr="000058F1">
              <w:rPr>
                <w:kern w:val="22"/>
                <w:szCs w:val="22"/>
              </w:rPr>
              <w:t>20</w:t>
            </w:r>
            <w:r w:rsidR="00303403" w:rsidRPr="000058F1">
              <w:rPr>
                <w:kern w:val="22"/>
                <w:szCs w:val="22"/>
              </w:rPr>
              <w:t>2</w:t>
            </w:r>
            <w:r w:rsidRPr="000058F1">
              <w:rPr>
                <w:kern w:val="22"/>
                <w:szCs w:val="22"/>
              </w:rPr>
              <w:t>1</w:t>
            </w:r>
          </w:p>
          <w:p w14:paraId="159892DF" w14:textId="77777777" w:rsidR="00C9161D" w:rsidRPr="000058F1" w:rsidRDefault="00C9161D" w:rsidP="00866F16">
            <w:pPr>
              <w:suppressLineNumbers/>
              <w:suppressAutoHyphens/>
              <w:kinsoku w:val="0"/>
              <w:overflowPunct w:val="0"/>
              <w:autoSpaceDE w:val="0"/>
              <w:autoSpaceDN w:val="0"/>
              <w:adjustRightInd w:val="0"/>
              <w:snapToGrid w:val="0"/>
              <w:ind w:left="1215"/>
              <w:jc w:val="left"/>
              <w:rPr>
                <w:kern w:val="22"/>
                <w:szCs w:val="22"/>
              </w:rPr>
            </w:pPr>
          </w:p>
          <w:p w14:paraId="5AA10CCE" w14:textId="20A23716" w:rsidR="00C9161D" w:rsidRPr="000058F1" w:rsidRDefault="006B2290" w:rsidP="00866F16">
            <w:pPr>
              <w:suppressLineNumbers/>
              <w:suppressAutoHyphens/>
              <w:kinsoku w:val="0"/>
              <w:overflowPunct w:val="0"/>
              <w:autoSpaceDE w:val="0"/>
              <w:autoSpaceDN w:val="0"/>
              <w:adjustRightInd w:val="0"/>
              <w:snapToGrid w:val="0"/>
              <w:ind w:left="1215"/>
              <w:jc w:val="left"/>
              <w:rPr>
                <w:kern w:val="22"/>
                <w:szCs w:val="22"/>
              </w:rPr>
            </w:pPr>
            <w:r w:rsidRPr="000058F1">
              <w:rPr>
                <w:kern w:val="22"/>
                <w:szCs w:val="22"/>
              </w:rPr>
              <w:t xml:space="preserve">ORIGINAL: </w:t>
            </w:r>
            <w:r w:rsidR="00C9161D" w:rsidRPr="000058F1">
              <w:rPr>
                <w:kern w:val="22"/>
                <w:szCs w:val="22"/>
              </w:rPr>
              <w:t>ENGLISH</w:t>
            </w:r>
          </w:p>
        </w:tc>
      </w:tr>
    </w:tbl>
    <w:p w14:paraId="7147FDEC" w14:textId="535FC878" w:rsidR="005C4E47" w:rsidRPr="000058F1" w:rsidRDefault="005C4E47" w:rsidP="005C0EE3">
      <w:pPr>
        <w:pStyle w:val="meetingname"/>
        <w:suppressLineNumbers/>
        <w:suppressAutoHyphens/>
        <w:ind w:right="5816"/>
        <w:jc w:val="left"/>
        <w:rPr>
          <w:kern w:val="22"/>
        </w:rPr>
      </w:pPr>
      <w:bookmarkStart w:id="0" w:name="Meeting"/>
      <w:r w:rsidRPr="000058F1">
        <w:rPr>
          <w:kern w:val="22"/>
        </w:rPr>
        <w:t>OPEN-ENDED WORKING GROUP on the post-2020 global biodiversity framework</w:t>
      </w:r>
      <w:bookmarkEnd w:id="0"/>
    </w:p>
    <w:p w14:paraId="71E54044" w14:textId="77777777" w:rsidR="005C4E47" w:rsidRPr="000058F1" w:rsidRDefault="005C4E47" w:rsidP="005C4E47">
      <w:pPr>
        <w:suppressLineNumbers/>
        <w:suppressAutoHyphens/>
        <w:rPr>
          <w:snapToGrid w:val="0"/>
          <w:kern w:val="22"/>
          <w:szCs w:val="22"/>
          <w:lang w:eastAsia="nb-NO"/>
        </w:rPr>
      </w:pPr>
      <w:r w:rsidRPr="000058F1">
        <w:rPr>
          <w:snapToGrid w:val="0"/>
          <w:kern w:val="22"/>
          <w:szCs w:val="22"/>
          <w:lang w:eastAsia="nb-NO"/>
        </w:rPr>
        <w:t>Third meeting</w:t>
      </w:r>
    </w:p>
    <w:p w14:paraId="02DF6286" w14:textId="414F00B8" w:rsidR="005C4E47" w:rsidRPr="000058F1" w:rsidRDefault="00E25A64" w:rsidP="005C4E47">
      <w:pPr>
        <w:suppressLineNumbers/>
        <w:suppressAutoHyphens/>
        <w:rPr>
          <w:snapToGrid w:val="0"/>
          <w:kern w:val="22"/>
          <w:szCs w:val="22"/>
          <w:lang w:eastAsia="nb-NO"/>
        </w:rPr>
      </w:pPr>
      <w:r w:rsidRPr="000058F1">
        <w:rPr>
          <w:snapToGrid w:val="0"/>
          <w:kern w:val="22"/>
          <w:szCs w:val="22"/>
          <w:lang w:eastAsia="nb-NO"/>
        </w:rPr>
        <w:t>Online, 23</w:t>
      </w:r>
      <w:r w:rsidR="009E5141" w:rsidRPr="000058F1">
        <w:rPr>
          <w:snapToGrid w:val="0"/>
          <w:kern w:val="22"/>
          <w:szCs w:val="22"/>
          <w:lang w:eastAsia="nb-NO"/>
        </w:rPr>
        <w:t xml:space="preserve"> August – 3 September 2021</w:t>
      </w:r>
    </w:p>
    <w:p w14:paraId="5ECF7635" w14:textId="621545A1" w:rsidR="00C9161D" w:rsidRPr="000058F1" w:rsidRDefault="00134846" w:rsidP="00866F16">
      <w:pPr>
        <w:suppressLineNumbers/>
        <w:suppressAutoHyphens/>
        <w:kinsoku w:val="0"/>
        <w:overflowPunct w:val="0"/>
        <w:autoSpaceDE w:val="0"/>
        <w:autoSpaceDN w:val="0"/>
        <w:adjustRightInd w:val="0"/>
        <w:snapToGrid w:val="0"/>
        <w:ind w:right="4784"/>
        <w:jc w:val="left"/>
        <w:rPr>
          <w:kern w:val="22"/>
          <w:szCs w:val="22"/>
        </w:rPr>
      </w:pPr>
      <w:r w:rsidRPr="000058F1">
        <w:rPr>
          <w:snapToGrid w:val="0"/>
          <w:kern w:val="22"/>
          <w:szCs w:val="22"/>
        </w:rPr>
        <w:t xml:space="preserve">Item </w:t>
      </w:r>
      <w:r w:rsidR="005C4E47" w:rsidRPr="000058F1">
        <w:rPr>
          <w:snapToGrid w:val="0"/>
          <w:kern w:val="22"/>
          <w:szCs w:val="22"/>
        </w:rPr>
        <w:t xml:space="preserve">4 </w:t>
      </w:r>
      <w:r w:rsidRPr="000058F1">
        <w:rPr>
          <w:snapToGrid w:val="0"/>
          <w:kern w:val="22"/>
          <w:szCs w:val="22"/>
        </w:rPr>
        <w:t>of the provisional agenda</w:t>
      </w:r>
      <w:r w:rsidR="007C6D48" w:rsidRPr="000058F1">
        <w:rPr>
          <w:rStyle w:val="FootnoteReference"/>
          <w:snapToGrid w:val="0"/>
          <w:kern w:val="22"/>
          <w:szCs w:val="22"/>
        </w:rPr>
        <w:footnoteReference w:customMarkFollows="1" w:id="2"/>
        <w:t>*</w:t>
      </w:r>
      <w:r w:rsidR="0015379E" w:rsidRPr="000058F1">
        <w:rPr>
          <w:snapToGrid w:val="0"/>
          <w:kern w:val="22"/>
          <w:szCs w:val="22"/>
          <w:vertAlign w:val="superscript"/>
        </w:rPr>
        <w:t>*</w:t>
      </w:r>
    </w:p>
    <w:p w14:paraId="6B15599B" w14:textId="571C1F8B" w:rsidR="00BF7422" w:rsidRPr="00444C31" w:rsidRDefault="00BF7422" w:rsidP="00444C31">
      <w:pPr>
        <w:pStyle w:val="Style1"/>
        <w:suppressLineNumbers/>
        <w:tabs>
          <w:tab w:val="clear" w:pos="720"/>
        </w:tabs>
        <w:suppressAutoHyphens/>
        <w:kinsoku w:val="0"/>
        <w:overflowPunct w:val="0"/>
        <w:autoSpaceDE w:val="0"/>
        <w:autoSpaceDN w:val="0"/>
        <w:adjustRightInd w:val="0"/>
        <w:snapToGrid w:val="0"/>
        <w:spacing w:before="0" w:after="0"/>
        <w:jc w:val="both"/>
        <w:rPr>
          <w:rStyle w:val="Heading2Char"/>
          <w:rFonts w:asciiTheme="majorBidi" w:hAnsiTheme="majorBidi" w:cs="Times New Roman Bold"/>
          <w:i w:val="0"/>
          <w:caps/>
          <w:kern w:val="22"/>
        </w:rPr>
      </w:pPr>
    </w:p>
    <w:p w14:paraId="757142DB" w14:textId="7ABEA751" w:rsidR="004D1AA7" w:rsidRPr="00044510" w:rsidRDefault="00195F8C" w:rsidP="00866F16">
      <w:pPr>
        <w:pStyle w:val="Style1"/>
        <w:suppressLineNumbers/>
        <w:tabs>
          <w:tab w:val="clear" w:pos="720"/>
        </w:tabs>
        <w:suppressAutoHyphens/>
        <w:kinsoku w:val="0"/>
        <w:overflowPunct w:val="0"/>
        <w:autoSpaceDE w:val="0"/>
        <w:autoSpaceDN w:val="0"/>
        <w:adjustRightInd w:val="0"/>
        <w:snapToGrid w:val="0"/>
        <w:rPr>
          <w:rStyle w:val="Heading2Char"/>
          <w:rFonts w:asciiTheme="majorBidi" w:hAnsiTheme="majorBidi"/>
          <w:i w:val="0"/>
          <w:caps/>
          <w:kern w:val="22"/>
          <w:szCs w:val="22"/>
        </w:rPr>
      </w:pPr>
      <w:r w:rsidRPr="00044510">
        <w:rPr>
          <w:rStyle w:val="Heading2Char"/>
          <w:rFonts w:asciiTheme="majorBidi" w:hAnsiTheme="majorBidi" w:cstheme="majorBidi"/>
          <w:b/>
          <w:i w:val="0"/>
          <w:caps/>
          <w:kern w:val="22"/>
          <w:szCs w:val="22"/>
        </w:rPr>
        <w:t>P</w:t>
      </w:r>
      <w:r w:rsidR="004D1AA7" w:rsidRPr="00444C31">
        <w:rPr>
          <w:rStyle w:val="Heading2Char"/>
          <w:rFonts w:asciiTheme="majorBidi" w:hAnsiTheme="majorBidi" w:cstheme="majorBidi"/>
          <w:b/>
          <w:i w:val="0"/>
          <w:caps/>
          <w:kern w:val="22"/>
          <w:szCs w:val="22"/>
        </w:rPr>
        <w:t>roposed</w:t>
      </w:r>
      <w:r w:rsidR="004D1AA7" w:rsidRPr="00044510">
        <w:rPr>
          <w:rStyle w:val="Heading2Char"/>
          <w:rFonts w:asciiTheme="majorBidi" w:hAnsiTheme="majorBidi"/>
          <w:b/>
          <w:i w:val="0"/>
          <w:caps/>
          <w:kern w:val="22"/>
          <w:szCs w:val="22"/>
        </w:rPr>
        <w:t xml:space="preserve"> </w:t>
      </w:r>
      <w:r w:rsidR="00FD322C" w:rsidRPr="00444C31">
        <w:rPr>
          <w:rStyle w:val="Heading2Char"/>
          <w:rFonts w:asciiTheme="majorBidi" w:hAnsiTheme="majorBidi"/>
          <w:b/>
          <w:i w:val="0"/>
          <w:caps/>
          <w:kern w:val="22"/>
          <w:szCs w:val="22"/>
        </w:rPr>
        <w:t>headline</w:t>
      </w:r>
      <w:r w:rsidR="00FD322C" w:rsidRPr="00044510">
        <w:rPr>
          <w:rStyle w:val="Heading2Char"/>
          <w:rFonts w:asciiTheme="majorBidi" w:hAnsiTheme="majorBidi"/>
          <w:b/>
          <w:i w:val="0"/>
          <w:caps/>
          <w:kern w:val="22"/>
          <w:szCs w:val="22"/>
        </w:rPr>
        <w:t xml:space="preserve"> </w:t>
      </w:r>
      <w:r w:rsidR="00FD322C" w:rsidRPr="00444C31">
        <w:rPr>
          <w:rStyle w:val="Heading2Char"/>
          <w:rFonts w:asciiTheme="majorBidi" w:hAnsiTheme="majorBidi" w:cstheme="majorBidi"/>
          <w:b/>
          <w:i w:val="0"/>
          <w:caps/>
          <w:kern w:val="22"/>
          <w:szCs w:val="22"/>
        </w:rPr>
        <w:t>indicators</w:t>
      </w:r>
      <w:r w:rsidR="00963403" w:rsidRPr="00044510">
        <w:rPr>
          <w:rStyle w:val="Heading2Char"/>
          <w:rFonts w:asciiTheme="majorBidi" w:hAnsiTheme="majorBidi"/>
          <w:b/>
          <w:i w:val="0"/>
          <w:caps/>
          <w:kern w:val="22"/>
          <w:szCs w:val="22"/>
        </w:rPr>
        <w:t xml:space="preserve"> </w:t>
      </w:r>
      <w:r w:rsidR="0087548B" w:rsidRPr="00444C31">
        <w:rPr>
          <w:rStyle w:val="Heading2Char"/>
          <w:rFonts w:asciiTheme="majorBidi" w:hAnsiTheme="majorBidi"/>
          <w:b/>
          <w:i w:val="0"/>
          <w:caps/>
          <w:kern w:val="22"/>
          <w:szCs w:val="22"/>
        </w:rPr>
        <w:t xml:space="preserve">of the monitoring framework </w:t>
      </w:r>
      <w:r w:rsidR="004D1AA7" w:rsidRPr="00444C31">
        <w:rPr>
          <w:rStyle w:val="Heading2Char"/>
          <w:rFonts w:asciiTheme="majorBidi" w:hAnsiTheme="majorBidi"/>
          <w:b/>
          <w:i w:val="0"/>
          <w:caps/>
          <w:kern w:val="22"/>
          <w:szCs w:val="22"/>
        </w:rPr>
        <w:t>for the post-2020 global</w:t>
      </w:r>
      <w:r w:rsidR="00040A80" w:rsidRPr="00044510">
        <w:rPr>
          <w:rStyle w:val="Heading2Char"/>
          <w:rFonts w:asciiTheme="majorBidi" w:hAnsiTheme="majorBidi" w:cstheme="majorBidi"/>
          <w:b/>
          <w:i w:val="0"/>
          <w:caps/>
          <w:kern w:val="22"/>
          <w:szCs w:val="22"/>
        </w:rPr>
        <w:t xml:space="preserve"> </w:t>
      </w:r>
      <w:r w:rsidR="004D1AA7" w:rsidRPr="00444C31">
        <w:rPr>
          <w:rStyle w:val="Heading2Char"/>
          <w:rFonts w:asciiTheme="majorBidi" w:hAnsiTheme="majorBidi"/>
          <w:b/>
          <w:i w:val="0"/>
          <w:caps/>
          <w:kern w:val="22"/>
          <w:szCs w:val="22"/>
        </w:rPr>
        <w:t>biodiversity</w:t>
      </w:r>
      <w:r w:rsidR="003B1FFC" w:rsidRPr="00444C31">
        <w:rPr>
          <w:rStyle w:val="Heading2Char"/>
          <w:rFonts w:asciiTheme="majorBidi" w:hAnsiTheme="majorBidi"/>
          <w:b/>
          <w:i w:val="0"/>
          <w:caps/>
          <w:kern w:val="22"/>
          <w:szCs w:val="22"/>
        </w:rPr>
        <w:t> </w:t>
      </w:r>
      <w:r w:rsidR="004D1AA7" w:rsidRPr="00444C31">
        <w:rPr>
          <w:rStyle w:val="Heading2Char"/>
          <w:rFonts w:asciiTheme="majorBidi" w:hAnsiTheme="majorBidi"/>
          <w:b/>
          <w:i w:val="0"/>
          <w:caps/>
          <w:kern w:val="22"/>
          <w:szCs w:val="22"/>
        </w:rPr>
        <w:t>framework</w:t>
      </w:r>
    </w:p>
    <w:p w14:paraId="339A4782" w14:textId="72881EE0" w:rsidR="00176CEE" w:rsidRPr="000058F1" w:rsidRDefault="0030169D" w:rsidP="00866F16">
      <w:pPr>
        <w:pStyle w:val="Style1"/>
        <w:suppressLineNumbers/>
        <w:tabs>
          <w:tab w:val="clear" w:pos="720"/>
        </w:tabs>
        <w:suppressAutoHyphens/>
        <w:kinsoku w:val="0"/>
        <w:overflowPunct w:val="0"/>
        <w:autoSpaceDE w:val="0"/>
        <w:autoSpaceDN w:val="0"/>
        <w:adjustRightInd w:val="0"/>
        <w:snapToGrid w:val="0"/>
        <w:rPr>
          <w:i w:val="0"/>
          <w:caps/>
          <w:kern w:val="22"/>
          <w:szCs w:val="22"/>
        </w:rPr>
      </w:pPr>
      <w:r w:rsidRPr="000058F1">
        <w:rPr>
          <w:b w:val="0"/>
          <w:kern w:val="22"/>
          <w:szCs w:val="22"/>
        </w:rPr>
        <w:t>Note by the Executive Secretary</w:t>
      </w:r>
    </w:p>
    <w:p w14:paraId="40B61068" w14:textId="7C7DC887" w:rsidR="00C9161D" w:rsidRPr="000058F1" w:rsidRDefault="006D61E2" w:rsidP="00866F16">
      <w:pPr>
        <w:pStyle w:val="Heading1"/>
        <w:numPr>
          <w:ilvl w:val="0"/>
          <w:numId w:val="9"/>
        </w:numPr>
        <w:suppressLineNumbers/>
        <w:tabs>
          <w:tab w:val="clear" w:pos="720"/>
          <w:tab w:val="left" w:pos="284"/>
        </w:tabs>
        <w:suppressAutoHyphens/>
        <w:kinsoku w:val="0"/>
        <w:overflowPunct w:val="0"/>
        <w:autoSpaceDE w:val="0"/>
        <w:autoSpaceDN w:val="0"/>
        <w:adjustRightInd w:val="0"/>
        <w:snapToGrid w:val="0"/>
        <w:spacing w:before="120"/>
        <w:ind w:left="0" w:firstLine="0"/>
        <w:rPr>
          <w:kern w:val="22"/>
          <w:szCs w:val="22"/>
        </w:rPr>
      </w:pPr>
      <w:r w:rsidRPr="000058F1">
        <w:rPr>
          <w:kern w:val="22"/>
          <w:szCs w:val="22"/>
        </w:rPr>
        <w:t>introduction</w:t>
      </w:r>
    </w:p>
    <w:p w14:paraId="1DCC0B75" w14:textId="79810CA2" w:rsidR="00210EB4" w:rsidRPr="000058F1" w:rsidRDefault="00F679CE" w:rsidP="00866F16">
      <w:pPr>
        <w:pStyle w:val="Para1"/>
        <w:numPr>
          <w:ilvl w:val="0"/>
          <w:numId w:val="2"/>
        </w:numPr>
        <w:suppressLineNumbers/>
        <w:tabs>
          <w:tab w:val="clear" w:pos="360"/>
        </w:tabs>
        <w:suppressAutoHyphens/>
        <w:kinsoku w:val="0"/>
        <w:overflowPunct w:val="0"/>
        <w:autoSpaceDE w:val="0"/>
        <w:autoSpaceDN w:val="0"/>
        <w:adjustRightInd w:val="0"/>
        <w:snapToGrid w:val="0"/>
        <w:spacing w:line="235" w:lineRule="auto"/>
        <w:rPr>
          <w:rFonts w:eastAsia="Malgun Gothic"/>
          <w:kern w:val="22"/>
          <w:szCs w:val="22"/>
        </w:rPr>
      </w:pPr>
      <w:r w:rsidRPr="000058F1">
        <w:rPr>
          <w:kern w:val="22"/>
          <w:szCs w:val="22"/>
        </w:rPr>
        <w:t xml:space="preserve">In </w:t>
      </w:r>
      <w:r w:rsidR="00EB59B3" w:rsidRPr="000058F1">
        <w:rPr>
          <w:kern w:val="22"/>
          <w:szCs w:val="22"/>
        </w:rPr>
        <w:t xml:space="preserve">the </w:t>
      </w:r>
      <w:r w:rsidRPr="000058F1">
        <w:rPr>
          <w:kern w:val="22"/>
          <w:szCs w:val="22"/>
        </w:rPr>
        <w:t xml:space="preserve">light of the </w:t>
      </w:r>
      <w:r w:rsidR="004D1AA7" w:rsidRPr="000058F1">
        <w:rPr>
          <w:kern w:val="22"/>
          <w:szCs w:val="22"/>
        </w:rPr>
        <w:t xml:space="preserve">relevant </w:t>
      </w:r>
      <w:r w:rsidRPr="000058F1">
        <w:rPr>
          <w:kern w:val="22"/>
          <w:szCs w:val="22"/>
        </w:rPr>
        <w:t>requests</w:t>
      </w:r>
      <w:r w:rsidR="004D1AA7" w:rsidRPr="000058F1">
        <w:rPr>
          <w:kern w:val="22"/>
          <w:szCs w:val="22"/>
        </w:rPr>
        <w:t xml:space="preserve"> </w:t>
      </w:r>
      <w:r w:rsidR="000335A2" w:rsidRPr="000058F1">
        <w:rPr>
          <w:kern w:val="22"/>
          <w:szCs w:val="22"/>
        </w:rPr>
        <w:t>by</w:t>
      </w:r>
      <w:r w:rsidR="004D1AA7" w:rsidRPr="000058F1">
        <w:rPr>
          <w:kern w:val="22"/>
          <w:szCs w:val="22"/>
        </w:rPr>
        <w:t xml:space="preserve"> the Conference of the Parties at its fourteenth meeting, </w:t>
      </w:r>
      <w:r w:rsidR="000335A2" w:rsidRPr="000058F1">
        <w:rPr>
          <w:kern w:val="22"/>
          <w:szCs w:val="22"/>
        </w:rPr>
        <w:t>by</w:t>
      </w:r>
      <w:r w:rsidR="00A25FDA" w:rsidRPr="000058F1">
        <w:rPr>
          <w:kern w:val="22"/>
          <w:szCs w:val="22"/>
        </w:rPr>
        <w:t xml:space="preserve"> </w:t>
      </w:r>
      <w:r w:rsidR="004D1AA7" w:rsidRPr="000058F1">
        <w:rPr>
          <w:kern w:val="22"/>
          <w:szCs w:val="22"/>
        </w:rPr>
        <w:t xml:space="preserve">the </w:t>
      </w:r>
      <w:r w:rsidR="00A25FDA" w:rsidRPr="000058F1">
        <w:rPr>
          <w:kern w:val="22"/>
          <w:szCs w:val="22"/>
        </w:rPr>
        <w:t xml:space="preserve">Subsidiary Body on </w:t>
      </w:r>
      <w:r w:rsidR="004D1AA7" w:rsidRPr="000058F1">
        <w:rPr>
          <w:kern w:val="22"/>
          <w:szCs w:val="22"/>
        </w:rPr>
        <w:t xml:space="preserve">Scientific, Technical and Technological Advice at its twenty-third </w:t>
      </w:r>
      <w:r w:rsidR="008475F8" w:rsidRPr="000058F1">
        <w:rPr>
          <w:kern w:val="22"/>
          <w:szCs w:val="22"/>
        </w:rPr>
        <w:t xml:space="preserve">and </w:t>
      </w:r>
      <w:r w:rsidR="00210EB4" w:rsidRPr="000058F1">
        <w:rPr>
          <w:kern w:val="22"/>
          <w:szCs w:val="22"/>
        </w:rPr>
        <w:t xml:space="preserve">twenty fourth </w:t>
      </w:r>
      <w:r w:rsidR="004D1AA7" w:rsidRPr="000058F1">
        <w:rPr>
          <w:kern w:val="22"/>
          <w:szCs w:val="22"/>
        </w:rPr>
        <w:t>meeting</w:t>
      </w:r>
      <w:r w:rsidR="00210EB4" w:rsidRPr="000058F1">
        <w:rPr>
          <w:kern w:val="22"/>
          <w:szCs w:val="22"/>
        </w:rPr>
        <w:t>s</w:t>
      </w:r>
      <w:r w:rsidR="004D1AA7" w:rsidRPr="000058F1">
        <w:rPr>
          <w:kern w:val="22"/>
          <w:szCs w:val="22"/>
        </w:rPr>
        <w:t xml:space="preserve">, </w:t>
      </w:r>
      <w:r w:rsidR="008475F8" w:rsidRPr="000058F1">
        <w:rPr>
          <w:kern w:val="22"/>
          <w:szCs w:val="22"/>
        </w:rPr>
        <w:t xml:space="preserve">by the Subsidiary Body on Implementation at its third meeting </w:t>
      </w:r>
      <w:r w:rsidR="004D1AA7" w:rsidRPr="000058F1">
        <w:rPr>
          <w:kern w:val="22"/>
          <w:szCs w:val="22"/>
        </w:rPr>
        <w:t xml:space="preserve">and </w:t>
      </w:r>
      <w:r w:rsidR="000335A2" w:rsidRPr="000058F1">
        <w:rPr>
          <w:kern w:val="22"/>
          <w:szCs w:val="22"/>
        </w:rPr>
        <w:t>by</w:t>
      </w:r>
      <w:r w:rsidR="00DA7904" w:rsidRPr="000058F1">
        <w:rPr>
          <w:kern w:val="22"/>
          <w:szCs w:val="22"/>
        </w:rPr>
        <w:t xml:space="preserve"> </w:t>
      </w:r>
      <w:r w:rsidR="004D1AA7" w:rsidRPr="000058F1">
        <w:rPr>
          <w:kern w:val="22"/>
          <w:szCs w:val="22"/>
        </w:rPr>
        <w:t>the Open-ended Working Group on the Post-2020 Global Biodiversity Framework at its first and second meetings</w:t>
      </w:r>
      <w:r w:rsidR="004A453F" w:rsidRPr="000058F1">
        <w:rPr>
          <w:kern w:val="22"/>
          <w:szCs w:val="22"/>
        </w:rPr>
        <w:t>,</w:t>
      </w:r>
      <w:r w:rsidRPr="000058F1">
        <w:rPr>
          <w:kern w:val="22"/>
          <w:szCs w:val="22"/>
        </w:rPr>
        <w:t xml:space="preserve"> the present document</w:t>
      </w:r>
      <w:r w:rsidR="00210EB4" w:rsidRPr="000058F1">
        <w:rPr>
          <w:kern w:val="22"/>
          <w:szCs w:val="22"/>
        </w:rPr>
        <w:t xml:space="preserve"> </w:t>
      </w:r>
      <w:r w:rsidR="008475F8" w:rsidRPr="000058F1">
        <w:rPr>
          <w:kern w:val="22"/>
          <w:szCs w:val="22"/>
        </w:rPr>
        <w:t>identifies</w:t>
      </w:r>
      <w:r w:rsidR="00210EB4" w:rsidRPr="000058F1">
        <w:rPr>
          <w:kern w:val="22"/>
          <w:szCs w:val="22"/>
        </w:rPr>
        <w:t xml:space="preserve"> a set of </w:t>
      </w:r>
      <w:r w:rsidR="008475F8" w:rsidRPr="000058F1">
        <w:rPr>
          <w:kern w:val="22"/>
          <w:szCs w:val="22"/>
        </w:rPr>
        <w:t xml:space="preserve">possible </w:t>
      </w:r>
      <w:r w:rsidR="00210EB4" w:rsidRPr="000058F1">
        <w:rPr>
          <w:kern w:val="22"/>
          <w:szCs w:val="22"/>
        </w:rPr>
        <w:t>headline indicators which could be used to monitor the implementation of the post-2020 global biodiversity framework nationally as well as used to track progress globally. The proposed headline indicators have been identified taking into account document CBD/SBSTTA/24/3</w:t>
      </w:r>
      <w:r w:rsidR="00C70148" w:rsidRPr="000058F1">
        <w:rPr>
          <w:kern w:val="22"/>
          <w:szCs w:val="22"/>
        </w:rPr>
        <w:t>/</w:t>
      </w:r>
      <w:r w:rsidR="00210EB4" w:rsidRPr="000058F1">
        <w:rPr>
          <w:kern w:val="22"/>
          <w:szCs w:val="22"/>
        </w:rPr>
        <w:t>Add.1</w:t>
      </w:r>
      <w:r w:rsidR="0088655A" w:rsidRPr="000058F1">
        <w:rPr>
          <w:kern w:val="22"/>
          <w:szCs w:val="22"/>
        </w:rPr>
        <w:t xml:space="preserve"> and the views expressed during the twenty-fourth meeting of the </w:t>
      </w:r>
      <w:r w:rsidR="00C70148" w:rsidRPr="000058F1">
        <w:rPr>
          <w:kern w:val="22"/>
          <w:szCs w:val="22"/>
        </w:rPr>
        <w:t>Subsidiary Body on Scientific, Technical and Technological Advice,</w:t>
      </w:r>
      <w:r w:rsidR="0088655A" w:rsidRPr="00044510">
        <w:rPr>
          <w:rStyle w:val="FootnoteReference"/>
          <w:kern w:val="22"/>
          <w:szCs w:val="22"/>
        </w:rPr>
        <w:footnoteReference w:id="3"/>
      </w:r>
      <w:r w:rsidR="0088655A" w:rsidRPr="000058F1">
        <w:rPr>
          <w:kern w:val="22"/>
          <w:szCs w:val="22"/>
        </w:rPr>
        <w:t xml:space="preserve"> including the results of an in-session survey</w:t>
      </w:r>
      <w:r w:rsidR="00C70148" w:rsidRPr="000058F1">
        <w:rPr>
          <w:kern w:val="22"/>
          <w:szCs w:val="22"/>
        </w:rPr>
        <w:t>,</w:t>
      </w:r>
      <w:r w:rsidR="0088655A" w:rsidRPr="00044510">
        <w:rPr>
          <w:rStyle w:val="FootnoteReference"/>
          <w:kern w:val="22"/>
          <w:szCs w:val="22"/>
        </w:rPr>
        <w:footnoteReference w:id="4"/>
      </w:r>
      <w:r w:rsidR="00C97E0D" w:rsidRPr="000058F1">
        <w:rPr>
          <w:kern w:val="22"/>
          <w:szCs w:val="22"/>
        </w:rPr>
        <w:t xml:space="preserve"> as well as the first draft of the post</w:t>
      </w:r>
      <w:r w:rsidR="00C40CF4" w:rsidRPr="000058F1">
        <w:rPr>
          <w:kern w:val="22"/>
          <w:szCs w:val="22"/>
        </w:rPr>
        <w:noBreakHyphen/>
      </w:r>
      <w:r w:rsidR="00C97E0D" w:rsidRPr="000058F1">
        <w:rPr>
          <w:kern w:val="22"/>
          <w:szCs w:val="22"/>
        </w:rPr>
        <w:t>2020 global biodiversity framework</w:t>
      </w:r>
      <w:r w:rsidR="00C70148" w:rsidRPr="000058F1">
        <w:rPr>
          <w:kern w:val="22"/>
          <w:szCs w:val="22"/>
        </w:rPr>
        <w:t>.</w:t>
      </w:r>
      <w:r w:rsidR="00C97E0D" w:rsidRPr="00044510">
        <w:rPr>
          <w:rStyle w:val="FootnoteReference"/>
          <w:kern w:val="22"/>
          <w:szCs w:val="22"/>
        </w:rPr>
        <w:footnoteReference w:id="5"/>
      </w:r>
    </w:p>
    <w:p w14:paraId="6A55472A" w14:textId="294368F3" w:rsidR="00EF4B29" w:rsidRPr="00403202" w:rsidRDefault="0088655A" w:rsidP="00866F16">
      <w:pPr>
        <w:pStyle w:val="Para1"/>
        <w:numPr>
          <w:ilvl w:val="0"/>
          <w:numId w:val="2"/>
        </w:numPr>
        <w:suppressLineNumbers/>
        <w:tabs>
          <w:tab w:val="clear" w:pos="360"/>
        </w:tabs>
        <w:suppressAutoHyphens/>
        <w:kinsoku w:val="0"/>
        <w:overflowPunct w:val="0"/>
        <w:autoSpaceDE w:val="0"/>
        <w:autoSpaceDN w:val="0"/>
        <w:adjustRightInd w:val="0"/>
        <w:snapToGrid w:val="0"/>
        <w:spacing w:line="235" w:lineRule="auto"/>
        <w:rPr>
          <w:rFonts w:eastAsia="Malgun Gothic"/>
          <w:kern w:val="22"/>
          <w:szCs w:val="22"/>
        </w:rPr>
      </w:pPr>
      <w:r w:rsidRPr="00403202">
        <w:rPr>
          <w:kern w:val="22"/>
          <w:szCs w:val="22"/>
        </w:rPr>
        <w:t>S</w:t>
      </w:r>
      <w:r w:rsidR="00F679CE" w:rsidRPr="00403202">
        <w:rPr>
          <w:kern w:val="22"/>
          <w:szCs w:val="22"/>
        </w:rPr>
        <w:t>ection I</w:t>
      </w:r>
      <w:r w:rsidR="00001D60" w:rsidRPr="00403202">
        <w:rPr>
          <w:kern w:val="22"/>
          <w:szCs w:val="22"/>
        </w:rPr>
        <w:t>I</w:t>
      </w:r>
      <w:r w:rsidRPr="00403202">
        <w:rPr>
          <w:kern w:val="22"/>
          <w:szCs w:val="22"/>
        </w:rPr>
        <w:t xml:space="preserve"> of the present document outlines the criteria that were used to identify the </w:t>
      </w:r>
      <w:r w:rsidR="007510BC" w:rsidRPr="00403202">
        <w:rPr>
          <w:kern w:val="22"/>
          <w:szCs w:val="22"/>
        </w:rPr>
        <w:t xml:space="preserve">proposed headline </w:t>
      </w:r>
      <w:r w:rsidRPr="00403202">
        <w:rPr>
          <w:kern w:val="22"/>
          <w:szCs w:val="22"/>
        </w:rPr>
        <w:t xml:space="preserve">indicators and section III sets out some general considerations which </w:t>
      </w:r>
      <w:r w:rsidR="00C97E0D" w:rsidRPr="00403202">
        <w:rPr>
          <w:kern w:val="22"/>
          <w:szCs w:val="22"/>
        </w:rPr>
        <w:t>the Working Group</w:t>
      </w:r>
      <w:r w:rsidRPr="00403202">
        <w:rPr>
          <w:kern w:val="22"/>
          <w:szCs w:val="22"/>
        </w:rPr>
        <w:t xml:space="preserve"> may wish to bear in mind when considering this issue. The p</w:t>
      </w:r>
      <w:r w:rsidR="004D1AA7" w:rsidRPr="00403202">
        <w:rPr>
          <w:kern w:val="22"/>
          <w:szCs w:val="22"/>
        </w:rPr>
        <w:t>roposed headline indic</w:t>
      </w:r>
      <w:r w:rsidR="00A13632" w:rsidRPr="00403202">
        <w:rPr>
          <w:kern w:val="22"/>
          <w:szCs w:val="22"/>
        </w:rPr>
        <w:t>a</w:t>
      </w:r>
      <w:r w:rsidR="004D1AA7" w:rsidRPr="00403202">
        <w:rPr>
          <w:kern w:val="22"/>
          <w:szCs w:val="22"/>
        </w:rPr>
        <w:t xml:space="preserve">tors are listed in </w:t>
      </w:r>
      <w:r w:rsidR="001F6965" w:rsidRPr="00444C31">
        <w:rPr>
          <w:kern w:val="22"/>
          <w:szCs w:val="22"/>
        </w:rPr>
        <w:t xml:space="preserve">the </w:t>
      </w:r>
      <w:r w:rsidR="00A25FDA" w:rsidRPr="00044510">
        <w:rPr>
          <w:kern w:val="22"/>
          <w:szCs w:val="22"/>
        </w:rPr>
        <w:t>a</w:t>
      </w:r>
      <w:r w:rsidR="004D1AA7" w:rsidRPr="00403202">
        <w:rPr>
          <w:kern w:val="22"/>
          <w:szCs w:val="22"/>
        </w:rPr>
        <w:t xml:space="preserve">nnex </w:t>
      </w:r>
      <w:r w:rsidR="004E2613" w:rsidRPr="00403202">
        <w:rPr>
          <w:kern w:val="22"/>
          <w:szCs w:val="22"/>
        </w:rPr>
        <w:t>below</w:t>
      </w:r>
      <w:r w:rsidRPr="00403202">
        <w:rPr>
          <w:kern w:val="22"/>
          <w:szCs w:val="22"/>
        </w:rPr>
        <w:t xml:space="preserve"> and have been aligned to the </w:t>
      </w:r>
      <w:r w:rsidR="00344D5E" w:rsidRPr="00403202">
        <w:rPr>
          <w:kern w:val="22"/>
          <w:szCs w:val="22"/>
        </w:rPr>
        <w:t xml:space="preserve">goals and targets of the </w:t>
      </w:r>
      <w:r w:rsidRPr="00403202">
        <w:rPr>
          <w:kern w:val="22"/>
          <w:szCs w:val="22"/>
        </w:rPr>
        <w:t>first draft of the post</w:t>
      </w:r>
      <w:r w:rsidR="00C70148" w:rsidRPr="00403202">
        <w:rPr>
          <w:kern w:val="22"/>
          <w:szCs w:val="22"/>
        </w:rPr>
        <w:noBreakHyphen/>
      </w:r>
      <w:r w:rsidRPr="00403202">
        <w:rPr>
          <w:kern w:val="22"/>
          <w:szCs w:val="22"/>
        </w:rPr>
        <w:t>2020 global biodiversity framework. The details and characteristics of each indicator are also reflected in the annex</w:t>
      </w:r>
      <w:r w:rsidR="004D1AA7" w:rsidRPr="00403202">
        <w:rPr>
          <w:kern w:val="22"/>
          <w:szCs w:val="22"/>
        </w:rPr>
        <w:t>.</w:t>
      </w:r>
    </w:p>
    <w:p w14:paraId="460BDBCB" w14:textId="08DB9097" w:rsidR="004D4B6A" w:rsidRPr="000058F1" w:rsidRDefault="00344D5E" w:rsidP="0088655A">
      <w:pPr>
        <w:pStyle w:val="Para1"/>
        <w:numPr>
          <w:ilvl w:val="0"/>
          <w:numId w:val="2"/>
        </w:numPr>
        <w:suppressLineNumbers/>
        <w:tabs>
          <w:tab w:val="clear" w:pos="360"/>
        </w:tabs>
        <w:suppressAutoHyphens/>
        <w:kinsoku w:val="0"/>
        <w:overflowPunct w:val="0"/>
        <w:autoSpaceDE w:val="0"/>
        <w:autoSpaceDN w:val="0"/>
        <w:adjustRightInd w:val="0"/>
        <w:snapToGrid w:val="0"/>
        <w:spacing w:line="235" w:lineRule="auto"/>
        <w:rPr>
          <w:kern w:val="22"/>
          <w:szCs w:val="22"/>
        </w:rPr>
      </w:pPr>
      <w:r w:rsidRPr="000058F1">
        <w:rPr>
          <w:rFonts w:eastAsia="MS Mincho"/>
          <w:kern w:val="22"/>
          <w:szCs w:val="22"/>
        </w:rPr>
        <w:t>Th</w:t>
      </w:r>
      <w:r w:rsidR="00E42357" w:rsidRPr="000058F1">
        <w:rPr>
          <w:rFonts w:eastAsia="MS Mincho"/>
          <w:kern w:val="22"/>
          <w:szCs w:val="22"/>
        </w:rPr>
        <w:t>e pres</w:t>
      </w:r>
      <w:r w:rsidR="00B1430F" w:rsidRPr="000058F1">
        <w:rPr>
          <w:rFonts w:eastAsia="MS Mincho"/>
          <w:kern w:val="22"/>
          <w:szCs w:val="22"/>
        </w:rPr>
        <w:t>e</w:t>
      </w:r>
      <w:r w:rsidR="00E42357" w:rsidRPr="000058F1">
        <w:rPr>
          <w:rFonts w:eastAsia="MS Mincho"/>
          <w:kern w:val="22"/>
          <w:szCs w:val="22"/>
        </w:rPr>
        <w:t>nt</w:t>
      </w:r>
      <w:r w:rsidRPr="000058F1">
        <w:rPr>
          <w:rFonts w:eastAsia="MS Mincho"/>
          <w:kern w:val="22"/>
          <w:szCs w:val="22"/>
        </w:rPr>
        <w:t xml:space="preserve"> </w:t>
      </w:r>
      <w:r w:rsidR="00C70148" w:rsidRPr="000058F1">
        <w:rPr>
          <w:rFonts w:eastAsia="MS Mincho"/>
          <w:kern w:val="22"/>
          <w:szCs w:val="22"/>
        </w:rPr>
        <w:t>n</w:t>
      </w:r>
      <w:r w:rsidRPr="000058F1">
        <w:rPr>
          <w:rFonts w:eastAsia="MS Mincho"/>
          <w:kern w:val="22"/>
          <w:szCs w:val="22"/>
        </w:rPr>
        <w:t xml:space="preserve">ote </w:t>
      </w:r>
      <w:r w:rsidR="005774CA" w:rsidRPr="000058F1">
        <w:rPr>
          <w:rFonts w:eastAsia="MS Mincho"/>
          <w:kern w:val="22"/>
          <w:szCs w:val="22"/>
        </w:rPr>
        <w:t>is supported</w:t>
      </w:r>
      <w:r w:rsidRPr="000058F1">
        <w:rPr>
          <w:rFonts w:eastAsia="MS Mincho"/>
          <w:kern w:val="22"/>
          <w:szCs w:val="22"/>
        </w:rPr>
        <w:t xml:space="preserve"> by </w:t>
      </w:r>
      <w:r w:rsidR="00AE7657" w:rsidRPr="000058F1">
        <w:rPr>
          <w:rFonts w:eastAsia="MS Mincho"/>
          <w:kern w:val="22"/>
          <w:szCs w:val="22"/>
        </w:rPr>
        <w:t>information document</w:t>
      </w:r>
      <w:r w:rsidR="0090679E" w:rsidRPr="000058F1">
        <w:rPr>
          <w:rFonts w:eastAsia="MS Mincho"/>
          <w:kern w:val="22"/>
          <w:szCs w:val="22"/>
        </w:rPr>
        <w:t>s</w:t>
      </w:r>
      <w:r w:rsidR="005774CA" w:rsidRPr="000058F1">
        <w:rPr>
          <w:rFonts w:eastAsia="MS Mincho"/>
          <w:kern w:val="22"/>
          <w:szCs w:val="22"/>
        </w:rPr>
        <w:t xml:space="preserve"> providing further information on possible component and thematic indicators as well as more detailed technical information on some of the proposed </w:t>
      </w:r>
      <w:r w:rsidR="009631BA" w:rsidRPr="000058F1">
        <w:rPr>
          <w:rFonts w:eastAsia="MS Mincho"/>
          <w:kern w:val="22"/>
          <w:szCs w:val="22"/>
        </w:rPr>
        <w:t>indicators</w:t>
      </w:r>
      <w:r w:rsidR="005774CA" w:rsidRPr="000058F1">
        <w:rPr>
          <w:rFonts w:eastAsia="MS Mincho"/>
          <w:kern w:val="22"/>
          <w:szCs w:val="22"/>
        </w:rPr>
        <w:t>.</w:t>
      </w:r>
      <w:r w:rsidR="00C97E0D" w:rsidRPr="000058F1">
        <w:rPr>
          <w:rFonts w:eastAsia="MS Mincho"/>
          <w:kern w:val="22"/>
          <w:szCs w:val="22"/>
        </w:rPr>
        <w:t xml:space="preserve"> </w:t>
      </w:r>
    </w:p>
    <w:p w14:paraId="61D16482" w14:textId="3909BFB2" w:rsidR="00C8289E" w:rsidRPr="000058F1" w:rsidRDefault="00C8289E" w:rsidP="00866F16">
      <w:pPr>
        <w:pStyle w:val="Para1"/>
        <w:numPr>
          <w:ilvl w:val="0"/>
          <w:numId w:val="2"/>
        </w:numPr>
        <w:suppressLineNumbers/>
        <w:tabs>
          <w:tab w:val="clear" w:pos="360"/>
        </w:tabs>
        <w:suppressAutoHyphens/>
        <w:kinsoku w:val="0"/>
        <w:overflowPunct w:val="0"/>
        <w:autoSpaceDE w:val="0"/>
        <w:autoSpaceDN w:val="0"/>
        <w:adjustRightInd w:val="0"/>
        <w:snapToGrid w:val="0"/>
        <w:spacing w:line="235" w:lineRule="auto"/>
        <w:rPr>
          <w:kern w:val="22"/>
          <w:szCs w:val="22"/>
        </w:rPr>
        <w:sectPr w:rsidR="00C8289E" w:rsidRPr="000058F1" w:rsidSect="00EA5786">
          <w:headerReference w:type="even" r:id="rId15"/>
          <w:headerReference w:type="default" r:id="rId16"/>
          <w:footerReference w:type="even" r:id="rId17"/>
          <w:footerReference w:type="default" r:id="rId18"/>
          <w:footerReference w:type="first" r:id="rId19"/>
          <w:pgSz w:w="12240" w:h="15840"/>
          <w:pgMar w:top="567" w:right="1389" w:bottom="1134" w:left="1389" w:header="709" w:footer="709" w:gutter="0"/>
          <w:cols w:space="708"/>
          <w:titlePg/>
          <w:docGrid w:linePitch="360"/>
        </w:sectPr>
      </w:pPr>
    </w:p>
    <w:p w14:paraId="7161990C" w14:textId="5EBC134B" w:rsidR="006D61E2" w:rsidRPr="000058F1" w:rsidRDefault="0088655A" w:rsidP="00444C31">
      <w:pPr>
        <w:pStyle w:val="Heading1"/>
        <w:numPr>
          <w:ilvl w:val="0"/>
          <w:numId w:val="9"/>
        </w:numPr>
        <w:suppressLineNumbers/>
        <w:tabs>
          <w:tab w:val="clear" w:pos="720"/>
          <w:tab w:val="left" w:pos="284"/>
        </w:tabs>
        <w:suppressAutoHyphens/>
        <w:kinsoku w:val="0"/>
        <w:overflowPunct w:val="0"/>
        <w:autoSpaceDE w:val="0"/>
        <w:autoSpaceDN w:val="0"/>
        <w:adjustRightInd w:val="0"/>
        <w:snapToGrid w:val="0"/>
        <w:spacing w:before="120"/>
        <w:ind w:left="1276" w:hanging="567"/>
        <w:jc w:val="left"/>
        <w:rPr>
          <w:kern w:val="22"/>
          <w:szCs w:val="22"/>
        </w:rPr>
      </w:pPr>
      <w:r w:rsidRPr="00044510">
        <w:rPr>
          <w:kern w:val="22"/>
          <w:szCs w:val="22"/>
        </w:rPr>
        <w:lastRenderedPageBreak/>
        <w:t xml:space="preserve">Criteria used in identifying the </w:t>
      </w:r>
      <w:r w:rsidR="00304E08" w:rsidRPr="00044510">
        <w:rPr>
          <w:kern w:val="22"/>
          <w:szCs w:val="22"/>
        </w:rPr>
        <w:t>proposed</w:t>
      </w:r>
      <w:r w:rsidR="009D0E5D" w:rsidRPr="000058F1">
        <w:rPr>
          <w:kern w:val="22"/>
          <w:szCs w:val="22"/>
        </w:rPr>
        <w:t xml:space="preserve"> </w:t>
      </w:r>
      <w:r w:rsidRPr="000058F1">
        <w:rPr>
          <w:kern w:val="22"/>
          <w:szCs w:val="22"/>
        </w:rPr>
        <w:t>headline indicators for the post-2020 global biodiversity framework</w:t>
      </w:r>
    </w:p>
    <w:p w14:paraId="556BE7E8" w14:textId="4F7D7FE9" w:rsidR="004D1AA7" w:rsidRPr="000058F1" w:rsidRDefault="008475F8" w:rsidP="00866F16">
      <w:pPr>
        <w:pStyle w:val="Para1"/>
        <w:numPr>
          <w:ilvl w:val="0"/>
          <w:numId w:val="2"/>
        </w:numPr>
        <w:suppressLineNumbers/>
        <w:tabs>
          <w:tab w:val="clear" w:pos="360"/>
        </w:tabs>
        <w:suppressAutoHyphens/>
        <w:kinsoku w:val="0"/>
        <w:overflowPunct w:val="0"/>
        <w:autoSpaceDE w:val="0"/>
        <w:autoSpaceDN w:val="0"/>
        <w:adjustRightInd w:val="0"/>
        <w:snapToGrid w:val="0"/>
        <w:spacing w:line="235" w:lineRule="auto"/>
        <w:rPr>
          <w:rFonts w:eastAsia="Malgun Gothic"/>
          <w:kern w:val="22"/>
          <w:szCs w:val="22"/>
          <w:lang w:eastAsia="x-none"/>
        </w:rPr>
      </w:pPr>
      <w:bookmarkStart w:id="1" w:name="_Ref57908260"/>
      <w:r w:rsidRPr="000058F1">
        <w:rPr>
          <w:rFonts w:eastAsia="Malgun Gothic"/>
          <w:kern w:val="22"/>
          <w:szCs w:val="22"/>
          <w:lang w:eastAsia="x-none"/>
        </w:rPr>
        <w:t>Each</w:t>
      </w:r>
      <w:r w:rsidR="004D1AA7" w:rsidRPr="000058F1">
        <w:rPr>
          <w:rFonts w:eastAsia="Malgun Gothic"/>
          <w:kern w:val="22"/>
          <w:szCs w:val="22"/>
          <w:lang w:eastAsia="x-none"/>
        </w:rPr>
        <w:t xml:space="preserve"> </w:t>
      </w:r>
      <w:r w:rsidR="007510BC" w:rsidRPr="000058F1">
        <w:rPr>
          <w:rFonts w:eastAsia="Malgun Gothic"/>
          <w:kern w:val="22"/>
          <w:szCs w:val="22"/>
          <w:lang w:eastAsia="x-none"/>
        </w:rPr>
        <w:t xml:space="preserve">of the proposed </w:t>
      </w:r>
      <w:r w:rsidR="0088655A" w:rsidRPr="000058F1">
        <w:rPr>
          <w:rFonts w:eastAsia="Malgun Gothic"/>
          <w:kern w:val="22"/>
          <w:szCs w:val="22"/>
          <w:lang w:eastAsia="x-none"/>
        </w:rPr>
        <w:t xml:space="preserve">headline </w:t>
      </w:r>
      <w:r w:rsidR="004D1AA7" w:rsidRPr="000058F1">
        <w:rPr>
          <w:rFonts w:eastAsia="Malgun Gothic"/>
          <w:kern w:val="22"/>
          <w:szCs w:val="22"/>
          <w:lang w:eastAsia="x-none"/>
        </w:rPr>
        <w:t>indic</w:t>
      </w:r>
      <w:r w:rsidR="00A13632" w:rsidRPr="000058F1">
        <w:rPr>
          <w:rFonts w:eastAsia="Malgun Gothic"/>
          <w:kern w:val="22"/>
          <w:szCs w:val="22"/>
          <w:lang w:eastAsia="x-none"/>
        </w:rPr>
        <w:t>a</w:t>
      </w:r>
      <w:r w:rsidR="004D1AA7" w:rsidRPr="000058F1">
        <w:rPr>
          <w:rFonts w:eastAsia="Malgun Gothic"/>
          <w:kern w:val="22"/>
          <w:szCs w:val="22"/>
          <w:lang w:eastAsia="x-none"/>
        </w:rPr>
        <w:t xml:space="preserve">tors </w:t>
      </w:r>
      <w:r w:rsidR="00E90F30" w:rsidRPr="000058F1">
        <w:rPr>
          <w:rFonts w:eastAsia="Malgun Gothic"/>
          <w:kern w:val="22"/>
          <w:szCs w:val="22"/>
          <w:lang w:eastAsia="x-none"/>
        </w:rPr>
        <w:t xml:space="preserve">in the monitoring framework for the post-2020 global biodiversity framework </w:t>
      </w:r>
      <w:r w:rsidR="004D1AA7" w:rsidRPr="000058F1">
        <w:rPr>
          <w:rFonts w:eastAsia="Malgun Gothic"/>
          <w:kern w:val="22"/>
          <w:szCs w:val="22"/>
          <w:lang w:eastAsia="x-none"/>
        </w:rPr>
        <w:t>meet the following criteria:</w:t>
      </w:r>
      <w:bookmarkEnd w:id="1"/>
    </w:p>
    <w:p w14:paraId="4A19600D" w14:textId="1A2D019C" w:rsidR="007510BC" w:rsidRPr="000058F1" w:rsidRDefault="00047845" w:rsidP="00444C31">
      <w:pPr>
        <w:pStyle w:val="Header"/>
        <w:numPr>
          <w:ilvl w:val="1"/>
          <w:numId w:val="2"/>
        </w:numPr>
        <w:suppressLineNumbers/>
        <w:tabs>
          <w:tab w:val="clear" w:pos="1440"/>
          <w:tab w:val="clear" w:pos="4320"/>
          <w:tab w:val="clear" w:pos="8640"/>
        </w:tabs>
        <w:suppressAutoHyphens/>
        <w:kinsoku w:val="0"/>
        <w:overflowPunct w:val="0"/>
        <w:autoSpaceDE w:val="0"/>
        <w:autoSpaceDN w:val="0"/>
        <w:adjustRightInd w:val="0"/>
        <w:snapToGrid w:val="0"/>
        <w:spacing w:after="120"/>
        <w:rPr>
          <w:kern w:val="22"/>
          <w:szCs w:val="22"/>
        </w:rPr>
      </w:pPr>
      <w:r w:rsidRPr="000058F1">
        <w:rPr>
          <w:kern w:val="22"/>
          <w:szCs w:val="22"/>
        </w:rPr>
        <w:t xml:space="preserve">The indicator </w:t>
      </w:r>
      <w:r w:rsidR="00314EAA" w:rsidRPr="000058F1">
        <w:rPr>
          <w:kern w:val="22"/>
          <w:szCs w:val="22"/>
        </w:rPr>
        <w:t xml:space="preserve">is </w:t>
      </w:r>
      <w:r w:rsidR="005774CA" w:rsidRPr="000058F1">
        <w:rPr>
          <w:kern w:val="22"/>
          <w:szCs w:val="22"/>
        </w:rPr>
        <w:t xml:space="preserve">either </w:t>
      </w:r>
      <w:r w:rsidRPr="000058F1">
        <w:rPr>
          <w:kern w:val="22"/>
          <w:szCs w:val="22"/>
        </w:rPr>
        <w:t xml:space="preserve">currently </w:t>
      </w:r>
      <w:r w:rsidR="00314EAA" w:rsidRPr="000058F1">
        <w:rPr>
          <w:kern w:val="22"/>
          <w:szCs w:val="22"/>
        </w:rPr>
        <w:t xml:space="preserve">available for use, </w:t>
      </w:r>
      <w:r w:rsidR="005774CA" w:rsidRPr="000058F1">
        <w:rPr>
          <w:kern w:val="22"/>
          <w:szCs w:val="22"/>
        </w:rPr>
        <w:t>is under active development and is expected to available soon</w:t>
      </w:r>
      <w:r w:rsidR="0055194B" w:rsidRPr="000058F1">
        <w:rPr>
          <w:kern w:val="22"/>
          <w:szCs w:val="22"/>
        </w:rPr>
        <w:t>,</w:t>
      </w:r>
      <w:r w:rsidR="005774CA" w:rsidRPr="000058F1">
        <w:rPr>
          <w:kern w:val="22"/>
          <w:szCs w:val="22"/>
        </w:rPr>
        <w:t xml:space="preserve"> or could be developed by Secretariat of the Convention on Biological Diversity and its partners on the basis of existing processes;</w:t>
      </w:r>
    </w:p>
    <w:p w14:paraId="58C63120" w14:textId="76CDA3FF" w:rsidR="00047845" w:rsidRPr="000058F1" w:rsidRDefault="0088655A" w:rsidP="00444C31">
      <w:pPr>
        <w:pStyle w:val="Header"/>
        <w:numPr>
          <w:ilvl w:val="1"/>
          <w:numId w:val="2"/>
        </w:numPr>
        <w:suppressLineNumbers/>
        <w:tabs>
          <w:tab w:val="clear" w:pos="1440"/>
          <w:tab w:val="clear" w:pos="4320"/>
          <w:tab w:val="clear" w:pos="8640"/>
        </w:tabs>
        <w:suppressAutoHyphens/>
        <w:kinsoku w:val="0"/>
        <w:overflowPunct w:val="0"/>
        <w:autoSpaceDE w:val="0"/>
        <w:autoSpaceDN w:val="0"/>
        <w:adjustRightInd w:val="0"/>
        <w:snapToGrid w:val="0"/>
        <w:spacing w:after="120"/>
        <w:rPr>
          <w:kern w:val="22"/>
          <w:szCs w:val="22"/>
        </w:rPr>
      </w:pPr>
      <w:r w:rsidRPr="000058F1">
        <w:rPr>
          <w:rFonts w:eastAsia="Malgun Gothic"/>
          <w:kern w:val="22"/>
          <w:szCs w:val="22"/>
          <w:lang w:eastAsia="x-none"/>
        </w:rPr>
        <w:t xml:space="preserve">The indicator is </w:t>
      </w:r>
      <w:r w:rsidR="00747186" w:rsidRPr="000058F1">
        <w:rPr>
          <w:rFonts w:eastAsia="Malgun Gothic"/>
          <w:kern w:val="22"/>
          <w:szCs w:val="22"/>
          <w:lang w:eastAsia="x-none"/>
        </w:rPr>
        <w:t xml:space="preserve">directly </w:t>
      </w:r>
      <w:r w:rsidRPr="000058F1">
        <w:rPr>
          <w:rFonts w:eastAsia="Malgun Gothic"/>
          <w:kern w:val="22"/>
          <w:szCs w:val="22"/>
          <w:lang w:eastAsia="x-none"/>
        </w:rPr>
        <w:t xml:space="preserve">relevant to at least one goal </w:t>
      </w:r>
      <w:r w:rsidR="00747186" w:rsidRPr="000058F1">
        <w:rPr>
          <w:rFonts w:eastAsia="Malgun Gothic"/>
          <w:kern w:val="22"/>
          <w:szCs w:val="22"/>
          <w:lang w:eastAsia="x-none"/>
        </w:rPr>
        <w:t>or target in first draft of the post-2020 global biodiversity framework</w:t>
      </w:r>
      <w:r w:rsidR="005C4E47" w:rsidRPr="000058F1">
        <w:rPr>
          <w:rFonts w:eastAsia="Malgun Gothic"/>
          <w:kern w:val="22"/>
          <w:szCs w:val="22"/>
          <w:lang w:eastAsia="x-none"/>
        </w:rPr>
        <w:t>;</w:t>
      </w:r>
    </w:p>
    <w:p w14:paraId="7F761FB4" w14:textId="4BA38D65" w:rsidR="00047845" w:rsidRPr="000058F1" w:rsidRDefault="00047845" w:rsidP="00444C31">
      <w:pPr>
        <w:pStyle w:val="Para1"/>
        <w:numPr>
          <w:ilvl w:val="1"/>
          <w:numId w:val="2"/>
        </w:numPr>
        <w:suppressLineNumbers/>
        <w:tabs>
          <w:tab w:val="clear" w:pos="1440"/>
        </w:tabs>
        <w:suppressAutoHyphens/>
        <w:kinsoku w:val="0"/>
        <w:overflowPunct w:val="0"/>
        <w:autoSpaceDE w:val="0"/>
        <w:autoSpaceDN w:val="0"/>
        <w:adjustRightInd w:val="0"/>
        <w:snapToGrid w:val="0"/>
        <w:spacing w:before="0"/>
        <w:rPr>
          <w:rFonts w:eastAsia="Malgun Gothic"/>
          <w:kern w:val="22"/>
          <w:szCs w:val="22"/>
          <w:lang w:eastAsia="x-none"/>
        </w:rPr>
      </w:pPr>
      <w:r w:rsidRPr="000058F1">
        <w:rPr>
          <w:kern w:val="22"/>
          <w:szCs w:val="22"/>
        </w:rPr>
        <w:t xml:space="preserve"> The indicator is nationally relevant, </w:t>
      </w:r>
      <w:r w:rsidR="00344D5E" w:rsidRPr="000058F1">
        <w:rPr>
          <w:kern w:val="22"/>
          <w:szCs w:val="22"/>
        </w:rPr>
        <w:t>and can</w:t>
      </w:r>
      <w:r w:rsidRPr="000058F1">
        <w:rPr>
          <w:kern w:val="22"/>
          <w:szCs w:val="22"/>
        </w:rPr>
        <w:t xml:space="preserve"> be disaggregated from global to national </w:t>
      </w:r>
      <w:r w:rsidR="0037467D" w:rsidRPr="000058F1">
        <w:rPr>
          <w:kern w:val="22"/>
          <w:szCs w:val="22"/>
        </w:rPr>
        <w:t xml:space="preserve">levels </w:t>
      </w:r>
      <w:r w:rsidR="00344D5E" w:rsidRPr="000058F1">
        <w:rPr>
          <w:kern w:val="22"/>
          <w:szCs w:val="22"/>
        </w:rPr>
        <w:t>and/</w:t>
      </w:r>
      <w:r w:rsidR="0037467D" w:rsidRPr="000058F1">
        <w:rPr>
          <w:kern w:val="22"/>
          <w:szCs w:val="22"/>
        </w:rPr>
        <w:t xml:space="preserve">or aggregated from national </w:t>
      </w:r>
      <w:r w:rsidRPr="000058F1">
        <w:rPr>
          <w:kern w:val="22"/>
          <w:szCs w:val="22"/>
        </w:rPr>
        <w:t xml:space="preserve">to global </w:t>
      </w:r>
      <w:r w:rsidR="0037467D" w:rsidRPr="000058F1">
        <w:rPr>
          <w:kern w:val="22"/>
          <w:szCs w:val="22"/>
        </w:rPr>
        <w:t>levels</w:t>
      </w:r>
      <w:r w:rsidRPr="000058F1">
        <w:rPr>
          <w:kern w:val="22"/>
          <w:szCs w:val="22"/>
        </w:rPr>
        <w:t xml:space="preserve"> </w:t>
      </w:r>
      <w:r w:rsidR="00A5783C" w:rsidRPr="000058F1">
        <w:rPr>
          <w:kern w:val="22"/>
          <w:szCs w:val="22"/>
        </w:rPr>
        <w:t>without compromising the reliability of the indicator</w:t>
      </w:r>
      <w:r w:rsidR="005774CA" w:rsidRPr="000058F1">
        <w:rPr>
          <w:kern w:val="22"/>
          <w:szCs w:val="22"/>
        </w:rPr>
        <w:t>;</w:t>
      </w:r>
    </w:p>
    <w:p w14:paraId="3D82E7B4" w14:textId="2E8CBB5B" w:rsidR="00047845" w:rsidRPr="000058F1" w:rsidRDefault="00047845" w:rsidP="00444C31">
      <w:pPr>
        <w:pStyle w:val="Para1"/>
        <w:numPr>
          <w:ilvl w:val="1"/>
          <w:numId w:val="2"/>
        </w:numPr>
        <w:suppressLineNumbers/>
        <w:tabs>
          <w:tab w:val="clear" w:pos="1440"/>
        </w:tabs>
        <w:suppressAutoHyphens/>
        <w:kinsoku w:val="0"/>
        <w:overflowPunct w:val="0"/>
        <w:autoSpaceDE w:val="0"/>
        <w:autoSpaceDN w:val="0"/>
        <w:adjustRightInd w:val="0"/>
        <w:snapToGrid w:val="0"/>
        <w:spacing w:before="0"/>
        <w:rPr>
          <w:rFonts w:eastAsia="Malgun Gothic"/>
          <w:kern w:val="22"/>
          <w:szCs w:val="22"/>
          <w:lang w:eastAsia="x-none"/>
        </w:rPr>
      </w:pPr>
      <w:r w:rsidRPr="000058F1">
        <w:rPr>
          <w:kern w:val="22"/>
          <w:szCs w:val="22"/>
        </w:rPr>
        <w:t xml:space="preserve">The methodology for </w:t>
      </w:r>
      <w:r w:rsidR="005774CA" w:rsidRPr="000058F1">
        <w:rPr>
          <w:kern w:val="22"/>
          <w:szCs w:val="22"/>
        </w:rPr>
        <w:t xml:space="preserve">the </w:t>
      </w:r>
      <w:r w:rsidRPr="000058F1">
        <w:rPr>
          <w:kern w:val="22"/>
          <w:szCs w:val="22"/>
        </w:rPr>
        <w:t>indicator is either published in a peer reviewed academic journal or has gone through a scientific peer review process;</w:t>
      </w:r>
    </w:p>
    <w:p w14:paraId="27AC8E5E" w14:textId="4A81D71B" w:rsidR="004D1AA7" w:rsidRPr="000058F1" w:rsidRDefault="004D1AA7" w:rsidP="00444C31">
      <w:pPr>
        <w:pStyle w:val="Para1"/>
        <w:numPr>
          <w:ilvl w:val="1"/>
          <w:numId w:val="2"/>
        </w:numPr>
        <w:suppressLineNumbers/>
        <w:tabs>
          <w:tab w:val="clear" w:pos="1440"/>
        </w:tabs>
        <w:suppressAutoHyphens/>
        <w:kinsoku w:val="0"/>
        <w:overflowPunct w:val="0"/>
        <w:autoSpaceDE w:val="0"/>
        <w:autoSpaceDN w:val="0"/>
        <w:adjustRightInd w:val="0"/>
        <w:snapToGrid w:val="0"/>
        <w:spacing w:before="0"/>
        <w:rPr>
          <w:rFonts w:eastAsia="Malgun Gothic"/>
          <w:kern w:val="22"/>
          <w:szCs w:val="22"/>
          <w:lang w:eastAsia="x-none"/>
        </w:rPr>
      </w:pPr>
      <w:r w:rsidRPr="000058F1">
        <w:rPr>
          <w:rFonts w:eastAsia="Malgun Gothic"/>
          <w:kern w:val="22"/>
          <w:szCs w:val="22"/>
          <w:lang w:eastAsia="x-none"/>
        </w:rPr>
        <w:t xml:space="preserve">The data </w:t>
      </w:r>
      <w:r w:rsidRPr="000058F1">
        <w:rPr>
          <w:kern w:val="22"/>
          <w:szCs w:val="22"/>
        </w:rPr>
        <w:t xml:space="preserve">and metadata related to the indicator </w:t>
      </w:r>
      <w:r w:rsidR="00344D5E" w:rsidRPr="000058F1">
        <w:rPr>
          <w:kern w:val="22"/>
          <w:szCs w:val="22"/>
        </w:rPr>
        <w:t xml:space="preserve">are </w:t>
      </w:r>
      <w:r w:rsidRPr="000058F1">
        <w:rPr>
          <w:kern w:val="22"/>
          <w:szCs w:val="22"/>
        </w:rPr>
        <w:t>publicly available;</w:t>
      </w:r>
    </w:p>
    <w:p w14:paraId="56C53F2F" w14:textId="1B4B5914" w:rsidR="009631BA" w:rsidRPr="000058F1" w:rsidRDefault="004D1AA7">
      <w:pPr>
        <w:pStyle w:val="Para1"/>
        <w:numPr>
          <w:ilvl w:val="1"/>
          <w:numId w:val="2"/>
        </w:numPr>
        <w:suppressLineNumbers/>
        <w:suppressAutoHyphens/>
        <w:kinsoku w:val="0"/>
        <w:overflowPunct w:val="0"/>
        <w:autoSpaceDE w:val="0"/>
        <w:autoSpaceDN w:val="0"/>
        <w:adjustRightInd w:val="0"/>
        <w:snapToGrid w:val="0"/>
        <w:spacing w:line="235" w:lineRule="auto"/>
        <w:rPr>
          <w:rFonts w:eastAsia="Malgun Gothic"/>
          <w:kern w:val="22"/>
          <w:szCs w:val="22"/>
          <w:lang w:eastAsia="x-none"/>
        </w:rPr>
      </w:pPr>
      <w:r w:rsidRPr="000058F1">
        <w:rPr>
          <w:kern w:val="22"/>
          <w:szCs w:val="22"/>
        </w:rPr>
        <w:t xml:space="preserve">The indicator will be regularly updated with a </w:t>
      </w:r>
      <w:r w:rsidR="00344D5E" w:rsidRPr="000058F1">
        <w:rPr>
          <w:kern w:val="22"/>
          <w:szCs w:val="22"/>
        </w:rPr>
        <w:t>gap</w:t>
      </w:r>
      <w:r w:rsidRPr="000058F1">
        <w:rPr>
          <w:kern w:val="22"/>
          <w:szCs w:val="22"/>
        </w:rPr>
        <w:t xml:space="preserve"> of less than five years between updates</w:t>
      </w:r>
      <w:r w:rsidR="009631BA" w:rsidRPr="000058F1">
        <w:rPr>
          <w:kern w:val="22"/>
          <w:szCs w:val="22"/>
        </w:rPr>
        <w:t>.</w:t>
      </w:r>
    </w:p>
    <w:p w14:paraId="28D16AD3" w14:textId="2E711D7D" w:rsidR="009631BA" w:rsidRPr="000058F1" w:rsidRDefault="009631BA" w:rsidP="0065519D">
      <w:pPr>
        <w:numPr>
          <w:ilvl w:val="0"/>
          <w:numId w:val="2"/>
        </w:numPr>
        <w:tabs>
          <w:tab w:val="clear" w:pos="360"/>
        </w:tabs>
        <w:spacing w:before="120" w:after="120"/>
        <w:rPr>
          <w:rFonts w:eastAsia="Malgun Gothic"/>
          <w:kern w:val="22"/>
          <w:szCs w:val="22"/>
          <w:lang w:eastAsia="x-none"/>
        </w:rPr>
      </w:pPr>
      <w:r w:rsidRPr="000058F1">
        <w:rPr>
          <w:rFonts w:eastAsia="Malgun Gothic"/>
          <w:kern w:val="22"/>
          <w:szCs w:val="22"/>
          <w:lang w:eastAsia="x-none"/>
        </w:rPr>
        <w:t>In reference to the first criteria related to data availability and existing processes, an effort was made to align with the intergovernmental processes under the U</w:t>
      </w:r>
      <w:r w:rsidR="00417E5E" w:rsidRPr="000058F1">
        <w:rPr>
          <w:rFonts w:eastAsia="Malgun Gothic"/>
          <w:kern w:val="22"/>
          <w:szCs w:val="22"/>
          <w:lang w:eastAsia="x-none"/>
        </w:rPr>
        <w:t xml:space="preserve">nited </w:t>
      </w:r>
      <w:r w:rsidRPr="000058F1">
        <w:rPr>
          <w:rFonts w:eastAsia="Malgun Gothic"/>
          <w:kern w:val="22"/>
          <w:szCs w:val="22"/>
          <w:lang w:eastAsia="x-none"/>
        </w:rPr>
        <w:t>N</w:t>
      </w:r>
      <w:r w:rsidR="00417E5E" w:rsidRPr="000058F1">
        <w:rPr>
          <w:rFonts w:eastAsia="Malgun Gothic"/>
          <w:kern w:val="22"/>
          <w:szCs w:val="22"/>
          <w:lang w:eastAsia="x-none"/>
        </w:rPr>
        <w:t>ations</w:t>
      </w:r>
      <w:r w:rsidRPr="000058F1">
        <w:rPr>
          <w:rFonts w:eastAsia="Malgun Gothic"/>
          <w:kern w:val="22"/>
          <w:szCs w:val="22"/>
          <w:lang w:eastAsia="x-none"/>
        </w:rPr>
        <w:t xml:space="preserve"> Statistical Commission, including the Sustainable Development Goals or the System of Environmental</w:t>
      </w:r>
      <w:r w:rsidR="00E859FA" w:rsidRPr="000058F1">
        <w:rPr>
          <w:rFonts w:eastAsia="Malgun Gothic"/>
          <w:kern w:val="22"/>
          <w:szCs w:val="22"/>
          <w:lang w:eastAsia="x-none"/>
        </w:rPr>
        <w:t>-</w:t>
      </w:r>
      <w:r w:rsidRPr="000058F1">
        <w:rPr>
          <w:rFonts w:eastAsia="Malgun Gothic"/>
          <w:kern w:val="22"/>
          <w:szCs w:val="22"/>
          <w:lang w:eastAsia="x-none"/>
        </w:rPr>
        <w:t>Economic Accounting. Additionally, an effort was made to utilize the existing work on essential biodiversity variables under GEO</w:t>
      </w:r>
      <w:r w:rsidR="00AC40DE">
        <w:rPr>
          <w:rFonts w:eastAsia="Malgun Gothic"/>
          <w:kern w:val="22"/>
          <w:szCs w:val="22"/>
          <w:lang w:eastAsia="x-none"/>
        </w:rPr>
        <w:t>-</w:t>
      </w:r>
      <w:r w:rsidRPr="00044510">
        <w:rPr>
          <w:rFonts w:eastAsia="Malgun Gothic"/>
          <w:kern w:val="22"/>
          <w:szCs w:val="22"/>
          <w:lang w:eastAsia="x-none"/>
        </w:rPr>
        <w:t>BON</w:t>
      </w:r>
      <w:r w:rsidRPr="000058F1">
        <w:rPr>
          <w:rFonts w:eastAsia="Malgun Gothic"/>
          <w:kern w:val="22"/>
          <w:szCs w:val="22"/>
          <w:lang w:eastAsia="x-none"/>
        </w:rPr>
        <w:t xml:space="preserve"> (noting that many of the essential biodiversity variables also serve as the underlying data for the System of Environmental</w:t>
      </w:r>
      <w:r w:rsidR="00612D09" w:rsidRPr="000058F1">
        <w:rPr>
          <w:rFonts w:eastAsia="Malgun Gothic"/>
          <w:kern w:val="22"/>
          <w:szCs w:val="22"/>
          <w:lang w:eastAsia="x-none"/>
        </w:rPr>
        <w:t>-</w:t>
      </w:r>
      <w:r w:rsidRPr="000058F1">
        <w:rPr>
          <w:rFonts w:eastAsia="Malgun Gothic"/>
          <w:kern w:val="22"/>
          <w:szCs w:val="22"/>
          <w:lang w:eastAsia="x-none"/>
        </w:rPr>
        <w:t>Economic Accounting</w:t>
      </w:r>
      <w:r w:rsidR="0055194B" w:rsidRPr="000058F1">
        <w:rPr>
          <w:rFonts w:eastAsia="Malgun Gothic"/>
          <w:kern w:val="22"/>
          <w:szCs w:val="22"/>
          <w:lang w:eastAsia="x-none"/>
        </w:rPr>
        <w:t>)</w:t>
      </w:r>
      <w:r w:rsidRPr="000058F1">
        <w:rPr>
          <w:rFonts w:eastAsia="Malgun Gothic"/>
          <w:kern w:val="22"/>
          <w:szCs w:val="22"/>
          <w:lang w:eastAsia="x-none"/>
        </w:rPr>
        <w:t>.</w:t>
      </w:r>
      <w:r w:rsidR="00994450" w:rsidRPr="000058F1">
        <w:rPr>
          <w:rFonts w:eastAsia="Malgun Gothic"/>
          <w:kern w:val="22"/>
          <w:szCs w:val="22"/>
          <w:lang w:eastAsia="x-none"/>
        </w:rPr>
        <w:t xml:space="preserve"> </w:t>
      </w:r>
      <w:r w:rsidR="0055194B" w:rsidRPr="000058F1">
        <w:rPr>
          <w:rFonts w:eastAsia="Malgun Gothic"/>
          <w:kern w:val="22"/>
          <w:szCs w:val="22"/>
          <w:lang w:eastAsia="x-none"/>
        </w:rPr>
        <w:t>C</w:t>
      </w:r>
      <w:r w:rsidR="00994450" w:rsidRPr="000058F1">
        <w:rPr>
          <w:rFonts w:eastAsia="Malgun Gothic"/>
          <w:kern w:val="22"/>
          <w:szCs w:val="22"/>
          <w:lang w:eastAsia="x-none"/>
        </w:rPr>
        <w:t>urrently, 89 countries have implemented the System of Environmental</w:t>
      </w:r>
      <w:r w:rsidR="00612D09" w:rsidRPr="000058F1">
        <w:rPr>
          <w:rFonts w:eastAsia="Malgun Gothic"/>
          <w:kern w:val="22"/>
          <w:szCs w:val="22"/>
          <w:lang w:eastAsia="x-none"/>
        </w:rPr>
        <w:t>-</w:t>
      </w:r>
      <w:r w:rsidR="00994450" w:rsidRPr="000058F1">
        <w:rPr>
          <w:rFonts w:eastAsia="Malgun Gothic"/>
          <w:kern w:val="22"/>
          <w:szCs w:val="22"/>
          <w:lang w:eastAsia="x-none"/>
        </w:rPr>
        <w:t>Economic Account</w:t>
      </w:r>
      <w:r w:rsidR="00612D09" w:rsidRPr="000058F1">
        <w:rPr>
          <w:rFonts w:eastAsia="Malgun Gothic"/>
          <w:kern w:val="22"/>
          <w:szCs w:val="22"/>
          <w:lang w:eastAsia="x-none"/>
        </w:rPr>
        <w:t>ing</w:t>
      </w:r>
      <w:r w:rsidR="00994450" w:rsidRPr="000058F1">
        <w:rPr>
          <w:rFonts w:eastAsia="Malgun Gothic"/>
          <w:kern w:val="22"/>
          <w:szCs w:val="22"/>
          <w:lang w:eastAsia="x-none"/>
        </w:rPr>
        <w:t xml:space="preserve"> and </w:t>
      </w:r>
      <w:r w:rsidR="0055194B" w:rsidRPr="000058F1">
        <w:rPr>
          <w:rFonts w:eastAsia="Malgun Gothic"/>
          <w:kern w:val="22"/>
          <w:szCs w:val="22"/>
          <w:lang w:eastAsia="x-none"/>
        </w:rPr>
        <w:t xml:space="preserve">an additional </w:t>
      </w:r>
      <w:r w:rsidR="00994450" w:rsidRPr="000058F1">
        <w:rPr>
          <w:rFonts w:eastAsia="Malgun Gothic"/>
          <w:kern w:val="22"/>
          <w:szCs w:val="22"/>
          <w:lang w:eastAsia="x-none"/>
        </w:rPr>
        <w:t>27 countries have exi</w:t>
      </w:r>
      <w:r w:rsidR="0055194B" w:rsidRPr="000058F1">
        <w:rPr>
          <w:rFonts w:eastAsia="Malgun Gothic"/>
          <w:kern w:val="22"/>
          <w:szCs w:val="22"/>
          <w:lang w:eastAsia="x-none"/>
        </w:rPr>
        <w:t>s</w:t>
      </w:r>
      <w:r w:rsidR="00994450" w:rsidRPr="000058F1">
        <w:rPr>
          <w:rFonts w:eastAsia="Malgun Gothic"/>
          <w:kern w:val="22"/>
          <w:szCs w:val="22"/>
          <w:lang w:eastAsia="x-none"/>
        </w:rPr>
        <w:t>ting plans to</w:t>
      </w:r>
      <w:r w:rsidR="0055194B" w:rsidRPr="000058F1">
        <w:rPr>
          <w:rFonts w:eastAsia="Malgun Gothic"/>
          <w:kern w:val="22"/>
          <w:szCs w:val="22"/>
          <w:lang w:eastAsia="x-none"/>
        </w:rPr>
        <w:t xml:space="preserve"> do so</w:t>
      </w:r>
      <w:r w:rsidR="0036237A" w:rsidRPr="000058F1">
        <w:rPr>
          <w:rFonts w:eastAsia="Malgun Gothic"/>
          <w:kern w:val="22"/>
          <w:szCs w:val="22"/>
          <w:lang w:eastAsia="x-none"/>
        </w:rPr>
        <w:t>.</w:t>
      </w:r>
      <w:r w:rsidR="00994450" w:rsidRPr="00044510">
        <w:rPr>
          <w:rStyle w:val="FootnoteReference"/>
          <w:rFonts w:eastAsia="Malgun Gothic"/>
          <w:kern w:val="22"/>
          <w:szCs w:val="22"/>
          <w:lang w:eastAsia="x-none"/>
        </w:rPr>
        <w:footnoteReference w:id="6"/>
      </w:r>
      <w:r w:rsidR="00994450" w:rsidRPr="000058F1">
        <w:rPr>
          <w:rFonts w:eastAsia="Malgun Gothic"/>
          <w:kern w:val="22"/>
          <w:szCs w:val="22"/>
          <w:lang w:eastAsia="x-none"/>
        </w:rPr>
        <w:t xml:space="preserve"> Thus</w:t>
      </w:r>
      <w:r w:rsidR="00096449" w:rsidRPr="000058F1">
        <w:rPr>
          <w:rFonts w:eastAsia="Malgun Gothic"/>
          <w:kern w:val="22"/>
          <w:szCs w:val="22"/>
          <w:lang w:eastAsia="x-none"/>
        </w:rPr>
        <w:t>,</w:t>
      </w:r>
      <w:r w:rsidR="00994450" w:rsidRPr="000058F1">
        <w:rPr>
          <w:rFonts w:eastAsia="Malgun Gothic"/>
          <w:kern w:val="22"/>
          <w:szCs w:val="22"/>
          <w:lang w:eastAsia="x-none"/>
        </w:rPr>
        <w:t xml:space="preserve"> although additional support for monitoring </w:t>
      </w:r>
      <w:r w:rsidR="0055194B" w:rsidRPr="000058F1">
        <w:rPr>
          <w:rFonts w:eastAsia="Malgun Gothic"/>
          <w:kern w:val="22"/>
          <w:szCs w:val="22"/>
          <w:lang w:eastAsia="x-none"/>
        </w:rPr>
        <w:t>will</w:t>
      </w:r>
      <w:r w:rsidR="00994450" w:rsidRPr="000058F1">
        <w:rPr>
          <w:rFonts w:eastAsia="Malgun Gothic"/>
          <w:kern w:val="22"/>
          <w:szCs w:val="22"/>
          <w:lang w:eastAsia="x-none"/>
        </w:rPr>
        <w:t xml:space="preserve"> be needed to build capacity in some countries, there is already an existing programme of work on these indicators.</w:t>
      </w:r>
    </w:p>
    <w:p w14:paraId="0E821524" w14:textId="4E5BC269" w:rsidR="0037467D" w:rsidRPr="000058F1" w:rsidRDefault="0037467D" w:rsidP="0065519D">
      <w:pPr>
        <w:numPr>
          <w:ilvl w:val="0"/>
          <w:numId w:val="2"/>
        </w:numPr>
        <w:tabs>
          <w:tab w:val="clear" w:pos="360"/>
        </w:tabs>
        <w:spacing w:before="120" w:after="120"/>
        <w:rPr>
          <w:rFonts w:eastAsia="Malgun Gothic"/>
          <w:kern w:val="22"/>
          <w:szCs w:val="22"/>
          <w:lang w:eastAsia="x-none"/>
        </w:rPr>
      </w:pPr>
      <w:r w:rsidRPr="000058F1">
        <w:rPr>
          <w:rFonts w:eastAsia="Malgun Gothic"/>
          <w:kern w:val="22"/>
          <w:szCs w:val="22"/>
          <w:lang w:eastAsia="x-none"/>
        </w:rPr>
        <w:t xml:space="preserve">For some of the proposed goals and targets in the </w:t>
      </w:r>
      <w:r w:rsidR="00A561D0">
        <w:rPr>
          <w:rFonts w:eastAsia="Malgun Gothic"/>
          <w:kern w:val="22"/>
          <w:szCs w:val="22"/>
          <w:lang w:eastAsia="x-none"/>
        </w:rPr>
        <w:t xml:space="preserve">first </w:t>
      </w:r>
      <w:r w:rsidRPr="000058F1">
        <w:rPr>
          <w:rFonts w:eastAsia="Malgun Gothic"/>
          <w:kern w:val="22"/>
          <w:szCs w:val="22"/>
          <w:lang w:eastAsia="x-none"/>
        </w:rPr>
        <w:t>draft of the post-2020 global biodiversity framework</w:t>
      </w:r>
      <w:r w:rsidR="00AC202B" w:rsidRPr="000058F1">
        <w:rPr>
          <w:rFonts w:eastAsia="Malgun Gothic"/>
          <w:kern w:val="22"/>
          <w:szCs w:val="22"/>
          <w:lang w:eastAsia="x-none"/>
        </w:rPr>
        <w:t>,</w:t>
      </w:r>
      <w:r w:rsidRPr="000058F1">
        <w:rPr>
          <w:rFonts w:eastAsia="Malgun Gothic"/>
          <w:kern w:val="22"/>
          <w:szCs w:val="22"/>
          <w:lang w:eastAsia="x-none"/>
        </w:rPr>
        <w:t xml:space="preserve"> it </w:t>
      </w:r>
      <w:r w:rsidR="0055194B" w:rsidRPr="000058F1">
        <w:rPr>
          <w:rFonts w:eastAsia="Malgun Gothic"/>
          <w:kern w:val="22"/>
          <w:szCs w:val="22"/>
          <w:lang w:eastAsia="x-none"/>
        </w:rPr>
        <w:t xml:space="preserve">is </w:t>
      </w:r>
      <w:r w:rsidRPr="000058F1">
        <w:rPr>
          <w:rFonts w:eastAsia="Malgun Gothic"/>
          <w:kern w:val="22"/>
          <w:szCs w:val="22"/>
          <w:lang w:eastAsia="x-none"/>
        </w:rPr>
        <w:t xml:space="preserve">not possible to identify headline indicators which meet </w:t>
      </w:r>
      <w:r w:rsidR="005774CA" w:rsidRPr="000058F1">
        <w:rPr>
          <w:rFonts w:eastAsia="Malgun Gothic"/>
          <w:kern w:val="22"/>
          <w:szCs w:val="22"/>
          <w:lang w:eastAsia="x-none"/>
        </w:rPr>
        <w:t xml:space="preserve">all of </w:t>
      </w:r>
      <w:r w:rsidRPr="000058F1">
        <w:rPr>
          <w:rFonts w:eastAsia="Malgun Gothic"/>
          <w:kern w:val="22"/>
          <w:szCs w:val="22"/>
          <w:lang w:eastAsia="x-none"/>
        </w:rPr>
        <w:t>the criteria above. Where this is the case, these gaps have been noted</w:t>
      </w:r>
      <w:r w:rsidR="005774CA" w:rsidRPr="000058F1">
        <w:rPr>
          <w:rFonts w:eastAsia="Malgun Gothic"/>
          <w:kern w:val="22"/>
          <w:szCs w:val="22"/>
          <w:lang w:eastAsia="x-none"/>
        </w:rPr>
        <w:t xml:space="preserve"> in the annex,</w:t>
      </w:r>
      <w:r w:rsidRPr="000058F1">
        <w:rPr>
          <w:rFonts w:eastAsia="Malgun Gothic"/>
          <w:kern w:val="22"/>
          <w:szCs w:val="22"/>
          <w:lang w:eastAsia="x-none"/>
        </w:rPr>
        <w:t xml:space="preserve"> and Parties may wish to consider how these gaps could be filled.</w:t>
      </w:r>
    </w:p>
    <w:p w14:paraId="7D84FAFD" w14:textId="20C40C80" w:rsidR="006D61E2" w:rsidRPr="000058F1" w:rsidRDefault="005C4E47" w:rsidP="00444C31">
      <w:pPr>
        <w:pStyle w:val="Heading1"/>
        <w:numPr>
          <w:ilvl w:val="0"/>
          <w:numId w:val="9"/>
        </w:numPr>
        <w:suppressLineNumbers/>
        <w:tabs>
          <w:tab w:val="clear" w:pos="720"/>
          <w:tab w:val="left" w:pos="426"/>
        </w:tabs>
        <w:suppressAutoHyphens/>
        <w:kinsoku w:val="0"/>
        <w:overflowPunct w:val="0"/>
        <w:autoSpaceDE w:val="0"/>
        <w:autoSpaceDN w:val="0"/>
        <w:adjustRightInd w:val="0"/>
        <w:snapToGrid w:val="0"/>
        <w:spacing w:before="120"/>
        <w:ind w:left="0" w:firstLine="0"/>
        <w:rPr>
          <w:kern w:val="22"/>
          <w:szCs w:val="22"/>
        </w:rPr>
      </w:pPr>
      <w:r w:rsidRPr="000058F1">
        <w:rPr>
          <w:kern w:val="22"/>
          <w:szCs w:val="22"/>
        </w:rPr>
        <w:t>Other considerations in the identification of headline indicators</w:t>
      </w:r>
    </w:p>
    <w:p w14:paraId="7358871A" w14:textId="448517CE" w:rsidR="009E540D" w:rsidRPr="000058F1" w:rsidRDefault="00964FB2" w:rsidP="00333DC2">
      <w:pPr>
        <w:numPr>
          <w:ilvl w:val="0"/>
          <w:numId w:val="2"/>
        </w:numPr>
        <w:tabs>
          <w:tab w:val="clear" w:pos="360"/>
        </w:tabs>
        <w:rPr>
          <w:rFonts w:eastAsia="Malgun Gothic"/>
          <w:kern w:val="22"/>
          <w:szCs w:val="22"/>
          <w:lang w:eastAsia="x-none"/>
        </w:rPr>
      </w:pPr>
      <w:r w:rsidRPr="000058F1">
        <w:rPr>
          <w:rFonts w:eastAsia="Malgun Gothic"/>
          <w:snapToGrid w:val="0"/>
          <w:kern w:val="22"/>
          <w:szCs w:val="22"/>
          <w:lang w:eastAsia="x-none"/>
        </w:rPr>
        <w:t>In addition to the criteria above</w:t>
      </w:r>
      <w:r w:rsidR="0055194B" w:rsidRPr="000058F1">
        <w:rPr>
          <w:rFonts w:eastAsia="Malgun Gothic"/>
          <w:snapToGrid w:val="0"/>
          <w:kern w:val="22"/>
          <w:szCs w:val="22"/>
          <w:lang w:eastAsia="x-none"/>
        </w:rPr>
        <w:t>,</w:t>
      </w:r>
      <w:r w:rsidRPr="000058F1">
        <w:rPr>
          <w:rFonts w:eastAsia="Malgun Gothic"/>
          <w:snapToGrid w:val="0"/>
          <w:kern w:val="22"/>
          <w:szCs w:val="22"/>
          <w:lang w:eastAsia="x-none"/>
        </w:rPr>
        <w:t xml:space="preserve"> the following considerations were taken into account when identifying possible headline indicators:</w:t>
      </w:r>
    </w:p>
    <w:p w14:paraId="3A1B76E2" w14:textId="40EF1A0B" w:rsidR="00EB5856" w:rsidRPr="000058F1" w:rsidRDefault="00EB5856" w:rsidP="00EB5856">
      <w:pPr>
        <w:pStyle w:val="Para1"/>
        <w:numPr>
          <w:ilvl w:val="1"/>
          <w:numId w:val="2"/>
        </w:numPr>
        <w:suppressLineNumbers/>
        <w:suppressAutoHyphens/>
        <w:kinsoku w:val="0"/>
        <w:overflowPunct w:val="0"/>
        <w:autoSpaceDE w:val="0"/>
        <w:autoSpaceDN w:val="0"/>
        <w:adjustRightInd w:val="0"/>
        <w:snapToGrid w:val="0"/>
        <w:spacing w:line="235" w:lineRule="auto"/>
        <w:rPr>
          <w:kern w:val="22"/>
          <w:szCs w:val="22"/>
        </w:rPr>
      </w:pPr>
      <w:r w:rsidRPr="000058F1">
        <w:rPr>
          <w:kern w:val="22"/>
          <w:szCs w:val="22"/>
        </w:rPr>
        <w:t xml:space="preserve">The views expressed during the twenty-fourth meeting of the Subsidiary Body on Scientific and Technological Advice, including </w:t>
      </w:r>
      <w:r w:rsidR="0055194B" w:rsidRPr="000058F1">
        <w:rPr>
          <w:kern w:val="22"/>
          <w:szCs w:val="22"/>
        </w:rPr>
        <w:t xml:space="preserve">through </w:t>
      </w:r>
      <w:r w:rsidRPr="000058F1">
        <w:rPr>
          <w:kern w:val="22"/>
          <w:szCs w:val="22"/>
        </w:rPr>
        <w:t>the in-session survey undertaken by the co-chairs of the contact group addressing this issue</w:t>
      </w:r>
      <w:r w:rsidR="00976BD2" w:rsidRPr="000058F1">
        <w:rPr>
          <w:kern w:val="22"/>
          <w:szCs w:val="22"/>
        </w:rPr>
        <w:t>;</w:t>
      </w:r>
      <w:r w:rsidRPr="00044510">
        <w:rPr>
          <w:rStyle w:val="FootnoteReference"/>
          <w:kern w:val="22"/>
          <w:szCs w:val="22"/>
        </w:rPr>
        <w:footnoteReference w:id="7"/>
      </w:r>
    </w:p>
    <w:p w14:paraId="21CB9584" w14:textId="4E256737" w:rsidR="009E540D" w:rsidRPr="00044510" w:rsidRDefault="00EB5856">
      <w:pPr>
        <w:pStyle w:val="Para1"/>
        <w:numPr>
          <w:ilvl w:val="1"/>
          <w:numId w:val="2"/>
        </w:numPr>
        <w:suppressLineNumbers/>
        <w:suppressAutoHyphens/>
        <w:kinsoku w:val="0"/>
        <w:overflowPunct w:val="0"/>
        <w:autoSpaceDE w:val="0"/>
        <w:autoSpaceDN w:val="0"/>
        <w:adjustRightInd w:val="0"/>
        <w:snapToGrid w:val="0"/>
        <w:spacing w:line="235" w:lineRule="auto"/>
        <w:rPr>
          <w:kern w:val="22"/>
          <w:szCs w:val="22"/>
        </w:rPr>
      </w:pPr>
      <w:r w:rsidRPr="000058F1">
        <w:rPr>
          <w:kern w:val="22"/>
          <w:szCs w:val="22"/>
        </w:rPr>
        <w:t>H</w:t>
      </w:r>
      <w:r w:rsidR="002A2029" w:rsidRPr="000058F1">
        <w:rPr>
          <w:kern w:val="22"/>
          <w:szCs w:val="22"/>
        </w:rPr>
        <w:t xml:space="preserve">eadline indicators </w:t>
      </w:r>
      <w:r w:rsidR="009E540D" w:rsidRPr="000058F1">
        <w:rPr>
          <w:kern w:val="22"/>
          <w:szCs w:val="22"/>
        </w:rPr>
        <w:t xml:space="preserve">should </w:t>
      </w:r>
      <w:r w:rsidR="001634CD" w:rsidRPr="000058F1">
        <w:rPr>
          <w:kern w:val="22"/>
          <w:szCs w:val="22"/>
        </w:rPr>
        <w:t>c</w:t>
      </w:r>
      <w:r w:rsidR="00AA6AC7" w:rsidRPr="000058F1">
        <w:rPr>
          <w:kern w:val="22"/>
          <w:szCs w:val="22"/>
        </w:rPr>
        <w:t xml:space="preserve">onstitute a </w:t>
      </w:r>
      <w:r w:rsidR="009E540D" w:rsidRPr="000058F1">
        <w:rPr>
          <w:kern w:val="22"/>
          <w:szCs w:val="22"/>
        </w:rPr>
        <w:t xml:space="preserve">limited </w:t>
      </w:r>
      <w:r w:rsidR="00AA6AC7" w:rsidRPr="000058F1">
        <w:rPr>
          <w:kern w:val="22"/>
          <w:szCs w:val="22"/>
        </w:rPr>
        <w:t>set of high-level indicators which capture the overall scope of the goals and targets of the post-2020 global biodiversity framework</w:t>
      </w:r>
      <w:r w:rsidRPr="000058F1">
        <w:rPr>
          <w:kern w:val="22"/>
          <w:szCs w:val="22"/>
        </w:rPr>
        <w:t xml:space="preserve">. </w:t>
      </w:r>
      <w:r w:rsidR="0037467D" w:rsidRPr="000058F1">
        <w:rPr>
          <w:kern w:val="22"/>
          <w:szCs w:val="22"/>
        </w:rPr>
        <w:t>H</w:t>
      </w:r>
      <w:r w:rsidR="009E540D" w:rsidRPr="000058F1">
        <w:rPr>
          <w:kern w:val="22"/>
          <w:szCs w:val="22"/>
        </w:rPr>
        <w:t>eadline indicators</w:t>
      </w:r>
      <w:r w:rsidRPr="000058F1">
        <w:rPr>
          <w:kern w:val="22"/>
          <w:szCs w:val="22"/>
        </w:rPr>
        <w:t>, by definition,</w:t>
      </w:r>
      <w:r w:rsidR="009E540D" w:rsidRPr="000058F1">
        <w:rPr>
          <w:kern w:val="22"/>
          <w:szCs w:val="22"/>
        </w:rPr>
        <w:t xml:space="preserve"> cannot capture all elements of each goal or a target and</w:t>
      </w:r>
      <w:r w:rsidR="006C4876" w:rsidRPr="000058F1">
        <w:rPr>
          <w:kern w:val="22"/>
          <w:szCs w:val="22"/>
        </w:rPr>
        <w:t>,</w:t>
      </w:r>
      <w:r w:rsidR="009E540D" w:rsidRPr="000058F1">
        <w:rPr>
          <w:kern w:val="22"/>
          <w:szCs w:val="22"/>
        </w:rPr>
        <w:t xml:space="preserve"> therefore, for analytical purposes, </w:t>
      </w:r>
      <w:r w:rsidR="0055194B" w:rsidRPr="000058F1">
        <w:rPr>
          <w:kern w:val="22"/>
          <w:szCs w:val="22"/>
        </w:rPr>
        <w:t xml:space="preserve">will </w:t>
      </w:r>
      <w:r w:rsidR="008475F8" w:rsidRPr="000058F1">
        <w:rPr>
          <w:kern w:val="22"/>
          <w:szCs w:val="22"/>
        </w:rPr>
        <w:t>need to</w:t>
      </w:r>
      <w:r w:rsidR="009E540D" w:rsidRPr="000058F1">
        <w:rPr>
          <w:kern w:val="22"/>
          <w:szCs w:val="22"/>
        </w:rPr>
        <w:t xml:space="preserve"> be complemented, as appropriate, with component and complementary indicators.</w:t>
      </w:r>
      <w:r w:rsidR="00047845" w:rsidRPr="000058F1">
        <w:rPr>
          <w:kern w:val="22"/>
          <w:szCs w:val="22"/>
        </w:rPr>
        <w:t xml:space="preserve"> </w:t>
      </w:r>
      <w:r w:rsidR="005774CA" w:rsidRPr="000058F1">
        <w:rPr>
          <w:kern w:val="22"/>
          <w:szCs w:val="22"/>
        </w:rPr>
        <w:t xml:space="preserve">These component </w:t>
      </w:r>
      <w:r w:rsidR="0090679E" w:rsidRPr="000058F1">
        <w:rPr>
          <w:kern w:val="22"/>
          <w:szCs w:val="22"/>
        </w:rPr>
        <w:t xml:space="preserve">indicators are </w:t>
      </w:r>
      <w:r w:rsidR="0055194B" w:rsidRPr="000058F1">
        <w:rPr>
          <w:kern w:val="22"/>
          <w:szCs w:val="22"/>
        </w:rPr>
        <w:t xml:space="preserve">also </w:t>
      </w:r>
      <w:r w:rsidR="0090679E" w:rsidRPr="000058F1">
        <w:rPr>
          <w:kern w:val="22"/>
          <w:szCs w:val="22"/>
        </w:rPr>
        <w:t>nationally relevant</w:t>
      </w:r>
      <w:r w:rsidR="0055194B" w:rsidRPr="000058F1">
        <w:rPr>
          <w:kern w:val="22"/>
          <w:szCs w:val="22"/>
        </w:rPr>
        <w:t>, covering a</w:t>
      </w:r>
      <w:r w:rsidR="0090679E" w:rsidRPr="000058F1">
        <w:rPr>
          <w:kern w:val="22"/>
          <w:szCs w:val="22"/>
        </w:rPr>
        <w:t xml:space="preserve"> more specific component of a goal or target. The </w:t>
      </w:r>
      <w:r w:rsidR="005774CA" w:rsidRPr="000058F1">
        <w:rPr>
          <w:kern w:val="22"/>
          <w:szCs w:val="22"/>
        </w:rPr>
        <w:t>complimentary indicators may or may not be national</w:t>
      </w:r>
      <w:r w:rsidR="00937D52">
        <w:rPr>
          <w:kern w:val="22"/>
          <w:szCs w:val="22"/>
        </w:rPr>
        <w:t>ly</w:t>
      </w:r>
      <w:r w:rsidR="005774CA" w:rsidRPr="00044510">
        <w:rPr>
          <w:kern w:val="22"/>
          <w:szCs w:val="22"/>
        </w:rPr>
        <w:t xml:space="preserve"> relevant but would provide important global</w:t>
      </w:r>
      <w:r w:rsidR="00F818C1">
        <w:rPr>
          <w:kern w:val="22"/>
          <w:szCs w:val="22"/>
        </w:rPr>
        <w:t>-</w:t>
      </w:r>
      <w:r w:rsidR="005774CA" w:rsidRPr="000058F1">
        <w:rPr>
          <w:kern w:val="22"/>
          <w:szCs w:val="22"/>
        </w:rPr>
        <w:t xml:space="preserve">level information for monitoring progress towards the goals and targets of the post-2020 global biodiversity </w:t>
      </w:r>
      <w:r w:rsidR="005774CA" w:rsidRPr="000058F1">
        <w:rPr>
          <w:kern w:val="22"/>
          <w:szCs w:val="22"/>
        </w:rPr>
        <w:lastRenderedPageBreak/>
        <w:t>framework</w:t>
      </w:r>
      <w:r w:rsidR="0090679E" w:rsidRPr="000058F1">
        <w:rPr>
          <w:kern w:val="22"/>
          <w:szCs w:val="22"/>
        </w:rPr>
        <w:t xml:space="preserve"> and may be drawn upon in global analysis</w:t>
      </w:r>
      <w:r w:rsidR="005774CA" w:rsidRPr="000058F1">
        <w:rPr>
          <w:kern w:val="22"/>
          <w:szCs w:val="22"/>
        </w:rPr>
        <w:t xml:space="preserve">. </w:t>
      </w:r>
      <w:r w:rsidR="00047845" w:rsidRPr="000058F1">
        <w:rPr>
          <w:kern w:val="22"/>
          <w:szCs w:val="22"/>
        </w:rPr>
        <w:t xml:space="preserve">Possible component and complementary indicators are identified in document </w:t>
      </w:r>
      <w:r w:rsidR="00047845" w:rsidRPr="00444C31">
        <w:rPr>
          <w:kern w:val="22"/>
          <w:szCs w:val="22"/>
        </w:rPr>
        <w:t>CBD/WG2020/3/INF</w:t>
      </w:r>
      <w:r w:rsidR="006C4A3B" w:rsidRPr="00444C31">
        <w:rPr>
          <w:kern w:val="22"/>
          <w:szCs w:val="22"/>
        </w:rPr>
        <w:t>/2</w:t>
      </w:r>
      <w:r w:rsidR="006849CE" w:rsidRPr="00044510">
        <w:rPr>
          <w:kern w:val="22"/>
          <w:szCs w:val="22"/>
        </w:rPr>
        <w:t>;</w:t>
      </w:r>
    </w:p>
    <w:p w14:paraId="07CB8598" w14:textId="65035A09" w:rsidR="00994450" w:rsidRPr="00444C31" w:rsidRDefault="00047845" w:rsidP="00444C31">
      <w:pPr>
        <w:pStyle w:val="Para1"/>
        <w:numPr>
          <w:ilvl w:val="1"/>
          <w:numId w:val="2"/>
        </w:numPr>
        <w:suppressLineNumbers/>
        <w:suppressAutoHyphens/>
        <w:kinsoku w:val="0"/>
        <w:overflowPunct w:val="0"/>
        <w:autoSpaceDE w:val="0"/>
        <w:autoSpaceDN w:val="0"/>
        <w:adjustRightInd w:val="0"/>
        <w:snapToGrid w:val="0"/>
        <w:spacing w:line="235" w:lineRule="auto"/>
        <w:rPr>
          <w:rFonts w:eastAsia="Malgun Gothic"/>
          <w:kern w:val="22"/>
          <w:szCs w:val="22"/>
          <w:lang w:eastAsia="x-none"/>
        </w:rPr>
      </w:pPr>
      <w:r w:rsidRPr="008577C6">
        <w:rPr>
          <w:kern w:val="22"/>
          <w:szCs w:val="22"/>
        </w:rPr>
        <w:t xml:space="preserve">Priority has been given to </w:t>
      </w:r>
      <w:r w:rsidR="000808A2" w:rsidRPr="008577C6">
        <w:rPr>
          <w:kern w:val="22"/>
          <w:szCs w:val="22"/>
        </w:rPr>
        <w:t xml:space="preserve">indicators </w:t>
      </w:r>
      <w:r w:rsidRPr="008577C6">
        <w:rPr>
          <w:kern w:val="22"/>
          <w:szCs w:val="22"/>
        </w:rPr>
        <w:t xml:space="preserve">that </w:t>
      </w:r>
      <w:r w:rsidR="000808A2" w:rsidRPr="008577C6">
        <w:rPr>
          <w:kern w:val="22"/>
          <w:szCs w:val="22"/>
        </w:rPr>
        <w:t>h</w:t>
      </w:r>
      <w:r w:rsidR="000B4C65" w:rsidRPr="008577C6">
        <w:rPr>
          <w:kern w:val="22"/>
          <w:szCs w:val="22"/>
        </w:rPr>
        <w:t>ave been agreed through a</w:t>
      </w:r>
      <w:r w:rsidR="00344D5E" w:rsidRPr="008577C6">
        <w:rPr>
          <w:kern w:val="22"/>
          <w:szCs w:val="22"/>
        </w:rPr>
        <w:t>n established</w:t>
      </w:r>
      <w:r w:rsidR="000B4C65" w:rsidRPr="008577C6">
        <w:rPr>
          <w:kern w:val="22"/>
          <w:szCs w:val="22"/>
        </w:rPr>
        <w:t xml:space="preserve"> scientific or intergovernmental process and where there is an existing body that will continue to review </w:t>
      </w:r>
      <w:r w:rsidRPr="008577C6">
        <w:rPr>
          <w:kern w:val="22"/>
          <w:szCs w:val="22"/>
        </w:rPr>
        <w:t>the indicator</w:t>
      </w:r>
      <w:r w:rsidR="000B4C65" w:rsidRPr="008577C6">
        <w:rPr>
          <w:kern w:val="22"/>
          <w:szCs w:val="22"/>
        </w:rPr>
        <w:t xml:space="preserve">, </w:t>
      </w:r>
      <w:r w:rsidR="00344D5E" w:rsidRPr="008577C6">
        <w:rPr>
          <w:kern w:val="22"/>
          <w:szCs w:val="22"/>
        </w:rPr>
        <w:t xml:space="preserve">as is the case, for example, for </w:t>
      </w:r>
      <w:r w:rsidR="000B4C65" w:rsidRPr="008577C6">
        <w:rPr>
          <w:kern w:val="22"/>
          <w:szCs w:val="22"/>
        </w:rPr>
        <w:t>the indicators identified for monitoring implementation of the 2030 Agenda for Sustainable Development</w:t>
      </w:r>
      <w:r w:rsidR="005774CA" w:rsidRPr="008577C6">
        <w:rPr>
          <w:kern w:val="22"/>
          <w:szCs w:val="22"/>
        </w:rPr>
        <w:t xml:space="preserve">. These indicators </w:t>
      </w:r>
      <w:r w:rsidR="00DB220B" w:rsidRPr="008577C6">
        <w:rPr>
          <w:kern w:val="22"/>
          <w:szCs w:val="22"/>
        </w:rPr>
        <w:t xml:space="preserve">would </w:t>
      </w:r>
      <w:r w:rsidR="00DC15D9">
        <w:rPr>
          <w:kern w:val="22"/>
          <w:szCs w:val="22"/>
        </w:rPr>
        <w:t xml:space="preserve">not </w:t>
      </w:r>
      <w:r w:rsidR="00DB220B" w:rsidRPr="008577C6">
        <w:rPr>
          <w:kern w:val="22"/>
          <w:szCs w:val="22"/>
        </w:rPr>
        <w:t xml:space="preserve">constitute additional </w:t>
      </w:r>
      <w:r w:rsidR="0090679E" w:rsidRPr="008577C6">
        <w:rPr>
          <w:kern w:val="22"/>
          <w:szCs w:val="22"/>
        </w:rPr>
        <w:t>national capacity</w:t>
      </w:r>
      <w:r w:rsidR="00C004AD" w:rsidRPr="008577C6">
        <w:rPr>
          <w:kern w:val="22"/>
          <w:szCs w:val="22"/>
        </w:rPr>
        <w:t>-</w:t>
      </w:r>
      <w:r w:rsidR="0090679E" w:rsidRPr="008577C6">
        <w:rPr>
          <w:kern w:val="22"/>
          <w:szCs w:val="22"/>
        </w:rPr>
        <w:t>building</w:t>
      </w:r>
      <w:r w:rsidR="0055194B" w:rsidRPr="008577C6">
        <w:rPr>
          <w:kern w:val="22"/>
          <w:szCs w:val="22"/>
        </w:rPr>
        <w:t xml:space="preserve"> needs</w:t>
      </w:r>
      <w:r w:rsidR="0090679E" w:rsidRPr="008577C6">
        <w:rPr>
          <w:kern w:val="22"/>
          <w:szCs w:val="22"/>
        </w:rPr>
        <w:t xml:space="preserve"> or </w:t>
      </w:r>
      <w:r w:rsidR="00DB220B" w:rsidRPr="008577C6">
        <w:rPr>
          <w:kern w:val="22"/>
          <w:szCs w:val="22"/>
        </w:rPr>
        <w:t>reporting burden on Parties as the indicators are already being compiled and nationally validated through other processes</w:t>
      </w:r>
      <w:r w:rsidR="00DC15D9">
        <w:rPr>
          <w:kern w:val="22"/>
          <w:szCs w:val="22"/>
        </w:rPr>
        <w:t>; however, there remains a need to build capacity around the SDG indicators as is well recognized in the SDG process</w:t>
      </w:r>
      <w:r w:rsidR="0055194B" w:rsidRPr="008577C6">
        <w:rPr>
          <w:kern w:val="22"/>
          <w:szCs w:val="22"/>
        </w:rPr>
        <w:t>.</w:t>
      </w:r>
      <w:r w:rsidR="00C9782D" w:rsidRPr="008577C6">
        <w:rPr>
          <w:kern w:val="22"/>
          <w:szCs w:val="22"/>
        </w:rPr>
        <w:t xml:space="preserve"> Similarly, </w:t>
      </w:r>
      <w:r w:rsidR="0090679E" w:rsidRPr="008577C6">
        <w:rPr>
          <w:kern w:val="22"/>
          <w:szCs w:val="22"/>
        </w:rPr>
        <w:t>data on some of the proposed</w:t>
      </w:r>
      <w:r w:rsidR="00C9782D" w:rsidRPr="008577C6">
        <w:rPr>
          <w:kern w:val="22"/>
          <w:szCs w:val="22"/>
        </w:rPr>
        <w:t xml:space="preserve"> headline indicators </w:t>
      </w:r>
      <w:r w:rsidR="0090679E" w:rsidRPr="008577C6">
        <w:rPr>
          <w:kern w:val="22"/>
          <w:szCs w:val="22"/>
        </w:rPr>
        <w:t>is already envisioned</w:t>
      </w:r>
      <w:r w:rsidR="00C9782D" w:rsidRPr="008577C6">
        <w:rPr>
          <w:kern w:val="22"/>
          <w:szCs w:val="22"/>
        </w:rPr>
        <w:t xml:space="preserve"> </w:t>
      </w:r>
      <w:r w:rsidR="0055194B" w:rsidRPr="008577C6">
        <w:rPr>
          <w:kern w:val="22"/>
          <w:szCs w:val="22"/>
        </w:rPr>
        <w:t xml:space="preserve">to be available </w:t>
      </w:r>
      <w:r w:rsidR="00C9782D" w:rsidRPr="008577C6">
        <w:rPr>
          <w:kern w:val="22"/>
          <w:szCs w:val="22"/>
        </w:rPr>
        <w:t>through established reporting processes</w:t>
      </w:r>
      <w:r w:rsidR="00763F87" w:rsidRPr="008577C6">
        <w:rPr>
          <w:kern w:val="22"/>
          <w:szCs w:val="22"/>
        </w:rPr>
        <w:t xml:space="preserve"> under the Convention</w:t>
      </w:r>
      <w:r w:rsidR="00C9782D" w:rsidRPr="008577C6">
        <w:rPr>
          <w:kern w:val="22"/>
          <w:szCs w:val="22"/>
        </w:rPr>
        <w:t xml:space="preserve"> </w:t>
      </w:r>
      <w:r w:rsidR="0090679E" w:rsidRPr="008577C6">
        <w:rPr>
          <w:kern w:val="22"/>
          <w:szCs w:val="22"/>
        </w:rPr>
        <w:t xml:space="preserve">or its protocols </w:t>
      </w:r>
      <w:r w:rsidR="00C9782D" w:rsidRPr="008577C6">
        <w:rPr>
          <w:kern w:val="22"/>
          <w:szCs w:val="22"/>
        </w:rPr>
        <w:t xml:space="preserve">(for example through the reporting processes related to the </w:t>
      </w:r>
      <w:r w:rsidR="00E9016C" w:rsidRPr="008577C6">
        <w:rPr>
          <w:kern w:val="22"/>
          <w:szCs w:val="22"/>
        </w:rPr>
        <w:t>f</w:t>
      </w:r>
      <w:r w:rsidR="00C9782D" w:rsidRPr="008577C6">
        <w:rPr>
          <w:kern w:val="22"/>
          <w:szCs w:val="22"/>
        </w:rPr>
        <w:t>inancial Resource Mobilization Reporting Framework</w:t>
      </w:r>
      <w:r w:rsidR="0090679E" w:rsidRPr="008577C6">
        <w:rPr>
          <w:kern w:val="22"/>
          <w:szCs w:val="22"/>
        </w:rPr>
        <w:t xml:space="preserve"> or under the </w:t>
      </w:r>
      <w:r w:rsidR="0055194B" w:rsidRPr="008577C6">
        <w:rPr>
          <w:kern w:val="22"/>
          <w:szCs w:val="22"/>
        </w:rPr>
        <w:t xml:space="preserve">review and assessment processes established under the </w:t>
      </w:r>
      <w:r w:rsidR="00C9782D" w:rsidRPr="008577C6">
        <w:rPr>
          <w:kern w:val="22"/>
          <w:szCs w:val="22"/>
        </w:rPr>
        <w:t xml:space="preserve">Cartagena </w:t>
      </w:r>
      <w:r w:rsidR="0055194B" w:rsidRPr="008577C6">
        <w:rPr>
          <w:kern w:val="22"/>
          <w:szCs w:val="22"/>
        </w:rPr>
        <w:t>and</w:t>
      </w:r>
      <w:r w:rsidR="00C9782D" w:rsidRPr="008577C6">
        <w:rPr>
          <w:kern w:val="22"/>
          <w:szCs w:val="22"/>
        </w:rPr>
        <w:t xml:space="preserve"> Nagoya Protocol</w:t>
      </w:r>
      <w:r w:rsidR="0055194B" w:rsidRPr="008577C6">
        <w:rPr>
          <w:kern w:val="22"/>
          <w:szCs w:val="22"/>
        </w:rPr>
        <w:t>s</w:t>
      </w:r>
      <w:r w:rsidR="0090679E" w:rsidRPr="008577C6">
        <w:rPr>
          <w:kern w:val="22"/>
          <w:szCs w:val="22"/>
        </w:rPr>
        <w:t>)</w:t>
      </w:r>
      <w:r w:rsidR="00C9782D" w:rsidRPr="008577C6">
        <w:rPr>
          <w:kern w:val="22"/>
          <w:szCs w:val="22"/>
        </w:rPr>
        <w:t>. Hence</w:t>
      </w:r>
      <w:r w:rsidR="003119CA">
        <w:rPr>
          <w:bCs/>
          <w:kern w:val="22"/>
          <w:szCs w:val="22"/>
        </w:rPr>
        <w:t>,</w:t>
      </w:r>
      <w:r w:rsidR="00C9782D" w:rsidRPr="00044510">
        <w:rPr>
          <w:kern w:val="22"/>
          <w:szCs w:val="22"/>
        </w:rPr>
        <w:t xml:space="preserve"> </w:t>
      </w:r>
      <w:r w:rsidR="0090679E" w:rsidRPr="008577C6">
        <w:rPr>
          <w:kern w:val="22"/>
          <w:szCs w:val="22"/>
        </w:rPr>
        <w:t xml:space="preserve">the of </w:t>
      </w:r>
      <w:r w:rsidR="00C9782D" w:rsidRPr="008577C6">
        <w:rPr>
          <w:kern w:val="22"/>
          <w:szCs w:val="22"/>
        </w:rPr>
        <w:t>use these indicators would not entail a significant additional reporting burden as reporting would continue through the existing process. Where</w:t>
      </w:r>
      <w:r w:rsidR="00763F87" w:rsidRPr="008577C6">
        <w:rPr>
          <w:kern w:val="22"/>
          <w:szCs w:val="22"/>
        </w:rPr>
        <w:t xml:space="preserve"> the proposed indicators meet one of these two characteristics</w:t>
      </w:r>
      <w:r w:rsidR="00C9782D" w:rsidRPr="008577C6">
        <w:rPr>
          <w:kern w:val="22"/>
          <w:szCs w:val="22"/>
        </w:rPr>
        <w:t xml:space="preserve">, it is indicated in the </w:t>
      </w:r>
      <w:r w:rsidR="00BD7CA4" w:rsidRPr="008577C6">
        <w:rPr>
          <w:kern w:val="22"/>
          <w:szCs w:val="22"/>
        </w:rPr>
        <w:t>a</w:t>
      </w:r>
      <w:r w:rsidR="00C9782D" w:rsidRPr="008577C6">
        <w:rPr>
          <w:kern w:val="22"/>
          <w:szCs w:val="22"/>
        </w:rPr>
        <w:t>nnex.</w:t>
      </w:r>
    </w:p>
    <w:p w14:paraId="25D0C28E" w14:textId="477E75B5" w:rsidR="00994450" w:rsidRPr="000058F1" w:rsidRDefault="00994450" w:rsidP="00444C31">
      <w:pPr>
        <w:pStyle w:val="Heading1"/>
        <w:numPr>
          <w:ilvl w:val="0"/>
          <w:numId w:val="9"/>
        </w:numPr>
        <w:suppressLineNumbers/>
        <w:tabs>
          <w:tab w:val="clear" w:pos="720"/>
          <w:tab w:val="left" w:pos="426"/>
        </w:tabs>
        <w:suppressAutoHyphens/>
        <w:kinsoku w:val="0"/>
        <w:overflowPunct w:val="0"/>
        <w:autoSpaceDE w:val="0"/>
        <w:autoSpaceDN w:val="0"/>
        <w:adjustRightInd w:val="0"/>
        <w:snapToGrid w:val="0"/>
        <w:spacing w:before="120"/>
        <w:ind w:left="0" w:firstLine="0"/>
        <w:rPr>
          <w:kern w:val="22"/>
          <w:szCs w:val="22"/>
        </w:rPr>
      </w:pPr>
      <w:r w:rsidRPr="00044510">
        <w:rPr>
          <w:kern w:val="22"/>
          <w:szCs w:val="22"/>
        </w:rPr>
        <w:t>S</w:t>
      </w:r>
      <w:r w:rsidRPr="000058F1">
        <w:rPr>
          <w:kern w:val="22"/>
          <w:szCs w:val="22"/>
        </w:rPr>
        <w:t>uMMARY of headline indicators</w:t>
      </w:r>
    </w:p>
    <w:p w14:paraId="798170C5" w14:textId="7A4A92B6" w:rsidR="00994450" w:rsidRPr="000058F1" w:rsidRDefault="00E046E8" w:rsidP="0065519D">
      <w:pPr>
        <w:numPr>
          <w:ilvl w:val="0"/>
          <w:numId w:val="2"/>
        </w:numPr>
        <w:tabs>
          <w:tab w:val="clear" w:pos="360"/>
        </w:tabs>
        <w:spacing w:before="120" w:after="120"/>
        <w:rPr>
          <w:rFonts w:eastAsia="Malgun Gothic"/>
          <w:kern w:val="22"/>
          <w:szCs w:val="22"/>
          <w:lang w:eastAsia="x-none"/>
        </w:rPr>
      </w:pPr>
      <w:r w:rsidRPr="000058F1">
        <w:rPr>
          <w:rFonts w:eastAsia="Malgun Gothic"/>
          <w:kern w:val="22"/>
          <w:szCs w:val="22"/>
          <w:lang w:eastAsia="x-none"/>
        </w:rPr>
        <w:t xml:space="preserve">There are </w:t>
      </w:r>
      <w:r w:rsidR="00994450" w:rsidRPr="000058F1">
        <w:rPr>
          <w:rFonts w:eastAsia="Malgun Gothic"/>
          <w:kern w:val="22"/>
          <w:szCs w:val="22"/>
          <w:lang w:eastAsia="x-none"/>
        </w:rPr>
        <w:t xml:space="preserve">38 total Headline indicators. This includes </w:t>
      </w:r>
      <w:r w:rsidR="00337D4F" w:rsidRPr="000058F1">
        <w:rPr>
          <w:rFonts w:eastAsia="Malgun Gothic"/>
          <w:kern w:val="22"/>
          <w:szCs w:val="22"/>
          <w:lang w:eastAsia="x-none"/>
        </w:rPr>
        <w:t xml:space="preserve">15 indicators which are an exact match with an SDG indicator and thus for these indicators data would continue to be collected and validated through the SDG process and not </w:t>
      </w:r>
      <w:r w:rsidR="0055194B" w:rsidRPr="000058F1">
        <w:rPr>
          <w:rFonts w:eastAsia="Malgun Gothic"/>
          <w:kern w:val="22"/>
          <w:szCs w:val="22"/>
          <w:lang w:eastAsia="x-none"/>
        </w:rPr>
        <w:t>require additional effort under the</w:t>
      </w:r>
      <w:r w:rsidR="00337D4F" w:rsidRPr="000058F1">
        <w:rPr>
          <w:rFonts w:eastAsia="Malgun Gothic"/>
          <w:kern w:val="22"/>
          <w:szCs w:val="22"/>
          <w:lang w:eastAsia="x-none"/>
        </w:rPr>
        <w:t xml:space="preserve"> CBD proces</w:t>
      </w:r>
      <w:r w:rsidR="0055194B" w:rsidRPr="000058F1">
        <w:rPr>
          <w:rFonts w:eastAsia="Malgun Gothic"/>
          <w:kern w:val="22"/>
          <w:szCs w:val="22"/>
          <w:lang w:eastAsia="x-none"/>
        </w:rPr>
        <w:t>s</w:t>
      </w:r>
      <w:r w:rsidR="00337D4F" w:rsidRPr="000058F1">
        <w:rPr>
          <w:rFonts w:eastAsia="Malgun Gothic"/>
          <w:kern w:val="22"/>
          <w:szCs w:val="22"/>
          <w:lang w:eastAsia="x-none"/>
        </w:rPr>
        <w:t xml:space="preserve">. Of the remaining indicators, 7 </w:t>
      </w:r>
      <w:r w:rsidR="0055194B" w:rsidRPr="000058F1">
        <w:rPr>
          <w:rFonts w:eastAsia="Malgun Gothic"/>
          <w:kern w:val="22"/>
          <w:szCs w:val="22"/>
          <w:lang w:eastAsia="x-none"/>
        </w:rPr>
        <w:t>relate to</w:t>
      </w:r>
      <w:r w:rsidR="00337D4F" w:rsidRPr="000058F1">
        <w:rPr>
          <w:rFonts w:eastAsia="Malgun Gothic"/>
          <w:kern w:val="22"/>
          <w:szCs w:val="22"/>
          <w:lang w:eastAsia="x-none"/>
        </w:rPr>
        <w:t xml:space="preserve"> the GE</w:t>
      </w:r>
      <w:r w:rsidR="0055194B" w:rsidRPr="000058F1">
        <w:rPr>
          <w:rFonts w:eastAsia="Malgun Gothic"/>
          <w:kern w:val="22"/>
          <w:szCs w:val="22"/>
          <w:lang w:eastAsia="x-none"/>
        </w:rPr>
        <w:t>O-</w:t>
      </w:r>
      <w:r w:rsidR="00337D4F" w:rsidRPr="000058F1">
        <w:rPr>
          <w:rFonts w:eastAsia="Malgun Gothic"/>
          <w:kern w:val="22"/>
          <w:szCs w:val="22"/>
          <w:lang w:eastAsia="x-none"/>
        </w:rPr>
        <w:t>BON essential biodiversity variables indicators or the System of Environmental Economic Accounting indicators</w:t>
      </w:r>
      <w:r w:rsidR="0015181B">
        <w:rPr>
          <w:rFonts w:eastAsia="Malgun Gothic"/>
          <w:kern w:val="22"/>
          <w:szCs w:val="22"/>
          <w:lang w:eastAsia="x-none"/>
        </w:rPr>
        <w:t>,</w:t>
      </w:r>
      <w:r w:rsidR="0055194B" w:rsidRPr="00044510">
        <w:rPr>
          <w:rFonts w:eastAsia="Malgun Gothic"/>
          <w:kern w:val="22"/>
          <w:szCs w:val="22"/>
          <w:lang w:eastAsia="x-none"/>
        </w:rPr>
        <w:t xml:space="preserve"> and</w:t>
      </w:r>
      <w:r w:rsidR="00337D4F" w:rsidRPr="000058F1">
        <w:rPr>
          <w:rFonts w:eastAsia="Malgun Gothic"/>
          <w:kern w:val="22"/>
          <w:szCs w:val="22"/>
          <w:lang w:eastAsia="x-none"/>
        </w:rPr>
        <w:t xml:space="preserve"> 6 are covered by an existing intergovernmental process or by an international data provider</w:t>
      </w:r>
      <w:r w:rsidR="0055194B" w:rsidRPr="000058F1">
        <w:rPr>
          <w:rFonts w:eastAsia="Malgun Gothic"/>
          <w:kern w:val="22"/>
          <w:szCs w:val="22"/>
          <w:lang w:eastAsia="x-none"/>
        </w:rPr>
        <w:t>.</w:t>
      </w:r>
      <w:r w:rsidR="00337D4F" w:rsidRPr="000058F1">
        <w:rPr>
          <w:rFonts w:eastAsia="Malgun Gothic"/>
          <w:kern w:val="22"/>
          <w:szCs w:val="22"/>
          <w:lang w:eastAsia="x-none"/>
        </w:rPr>
        <w:t xml:space="preserve"> </w:t>
      </w:r>
      <w:r w:rsidR="0055194B" w:rsidRPr="000058F1">
        <w:rPr>
          <w:rFonts w:eastAsia="Malgun Gothic"/>
          <w:kern w:val="22"/>
          <w:szCs w:val="22"/>
          <w:lang w:eastAsia="x-none"/>
        </w:rPr>
        <w:t>The remaining</w:t>
      </w:r>
      <w:r w:rsidR="00337D4F" w:rsidRPr="000058F1">
        <w:rPr>
          <w:rFonts w:eastAsia="Malgun Gothic"/>
          <w:kern w:val="22"/>
          <w:szCs w:val="22"/>
          <w:lang w:eastAsia="x-none"/>
        </w:rPr>
        <w:t xml:space="preserve"> 10 indicators need further research and development</w:t>
      </w:r>
      <w:r w:rsidR="008B6D3C">
        <w:rPr>
          <w:rFonts w:eastAsia="Malgun Gothic"/>
          <w:kern w:val="22"/>
          <w:szCs w:val="22"/>
          <w:lang w:eastAsia="x-none"/>
        </w:rPr>
        <w:t>,</w:t>
      </w:r>
      <w:r w:rsidR="00337D4F" w:rsidRPr="00044510">
        <w:rPr>
          <w:rFonts w:eastAsia="Malgun Gothic"/>
          <w:kern w:val="22"/>
          <w:szCs w:val="22"/>
          <w:lang w:eastAsia="x-none"/>
        </w:rPr>
        <w:t xml:space="preserve"> </w:t>
      </w:r>
      <w:r w:rsidR="0055194B" w:rsidRPr="000058F1">
        <w:rPr>
          <w:rFonts w:eastAsia="Malgun Gothic"/>
          <w:kern w:val="22"/>
          <w:szCs w:val="22"/>
          <w:lang w:eastAsia="x-none"/>
        </w:rPr>
        <w:t xml:space="preserve">but </w:t>
      </w:r>
      <w:r w:rsidR="00337D4F" w:rsidRPr="000058F1">
        <w:rPr>
          <w:rFonts w:eastAsia="Malgun Gothic"/>
          <w:kern w:val="22"/>
          <w:szCs w:val="22"/>
          <w:lang w:eastAsia="x-none"/>
        </w:rPr>
        <w:t>many of the</w:t>
      </w:r>
      <w:r w:rsidR="00C24D26">
        <w:rPr>
          <w:rFonts w:eastAsia="Malgun Gothic"/>
          <w:kern w:val="22"/>
          <w:szCs w:val="22"/>
          <w:lang w:eastAsia="x-none"/>
        </w:rPr>
        <w:t>m</w:t>
      </w:r>
      <w:r w:rsidR="00337D4F" w:rsidRPr="000058F1">
        <w:rPr>
          <w:rFonts w:eastAsia="Malgun Gothic"/>
          <w:kern w:val="22"/>
          <w:szCs w:val="22"/>
          <w:lang w:eastAsia="x-none"/>
        </w:rPr>
        <w:t xml:space="preserve"> are indicators </w:t>
      </w:r>
      <w:r w:rsidR="0055194B" w:rsidRPr="000058F1">
        <w:rPr>
          <w:rFonts w:eastAsia="Malgun Gothic"/>
          <w:kern w:val="22"/>
          <w:szCs w:val="22"/>
          <w:lang w:eastAsia="x-none"/>
        </w:rPr>
        <w:t xml:space="preserve">of policy measures </w:t>
      </w:r>
      <w:r w:rsidR="00337D4F" w:rsidRPr="000058F1">
        <w:rPr>
          <w:rFonts w:eastAsia="Malgun Gothic"/>
          <w:kern w:val="22"/>
          <w:szCs w:val="22"/>
          <w:lang w:eastAsia="x-none"/>
        </w:rPr>
        <w:t xml:space="preserve">which will be </w:t>
      </w:r>
      <w:r w:rsidR="0055194B" w:rsidRPr="000058F1">
        <w:rPr>
          <w:rFonts w:eastAsia="Malgun Gothic"/>
          <w:kern w:val="22"/>
          <w:szCs w:val="22"/>
          <w:lang w:eastAsia="x-none"/>
        </w:rPr>
        <w:t xml:space="preserve">developed on the </w:t>
      </w:r>
      <w:r w:rsidR="00337D4F" w:rsidRPr="000058F1">
        <w:rPr>
          <w:rFonts w:eastAsia="Malgun Gothic"/>
          <w:kern w:val="22"/>
          <w:szCs w:val="22"/>
          <w:lang w:eastAsia="x-none"/>
        </w:rPr>
        <w:t>bas</w:t>
      </w:r>
      <w:r w:rsidR="0055194B" w:rsidRPr="000058F1">
        <w:rPr>
          <w:rFonts w:eastAsia="Malgun Gothic"/>
          <w:kern w:val="22"/>
          <w:szCs w:val="22"/>
          <w:lang w:eastAsia="x-none"/>
        </w:rPr>
        <w:t xml:space="preserve">is </w:t>
      </w:r>
      <w:r w:rsidR="00337D4F" w:rsidRPr="000058F1">
        <w:rPr>
          <w:rFonts w:eastAsia="Malgun Gothic"/>
          <w:kern w:val="22"/>
          <w:szCs w:val="22"/>
          <w:lang w:eastAsia="x-none"/>
        </w:rPr>
        <w:t xml:space="preserve">on existing reporting </w:t>
      </w:r>
      <w:r w:rsidR="0055194B" w:rsidRPr="000058F1">
        <w:rPr>
          <w:rFonts w:eastAsia="Malgun Gothic"/>
          <w:kern w:val="22"/>
          <w:szCs w:val="22"/>
          <w:lang w:eastAsia="x-none"/>
        </w:rPr>
        <w:t>through</w:t>
      </w:r>
      <w:r w:rsidR="00337D4F" w:rsidRPr="000058F1">
        <w:rPr>
          <w:rFonts w:eastAsia="Malgun Gothic"/>
          <w:kern w:val="22"/>
          <w:szCs w:val="22"/>
          <w:lang w:eastAsia="x-none"/>
        </w:rPr>
        <w:t xml:space="preserve"> national reports</w:t>
      </w:r>
      <w:r w:rsidR="0055194B" w:rsidRPr="000058F1">
        <w:rPr>
          <w:rFonts w:eastAsia="Malgun Gothic"/>
          <w:kern w:val="22"/>
          <w:szCs w:val="22"/>
          <w:lang w:eastAsia="x-none"/>
        </w:rPr>
        <w:t xml:space="preserve"> </w:t>
      </w:r>
      <w:r w:rsidR="00596DE0">
        <w:rPr>
          <w:rFonts w:eastAsia="Malgun Gothic"/>
          <w:kern w:val="22"/>
          <w:szCs w:val="22"/>
          <w:lang w:eastAsia="x-none"/>
        </w:rPr>
        <w:t>under</w:t>
      </w:r>
      <w:r w:rsidR="00596DE0" w:rsidRPr="00044510">
        <w:rPr>
          <w:rFonts w:eastAsia="Malgun Gothic"/>
          <w:kern w:val="22"/>
          <w:szCs w:val="22"/>
          <w:lang w:eastAsia="x-none"/>
        </w:rPr>
        <w:t xml:space="preserve"> </w:t>
      </w:r>
      <w:r w:rsidR="0055194B" w:rsidRPr="000058F1">
        <w:rPr>
          <w:rFonts w:eastAsia="Malgun Gothic"/>
          <w:kern w:val="22"/>
          <w:szCs w:val="22"/>
          <w:lang w:eastAsia="x-none"/>
        </w:rPr>
        <w:t>the Convention,</w:t>
      </w:r>
      <w:r w:rsidR="00337D4F" w:rsidRPr="000058F1">
        <w:rPr>
          <w:rFonts w:eastAsia="Malgun Gothic"/>
          <w:kern w:val="22"/>
          <w:szCs w:val="22"/>
          <w:lang w:eastAsia="x-none"/>
        </w:rPr>
        <w:t xml:space="preserve"> national biodiversity finance plans or reporting under the Nagoya or Cartagena Protocol</w:t>
      </w:r>
      <w:r w:rsidR="0055194B" w:rsidRPr="000058F1">
        <w:rPr>
          <w:rFonts w:eastAsia="Malgun Gothic"/>
          <w:kern w:val="22"/>
          <w:szCs w:val="22"/>
          <w:lang w:eastAsia="x-none"/>
        </w:rPr>
        <w:t>s</w:t>
      </w:r>
      <w:r w:rsidR="00855008" w:rsidRPr="000058F1">
        <w:rPr>
          <w:rFonts w:eastAsia="Malgun Gothic"/>
          <w:kern w:val="22"/>
          <w:szCs w:val="22"/>
          <w:lang w:eastAsia="x-none"/>
        </w:rPr>
        <w:t>.</w:t>
      </w:r>
    </w:p>
    <w:p w14:paraId="74ECFCC0" w14:textId="264E07BD" w:rsidR="00E046E8" w:rsidRPr="000058F1" w:rsidRDefault="00855008" w:rsidP="0065519D">
      <w:pPr>
        <w:numPr>
          <w:ilvl w:val="0"/>
          <w:numId w:val="2"/>
        </w:numPr>
        <w:tabs>
          <w:tab w:val="clear" w:pos="360"/>
        </w:tabs>
        <w:spacing w:before="120" w:after="120"/>
        <w:rPr>
          <w:rFonts w:eastAsia="Malgun Gothic"/>
          <w:kern w:val="22"/>
          <w:szCs w:val="22"/>
          <w:lang w:eastAsia="x-none"/>
        </w:rPr>
      </w:pPr>
      <w:r w:rsidRPr="000058F1">
        <w:rPr>
          <w:rFonts w:eastAsia="Malgun Gothic"/>
          <w:kern w:val="22"/>
          <w:szCs w:val="22"/>
          <w:lang w:eastAsia="x-none"/>
        </w:rPr>
        <w:t>There are 9</w:t>
      </w:r>
      <w:r w:rsidR="00E046E8" w:rsidRPr="000058F1">
        <w:rPr>
          <w:rFonts w:eastAsia="Malgun Gothic"/>
          <w:kern w:val="22"/>
          <w:szCs w:val="22"/>
          <w:lang w:eastAsia="x-none"/>
        </w:rPr>
        <w:t xml:space="preserve"> Headline indicators</w:t>
      </w:r>
      <w:r w:rsidRPr="000058F1">
        <w:rPr>
          <w:rFonts w:eastAsia="Malgun Gothic"/>
          <w:kern w:val="22"/>
          <w:szCs w:val="22"/>
          <w:lang w:eastAsia="x-none"/>
        </w:rPr>
        <w:t xml:space="preserve"> </w:t>
      </w:r>
      <w:r w:rsidR="002670C6" w:rsidRPr="000058F1">
        <w:rPr>
          <w:rFonts w:eastAsia="Malgun Gothic"/>
          <w:kern w:val="22"/>
          <w:szCs w:val="22"/>
          <w:lang w:eastAsia="x-none"/>
        </w:rPr>
        <w:t xml:space="preserve">for the four Goals </w:t>
      </w:r>
      <w:r w:rsidRPr="000058F1">
        <w:rPr>
          <w:rFonts w:eastAsia="Malgun Gothic"/>
          <w:kern w:val="22"/>
          <w:szCs w:val="22"/>
          <w:lang w:eastAsia="x-none"/>
        </w:rPr>
        <w:t>and 29 Headline indicators</w:t>
      </w:r>
      <w:r w:rsidR="002670C6" w:rsidRPr="000058F1">
        <w:rPr>
          <w:rFonts w:eastAsia="Malgun Gothic"/>
          <w:kern w:val="22"/>
          <w:szCs w:val="22"/>
          <w:lang w:eastAsia="x-none"/>
        </w:rPr>
        <w:t xml:space="preserve"> for the </w:t>
      </w:r>
      <w:r w:rsidR="008277A4">
        <w:rPr>
          <w:rFonts w:eastAsia="Malgun Gothic"/>
          <w:kern w:val="22"/>
          <w:szCs w:val="22"/>
          <w:lang w:eastAsia="x-none"/>
        </w:rPr>
        <w:t>21</w:t>
      </w:r>
      <w:r w:rsidR="002670C6" w:rsidRPr="00044510">
        <w:rPr>
          <w:rFonts w:eastAsia="Malgun Gothic"/>
          <w:kern w:val="22"/>
          <w:szCs w:val="22"/>
          <w:lang w:eastAsia="x-none"/>
        </w:rPr>
        <w:t xml:space="preserve"> </w:t>
      </w:r>
      <w:r w:rsidR="008277A4">
        <w:rPr>
          <w:rFonts w:eastAsia="Malgun Gothic"/>
          <w:kern w:val="22"/>
          <w:szCs w:val="22"/>
          <w:lang w:eastAsia="x-none"/>
        </w:rPr>
        <w:t>t</w:t>
      </w:r>
      <w:r w:rsidR="002670C6" w:rsidRPr="000058F1">
        <w:rPr>
          <w:rFonts w:eastAsia="Malgun Gothic"/>
          <w:kern w:val="22"/>
          <w:szCs w:val="22"/>
          <w:lang w:eastAsia="x-none"/>
        </w:rPr>
        <w:t>argets</w:t>
      </w:r>
      <w:r w:rsidRPr="000058F1">
        <w:rPr>
          <w:rFonts w:eastAsia="Malgun Gothic"/>
          <w:kern w:val="22"/>
          <w:szCs w:val="22"/>
          <w:lang w:eastAsia="x-none"/>
        </w:rPr>
        <w:t xml:space="preserve">. On average, there are </w:t>
      </w:r>
      <w:r w:rsidR="008277A4">
        <w:rPr>
          <w:rFonts w:eastAsia="Malgun Gothic"/>
          <w:kern w:val="22"/>
          <w:szCs w:val="22"/>
          <w:lang w:eastAsia="x-none"/>
        </w:rPr>
        <w:t>two or three</w:t>
      </w:r>
      <w:r w:rsidRPr="000058F1">
        <w:rPr>
          <w:rFonts w:eastAsia="Malgun Gothic"/>
          <w:kern w:val="22"/>
          <w:szCs w:val="22"/>
          <w:lang w:eastAsia="x-none"/>
        </w:rPr>
        <w:t xml:space="preserve"> indicators per Goal and </w:t>
      </w:r>
      <w:r w:rsidR="008277A4">
        <w:rPr>
          <w:rFonts w:eastAsia="Malgun Gothic"/>
          <w:kern w:val="22"/>
          <w:szCs w:val="22"/>
          <w:lang w:eastAsia="x-none"/>
        </w:rPr>
        <w:t>one or two</w:t>
      </w:r>
      <w:r w:rsidRPr="000058F1">
        <w:rPr>
          <w:rFonts w:eastAsia="Malgun Gothic"/>
          <w:kern w:val="22"/>
          <w:szCs w:val="22"/>
          <w:lang w:eastAsia="x-none"/>
        </w:rPr>
        <w:t xml:space="preserve"> per </w:t>
      </w:r>
      <w:r w:rsidR="008277A4">
        <w:rPr>
          <w:rFonts w:eastAsia="Malgun Gothic"/>
          <w:kern w:val="22"/>
          <w:szCs w:val="22"/>
          <w:lang w:eastAsia="x-none"/>
        </w:rPr>
        <w:t>t</w:t>
      </w:r>
      <w:r w:rsidRPr="000058F1">
        <w:rPr>
          <w:rFonts w:eastAsia="Malgun Gothic"/>
          <w:kern w:val="22"/>
          <w:szCs w:val="22"/>
          <w:lang w:eastAsia="x-none"/>
        </w:rPr>
        <w:t>arget.</w:t>
      </w:r>
    </w:p>
    <w:p w14:paraId="7D92827C" w14:textId="49CEDDA6" w:rsidR="006605A7" w:rsidRPr="000058F1" w:rsidRDefault="00FD322C" w:rsidP="0065519D">
      <w:pPr>
        <w:numPr>
          <w:ilvl w:val="0"/>
          <w:numId w:val="2"/>
        </w:numPr>
        <w:tabs>
          <w:tab w:val="clear" w:pos="360"/>
        </w:tabs>
        <w:spacing w:before="120" w:after="120"/>
        <w:rPr>
          <w:rFonts w:eastAsia="Malgun Gothic"/>
          <w:kern w:val="22"/>
          <w:szCs w:val="22"/>
          <w:lang w:eastAsia="x-none"/>
        </w:rPr>
      </w:pPr>
      <w:r w:rsidRPr="000058F1">
        <w:rPr>
          <w:kern w:val="22"/>
          <w:szCs w:val="22"/>
        </w:rPr>
        <w:t xml:space="preserve">To facilitate the use of </w:t>
      </w:r>
      <w:r w:rsidR="002670C6" w:rsidRPr="000058F1">
        <w:rPr>
          <w:kern w:val="22"/>
          <w:szCs w:val="22"/>
        </w:rPr>
        <w:t>H</w:t>
      </w:r>
      <w:r w:rsidRPr="000058F1">
        <w:rPr>
          <w:kern w:val="22"/>
          <w:szCs w:val="22"/>
        </w:rPr>
        <w:t>eadline indicators</w:t>
      </w:r>
      <w:r w:rsidR="00E046E8" w:rsidRPr="000058F1">
        <w:rPr>
          <w:kern w:val="22"/>
          <w:szCs w:val="22"/>
        </w:rPr>
        <w:t xml:space="preserve"> </w:t>
      </w:r>
      <w:r w:rsidRPr="000058F1">
        <w:rPr>
          <w:kern w:val="22"/>
          <w:szCs w:val="22"/>
        </w:rPr>
        <w:t xml:space="preserve">at the national level, capacity-building activities and other support, including support for developing and accessing data and the further development of national monitoring systems, will be needed in many </w:t>
      </w:r>
      <w:r w:rsidR="00A561D0">
        <w:rPr>
          <w:kern w:val="22"/>
          <w:szCs w:val="22"/>
        </w:rPr>
        <w:t xml:space="preserve">developing </w:t>
      </w:r>
      <w:r w:rsidRPr="000058F1">
        <w:rPr>
          <w:kern w:val="22"/>
          <w:szCs w:val="22"/>
        </w:rPr>
        <w:t>countries</w:t>
      </w:r>
      <w:r w:rsidR="00DC15D9">
        <w:rPr>
          <w:kern w:val="22"/>
          <w:szCs w:val="22"/>
        </w:rPr>
        <w:t xml:space="preserve">, </w:t>
      </w:r>
      <w:r w:rsidR="00A561D0">
        <w:rPr>
          <w:kern w:val="22"/>
          <w:szCs w:val="22"/>
        </w:rPr>
        <w:t>in particular</w:t>
      </w:r>
      <w:r w:rsidR="00DC15D9">
        <w:rPr>
          <w:kern w:val="22"/>
          <w:szCs w:val="22"/>
        </w:rPr>
        <w:t xml:space="preserve"> </w:t>
      </w:r>
      <w:r w:rsidR="00A31510">
        <w:rPr>
          <w:kern w:val="22"/>
          <w:szCs w:val="22"/>
        </w:rPr>
        <w:t xml:space="preserve">least developed countries </w:t>
      </w:r>
      <w:r w:rsidR="00DC15D9">
        <w:rPr>
          <w:kern w:val="22"/>
          <w:szCs w:val="22"/>
        </w:rPr>
        <w:t xml:space="preserve">and </w:t>
      </w:r>
      <w:r w:rsidR="00A31510">
        <w:rPr>
          <w:kern w:val="22"/>
          <w:szCs w:val="22"/>
        </w:rPr>
        <w:t>small island developing States</w:t>
      </w:r>
      <w:r w:rsidR="00A561D0">
        <w:rPr>
          <w:kern w:val="22"/>
          <w:szCs w:val="22"/>
        </w:rPr>
        <w:t>, as well as countries with economies in transition</w:t>
      </w:r>
      <w:r w:rsidRPr="000058F1">
        <w:rPr>
          <w:kern w:val="22"/>
          <w:szCs w:val="22"/>
        </w:rPr>
        <w:t>.</w:t>
      </w:r>
      <w:r w:rsidR="00855008" w:rsidRPr="000058F1">
        <w:rPr>
          <w:kern w:val="22"/>
          <w:szCs w:val="22"/>
        </w:rPr>
        <w:t xml:space="preserve"> This support would need to be coordinated and aligned with existing support being provided under other existing initiatives, such as GEO</w:t>
      </w:r>
      <w:r w:rsidR="00A522BF">
        <w:rPr>
          <w:bCs/>
          <w:kern w:val="22"/>
          <w:szCs w:val="22"/>
        </w:rPr>
        <w:t>-</w:t>
      </w:r>
      <w:r w:rsidR="00855008" w:rsidRPr="00044510">
        <w:rPr>
          <w:kern w:val="22"/>
          <w:szCs w:val="22"/>
        </w:rPr>
        <w:t>BON</w:t>
      </w:r>
      <w:r w:rsidR="00855008" w:rsidRPr="000058F1">
        <w:rPr>
          <w:kern w:val="22"/>
          <w:szCs w:val="22"/>
        </w:rPr>
        <w:t xml:space="preserve">, the </w:t>
      </w:r>
      <w:r w:rsidR="00D80CCD">
        <w:rPr>
          <w:bCs/>
          <w:kern w:val="22"/>
          <w:szCs w:val="22"/>
        </w:rPr>
        <w:t>Sustainable Development Goals</w:t>
      </w:r>
      <w:r w:rsidR="00D80CCD" w:rsidRPr="00044510">
        <w:rPr>
          <w:kern w:val="22"/>
          <w:szCs w:val="22"/>
        </w:rPr>
        <w:t xml:space="preserve"> </w:t>
      </w:r>
      <w:r w:rsidR="00855008" w:rsidRPr="000058F1">
        <w:rPr>
          <w:kern w:val="22"/>
          <w:szCs w:val="22"/>
        </w:rPr>
        <w:t>or the System of Environment</w:t>
      </w:r>
      <w:r w:rsidR="00E70D54">
        <w:rPr>
          <w:bCs/>
          <w:kern w:val="22"/>
          <w:szCs w:val="22"/>
        </w:rPr>
        <w:t>al</w:t>
      </w:r>
      <w:r w:rsidR="00A522BF">
        <w:rPr>
          <w:bCs/>
          <w:kern w:val="22"/>
          <w:szCs w:val="22"/>
        </w:rPr>
        <w:t>-</w:t>
      </w:r>
      <w:r w:rsidR="00855008" w:rsidRPr="000058F1">
        <w:rPr>
          <w:kern w:val="22"/>
          <w:szCs w:val="22"/>
        </w:rPr>
        <w:t>Economic Accounting.</w:t>
      </w:r>
      <w:r w:rsidRPr="000058F1">
        <w:rPr>
          <w:kern w:val="22"/>
          <w:szCs w:val="22"/>
        </w:rPr>
        <w:t xml:space="preserve"> Parties may wish to consider this issue when developing the monitoring framework for the post-2020 global biodiversity framework.</w:t>
      </w:r>
    </w:p>
    <w:p w14:paraId="729A2652" w14:textId="650B4010" w:rsidR="009E540D" w:rsidRPr="000058F1" w:rsidRDefault="009E540D" w:rsidP="00333DC2">
      <w:pPr>
        <w:rPr>
          <w:rFonts w:eastAsia="Malgun Gothic"/>
        </w:rPr>
      </w:pPr>
    </w:p>
    <w:p w14:paraId="7E674A0D" w14:textId="4CA60B71" w:rsidR="001335EE" w:rsidRPr="000058F1" w:rsidRDefault="001335EE">
      <w:pPr>
        <w:jc w:val="left"/>
        <w:rPr>
          <w:rFonts w:eastAsia="MS Mincho"/>
          <w:i/>
          <w:snapToGrid w:val="0"/>
          <w:kern w:val="22"/>
          <w:szCs w:val="22"/>
        </w:rPr>
      </w:pPr>
      <w:bookmarkStart w:id="2" w:name="_Hlk52264373"/>
    </w:p>
    <w:p w14:paraId="18061D2B" w14:textId="77777777" w:rsidR="001335EE" w:rsidRPr="000058F1" w:rsidRDefault="001335EE" w:rsidP="00D45BE8">
      <w:pPr>
        <w:pStyle w:val="Para1"/>
        <w:numPr>
          <w:ilvl w:val="0"/>
          <w:numId w:val="0"/>
        </w:numPr>
        <w:suppressLineNumbers/>
        <w:suppressAutoHyphens/>
        <w:kinsoku w:val="0"/>
        <w:overflowPunct w:val="0"/>
        <w:autoSpaceDE w:val="0"/>
        <w:autoSpaceDN w:val="0"/>
        <w:adjustRightInd w:val="0"/>
        <w:snapToGrid w:val="0"/>
        <w:jc w:val="center"/>
        <w:rPr>
          <w:rFonts w:eastAsia="MS Mincho"/>
          <w:i/>
          <w:kern w:val="22"/>
          <w:szCs w:val="22"/>
        </w:rPr>
        <w:sectPr w:rsidR="001335EE" w:rsidRPr="000058F1" w:rsidSect="00333DC2">
          <w:pgSz w:w="12240" w:h="15840"/>
          <w:pgMar w:top="567" w:right="1389" w:bottom="1134" w:left="1389" w:header="709" w:footer="709" w:gutter="0"/>
          <w:cols w:space="708"/>
          <w:docGrid w:linePitch="360"/>
        </w:sectPr>
      </w:pPr>
    </w:p>
    <w:p w14:paraId="45863AD7" w14:textId="5CE6A99F" w:rsidR="00794BCD" w:rsidRPr="000058F1" w:rsidRDefault="00794BCD" w:rsidP="00D45BE8">
      <w:pPr>
        <w:pStyle w:val="Para1"/>
        <w:numPr>
          <w:ilvl w:val="0"/>
          <w:numId w:val="0"/>
        </w:numPr>
        <w:suppressLineNumbers/>
        <w:suppressAutoHyphens/>
        <w:kinsoku w:val="0"/>
        <w:overflowPunct w:val="0"/>
        <w:autoSpaceDE w:val="0"/>
        <w:autoSpaceDN w:val="0"/>
        <w:adjustRightInd w:val="0"/>
        <w:snapToGrid w:val="0"/>
        <w:jc w:val="center"/>
        <w:rPr>
          <w:rFonts w:eastAsia="MS Mincho"/>
          <w:i/>
          <w:kern w:val="22"/>
          <w:szCs w:val="22"/>
        </w:rPr>
      </w:pPr>
      <w:r w:rsidRPr="00044510">
        <w:rPr>
          <w:rFonts w:eastAsia="MS Mincho"/>
          <w:i/>
          <w:kern w:val="22"/>
          <w:szCs w:val="22"/>
        </w:rPr>
        <w:lastRenderedPageBreak/>
        <w:t>Annex</w:t>
      </w:r>
    </w:p>
    <w:p w14:paraId="12D3DC24" w14:textId="7FE6BFC1" w:rsidR="001335EE" w:rsidRPr="000058F1" w:rsidRDefault="00794BCD" w:rsidP="00444C31">
      <w:pPr>
        <w:pStyle w:val="Para1"/>
        <w:numPr>
          <w:ilvl w:val="0"/>
          <w:numId w:val="0"/>
        </w:numPr>
        <w:suppressLineNumbers/>
        <w:suppressAutoHyphens/>
        <w:kinsoku w:val="0"/>
        <w:overflowPunct w:val="0"/>
        <w:autoSpaceDE w:val="0"/>
        <w:autoSpaceDN w:val="0"/>
        <w:adjustRightInd w:val="0"/>
        <w:snapToGrid w:val="0"/>
        <w:jc w:val="center"/>
        <w:rPr>
          <w:rFonts w:eastAsia="MS Mincho"/>
          <w:b/>
          <w:caps/>
          <w:kern w:val="22"/>
          <w:szCs w:val="22"/>
        </w:rPr>
      </w:pPr>
      <w:r w:rsidRPr="000058F1">
        <w:rPr>
          <w:rFonts w:eastAsia="MS Mincho"/>
          <w:b/>
          <w:caps/>
          <w:kern w:val="22"/>
          <w:szCs w:val="22"/>
        </w:rPr>
        <w:t xml:space="preserve">Proposed headline indicators </w:t>
      </w:r>
      <w:r w:rsidR="0065519D" w:rsidRPr="000058F1">
        <w:rPr>
          <w:rFonts w:eastAsia="MS Mincho"/>
          <w:b/>
          <w:caps/>
          <w:kern w:val="22"/>
          <w:szCs w:val="22"/>
        </w:rPr>
        <w:t>for</w:t>
      </w:r>
      <w:r w:rsidRPr="000058F1">
        <w:rPr>
          <w:rFonts w:eastAsia="MS Mincho"/>
          <w:b/>
          <w:caps/>
          <w:kern w:val="22"/>
          <w:szCs w:val="22"/>
        </w:rPr>
        <w:t xml:space="preserve"> the post-2020 global biodiversity framework</w:t>
      </w:r>
      <w:bookmarkEnd w:id="2"/>
    </w:p>
    <w:p w14:paraId="6281BFCF" w14:textId="7EFC7F04" w:rsidR="0065519D" w:rsidRPr="00444C31" w:rsidRDefault="001335EE" w:rsidP="00444C31">
      <w:pPr>
        <w:spacing w:after="120"/>
        <w:rPr>
          <w:i/>
          <w:snapToGrid w:val="0"/>
          <w:color w:val="000000"/>
          <w:kern w:val="22"/>
          <w:szCs w:val="22"/>
          <w:lang w:eastAsia="en-CA"/>
        </w:rPr>
      </w:pPr>
      <w:r w:rsidRPr="00874A36">
        <w:rPr>
          <w:kern w:val="22"/>
          <w:szCs w:val="22"/>
        </w:rPr>
        <w:t xml:space="preserve">In the table below, for each of the proposed goals and targets in the first draft of the post-2020 global biodiversity framework, possible headline indicators have been identified on </w:t>
      </w:r>
      <w:r w:rsidR="00116DB0">
        <w:rPr>
          <w:bCs/>
          <w:kern w:val="22"/>
          <w:szCs w:val="22"/>
        </w:rPr>
        <w:t>the basis of</w:t>
      </w:r>
      <w:r w:rsidRPr="00DF09A3">
        <w:rPr>
          <w:kern w:val="22"/>
          <w:szCs w:val="22"/>
        </w:rPr>
        <w:t xml:space="preserve"> </w:t>
      </w:r>
      <w:r w:rsidRPr="00044510">
        <w:rPr>
          <w:kern w:val="22"/>
          <w:szCs w:val="22"/>
        </w:rPr>
        <w:t>the criteria and considerations set out above.</w:t>
      </w:r>
      <w:r w:rsidR="00453478" w:rsidRPr="00874A36">
        <w:rPr>
          <w:kern w:val="22"/>
          <w:szCs w:val="22"/>
        </w:rPr>
        <w:t xml:space="preserve"> Additional supporting technical information is also provided in the table to facilitate consideration of this issue by the Working Group.</w:t>
      </w:r>
    </w:p>
    <w:tbl>
      <w:tblPr>
        <w:tblW w:w="14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2430"/>
        <w:gridCol w:w="1620"/>
        <w:gridCol w:w="1350"/>
        <w:gridCol w:w="3240"/>
        <w:gridCol w:w="1894"/>
      </w:tblGrid>
      <w:tr w:rsidR="0065519D" w:rsidRPr="000058F1" w14:paraId="7AC5DF54" w14:textId="77777777" w:rsidTr="00444C31">
        <w:trPr>
          <w:tblHeader/>
          <w:jc w:val="center"/>
        </w:trPr>
        <w:tc>
          <w:tcPr>
            <w:tcW w:w="3595" w:type="dxa"/>
            <w:shd w:val="clear" w:color="000000" w:fill="auto"/>
            <w:noWrap/>
            <w:vAlign w:val="center"/>
            <w:hideMark/>
          </w:tcPr>
          <w:p w14:paraId="26A86302" w14:textId="77777777" w:rsidR="0065519D" w:rsidRPr="00044510" w:rsidRDefault="0065519D" w:rsidP="00C97201">
            <w:pPr>
              <w:suppressLineNumbers/>
              <w:suppressAutoHyphens/>
              <w:kinsoku w:val="0"/>
              <w:overflowPunct w:val="0"/>
              <w:autoSpaceDE w:val="0"/>
              <w:autoSpaceDN w:val="0"/>
              <w:adjustRightInd w:val="0"/>
              <w:snapToGrid w:val="0"/>
              <w:jc w:val="center"/>
              <w:rPr>
                <w:i/>
                <w:snapToGrid w:val="0"/>
                <w:color w:val="000000"/>
                <w:kern w:val="22"/>
                <w:szCs w:val="22"/>
                <w:lang w:eastAsia="en-CA"/>
              </w:rPr>
            </w:pPr>
            <w:bookmarkStart w:id="3" w:name="_Hlk76627132"/>
            <w:r w:rsidRPr="00044510">
              <w:rPr>
                <w:i/>
                <w:snapToGrid w:val="0"/>
                <w:color w:val="000000"/>
                <w:kern w:val="22"/>
                <w:szCs w:val="22"/>
                <w:lang w:eastAsia="en-CA"/>
              </w:rPr>
              <w:t>Proposed goal or target</w:t>
            </w:r>
          </w:p>
        </w:tc>
        <w:tc>
          <w:tcPr>
            <w:tcW w:w="2430" w:type="dxa"/>
            <w:shd w:val="clear" w:color="000000" w:fill="auto"/>
            <w:noWrap/>
            <w:vAlign w:val="center"/>
            <w:hideMark/>
          </w:tcPr>
          <w:p w14:paraId="24EB1267" w14:textId="77777777" w:rsidR="0065519D" w:rsidRPr="00044510" w:rsidRDefault="0065519D" w:rsidP="00C97201">
            <w:pPr>
              <w:suppressLineNumbers/>
              <w:suppressAutoHyphens/>
              <w:kinsoku w:val="0"/>
              <w:overflowPunct w:val="0"/>
              <w:autoSpaceDE w:val="0"/>
              <w:autoSpaceDN w:val="0"/>
              <w:adjustRightInd w:val="0"/>
              <w:snapToGrid w:val="0"/>
              <w:jc w:val="center"/>
              <w:rPr>
                <w:i/>
                <w:snapToGrid w:val="0"/>
                <w:color w:val="000000"/>
                <w:kern w:val="22"/>
                <w:szCs w:val="22"/>
                <w:lang w:eastAsia="en-CA"/>
              </w:rPr>
            </w:pPr>
            <w:r w:rsidRPr="00044510">
              <w:rPr>
                <w:i/>
                <w:snapToGrid w:val="0"/>
                <w:color w:val="000000"/>
                <w:kern w:val="22"/>
                <w:szCs w:val="22"/>
                <w:lang w:eastAsia="en-CA"/>
              </w:rPr>
              <w:t>Proposed indicators</w:t>
            </w:r>
            <w:r w:rsidRPr="00044510">
              <w:rPr>
                <w:rStyle w:val="FootnoteReference"/>
                <w:i/>
                <w:snapToGrid w:val="0"/>
                <w:color w:val="000000"/>
                <w:kern w:val="22"/>
                <w:szCs w:val="22"/>
                <w:lang w:eastAsia="en-CA"/>
              </w:rPr>
              <w:footnoteReference w:id="8"/>
            </w:r>
          </w:p>
        </w:tc>
        <w:tc>
          <w:tcPr>
            <w:tcW w:w="1620" w:type="dxa"/>
            <w:shd w:val="clear" w:color="000000" w:fill="auto"/>
            <w:noWrap/>
            <w:vAlign w:val="center"/>
            <w:hideMark/>
          </w:tcPr>
          <w:p w14:paraId="692DC89D" w14:textId="77777777" w:rsidR="0065519D" w:rsidRPr="000058F1" w:rsidRDefault="0065519D" w:rsidP="00C97201">
            <w:pPr>
              <w:suppressLineNumbers/>
              <w:suppressAutoHyphens/>
              <w:kinsoku w:val="0"/>
              <w:overflowPunct w:val="0"/>
              <w:autoSpaceDE w:val="0"/>
              <w:autoSpaceDN w:val="0"/>
              <w:adjustRightInd w:val="0"/>
              <w:snapToGrid w:val="0"/>
              <w:jc w:val="center"/>
              <w:rPr>
                <w:i/>
                <w:snapToGrid w:val="0"/>
                <w:color w:val="000000"/>
                <w:kern w:val="22"/>
                <w:szCs w:val="22"/>
                <w:lang w:eastAsia="en-CA"/>
              </w:rPr>
            </w:pPr>
            <w:r w:rsidRPr="000058F1">
              <w:rPr>
                <w:i/>
                <w:snapToGrid w:val="0"/>
                <w:color w:val="000000"/>
                <w:kern w:val="22"/>
                <w:szCs w:val="22"/>
                <w:lang w:eastAsia="en-CA"/>
              </w:rPr>
              <w:t xml:space="preserve">Proposed </w:t>
            </w:r>
            <w:r w:rsidRPr="00444C31">
              <w:rPr>
                <w:i/>
                <w:snapToGrid w:val="0"/>
                <w:color w:val="000000"/>
                <w:kern w:val="22"/>
                <w:szCs w:val="22"/>
                <w:lang w:eastAsia="en-CA"/>
              </w:rPr>
              <w:t>disaggregation</w:t>
            </w:r>
          </w:p>
        </w:tc>
        <w:tc>
          <w:tcPr>
            <w:tcW w:w="1350" w:type="dxa"/>
            <w:shd w:val="clear" w:color="000000" w:fill="auto"/>
            <w:noWrap/>
            <w:vAlign w:val="center"/>
            <w:hideMark/>
          </w:tcPr>
          <w:p w14:paraId="1C762F04" w14:textId="37A1BA7C" w:rsidR="0065519D" w:rsidRPr="000058F1" w:rsidRDefault="0065519D" w:rsidP="00C97201">
            <w:pPr>
              <w:suppressLineNumbers/>
              <w:suppressAutoHyphens/>
              <w:kinsoku w:val="0"/>
              <w:overflowPunct w:val="0"/>
              <w:autoSpaceDE w:val="0"/>
              <w:autoSpaceDN w:val="0"/>
              <w:adjustRightInd w:val="0"/>
              <w:snapToGrid w:val="0"/>
              <w:jc w:val="center"/>
              <w:rPr>
                <w:i/>
                <w:snapToGrid w:val="0"/>
                <w:color w:val="000000"/>
                <w:kern w:val="22"/>
                <w:szCs w:val="22"/>
                <w:lang w:eastAsia="en-CA"/>
              </w:rPr>
            </w:pPr>
            <w:r w:rsidRPr="000058F1">
              <w:rPr>
                <w:i/>
                <w:snapToGrid w:val="0"/>
                <w:color w:val="000000"/>
                <w:kern w:val="22"/>
                <w:szCs w:val="22"/>
                <w:lang w:eastAsia="en-CA"/>
              </w:rPr>
              <w:t xml:space="preserve">Existing </w:t>
            </w:r>
            <w:r w:rsidR="003A461C" w:rsidRPr="000058F1">
              <w:rPr>
                <w:i/>
                <w:snapToGrid w:val="0"/>
                <w:color w:val="000000"/>
                <w:kern w:val="22"/>
                <w:szCs w:val="22"/>
                <w:lang w:eastAsia="en-CA"/>
              </w:rPr>
              <w:t>n</w:t>
            </w:r>
            <w:r w:rsidRPr="000058F1">
              <w:rPr>
                <w:i/>
                <w:snapToGrid w:val="0"/>
                <w:color w:val="000000"/>
                <w:kern w:val="22"/>
                <w:szCs w:val="22"/>
                <w:lang w:eastAsia="en-CA"/>
              </w:rPr>
              <w:t>ational reporting/ validation process</w:t>
            </w:r>
          </w:p>
        </w:tc>
        <w:tc>
          <w:tcPr>
            <w:tcW w:w="3240" w:type="dxa"/>
            <w:shd w:val="clear" w:color="000000" w:fill="auto"/>
            <w:vAlign w:val="center"/>
          </w:tcPr>
          <w:p w14:paraId="7CF66937" w14:textId="77777777" w:rsidR="0065519D" w:rsidRPr="000058F1" w:rsidRDefault="0065519D" w:rsidP="00C97201">
            <w:pPr>
              <w:suppressLineNumbers/>
              <w:suppressAutoHyphens/>
              <w:kinsoku w:val="0"/>
              <w:overflowPunct w:val="0"/>
              <w:autoSpaceDE w:val="0"/>
              <w:autoSpaceDN w:val="0"/>
              <w:adjustRightInd w:val="0"/>
              <w:snapToGrid w:val="0"/>
              <w:jc w:val="center"/>
              <w:rPr>
                <w:i/>
                <w:snapToGrid w:val="0"/>
                <w:color w:val="000000"/>
                <w:kern w:val="22"/>
                <w:szCs w:val="22"/>
                <w:lang w:eastAsia="en-CA"/>
              </w:rPr>
            </w:pPr>
            <w:r w:rsidRPr="000058F1">
              <w:rPr>
                <w:i/>
                <w:snapToGrid w:val="0"/>
                <w:color w:val="000000"/>
                <w:kern w:val="22"/>
                <w:szCs w:val="22"/>
                <w:lang w:eastAsia="en-CA"/>
              </w:rPr>
              <w:t xml:space="preserve">Methodological basis </w:t>
            </w:r>
          </w:p>
        </w:tc>
        <w:tc>
          <w:tcPr>
            <w:tcW w:w="1894" w:type="dxa"/>
            <w:shd w:val="clear" w:color="000000" w:fill="auto"/>
            <w:vAlign w:val="center"/>
          </w:tcPr>
          <w:p w14:paraId="142F6F19" w14:textId="77777777" w:rsidR="0065519D" w:rsidRPr="00044510" w:rsidRDefault="0065519D" w:rsidP="00C97201">
            <w:pPr>
              <w:suppressLineNumbers/>
              <w:suppressAutoHyphens/>
              <w:kinsoku w:val="0"/>
              <w:overflowPunct w:val="0"/>
              <w:autoSpaceDE w:val="0"/>
              <w:autoSpaceDN w:val="0"/>
              <w:adjustRightInd w:val="0"/>
              <w:snapToGrid w:val="0"/>
              <w:jc w:val="center"/>
              <w:rPr>
                <w:i/>
                <w:snapToGrid w:val="0"/>
                <w:color w:val="000000"/>
                <w:kern w:val="22"/>
                <w:szCs w:val="22"/>
                <w:lang w:eastAsia="en-CA"/>
              </w:rPr>
            </w:pPr>
            <w:r w:rsidRPr="000058F1">
              <w:rPr>
                <w:i/>
                <w:snapToGrid w:val="0"/>
                <w:color w:val="000000"/>
                <w:kern w:val="22"/>
                <w:szCs w:val="22"/>
                <w:lang w:eastAsia="en-CA"/>
              </w:rPr>
              <w:t>Global data set for national disaggregation</w:t>
            </w:r>
            <w:r w:rsidRPr="00044510">
              <w:rPr>
                <w:rStyle w:val="FootnoteReference"/>
                <w:i/>
                <w:snapToGrid w:val="0"/>
                <w:color w:val="000000"/>
                <w:kern w:val="22"/>
                <w:szCs w:val="22"/>
                <w:lang w:eastAsia="en-CA"/>
              </w:rPr>
              <w:footnoteReference w:id="9"/>
            </w:r>
          </w:p>
        </w:tc>
      </w:tr>
      <w:tr w:rsidR="0065519D" w:rsidRPr="000058F1" w14:paraId="7841EC1B" w14:textId="77777777" w:rsidTr="00C97201">
        <w:trPr>
          <w:trHeight w:val="2831"/>
          <w:jc w:val="center"/>
        </w:trPr>
        <w:tc>
          <w:tcPr>
            <w:tcW w:w="3595" w:type="dxa"/>
            <w:vMerge w:val="restart"/>
            <w:shd w:val="clear" w:color="auto" w:fill="auto"/>
            <w:hideMark/>
          </w:tcPr>
          <w:p w14:paraId="1D4687B1" w14:textId="2318E8C9" w:rsidR="0065519D" w:rsidRPr="00044510" w:rsidRDefault="0065519D" w:rsidP="00444C31">
            <w:pPr>
              <w:pStyle w:val="Para1"/>
              <w:numPr>
                <w:ilvl w:val="0"/>
                <w:numId w:val="0"/>
              </w:numPr>
              <w:suppressLineNumbers/>
              <w:suppressAutoHyphens/>
              <w:spacing w:before="0" w:after="0"/>
              <w:jc w:val="left"/>
              <w:rPr>
                <w:i/>
                <w:color w:val="000000"/>
                <w:kern w:val="22"/>
                <w:szCs w:val="22"/>
                <w:lang w:eastAsia="en-CA"/>
              </w:rPr>
            </w:pPr>
            <w:r w:rsidRPr="00317092">
              <w:rPr>
                <w:b/>
                <w:color w:val="000000"/>
                <w:kern w:val="22"/>
                <w:szCs w:val="22"/>
                <w:lang w:eastAsia="en-CA"/>
              </w:rPr>
              <w:t>Goal A.</w:t>
            </w:r>
            <w:r w:rsidRPr="00317092">
              <w:rPr>
                <w:color w:val="000000"/>
                <w:kern w:val="22"/>
                <w:szCs w:val="22"/>
                <w:lang w:eastAsia="en-CA"/>
              </w:rPr>
              <w:t xml:space="preserve"> </w:t>
            </w:r>
            <w:r w:rsidRPr="00444C31">
              <w:rPr>
                <w:rFonts w:cstheme="minorHAnsi"/>
              </w:rPr>
              <w:t xml:space="preserve">The integrity of all ecosystems is enhanced, with an increase of at least 15% in the area, connectivity and integrity of natural ecosystems, supporting healthy and resilient populations of all species, the rate of extinctions has been reduced at least tenfold, and the risk of species extinctions across all taxonomic and functional groups, is halved, and genetic diversity of </w:t>
            </w:r>
            <w:r w:rsidRPr="00044510">
              <w:rPr>
                <w:kern w:val="22"/>
                <w:szCs w:val="22"/>
              </w:rPr>
              <w:t xml:space="preserve">wild and domesticated species </w:t>
            </w:r>
            <w:r w:rsidRPr="00444C31">
              <w:rPr>
                <w:rFonts w:cstheme="minorHAnsi"/>
              </w:rPr>
              <w:t>is safeguarded, with at least 90% of genetic diversity within all species maintained.</w:t>
            </w:r>
          </w:p>
        </w:tc>
        <w:tc>
          <w:tcPr>
            <w:tcW w:w="2430" w:type="dxa"/>
            <w:shd w:val="clear" w:color="auto" w:fill="auto"/>
            <w:hideMark/>
          </w:tcPr>
          <w:p w14:paraId="35D054E3" w14:textId="201A114F"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t xml:space="preserve">A.0.1 Extent of selected natural and </w:t>
            </w:r>
            <w:r w:rsidR="00DC15D9">
              <w:rPr>
                <w:snapToGrid w:val="0"/>
                <w:color w:val="000000"/>
                <w:kern w:val="22"/>
                <w:szCs w:val="22"/>
                <w:lang w:eastAsia="en-CA"/>
              </w:rPr>
              <w:t>modified</w:t>
            </w:r>
            <w:r w:rsidRPr="000058F1">
              <w:rPr>
                <w:snapToGrid w:val="0"/>
                <w:color w:val="000000"/>
                <w:kern w:val="22"/>
                <w:szCs w:val="22"/>
                <w:lang w:eastAsia="en-CA"/>
              </w:rPr>
              <w:t xml:space="preserve"> ecosystems (i.e. forest, savannahs and grasslands, wetlands, mangroves, saltmarshes, coral reef, seagrass, macroalgae and intertidal habitats)</w:t>
            </w:r>
          </w:p>
        </w:tc>
        <w:tc>
          <w:tcPr>
            <w:tcW w:w="1620" w:type="dxa"/>
            <w:shd w:val="clear" w:color="auto" w:fill="auto"/>
            <w:hideMark/>
          </w:tcPr>
          <w:p w14:paraId="14555C2A" w14:textId="0DA726A3"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t>By terrestrial and marine ecosystem types</w:t>
            </w:r>
          </w:p>
          <w:p w14:paraId="62166714" w14:textId="081BB8EF"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t>By mountains</w:t>
            </w:r>
          </w:p>
        </w:tc>
        <w:tc>
          <w:tcPr>
            <w:tcW w:w="1350" w:type="dxa"/>
            <w:shd w:val="clear" w:color="auto" w:fill="auto"/>
            <w:hideMark/>
          </w:tcPr>
          <w:p w14:paraId="107D6680"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p>
        </w:tc>
        <w:tc>
          <w:tcPr>
            <w:tcW w:w="3240" w:type="dxa"/>
          </w:tcPr>
          <w:p w14:paraId="35D1F61F" w14:textId="3A2A8343"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t>UN System of Environmental</w:t>
            </w:r>
            <w:r w:rsidR="00DC70BE">
              <w:rPr>
                <w:snapToGrid w:val="0"/>
                <w:color w:val="000000"/>
                <w:kern w:val="22"/>
                <w:szCs w:val="22"/>
                <w:lang w:eastAsia="en-CA"/>
              </w:rPr>
              <w:t>-</w:t>
            </w:r>
            <w:r w:rsidRPr="000058F1">
              <w:rPr>
                <w:snapToGrid w:val="0"/>
                <w:color w:val="000000"/>
                <w:kern w:val="22"/>
                <w:szCs w:val="22"/>
                <w:lang w:eastAsia="en-CA"/>
              </w:rPr>
              <w:t xml:space="preserve">Economic Accounting (SEEA): </w:t>
            </w:r>
            <w:hyperlink r:id="rId20" w:history="1">
              <w:r w:rsidRPr="000058F1">
                <w:rPr>
                  <w:rStyle w:val="Hyperlink"/>
                  <w:snapToGrid w:val="0"/>
                  <w:kern w:val="22"/>
                  <w:sz w:val="22"/>
                  <w:szCs w:val="22"/>
                  <w:lang w:eastAsia="en-CA"/>
                </w:rPr>
                <w:t>https://seea.un.org/ecosystem-accounting</w:t>
              </w:r>
            </w:hyperlink>
            <w:r w:rsidRPr="00044510">
              <w:rPr>
                <w:snapToGrid w:val="0"/>
                <w:color w:val="000000"/>
                <w:kern w:val="22"/>
                <w:szCs w:val="22"/>
                <w:lang w:eastAsia="en-CA"/>
              </w:rPr>
              <w:t xml:space="preserve"> </w:t>
            </w:r>
          </w:p>
          <w:p w14:paraId="52DBD0E3" w14:textId="7E553B73"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t>Ecosystem types based on IUCN categories</w:t>
            </w:r>
          </w:p>
        </w:tc>
        <w:tc>
          <w:tcPr>
            <w:tcW w:w="1894" w:type="dxa"/>
          </w:tcPr>
          <w:p w14:paraId="55E97532"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t>Near ready**</w:t>
            </w:r>
          </w:p>
        </w:tc>
      </w:tr>
      <w:bookmarkEnd w:id="3"/>
      <w:tr w:rsidR="0065519D" w:rsidRPr="000058F1" w14:paraId="3FD1CBDC" w14:textId="77777777" w:rsidTr="00C97201">
        <w:trPr>
          <w:trHeight w:val="360"/>
          <w:jc w:val="center"/>
        </w:trPr>
        <w:tc>
          <w:tcPr>
            <w:tcW w:w="3595" w:type="dxa"/>
            <w:vMerge/>
          </w:tcPr>
          <w:p w14:paraId="140BCC0F"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p>
        </w:tc>
        <w:tc>
          <w:tcPr>
            <w:tcW w:w="2430" w:type="dxa"/>
            <w:shd w:val="clear" w:color="auto" w:fill="auto"/>
          </w:tcPr>
          <w:p w14:paraId="23A025DB" w14:textId="77777777" w:rsidR="0065519D" w:rsidRPr="00444C3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444C31">
              <w:rPr>
                <w:snapToGrid w:val="0"/>
                <w:color w:val="000000"/>
                <w:kern w:val="22"/>
                <w:szCs w:val="22"/>
                <w:lang w:eastAsia="en-CA"/>
              </w:rPr>
              <w:t>A.0.2 Species Habitat Index</w:t>
            </w:r>
          </w:p>
        </w:tc>
        <w:tc>
          <w:tcPr>
            <w:tcW w:w="1620" w:type="dxa"/>
            <w:shd w:val="clear" w:color="auto" w:fill="auto"/>
          </w:tcPr>
          <w:p w14:paraId="51D90432" w14:textId="77777777" w:rsidR="0065519D" w:rsidRPr="00444C3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44510">
              <w:rPr>
                <w:snapToGrid w:val="0"/>
                <w:color w:val="000000"/>
                <w:kern w:val="22"/>
                <w:szCs w:val="22"/>
                <w:lang w:eastAsia="en-CA"/>
              </w:rPr>
              <w:t>By species group</w:t>
            </w:r>
          </w:p>
        </w:tc>
        <w:tc>
          <w:tcPr>
            <w:tcW w:w="1350" w:type="dxa"/>
            <w:shd w:val="clear" w:color="auto" w:fill="auto"/>
          </w:tcPr>
          <w:p w14:paraId="0D82D081" w14:textId="77777777" w:rsidR="0065519D" w:rsidRPr="00444C3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p>
        </w:tc>
        <w:tc>
          <w:tcPr>
            <w:tcW w:w="3240" w:type="dxa"/>
          </w:tcPr>
          <w:p w14:paraId="6E858C46" w14:textId="33732BF9" w:rsidR="0065519D" w:rsidRPr="00444C3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44510">
              <w:rPr>
                <w:snapToGrid w:val="0"/>
                <w:color w:val="000000"/>
                <w:kern w:val="22"/>
                <w:szCs w:val="22"/>
                <w:lang w:eastAsia="en-CA"/>
              </w:rPr>
              <w:t xml:space="preserve">GEOBON: </w:t>
            </w:r>
            <w:hyperlink r:id="rId21" w:history="1">
              <w:r w:rsidRPr="000058F1">
                <w:rPr>
                  <w:rStyle w:val="Hyperlink"/>
                  <w:snapToGrid w:val="0"/>
                  <w:kern w:val="22"/>
                  <w:sz w:val="22"/>
                  <w:szCs w:val="22"/>
                  <w:lang w:eastAsia="en-CA"/>
                </w:rPr>
                <w:t>https://geobon.org/ebvs/indicators/</w:t>
              </w:r>
            </w:hyperlink>
            <w:r w:rsidRPr="00044510">
              <w:rPr>
                <w:snapToGrid w:val="0"/>
                <w:color w:val="000000"/>
                <w:kern w:val="22"/>
                <w:szCs w:val="22"/>
                <w:lang w:eastAsia="en-CA"/>
              </w:rPr>
              <w:t xml:space="preserve">  (Measures </w:t>
            </w:r>
            <w:r w:rsidRPr="000058F1">
              <w:rPr>
                <w:snapToGrid w:val="0"/>
                <w:color w:val="000000"/>
                <w:kern w:val="22"/>
                <w:szCs w:val="22"/>
                <w:lang w:eastAsia="en-CA"/>
              </w:rPr>
              <w:t>connectivity and integrity of habitats)</w:t>
            </w:r>
          </w:p>
        </w:tc>
        <w:tc>
          <w:tcPr>
            <w:tcW w:w="1894" w:type="dxa"/>
          </w:tcPr>
          <w:p w14:paraId="1463481A" w14:textId="77777777" w:rsidR="0065519D" w:rsidRPr="00444C3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44510">
              <w:rPr>
                <w:snapToGrid w:val="0"/>
                <w:color w:val="000000"/>
                <w:kern w:val="22"/>
                <w:szCs w:val="22"/>
                <w:lang w:eastAsia="en-CA"/>
              </w:rPr>
              <w:t>Existing, 2001 to present**</w:t>
            </w:r>
          </w:p>
        </w:tc>
      </w:tr>
      <w:tr w:rsidR="0065519D" w:rsidRPr="000058F1" w14:paraId="683F4AE8" w14:textId="77777777" w:rsidTr="00C97201">
        <w:trPr>
          <w:trHeight w:val="360"/>
          <w:jc w:val="center"/>
        </w:trPr>
        <w:tc>
          <w:tcPr>
            <w:tcW w:w="3595" w:type="dxa"/>
            <w:vMerge/>
            <w:hideMark/>
          </w:tcPr>
          <w:p w14:paraId="6E869C86" w14:textId="77777777" w:rsidR="0065519D" w:rsidRPr="00444C3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p>
        </w:tc>
        <w:tc>
          <w:tcPr>
            <w:tcW w:w="2430" w:type="dxa"/>
            <w:shd w:val="clear" w:color="auto" w:fill="auto"/>
          </w:tcPr>
          <w:p w14:paraId="3D2FA635" w14:textId="638AEFFA"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44510">
              <w:rPr>
                <w:snapToGrid w:val="0"/>
                <w:color w:val="000000"/>
                <w:kern w:val="22"/>
                <w:szCs w:val="22"/>
                <w:lang w:eastAsia="en-CA"/>
              </w:rPr>
              <w:t>A.0.3</w:t>
            </w:r>
            <w:r w:rsidRPr="000058F1">
              <w:rPr>
                <w:snapToGrid w:val="0"/>
                <w:color w:val="000000"/>
                <w:kern w:val="22"/>
                <w:szCs w:val="22"/>
                <w:lang w:eastAsia="en-CA"/>
              </w:rPr>
              <w:t xml:space="preserve"> Red list index</w:t>
            </w:r>
          </w:p>
        </w:tc>
        <w:tc>
          <w:tcPr>
            <w:tcW w:w="1620" w:type="dxa"/>
            <w:shd w:val="clear" w:color="auto" w:fill="auto"/>
          </w:tcPr>
          <w:p w14:paraId="68081DE3"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t>By species group</w:t>
            </w:r>
          </w:p>
        </w:tc>
        <w:tc>
          <w:tcPr>
            <w:tcW w:w="1350" w:type="dxa"/>
            <w:shd w:val="clear" w:color="auto" w:fill="auto"/>
          </w:tcPr>
          <w:p w14:paraId="1A6F771E"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t>SDG (15.5.1)</w:t>
            </w:r>
          </w:p>
        </w:tc>
        <w:tc>
          <w:tcPr>
            <w:tcW w:w="3240" w:type="dxa"/>
          </w:tcPr>
          <w:p w14:paraId="413971B8" w14:textId="6DF02ED7" w:rsidR="0065519D" w:rsidRPr="00444C3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444C31">
              <w:rPr>
                <w:snapToGrid w:val="0"/>
                <w:color w:val="000000"/>
                <w:kern w:val="22"/>
                <w:szCs w:val="22"/>
                <w:lang w:eastAsia="en-CA"/>
              </w:rPr>
              <w:t xml:space="preserve">SDG: IUCN: </w:t>
            </w:r>
            <w:hyperlink r:id="rId22" w:history="1">
              <w:r w:rsidRPr="00444C31">
                <w:rPr>
                  <w:rStyle w:val="Hyperlink"/>
                  <w:snapToGrid w:val="0"/>
                  <w:kern w:val="22"/>
                  <w:sz w:val="22"/>
                  <w:szCs w:val="22"/>
                  <w:lang w:eastAsia="en-CA"/>
                </w:rPr>
                <w:t>https://www.iucnredlist.org/</w:t>
              </w:r>
            </w:hyperlink>
          </w:p>
        </w:tc>
        <w:tc>
          <w:tcPr>
            <w:tcW w:w="1894" w:type="dxa"/>
          </w:tcPr>
          <w:p w14:paraId="53CC860C" w14:textId="77777777" w:rsidR="0065519D" w:rsidRPr="00444C3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444C31">
              <w:rPr>
                <w:snapToGrid w:val="0"/>
                <w:color w:val="000000"/>
                <w:kern w:val="22"/>
                <w:szCs w:val="22"/>
                <w:lang w:eastAsia="en-CA"/>
              </w:rPr>
              <w:t>Existing, data from 1996 to present</w:t>
            </w:r>
          </w:p>
        </w:tc>
      </w:tr>
      <w:tr w:rsidR="0065519D" w:rsidRPr="000058F1" w14:paraId="5B061033" w14:textId="77777777" w:rsidTr="00C97201">
        <w:trPr>
          <w:trHeight w:val="1825"/>
          <w:jc w:val="center"/>
        </w:trPr>
        <w:tc>
          <w:tcPr>
            <w:tcW w:w="3595" w:type="dxa"/>
            <w:vMerge/>
            <w:hideMark/>
          </w:tcPr>
          <w:p w14:paraId="5F298A3C" w14:textId="77777777" w:rsidR="0065519D" w:rsidRPr="00444C3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p>
        </w:tc>
        <w:tc>
          <w:tcPr>
            <w:tcW w:w="2430" w:type="dxa"/>
            <w:shd w:val="clear" w:color="auto" w:fill="auto"/>
            <w:noWrap/>
          </w:tcPr>
          <w:p w14:paraId="57A90579"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44510">
              <w:rPr>
                <w:snapToGrid w:val="0"/>
                <w:color w:val="000000"/>
                <w:kern w:val="22"/>
                <w:szCs w:val="22"/>
                <w:lang w:eastAsia="en-CA"/>
              </w:rPr>
              <w:t>A.0.</w:t>
            </w:r>
            <w:r w:rsidRPr="000058F1">
              <w:rPr>
                <w:snapToGrid w:val="0"/>
                <w:color w:val="000000"/>
                <w:kern w:val="22"/>
                <w:szCs w:val="22"/>
                <w:lang w:eastAsia="en-CA"/>
              </w:rPr>
              <w:t xml:space="preserve">4 </w:t>
            </w:r>
            <w:r w:rsidRPr="000058F1">
              <w:t>The proportion of populations within species with a genetically effective population size &gt; 500</w:t>
            </w:r>
          </w:p>
        </w:tc>
        <w:tc>
          <w:tcPr>
            <w:tcW w:w="1620" w:type="dxa"/>
            <w:shd w:val="clear" w:color="auto" w:fill="auto"/>
            <w:noWrap/>
          </w:tcPr>
          <w:p w14:paraId="0A43DF75"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t>By species group</w:t>
            </w:r>
          </w:p>
        </w:tc>
        <w:tc>
          <w:tcPr>
            <w:tcW w:w="1350" w:type="dxa"/>
            <w:shd w:val="clear" w:color="auto" w:fill="auto"/>
          </w:tcPr>
          <w:p w14:paraId="68E03F94"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p>
        </w:tc>
        <w:tc>
          <w:tcPr>
            <w:tcW w:w="3240" w:type="dxa"/>
          </w:tcPr>
          <w:p w14:paraId="7DF3F3D1" w14:textId="642035D0" w:rsidR="0065519D" w:rsidRPr="00444C3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t xml:space="preserve">GEOBON, see: </w:t>
            </w:r>
            <w:hyperlink r:id="rId23" w:history="1">
              <w:r w:rsidRPr="000058F1">
                <w:rPr>
                  <w:rStyle w:val="Hyperlink"/>
                  <w:snapToGrid w:val="0"/>
                  <w:kern w:val="22"/>
                  <w:sz w:val="22"/>
                  <w:szCs w:val="22"/>
                  <w:lang w:eastAsia="en-CA"/>
                </w:rPr>
                <w:t>https://www.sciencedirect.com/science/article/pii/S0006320720307126</w:t>
              </w:r>
            </w:hyperlink>
          </w:p>
        </w:tc>
        <w:tc>
          <w:tcPr>
            <w:tcW w:w="1894" w:type="dxa"/>
          </w:tcPr>
          <w:p w14:paraId="12DD9E14"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44510">
              <w:rPr>
                <w:snapToGrid w:val="0"/>
                <w:color w:val="000000"/>
                <w:kern w:val="22"/>
                <w:szCs w:val="22"/>
                <w:lang w:eastAsia="en-CA"/>
              </w:rPr>
              <w:t>Near ready</w:t>
            </w:r>
            <w:r w:rsidRPr="000058F1">
              <w:rPr>
                <w:snapToGrid w:val="0"/>
                <w:color w:val="000000"/>
                <w:kern w:val="22"/>
                <w:szCs w:val="22"/>
                <w:lang w:eastAsia="en-CA"/>
              </w:rPr>
              <w:t>**</w:t>
            </w:r>
          </w:p>
        </w:tc>
      </w:tr>
      <w:tr w:rsidR="0065519D" w:rsidRPr="000058F1" w14:paraId="14732EEA" w14:textId="77777777" w:rsidTr="00C97201">
        <w:trPr>
          <w:trHeight w:val="1553"/>
          <w:jc w:val="center"/>
        </w:trPr>
        <w:tc>
          <w:tcPr>
            <w:tcW w:w="3595" w:type="dxa"/>
            <w:shd w:val="clear" w:color="auto" w:fill="auto"/>
            <w:hideMark/>
          </w:tcPr>
          <w:p w14:paraId="5E491884" w14:textId="74F6F153"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b/>
                <w:snapToGrid w:val="0"/>
                <w:color w:val="000000"/>
                <w:kern w:val="22"/>
                <w:szCs w:val="22"/>
                <w:lang w:eastAsia="en-CA"/>
              </w:rPr>
              <w:t>Goal B.</w:t>
            </w:r>
            <w:r w:rsidRPr="000058F1">
              <w:rPr>
                <w:snapToGrid w:val="0"/>
                <w:color w:val="000000"/>
                <w:kern w:val="22"/>
                <w:szCs w:val="22"/>
                <w:lang w:eastAsia="en-CA"/>
              </w:rPr>
              <w:t xml:space="preserve"> Nature’s contributions to people have been valued, maintained or enhanced through conservation and sustainable use supporting the global development agenda for the benefit of all.</w:t>
            </w:r>
          </w:p>
        </w:tc>
        <w:tc>
          <w:tcPr>
            <w:tcW w:w="2430" w:type="dxa"/>
            <w:shd w:val="clear" w:color="auto" w:fill="auto"/>
          </w:tcPr>
          <w:p w14:paraId="353E7032" w14:textId="2D051230"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t xml:space="preserve">B.0.1 </w:t>
            </w:r>
            <w:r w:rsidRPr="000058F1">
              <w:t>National environmental economic accounts of ecosystem services*</w:t>
            </w:r>
          </w:p>
        </w:tc>
        <w:tc>
          <w:tcPr>
            <w:tcW w:w="1620" w:type="dxa"/>
            <w:shd w:val="clear" w:color="auto" w:fill="auto"/>
          </w:tcPr>
          <w:p w14:paraId="37630BC0"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t>By ecosystem type and type of service</w:t>
            </w:r>
          </w:p>
        </w:tc>
        <w:tc>
          <w:tcPr>
            <w:tcW w:w="1350" w:type="dxa"/>
            <w:shd w:val="clear" w:color="auto" w:fill="auto"/>
            <w:noWrap/>
          </w:tcPr>
          <w:p w14:paraId="6DC69991"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p>
        </w:tc>
        <w:tc>
          <w:tcPr>
            <w:tcW w:w="3240" w:type="dxa"/>
          </w:tcPr>
          <w:p w14:paraId="76FE4130" w14:textId="76FFB883"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t xml:space="preserve">UN System of Environmental Economic Accounting: </w:t>
            </w:r>
            <w:hyperlink r:id="rId24" w:history="1">
              <w:r w:rsidRPr="000058F1">
                <w:rPr>
                  <w:rStyle w:val="Hyperlink"/>
                  <w:snapToGrid w:val="0"/>
                  <w:kern w:val="22"/>
                  <w:sz w:val="22"/>
                  <w:szCs w:val="22"/>
                  <w:lang w:eastAsia="en-CA"/>
                </w:rPr>
                <w:t>https://seea.un.org/ecosystem-accounting</w:t>
              </w:r>
            </w:hyperlink>
            <w:r w:rsidRPr="00044510">
              <w:rPr>
                <w:snapToGrid w:val="0"/>
                <w:color w:val="000000"/>
                <w:kern w:val="22"/>
                <w:szCs w:val="22"/>
                <w:lang w:eastAsia="en-CA"/>
              </w:rPr>
              <w:t xml:space="preserve">. This indicator would be measured in physical and monetary terms and links with the concept of a </w:t>
            </w:r>
            <w:r w:rsidRPr="000058F1">
              <w:rPr>
                <w:snapToGrid w:val="0"/>
                <w:color w:val="000000"/>
                <w:kern w:val="22"/>
                <w:szCs w:val="22"/>
                <w:lang w:eastAsia="en-CA"/>
              </w:rPr>
              <w:t>Gross Ecosystem Product.</w:t>
            </w:r>
          </w:p>
        </w:tc>
        <w:tc>
          <w:tcPr>
            <w:tcW w:w="1894" w:type="dxa"/>
          </w:tcPr>
          <w:p w14:paraId="1317D5D6"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t xml:space="preserve">Near ready** </w:t>
            </w:r>
          </w:p>
        </w:tc>
      </w:tr>
      <w:tr w:rsidR="0065519D" w:rsidRPr="000058F1" w14:paraId="0E452E32" w14:textId="77777777" w:rsidTr="00C97201">
        <w:trPr>
          <w:trHeight w:val="810"/>
          <w:jc w:val="center"/>
        </w:trPr>
        <w:tc>
          <w:tcPr>
            <w:tcW w:w="3595" w:type="dxa"/>
            <w:vMerge w:val="restart"/>
            <w:shd w:val="clear" w:color="auto" w:fill="auto"/>
            <w:hideMark/>
          </w:tcPr>
          <w:p w14:paraId="7B24E228" w14:textId="06BDFCAE"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b/>
                <w:snapToGrid w:val="0"/>
                <w:color w:val="000000"/>
                <w:kern w:val="22"/>
                <w:szCs w:val="22"/>
                <w:lang w:eastAsia="en-CA"/>
              </w:rPr>
              <w:t>Goal C.</w:t>
            </w:r>
            <w:r w:rsidRPr="000058F1">
              <w:rPr>
                <w:snapToGrid w:val="0"/>
                <w:color w:val="000000"/>
                <w:kern w:val="22"/>
                <w:szCs w:val="22"/>
                <w:lang w:eastAsia="en-CA"/>
              </w:rPr>
              <w:t xml:space="preserve"> The benefits from the utilization of genetic resources are shared fairly and equitably, with a substantial increase in both monetary and non-monetary benefits shared, including for the conservation and sustainable use of biodiversity.</w:t>
            </w:r>
          </w:p>
        </w:tc>
        <w:tc>
          <w:tcPr>
            <w:tcW w:w="2430" w:type="dxa"/>
            <w:shd w:val="clear" w:color="auto" w:fill="auto"/>
            <w:hideMark/>
          </w:tcPr>
          <w:p w14:paraId="51051237" w14:textId="419363B2"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t>C.0.1 Monetary benefits received from utilization of genetic resources as a result of an ABS agreement, including traditional knowledge*</w:t>
            </w:r>
          </w:p>
        </w:tc>
        <w:tc>
          <w:tcPr>
            <w:tcW w:w="1620" w:type="dxa"/>
            <w:shd w:val="clear" w:color="auto" w:fill="auto"/>
          </w:tcPr>
          <w:p w14:paraId="4A98A138"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t>Tbd</w:t>
            </w:r>
          </w:p>
        </w:tc>
        <w:tc>
          <w:tcPr>
            <w:tcW w:w="1350" w:type="dxa"/>
            <w:shd w:val="clear" w:color="auto" w:fill="auto"/>
          </w:tcPr>
          <w:p w14:paraId="5C6DC7FE"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p>
        </w:tc>
        <w:tc>
          <w:tcPr>
            <w:tcW w:w="3240" w:type="dxa"/>
          </w:tcPr>
          <w:p w14:paraId="7A9E55A1"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t>CBD: An estimate of monetary benefits would fill a key knowledge gap; however, additional coordination would be required.</w:t>
            </w:r>
          </w:p>
        </w:tc>
        <w:tc>
          <w:tcPr>
            <w:tcW w:w="1894" w:type="dxa"/>
          </w:tcPr>
          <w:p w14:paraId="2747F315"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kern w:val="22"/>
                <w:szCs w:val="22"/>
                <w:lang w:eastAsia="en-CA"/>
              </w:rPr>
              <w:t xml:space="preserve">Needs developed** </w:t>
            </w:r>
          </w:p>
        </w:tc>
      </w:tr>
      <w:tr w:rsidR="0065519D" w:rsidRPr="000058F1" w14:paraId="5A87222A" w14:textId="77777777" w:rsidTr="00C97201">
        <w:trPr>
          <w:trHeight w:val="900"/>
          <w:jc w:val="center"/>
        </w:trPr>
        <w:tc>
          <w:tcPr>
            <w:tcW w:w="3595" w:type="dxa"/>
            <w:vMerge/>
            <w:hideMark/>
          </w:tcPr>
          <w:p w14:paraId="0F09E52C"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p>
        </w:tc>
        <w:tc>
          <w:tcPr>
            <w:tcW w:w="2430" w:type="dxa"/>
            <w:shd w:val="clear" w:color="auto" w:fill="auto"/>
            <w:hideMark/>
          </w:tcPr>
          <w:p w14:paraId="09A97485"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t>C.0.2 Number of research and development products from an ABS agreement*</w:t>
            </w:r>
          </w:p>
        </w:tc>
        <w:tc>
          <w:tcPr>
            <w:tcW w:w="1620" w:type="dxa"/>
            <w:shd w:val="clear" w:color="auto" w:fill="auto"/>
            <w:hideMark/>
          </w:tcPr>
          <w:p w14:paraId="44E7DA3F"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t>Tbd</w:t>
            </w:r>
          </w:p>
        </w:tc>
        <w:tc>
          <w:tcPr>
            <w:tcW w:w="1350" w:type="dxa"/>
            <w:shd w:val="clear" w:color="auto" w:fill="auto"/>
            <w:noWrap/>
          </w:tcPr>
          <w:p w14:paraId="0DAC8B1E"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p>
        </w:tc>
        <w:tc>
          <w:tcPr>
            <w:tcW w:w="3240" w:type="dxa"/>
          </w:tcPr>
          <w:p w14:paraId="2F61A46A"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t>CBD: An estimate of monetary benefits would fill a key knowledge gap; however, additional coordination would be required.</w:t>
            </w:r>
          </w:p>
        </w:tc>
        <w:tc>
          <w:tcPr>
            <w:tcW w:w="1894" w:type="dxa"/>
          </w:tcPr>
          <w:p w14:paraId="4FED37EB"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kern w:val="22"/>
                <w:szCs w:val="22"/>
                <w:lang w:eastAsia="en-CA"/>
              </w:rPr>
              <w:t>Needs developed**</w:t>
            </w:r>
          </w:p>
        </w:tc>
      </w:tr>
      <w:tr w:rsidR="0065519D" w:rsidRPr="000058F1" w14:paraId="3B6BF831" w14:textId="77777777" w:rsidTr="00C97201">
        <w:trPr>
          <w:trHeight w:val="716"/>
          <w:jc w:val="center"/>
        </w:trPr>
        <w:tc>
          <w:tcPr>
            <w:tcW w:w="3595" w:type="dxa"/>
            <w:vMerge w:val="restart"/>
            <w:shd w:val="clear" w:color="auto" w:fill="auto"/>
          </w:tcPr>
          <w:p w14:paraId="0D367F66"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b/>
                <w:snapToGrid w:val="0"/>
                <w:color w:val="000000"/>
                <w:kern w:val="22"/>
                <w:szCs w:val="22"/>
                <w:lang w:eastAsia="en-CA"/>
              </w:rPr>
              <w:t>Goal D.</w:t>
            </w:r>
            <w:r w:rsidRPr="000058F1">
              <w:rPr>
                <w:snapToGrid w:val="0"/>
                <w:color w:val="000000"/>
                <w:kern w:val="22"/>
                <w:szCs w:val="22"/>
                <w:lang w:eastAsia="en-CA"/>
              </w:rPr>
              <w:t xml:space="preserve"> The gap between available financial and other means of implementation, and those necessary to achieve the 2050 Vision, is closed.</w:t>
            </w:r>
          </w:p>
          <w:p w14:paraId="7EC2333C" w14:textId="77777777" w:rsidR="0065519D" w:rsidRPr="000058F1" w:rsidRDefault="0065519D" w:rsidP="00C97201">
            <w:pPr>
              <w:suppressLineNumbers/>
              <w:suppressAutoHyphens/>
              <w:kinsoku w:val="0"/>
              <w:overflowPunct w:val="0"/>
              <w:autoSpaceDE w:val="0"/>
              <w:autoSpaceDN w:val="0"/>
              <w:adjustRightInd w:val="0"/>
              <w:snapToGrid w:val="0"/>
              <w:jc w:val="left"/>
              <w:rPr>
                <w:b/>
                <w:snapToGrid w:val="0"/>
                <w:color w:val="000000"/>
                <w:kern w:val="22"/>
                <w:szCs w:val="22"/>
                <w:lang w:eastAsia="en-CA"/>
              </w:rPr>
            </w:pPr>
          </w:p>
        </w:tc>
        <w:tc>
          <w:tcPr>
            <w:tcW w:w="2430" w:type="dxa"/>
            <w:shd w:val="clear" w:color="auto" w:fill="auto"/>
          </w:tcPr>
          <w:p w14:paraId="7B347410" w14:textId="0A627712"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lastRenderedPageBreak/>
              <w:t xml:space="preserve">D.0.1 Funding for implementation of the </w:t>
            </w:r>
            <w:r w:rsidR="005C439D">
              <w:rPr>
                <w:snapToGrid w:val="0"/>
                <w:color w:val="000000"/>
                <w:kern w:val="22"/>
                <w:szCs w:val="22"/>
                <w:lang w:eastAsia="en-CA"/>
              </w:rPr>
              <w:t>g</w:t>
            </w:r>
            <w:r w:rsidRPr="000058F1">
              <w:rPr>
                <w:snapToGrid w:val="0"/>
                <w:color w:val="000000"/>
                <w:kern w:val="22"/>
                <w:szCs w:val="22"/>
                <w:lang w:eastAsia="en-CA"/>
              </w:rPr>
              <w:t xml:space="preserve">lobal </w:t>
            </w:r>
            <w:r w:rsidR="005C439D">
              <w:rPr>
                <w:snapToGrid w:val="0"/>
                <w:color w:val="000000"/>
                <w:kern w:val="22"/>
                <w:szCs w:val="22"/>
                <w:lang w:eastAsia="en-CA"/>
              </w:rPr>
              <w:t>b</w:t>
            </w:r>
            <w:r w:rsidRPr="000058F1">
              <w:rPr>
                <w:snapToGrid w:val="0"/>
                <w:color w:val="000000"/>
                <w:kern w:val="22"/>
                <w:szCs w:val="22"/>
                <w:lang w:eastAsia="en-CA"/>
              </w:rPr>
              <w:t xml:space="preserve">iodiversity </w:t>
            </w:r>
            <w:r w:rsidR="005C439D">
              <w:rPr>
                <w:snapToGrid w:val="0"/>
                <w:color w:val="000000"/>
                <w:kern w:val="22"/>
                <w:szCs w:val="22"/>
                <w:lang w:eastAsia="en-CA"/>
              </w:rPr>
              <w:t>f</w:t>
            </w:r>
            <w:r w:rsidRPr="000058F1">
              <w:rPr>
                <w:snapToGrid w:val="0"/>
                <w:color w:val="000000"/>
                <w:kern w:val="22"/>
                <w:szCs w:val="22"/>
                <w:lang w:eastAsia="en-CA"/>
              </w:rPr>
              <w:t>ramework*</w:t>
            </w:r>
          </w:p>
        </w:tc>
        <w:tc>
          <w:tcPr>
            <w:tcW w:w="1620" w:type="dxa"/>
            <w:shd w:val="clear" w:color="auto" w:fill="auto"/>
          </w:tcPr>
          <w:p w14:paraId="26557FFA"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t>By funding source</w:t>
            </w:r>
          </w:p>
        </w:tc>
        <w:tc>
          <w:tcPr>
            <w:tcW w:w="1350" w:type="dxa"/>
            <w:shd w:val="clear" w:color="auto" w:fill="auto"/>
          </w:tcPr>
          <w:p w14:paraId="044D2CBA" w14:textId="77777777" w:rsidR="0065519D" w:rsidRPr="000058F1" w:rsidRDefault="0065519D" w:rsidP="00444C31">
            <w:pPr>
              <w:rPr>
                <w:szCs w:val="22"/>
                <w:lang w:eastAsia="en-CA"/>
              </w:rPr>
            </w:pPr>
          </w:p>
        </w:tc>
        <w:tc>
          <w:tcPr>
            <w:tcW w:w="3240" w:type="dxa"/>
          </w:tcPr>
          <w:p w14:paraId="1FB97C9E"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kern w:val="22"/>
                <w:szCs w:val="22"/>
                <w:lang w:eastAsia="en-CA"/>
              </w:rPr>
            </w:pPr>
            <w:r w:rsidRPr="000058F1">
              <w:rPr>
                <w:snapToGrid w:val="0"/>
                <w:kern w:val="22"/>
                <w:szCs w:val="22"/>
                <w:lang w:eastAsia="en-CA"/>
              </w:rPr>
              <w:t>CBD: To be collected through National Biodiversity Finance Plans</w:t>
            </w:r>
          </w:p>
        </w:tc>
        <w:tc>
          <w:tcPr>
            <w:tcW w:w="1894" w:type="dxa"/>
          </w:tcPr>
          <w:p w14:paraId="29EE70D9"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kern w:val="22"/>
                <w:szCs w:val="22"/>
                <w:lang w:eastAsia="en-CA"/>
              </w:rPr>
              <w:t>Needs developed through national biodiversity finance plans</w:t>
            </w:r>
          </w:p>
        </w:tc>
      </w:tr>
      <w:tr w:rsidR="0065519D" w:rsidRPr="000058F1" w14:paraId="7DF5D095" w14:textId="77777777" w:rsidTr="00C97201">
        <w:trPr>
          <w:trHeight w:val="2277"/>
          <w:jc w:val="center"/>
        </w:trPr>
        <w:tc>
          <w:tcPr>
            <w:tcW w:w="3595" w:type="dxa"/>
            <w:vMerge/>
            <w:shd w:val="clear" w:color="auto" w:fill="auto"/>
            <w:hideMark/>
          </w:tcPr>
          <w:p w14:paraId="381D54F4" w14:textId="77777777" w:rsidR="0065519D" w:rsidRPr="000058F1" w:rsidRDefault="0065519D" w:rsidP="00C97201">
            <w:pPr>
              <w:suppressLineNumbers/>
              <w:suppressAutoHyphens/>
              <w:kinsoku w:val="0"/>
              <w:overflowPunct w:val="0"/>
              <w:autoSpaceDE w:val="0"/>
              <w:autoSpaceDN w:val="0"/>
              <w:adjustRightInd w:val="0"/>
              <w:snapToGrid w:val="0"/>
              <w:jc w:val="left"/>
              <w:rPr>
                <w:i/>
                <w:snapToGrid w:val="0"/>
                <w:color w:val="000000"/>
                <w:kern w:val="22"/>
                <w:szCs w:val="22"/>
                <w:lang w:eastAsia="en-CA"/>
              </w:rPr>
            </w:pPr>
          </w:p>
        </w:tc>
        <w:tc>
          <w:tcPr>
            <w:tcW w:w="2430" w:type="dxa"/>
            <w:shd w:val="clear" w:color="auto" w:fill="auto"/>
            <w:hideMark/>
          </w:tcPr>
          <w:p w14:paraId="5850F6B8"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t>D.0.2 Indicator on national biodiversity planning processes and means of implementation*</w:t>
            </w:r>
          </w:p>
        </w:tc>
        <w:tc>
          <w:tcPr>
            <w:tcW w:w="1620" w:type="dxa"/>
            <w:shd w:val="clear" w:color="auto" w:fill="auto"/>
            <w:hideMark/>
          </w:tcPr>
          <w:p w14:paraId="3515E821"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t>Tbd</w:t>
            </w:r>
          </w:p>
        </w:tc>
        <w:tc>
          <w:tcPr>
            <w:tcW w:w="1350" w:type="dxa"/>
            <w:shd w:val="clear" w:color="auto" w:fill="auto"/>
          </w:tcPr>
          <w:p w14:paraId="24771A6C"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kern w:val="22"/>
                <w:szCs w:val="22"/>
                <w:lang w:eastAsia="en-CA"/>
              </w:rPr>
            </w:pPr>
          </w:p>
        </w:tc>
        <w:tc>
          <w:tcPr>
            <w:tcW w:w="3240" w:type="dxa"/>
          </w:tcPr>
          <w:p w14:paraId="083D724F" w14:textId="66498B26" w:rsidR="0065519D" w:rsidRPr="000058F1" w:rsidRDefault="0065519D" w:rsidP="00C97201">
            <w:pPr>
              <w:suppressLineNumbers/>
              <w:suppressAutoHyphens/>
              <w:kinsoku w:val="0"/>
              <w:overflowPunct w:val="0"/>
              <w:autoSpaceDE w:val="0"/>
              <w:autoSpaceDN w:val="0"/>
              <w:adjustRightInd w:val="0"/>
              <w:snapToGrid w:val="0"/>
              <w:jc w:val="left"/>
              <w:rPr>
                <w:snapToGrid w:val="0"/>
                <w:kern w:val="22"/>
                <w:szCs w:val="22"/>
                <w:lang w:eastAsia="en-CA"/>
              </w:rPr>
            </w:pPr>
            <w:r w:rsidRPr="000058F1">
              <w:rPr>
                <w:snapToGrid w:val="0"/>
                <w:kern w:val="22"/>
                <w:szCs w:val="22"/>
                <w:lang w:eastAsia="en-CA"/>
              </w:rPr>
              <w:t xml:space="preserve">CBD: To be collected through </w:t>
            </w:r>
            <w:r w:rsidR="005C439D">
              <w:rPr>
                <w:snapToGrid w:val="0"/>
                <w:kern w:val="22"/>
                <w:szCs w:val="22"/>
                <w:lang w:eastAsia="en-CA"/>
              </w:rPr>
              <w:t>n</w:t>
            </w:r>
            <w:r w:rsidRPr="000058F1">
              <w:rPr>
                <w:snapToGrid w:val="0"/>
                <w:kern w:val="22"/>
                <w:szCs w:val="22"/>
                <w:lang w:eastAsia="en-CA"/>
              </w:rPr>
              <w:t xml:space="preserve">ational </w:t>
            </w:r>
            <w:r w:rsidR="005C439D">
              <w:rPr>
                <w:snapToGrid w:val="0"/>
                <w:kern w:val="22"/>
                <w:szCs w:val="22"/>
                <w:lang w:eastAsia="en-CA"/>
              </w:rPr>
              <w:t>r</w:t>
            </w:r>
            <w:r w:rsidRPr="000058F1">
              <w:rPr>
                <w:snapToGrid w:val="0"/>
                <w:kern w:val="22"/>
                <w:szCs w:val="22"/>
                <w:lang w:eastAsia="en-CA"/>
              </w:rPr>
              <w:t>eporting</w:t>
            </w:r>
            <w:r w:rsidRPr="000058F1">
              <w:rPr>
                <w:snapToGrid w:val="0"/>
                <w:color w:val="000000"/>
                <w:kern w:val="22"/>
                <w:szCs w:val="22"/>
                <w:lang w:eastAsia="en-CA"/>
              </w:rPr>
              <w:t xml:space="preserve"> to capture gaps in alignment with the GBF, mainstreaming and means of implementation.</w:t>
            </w:r>
          </w:p>
        </w:tc>
        <w:tc>
          <w:tcPr>
            <w:tcW w:w="1894" w:type="dxa"/>
          </w:tcPr>
          <w:p w14:paraId="385708B5" w14:textId="06BDD59E" w:rsidR="0065519D" w:rsidRPr="000058F1" w:rsidRDefault="0065519D" w:rsidP="00C97201">
            <w:pPr>
              <w:suppressLineNumbers/>
              <w:suppressAutoHyphens/>
              <w:kinsoku w:val="0"/>
              <w:overflowPunct w:val="0"/>
              <w:autoSpaceDE w:val="0"/>
              <w:autoSpaceDN w:val="0"/>
              <w:adjustRightInd w:val="0"/>
              <w:snapToGrid w:val="0"/>
              <w:jc w:val="left"/>
              <w:rPr>
                <w:snapToGrid w:val="0"/>
                <w:kern w:val="22"/>
                <w:szCs w:val="22"/>
                <w:lang w:eastAsia="en-CA"/>
              </w:rPr>
            </w:pPr>
            <w:r w:rsidRPr="000058F1">
              <w:rPr>
                <w:snapToGrid w:val="0"/>
                <w:color w:val="000000"/>
                <w:kern w:val="22"/>
                <w:szCs w:val="22"/>
                <w:lang w:eastAsia="en-CA"/>
              </w:rPr>
              <w:t xml:space="preserve">Needs developed would be collected via self-assessment in </w:t>
            </w:r>
            <w:r w:rsidR="00A13D61" w:rsidRPr="000058F1">
              <w:rPr>
                <w:snapToGrid w:val="0"/>
                <w:color w:val="000000"/>
                <w:kern w:val="22"/>
                <w:szCs w:val="22"/>
                <w:lang w:eastAsia="en-CA"/>
              </w:rPr>
              <w:t>n</w:t>
            </w:r>
            <w:r w:rsidRPr="000058F1">
              <w:rPr>
                <w:snapToGrid w:val="0"/>
                <w:color w:val="000000"/>
                <w:kern w:val="22"/>
                <w:szCs w:val="22"/>
                <w:lang w:eastAsia="en-CA"/>
              </w:rPr>
              <w:t xml:space="preserve">ational </w:t>
            </w:r>
            <w:r w:rsidR="00A13D61" w:rsidRPr="000058F1">
              <w:rPr>
                <w:snapToGrid w:val="0"/>
                <w:color w:val="000000"/>
                <w:kern w:val="22"/>
                <w:szCs w:val="22"/>
                <w:lang w:eastAsia="en-CA"/>
              </w:rPr>
              <w:t>r</w:t>
            </w:r>
            <w:r w:rsidRPr="000058F1">
              <w:rPr>
                <w:snapToGrid w:val="0"/>
                <w:color w:val="000000"/>
                <w:kern w:val="22"/>
                <w:szCs w:val="22"/>
                <w:lang w:eastAsia="en-CA"/>
              </w:rPr>
              <w:t>eports.</w:t>
            </w:r>
          </w:p>
        </w:tc>
      </w:tr>
      <w:tr w:rsidR="0065519D" w:rsidRPr="000058F1" w14:paraId="6D39843C" w14:textId="77777777" w:rsidTr="00C97201">
        <w:trPr>
          <w:trHeight w:val="1140"/>
          <w:jc w:val="center"/>
        </w:trPr>
        <w:tc>
          <w:tcPr>
            <w:tcW w:w="3595" w:type="dxa"/>
            <w:shd w:val="clear" w:color="auto" w:fill="auto"/>
            <w:hideMark/>
          </w:tcPr>
          <w:p w14:paraId="5A4FD33F" w14:textId="3BB8D415"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b/>
                <w:snapToGrid w:val="0"/>
                <w:color w:val="000000"/>
                <w:kern w:val="22"/>
                <w:szCs w:val="22"/>
                <w:lang w:eastAsia="en-CA"/>
              </w:rPr>
              <w:t>Target 1.</w:t>
            </w:r>
            <w:r w:rsidRPr="000058F1">
              <w:rPr>
                <w:snapToGrid w:val="0"/>
                <w:color w:val="000000"/>
                <w:kern w:val="22"/>
                <w:szCs w:val="22"/>
                <w:lang w:eastAsia="en-CA"/>
              </w:rPr>
              <w:t xml:space="preserve"> Ensure that all land and sea areas globally are under</w:t>
            </w:r>
            <w:r w:rsidR="008B4D56">
              <w:rPr>
                <w:snapToGrid w:val="0"/>
                <w:color w:val="000000"/>
                <w:kern w:val="22"/>
                <w:szCs w:val="22"/>
                <w:lang w:eastAsia="en-CA"/>
              </w:rPr>
              <w:t xml:space="preserve"> </w:t>
            </w:r>
            <w:r w:rsidRPr="000058F1">
              <w:rPr>
                <w:snapToGrid w:val="0"/>
                <w:color w:val="000000"/>
                <w:kern w:val="22"/>
                <w:szCs w:val="22"/>
                <w:lang w:eastAsia="en-CA"/>
              </w:rPr>
              <w:t>integrated biodiversity-inclusive spatial planning addressing land- and sea-use change, retaining existing intact and wilderness areas.</w:t>
            </w:r>
          </w:p>
        </w:tc>
        <w:tc>
          <w:tcPr>
            <w:tcW w:w="2430" w:type="dxa"/>
            <w:shd w:val="clear" w:color="auto" w:fill="auto"/>
            <w:hideMark/>
          </w:tcPr>
          <w:p w14:paraId="4368001D" w14:textId="77777777" w:rsidR="0065519D" w:rsidRPr="000058F1" w:rsidRDefault="0065519D" w:rsidP="00444C3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t>1.0.1 Percentage of land and seas covered by spatial plans that integrate biodiversity*</w:t>
            </w:r>
          </w:p>
        </w:tc>
        <w:tc>
          <w:tcPr>
            <w:tcW w:w="1620" w:type="dxa"/>
            <w:shd w:val="clear" w:color="auto" w:fill="auto"/>
            <w:hideMark/>
          </w:tcPr>
          <w:p w14:paraId="07D9256A"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t>By terrestrial and marine ecosystem type</w:t>
            </w:r>
          </w:p>
        </w:tc>
        <w:tc>
          <w:tcPr>
            <w:tcW w:w="1350" w:type="dxa"/>
            <w:shd w:val="clear" w:color="auto" w:fill="auto"/>
          </w:tcPr>
          <w:p w14:paraId="307D14EC"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p>
        </w:tc>
        <w:tc>
          <w:tcPr>
            <w:tcW w:w="3240" w:type="dxa"/>
          </w:tcPr>
          <w:p w14:paraId="49986B2A" w14:textId="4550263F"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t xml:space="preserve">CBD: Collected through </w:t>
            </w:r>
            <w:r w:rsidR="00101D06">
              <w:rPr>
                <w:snapToGrid w:val="0"/>
                <w:color w:val="000000"/>
                <w:kern w:val="22"/>
                <w:szCs w:val="22"/>
                <w:lang w:eastAsia="en-CA"/>
              </w:rPr>
              <w:t>n</w:t>
            </w:r>
            <w:r w:rsidRPr="000058F1">
              <w:rPr>
                <w:snapToGrid w:val="0"/>
                <w:color w:val="000000"/>
                <w:kern w:val="22"/>
                <w:szCs w:val="22"/>
                <w:lang w:eastAsia="en-CA"/>
              </w:rPr>
              <w:t xml:space="preserve">ational </w:t>
            </w:r>
            <w:r w:rsidR="00101D06">
              <w:rPr>
                <w:snapToGrid w:val="0"/>
                <w:color w:val="000000"/>
                <w:kern w:val="22"/>
                <w:szCs w:val="22"/>
                <w:lang w:eastAsia="en-CA"/>
              </w:rPr>
              <w:t>r</w:t>
            </w:r>
            <w:r w:rsidRPr="000058F1">
              <w:rPr>
                <w:snapToGrid w:val="0"/>
                <w:color w:val="000000"/>
                <w:kern w:val="22"/>
                <w:szCs w:val="22"/>
                <w:lang w:eastAsia="en-CA"/>
              </w:rPr>
              <w:t>eporting and would link with SDG 6.5.1, 14.2.1 and 15.2.1.</w:t>
            </w:r>
          </w:p>
        </w:tc>
        <w:tc>
          <w:tcPr>
            <w:tcW w:w="1894" w:type="dxa"/>
          </w:tcPr>
          <w:p w14:paraId="77540465" w14:textId="351973A5"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t xml:space="preserve">Needs developed would be collected via self-assessment in </w:t>
            </w:r>
            <w:r w:rsidR="00A13D61" w:rsidRPr="000058F1">
              <w:rPr>
                <w:snapToGrid w:val="0"/>
                <w:color w:val="000000"/>
                <w:kern w:val="22"/>
                <w:szCs w:val="22"/>
                <w:lang w:eastAsia="en-CA"/>
              </w:rPr>
              <w:t>n</w:t>
            </w:r>
            <w:r w:rsidRPr="000058F1">
              <w:rPr>
                <w:snapToGrid w:val="0"/>
                <w:color w:val="000000"/>
                <w:kern w:val="22"/>
                <w:szCs w:val="22"/>
                <w:lang w:eastAsia="en-CA"/>
              </w:rPr>
              <w:t xml:space="preserve">ational </w:t>
            </w:r>
            <w:r w:rsidR="00A13D61" w:rsidRPr="000058F1">
              <w:rPr>
                <w:snapToGrid w:val="0"/>
                <w:color w:val="000000"/>
                <w:kern w:val="22"/>
                <w:szCs w:val="22"/>
                <w:lang w:eastAsia="en-CA"/>
              </w:rPr>
              <w:t>r</w:t>
            </w:r>
            <w:r w:rsidRPr="000058F1">
              <w:rPr>
                <w:snapToGrid w:val="0"/>
                <w:color w:val="000000"/>
                <w:kern w:val="22"/>
                <w:szCs w:val="22"/>
                <w:lang w:eastAsia="en-CA"/>
              </w:rPr>
              <w:t>eports</w:t>
            </w:r>
          </w:p>
        </w:tc>
      </w:tr>
      <w:tr w:rsidR="0065519D" w:rsidRPr="000058F1" w14:paraId="460978C9" w14:textId="77777777" w:rsidTr="00C97201">
        <w:trPr>
          <w:trHeight w:val="2277"/>
          <w:jc w:val="center"/>
        </w:trPr>
        <w:tc>
          <w:tcPr>
            <w:tcW w:w="3595" w:type="dxa"/>
            <w:shd w:val="clear" w:color="auto" w:fill="auto"/>
            <w:hideMark/>
          </w:tcPr>
          <w:p w14:paraId="5292E137"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b/>
                <w:snapToGrid w:val="0"/>
                <w:color w:val="000000"/>
                <w:kern w:val="22"/>
                <w:szCs w:val="22"/>
                <w:lang w:eastAsia="en-CA"/>
              </w:rPr>
              <w:t>Target 2.</w:t>
            </w:r>
            <w:r w:rsidRPr="000058F1">
              <w:rPr>
                <w:snapToGrid w:val="0"/>
                <w:color w:val="000000"/>
                <w:kern w:val="22"/>
                <w:szCs w:val="22"/>
                <w:lang w:eastAsia="en-CA"/>
              </w:rPr>
              <w:t xml:space="preserve"> Ensure that at least 20% of degraded freshwater, marine and terrestrial ecosystems are under restoration, ensuring connectivity among them and focusing on priority ecosystems.</w:t>
            </w:r>
          </w:p>
        </w:tc>
        <w:tc>
          <w:tcPr>
            <w:tcW w:w="2430" w:type="dxa"/>
            <w:shd w:val="clear" w:color="auto" w:fill="auto"/>
            <w:hideMark/>
          </w:tcPr>
          <w:p w14:paraId="67D6D8B7"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t xml:space="preserve">2.0.1 </w:t>
            </w:r>
            <w:bookmarkStart w:id="4" w:name="_Hlk76634841"/>
            <w:r w:rsidRPr="000058F1">
              <w:t>Percentage of degraded or converted ecosystems that are under restoration</w:t>
            </w:r>
            <w:bookmarkEnd w:id="4"/>
          </w:p>
        </w:tc>
        <w:tc>
          <w:tcPr>
            <w:tcW w:w="1620" w:type="dxa"/>
            <w:shd w:val="clear" w:color="auto" w:fill="auto"/>
            <w:hideMark/>
          </w:tcPr>
          <w:p w14:paraId="3844C73D"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t>By ecosystem type</w:t>
            </w:r>
          </w:p>
        </w:tc>
        <w:tc>
          <w:tcPr>
            <w:tcW w:w="1350" w:type="dxa"/>
            <w:shd w:val="clear" w:color="auto" w:fill="auto"/>
            <w:hideMark/>
          </w:tcPr>
          <w:p w14:paraId="2039BE3F" w14:textId="30B51694"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t>FAO through the Decade on Ecosystem Restoration</w:t>
            </w:r>
          </w:p>
        </w:tc>
        <w:tc>
          <w:tcPr>
            <w:tcW w:w="3240" w:type="dxa"/>
          </w:tcPr>
          <w:p w14:paraId="62444B54" w14:textId="59B41F60"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t xml:space="preserve">Task Force on Monitoring in support </w:t>
            </w:r>
            <w:r w:rsidR="00675B89">
              <w:t xml:space="preserve">of </w:t>
            </w:r>
            <w:r w:rsidRPr="000058F1">
              <w:t>the United Nations Decade on Ecosystem Restoration:</w:t>
            </w:r>
            <w:r w:rsidRPr="003F4EC8">
              <w:t xml:space="preserve"> </w:t>
            </w:r>
            <w:r w:rsidR="00466430">
              <w:t>2021-2030</w:t>
            </w:r>
            <w:r w:rsidRPr="00044510">
              <w:t xml:space="preserve"> </w:t>
            </w:r>
            <w:hyperlink r:id="rId25" w:history="1">
              <w:r w:rsidRPr="000058F1">
                <w:rPr>
                  <w:rStyle w:val="Hyperlink"/>
                  <w:sz w:val="22"/>
                </w:rPr>
                <w:t>http://www.fao.org/in-action/forest-landscape-restoration-mechanism/resources/detail/es/c/1315004/</w:t>
              </w:r>
            </w:hyperlink>
            <w:r w:rsidRPr="00044510">
              <w:t xml:space="preserve"> </w:t>
            </w:r>
          </w:p>
        </w:tc>
        <w:tc>
          <w:tcPr>
            <w:tcW w:w="1894" w:type="dxa"/>
          </w:tcPr>
          <w:p w14:paraId="710ACA8D"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t>Near ready (INF paper from the Task Force)</w:t>
            </w:r>
          </w:p>
        </w:tc>
      </w:tr>
      <w:tr w:rsidR="0065519D" w:rsidRPr="000058F1" w14:paraId="3CF63497" w14:textId="77777777" w:rsidTr="00C97201">
        <w:trPr>
          <w:trHeight w:val="3036"/>
          <w:jc w:val="center"/>
        </w:trPr>
        <w:tc>
          <w:tcPr>
            <w:tcW w:w="3595" w:type="dxa"/>
            <w:shd w:val="clear" w:color="auto" w:fill="auto"/>
            <w:hideMark/>
          </w:tcPr>
          <w:p w14:paraId="746B90B5" w14:textId="3C1329A4"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b/>
                <w:snapToGrid w:val="0"/>
                <w:color w:val="000000"/>
                <w:kern w:val="22"/>
                <w:szCs w:val="22"/>
                <w:lang w:eastAsia="en-CA"/>
              </w:rPr>
              <w:lastRenderedPageBreak/>
              <w:t>Target 3.</w:t>
            </w:r>
            <w:r w:rsidRPr="000058F1">
              <w:rPr>
                <w:snapToGrid w:val="0"/>
                <w:color w:val="000000"/>
                <w:kern w:val="22"/>
                <w:szCs w:val="22"/>
                <w:lang w:eastAsia="en-CA"/>
              </w:rPr>
              <w:t xml:space="preserve"> Ensure that at least 30% globally of land areas and of sea areas, especially areas of particular importance for biodiversity and its contributions to people, are conserved through effectively and equitably managed, ecologically representative and well-connected systems of protected areas and other effective area-based conservation measures, and integrated into the wider landscapes and seascapes.</w:t>
            </w:r>
          </w:p>
        </w:tc>
        <w:tc>
          <w:tcPr>
            <w:tcW w:w="2430" w:type="dxa"/>
            <w:shd w:val="clear" w:color="auto" w:fill="auto"/>
            <w:hideMark/>
          </w:tcPr>
          <w:p w14:paraId="542E4F7E" w14:textId="04A44B42" w:rsidR="0065519D" w:rsidRPr="000058F1" w:rsidRDefault="0065519D" w:rsidP="00C97201">
            <w:pPr>
              <w:suppressLineNumbers/>
              <w:suppressAutoHyphens/>
              <w:kinsoku w:val="0"/>
              <w:overflowPunct w:val="0"/>
              <w:autoSpaceDE w:val="0"/>
              <w:autoSpaceDN w:val="0"/>
              <w:adjustRightInd w:val="0"/>
              <w:snapToGrid w:val="0"/>
              <w:jc w:val="left"/>
              <w:rPr>
                <w:snapToGrid w:val="0"/>
                <w:kern w:val="22"/>
                <w:szCs w:val="22"/>
                <w:lang w:eastAsia="en-CA"/>
              </w:rPr>
            </w:pPr>
            <w:r w:rsidRPr="000058F1">
              <w:rPr>
                <w:snapToGrid w:val="0"/>
                <w:kern w:val="22"/>
                <w:szCs w:val="22"/>
                <w:lang w:eastAsia="en-CA"/>
              </w:rPr>
              <w:t xml:space="preserve">3.0.1 Coverage of </w:t>
            </w:r>
            <w:r w:rsidRPr="000058F1">
              <w:rPr>
                <w:snapToGrid w:val="0"/>
                <w:color w:val="000000"/>
                <w:kern w:val="22"/>
                <w:szCs w:val="22"/>
                <w:lang w:eastAsia="en-CA"/>
              </w:rPr>
              <w:t>Protected areas and OECMS (by effectiveness)</w:t>
            </w:r>
          </w:p>
        </w:tc>
        <w:tc>
          <w:tcPr>
            <w:tcW w:w="1620" w:type="dxa"/>
            <w:shd w:val="clear" w:color="auto" w:fill="auto"/>
            <w:hideMark/>
          </w:tcPr>
          <w:p w14:paraId="0FAC6793"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kern w:val="22"/>
                <w:szCs w:val="22"/>
                <w:lang w:eastAsia="en-CA"/>
              </w:rPr>
            </w:pPr>
            <w:r w:rsidRPr="000058F1">
              <w:rPr>
                <w:snapToGrid w:val="0"/>
                <w:kern w:val="22"/>
                <w:szCs w:val="22"/>
                <w:lang w:eastAsia="en-CA"/>
              </w:rPr>
              <w:t>By ecosystem type</w:t>
            </w:r>
          </w:p>
          <w:p w14:paraId="640E1ADD"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kern w:val="22"/>
                <w:szCs w:val="22"/>
                <w:lang w:eastAsia="en-CA"/>
              </w:rPr>
            </w:pPr>
            <w:r w:rsidRPr="000058F1">
              <w:rPr>
                <w:snapToGrid w:val="0"/>
                <w:kern w:val="22"/>
                <w:szCs w:val="22"/>
                <w:lang w:eastAsia="en-CA"/>
              </w:rPr>
              <w:t>By key biodiversity area</w:t>
            </w:r>
          </w:p>
          <w:p w14:paraId="0C296D6D"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kern w:val="22"/>
                <w:szCs w:val="22"/>
                <w:lang w:eastAsia="en-CA"/>
              </w:rPr>
            </w:pPr>
            <w:r w:rsidRPr="000058F1">
              <w:rPr>
                <w:snapToGrid w:val="0"/>
                <w:kern w:val="22"/>
                <w:szCs w:val="22"/>
                <w:lang w:eastAsia="en-CA"/>
              </w:rPr>
              <w:t>By effectiveness category (PAME)</w:t>
            </w:r>
          </w:p>
          <w:p w14:paraId="2C57999C"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kern w:val="22"/>
                <w:szCs w:val="22"/>
                <w:lang w:eastAsia="en-CA"/>
              </w:rPr>
            </w:pPr>
            <w:r w:rsidRPr="000058F1">
              <w:rPr>
                <w:snapToGrid w:val="0"/>
                <w:kern w:val="22"/>
                <w:szCs w:val="22"/>
                <w:lang w:eastAsia="en-CA"/>
              </w:rPr>
              <w:t>By mountains</w:t>
            </w:r>
          </w:p>
        </w:tc>
        <w:tc>
          <w:tcPr>
            <w:tcW w:w="1350" w:type="dxa"/>
            <w:shd w:val="clear" w:color="auto" w:fill="auto"/>
            <w:hideMark/>
          </w:tcPr>
          <w:p w14:paraId="37ACB330"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kern w:val="22"/>
                <w:szCs w:val="22"/>
                <w:lang w:eastAsia="en-CA"/>
              </w:rPr>
            </w:pPr>
            <w:r w:rsidRPr="000058F1">
              <w:rPr>
                <w:snapToGrid w:val="0"/>
                <w:kern w:val="22"/>
                <w:szCs w:val="22"/>
                <w:lang w:eastAsia="en-CA"/>
              </w:rPr>
              <w:t>SDG (14.2.1, 15.1.2 and 15.4.1)</w:t>
            </w:r>
          </w:p>
        </w:tc>
        <w:tc>
          <w:tcPr>
            <w:tcW w:w="3240" w:type="dxa"/>
          </w:tcPr>
          <w:p w14:paraId="77631725" w14:textId="0886A9B1" w:rsidR="0065519D" w:rsidRPr="000058F1" w:rsidRDefault="0065519D" w:rsidP="00C97201">
            <w:pPr>
              <w:suppressLineNumbers/>
              <w:suppressAutoHyphens/>
              <w:kinsoku w:val="0"/>
              <w:overflowPunct w:val="0"/>
              <w:autoSpaceDE w:val="0"/>
              <w:autoSpaceDN w:val="0"/>
              <w:adjustRightInd w:val="0"/>
              <w:snapToGrid w:val="0"/>
              <w:jc w:val="left"/>
              <w:rPr>
                <w:snapToGrid w:val="0"/>
                <w:kern w:val="22"/>
                <w:szCs w:val="22"/>
                <w:lang w:eastAsia="en-CA"/>
              </w:rPr>
            </w:pPr>
            <w:r w:rsidRPr="000058F1">
              <w:rPr>
                <w:snapToGrid w:val="0"/>
                <w:kern w:val="22"/>
                <w:szCs w:val="22"/>
                <w:lang w:eastAsia="en-CA"/>
              </w:rPr>
              <w:t xml:space="preserve">SDG: Protected Planet: </w:t>
            </w:r>
            <w:hyperlink r:id="rId26" w:history="1">
              <w:r w:rsidRPr="000058F1">
                <w:rPr>
                  <w:rStyle w:val="Hyperlink"/>
                  <w:snapToGrid w:val="0"/>
                  <w:kern w:val="22"/>
                  <w:sz w:val="22"/>
                  <w:szCs w:val="22"/>
                  <w:lang w:eastAsia="en-CA"/>
                </w:rPr>
                <w:t>https://www.protectedplanet.net/en</w:t>
              </w:r>
            </w:hyperlink>
          </w:p>
        </w:tc>
        <w:tc>
          <w:tcPr>
            <w:tcW w:w="1894" w:type="dxa"/>
          </w:tcPr>
          <w:p w14:paraId="2F7BD70F"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kern w:val="22"/>
                <w:szCs w:val="22"/>
                <w:lang w:eastAsia="en-CA"/>
              </w:rPr>
            </w:pPr>
            <w:r w:rsidRPr="000058F1">
              <w:rPr>
                <w:snapToGrid w:val="0"/>
                <w:kern w:val="22"/>
                <w:szCs w:val="22"/>
                <w:lang w:eastAsia="en-CA"/>
              </w:rPr>
              <w:t>Existing, PA data from pre-1970 to present, OECM data under compilation</w:t>
            </w:r>
          </w:p>
        </w:tc>
      </w:tr>
      <w:tr w:rsidR="0065519D" w:rsidRPr="000058F1" w14:paraId="6864A21E" w14:textId="77777777" w:rsidTr="00C97201">
        <w:trPr>
          <w:trHeight w:val="610"/>
          <w:jc w:val="center"/>
        </w:trPr>
        <w:tc>
          <w:tcPr>
            <w:tcW w:w="3595" w:type="dxa"/>
            <w:vMerge w:val="restart"/>
            <w:shd w:val="clear" w:color="auto" w:fill="auto"/>
          </w:tcPr>
          <w:p w14:paraId="4C4C4C09" w14:textId="1B94D0CC" w:rsidR="0065519D" w:rsidRPr="000058F1" w:rsidRDefault="0065519D" w:rsidP="00C97201">
            <w:pPr>
              <w:suppressLineNumbers/>
              <w:suppressAutoHyphens/>
              <w:kinsoku w:val="0"/>
              <w:overflowPunct w:val="0"/>
              <w:autoSpaceDE w:val="0"/>
              <w:autoSpaceDN w:val="0"/>
              <w:adjustRightInd w:val="0"/>
              <w:snapToGrid w:val="0"/>
              <w:jc w:val="left"/>
              <w:rPr>
                <w:b/>
                <w:snapToGrid w:val="0"/>
                <w:color w:val="000000"/>
                <w:kern w:val="22"/>
                <w:szCs w:val="22"/>
                <w:lang w:eastAsia="en-CA"/>
              </w:rPr>
            </w:pPr>
            <w:r w:rsidRPr="000058F1">
              <w:rPr>
                <w:b/>
                <w:snapToGrid w:val="0"/>
                <w:color w:val="000000"/>
                <w:kern w:val="22"/>
                <w:szCs w:val="22"/>
                <w:lang w:eastAsia="en-CA"/>
              </w:rPr>
              <w:t xml:space="preserve">Target 4. </w:t>
            </w:r>
            <w:r w:rsidRPr="000058F1">
              <w:rPr>
                <w:snapToGrid w:val="0"/>
                <w:color w:val="000000"/>
                <w:kern w:val="22"/>
                <w:szCs w:val="22"/>
                <w:lang w:eastAsia="en-CA"/>
              </w:rPr>
              <w:t xml:space="preserve">Ensure active management actions to enable the recovery and conservation of species and the genetic diversity of wild and domesticated species, including through ex situ conservation, and effectively manage human-wildlife interactions to avoid or reduce human-wildlife </w:t>
            </w:r>
            <w:r w:rsidRPr="00C6779E">
              <w:rPr>
                <w:snapToGrid w:val="0"/>
                <w:color w:val="000000"/>
                <w:kern w:val="22"/>
                <w:szCs w:val="22"/>
                <w:lang w:eastAsia="en-CA"/>
              </w:rPr>
              <w:t>conflict</w:t>
            </w:r>
            <w:r w:rsidR="00C6779E" w:rsidRPr="00444C31">
              <w:rPr>
                <w:snapToGrid w:val="0"/>
                <w:color w:val="000000"/>
                <w:kern w:val="22"/>
                <w:szCs w:val="22"/>
                <w:lang w:eastAsia="en-CA"/>
              </w:rPr>
              <w:t>.</w:t>
            </w:r>
          </w:p>
        </w:tc>
        <w:tc>
          <w:tcPr>
            <w:tcW w:w="2430" w:type="dxa"/>
            <w:shd w:val="clear" w:color="auto" w:fill="auto"/>
          </w:tcPr>
          <w:p w14:paraId="1195C137" w14:textId="5D4841BE" w:rsidR="0065519D" w:rsidRPr="000058F1" w:rsidRDefault="0065519D">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t xml:space="preserve">4.0.1 </w:t>
            </w:r>
            <w:r w:rsidRPr="000058F1">
              <w:t>Proportion of species populations that are affected by human wildlife conflict</w:t>
            </w:r>
          </w:p>
        </w:tc>
        <w:tc>
          <w:tcPr>
            <w:tcW w:w="1620" w:type="dxa"/>
            <w:shd w:val="clear" w:color="auto" w:fill="auto"/>
          </w:tcPr>
          <w:p w14:paraId="392223F6"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p>
        </w:tc>
        <w:tc>
          <w:tcPr>
            <w:tcW w:w="1350" w:type="dxa"/>
            <w:shd w:val="clear" w:color="auto" w:fill="auto"/>
          </w:tcPr>
          <w:p w14:paraId="6DCA6B0F"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p>
        </w:tc>
        <w:tc>
          <w:tcPr>
            <w:tcW w:w="3240" w:type="dxa"/>
          </w:tcPr>
          <w:p w14:paraId="0979FE5C" w14:textId="7ED304CA"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t xml:space="preserve">IUCN SSC Human-Wildlife Conflict Task Force: </w:t>
            </w:r>
            <w:hyperlink r:id="rId27" w:history="1">
              <w:r w:rsidRPr="000058F1">
                <w:rPr>
                  <w:rStyle w:val="Hyperlink"/>
                  <w:sz w:val="22"/>
                </w:rPr>
                <w:t>https://www.hwctf.org/</w:t>
              </w:r>
            </w:hyperlink>
          </w:p>
        </w:tc>
        <w:tc>
          <w:tcPr>
            <w:tcW w:w="1894" w:type="dxa"/>
          </w:tcPr>
          <w:p w14:paraId="281FD615"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t>Near ready, 2020/21**</w:t>
            </w:r>
          </w:p>
        </w:tc>
      </w:tr>
      <w:tr w:rsidR="0065519D" w:rsidRPr="000058F1" w14:paraId="6F523350" w14:textId="77777777" w:rsidTr="00C97201">
        <w:trPr>
          <w:trHeight w:val="610"/>
          <w:jc w:val="center"/>
        </w:trPr>
        <w:tc>
          <w:tcPr>
            <w:tcW w:w="3595" w:type="dxa"/>
            <w:vMerge/>
            <w:shd w:val="clear" w:color="auto" w:fill="auto"/>
          </w:tcPr>
          <w:p w14:paraId="77AC4577" w14:textId="77777777" w:rsidR="0065519D" w:rsidRPr="000058F1" w:rsidRDefault="0065519D" w:rsidP="00C97201">
            <w:pPr>
              <w:suppressLineNumbers/>
              <w:suppressAutoHyphens/>
              <w:kinsoku w:val="0"/>
              <w:overflowPunct w:val="0"/>
              <w:autoSpaceDE w:val="0"/>
              <w:autoSpaceDN w:val="0"/>
              <w:adjustRightInd w:val="0"/>
              <w:snapToGrid w:val="0"/>
              <w:jc w:val="left"/>
              <w:rPr>
                <w:b/>
                <w:snapToGrid w:val="0"/>
                <w:color w:val="000000"/>
                <w:kern w:val="22"/>
                <w:szCs w:val="22"/>
                <w:lang w:eastAsia="en-CA"/>
              </w:rPr>
            </w:pPr>
          </w:p>
        </w:tc>
        <w:tc>
          <w:tcPr>
            <w:tcW w:w="2430" w:type="dxa"/>
            <w:shd w:val="clear" w:color="auto" w:fill="auto"/>
          </w:tcPr>
          <w:p w14:paraId="26F1EE01" w14:textId="6A62607D"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t>4.0.2 Number of plant genetic resources for food and agriculture secured in medium or long</w:t>
            </w:r>
            <w:r w:rsidR="006B6476" w:rsidRPr="000058F1">
              <w:rPr>
                <w:snapToGrid w:val="0"/>
                <w:color w:val="000000"/>
                <w:kern w:val="22"/>
                <w:szCs w:val="22"/>
                <w:lang w:eastAsia="en-CA"/>
              </w:rPr>
              <w:t>-</w:t>
            </w:r>
            <w:r w:rsidRPr="000058F1">
              <w:rPr>
                <w:snapToGrid w:val="0"/>
                <w:color w:val="000000"/>
                <w:kern w:val="22"/>
                <w:szCs w:val="22"/>
                <w:lang w:eastAsia="en-CA"/>
              </w:rPr>
              <w:t>term conservation facilities</w:t>
            </w:r>
          </w:p>
        </w:tc>
        <w:tc>
          <w:tcPr>
            <w:tcW w:w="1620" w:type="dxa"/>
            <w:shd w:val="clear" w:color="auto" w:fill="auto"/>
          </w:tcPr>
          <w:p w14:paraId="2A4454F0"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p>
        </w:tc>
        <w:tc>
          <w:tcPr>
            <w:tcW w:w="1350" w:type="dxa"/>
            <w:shd w:val="clear" w:color="auto" w:fill="auto"/>
          </w:tcPr>
          <w:p w14:paraId="1A7B33FC"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t>SDG (2.5.1a)</w:t>
            </w:r>
          </w:p>
        </w:tc>
        <w:tc>
          <w:tcPr>
            <w:tcW w:w="3240" w:type="dxa"/>
          </w:tcPr>
          <w:p w14:paraId="03861840" w14:textId="07E486CC" w:rsidR="0065519D" w:rsidRPr="000058F1" w:rsidRDefault="0065519D" w:rsidP="00C97201">
            <w:pPr>
              <w:suppressLineNumbers/>
              <w:suppressAutoHyphens/>
              <w:kinsoku w:val="0"/>
              <w:overflowPunct w:val="0"/>
              <w:autoSpaceDE w:val="0"/>
              <w:autoSpaceDN w:val="0"/>
              <w:adjustRightInd w:val="0"/>
              <w:snapToGrid w:val="0"/>
              <w:jc w:val="left"/>
            </w:pPr>
            <w:r w:rsidRPr="000058F1">
              <w:t xml:space="preserve">SDG: FAO: </w:t>
            </w:r>
            <w:hyperlink r:id="rId28" w:history="1">
              <w:r w:rsidRPr="000058F1">
                <w:rPr>
                  <w:rStyle w:val="Hyperlink"/>
                  <w:sz w:val="22"/>
                </w:rPr>
                <w:t>http://www.fao.org/sustainable-development-goals/indicators/251a/en/</w:t>
              </w:r>
            </w:hyperlink>
            <w:r w:rsidRPr="00044510">
              <w:t xml:space="preserve"> (currently captures plants but there is work on livestock under 2.5.1b which is </w:t>
            </w:r>
            <w:r w:rsidRPr="000058F1">
              <w:t>under</w:t>
            </w:r>
            <w:r w:rsidR="001E1A97">
              <w:t xml:space="preserve"> </w:t>
            </w:r>
            <w:r w:rsidRPr="00044510">
              <w:t>way</w:t>
            </w:r>
            <w:r w:rsidRPr="000058F1">
              <w:t>)</w:t>
            </w:r>
          </w:p>
        </w:tc>
        <w:tc>
          <w:tcPr>
            <w:tcW w:w="1894" w:type="dxa"/>
          </w:tcPr>
          <w:p w14:paraId="4A5D1096"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t>Existing, 2000 to present</w:t>
            </w:r>
          </w:p>
        </w:tc>
      </w:tr>
      <w:tr w:rsidR="0065519D" w:rsidRPr="000058F1" w14:paraId="2AA55DC2" w14:textId="77777777" w:rsidTr="00C97201">
        <w:trPr>
          <w:trHeight w:val="610"/>
          <w:jc w:val="center"/>
        </w:trPr>
        <w:tc>
          <w:tcPr>
            <w:tcW w:w="3595" w:type="dxa"/>
            <w:vMerge w:val="restart"/>
            <w:shd w:val="clear" w:color="auto" w:fill="auto"/>
            <w:hideMark/>
          </w:tcPr>
          <w:p w14:paraId="3F8788B0"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b/>
                <w:snapToGrid w:val="0"/>
                <w:color w:val="000000"/>
                <w:kern w:val="22"/>
                <w:szCs w:val="22"/>
                <w:lang w:eastAsia="en-CA"/>
              </w:rPr>
              <w:t>Target 5.</w:t>
            </w:r>
            <w:r w:rsidRPr="000058F1">
              <w:rPr>
                <w:snapToGrid w:val="0"/>
                <w:color w:val="000000"/>
                <w:kern w:val="22"/>
                <w:szCs w:val="22"/>
                <w:lang w:eastAsia="en-CA"/>
              </w:rPr>
              <w:t xml:space="preserve"> Ensure that the harvesting, trade and use of wild species is sustainable, legal, and safe for human health.</w:t>
            </w:r>
          </w:p>
        </w:tc>
        <w:tc>
          <w:tcPr>
            <w:tcW w:w="2430" w:type="dxa"/>
            <w:shd w:val="clear" w:color="auto" w:fill="auto"/>
            <w:hideMark/>
          </w:tcPr>
          <w:p w14:paraId="4D938EE5"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t>5.0.1 Proportion of wildlife that is harvested legally and sustainably*</w:t>
            </w:r>
          </w:p>
        </w:tc>
        <w:tc>
          <w:tcPr>
            <w:tcW w:w="1620" w:type="dxa"/>
            <w:shd w:val="clear" w:color="auto" w:fill="auto"/>
            <w:hideMark/>
          </w:tcPr>
          <w:p w14:paraId="30DDC18E"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t>By species group</w:t>
            </w:r>
          </w:p>
          <w:p w14:paraId="465740AC"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t>By use: domestic or traded</w:t>
            </w:r>
          </w:p>
        </w:tc>
        <w:tc>
          <w:tcPr>
            <w:tcW w:w="1350" w:type="dxa"/>
            <w:shd w:val="clear" w:color="auto" w:fill="auto"/>
            <w:hideMark/>
          </w:tcPr>
          <w:p w14:paraId="1C58E964"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p>
        </w:tc>
        <w:tc>
          <w:tcPr>
            <w:tcW w:w="3240" w:type="dxa"/>
          </w:tcPr>
          <w:p w14:paraId="19FE722E"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t>CBD: This indicator would fill a knowledge gap but would require additional research and development.</w:t>
            </w:r>
          </w:p>
        </w:tc>
        <w:tc>
          <w:tcPr>
            <w:tcW w:w="1894" w:type="dxa"/>
          </w:tcPr>
          <w:p w14:paraId="516F01D0"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t>Needs developed</w:t>
            </w:r>
          </w:p>
        </w:tc>
      </w:tr>
      <w:tr w:rsidR="0065519D" w:rsidRPr="000058F1" w14:paraId="6B0543E8" w14:textId="77777777" w:rsidTr="00C97201">
        <w:trPr>
          <w:trHeight w:val="520"/>
          <w:jc w:val="center"/>
        </w:trPr>
        <w:tc>
          <w:tcPr>
            <w:tcW w:w="3595" w:type="dxa"/>
            <w:vMerge/>
            <w:hideMark/>
          </w:tcPr>
          <w:p w14:paraId="250AA31C"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p>
        </w:tc>
        <w:tc>
          <w:tcPr>
            <w:tcW w:w="2430" w:type="dxa"/>
            <w:shd w:val="clear" w:color="auto" w:fill="auto"/>
            <w:hideMark/>
          </w:tcPr>
          <w:p w14:paraId="24203587"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t xml:space="preserve">5.0.2 Proportion of fish stocks within </w:t>
            </w:r>
            <w:r w:rsidRPr="000058F1">
              <w:rPr>
                <w:snapToGrid w:val="0"/>
                <w:color w:val="000000"/>
                <w:kern w:val="22"/>
                <w:szCs w:val="22"/>
                <w:lang w:eastAsia="en-CA"/>
              </w:rPr>
              <w:lastRenderedPageBreak/>
              <w:t>biologically sustainable levels</w:t>
            </w:r>
          </w:p>
        </w:tc>
        <w:tc>
          <w:tcPr>
            <w:tcW w:w="1620" w:type="dxa"/>
            <w:shd w:val="clear" w:color="auto" w:fill="auto"/>
            <w:hideMark/>
          </w:tcPr>
          <w:p w14:paraId="02B2330B"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lastRenderedPageBreak/>
              <w:t>By type of fish</w:t>
            </w:r>
          </w:p>
        </w:tc>
        <w:tc>
          <w:tcPr>
            <w:tcW w:w="1350" w:type="dxa"/>
            <w:shd w:val="clear" w:color="auto" w:fill="auto"/>
            <w:noWrap/>
            <w:hideMark/>
          </w:tcPr>
          <w:p w14:paraId="095CECEA"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t>SDG (14.4.1)</w:t>
            </w:r>
          </w:p>
        </w:tc>
        <w:tc>
          <w:tcPr>
            <w:tcW w:w="3240" w:type="dxa"/>
          </w:tcPr>
          <w:p w14:paraId="4CF97E2A" w14:textId="56EDC24B"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t xml:space="preserve">SDG: FAO: </w:t>
            </w:r>
            <w:hyperlink r:id="rId29" w:history="1">
              <w:r w:rsidRPr="000058F1">
                <w:rPr>
                  <w:rStyle w:val="Hyperlink"/>
                  <w:snapToGrid w:val="0"/>
                  <w:kern w:val="22"/>
                  <w:sz w:val="22"/>
                  <w:szCs w:val="22"/>
                  <w:lang w:eastAsia="en-CA"/>
                </w:rPr>
                <w:t>http://www.fao.org/sustainable-</w:t>
              </w:r>
              <w:r w:rsidRPr="000058F1">
                <w:rPr>
                  <w:rStyle w:val="Hyperlink"/>
                  <w:snapToGrid w:val="0"/>
                  <w:kern w:val="22"/>
                  <w:sz w:val="22"/>
                  <w:szCs w:val="22"/>
                  <w:lang w:eastAsia="en-CA"/>
                </w:rPr>
                <w:lastRenderedPageBreak/>
                <w:t>development-goals/indicators/1441/en/</w:t>
              </w:r>
            </w:hyperlink>
            <w:r w:rsidRPr="00044510">
              <w:rPr>
                <w:snapToGrid w:val="0"/>
                <w:color w:val="000000"/>
                <w:kern w:val="22"/>
                <w:szCs w:val="22"/>
                <w:lang w:eastAsia="en-CA"/>
              </w:rPr>
              <w:t xml:space="preserve"> </w:t>
            </w:r>
          </w:p>
        </w:tc>
        <w:tc>
          <w:tcPr>
            <w:tcW w:w="1894" w:type="dxa"/>
          </w:tcPr>
          <w:p w14:paraId="1A69E1B9"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lastRenderedPageBreak/>
              <w:t>Existing, data from 1970 to present</w:t>
            </w:r>
          </w:p>
        </w:tc>
      </w:tr>
      <w:tr w:rsidR="0065519D" w:rsidRPr="000058F1" w14:paraId="12E40147" w14:textId="77777777" w:rsidTr="00C97201">
        <w:trPr>
          <w:trHeight w:val="446"/>
          <w:jc w:val="center"/>
        </w:trPr>
        <w:tc>
          <w:tcPr>
            <w:tcW w:w="3595" w:type="dxa"/>
            <w:shd w:val="clear" w:color="auto" w:fill="auto"/>
            <w:hideMark/>
          </w:tcPr>
          <w:p w14:paraId="440B02FB" w14:textId="261E6D8D"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b/>
                <w:snapToGrid w:val="0"/>
                <w:color w:val="000000"/>
                <w:kern w:val="22"/>
                <w:szCs w:val="22"/>
                <w:lang w:eastAsia="en-CA"/>
              </w:rPr>
              <w:t>Target 6.</w:t>
            </w:r>
            <w:r w:rsidRPr="000058F1">
              <w:rPr>
                <w:snapToGrid w:val="0"/>
                <w:color w:val="000000"/>
                <w:kern w:val="22"/>
                <w:szCs w:val="22"/>
                <w:lang w:eastAsia="en-CA"/>
              </w:rPr>
              <w:t xml:space="preserve"> </w:t>
            </w:r>
            <w:r w:rsidRPr="000058F1">
              <w:rPr>
                <w:snapToGrid w:val="0"/>
                <w:kern w:val="22"/>
              </w:rPr>
              <w:t>Manage pathways for the introduction of invasive alien species, preventing, or reducing their rate of introduction and establishment by at least 50%, and control or eradicate invasive alien species to eliminate or reduce their impacts, focusing on priority species and priority sites.</w:t>
            </w:r>
          </w:p>
        </w:tc>
        <w:tc>
          <w:tcPr>
            <w:tcW w:w="2430" w:type="dxa"/>
            <w:shd w:val="clear" w:color="auto" w:fill="auto"/>
            <w:hideMark/>
          </w:tcPr>
          <w:p w14:paraId="076A6AFD" w14:textId="65768CFF"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t>6.0.1 Rate of invasive alien species spread</w:t>
            </w:r>
          </w:p>
        </w:tc>
        <w:tc>
          <w:tcPr>
            <w:tcW w:w="1620" w:type="dxa"/>
            <w:shd w:val="clear" w:color="auto" w:fill="auto"/>
            <w:hideMark/>
          </w:tcPr>
          <w:p w14:paraId="1008D42E" w14:textId="2F90BE5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t>By pathway</w:t>
            </w:r>
          </w:p>
        </w:tc>
        <w:tc>
          <w:tcPr>
            <w:tcW w:w="1350" w:type="dxa"/>
            <w:shd w:val="clear" w:color="auto" w:fill="auto"/>
            <w:hideMark/>
          </w:tcPr>
          <w:p w14:paraId="3DC0A554"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p>
        </w:tc>
        <w:tc>
          <w:tcPr>
            <w:tcW w:w="3240" w:type="dxa"/>
          </w:tcPr>
          <w:p w14:paraId="22935F55" w14:textId="4C5EE150" w:rsidR="0065519D" w:rsidRPr="00444C3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444C31">
              <w:rPr>
                <w:snapToGrid w:val="0"/>
                <w:color w:val="000000"/>
                <w:kern w:val="22"/>
                <w:szCs w:val="22"/>
                <w:lang w:eastAsia="en-CA"/>
              </w:rPr>
              <w:t xml:space="preserve">GEOBON: </w:t>
            </w:r>
            <w:hyperlink r:id="rId30" w:history="1">
              <w:r w:rsidRPr="00444C31">
                <w:rPr>
                  <w:rStyle w:val="Hyperlink"/>
                  <w:snapToGrid w:val="0"/>
                  <w:kern w:val="22"/>
                  <w:sz w:val="22"/>
                  <w:szCs w:val="22"/>
                  <w:lang w:eastAsia="en-CA"/>
                </w:rPr>
                <w:t>https://geobon.org/ebvs/working-groups/species-populations/ebv-for-invasion-monitoring/</w:t>
              </w:r>
            </w:hyperlink>
          </w:p>
        </w:tc>
        <w:tc>
          <w:tcPr>
            <w:tcW w:w="1894" w:type="dxa"/>
          </w:tcPr>
          <w:p w14:paraId="0ABD153A"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44510">
              <w:rPr>
                <w:snapToGrid w:val="0"/>
                <w:color w:val="000000"/>
                <w:kern w:val="22"/>
                <w:szCs w:val="22"/>
                <w:lang w:eastAsia="en-CA"/>
              </w:rPr>
              <w:t>Near ready wil</w:t>
            </w:r>
            <w:r w:rsidRPr="000058F1">
              <w:rPr>
                <w:snapToGrid w:val="0"/>
                <w:color w:val="000000"/>
                <w:kern w:val="22"/>
                <w:szCs w:val="22"/>
                <w:lang w:eastAsia="en-CA"/>
              </w:rPr>
              <w:t>l be 1980 forward**</w:t>
            </w:r>
          </w:p>
        </w:tc>
      </w:tr>
      <w:tr w:rsidR="0065519D" w:rsidRPr="000058F1" w14:paraId="291D4276" w14:textId="77777777" w:rsidTr="00C97201">
        <w:trPr>
          <w:trHeight w:val="670"/>
          <w:jc w:val="center"/>
        </w:trPr>
        <w:tc>
          <w:tcPr>
            <w:tcW w:w="3595" w:type="dxa"/>
            <w:vMerge w:val="restart"/>
            <w:shd w:val="clear" w:color="auto" w:fill="auto"/>
            <w:hideMark/>
          </w:tcPr>
          <w:p w14:paraId="5011C4E7" w14:textId="4162CC31"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b/>
                <w:snapToGrid w:val="0"/>
                <w:color w:val="000000"/>
                <w:kern w:val="22"/>
                <w:szCs w:val="22"/>
                <w:lang w:eastAsia="en-CA"/>
              </w:rPr>
              <w:t xml:space="preserve">Target 7. </w:t>
            </w:r>
            <w:r w:rsidRPr="000058F1">
              <w:rPr>
                <w:snapToGrid w:val="0"/>
                <w:color w:val="000000"/>
                <w:kern w:val="22"/>
                <w:szCs w:val="22"/>
                <w:lang w:eastAsia="en-CA"/>
              </w:rPr>
              <w:t>Reduce pollution from all sources to levels that are not harmful to biodiversity</w:t>
            </w:r>
            <w:r w:rsidR="00023A79">
              <w:rPr>
                <w:snapToGrid w:val="0"/>
                <w:color w:val="000000"/>
                <w:kern w:val="22"/>
                <w:szCs w:val="22"/>
                <w:lang w:eastAsia="en-CA"/>
              </w:rPr>
              <w:t>,</w:t>
            </w:r>
            <w:r w:rsidRPr="000058F1">
              <w:rPr>
                <w:snapToGrid w:val="0"/>
                <w:color w:val="000000"/>
                <w:kern w:val="22"/>
                <w:szCs w:val="22"/>
                <w:lang w:eastAsia="en-CA"/>
              </w:rPr>
              <w:t xml:space="preserve"> ecosystem functions </w:t>
            </w:r>
            <w:r w:rsidR="00023A79">
              <w:rPr>
                <w:snapToGrid w:val="0"/>
                <w:color w:val="000000"/>
                <w:kern w:val="22"/>
                <w:szCs w:val="22"/>
                <w:lang w:eastAsia="en-CA"/>
              </w:rPr>
              <w:t>or</w:t>
            </w:r>
            <w:r w:rsidRPr="000058F1">
              <w:rPr>
                <w:snapToGrid w:val="0"/>
                <w:color w:val="000000"/>
                <w:kern w:val="22"/>
                <w:szCs w:val="22"/>
                <w:lang w:eastAsia="en-CA"/>
              </w:rPr>
              <w:t xml:space="preserve"> human health, including by reducing nutrients lost to the environment by at least half, and pesticides by at least two thirds and eliminating the discharge of plastic waste.</w:t>
            </w:r>
          </w:p>
        </w:tc>
        <w:tc>
          <w:tcPr>
            <w:tcW w:w="2430" w:type="dxa"/>
            <w:shd w:val="clear" w:color="auto" w:fill="auto"/>
            <w:hideMark/>
          </w:tcPr>
          <w:p w14:paraId="54BBB007" w14:textId="064043E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t>7.0.1 Index of coastal eutrophication potential (excess nitrogen and phosphate loading, exported from national boundaries)</w:t>
            </w:r>
          </w:p>
        </w:tc>
        <w:tc>
          <w:tcPr>
            <w:tcW w:w="1620" w:type="dxa"/>
            <w:shd w:val="clear" w:color="auto" w:fill="auto"/>
            <w:hideMark/>
          </w:tcPr>
          <w:p w14:paraId="3F5CDBC7"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t>By water body type</w:t>
            </w:r>
          </w:p>
        </w:tc>
        <w:tc>
          <w:tcPr>
            <w:tcW w:w="1350" w:type="dxa"/>
            <w:shd w:val="clear" w:color="auto" w:fill="auto"/>
            <w:hideMark/>
          </w:tcPr>
          <w:p w14:paraId="686835F6" w14:textId="6A79AF0F"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t>SDG (14.1.1a)</w:t>
            </w:r>
          </w:p>
        </w:tc>
        <w:tc>
          <w:tcPr>
            <w:tcW w:w="3240" w:type="dxa"/>
          </w:tcPr>
          <w:p w14:paraId="52B68A1D" w14:textId="067E680E"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t xml:space="preserve">SDG: UNEP: </w:t>
            </w:r>
            <w:hyperlink r:id="rId31" w:history="1">
              <w:r w:rsidRPr="000058F1">
                <w:rPr>
                  <w:rStyle w:val="Hyperlink"/>
                  <w:snapToGrid w:val="0"/>
                  <w:kern w:val="22"/>
                  <w:sz w:val="22"/>
                  <w:szCs w:val="22"/>
                  <w:lang w:eastAsia="en-CA"/>
                </w:rPr>
                <w:t>https://www.unep.org/explore-topics/sustainable-development-goals/why-do-sustainable-development-goals-matter/goal-14</w:t>
              </w:r>
            </w:hyperlink>
          </w:p>
        </w:tc>
        <w:tc>
          <w:tcPr>
            <w:tcW w:w="1894" w:type="dxa"/>
          </w:tcPr>
          <w:p w14:paraId="3FDD5546"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t>Existing, data from 2010 to present</w:t>
            </w:r>
          </w:p>
        </w:tc>
      </w:tr>
      <w:tr w:rsidR="0065519D" w:rsidRPr="000058F1" w14:paraId="4D86F39C" w14:textId="77777777" w:rsidTr="00C97201">
        <w:trPr>
          <w:trHeight w:val="790"/>
          <w:jc w:val="center"/>
        </w:trPr>
        <w:tc>
          <w:tcPr>
            <w:tcW w:w="3595" w:type="dxa"/>
            <w:vMerge/>
            <w:hideMark/>
          </w:tcPr>
          <w:p w14:paraId="628B6F26"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p>
        </w:tc>
        <w:tc>
          <w:tcPr>
            <w:tcW w:w="2430" w:type="dxa"/>
            <w:shd w:val="clear" w:color="auto" w:fill="auto"/>
            <w:hideMark/>
          </w:tcPr>
          <w:p w14:paraId="1A33ED2F" w14:textId="18D546DA"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t>7.0.2 Plastic debris density</w:t>
            </w:r>
          </w:p>
        </w:tc>
        <w:tc>
          <w:tcPr>
            <w:tcW w:w="1620" w:type="dxa"/>
            <w:shd w:val="clear" w:color="auto" w:fill="auto"/>
            <w:hideMark/>
          </w:tcPr>
          <w:p w14:paraId="551ED886"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t>By location (beach, floating, sea column, sea floor)</w:t>
            </w:r>
          </w:p>
        </w:tc>
        <w:tc>
          <w:tcPr>
            <w:tcW w:w="1350" w:type="dxa"/>
            <w:shd w:val="clear" w:color="auto" w:fill="auto"/>
            <w:hideMark/>
          </w:tcPr>
          <w:p w14:paraId="1B656C37"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t>SDG (14.1.1.b)</w:t>
            </w:r>
          </w:p>
        </w:tc>
        <w:tc>
          <w:tcPr>
            <w:tcW w:w="3240" w:type="dxa"/>
          </w:tcPr>
          <w:p w14:paraId="1CF54429" w14:textId="32019364"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t xml:space="preserve">SDG: UNEP: </w:t>
            </w:r>
            <w:hyperlink r:id="rId32" w:history="1">
              <w:r w:rsidRPr="000058F1">
                <w:rPr>
                  <w:rStyle w:val="Hyperlink"/>
                  <w:snapToGrid w:val="0"/>
                  <w:kern w:val="22"/>
                  <w:sz w:val="22"/>
                  <w:szCs w:val="22"/>
                  <w:lang w:eastAsia="en-CA"/>
                </w:rPr>
                <w:t>https://www.unep.org/explore-topics/sustainable-development-goals/why-do-sustainable-development-goals-matter/goal-14</w:t>
              </w:r>
            </w:hyperlink>
            <w:r w:rsidRPr="00044510">
              <w:rPr>
                <w:snapToGrid w:val="0"/>
                <w:color w:val="000000"/>
                <w:kern w:val="22"/>
                <w:szCs w:val="22"/>
                <w:lang w:eastAsia="en-CA"/>
              </w:rPr>
              <w:t xml:space="preserve"> </w:t>
            </w:r>
          </w:p>
        </w:tc>
        <w:tc>
          <w:tcPr>
            <w:tcW w:w="1894" w:type="dxa"/>
          </w:tcPr>
          <w:p w14:paraId="0844ABFE"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t>Existing on beach litter, from 2020</w:t>
            </w:r>
          </w:p>
        </w:tc>
      </w:tr>
      <w:tr w:rsidR="0065519D" w:rsidRPr="000058F1" w14:paraId="6EC102DA" w14:textId="77777777" w:rsidTr="00C97201">
        <w:trPr>
          <w:trHeight w:val="842"/>
          <w:jc w:val="center"/>
        </w:trPr>
        <w:tc>
          <w:tcPr>
            <w:tcW w:w="3595" w:type="dxa"/>
            <w:vMerge/>
            <w:hideMark/>
          </w:tcPr>
          <w:p w14:paraId="4D3C7453"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p>
        </w:tc>
        <w:tc>
          <w:tcPr>
            <w:tcW w:w="2430" w:type="dxa"/>
            <w:shd w:val="clear" w:color="auto" w:fill="auto"/>
            <w:hideMark/>
          </w:tcPr>
          <w:p w14:paraId="23476706" w14:textId="64029C4D"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t>7.0.3 Pesticide use per area of cropland</w:t>
            </w:r>
          </w:p>
        </w:tc>
        <w:tc>
          <w:tcPr>
            <w:tcW w:w="1620" w:type="dxa"/>
            <w:shd w:val="clear" w:color="auto" w:fill="auto"/>
            <w:hideMark/>
          </w:tcPr>
          <w:p w14:paraId="054826FA"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t>By pesticide type</w:t>
            </w:r>
          </w:p>
        </w:tc>
        <w:tc>
          <w:tcPr>
            <w:tcW w:w="1350" w:type="dxa"/>
            <w:shd w:val="clear" w:color="auto" w:fill="auto"/>
            <w:hideMark/>
          </w:tcPr>
          <w:p w14:paraId="3C0BF779"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t>FAO</w:t>
            </w:r>
          </w:p>
        </w:tc>
        <w:tc>
          <w:tcPr>
            <w:tcW w:w="3240" w:type="dxa"/>
          </w:tcPr>
          <w:p w14:paraId="3221AEB4" w14:textId="2E41BD1B"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t xml:space="preserve">FAO: </w:t>
            </w:r>
            <w:hyperlink r:id="rId33" w:anchor="data/EP/visualize" w:history="1">
              <w:r w:rsidRPr="000058F1">
                <w:rPr>
                  <w:rStyle w:val="Hyperlink"/>
                  <w:snapToGrid w:val="0"/>
                  <w:kern w:val="22"/>
                  <w:sz w:val="22"/>
                  <w:szCs w:val="22"/>
                  <w:lang w:eastAsia="en-CA"/>
                </w:rPr>
                <w:t>http://www.fao.org/faostat/en/#data/EP/visualize</w:t>
              </w:r>
            </w:hyperlink>
            <w:r w:rsidRPr="00044510">
              <w:rPr>
                <w:snapToGrid w:val="0"/>
                <w:color w:val="000000"/>
                <w:kern w:val="22"/>
                <w:szCs w:val="22"/>
                <w:lang w:eastAsia="en-CA"/>
              </w:rPr>
              <w:t xml:space="preserve"> </w:t>
            </w:r>
          </w:p>
        </w:tc>
        <w:tc>
          <w:tcPr>
            <w:tcW w:w="1894" w:type="dxa"/>
          </w:tcPr>
          <w:p w14:paraId="51380FBF"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t>Existing, data from 1990 to present</w:t>
            </w:r>
          </w:p>
        </w:tc>
      </w:tr>
      <w:tr w:rsidR="0065519D" w:rsidRPr="000058F1" w14:paraId="72C84A4F" w14:textId="77777777" w:rsidTr="00C97201">
        <w:trPr>
          <w:trHeight w:val="1040"/>
          <w:jc w:val="center"/>
        </w:trPr>
        <w:tc>
          <w:tcPr>
            <w:tcW w:w="3595" w:type="dxa"/>
            <w:shd w:val="clear" w:color="auto" w:fill="auto"/>
            <w:hideMark/>
          </w:tcPr>
          <w:p w14:paraId="7D9757AF" w14:textId="6D4ADE2F"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b/>
                <w:snapToGrid w:val="0"/>
                <w:color w:val="000000"/>
                <w:kern w:val="22"/>
                <w:szCs w:val="22"/>
                <w:lang w:eastAsia="en-CA"/>
              </w:rPr>
              <w:t>Target 8.</w:t>
            </w:r>
            <w:r w:rsidRPr="000058F1">
              <w:rPr>
                <w:snapToGrid w:val="0"/>
                <w:color w:val="000000"/>
                <w:kern w:val="22"/>
                <w:szCs w:val="22"/>
                <w:lang w:eastAsia="en-CA"/>
              </w:rPr>
              <w:t xml:space="preserve"> Minimize the impact of climate change on biodiversity, contribute to mitigation and adaptation through ecosystem-based approaches, contributing at least 10</w:t>
            </w:r>
            <w:r w:rsidR="00651547">
              <w:rPr>
                <w:snapToGrid w:val="0"/>
                <w:color w:val="000000"/>
                <w:kern w:val="22"/>
                <w:szCs w:val="22"/>
                <w:lang w:eastAsia="en-CA"/>
              </w:rPr>
              <w:t> </w:t>
            </w:r>
            <w:r w:rsidRPr="000058F1">
              <w:rPr>
                <w:snapToGrid w:val="0"/>
                <w:color w:val="000000"/>
                <w:kern w:val="22"/>
                <w:szCs w:val="22"/>
                <w:lang w:eastAsia="en-CA"/>
              </w:rPr>
              <w:t xml:space="preserve">GtCO2e per year to global </w:t>
            </w:r>
            <w:r w:rsidRPr="000058F1">
              <w:rPr>
                <w:snapToGrid w:val="0"/>
                <w:color w:val="000000"/>
                <w:kern w:val="22"/>
                <w:szCs w:val="22"/>
                <w:lang w:eastAsia="en-CA"/>
              </w:rPr>
              <w:lastRenderedPageBreak/>
              <w:t>mitigation efforts, and ensure that all mitigation and adaptation efforts avoid negative impacts on biodiversity.</w:t>
            </w:r>
          </w:p>
        </w:tc>
        <w:tc>
          <w:tcPr>
            <w:tcW w:w="2430" w:type="dxa"/>
            <w:shd w:val="clear" w:color="auto" w:fill="auto"/>
            <w:hideMark/>
          </w:tcPr>
          <w:p w14:paraId="320BC365" w14:textId="6C3A9ADF" w:rsidR="0065519D" w:rsidRPr="000058F1" w:rsidRDefault="0065519D" w:rsidP="00C97201">
            <w:pPr>
              <w:suppressLineNumbers/>
              <w:tabs>
                <w:tab w:val="left" w:pos="1448"/>
              </w:tab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lastRenderedPageBreak/>
              <w:t xml:space="preserve">8.0.1 </w:t>
            </w:r>
            <w:r w:rsidRPr="000058F1">
              <w:t>National green-house gas inventories from land use and land use change</w:t>
            </w:r>
          </w:p>
        </w:tc>
        <w:tc>
          <w:tcPr>
            <w:tcW w:w="1620" w:type="dxa"/>
            <w:shd w:val="clear" w:color="auto" w:fill="auto"/>
            <w:hideMark/>
          </w:tcPr>
          <w:p w14:paraId="0853C60C"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p>
        </w:tc>
        <w:tc>
          <w:tcPr>
            <w:tcW w:w="1350" w:type="dxa"/>
            <w:shd w:val="clear" w:color="auto" w:fill="auto"/>
            <w:hideMark/>
          </w:tcPr>
          <w:p w14:paraId="10E1715C"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p>
        </w:tc>
        <w:tc>
          <w:tcPr>
            <w:tcW w:w="3240" w:type="dxa"/>
          </w:tcPr>
          <w:p w14:paraId="33C69656" w14:textId="598E69FB" w:rsidR="0065519D" w:rsidRPr="00DC15D9"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val="es-ES" w:eastAsia="en-CA"/>
              </w:rPr>
            </w:pPr>
            <w:r w:rsidRPr="00DC15D9">
              <w:rPr>
                <w:lang w:val="es-ES"/>
              </w:rPr>
              <w:t xml:space="preserve">IPCC: </w:t>
            </w:r>
            <w:hyperlink r:id="rId34" w:history="1">
              <w:r w:rsidRPr="00DC15D9">
                <w:rPr>
                  <w:rStyle w:val="Hyperlink"/>
                  <w:sz w:val="22"/>
                  <w:lang w:val="es-ES"/>
                </w:rPr>
                <w:t>https://www.ipcc-nggip.iges.or.jp/public/2019rf/index.html</w:t>
              </w:r>
            </w:hyperlink>
          </w:p>
        </w:tc>
        <w:tc>
          <w:tcPr>
            <w:tcW w:w="1894" w:type="dxa"/>
          </w:tcPr>
          <w:p w14:paraId="648238C2"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44510">
              <w:rPr>
                <w:snapToGrid w:val="0"/>
                <w:color w:val="000000"/>
                <w:kern w:val="22"/>
                <w:szCs w:val="22"/>
                <w:lang w:eastAsia="en-CA"/>
              </w:rPr>
              <w:t>Near ready</w:t>
            </w:r>
          </w:p>
        </w:tc>
      </w:tr>
      <w:tr w:rsidR="0065519D" w:rsidRPr="000058F1" w14:paraId="39FC6380" w14:textId="77777777" w:rsidTr="00C97201">
        <w:trPr>
          <w:trHeight w:val="2120"/>
          <w:jc w:val="center"/>
        </w:trPr>
        <w:tc>
          <w:tcPr>
            <w:tcW w:w="3595" w:type="dxa"/>
            <w:shd w:val="clear" w:color="auto" w:fill="auto"/>
            <w:hideMark/>
          </w:tcPr>
          <w:p w14:paraId="08D79EC1"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b/>
                <w:snapToGrid w:val="0"/>
                <w:color w:val="000000"/>
                <w:kern w:val="22"/>
                <w:szCs w:val="22"/>
                <w:lang w:eastAsia="en-CA"/>
              </w:rPr>
              <w:t>Target 9.</w:t>
            </w:r>
            <w:r w:rsidRPr="000058F1">
              <w:rPr>
                <w:snapToGrid w:val="0"/>
                <w:color w:val="000000"/>
                <w:kern w:val="22"/>
                <w:szCs w:val="22"/>
                <w:lang w:eastAsia="en-CA"/>
              </w:rPr>
              <w:t xml:space="preserve"> Ensure benefits, including nutrition, food security, medicines, and livelihoods for people especially for the most vulnerable through sustainable management of wild terrestrial, freshwater and marine species and protecting customary sustainable use by indigenous peoples and local communities.</w:t>
            </w:r>
          </w:p>
        </w:tc>
        <w:tc>
          <w:tcPr>
            <w:tcW w:w="2430" w:type="dxa"/>
            <w:shd w:val="clear" w:color="auto" w:fill="auto"/>
            <w:hideMark/>
          </w:tcPr>
          <w:p w14:paraId="52F214E0" w14:textId="3E5D7960"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t xml:space="preserve">9.0.1 National environmental-economic accounts of benefits </w:t>
            </w:r>
            <w:r w:rsidRPr="000058F1">
              <w:t>from the use of wild species</w:t>
            </w:r>
          </w:p>
        </w:tc>
        <w:tc>
          <w:tcPr>
            <w:tcW w:w="1620" w:type="dxa"/>
            <w:shd w:val="clear" w:color="auto" w:fill="auto"/>
            <w:hideMark/>
          </w:tcPr>
          <w:p w14:paraId="2C17A925"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p>
        </w:tc>
        <w:tc>
          <w:tcPr>
            <w:tcW w:w="1350" w:type="dxa"/>
            <w:shd w:val="clear" w:color="auto" w:fill="auto"/>
            <w:hideMark/>
          </w:tcPr>
          <w:p w14:paraId="22C0CD21"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p>
        </w:tc>
        <w:tc>
          <w:tcPr>
            <w:tcW w:w="3240" w:type="dxa"/>
          </w:tcPr>
          <w:p w14:paraId="26B63F41" w14:textId="481CE46D" w:rsidR="0065519D" w:rsidRPr="00044510"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444C31">
              <w:rPr>
                <w:snapToGrid w:val="0"/>
                <w:color w:val="000000"/>
                <w:kern w:val="22"/>
                <w:szCs w:val="22"/>
                <w:lang w:eastAsia="en-CA"/>
              </w:rPr>
              <w:t xml:space="preserve">SEEA: </w:t>
            </w:r>
            <w:hyperlink r:id="rId35" w:history="1">
              <w:r w:rsidRPr="00444C31">
                <w:rPr>
                  <w:rStyle w:val="Hyperlink"/>
                  <w:snapToGrid w:val="0"/>
                  <w:kern w:val="22"/>
                  <w:sz w:val="22"/>
                  <w:szCs w:val="22"/>
                  <w:lang w:eastAsia="en-CA"/>
                </w:rPr>
                <w:t>https://seea.un.org/ecosystem-accounting</w:t>
              </w:r>
            </w:hyperlink>
            <w:r w:rsidRPr="00444C31">
              <w:rPr>
                <w:snapToGrid w:val="0"/>
                <w:color w:val="000000"/>
                <w:kern w:val="22"/>
                <w:szCs w:val="22"/>
                <w:lang w:eastAsia="en-CA"/>
              </w:rPr>
              <w:t xml:space="preserve"> (disaggregation of accounting information from Goal B)</w:t>
            </w:r>
          </w:p>
        </w:tc>
        <w:tc>
          <w:tcPr>
            <w:tcW w:w="1894" w:type="dxa"/>
          </w:tcPr>
          <w:p w14:paraId="38A556B6"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t>Near ready **</w:t>
            </w:r>
          </w:p>
        </w:tc>
      </w:tr>
      <w:tr w:rsidR="0065519D" w:rsidRPr="000058F1" w14:paraId="70B59283" w14:textId="77777777" w:rsidTr="00C97201">
        <w:trPr>
          <w:trHeight w:val="820"/>
          <w:jc w:val="center"/>
        </w:trPr>
        <w:tc>
          <w:tcPr>
            <w:tcW w:w="3595" w:type="dxa"/>
            <w:vMerge w:val="restart"/>
            <w:shd w:val="clear" w:color="auto" w:fill="auto"/>
          </w:tcPr>
          <w:p w14:paraId="2282081C" w14:textId="77777777" w:rsidR="0065519D" w:rsidRPr="000058F1" w:rsidRDefault="0065519D" w:rsidP="00C97201">
            <w:pPr>
              <w:suppressLineNumbers/>
              <w:suppressAutoHyphens/>
              <w:kinsoku w:val="0"/>
              <w:overflowPunct w:val="0"/>
              <w:autoSpaceDE w:val="0"/>
              <w:autoSpaceDN w:val="0"/>
              <w:adjustRightInd w:val="0"/>
              <w:snapToGrid w:val="0"/>
              <w:jc w:val="left"/>
              <w:rPr>
                <w:b/>
                <w:snapToGrid w:val="0"/>
                <w:color w:val="000000"/>
                <w:kern w:val="22"/>
                <w:szCs w:val="22"/>
                <w:lang w:eastAsia="en-CA"/>
              </w:rPr>
            </w:pPr>
            <w:r w:rsidRPr="000058F1">
              <w:rPr>
                <w:b/>
                <w:snapToGrid w:val="0"/>
                <w:color w:val="000000"/>
                <w:kern w:val="22"/>
                <w:szCs w:val="22"/>
                <w:lang w:eastAsia="en-CA"/>
              </w:rPr>
              <w:t>Target 10</w:t>
            </w:r>
            <w:r w:rsidRPr="000058F1">
              <w:rPr>
                <w:snapToGrid w:val="0"/>
                <w:color w:val="000000"/>
                <w:kern w:val="22"/>
                <w:szCs w:val="22"/>
                <w:lang w:eastAsia="en-CA"/>
              </w:rPr>
              <w:t>. Ensure all areas under agriculture, aquaculture and forestry are managed sustainably, in particular through the conservation and sustainable use of biodiversity, increasing the productivity and resilience of these production systems.</w:t>
            </w:r>
          </w:p>
        </w:tc>
        <w:tc>
          <w:tcPr>
            <w:tcW w:w="2430" w:type="dxa"/>
            <w:shd w:val="clear" w:color="auto" w:fill="auto"/>
            <w:noWrap/>
          </w:tcPr>
          <w:p w14:paraId="717DCF25" w14:textId="3C7A6D02"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t>10.0.1 Proportion of agricultural area under productive and sustainable agriculture</w:t>
            </w:r>
          </w:p>
        </w:tc>
        <w:tc>
          <w:tcPr>
            <w:tcW w:w="1620" w:type="dxa"/>
            <w:shd w:val="clear" w:color="auto" w:fill="auto"/>
          </w:tcPr>
          <w:p w14:paraId="0280A865"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p>
        </w:tc>
        <w:tc>
          <w:tcPr>
            <w:tcW w:w="1350" w:type="dxa"/>
            <w:shd w:val="clear" w:color="auto" w:fill="auto"/>
          </w:tcPr>
          <w:p w14:paraId="1CC8D82D"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t>SDG (2.4.1)</w:t>
            </w:r>
          </w:p>
        </w:tc>
        <w:tc>
          <w:tcPr>
            <w:tcW w:w="3240" w:type="dxa"/>
          </w:tcPr>
          <w:p w14:paraId="6019F3A4" w14:textId="580B18FD"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t xml:space="preserve">SDG: FAO: </w:t>
            </w:r>
            <w:hyperlink r:id="rId36" w:history="1">
              <w:r w:rsidRPr="000058F1">
                <w:rPr>
                  <w:rStyle w:val="Hyperlink"/>
                  <w:snapToGrid w:val="0"/>
                  <w:kern w:val="22"/>
                  <w:sz w:val="22"/>
                  <w:szCs w:val="22"/>
                  <w:lang w:eastAsia="en-CA"/>
                </w:rPr>
                <w:t>http://www.fao.org/sustainable-development-goals/indicators/241/en/</w:t>
              </w:r>
            </w:hyperlink>
            <w:r w:rsidRPr="00044510">
              <w:rPr>
                <w:snapToGrid w:val="0"/>
                <w:color w:val="000000"/>
                <w:kern w:val="22"/>
                <w:szCs w:val="22"/>
                <w:lang w:eastAsia="en-CA"/>
              </w:rPr>
              <w:t xml:space="preserve"> (Measures sustaina</w:t>
            </w:r>
            <w:r w:rsidRPr="000058F1">
              <w:rPr>
                <w:snapToGrid w:val="0"/>
                <w:color w:val="000000"/>
                <w:kern w:val="22"/>
                <w:szCs w:val="22"/>
                <w:lang w:eastAsia="en-CA"/>
              </w:rPr>
              <w:t>ble agriculture as a percentage of total agricultural area)</w:t>
            </w:r>
          </w:p>
        </w:tc>
        <w:tc>
          <w:tcPr>
            <w:tcW w:w="1894" w:type="dxa"/>
          </w:tcPr>
          <w:p w14:paraId="5EA4BB62"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t xml:space="preserve">Near ready through SDG process </w:t>
            </w:r>
          </w:p>
        </w:tc>
      </w:tr>
      <w:tr w:rsidR="0065519D" w:rsidRPr="000058F1" w14:paraId="7D3573C0" w14:textId="77777777" w:rsidTr="00C97201">
        <w:trPr>
          <w:trHeight w:val="820"/>
          <w:jc w:val="center"/>
        </w:trPr>
        <w:tc>
          <w:tcPr>
            <w:tcW w:w="3595" w:type="dxa"/>
            <w:vMerge/>
            <w:shd w:val="clear" w:color="auto" w:fill="auto"/>
            <w:hideMark/>
          </w:tcPr>
          <w:p w14:paraId="00C2ABB9"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p>
        </w:tc>
        <w:tc>
          <w:tcPr>
            <w:tcW w:w="2430" w:type="dxa"/>
            <w:shd w:val="clear" w:color="auto" w:fill="auto"/>
            <w:noWrap/>
            <w:hideMark/>
          </w:tcPr>
          <w:p w14:paraId="47427CB2"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t>10.0.2 Progress towards sustainable forest management (Proportion of forest area under a long-term forest management plan)</w:t>
            </w:r>
          </w:p>
        </w:tc>
        <w:tc>
          <w:tcPr>
            <w:tcW w:w="1620" w:type="dxa"/>
            <w:shd w:val="clear" w:color="auto" w:fill="auto"/>
          </w:tcPr>
          <w:p w14:paraId="5CB6A41C"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p>
        </w:tc>
        <w:tc>
          <w:tcPr>
            <w:tcW w:w="1350" w:type="dxa"/>
            <w:shd w:val="clear" w:color="auto" w:fill="auto"/>
            <w:hideMark/>
          </w:tcPr>
          <w:p w14:paraId="65C2BD9B"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t>SDG (15.2.1)</w:t>
            </w:r>
          </w:p>
        </w:tc>
        <w:tc>
          <w:tcPr>
            <w:tcW w:w="3240" w:type="dxa"/>
          </w:tcPr>
          <w:p w14:paraId="7AF0D1AD" w14:textId="40DA50D3"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t xml:space="preserve">SDG: FAO: </w:t>
            </w:r>
            <w:hyperlink r:id="rId37" w:history="1">
              <w:r w:rsidRPr="000058F1">
                <w:rPr>
                  <w:rStyle w:val="Hyperlink"/>
                  <w:snapToGrid w:val="0"/>
                  <w:kern w:val="22"/>
                  <w:sz w:val="22"/>
                  <w:szCs w:val="22"/>
                  <w:lang w:eastAsia="en-CA"/>
                </w:rPr>
                <w:t>https://unstats.un.org/sdgs/metadata/?Text&amp;Goal=15&amp;Target</w:t>
              </w:r>
            </w:hyperlink>
            <w:r w:rsidRPr="00044510">
              <w:rPr>
                <w:snapToGrid w:val="0"/>
                <w:color w:val="000000"/>
                <w:kern w:val="22"/>
                <w:szCs w:val="22"/>
                <w:lang w:eastAsia="en-CA"/>
              </w:rPr>
              <w:t xml:space="preserve"> (Measures sustainable forest as a percentage of total forest area)</w:t>
            </w:r>
          </w:p>
        </w:tc>
        <w:tc>
          <w:tcPr>
            <w:tcW w:w="1894" w:type="dxa"/>
          </w:tcPr>
          <w:p w14:paraId="03A8C90C"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t xml:space="preserve">Near ready through SDG process </w:t>
            </w:r>
          </w:p>
        </w:tc>
      </w:tr>
      <w:tr w:rsidR="0065519D" w:rsidRPr="000058F1" w14:paraId="309AB56A" w14:textId="77777777" w:rsidTr="00C97201">
        <w:trPr>
          <w:trHeight w:val="1542"/>
          <w:jc w:val="center"/>
        </w:trPr>
        <w:tc>
          <w:tcPr>
            <w:tcW w:w="3595" w:type="dxa"/>
            <w:shd w:val="clear" w:color="auto" w:fill="auto"/>
            <w:hideMark/>
          </w:tcPr>
          <w:p w14:paraId="06A674E7" w14:textId="61474513"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b/>
                <w:snapToGrid w:val="0"/>
                <w:color w:val="000000"/>
                <w:kern w:val="22"/>
                <w:szCs w:val="22"/>
                <w:lang w:eastAsia="en-CA"/>
              </w:rPr>
              <w:lastRenderedPageBreak/>
              <w:t>Target 11.</w:t>
            </w:r>
            <w:r w:rsidRPr="000058F1">
              <w:rPr>
                <w:snapToGrid w:val="0"/>
                <w:color w:val="000000"/>
                <w:kern w:val="22"/>
                <w:szCs w:val="22"/>
                <w:lang w:eastAsia="en-CA"/>
              </w:rPr>
              <w:t xml:space="preserve"> Maintain and enhance nature</w:t>
            </w:r>
            <w:r w:rsidR="009D54A8">
              <w:rPr>
                <w:snapToGrid w:val="0"/>
                <w:color w:val="000000"/>
                <w:kern w:val="22"/>
                <w:szCs w:val="22"/>
                <w:lang w:eastAsia="en-CA"/>
              </w:rPr>
              <w:t>’</w:t>
            </w:r>
            <w:r w:rsidRPr="00044510">
              <w:rPr>
                <w:snapToGrid w:val="0"/>
                <w:color w:val="000000"/>
                <w:kern w:val="22"/>
                <w:szCs w:val="22"/>
                <w:lang w:eastAsia="en-CA"/>
              </w:rPr>
              <w:t>s</w:t>
            </w:r>
            <w:r w:rsidRPr="000058F1">
              <w:rPr>
                <w:snapToGrid w:val="0"/>
                <w:color w:val="000000"/>
                <w:kern w:val="22"/>
                <w:szCs w:val="22"/>
                <w:lang w:eastAsia="en-CA"/>
              </w:rPr>
              <w:t xml:space="preserve"> contributions to regulation of air quality, quality and quantity of water, and protection from hazards and extreme events for all people</w:t>
            </w:r>
          </w:p>
        </w:tc>
        <w:tc>
          <w:tcPr>
            <w:tcW w:w="2430" w:type="dxa"/>
            <w:shd w:val="clear" w:color="auto" w:fill="auto"/>
            <w:hideMark/>
          </w:tcPr>
          <w:p w14:paraId="3ADF87FA"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t>11.0.1 National environmental-economic accounts of regulation of air quality, quality and quantity of water, and protection from hazards and extreme events for all people, from ecosystems</w:t>
            </w:r>
          </w:p>
        </w:tc>
        <w:tc>
          <w:tcPr>
            <w:tcW w:w="1620" w:type="dxa"/>
            <w:shd w:val="clear" w:color="auto" w:fill="auto"/>
          </w:tcPr>
          <w:p w14:paraId="2C70554B"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p>
        </w:tc>
        <w:tc>
          <w:tcPr>
            <w:tcW w:w="1350" w:type="dxa"/>
            <w:shd w:val="clear" w:color="auto" w:fill="auto"/>
          </w:tcPr>
          <w:p w14:paraId="6C84DF0F"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p>
        </w:tc>
        <w:tc>
          <w:tcPr>
            <w:tcW w:w="3240" w:type="dxa"/>
          </w:tcPr>
          <w:p w14:paraId="5BEF6CAA" w14:textId="5CD7F836" w:rsidR="0065519D" w:rsidRPr="00044510"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444C31">
              <w:rPr>
                <w:snapToGrid w:val="0"/>
                <w:color w:val="000000"/>
                <w:kern w:val="22"/>
                <w:szCs w:val="22"/>
                <w:lang w:eastAsia="en-CA"/>
              </w:rPr>
              <w:t xml:space="preserve">SEEA: </w:t>
            </w:r>
            <w:hyperlink r:id="rId38" w:history="1">
              <w:r w:rsidRPr="00444C31">
                <w:rPr>
                  <w:rStyle w:val="Hyperlink"/>
                  <w:snapToGrid w:val="0"/>
                  <w:kern w:val="22"/>
                  <w:sz w:val="22"/>
                  <w:szCs w:val="22"/>
                  <w:lang w:eastAsia="en-CA"/>
                </w:rPr>
                <w:t>https://seea.un.org/ecosystem-accounting</w:t>
              </w:r>
            </w:hyperlink>
            <w:r w:rsidRPr="00444C31">
              <w:rPr>
                <w:snapToGrid w:val="0"/>
                <w:color w:val="000000"/>
                <w:kern w:val="22"/>
                <w:szCs w:val="22"/>
                <w:lang w:eastAsia="en-CA"/>
              </w:rPr>
              <w:t xml:space="preserve"> (disaggregation of accounting information from Goal B)</w:t>
            </w:r>
          </w:p>
        </w:tc>
        <w:tc>
          <w:tcPr>
            <w:tcW w:w="1894" w:type="dxa"/>
          </w:tcPr>
          <w:p w14:paraId="0B28A04F"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t>Near ready**</w:t>
            </w:r>
          </w:p>
        </w:tc>
      </w:tr>
      <w:tr w:rsidR="0065519D" w:rsidRPr="000058F1" w14:paraId="461CA266" w14:textId="77777777" w:rsidTr="00C97201">
        <w:trPr>
          <w:trHeight w:val="780"/>
          <w:jc w:val="center"/>
        </w:trPr>
        <w:tc>
          <w:tcPr>
            <w:tcW w:w="3595" w:type="dxa"/>
            <w:shd w:val="clear" w:color="auto" w:fill="auto"/>
            <w:hideMark/>
          </w:tcPr>
          <w:p w14:paraId="3A2E7E9F" w14:textId="3A764EFE"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b/>
                <w:snapToGrid w:val="0"/>
                <w:color w:val="000000"/>
                <w:kern w:val="22"/>
                <w:szCs w:val="22"/>
                <w:lang w:eastAsia="en-CA"/>
              </w:rPr>
              <w:t>Target 12.</w:t>
            </w:r>
            <w:r w:rsidRPr="000058F1">
              <w:rPr>
                <w:snapToGrid w:val="0"/>
                <w:color w:val="000000"/>
                <w:kern w:val="22"/>
                <w:szCs w:val="22"/>
                <w:lang w:eastAsia="en-CA"/>
              </w:rPr>
              <w:t xml:space="preserve"> Increase the area of, access to, and benefits from green and blue spaces, for human health and well-being in urban areas and other densely populated areas.</w:t>
            </w:r>
          </w:p>
        </w:tc>
        <w:tc>
          <w:tcPr>
            <w:tcW w:w="2430" w:type="dxa"/>
            <w:shd w:val="clear" w:color="auto" w:fill="auto"/>
            <w:hideMark/>
          </w:tcPr>
          <w:p w14:paraId="24BC6ECF"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t>12.0.1 Average share of the built-up area of cities that is green/blue space for public use for all</w:t>
            </w:r>
          </w:p>
        </w:tc>
        <w:tc>
          <w:tcPr>
            <w:tcW w:w="1620" w:type="dxa"/>
            <w:shd w:val="clear" w:color="auto" w:fill="auto"/>
            <w:hideMark/>
          </w:tcPr>
          <w:p w14:paraId="6BF3B4E4"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p>
        </w:tc>
        <w:tc>
          <w:tcPr>
            <w:tcW w:w="1350" w:type="dxa"/>
            <w:shd w:val="clear" w:color="auto" w:fill="auto"/>
            <w:hideMark/>
          </w:tcPr>
          <w:p w14:paraId="7F6F89C8"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t>SDG (11.7.1)</w:t>
            </w:r>
          </w:p>
        </w:tc>
        <w:tc>
          <w:tcPr>
            <w:tcW w:w="3240" w:type="dxa"/>
          </w:tcPr>
          <w:p w14:paraId="7505C0B4" w14:textId="6EE72B21" w:rsidR="0065519D" w:rsidRPr="00444C3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val="fr-FR" w:eastAsia="en-CA"/>
              </w:rPr>
            </w:pPr>
            <w:r w:rsidRPr="00444C31">
              <w:rPr>
                <w:snapToGrid w:val="0"/>
                <w:color w:val="000000"/>
                <w:kern w:val="22"/>
                <w:szCs w:val="22"/>
                <w:lang w:val="fr-FR" w:eastAsia="en-CA"/>
              </w:rPr>
              <w:t xml:space="preserve">SDG: UN-Habitat: </w:t>
            </w:r>
            <w:hyperlink r:id="rId39" w:history="1">
              <w:r w:rsidRPr="00444C31">
                <w:rPr>
                  <w:rStyle w:val="Hyperlink"/>
                  <w:snapToGrid w:val="0"/>
                  <w:kern w:val="22"/>
                  <w:sz w:val="22"/>
                  <w:szCs w:val="22"/>
                  <w:lang w:val="fr-FR" w:eastAsia="en-CA"/>
                </w:rPr>
                <w:t>https://urban-data-guo-un-habitat.hub.arcgis.com/documents/metadata-on-sdg-indicator-11-7-1/explore</w:t>
              </w:r>
            </w:hyperlink>
            <w:r w:rsidRPr="00444C31">
              <w:rPr>
                <w:snapToGrid w:val="0"/>
                <w:color w:val="000000"/>
                <w:kern w:val="22"/>
                <w:szCs w:val="22"/>
                <w:lang w:val="fr-FR" w:eastAsia="en-CA"/>
              </w:rPr>
              <w:t xml:space="preserve"> </w:t>
            </w:r>
          </w:p>
        </w:tc>
        <w:tc>
          <w:tcPr>
            <w:tcW w:w="1894" w:type="dxa"/>
          </w:tcPr>
          <w:p w14:paraId="78BEADC0" w14:textId="77777777" w:rsidR="0065519D" w:rsidRPr="00444C3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444C31">
              <w:rPr>
                <w:snapToGrid w:val="0"/>
                <w:color w:val="000000"/>
                <w:kern w:val="22"/>
                <w:szCs w:val="22"/>
                <w:lang w:eastAsia="en-CA"/>
              </w:rPr>
              <w:t>Existing, data from 2020</w:t>
            </w:r>
          </w:p>
        </w:tc>
      </w:tr>
      <w:tr w:rsidR="0065519D" w:rsidRPr="000058F1" w14:paraId="753C5609" w14:textId="77777777" w:rsidTr="00C97201">
        <w:trPr>
          <w:trHeight w:val="2783"/>
          <w:jc w:val="center"/>
        </w:trPr>
        <w:tc>
          <w:tcPr>
            <w:tcW w:w="3595" w:type="dxa"/>
            <w:shd w:val="clear" w:color="auto" w:fill="auto"/>
            <w:hideMark/>
          </w:tcPr>
          <w:p w14:paraId="538F0270" w14:textId="7816949F"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b/>
                <w:snapToGrid w:val="0"/>
                <w:color w:val="000000"/>
                <w:kern w:val="22"/>
                <w:szCs w:val="22"/>
                <w:lang w:eastAsia="en-CA"/>
              </w:rPr>
              <w:t>Target 13.</w:t>
            </w:r>
            <w:r w:rsidRPr="000058F1">
              <w:rPr>
                <w:snapToGrid w:val="0"/>
                <w:color w:val="000000"/>
                <w:kern w:val="22"/>
                <w:szCs w:val="22"/>
                <w:lang w:eastAsia="en-CA"/>
              </w:rPr>
              <w:t xml:space="preserve"> Implement measures at global level and in all countries to facilitate access to genetic resources and to ensure the fair and equitable sharing of benefits arising from the use of genetic resources and</w:t>
            </w:r>
            <w:r w:rsidR="00FE0337">
              <w:rPr>
                <w:snapToGrid w:val="0"/>
                <w:color w:val="000000"/>
                <w:kern w:val="22"/>
                <w:szCs w:val="22"/>
                <w:lang w:eastAsia="en-CA"/>
              </w:rPr>
              <w:t>,</w:t>
            </w:r>
            <w:r w:rsidRPr="00044510">
              <w:rPr>
                <w:snapToGrid w:val="0"/>
                <w:color w:val="000000"/>
                <w:kern w:val="22"/>
                <w:szCs w:val="22"/>
                <w:lang w:eastAsia="en-CA"/>
              </w:rPr>
              <w:t xml:space="preserve"> as relevant, of associated traditional knowledge, incl</w:t>
            </w:r>
            <w:r w:rsidRPr="000058F1">
              <w:rPr>
                <w:snapToGrid w:val="0"/>
                <w:color w:val="000000"/>
                <w:kern w:val="22"/>
                <w:szCs w:val="22"/>
                <w:lang w:eastAsia="en-CA"/>
              </w:rPr>
              <w:t>uding through mutually agreed terms and prior and informed consent.</w:t>
            </w:r>
          </w:p>
        </w:tc>
        <w:tc>
          <w:tcPr>
            <w:tcW w:w="2430" w:type="dxa"/>
            <w:shd w:val="clear" w:color="auto" w:fill="auto"/>
            <w:hideMark/>
          </w:tcPr>
          <w:p w14:paraId="305D654B" w14:textId="1550A082" w:rsidR="0065519D" w:rsidRPr="000058F1" w:rsidRDefault="0065519D" w:rsidP="00C97201">
            <w:pPr>
              <w:suppressLineNumbers/>
              <w:suppressAutoHyphens/>
              <w:kinsoku w:val="0"/>
              <w:overflowPunct w:val="0"/>
              <w:autoSpaceDE w:val="0"/>
              <w:autoSpaceDN w:val="0"/>
              <w:adjustRightInd w:val="0"/>
              <w:snapToGrid w:val="0"/>
              <w:jc w:val="left"/>
              <w:rPr>
                <w:strike/>
                <w:snapToGrid w:val="0"/>
                <w:color w:val="000000"/>
                <w:kern w:val="22"/>
                <w:szCs w:val="22"/>
                <w:lang w:eastAsia="en-CA"/>
              </w:rPr>
            </w:pPr>
            <w:r w:rsidRPr="000058F1">
              <w:rPr>
                <w:snapToGrid w:val="0"/>
                <w:color w:val="000000"/>
                <w:kern w:val="22"/>
                <w:szCs w:val="22"/>
                <w:lang w:eastAsia="en-CA"/>
              </w:rPr>
              <w:t>13.0.1 Indicators of operational legislative, administrative or policy frameworks which ensure fair and equitable sharing of benefits, including those based on PIC and MAT*</w:t>
            </w:r>
          </w:p>
        </w:tc>
        <w:tc>
          <w:tcPr>
            <w:tcW w:w="1620" w:type="dxa"/>
            <w:shd w:val="clear" w:color="auto" w:fill="auto"/>
            <w:hideMark/>
          </w:tcPr>
          <w:p w14:paraId="0A03C996" w14:textId="512A61BC" w:rsidR="0065519D" w:rsidRPr="000058F1" w:rsidRDefault="005D5993" w:rsidP="00C97201">
            <w:pPr>
              <w:suppressLineNumbers/>
              <w:suppressAutoHyphens/>
              <w:kinsoku w:val="0"/>
              <w:overflowPunct w:val="0"/>
              <w:autoSpaceDE w:val="0"/>
              <w:autoSpaceDN w:val="0"/>
              <w:adjustRightInd w:val="0"/>
              <w:snapToGrid w:val="0"/>
              <w:jc w:val="left"/>
              <w:rPr>
                <w:strike/>
                <w:snapToGrid w:val="0"/>
                <w:color w:val="000000"/>
                <w:kern w:val="22"/>
                <w:szCs w:val="22"/>
                <w:lang w:eastAsia="en-CA"/>
              </w:rPr>
            </w:pPr>
            <w:r>
              <w:rPr>
                <w:snapToGrid w:val="0"/>
                <w:color w:val="000000"/>
                <w:kern w:val="22"/>
                <w:szCs w:val="22"/>
                <w:lang w:eastAsia="en-CA"/>
              </w:rPr>
              <w:t>T</w:t>
            </w:r>
            <w:r w:rsidR="0065519D" w:rsidRPr="000058F1">
              <w:rPr>
                <w:snapToGrid w:val="0"/>
                <w:color w:val="000000"/>
                <w:kern w:val="22"/>
                <w:szCs w:val="22"/>
                <w:lang w:eastAsia="en-CA"/>
              </w:rPr>
              <w:t>bd</w:t>
            </w:r>
          </w:p>
        </w:tc>
        <w:tc>
          <w:tcPr>
            <w:tcW w:w="1350" w:type="dxa"/>
            <w:shd w:val="clear" w:color="auto" w:fill="auto"/>
            <w:hideMark/>
          </w:tcPr>
          <w:p w14:paraId="4E594314" w14:textId="77777777" w:rsidR="0065519D" w:rsidRPr="000058F1" w:rsidRDefault="0065519D" w:rsidP="00C97201">
            <w:pPr>
              <w:suppressLineNumbers/>
              <w:suppressAutoHyphens/>
              <w:kinsoku w:val="0"/>
              <w:overflowPunct w:val="0"/>
              <w:autoSpaceDE w:val="0"/>
              <w:autoSpaceDN w:val="0"/>
              <w:adjustRightInd w:val="0"/>
              <w:snapToGrid w:val="0"/>
              <w:jc w:val="left"/>
              <w:rPr>
                <w:strike/>
                <w:snapToGrid w:val="0"/>
                <w:color w:val="000000"/>
                <w:kern w:val="22"/>
                <w:szCs w:val="22"/>
                <w:lang w:eastAsia="en-CA"/>
              </w:rPr>
            </w:pPr>
          </w:p>
        </w:tc>
        <w:tc>
          <w:tcPr>
            <w:tcW w:w="3240" w:type="dxa"/>
          </w:tcPr>
          <w:p w14:paraId="516F29F6" w14:textId="61F44036" w:rsidR="0065519D" w:rsidRPr="000058F1" w:rsidRDefault="0065519D" w:rsidP="00C97201">
            <w:pPr>
              <w:suppressLineNumbers/>
              <w:suppressAutoHyphens/>
              <w:kinsoku w:val="0"/>
              <w:overflowPunct w:val="0"/>
              <w:autoSpaceDE w:val="0"/>
              <w:autoSpaceDN w:val="0"/>
              <w:adjustRightInd w:val="0"/>
              <w:snapToGrid w:val="0"/>
              <w:jc w:val="left"/>
              <w:rPr>
                <w:strike/>
                <w:snapToGrid w:val="0"/>
                <w:color w:val="000000"/>
                <w:kern w:val="22"/>
                <w:szCs w:val="22"/>
                <w:lang w:eastAsia="en-CA"/>
              </w:rPr>
            </w:pPr>
            <w:r w:rsidRPr="000058F1">
              <w:rPr>
                <w:snapToGrid w:val="0"/>
                <w:color w:val="000000"/>
                <w:kern w:val="22"/>
                <w:szCs w:val="22"/>
                <w:lang w:eastAsia="en-CA"/>
              </w:rPr>
              <w:t>CBD: This index would need to be developed to capture all ABS mechanisms in a coherent way.</w:t>
            </w:r>
          </w:p>
        </w:tc>
        <w:tc>
          <w:tcPr>
            <w:tcW w:w="1894" w:type="dxa"/>
          </w:tcPr>
          <w:p w14:paraId="30A99816" w14:textId="72504C6D" w:rsidR="0065519D" w:rsidRPr="00444C31" w:rsidRDefault="0065519D" w:rsidP="00C97201">
            <w:pPr>
              <w:suppressLineNumbers/>
              <w:suppressAutoHyphens/>
              <w:kinsoku w:val="0"/>
              <w:overflowPunct w:val="0"/>
              <w:autoSpaceDE w:val="0"/>
              <w:autoSpaceDN w:val="0"/>
              <w:adjustRightInd w:val="0"/>
              <w:snapToGrid w:val="0"/>
              <w:jc w:val="left"/>
              <w:rPr>
                <w:strike/>
                <w:snapToGrid w:val="0"/>
                <w:color w:val="000000"/>
                <w:spacing w:val="-4"/>
                <w:kern w:val="22"/>
                <w:szCs w:val="22"/>
                <w:lang w:eastAsia="en-CA"/>
              </w:rPr>
            </w:pPr>
            <w:r w:rsidRPr="00444C31">
              <w:rPr>
                <w:snapToGrid w:val="0"/>
                <w:spacing w:val="-4"/>
                <w:kern w:val="22"/>
                <w:szCs w:val="22"/>
                <w:lang w:eastAsia="en-CA"/>
              </w:rPr>
              <w:t>Needs developed**</w:t>
            </w:r>
          </w:p>
        </w:tc>
      </w:tr>
      <w:tr w:rsidR="0065519D" w:rsidRPr="000058F1" w14:paraId="32C6E0B1" w14:textId="77777777" w:rsidTr="00C97201">
        <w:trPr>
          <w:trHeight w:val="1990"/>
          <w:jc w:val="center"/>
        </w:trPr>
        <w:tc>
          <w:tcPr>
            <w:tcW w:w="3595" w:type="dxa"/>
            <w:vMerge w:val="restart"/>
            <w:shd w:val="clear" w:color="auto" w:fill="auto"/>
            <w:hideMark/>
          </w:tcPr>
          <w:p w14:paraId="26BD9381"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b/>
                <w:snapToGrid w:val="0"/>
                <w:color w:val="000000"/>
                <w:kern w:val="22"/>
                <w:szCs w:val="22"/>
                <w:lang w:eastAsia="en-CA"/>
              </w:rPr>
              <w:lastRenderedPageBreak/>
              <w:t>Target 14.</w:t>
            </w:r>
            <w:r w:rsidRPr="000058F1">
              <w:rPr>
                <w:snapToGrid w:val="0"/>
                <w:color w:val="000000"/>
                <w:kern w:val="22"/>
                <w:szCs w:val="22"/>
                <w:lang w:eastAsia="en-CA"/>
              </w:rPr>
              <w:t xml:space="preserve"> </w:t>
            </w:r>
            <w:r w:rsidRPr="000058F1">
              <w:rPr>
                <w:rFonts w:cstheme="minorHAnsi"/>
                <w:szCs w:val="22"/>
              </w:rPr>
              <w:t>Fully integrate biodiversity values into policies, regulations, planning, development processes, poverty reduction strategies, accounts, and assessments of environmental impacts at all levels of government and across all sectors of the economy, ensuring that all activities and financial flows are aligned with biodiversity values.</w:t>
            </w:r>
          </w:p>
        </w:tc>
        <w:tc>
          <w:tcPr>
            <w:tcW w:w="2430" w:type="dxa"/>
            <w:shd w:val="clear" w:color="auto" w:fill="auto"/>
            <w:hideMark/>
          </w:tcPr>
          <w:p w14:paraId="51D075A2"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t>14.0.1 Extent to which national targets for integrating biodiversity values into policies, regulations, planning, development processes, poverty reduction strategies and accounts at all levels, ensuring that biodiversity values are mainstreamed across all sectors and integrated into assessments of environmental impacts</w:t>
            </w:r>
          </w:p>
        </w:tc>
        <w:tc>
          <w:tcPr>
            <w:tcW w:w="1620" w:type="dxa"/>
            <w:shd w:val="clear" w:color="auto" w:fill="auto"/>
            <w:hideMark/>
          </w:tcPr>
          <w:p w14:paraId="453DA36A"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p>
        </w:tc>
        <w:tc>
          <w:tcPr>
            <w:tcW w:w="1350" w:type="dxa"/>
            <w:shd w:val="clear" w:color="auto" w:fill="auto"/>
            <w:hideMark/>
          </w:tcPr>
          <w:p w14:paraId="68B2F1FF" w14:textId="0D90F89F"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t>Existing in CBD National Reports and used for SDG 15.9.1a</w:t>
            </w:r>
          </w:p>
        </w:tc>
        <w:tc>
          <w:tcPr>
            <w:tcW w:w="3240" w:type="dxa"/>
          </w:tcPr>
          <w:p w14:paraId="33FAB155" w14:textId="69F66250"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t xml:space="preserve">SDG: CBD: </w:t>
            </w:r>
            <w:hyperlink r:id="rId40" w:history="1">
              <w:r w:rsidRPr="000058F1">
                <w:rPr>
                  <w:rStyle w:val="Hyperlink"/>
                  <w:snapToGrid w:val="0"/>
                  <w:kern w:val="22"/>
                  <w:sz w:val="22"/>
                  <w:szCs w:val="22"/>
                  <w:lang w:eastAsia="en-CA"/>
                </w:rPr>
                <w:t>https://unstats.un.org/sdgs/metadata/?Text=&amp;Goal=15&amp;Target=15.9</w:t>
              </w:r>
            </w:hyperlink>
          </w:p>
        </w:tc>
        <w:tc>
          <w:tcPr>
            <w:tcW w:w="1894" w:type="dxa"/>
          </w:tcPr>
          <w:p w14:paraId="3371E0B9"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t>Existing, data from 2015 to present</w:t>
            </w:r>
          </w:p>
        </w:tc>
      </w:tr>
      <w:tr w:rsidR="0065519D" w:rsidRPr="000058F1" w14:paraId="61CF2729" w14:textId="77777777" w:rsidTr="00C97201">
        <w:trPr>
          <w:trHeight w:val="536"/>
          <w:jc w:val="center"/>
        </w:trPr>
        <w:tc>
          <w:tcPr>
            <w:tcW w:w="3595" w:type="dxa"/>
            <w:vMerge/>
            <w:hideMark/>
          </w:tcPr>
          <w:p w14:paraId="12A6A4B8"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p>
        </w:tc>
        <w:tc>
          <w:tcPr>
            <w:tcW w:w="2430" w:type="dxa"/>
            <w:shd w:val="clear" w:color="auto" w:fill="auto"/>
            <w:hideMark/>
          </w:tcPr>
          <w:p w14:paraId="1E09E616" w14:textId="478E72D6"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t>14.0.2 Integration of biodiversity into national accounting and reporting systems, defined as implementation of the System of Environmental</w:t>
            </w:r>
            <w:r w:rsidR="00E21635">
              <w:rPr>
                <w:snapToGrid w:val="0"/>
                <w:color w:val="000000"/>
                <w:kern w:val="22"/>
                <w:szCs w:val="22"/>
                <w:lang w:eastAsia="en-CA"/>
              </w:rPr>
              <w:t>-</w:t>
            </w:r>
            <w:r w:rsidRPr="000058F1">
              <w:rPr>
                <w:snapToGrid w:val="0"/>
                <w:color w:val="000000"/>
                <w:kern w:val="22"/>
                <w:szCs w:val="22"/>
                <w:lang w:eastAsia="en-CA"/>
              </w:rPr>
              <w:t>Economic Accounting</w:t>
            </w:r>
          </w:p>
        </w:tc>
        <w:tc>
          <w:tcPr>
            <w:tcW w:w="1620" w:type="dxa"/>
            <w:shd w:val="clear" w:color="auto" w:fill="auto"/>
            <w:hideMark/>
          </w:tcPr>
          <w:p w14:paraId="7CCC9927"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p>
        </w:tc>
        <w:tc>
          <w:tcPr>
            <w:tcW w:w="1350" w:type="dxa"/>
            <w:shd w:val="clear" w:color="auto" w:fill="auto"/>
            <w:noWrap/>
            <w:hideMark/>
          </w:tcPr>
          <w:p w14:paraId="501C7217"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t>SDG 15.9.1b</w:t>
            </w:r>
          </w:p>
        </w:tc>
        <w:tc>
          <w:tcPr>
            <w:tcW w:w="3240" w:type="dxa"/>
          </w:tcPr>
          <w:p w14:paraId="6E51BF2F" w14:textId="5C1924D1" w:rsidR="0065519D" w:rsidRPr="00444C3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444C31">
              <w:rPr>
                <w:snapToGrid w:val="0"/>
                <w:color w:val="000000"/>
                <w:kern w:val="22"/>
                <w:szCs w:val="22"/>
                <w:lang w:eastAsia="en-CA"/>
              </w:rPr>
              <w:t xml:space="preserve">SDG: UNSD: </w:t>
            </w:r>
            <w:hyperlink r:id="rId41" w:history="1">
              <w:r w:rsidRPr="00444C31">
                <w:rPr>
                  <w:rStyle w:val="Hyperlink"/>
                  <w:snapToGrid w:val="0"/>
                  <w:kern w:val="22"/>
                  <w:sz w:val="22"/>
                  <w:szCs w:val="22"/>
                  <w:lang w:eastAsia="en-CA"/>
                </w:rPr>
                <w:t>https://unstats.un.org/sdgs/metadata/?Text=&amp;Goal=15&amp;Target=15.9</w:t>
              </w:r>
            </w:hyperlink>
          </w:p>
        </w:tc>
        <w:tc>
          <w:tcPr>
            <w:tcW w:w="1894" w:type="dxa"/>
          </w:tcPr>
          <w:p w14:paraId="51205E51"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44510">
              <w:rPr>
                <w:snapToGrid w:val="0"/>
                <w:color w:val="000000"/>
                <w:kern w:val="22"/>
                <w:szCs w:val="22"/>
                <w:lang w:eastAsia="en-CA"/>
              </w:rPr>
              <w:t>Existing, data from 2015 to present</w:t>
            </w:r>
          </w:p>
        </w:tc>
      </w:tr>
      <w:tr w:rsidR="0065519D" w:rsidRPr="000058F1" w14:paraId="7F459806" w14:textId="77777777" w:rsidTr="00C97201">
        <w:trPr>
          <w:trHeight w:val="3289"/>
          <w:jc w:val="center"/>
        </w:trPr>
        <w:tc>
          <w:tcPr>
            <w:tcW w:w="3595" w:type="dxa"/>
            <w:shd w:val="clear" w:color="auto" w:fill="auto"/>
            <w:hideMark/>
          </w:tcPr>
          <w:p w14:paraId="631E32A6"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b/>
                <w:snapToGrid w:val="0"/>
                <w:color w:val="000000"/>
                <w:kern w:val="22"/>
                <w:szCs w:val="22"/>
                <w:lang w:eastAsia="en-CA"/>
              </w:rPr>
              <w:lastRenderedPageBreak/>
              <w:t>Target 15.</w:t>
            </w:r>
            <w:r w:rsidRPr="000058F1">
              <w:rPr>
                <w:snapToGrid w:val="0"/>
                <w:color w:val="000000"/>
                <w:kern w:val="22"/>
                <w:szCs w:val="22"/>
                <w:lang w:eastAsia="en-CA"/>
              </w:rPr>
              <w:t xml:space="preserve"> All businesses (public and private, large, medium and small) assess and report on their dependencies and impacts on biodiversity, from local to global, and progressively reduce negative impacts, by at least half and increase positive impacts, reducing biodiversity-related risks to businesses and moving towards the full sustainability of extraction and production practices, sourcing and supply chains, and use and disposal.</w:t>
            </w:r>
          </w:p>
        </w:tc>
        <w:tc>
          <w:tcPr>
            <w:tcW w:w="2430" w:type="dxa"/>
            <w:shd w:val="clear" w:color="auto" w:fill="auto"/>
            <w:noWrap/>
          </w:tcPr>
          <w:p w14:paraId="1889F395"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t xml:space="preserve">15.0.1 Dependencies and impacts of businesses on biodiversity </w:t>
            </w:r>
          </w:p>
        </w:tc>
        <w:tc>
          <w:tcPr>
            <w:tcW w:w="1620" w:type="dxa"/>
            <w:shd w:val="clear" w:color="auto" w:fill="auto"/>
            <w:noWrap/>
          </w:tcPr>
          <w:p w14:paraId="7F525678"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t>By industrial classification</w:t>
            </w:r>
          </w:p>
        </w:tc>
        <w:tc>
          <w:tcPr>
            <w:tcW w:w="1350" w:type="dxa"/>
            <w:shd w:val="clear" w:color="auto" w:fill="auto"/>
            <w:noWrap/>
          </w:tcPr>
          <w:p w14:paraId="14CC3467"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p>
        </w:tc>
        <w:tc>
          <w:tcPr>
            <w:tcW w:w="3240" w:type="dxa"/>
          </w:tcPr>
          <w:p w14:paraId="7903222A" w14:textId="379191AC" w:rsidR="0065519D" w:rsidRPr="00444C3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t>CBD: Would need to be developed, but could be based on corporate sustainability reporting under SDG 12.6.1 and methodological work by TFND, IPBES, etc.</w:t>
            </w:r>
            <w:r w:rsidRPr="000058F1" w:rsidDel="00442661">
              <w:rPr>
                <w:snapToGrid w:val="0"/>
                <w:color w:val="000000"/>
                <w:kern w:val="22"/>
                <w:szCs w:val="22"/>
                <w:lang w:eastAsia="en-CA"/>
              </w:rPr>
              <w:t xml:space="preserve"> </w:t>
            </w:r>
            <w:hyperlink r:id="rId42" w:history="1">
              <w:r w:rsidRPr="000058F1">
                <w:rPr>
                  <w:rStyle w:val="Hyperlink"/>
                  <w:snapToGrid w:val="0"/>
                  <w:kern w:val="22"/>
                  <w:sz w:val="22"/>
                  <w:szCs w:val="22"/>
                  <w:lang w:eastAsia="en-CA"/>
                </w:rPr>
                <w:t>https://unstats.un.org/sdgs/metadata/?Text=&amp;Goal=12&amp;Target=12.6</w:t>
              </w:r>
            </w:hyperlink>
            <w:r w:rsidRPr="00044510">
              <w:rPr>
                <w:snapToGrid w:val="0"/>
                <w:color w:val="000000"/>
                <w:kern w:val="22"/>
                <w:szCs w:val="22"/>
                <w:lang w:eastAsia="en-CA"/>
              </w:rPr>
              <w:t xml:space="preserve"> </w:t>
            </w:r>
          </w:p>
        </w:tc>
        <w:tc>
          <w:tcPr>
            <w:tcW w:w="1894" w:type="dxa"/>
          </w:tcPr>
          <w:p w14:paraId="0842A1CB" w14:textId="77777777" w:rsidR="0065519D" w:rsidRPr="00444C3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44510">
              <w:rPr>
                <w:snapToGrid w:val="0"/>
                <w:color w:val="000000"/>
                <w:kern w:val="22"/>
                <w:szCs w:val="22"/>
                <w:lang w:eastAsia="en-CA"/>
              </w:rPr>
              <w:t>Needs develop</w:t>
            </w:r>
            <w:r w:rsidRPr="000058F1">
              <w:rPr>
                <w:snapToGrid w:val="0"/>
                <w:color w:val="000000"/>
                <w:kern w:val="22"/>
                <w:szCs w:val="22"/>
                <w:lang w:eastAsia="en-CA"/>
              </w:rPr>
              <w:t>ed</w:t>
            </w:r>
          </w:p>
        </w:tc>
      </w:tr>
      <w:tr w:rsidR="0065519D" w:rsidRPr="000058F1" w14:paraId="170390F7" w14:textId="77777777" w:rsidTr="00C97201">
        <w:trPr>
          <w:trHeight w:val="1399"/>
          <w:jc w:val="center"/>
        </w:trPr>
        <w:tc>
          <w:tcPr>
            <w:tcW w:w="3595" w:type="dxa"/>
            <w:vMerge w:val="restart"/>
            <w:shd w:val="clear" w:color="auto" w:fill="auto"/>
          </w:tcPr>
          <w:p w14:paraId="2BE60F9F"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b/>
                <w:snapToGrid w:val="0"/>
                <w:color w:val="000000"/>
                <w:kern w:val="22"/>
                <w:szCs w:val="22"/>
                <w:lang w:eastAsia="en-CA"/>
              </w:rPr>
              <w:t>Target 16.</w:t>
            </w:r>
            <w:r w:rsidRPr="000058F1">
              <w:rPr>
                <w:snapToGrid w:val="0"/>
                <w:color w:val="000000"/>
                <w:kern w:val="22"/>
                <w:szCs w:val="22"/>
                <w:lang w:eastAsia="en-CA"/>
              </w:rPr>
              <w:t xml:space="preserve"> Ensure that people are encouraged and enabled to make responsible choices and have access to relevant information and alternatives, taking into account cultural preferences, to reduce by at least half the waste and, where relevant the overconsumption, of food and other materials.</w:t>
            </w:r>
          </w:p>
        </w:tc>
        <w:tc>
          <w:tcPr>
            <w:tcW w:w="2430" w:type="dxa"/>
            <w:shd w:val="clear" w:color="auto" w:fill="auto"/>
            <w:noWrap/>
          </w:tcPr>
          <w:p w14:paraId="33F220E7"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t>16.0.1 Food waste index</w:t>
            </w:r>
          </w:p>
        </w:tc>
        <w:tc>
          <w:tcPr>
            <w:tcW w:w="1620" w:type="dxa"/>
            <w:shd w:val="clear" w:color="auto" w:fill="auto"/>
            <w:noWrap/>
          </w:tcPr>
          <w:p w14:paraId="6AE50519"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p>
        </w:tc>
        <w:tc>
          <w:tcPr>
            <w:tcW w:w="1350" w:type="dxa"/>
            <w:shd w:val="clear" w:color="auto" w:fill="auto"/>
            <w:noWrap/>
          </w:tcPr>
          <w:p w14:paraId="6F017F59"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t>SDG (12.3.1b)</w:t>
            </w:r>
          </w:p>
        </w:tc>
        <w:tc>
          <w:tcPr>
            <w:tcW w:w="3240" w:type="dxa"/>
          </w:tcPr>
          <w:p w14:paraId="277F6F7F" w14:textId="77777777" w:rsidR="0065519D" w:rsidRPr="00444C3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444C31">
              <w:rPr>
                <w:snapToGrid w:val="0"/>
                <w:color w:val="000000"/>
                <w:kern w:val="22"/>
                <w:szCs w:val="22"/>
                <w:lang w:eastAsia="en-CA"/>
              </w:rPr>
              <w:t>SDG : UNEP : https://www.unep.org/thinkeatsave/about/sdg-123-food-waste-index</w:t>
            </w:r>
          </w:p>
        </w:tc>
        <w:tc>
          <w:tcPr>
            <w:tcW w:w="1894" w:type="dxa"/>
          </w:tcPr>
          <w:p w14:paraId="5EE51FD8" w14:textId="77777777" w:rsidR="0065519D" w:rsidRPr="00444C3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444C31">
              <w:rPr>
                <w:snapToGrid w:val="0"/>
                <w:color w:val="000000"/>
                <w:kern w:val="22"/>
                <w:szCs w:val="22"/>
                <w:lang w:eastAsia="en-CA"/>
              </w:rPr>
              <w:t>Near ready through the SDG process</w:t>
            </w:r>
          </w:p>
        </w:tc>
      </w:tr>
      <w:tr w:rsidR="0065519D" w:rsidRPr="000058F1" w14:paraId="272B8DD6" w14:textId="77777777" w:rsidTr="00C97201">
        <w:trPr>
          <w:trHeight w:val="1059"/>
          <w:jc w:val="center"/>
        </w:trPr>
        <w:tc>
          <w:tcPr>
            <w:tcW w:w="3595" w:type="dxa"/>
            <w:vMerge/>
            <w:shd w:val="clear" w:color="auto" w:fill="auto"/>
          </w:tcPr>
          <w:p w14:paraId="7EDD11FE" w14:textId="77777777" w:rsidR="0065519D" w:rsidRPr="00444C3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p>
        </w:tc>
        <w:tc>
          <w:tcPr>
            <w:tcW w:w="2430" w:type="dxa"/>
            <w:shd w:val="clear" w:color="auto" w:fill="auto"/>
            <w:noWrap/>
          </w:tcPr>
          <w:p w14:paraId="02083B4F" w14:textId="77777777" w:rsidR="0065519D" w:rsidRPr="00444C3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44510">
              <w:rPr>
                <w:snapToGrid w:val="0"/>
                <w:color w:val="000000"/>
                <w:kern w:val="22"/>
                <w:szCs w:val="22"/>
                <w:lang w:eastAsia="en-CA"/>
              </w:rPr>
              <w:t>1</w:t>
            </w:r>
            <w:r w:rsidRPr="000058F1">
              <w:rPr>
                <w:snapToGrid w:val="0"/>
                <w:color w:val="000000"/>
                <w:kern w:val="22"/>
                <w:szCs w:val="22"/>
                <w:lang w:eastAsia="en-CA"/>
              </w:rPr>
              <w:t>6.0.2 Material footprint per capita</w:t>
            </w:r>
          </w:p>
        </w:tc>
        <w:tc>
          <w:tcPr>
            <w:tcW w:w="1620" w:type="dxa"/>
            <w:shd w:val="clear" w:color="auto" w:fill="auto"/>
            <w:noWrap/>
          </w:tcPr>
          <w:p w14:paraId="10D7E6E5" w14:textId="77777777" w:rsidR="0065519D" w:rsidRPr="00444C3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44510">
              <w:rPr>
                <w:snapToGrid w:val="0"/>
                <w:color w:val="000000"/>
                <w:kern w:val="22"/>
                <w:szCs w:val="22"/>
                <w:lang w:eastAsia="en-CA"/>
              </w:rPr>
              <w:t>By type of material</w:t>
            </w:r>
          </w:p>
        </w:tc>
        <w:tc>
          <w:tcPr>
            <w:tcW w:w="1350" w:type="dxa"/>
            <w:shd w:val="clear" w:color="auto" w:fill="auto"/>
            <w:noWrap/>
          </w:tcPr>
          <w:p w14:paraId="45C1A494" w14:textId="77777777" w:rsidR="0065519D" w:rsidRPr="00444C3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44510">
              <w:rPr>
                <w:snapToGrid w:val="0"/>
                <w:color w:val="000000"/>
                <w:kern w:val="22"/>
                <w:szCs w:val="22"/>
                <w:lang w:eastAsia="en-CA"/>
              </w:rPr>
              <w:t>SDG (</w:t>
            </w:r>
            <w:r w:rsidRPr="000058F1">
              <w:rPr>
                <w:snapToGrid w:val="0"/>
                <w:color w:val="000000"/>
                <w:kern w:val="22"/>
                <w:szCs w:val="22"/>
                <w:lang w:eastAsia="en-CA"/>
              </w:rPr>
              <w:t>8.4.1,12.2.1)</w:t>
            </w:r>
          </w:p>
        </w:tc>
        <w:tc>
          <w:tcPr>
            <w:tcW w:w="3240" w:type="dxa"/>
          </w:tcPr>
          <w:p w14:paraId="30D393E3" w14:textId="7A1B8C6F" w:rsidR="0065519D" w:rsidRPr="00444C3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444C31">
              <w:rPr>
                <w:snapToGrid w:val="0"/>
                <w:color w:val="000000"/>
                <w:kern w:val="22"/>
                <w:szCs w:val="22"/>
                <w:lang w:eastAsia="en-CA"/>
              </w:rPr>
              <w:t xml:space="preserve">SDG: UNEP : </w:t>
            </w:r>
            <w:hyperlink r:id="rId43" w:history="1">
              <w:r w:rsidRPr="00444C31">
                <w:rPr>
                  <w:rStyle w:val="Hyperlink"/>
                  <w:snapToGrid w:val="0"/>
                  <w:kern w:val="22"/>
                  <w:sz w:val="22"/>
                  <w:szCs w:val="22"/>
                  <w:lang w:eastAsia="en-CA"/>
                </w:rPr>
                <w:t>https://www.unep.org/explore-topics/sustainable-development-goals/why-do-sustainable-development-goals-matter/goal-12-1</w:t>
              </w:r>
            </w:hyperlink>
            <w:r w:rsidRPr="00444C31">
              <w:rPr>
                <w:snapToGrid w:val="0"/>
                <w:color w:val="000000"/>
                <w:kern w:val="22"/>
                <w:szCs w:val="22"/>
                <w:lang w:eastAsia="en-CA"/>
              </w:rPr>
              <w:t xml:space="preserve"> </w:t>
            </w:r>
          </w:p>
        </w:tc>
        <w:tc>
          <w:tcPr>
            <w:tcW w:w="1894" w:type="dxa"/>
          </w:tcPr>
          <w:p w14:paraId="3FDD484D" w14:textId="77777777" w:rsidR="0065519D" w:rsidRPr="00444C3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444C31">
              <w:rPr>
                <w:snapToGrid w:val="0"/>
                <w:color w:val="000000"/>
                <w:kern w:val="22"/>
                <w:szCs w:val="22"/>
                <w:lang w:eastAsia="en-CA"/>
              </w:rPr>
              <w:t>Existing, data from 1970 to present</w:t>
            </w:r>
          </w:p>
        </w:tc>
      </w:tr>
      <w:tr w:rsidR="0065519D" w:rsidRPr="000058F1" w14:paraId="7FDBE62B" w14:textId="77777777" w:rsidTr="00C97201">
        <w:trPr>
          <w:trHeight w:val="1040"/>
          <w:jc w:val="center"/>
        </w:trPr>
        <w:tc>
          <w:tcPr>
            <w:tcW w:w="3595" w:type="dxa"/>
            <w:shd w:val="clear" w:color="auto" w:fill="auto"/>
            <w:hideMark/>
          </w:tcPr>
          <w:p w14:paraId="4CED18BE" w14:textId="77777777" w:rsidR="0065519D" w:rsidRPr="000058F1" w:rsidRDefault="0065519D" w:rsidP="00C97201">
            <w:pPr>
              <w:suppressLineNumbers/>
              <w:suppressAutoHyphens/>
              <w:kinsoku w:val="0"/>
              <w:overflowPunct w:val="0"/>
              <w:autoSpaceDE w:val="0"/>
              <w:autoSpaceDN w:val="0"/>
              <w:adjustRightInd w:val="0"/>
              <w:snapToGrid w:val="0"/>
              <w:jc w:val="left"/>
              <w:rPr>
                <w:b/>
                <w:snapToGrid w:val="0"/>
                <w:color w:val="000000"/>
                <w:kern w:val="22"/>
                <w:szCs w:val="22"/>
                <w:lang w:eastAsia="en-CA"/>
              </w:rPr>
            </w:pPr>
            <w:r w:rsidRPr="000058F1">
              <w:rPr>
                <w:b/>
                <w:snapToGrid w:val="0"/>
                <w:color w:val="000000"/>
                <w:kern w:val="22"/>
                <w:szCs w:val="22"/>
                <w:lang w:eastAsia="en-CA"/>
              </w:rPr>
              <w:t xml:space="preserve">Target 17. </w:t>
            </w:r>
            <w:r w:rsidRPr="000058F1">
              <w:rPr>
                <w:rFonts w:cstheme="minorHAnsi"/>
                <w:szCs w:val="22"/>
              </w:rPr>
              <w:t xml:space="preserve">Establish, strengthen capacity for, and implement measures in all countries to prevent, manage or control potential adverse impacts of biotechnology on biodiversity and human </w:t>
            </w:r>
            <w:r w:rsidRPr="000058F1">
              <w:rPr>
                <w:rFonts w:cstheme="minorHAnsi"/>
                <w:color w:val="000000" w:themeColor="text1"/>
                <w:szCs w:val="22"/>
              </w:rPr>
              <w:t>health, reducing the risk of these impacts.</w:t>
            </w:r>
          </w:p>
        </w:tc>
        <w:tc>
          <w:tcPr>
            <w:tcW w:w="2430" w:type="dxa"/>
            <w:shd w:val="clear" w:color="auto" w:fill="auto"/>
            <w:hideMark/>
          </w:tcPr>
          <w:p w14:paraId="3EDB0E3C" w14:textId="0DE77DEE"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t xml:space="preserve">17.0.1 Indicator of measures in place to prevent, manage and control potential adverse impacts of biotechnology on </w:t>
            </w:r>
            <w:r w:rsidRPr="000058F1">
              <w:rPr>
                <w:snapToGrid w:val="0"/>
                <w:color w:val="000000"/>
                <w:kern w:val="22"/>
                <w:szCs w:val="22"/>
                <w:lang w:eastAsia="en-CA"/>
              </w:rPr>
              <w:lastRenderedPageBreak/>
              <w:t>biodiversity</w:t>
            </w:r>
            <w:r w:rsidR="00DC15D9">
              <w:rPr>
                <w:snapToGrid w:val="0"/>
                <w:color w:val="000000"/>
                <w:kern w:val="22"/>
                <w:szCs w:val="22"/>
                <w:lang w:eastAsia="en-CA"/>
              </w:rPr>
              <w:t xml:space="preserve"> </w:t>
            </w:r>
            <w:r w:rsidR="00A561D0">
              <w:rPr>
                <w:snapToGrid w:val="0"/>
                <w:color w:val="000000"/>
                <w:kern w:val="22"/>
                <w:szCs w:val="22"/>
                <w:lang w:eastAsia="en-CA"/>
              </w:rPr>
              <w:t xml:space="preserve">taking into account </w:t>
            </w:r>
            <w:r w:rsidR="00DC15D9">
              <w:rPr>
                <w:snapToGrid w:val="0"/>
                <w:color w:val="000000"/>
                <w:kern w:val="22"/>
                <w:szCs w:val="22"/>
                <w:lang w:eastAsia="en-CA"/>
              </w:rPr>
              <w:t xml:space="preserve"> human health</w:t>
            </w:r>
            <w:r w:rsidRPr="000058F1">
              <w:rPr>
                <w:snapToGrid w:val="0"/>
                <w:color w:val="000000"/>
                <w:kern w:val="22"/>
                <w:szCs w:val="22"/>
                <w:lang w:eastAsia="en-CA"/>
              </w:rPr>
              <w:t>*</w:t>
            </w:r>
          </w:p>
        </w:tc>
        <w:tc>
          <w:tcPr>
            <w:tcW w:w="1620" w:type="dxa"/>
            <w:shd w:val="clear" w:color="auto" w:fill="auto"/>
            <w:hideMark/>
          </w:tcPr>
          <w:p w14:paraId="74BDEC22"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p>
        </w:tc>
        <w:tc>
          <w:tcPr>
            <w:tcW w:w="1350" w:type="dxa"/>
            <w:shd w:val="clear" w:color="auto" w:fill="auto"/>
            <w:noWrap/>
            <w:hideMark/>
          </w:tcPr>
          <w:p w14:paraId="3518DA79"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kern w:val="22"/>
                <w:szCs w:val="22"/>
                <w:lang w:eastAsia="en-CA"/>
              </w:rPr>
            </w:pPr>
          </w:p>
        </w:tc>
        <w:tc>
          <w:tcPr>
            <w:tcW w:w="3240" w:type="dxa"/>
          </w:tcPr>
          <w:p w14:paraId="15823332"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kern w:val="22"/>
                <w:szCs w:val="22"/>
                <w:lang w:eastAsia="en-CA"/>
              </w:rPr>
            </w:pPr>
            <w:r w:rsidRPr="000058F1">
              <w:rPr>
                <w:snapToGrid w:val="0"/>
                <w:color w:val="000000"/>
                <w:kern w:val="22"/>
                <w:szCs w:val="22"/>
                <w:lang w:eastAsia="en-CA"/>
              </w:rPr>
              <w:t xml:space="preserve">CBD: This index would need to be developed. </w:t>
            </w:r>
          </w:p>
        </w:tc>
        <w:tc>
          <w:tcPr>
            <w:tcW w:w="1894" w:type="dxa"/>
          </w:tcPr>
          <w:p w14:paraId="3EF2B378"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kern w:val="22"/>
                <w:szCs w:val="22"/>
                <w:lang w:eastAsia="en-CA"/>
              </w:rPr>
            </w:pPr>
            <w:r w:rsidRPr="000058F1">
              <w:rPr>
                <w:snapToGrid w:val="0"/>
                <w:kern w:val="22"/>
                <w:szCs w:val="22"/>
                <w:lang w:eastAsia="en-CA"/>
              </w:rPr>
              <w:t xml:space="preserve">Needs developed </w:t>
            </w:r>
          </w:p>
        </w:tc>
      </w:tr>
      <w:tr w:rsidR="0065519D" w:rsidRPr="000058F1" w14:paraId="4C149FD2" w14:textId="77777777" w:rsidTr="00C97201">
        <w:trPr>
          <w:trHeight w:val="2783"/>
          <w:jc w:val="center"/>
        </w:trPr>
        <w:tc>
          <w:tcPr>
            <w:tcW w:w="3595" w:type="dxa"/>
            <w:shd w:val="clear" w:color="auto" w:fill="auto"/>
            <w:hideMark/>
          </w:tcPr>
          <w:p w14:paraId="321A0F2F"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b/>
                <w:snapToGrid w:val="0"/>
                <w:color w:val="000000"/>
                <w:kern w:val="22"/>
                <w:szCs w:val="22"/>
                <w:lang w:eastAsia="en-CA"/>
              </w:rPr>
              <w:t>Target 18.</w:t>
            </w:r>
            <w:r w:rsidRPr="000058F1">
              <w:rPr>
                <w:snapToGrid w:val="0"/>
                <w:color w:val="000000"/>
                <w:kern w:val="22"/>
                <w:szCs w:val="22"/>
                <w:lang w:eastAsia="en-CA"/>
              </w:rPr>
              <w:t xml:space="preserve"> Redirect, repurpose, reform or eliminate incentives harmful for biodiversity, in a just and equitable way, reducing them by at least 500 billion per year, including all of the most harmful subsidies, and ensure that incentives, including public and private economic and regulatory incentives, are either positive or neutral for biodiversity.</w:t>
            </w:r>
          </w:p>
        </w:tc>
        <w:tc>
          <w:tcPr>
            <w:tcW w:w="2430" w:type="dxa"/>
            <w:shd w:val="clear" w:color="auto" w:fill="auto"/>
            <w:hideMark/>
          </w:tcPr>
          <w:p w14:paraId="2CC558D0" w14:textId="77777777" w:rsidR="0065519D" w:rsidRPr="000058F1" w:rsidRDefault="0065519D" w:rsidP="00C97201">
            <w:pPr>
              <w:suppressLineNumbers/>
              <w:suppressAutoHyphens/>
              <w:kinsoku w:val="0"/>
              <w:overflowPunct w:val="0"/>
              <w:autoSpaceDE w:val="0"/>
              <w:autoSpaceDN w:val="0"/>
              <w:adjustRightInd w:val="0"/>
              <w:snapToGrid w:val="0"/>
            </w:pPr>
            <w:r w:rsidRPr="000058F1">
              <w:t>18.0.1 Value of subsidies and other incentives harmful to biodiversity, that are redirected, repurposed or eliminated.</w:t>
            </w:r>
          </w:p>
          <w:p w14:paraId="29ECFC21"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p>
        </w:tc>
        <w:tc>
          <w:tcPr>
            <w:tcW w:w="1620" w:type="dxa"/>
            <w:shd w:val="clear" w:color="auto" w:fill="auto"/>
            <w:hideMark/>
          </w:tcPr>
          <w:p w14:paraId="03914C4B"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t>By type of instrument</w:t>
            </w:r>
          </w:p>
        </w:tc>
        <w:tc>
          <w:tcPr>
            <w:tcW w:w="1350" w:type="dxa"/>
            <w:shd w:val="clear" w:color="auto" w:fill="auto"/>
            <w:noWrap/>
            <w:hideMark/>
          </w:tcPr>
          <w:p w14:paraId="7828859A"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t>OECD</w:t>
            </w:r>
          </w:p>
        </w:tc>
        <w:tc>
          <w:tcPr>
            <w:tcW w:w="3240" w:type="dxa"/>
          </w:tcPr>
          <w:p w14:paraId="459A532A"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t xml:space="preserve">Based on OECD methodology </w:t>
            </w:r>
            <w:r w:rsidRPr="000058F1">
              <w:t>https://www.oecd.org/fr/tad/environmentallyharmfulsubsidieschallengesforreform.htm</w:t>
            </w:r>
          </w:p>
        </w:tc>
        <w:tc>
          <w:tcPr>
            <w:tcW w:w="1894" w:type="dxa"/>
          </w:tcPr>
          <w:p w14:paraId="4C755397"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t>Existing, data from 1990s</w:t>
            </w:r>
          </w:p>
        </w:tc>
      </w:tr>
      <w:tr w:rsidR="0065519D" w:rsidRPr="000058F1" w14:paraId="1247A16F" w14:textId="77777777" w:rsidTr="00C97201">
        <w:trPr>
          <w:trHeight w:val="1300"/>
          <w:jc w:val="center"/>
        </w:trPr>
        <w:tc>
          <w:tcPr>
            <w:tcW w:w="3595" w:type="dxa"/>
            <w:shd w:val="clear" w:color="auto" w:fill="auto"/>
            <w:hideMark/>
          </w:tcPr>
          <w:p w14:paraId="4E441E92"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b/>
                <w:snapToGrid w:val="0"/>
                <w:color w:val="000000"/>
                <w:kern w:val="22"/>
                <w:szCs w:val="22"/>
                <w:lang w:eastAsia="en-CA"/>
              </w:rPr>
              <w:t>Target 19.</w:t>
            </w:r>
            <w:r w:rsidRPr="000058F1">
              <w:rPr>
                <w:snapToGrid w:val="0"/>
                <w:color w:val="000000"/>
                <w:kern w:val="22"/>
                <w:szCs w:val="22"/>
                <w:lang w:eastAsia="en-CA"/>
              </w:rPr>
              <w:t xml:space="preserve"> Increase financial resources from all sources to at least 200 billion per year, including new, additional and effective financial resources, increasing by at least 10 billion per year international financial flows to developing countries, leveraging private finance, and increasing domestic resource mobilization, taking into account national biodiversity finance planning, and strengthen capacity-building and technology transfer and scientific cooperation, to meet the needs for implementing the post-2020 global biodiversity framework </w:t>
            </w:r>
            <w:r w:rsidRPr="000058F1">
              <w:rPr>
                <w:snapToGrid w:val="0"/>
                <w:color w:val="000000"/>
                <w:kern w:val="22"/>
                <w:szCs w:val="22"/>
                <w:lang w:eastAsia="en-CA"/>
              </w:rPr>
              <w:lastRenderedPageBreak/>
              <w:t xml:space="preserve">implementation, commensurate with the ambition of the goals and targets of the framework. </w:t>
            </w:r>
          </w:p>
        </w:tc>
        <w:tc>
          <w:tcPr>
            <w:tcW w:w="2430" w:type="dxa"/>
            <w:shd w:val="clear" w:color="auto" w:fill="auto"/>
            <w:hideMark/>
          </w:tcPr>
          <w:p w14:paraId="2655945E"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p>
          <w:p w14:paraId="3C299F02"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t>19.0.1 Official development assistance for biodiversity</w:t>
            </w:r>
          </w:p>
          <w:p w14:paraId="23C5E6CC"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p>
          <w:p w14:paraId="7A33D621"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p>
        </w:tc>
        <w:tc>
          <w:tcPr>
            <w:tcW w:w="1620" w:type="dxa"/>
            <w:shd w:val="clear" w:color="auto" w:fill="auto"/>
            <w:hideMark/>
          </w:tcPr>
          <w:p w14:paraId="31AAAEC5"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t>By type of expenditure</w:t>
            </w:r>
          </w:p>
        </w:tc>
        <w:tc>
          <w:tcPr>
            <w:tcW w:w="1350" w:type="dxa"/>
            <w:shd w:val="clear" w:color="auto" w:fill="auto"/>
            <w:hideMark/>
          </w:tcPr>
          <w:p w14:paraId="7BFF7BED"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t>SDG (15.a.1)</w:t>
            </w:r>
          </w:p>
        </w:tc>
        <w:tc>
          <w:tcPr>
            <w:tcW w:w="3240" w:type="dxa"/>
          </w:tcPr>
          <w:p w14:paraId="1342346D" w14:textId="67B51481"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t xml:space="preserve">SDG: OECD: </w:t>
            </w:r>
            <w:hyperlink r:id="rId44" w:history="1">
              <w:r w:rsidRPr="000058F1">
                <w:rPr>
                  <w:rStyle w:val="Hyperlink"/>
                  <w:snapToGrid w:val="0"/>
                  <w:kern w:val="22"/>
                  <w:sz w:val="22"/>
                  <w:szCs w:val="22"/>
                  <w:lang w:eastAsia="en-CA"/>
                </w:rPr>
                <w:t>https://unstats.un.org/sdgs/metadata/?Text=&amp;Goal=15&amp;Target=15.a</w:t>
              </w:r>
            </w:hyperlink>
            <w:r w:rsidRPr="00044510">
              <w:rPr>
                <w:snapToGrid w:val="0"/>
                <w:color w:val="000000"/>
                <w:kern w:val="22"/>
                <w:szCs w:val="22"/>
                <w:lang w:eastAsia="en-CA"/>
              </w:rPr>
              <w:t xml:space="preserve"> </w:t>
            </w:r>
          </w:p>
        </w:tc>
        <w:tc>
          <w:tcPr>
            <w:tcW w:w="1894" w:type="dxa"/>
          </w:tcPr>
          <w:p w14:paraId="6DE200DA"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t>Existing data, 1950 - present</w:t>
            </w:r>
          </w:p>
        </w:tc>
      </w:tr>
      <w:tr w:rsidR="0065519D" w:rsidRPr="000058F1" w14:paraId="440D964F" w14:textId="77777777" w:rsidTr="00C97201">
        <w:trPr>
          <w:trHeight w:val="1300"/>
          <w:jc w:val="center"/>
        </w:trPr>
        <w:tc>
          <w:tcPr>
            <w:tcW w:w="3595" w:type="dxa"/>
            <w:shd w:val="clear" w:color="auto" w:fill="auto"/>
          </w:tcPr>
          <w:p w14:paraId="6108EB13" w14:textId="77777777" w:rsidR="0065519D" w:rsidRPr="000058F1" w:rsidRDefault="0065519D" w:rsidP="00C97201">
            <w:pPr>
              <w:suppressLineNumbers/>
              <w:suppressAutoHyphens/>
              <w:kinsoku w:val="0"/>
              <w:overflowPunct w:val="0"/>
              <w:autoSpaceDE w:val="0"/>
              <w:autoSpaceDN w:val="0"/>
              <w:adjustRightInd w:val="0"/>
              <w:snapToGrid w:val="0"/>
              <w:jc w:val="left"/>
              <w:rPr>
                <w:b/>
                <w:snapToGrid w:val="0"/>
                <w:color w:val="000000"/>
                <w:kern w:val="22"/>
                <w:szCs w:val="22"/>
                <w:lang w:eastAsia="en-CA"/>
              </w:rPr>
            </w:pPr>
          </w:p>
        </w:tc>
        <w:tc>
          <w:tcPr>
            <w:tcW w:w="2430" w:type="dxa"/>
            <w:shd w:val="clear" w:color="auto" w:fill="auto"/>
          </w:tcPr>
          <w:p w14:paraId="62746D67" w14:textId="47F686DD" w:rsidR="0065519D" w:rsidRPr="000058F1" w:rsidDel="00782200"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t>19.0.2 Public expenditure and private expenditure on conservation and sustainable use of biodiversity and ecosystems</w:t>
            </w:r>
          </w:p>
        </w:tc>
        <w:tc>
          <w:tcPr>
            <w:tcW w:w="1620" w:type="dxa"/>
            <w:shd w:val="clear" w:color="auto" w:fill="auto"/>
          </w:tcPr>
          <w:p w14:paraId="2796034D"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p>
        </w:tc>
        <w:tc>
          <w:tcPr>
            <w:tcW w:w="1350" w:type="dxa"/>
            <w:shd w:val="clear" w:color="auto" w:fill="auto"/>
          </w:tcPr>
          <w:p w14:paraId="4109769E"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p>
        </w:tc>
        <w:tc>
          <w:tcPr>
            <w:tcW w:w="3240" w:type="dxa"/>
          </w:tcPr>
          <w:p w14:paraId="2318567B"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t>Existing methodologies and research by the CBD, BIOFIN and SEEA. Data can be collected through national biodiversity finance plans.</w:t>
            </w:r>
          </w:p>
        </w:tc>
        <w:tc>
          <w:tcPr>
            <w:tcW w:w="1894" w:type="dxa"/>
          </w:tcPr>
          <w:p w14:paraId="77BA604E"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t>Needs developed</w:t>
            </w:r>
          </w:p>
        </w:tc>
      </w:tr>
      <w:tr w:rsidR="0065519D" w:rsidRPr="000058F1" w14:paraId="63DD1710" w14:textId="77777777" w:rsidTr="00C97201">
        <w:trPr>
          <w:trHeight w:val="1859"/>
          <w:jc w:val="center"/>
        </w:trPr>
        <w:tc>
          <w:tcPr>
            <w:tcW w:w="3595" w:type="dxa"/>
            <w:shd w:val="clear" w:color="auto" w:fill="auto"/>
            <w:hideMark/>
          </w:tcPr>
          <w:p w14:paraId="584C25D8"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b/>
                <w:snapToGrid w:val="0"/>
                <w:color w:val="000000"/>
                <w:kern w:val="22"/>
                <w:szCs w:val="22"/>
                <w:lang w:eastAsia="en-CA"/>
              </w:rPr>
              <w:t>Target 20.</w:t>
            </w:r>
            <w:r w:rsidRPr="000058F1">
              <w:rPr>
                <w:snapToGrid w:val="0"/>
                <w:color w:val="000000"/>
                <w:kern w:val="22"/>
                <w:szCs w:val="22"/>
                <w:lang w:eastAsia="en-CA"/>
              </w:rPr>
              <w:t xml:space="preserve"> Ensure that relevant knowledge, including the traditional knowledge, innovations and practices of indigenous and local communities with their free, prior, and informed consent, guides decision making for the effective management of biodiversity, enabling monitoring, and by promoting awareness, education and research.</w:t>
            </w:r>
          </w:p>
        </w:tc>
        <w:tc>
          <w:tcPr>
            <w:tcW w:w="2430" w:type="dxa"/>
            <w:shd w:val="clear" w:color="auto" w:fill="auto"/>
            <w:hideMark/>
          </w:tcPr>
          <w:p w14:paraId="5B0EFDE8" w14:textId="7DC5CA6D"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t>20.0.1 Indicator on biodiversity information and monitoring, including traditional knowledge, for management*</w:t>
            </w:r>
          </w:p>
        </w:tc>
        <w:tc>
          <w:tcPr>
            <w:tcW w:w="1620" w:type="dxa"/>
            <w:shd w:val="clear" w:color="auto" w:fill="auto"/>
            <w:hideMark/>
          </w:tcPr>
          <w:p w14:paraId="692F9CD9"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p>
        </w:tc>
        <w:tc>
          <w:tcPr>
            <w:tcW w:w="1350" w:type="dxa"/>
            <w:shd w:val="clear" w:color="auto" w:fill="auto"/>
            <w:hideMark/>
          </w:tcPr>
          <w:p w14:paraId="62A11C6D"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kern w:val="22"/>
                <w:szCs w:val="22"/>
                <w:lang w:eastAsia="en-CA"/>
              </w:rPr>
            </w:pPr>
          </w:p>
        </w:tc>
        <w:tc>
          <w:tcPr>
            <w:tcW w:w="3240" w:type="dxa"/>
          </w:tcPr>
          <w:p w14:paraId="7D131103" w14:textId="756B26F7" w:rsidR="0065519D" w:rsidRPr="000058F1" w:rsidRDefault="0065519D" w:rsidP="00C97201">
            <w:pPr>
              <w:suppressLineNumbers/>
              <w:suppressAutoHyphens/>
              <w:kinsoku w:val="0"/>
              <w:overflowPunct w:val="0"/>
              <w:autoSpaceDE w:val="0"/>
              <w:autoSpaceDN w:val="0"/>
              <w:adjustRightInd w:val="0"/>
              <w:snapToGrid w:val="0"/>
              <w:jc w:val="left"/>
              <w:rPr>
                <w:snapToGrid w:val="0"/>
                <w:kern w:val="22"/>
                <w:szCs w:val="22"/>
                <w:lang w:eastAsia="en-CA"/>
              </w:rPr>
            </w:pPr>
            <w:r w:rsidRPr="000058F1">
              <w:rPr>
                <w:snapToGrid w:val="0"/>
                <w:kern w:val="22"/>
                <w:szCs w:val="22"/>
                <w:lang w:eastAsia="en-CA"/>
              </w:rPr>
              <w:t>To be developed with GEOBON, IIFB and others to capture biodiversity observation systems and traditional knowledge. This indicator would aim to capture different elements of data and knowledge availability and access.</w:t>
            </w:r>
          </w:p>
        </w:tc>
        <w:tc>
          <w:tcPr>
            <w:tcW w:w="1894" w:type="dxa"/>
          </w:tcPr>
          <w:p w14:paraId="5F809B92" w14:textId="2AC2C74B" w:rsidR="0065519D" w:rsidRPr="000058F1" w:rsidRDefault="0065519D" w:rsidP="00C97201">
            <w:pPr>
              <w:suppressLineNumbers/>
              <w:suppressAutoHyphens/>
              <w:kinsoku w:val="0"/>
              <w:overflowPunct w:val="0"/>
              <w:autoSpaceDE w:val="0"/>
              <w:autoSpaceDN w:val="0"/>
              <w:adjustRightInd w:val="0"/>
              <w:snapToGrid w:val="0"/>
              <w:jc w:val="left"/>
              <w:rPr>
                <w:snapToGrid w:val="0"/>
                <w:kern w:val="22"/>
                <w:szCs w:val="22"/>
                <w:lang w:eastAsia="en-CA"/>
              </w:rPr>
            </w:pPr>
            <w:r w:rsidRPr="000058F1">
              <w:rPr>
                <w:snapToGrid w:val="0"/>
                <w:kern w:val="22"/>
                <w:szCs w:val="22"/>
                <w:lang w:eastAsia="en-CA"/>
              </w:rPr>
              <w:t>Needs developed**</w:t>
            </w:r>
          </w:p>
        </w:tc>
      </w:tr>
      <w:tr w:rsidR="0065519D" w:rsidRPr="000058F1" w14:paraId="3753997E" w14:textId="77777777" w:rsidTr="00C97201">
        <w:trPr>
          <w:trHeight w:val="1319"/>
          <w:jc w:val="center"/>
        </w:trPr>
        <w:tc>
          <w:tcPr>
            <w:tcW w:w="3595" w:type="dxa"/>
            <w:vMerge w:val="restart"/>
            <w:shd w:val="clear" w:color="auto" w:fill="auto"/>
            <w:hideMark/>
          </w:tcPr>
          <w:p w14:paraId="33CAB7A6"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b/>
                <w:snapToGrid w:val="0"/>
                <w:color w:val="000000"/>
                <w:kern w:val="22"/>
                <w:szCs w:val="22"/>
                <w:lang w:eastAsia="en-CA"/>
              </w:rPr>
              <w:t>Target 21.</w:t>
            </w:r>
            <w:r w:rsidRPr="000058F1">
              <w:rPr>
                <w:snapToGrid w:val="0"/>
                <w:color w:val="000000"/>
                <w:kern w:val="22"/>
                <w:szCs w:val="22"/>
                <w:lang w:eastAsia="en-CA"/>
              </w:rPr>
              <w:t xml:space="preserve"> </w:t>
            </w:r>
            <w:r w:rsidRPr="000058F1">
              <w:rPr>
                <w:rFonts w:cstheme="minorHAnsi"/>
                <w:szCs w:val="22"/>
              </w:rPr>
              <w:t>Ensure equitable and effective participation in decision-making related to biodiversity by indigenous peoples and local communities, and respect their rights over lands, territories and resources, as well as by women and girls, and youth.</w:t>
            </w:r>
          </w:p>
        </w:tc>
        <w:tc>
          <w:tcPr>
            <w:tcW w:w="2430" w:type="dxa"/>
            <w:shd w:val="clear" w:color="auto" w:fill="auto"/>
          </w:tcPr>
          <w:p w14:paraId="02F4384B"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t>21.0.2 Land tenure in the traditional territories of indigenous peoples and local communities</w:t>
            </w:r>
          </w:p>
        </w:tc>
        <w:tc>
          <w:tcPr>
            <w:tcW w:w="1620" w:type="dxa"/>
            <w:shd w:val="clear" w:color="auto" w:fill="auto"/>
          </w:tcPr>
          <w:p w14:paraId="6E2058AE"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t>By sex</w:t>
            </w:r>
          </w:p>
          <w:p w14:paraId="69F6F755"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t>By IPLC status</w:t>
            </w:r>
          </w:p>
          <w:p w14:paraId="427B6CD8"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t>By type of tenure</w:t>
            </w:r>
          </w:p>
        </w:tc>
        <w:tc>
          <w:tcPr>
            <w:tcW w:w="1350" w:type="dxa"/>
            <w:shd w:val="clear" w:color="auto" w:fill="auto"/>
            <w:noWrap/>
          </w:tcPr>
          <w:p w14:paraId="140B62B4"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t>SDG 1.4.2 and 5.a.1</w:t>
            </w:r>
          </w:p>
        </w:tc>
        <w:tc>
          <w:tcPr>
            <w:tcW w:w="3240" w:type="dxa"/>
          </w:tcPr>
          <w:p w14:paraId="13D64AC4" w14:textId="47C7FC1A"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t xml:space="preserve">SDG: World Bank and UN-Habitat: </w:t>
            </w:r>
            <w:hyperlink r:id="rId45" w:history="1">
              <w:r w:rsidRPr="000058F1">
                <w:rPr>
                  <w:rStyle w:val="Hyperlink"/>
                  <w:snapToGrid w:val="0"/>
                  <w:kern w:val="22"/>
                  <w:sz w:val="22"/>
                  <w:szCs w:val="22"/>
                  <w:lang w:eastAsia="en-CA"/>
                </w:rPr>
                <w:t>https://www.worldbank.org/en/programs/lsms/land-tenure</w:t>
              </w:r>
            </w:hyperlink>
            <w:r w:rsidRPr="00044510">
              <w:rPr>
                <w:snapToGrid w:val="0"/>
                <w:color w:val="000000"/>
                <w:kern w:val="22"/>
                <w:szCs w:val="22"/>
                <w:lang w:eastAsia="en-CA"/>
              </w:rPr>
              <w:t xml:space="preserve">  </w:t>
            </w:r>
          </w:p>
        </w:tc>
        <w:tc>
          <w:tcPr>
            <w:tcW w:w="1894" w:type="dxa"/>
          </w:tcPr>
          <w:p w14:paraId="1EFEFD99"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t>Near ready (existing survey collection from World Bank and UN-Habitat</w:t>
            </w:r>
          </w:p>
        </w:tc>
      </w:tr>
      <w:tr w:rsidR="0065519D" w:rsidRPr="000058F1" w14:paraId="0720A7F2" w14:textId="77777777" w:rsidTr="00C97201">
        <w:trPr>
          <w:trHeight w:val="810"/>
          <w:jc w:val="center"/>
        </w:trPr>
        <w:tc>
          <w:tcPr>
            <w:tcW w:w="3595" w:type="dxa"/>
            <w:vMerge/>
            <w:hideMark/>
          </w:tcPr>
          <w:p w14:paraId="1D34587B"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p>
        </w:tc>
        <w:tc>
          <w:tcPr>
            <w:tcW w:w="2430" w:type="dxa"/>
            <w:shd w:val="clear" w:color="auto" w:fill="auto"/>
          </w:tcPr>
          <w:p w14:paraId="7C333B20" w14:textId="5F0DF7EC"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t xml:space="preserve">21.0.1 Degree to which indigenous peoples and local communities, women and girls as well </w:t>
            </w:r>
            <w:r w:rsidRPr="000058F1">
              <w:rPr>
                <w:snapToGrid w:val="0"/>
                <w:color w:val="000000"/>
                <w:kern w:val="22"/>
                <w:szCs w:val="22"/>
                <w:lang w:eastAsia="en-CA"/>
              </w:rPr>
              <w:lastRenderedPageBreak/>
              <w:t>as youth participate in decision-making related to biodiversity.*</w:t>
            </w:r>
          </w:p>
        </w:tc>
        <w:tc>
          <w:tcPr>
            <w:tcW w:w="1620" w:type="dxa"/>
            <w:shd w:val="clear" w:color="auto" w:fill="auto"/>
          </w:tcPr>
          <w:p w14:paraId="54702FA9"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p>
        </w:tc>
        <w:tc>
          <w:tcPr>
            <w:tcW w:w="1350" w:type="dxa"/>
            <w:shd w:val="clear" w:color="auto" w:fill="auto"/>
            <w:noWrap/>
          </w:tcPr>
          <w:p w14:paraId="6EE15C1B"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p>
        </w:tc>
        <w:tc>
          <w:tcPr>
            <w:tcW w:w="3240" w:type="dxa"/>
          </w:tcPr>
          <w:p w14:paraId="56975F5C" w14:textId="433D8DEC"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t xml:space="preserve">Data on engagement of stakeholders is already included in NBSAPs and </w:t>
            </w:r>
            <w:r w:rsidR="006B6476" w:rsidRPr="000058F1">
              <w:rPr>
                <w:snapToGrid w:val="0"/>
                <w:color w:val="000000"/>
                <w:kern w:val="22"/>
                <w:szCs w:val="22"/>
                <w:lang w:eastAsia="en-CA"/>
              </w:rPr>
              <w:t>n</w:t>
            </w:r>
            <w:r w:rsidRPr="000058F1">
              <w:rPr>
                <w:snapToGrid w:val="0"/>
                <w:color w:val="000000"/>
                <w:kern w:val="22"/>
                <w:szCs w:val="22"/>
                <w:lang w:eastAsia="en-CA"/>
              </w:rPr>
              <w:t xml:space="preserve">ational </w:t>
            </w:r>
            <w:r w:rsidR="006B6476" w:rsidRPr="000058F1">
              <w:rPr>
                <w:snapToGrid w:val="0"/>
                <w:color w:val="000000"/>
                <w:kern w:val="22"/>
                <w:szCs w:val="22"/>
                <w:lang w:eastAsia="en-CA"/>
              </w:rPr>
              <w:t>r</w:t>
            </w:r>
            <w:r w:rsidRPr="000058F1">
              <w:rPr>
                <w:snapToGrid w:val="0"/>
                <w:color w:val="000000"/>
                <w:kern w:val="22"/>
                <w:szCs w:val="22"/>
                <w:lang w:eastAsia="en-CA"/>
              </w:rPr>
              <w:t xml:space="preserve">eports. </w:t>
            </w:r>
            <w:r w:rsidRPr="000058F1">
              <w:rPr>
                <w:snapToGrid w:val="0"/>
                <w:color w:val="000000"/>
                <w:kern w:val="22"/>
                <w:szCs w:val="22"/>
                <w:lang w:eastAsia="en-CA"/>
              </w:rPr>
              <w:lastRenderedPageBreak/>
              <w:t>This would be based on self-reporting.</w:t>
            </w:r>
          </w:p>
        </w:tc>
        <w:tc>
          <w:tcPr>
            <w:tcW w:w="1894" w:type="dxa"/>
          </w:tcPr>
          <w:p w14:paraId="08322777" w14:textId="77777777" w:rsidR="0065519D" w:rsidRPr="000058F1" w:rsidRDefault="0065519D" w:rsidP="00C97201">
            <w:pPr>
              <w:suppressLineNumbers/>
              <w:suppressAutoHyphens/>
              <w:kinsoku w:val="0"/>
              <w:overflowPunct w:val="0"/>
              <w:autoSpaceDE w:val="0"/>
              <w:autoSpaceDN w:val="0"/>
              <w:adjustRightInd w:val="0"/>
              <w:snapToGrid w:val="0"/>
              <w:jc w:val="left"/>
              <w:rPr>
                <w:snapToGrid w:val="0"/>
                <w:color w:val="000000"/>
                <w:kern w:val="22"/>
                <w:szCs w:val="22"/>
                <w:lang w:eastAsia="en-CA"/>
              </w:rPr>
            </w:pPr>
            <w:r w:rsidRPr="000058F1">
              <w:rPr>
                <w:snapToGrid w:val="0"/>
                <w:color w:val="000000"/>
                <w:kern w:val="22"/>
                <w:szCs w:val="22"/>
                <w:lang w:eastAsia="en-CA"/>
              </w:rPr>
              <w:lastRenderedPageBreak/>
              <w:t>Needs developed</w:t>
            </w:r>
          </w:p>
        </w:tc>
      </w:tr>
    </w:tbl>
    <w:p w14:paraId="3D50DED7" w14:textId="4B8CCFEE" w:rsidR="0065519D" w:rsidRPr="000058F1" w:rsidRDefault="006B6476" w:rsidP="00444C31">
      <w:pPr>
        <w:jc w:val="center"/>
        <w:rPr>
          <w:kern w:val="22"/>
          <w:szCs w:val="22"/>
        </w:rPr>
      </w:pPr>
      <w:r w:rsidRPr="000058F1">
        <w:rPr>
          <w:kern w:val="22"/>
          <w:szCs w:val="22"/>
        </w:rPr>
        <w:t>__________</w:t>
      </w:r>
    </w:p>
    <w:sectPr w:rsidR="0065519D" w:rsidRPr="000058F1" w:rsidSect="0065519D">
      <w:pgSz w:w="15840" w:h="12240" w:orient="landscape"/>
      <w:pgMar w:top="1389" w:right="567" w:bottom="138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AA594E" w14:textId="77777777" w:rsidR="004D2C41" w:rsidRDefault="004D2C41" w:rsidP="00CF1848">
      <w:r>
        <w:separator/>
      </w:r>
    </w:p>
  </w:endnote>
  <w:endnote w:type="continuationSeparator" w:id="0">
    <w:p w14:paraId="2CA6B641" w14:textId="77777777" w:rsidR="004D2C41" w:rsidRDefault="004D2C41" w:rsidP="00CF1848">
      <w:r>
        <w:continuationSeparator/>
      </w:r>
    </w:p>
  </w:endnote>
  <w:endnote w:type="continuationNotice" w:id="1">
    <w:p w14:paraId="381FEA69" w14:textId="77777777" w:rsidR="004D2C41" w:rsidRDefault="004D2C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notTrueType/>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66007" w14:textId="77777777" w:rsidR="00C97E0D" w:rsidRDefault="00C97E0D" w:rsidP="00567C85">
    <w:pPr>
      <w:pStyle w:val="Footer"/>
      <w:tabs>
        <w:tab w:val="clear" w:pos="4320"/>
        <w:tab w:val="clear" w:pos="8640"/>
      </w:tabs>
      <w:ind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44A2D" w14:textId="77777777" w:rsidR="00C97E0D" w:rsidRDefault="00C97E0D" w:rsidP="00E90BA0">
    <w:pPr>
      <w:pStyle w:val="Footer"/>
      <w:tabs>
        <w:tab w:val="clear" w:pos="4320"/>
        <w:tab w:val="clear" w:pos="8640"/>
      </w:tabs>
      <w:ind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3EF8B" w14:textId="77777777" w:rsidR="00C97E0D" w:rsidRDefault="00C97E0D" w:rsidP="00567C85">
    <w:pPr>
      <w:pStyle w:val="Footer"/>
      <w:tabs>
        <w:tab w:val="clear" w:pos="4320"/>
        <w:tab w:val="clear" w:pos="8640"/>
      </w:tabs>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94470F" w14:textId="77777777" w:rsidR="004D2C41" w:rsidRDefault="004D2C41" w:rsidP="00CF1848">
      <w:r>
        <w:separator/>
      </w:r>
    </w:p>
  </w:footnote>
  <w:footnote w:type="continuationSeparator" w:id="0">
    <w:p w14:paraId="61F51C0A" w14:textId="77777777" w:rsidR="004D2C41" w:rsidRDefault="004D2C41" w:rsidP="00CF1848">
      <w:r>
        <w:continuationSeparator/>
      </w:r>
    </w:p>
  </w:footnote>
  <w:footnote w:type="continuationNotice" w:id="1">
    <w:p w14:paraId="543CDE08" w14:textId="77777777" w:rsidR="004D2C41" w:rsidRDefault="004D2C41"/>
  </w:footnote>
  <w:footnote w:id="2">
    <w:p w14:paraId="36A4DF64" w14:textId="2EB6B551" w:rsidR="00C97E0D" w:rsidRPr="0087548B" w:rsidRDefault="00C97E0D" w:rsidP="00444C31">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6A476B">
        <w:rPr>
          <w:snapToGrid w:val="0"/>
          <w:kern w:val="18"/>
          <w:szCs w:val="18"/>
          <w:vertAlign w:val="superscript"/>
        </w:rPr>
        <w:t>*</w:t>
      </w:r>
      <w:r w:rsidRPr="00866F16">
        <w:rPr>
          <w:rStyle w:val="FootnoteReference"/>
          <w:snapToGrid w:val="0"/>
          <w:kern w:val="18"/>
          <w:sz w:val="18"/>
          <w:szCs w:val="18"/>
        </w:rPr>
        <w:t xml:space="preserve">* </w:t>
      </w:r>
      <w:r w:rsidR="005C4E47" w:rsidRPr="0087548B">
        <w:rPr>
          <w:snapToGrid w:val="0"/>
          <w:kern w:val="18"/>
          <w:szCs w:val="18"/>
        </w:rPr>
        <w:t>CBD/WG2020/3/1</w:t>
      </w:r>
    </w:p>
  </w:footnote>
  <w:footnote w:id="3">
    <w:p w14:paraId="56E470C8" w14:textId="198ACE97" w:rsidR="00C97E0D" w:rsidRPr="00444C31" w:rsidRDefault="00C97E0D" w:rsidP="00444C31">
      <w:pPr>
        <w:pStyle w:val="FootnoteText"/>
        <w:suppressLineNumbers/>
        <w:suppressAutoHyphens/>
        <w:adjustRightInd w:val="0"/>
        <w:snapToGrid w:val="0"/>
        <w:ind w:firstLine="0"/>
        <w:jc w:val="left"/>
        <w:rPr>
          <w:kern w:val="18"/>
          <w:szCs w:val="18"/>
        </w:rPr>
      </w:pPr>
      <w:r w:rsidRPr="00444C31">
        <w:rPr>
          <w:rStyle w:val="FootnoteReference"/>
          <w:kern w:val="18"/>
          <w:sz w:val="18"/>
          <w:szCs w:val="18"/>
        </w:rPr>
        <w:footnoteRef/>
      </w:r>
      <w:r w:rsidRPr="00444C31">
        <w:rPr>
          <w:kern w:val="18"/>
          <w:szCs w:val="18"/>
        </w:rPr>
        <w:t xml:space="preserve"> Co-chairs’ text on item 3 and its annex</w:t>
      </w:r>
    </w:p>
  </w:footnote>
  <w:footnote w:id="4">
    <w:p w14:paraId="2B4F6D2F" w14:textId="266ED65B" w:rsidR="00C97E0D" w:rsidRPr="00444C31" w:rsidRDefault="00C97E0D" w:rsidP="00444C31">
      <w:pPr>
        <w:pStyle w:val="FootnoteText"/>
        <w:suppressLineNumbers/>
        <w:suppressAutoHyphens/>
        <w:adjustRightInd w:val="0"/>
        <w:snapToGrid w:val="0"/>
        <w:ind w:firstLine="0"/>
        <w:jc w:val="left"/>
        <w:rPr>
          <w:kern w:val="18"/>
          <w:szCs w:val="18"/>
        </w:rPr>
      </w:pPr>
      <w:r w:rsidRPr="00444C31">
        <w:rPr>
          <w:rStyle w:val="FootnoteReference"/>
          <w:kern w:val="18"/>
          <w:sz w:val="18"/>
          <w:szCs w:val="18"/>
        </w:rPr>
        <w:footnoteRef/>
      </w:r>
      <w:r w:rsidRPr="00444C31">
        <w:rPr>
          <w:rStyle w:val="ng-binding"/>
          <w:kern w:val="18"/>
          <w:szCs w:val="18"/>
        </w:rPr>
        <w:t>CBD/SBSTTA/24/INF/29</w:t>
      </w:r>
      <w:r w:rsidRPr="00444C31">
        <w:rPr>
          <w:kern w:val="18"/>
          <w:szCs w:val="18"/>
        </w:rPr>
        <w:t xml:space="preserve"> </w:t>
      </w:r>
    </w:p>
  </w:footnote>
  <w:footnote w:id="5">
    <w:p w14:paraId="74728B83" w14:textId="07CAA499" w:rsidR="00C97E0D" w:rsidRPr="00444C31" w:rsidRDefault="00C97E0D" w:rsidP="00444C31">
      <w:pPr>
        <w:pStyle w:val="FootnoteText"/>
        <w:suppressLineNumbers/>
        <w:suppressAutoHyphens/>
        <w:adjustRightInd w:val="0"/>
        <w:snapToGrid w:val="0"/>
        <w:ind w:firstLine="0"/>
        <w:jc w:val="left"/>
        <w:rPr>
          <w:kern w:val="18"/>
          <w:szCs w:val="18"/>
        </w:rPr>
      </w:pPr>
      <w:r w:rsidRPr="00444C31">
        <w:rPr>
          <w:rStyle w:val="FootnoteReference"/>
          <w:kern w:val="18"/>
          <w:sz w:val="18"/>
          <w:szCs w:val="18"/>
        </w:rPr>
        <w:footnoteRef/>
      </w:r>
      <w:r w:rsidRPr="00444C31">
        <w:rPr>
          <w:kern w:val="18"/>
          <w:szCs w:val="18"/>
        </w:rPr>
        <w:t xml:space="preserve"> CBD/WG</w:t>
      </w:r>
      <w:r w:rsidR="00C40CF4" w:rsidRPr="00444C31">
        <w:rPr>
          <w:kern w:val="18"/>
          <w:szCs w:val="18"/>
        </w:rPr>
        <w:t>2020</w:t>
      </w:r>
      <w:r w:rsidRPr="00444C31">
        <w:rPr>
          <w:kern w:val="18"/>
          <w:szCs w:val="18"/>
        </w:rPr>
        <w:t>/3/</w:t>
      </w:r>
      <w:r w:rsidR="00C40CF4" w:rsidRPr="00444C31">
        <w:rPr>
          <w:kern w:val="18"/>
          <w:szCs w:val="18"/>
        </w:rPr>
        <w:t>3</w:t>
      </w:r>
    </w:p>
  </w:footnote>
  <w:footnote w:id="6">
    <w:p w14:paraId="1C6637DF" w14:textId="0E98069D" w:rsidR="00994450" w:rsidRPr="00444C31" w:rsidRDefault="00994450" w:rsidP="00444C31">
      <w:pPr>
        <w:pStyle w:val="FootnoteText"/>
        <w:suppressLineNumbers/>
        <w:suppressAutoHyphens/>
        <w:adjustRightInd w:val="0"/>
        <w:snapToGrid w:val="0"/>
        <w:ind w:firstLine="0"/>
        <w:jc w:val="left"/>
        <w:rPr>
          <w:kern w:val="18"/>
          <w:szCs w:val="18"/>
        </w:rPr>
      </w:pPr>
      <w:r w:rsidRPr="00444C31">
        <w:rPr>
          <w:rStyle w:val="FootnoteReference"/>
          <w:kern w:val="18"/>
          <w:sz w:val="18"/>
          <w:szCs w:val="18"/>
        </w:rPr>
        <w:footnoteRef/>
      </w:r>
      <w:r w:rsidRPr="00444C31">
        <w:rPr>
          <w:kern w:val="18"/>
          <w:szCs w:val="18"/>
        </w:rPr>
        <w:t xml:space="preserve"> Global Assessment of Environmental-Economic Accounting and Supporting Statistics. </w:t>
      </w:r>
      <w:hyperlink r:id="rId1" w:history="1">
        <w:r w:rsidRPr="00444C31">
          <w:rPr>
            <w:rStyle w:val="Hyperlink"/>
            <w:kern w:val="18"/>
            <w:szCs w:val="18"/>
          </w:rPr>
          <w:t>https://unstats.un.org/unsd/statcom/52nd-session/documents/BG-3f-2020_GA_report_%20draft_%20ver7_nomap-E.pdf</w:t>
        </w:r>
      </w:hyperlink>
    </w:p>
  </w:footnote>
  <w:footnote w:id="7">
    <w:p w14:paraId="50316224" w14:textId="3C7A5FF5" w:rsidR="00EB5856" w:rsidRPr="00444C31" w:rsidRDefault="00EB5856" w:rsidP="00444C31">
      <w:pPr>
        <w:pStyle w:val="FootnoteText"/>
        <w:suppressLineNumbers/>
        <w:suppressAutoHyphens/>
        <w:adjustRightInd w:val="0"/>
        <w:snapToGrid w:val="0"/>
        <w:ind w:firstLine="0"/>
        <w:jc w:val="left"/>
        <w:rPr>
          <w:kern w:val="18"/>
          <w:szCs w:val="18"/>
        </w:rPr>
      </w:pPr>
      <w:r w:rsidRPr="00444C31">
        <w:rPr>
          <w:rStyle w:val="FootnoteReference"/>
          <w:kern w:val="18"/>
          <w:sz w:val="18"/>
          <w:szCs w:val="18"/>
        </w:rPr>
        <w:footnoteRef/>
      </w:r>
      <w:r w:rsidRPr="00444C31">
        <w:rPr>
          <w:kern w:val="18"/>
          <w:szCs w:val="18"/>
        </w:rPr>
        <w:t xml:space="preserve"> Co-</w:t>
      </w:r>
      <w:r w:rsidR="0049387A" w:rsidRPr="00444C31">
        <w:rPr>
          <w:kern w:val="18"/>
          <w:szCs w:val="18"/>
        </w:rPr>
        <w:t>c</w:t>
      </w:r>
      <w:r w:rsidRPr="00444C31">
        <w:rPr>
          <w:kern w:val="18"/>
          <w:szCs w:val="18"/>
        </w:rPr>
        <w:t>hairs’ text on item 3 and its annex</w:t>
      </w:r>
      <w:r w:rsidR="00E05087">
        <w:rPr>
          <w:kern w:val="18"/>
          <w:szCs w:val="18"/>
        </w:rPr>
        <w:t>.</w:t>
      </w:r>
    </w:p>
  </w:footnote>
  <w:footnote w:id="8">
    <w:p w14:paraId="0F0A5628" w14:textId="77777777" w:rsidR="0065519D" w:rsidRPr="00444C31" w:rsidRDefault="0065519D" w:rsidP="00444C31">
      <w:pPr>
        <w:pStyle w:val="Para1"/>
        <w:keepLines/>
        <w:numPr>
          <w:ilvl w:val="0"/>
          <w:numId w:val="0"/>
        </w:numPr>
        <w:suppressLineNumbers/>
        <w:suppressAutoHyphens/>
        <w:kinsoku w:val="0"/>
        <w:overflowPunct w:val="0"/>
        <w:autoSpaceDE w:val="0"/>
        <w:autoSpaceDN w:val="0"/>
        <w:adjustRightInd w:val="0"/>
        <w:snapToGrid w:val="0"/>
        <w:spacing w:before="0" w:after="60"/>
        <w:jc w:val="left"/>
        <w:rPr>
          <w:kern w:val="18"/>
          <w:sz w:val="18"/>
        </w:rPr>
      </w:pPr>
      <w:r w:rsidRPr="009B6E96">
        <w:rPr>
          <w:rStyle w:val="FootnoteReference"/>
          <w:snapToGrid/>
          <w:kern w:val="18"/>
          <w:sz w:val="18"/>
        </w:rPr>
        <w:footnoteRef/>
      </w:r>
      <w:r w:rsidRPr="009B6E96">
        <w:rPr>
          <w:snapToGrid/>
          <w:kern w:val="18"/>
          <w:sz w:val="18"/>
        </w:rPr>
        <w:t xml:space="preserve"> Indicators marked with an asterisk “*” are not </w:t>
      </w:r>
      <w:r w:rsidRPr="00044510">
        <w:rPr>
          <w:snapToGrid/>
          <w:kern w:val="18"/>
          <w:sz w:val="18"/>
        </w:rPr>
        <w:t>yet developed</w:t>
      </w:r>
      <w:r w:rsidRPr="005704EA">
        <w:rPr>
          <w:snapToGrid/>
          <w:kern w:val="18"/>
          <w:sz w:val="18"/>
        </w:rPr>
        <w:t>.</w:t>
      </w:r>
    </w:p>
  </w:footnote>
  <w:footnote w:id="9">
    <w:p w14:paraId="1A97F64E" w14:textId="42D75116" w:rsidR="0065519D" w:rsidRPr="00444C31" w:rsidRDefault="0065519D" w:rsidP="00444C31">
      <w:pPr>
        <w:pStyle w:val="FootnoteText"/>
        <w:suppressLineNumbers/>
        <w:suppressAutoHyphens/>
        <w:adjustRightInd w:val="0"/>
        <w:snapToGrid w:val="0"/>
        <w:ind w:firstLine="0"/>
        <w:jc w:val="left"/>
        <w:rPr>
          <w:kern w:val="18"/>
          <w:szCs w:val="18"/>
        </w:rPr>
      </w:pPr>
      <w:r w:rsidRPr="00444C31">
        <w:rPr>
          <w:rStyle w:val="FootnoteReference"/>
          <w:kern w:val="18"/>
          <w:sz w:val="18"/>
          <w:szCs w:val="18"/>
        </w:rPr>
        <w:footnoteRef/>
      </w:r>
      <w:r w:rsidRPr="00444C31">
        <w:rPr>
          <w:kern w:val="18"/>
          <w:szCs w:val="18"/>
        </w:rPr>
        <w:t xml:space="preserve"> </w:t>
      </w:r>
      <w:r w:rsidR="00B86F18">
        <w:rPr>
          <w:kern w:val="18"/>
          <w:szCs w:val="18"/>
        </w:rPr>
        <w:t>Two asterisks (</w:t>
      </w:r>
      <w:r w:rsidRPr="00444C31">
        <w:rPr>
          <w:kern w:val="18"/>
          <w:szCs w:val="18"/>
        </w:rPr>
        <w:t>**</w:t>
      </w:r>
      <w:r w:rsidR="00B86F18">
        <w:rPr>
          <w:kern w:val="18"/>
          <w:szCs w:val="18"/>
        </w:rPr>
        <w:t>)</w:t>
      </w:r>
      <w:r w:rsidRPr="00444C31">
        <w:rPr>
          <w:kern w:val="18"/>
          <w:szCs w:val="18"/>
        </w:rPr>
        <w:t xml:space="preserve"> indicate that additional information will be provided for </w:t>
      </w:r>
      <w:r w:rsidR="00A13D61" w:rsidRPr="00444C31">
        <w:rPr>
          <w:kern w:val="18"/>
          <w:szCs w:val="18"/>
        </w:rPr>
        <w:t xml:space="preserve">the third meeting of the Working Group on the Post-2020 Global Biodiversity Framework </w:t>
      </w:r>
      <w:r w:rsidRPr="00444C31">
        <w:rPr>
          <w:kern w:val="18"/>
          <w:szCs w:val="18"/>
        </w:rPr>
        <w:t>in an information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kern w:val="22"/>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BC20A3F" w14:textId="3819B078" w:rsidR="00C97E0D" w:rsidRPr="00E90BA0" w:rsidRDefault="00BF1263" w:rsidP="00E90BA0">
        <w:pPr>
          <w:pStyle w:val="Header"/>
          <w:keepLines/>
          <w:suppressLineNumbers/>
          <w:tabs>
            <w:tab w:val="clear" w:pos="4320"/>
            <w:tab w:val="clear" w:pos="8640"/>
          </w:tabs>
          <w:suppressAutoHyphens/>
          <w:jc w:val="left"/>
          <w:rPr>
            <w:noProof/>
            <w:kern w:val="22"/>
          </w:rPr>
        </w:pPr>
        <w:r>
          <w:rPr>
            <w:noProof/>
            <w:kern w:val="22"/>
          </w:rPr>
          <w:t>CBD/WG2020/3/3/Add.1</w:t>
        </w:r>
      </w:p>
    </w:sdtContent>
  </w:sdt>
  <w:p w14:paraId="61C60697" w14:textId="32FE8A92" w:rsidR="00C97E0D" w:rsidRPr="00E90BA0" w:rsidRDefault="00C97E0D" w:rsidP="00E15315">
    <w:pPr>
      <w:pStyle w:val="Header"/>
      <w:keepLines/>
      <w:suppressLineNumbers/>
      <w:tabs>
        <w:tab w:val="clear" w:pos="4320"/>
        <w:tab w:val="clear" w:pos="8640"/>
      </w:tabs>
      <w:suppressAutoHyphens/>
      <w:spacing w:after="240"/>
      <w:jc w:val="left"/>
      <w:rPr>
        <w:noProof/>
        <w:kern w:val="22"/>
      </w:rPr>
    </w:pPr>
    <w:r w:rsidRPr="00E90BA0">
      <w:rPr>
        <w:noProof/>
        <w:kern w:val="22"/>
      </w:rPr>
      <w:t xml:space="preserve">Page </w:t>
    </w:r>
    <w:r w:rsidRPr="00E90BA0">
      <w:rPr>
        <w:noProof/>
        <w:kern w:val="22"/>
      </w:rPr>
      <w:fldChar w:fldCharType="begin"/>
    </w:r>
    <w:r w:rsidRPr="00E90BA0">
      <w:rPr>
        <w:noProof/>
        <w:kern w:val="22"/>
      </w:rPr>
      <w:instrText xml:space="preserve"> PAGE   \* MERGEFORMAT </w:instrText>
    </w:r>
    <w:r w:rsidRPr="00E90BA0">
      <w:rPr>
        <w:noProof/>
        <w:kern w:val="22"/>
      </w:rPr>
      <w:fldChar w:fldCharType="separate"/>
    </w:r>
    <w:r w:rsidRPr="00E90BA0">
      <w:rPr>
        <w:noProof/>
        <w:kern w:val="22"/>
      </w:rPr>
      <w:t>4</w:t>
    </w:r>
    <w:r w:rsidRPr="00E90BA0">
      <w:rPr>
        <w:noProof/>
        <w:kern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kern w:val="22"/>
      </w:rPr>
      <w:alias w:val="Subject"/>
      <w:tag w:val=""/>
      <w:id w:val="851227268"/>
      <w:dataBinding w:prefixMappings="xmlns:ns0='http://purl.org/dc/elements/1.1/' xmlns:ns1='http://schemas.openxmlformats.org/package/2006/metadata/core-properties' " w:xpath="/ns1:coreProperties[1]/ns0:subject[1]" w:storeItemID="{6C3C8BC8-F283-45AE-878A-BAB7291924A1}"/>
      <w:text/>
    </w:sdtPr>
    <w:sdtEndPr/>
    <w:sdtContent>
      <w:p w14:paraId="2C4EC37E" w14:textId="6E387AC4" w:rsidR="00C97E0D" w:rsidRPr="00E90BA0" w:rsidRDefault="00BF1263" w:rsidP="00E90BA0">
        <w:pPr>
          <w:pStyle w:val="Header"/>
          <w:keepLines/>
          <w:suppressLineNumbers/>
          <w:tabs>
            <w:tab w:val="clear" w:pos="4320"/>
            <w:tab w:val="clear" w:pos="8640"/>
          </w:tabs>
          <w:suppressAutoHyphens/>
          <w:jc w:val="right"/>
          <w:rPr>
            <w:noProof/>
            <w:kern w:val="22"/>
          </w:rPr>
        </w:pPr>
        <w:r>
          <w:rPr>
            <w:noProof/>
            <w:kern w:val="22"/>
          </w:rPr>
          <w:t>CBD/WG2020/3/3/Add.1</w:t>
        </w:r>
      </w:p>
    </w:sdtContent>
  </w:sdt>
  <w:p w14:paraId="16137B8A" w14:textId="72508FCF" w:rsidR="00C97E0D" w:rsidRPr="00E90BA0" w:rsidRDefault="00C97E0D" w:rsidP="00E15315">
    <w:pPr>
      <w:pStyle w:val="Header"/>
      <w:keepLines/>
      <w:suppressLineNumbers/>
      <w:tabs>
        <w:tab w:val="clear" w:pos="4320"/>
        <w:tab w:val="clear" w:pos="8640"/>
      </w:tabs>
      <w:suppressAutoHyphens/>
      <w:spacing w:after="240"/>
      <w:jc w:val="right"/>
      <w:rPr>
        <w:noProof/>
        <w:kern w:val="22"/>
      </w:rPr>
    </w:pPr>
    <w:r w:rsidRPr="00E90BA0">
      <w:rPr>
        <w:noProof/>
        <w:kern w:val="22"/>
      </w:rPr>
      <w:t xml:space="preserve">Page </w:t>
    </w:r>
    <w:r w:rsidRPr="00E90BA0">
      <w:rPr>
        <w:noProof/>
        <w:kern w:val="22"/>
      </w:rPr>
      <w:fldChar w:fldCharType="begin"/>
    </w:r>
    <w:r w:rsidRPr="00E90BA0">
      <w:rPr>
        <w:noProof/>
        <w:kern w:val="22"/>
      </w:rPr>
      <w:instrText xml:space="preserve"> PAGE   \* MERGEFORMAT </w:instrText>
    </w:r>
    <w:r w:rsidRPr="00E90BA0">
      <w:rPr>
        <w:noProof/>
        <w:kern w:val="22"/>
      </w:rPr>
      <w:fldChar w:fldCharType="separate"/>
    </w:r>
    <w:r w:rsidRPr="00E90BA0">
      <w:rPr>
        <w:noProof/>
        <w:kern w:val="22"/>
      </w:rPr>
      <w:t>5</w:t>
    </w:r>
    <w:r w:rsidRPr="00E90BA0">
      <w:rPr>
        <w:noProof/>
        <w:kern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23A53"/>
    <w:multiLevelType w:val="hybridMultilevel"/>
    <w:tmpl w:val="54D042D0"/>
    <w:lvl w:ilvl="0" w:tplc="89AE5E18">
      <w:start w:val="1"/>
      <w:numFmt w:val="upperRoman"/>
      <w:lvlText w:val="%1."/>
      <w:lvlJc w:val="left"/>
      <w:pPr>
        <w:ind w:left="3556"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1DB6207"/>
    <w:multiLevelType w:val="multilevel"/>
    <w:tmpl w:val="9E2CAF4A"/>
    <w:lvl w:ilvl="0">
      <w:start w:val="2"/>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283EF9"/>
    <w:multiLevelType w:val="multilevel"/>
    <w:tmpl w:val="226E4A78"/>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340B7D"/>
    <w:multiLevelType w:val="multilevel"/>
    <w:tmpl w:val="DC0439B2"/>
    <w:lvl w:ilvl="0">
      <w:start w:val="15"/>
      <w:numFmt w:val="decimal"/>
      <w:lvlText w:val="%1."/>
      <w:lvlJc w:val="left"/>
      <w:pPr>
        <w:ind w:left="790" w:hanging="790"/>
      </w:pPr>
      <w:rPr>
        <w:rFonts w:hint="default"/>
      </w:rPr>
    </w:lvl>
    <w:lvl w:ilvl="1">
      <w:start w:val="1"/>
      <w:numFmt w:val="decimal"/>
      <w:lvlText w:val="%1.%2."/>
      <w:lvlJc w:val="left"/>
      <w:pPr>
        <w:ind w:left="790" w:hanging="790"/>
      </w:pPr>
      <w:rPr>
        <w:rFonts w:hint="default"/>
      </w:rPr>
    </w:lvl>
    <w:lvl w:ilvl="2">
      <w:start w:val="1"/>
      <w:numFmt w:val="decimal"/>
      <w:lvlText w:val="%1.%2.%3."/>
      <w:lvlJc w:val="left"/>
      <w:pPr>
        <w:ind w:left="790" w:hanging="790"/>
      </w:pPr>
      <w:rPr>
        <w:rFonts w:hint="default"/>
      </w:rPr>
    </w:lvl>
    <w:lvl w:ilvl="3">
      <w:start w:val="1"/>
      <w:numFmt w:val="decimal"/>
      <w:lvlText w:val="%1.%2.%3.%4."/>
      <w:lvlJc w:val="left"/>
      <w:pPr>
        <w:ind w:left="790" w:hanging="79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DD763A"/>
    <w:multiLevelType w:val="multilevel"/>
    <w:tmpl w:val="9DB6CEBC"/>
    <w:lvl w:ilvl="0">
      <w:start w:val="10"/>
      <w:numFmt w:val="decimal"/>
      <w:lvlText w:val="%1."/>
      <w:lvlJc w:val="left"/>
      <w:pPr>
        <w:ind w:left="450" w:hanging="450"/>
      </w:pPr>
      <w:rPr>
        <w:rFonts w:hint="default"/>
      </w:rPr>
    </w:lvl>
    <w:lvl w:ilvl="1">
      <w:start w:val="1"/>
      <w:numFmt w:val="decimal"/>
      <w:lvlText w:val="%1.%2."/>
      <w:lvlJc w:val="left"/>
      <w:pPr>
        <w:ind w:left="436" w:hanging="450"/>
      </w:pPr>
      <w:rPr>
        <w:rFonts w:hint="default"/>
      </w:rPr>
    </w:lvl>
    <w:lvl w:ilvl="2">
      <w:start w:val="1"/>
      <w:numFmt w:val="decimal"/>
      <w:lvlText w:val="%1.%2.%3."/>
      <w:lvlJc w:val="left"/>
      <w:pPr>
        <w:ind w:left="692" w:hanging="720"/>
      </w:pPr>
      <w:rPr>
        <w:rFonts w:hint="default"/>
      </w:rPr>
    </w:lvl>
    <w:lvl w:ilvl="3">
      <w:start w:val="1"/>
      <w:numFmt w:val="decimal"/>
      <w:lvlText w:val="%1.%2.%3.%4."/>
      <w:lvlJc w:val="left"/>
      <w:pPr>
        <w:ind w:left="678" w:hanging="720"/>
      </w:pPr>
      <w:rPr>
        <w:rFonts w:hint="default"/>
      </w:rPr>
    </w:lvl>
    <w:lvl w:ilvl="4">
      <w:start w:val="1"/>
      <w:numFmt w:val="decimal"/>
      <w:lvlText w:val="%1.%2.%3.%4.%5."/>
      <w:lvlJc w:val="left"/>
      <w:pPr>
        <w:ind w:left="1024" w:hanging="1080"/>
      </w:pPr>
      <w:rPr>
        <w:rFonts w:hint="default"/>
      </w:rPr>
    </w:lvl>
    <w:lvl w:ilvl="5">
      <w:start w:val="1"/>
      <w:numFmt w:val="decimal"/>
      <w:lvlText w:val="%1.%2.%3.%4.%5.%6."/>
      <w:lvlJc w:val="left"/>
      <w:pPr>
        <w:ind w:left="1010" w:hanging="1080"/>
      </w:pPr>
      <w:rPr>
        <w:rFonts w:hint="default"/>
      </w:rPr>
    </w:lvl>
    <w:lvl w:ilvl="6">
      <w:start w:val="1"/>
      <w:numFmt w:val="decimal"/>
      <w:lvlText w:val="%1.%2.%3.%4.%5.%6.%7."/>
      <w:lvlJc w:val="left"/>
      <w:pPr>
        <w:ind w:left="1356" w:hanging="1440"/>
      </w:pPr>
      <w:rPr>
        <w:rFonts w:hint="default"/>
      </w:rPr>
    </w:lvl>
    <w:lvl w:ilvl="7">
      <w:start w:val="1"/>
      <w:numFmt w:val="decimal"/>
      <w:lvlText w:val="%1.%2.%3.%4.%5.%6.%7.%8."/>
      <w:lvlJc w:val="left"/>
      <w:pPr>
        <w:ind w:left="1342" w:hanging="1440"/>
      </w:pPr>
      <w:rPr>
        <w:rFonts w:hint="default"/>
      </w:rPr>
    </w:lvl>
    <w:lvl w:ilvl="8">
      <w:start w:val="1"/>
      <w:numFmt w:val="decimal"/>
      <w:lvlText w:val="%1.%2.%3.%4.%5.%6.%7.%8.%9."/>
      <w:lvlJc w:val="left"/>
      <w:pPr>
        <w:ind w:left="1688" w:hanging="1800"/>
      </w:pPr>
      <w:rPr>
        <w:rFonts w:hint="default"/>
      </w:rPr>
    </w:lvl>
  </w:abstractNum>
  <w:abstractNum w:abstractNumId="5" w15:restartNumberingAfterBreak="0">
    <w:nsid w:val="0B8A6047"/>
    <w:multiLevelType w:val="multilevel"/>
    <w:tmpl w:val="A1908E86"/>
    <w:lvl w:ilvl="0">
      <w:start w:val="3"/>
      <w:numFmt w:val="decimal"/>
      <w:lvlText w:val="%1."/>
      <w:lvlJc w:val="left"/>
      <w:pPr>
        <w:ind w:left="680" w:hanging="680"/>
      </w:pPr>
      <w:rPr>
        <w:rFonts w:hint="default"/>
      </w:rPr>
    </w:lvl>
    <w:lvl w:ilvl="1">
      <w:start w:val="1"/>
      <w:numFmt w:val="decimal"/>
      <w:lvlText w:val="%1.%2."/>
      <w:lvlJc w:val="left"/>
      <w:pPr>
        <w:ind w:left="658" w:hanging="680"/>
      </w:pPr>
      <w:rPr>
        <w:rFonts w:hint="default"/>
      </w:rPr>
    </w:lvl>
    <w:lvl w:ilvl="2">
      <w:start w:val="1"/>
      <w:numFmt w:val="decimal"/>
      <w:lvlText w:val="%1.%2.%3."/>
      <w:lvlJc w:val="left"/>
      <w:pPr>
        <w:ind w:left="676" w:hanging="720"/>
      </w:pPr>
      <w:rPr>
        <w:rFonts w:hint="default"/>
      </w:rPr>
    </w:lvl>
    <w:lvl w:ilvl="3">
      <w:start w:val="1"/>
      <w:numFmt w:val="decimal"/>
      <w:lvlText w:val="%1.%2.%3.%4."/>
      <w:lvlJc w:val="left"/>
      <w:pPr>
        <w:ind w:left="654" w:hanging="720"/>
      </w:pPr>
      <w:rPr>
        <w:rFonts w:hint="default"/>
      </w:rPr>
    </w:lvl>
    <w:lvl w:ilvl="4">
      <w:start w:val="1"/>
      <w:numFmt w:val="decimal"/>
      <w:lvlText w:val="%1.%2.%3.%4.%5."/>
      <w:lvlJc w:val="left"/>
      <w:pPr>
        <w:ind w:left="992" w:hanging="1080"/>
      </w:pPr>
      <w:rPr>
        <w:rFonts w:hint="default"/>
      </w:rPr>
    </w:lvl>
    <w:lvl w:ilvl="5">
      <w:start w:val="1"/>
      <w:numFmt w:val="decimal"/>
      <w:lvlText w:val="%1.%2.%3.%4.%5.%6."/>
      <w:lvlJc w:val="left"/>
      <w:pPr>
        <w:ind w:left="970" w:hanging="1080"/>
      </w:pPr>
      <w:rPr>
        <w:rFonts w:hint="default"/>
      </w:rPr>
    </w:lvl>
    <w:lvl w:ilvl="6">
      <w:start w:val="1"/>
      <w:numFmt w:val="decimal"/>
      <w:lvlText w:val="%1.%2.%3.%4.%5.%6.%7."/>
      <w:lvlJc w:val="left"/>
      <w:pPr>
        <w:ind w:left="1308" w:hanging="1440"/>
      </w:pPr>
      <w:rPr>
        <w:rFonts w:hint="default"/>
      </w:rPr>
    </w:lvl>
    <w:lvl w:ilvl="7">
      <w:start w:val="1"/>
      <w:numFmt w:val="decimal"/>
      <w:lvlText w:val="%1.%2.%3.%4.%5.%6.%7.%8."/>
      <w:lvlJc w:val="left"/>
      <w:pPr>
        <w:ind w:left="1286" w:hanging="1440"/>
      </w:pPr>
      <w:rPr>
        <w:rFonts w:hint="default"/>
      </w:rPr>
    </w:lvl>
    <w:lvl w:ilvl="8">
      <w:start w:val="1"/>
      <w:numFmt w:val="decimal"/>
      <w:lvlText w:val="%1.%2.%3.%4.%5.%6.%7.%8.%9."/>
      <w:lvlJc w:val="left"/>
      <w:pPr>
        <w:ind w:left="1624" w:hanging="1800"/>
      </w:pPr>
      <w:rPr>
        <w:rFonts w:hint="default"/>
      </w:rPr>
    </w:lvl>
  </w:abstractNum>
  <w:abstractNum w:abstractNumId="6" w15:restartNumberingAfterBreak="0">
    <w:nsid w:val="0BB95EEE"/>
    <w:multiLevelType w:val="multilevel"/>
    <w:tmpl w:val="2B466242"/>
    <w:lvl w:ilvl="0">
      <w:start w:val="19"/>
      <w:numFmt w:val="decimal"/>
      <w:lvlText w:val="%1."/>
      <w:lvlJc w:val="left"/>
      <w:pPr>
        <w:ind w:left="620" w:hanging="620"/>
      </w:pPr>
      <w:rPr>
        <w:rFonts w:hint="default"/>
      </w:rPr>
    </w:lvl>
    <w:lvl w:ilvl="1">
      <w:start w:val="1"/>
      <w:numFmt w:val="decimal"/>
      <w:lvlText w:val="%1.%2."/>
      <w:lvlJc w:val="left"/>
      <w:pPr>
        <w:ind w:left="620" w:hanging="6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3B3CD1"/>
    <w:multiLevelType w:val="multilevel"/>
    <w:tmpl w:val="9B604340"/>
    <w:lvl w:ilvl="0">
      <w:start w:val="6"/>
      <w:numFmt w:val="decimal"/>
      <w:lvlText w:val="%1."/>
      <w:lvlJc w:val="left"/>
      <w:pPr>
        <w:ind w:left="680" w:hanging="680"/>
      </w:pPr>
      <w:rPr>
        <w:rFonts w:hint="default"/>
      </w:rPr>
    </w:lvl>
    <w:lvl w:ilvl="1">
      <w:start w:val="1"/>
      <w:numFmt w:val="decimal"/>
      <w:lvlText w:val="%1.%2."/>
      <w:lvlJc w:val="left"/>
      <w:pPr>
        <w:ind w:left="658" w:hanging="680"/>
      </w:pPr>
      <w:rPr>
        <w:rFonts w:hint="default"/>
      </w:rPr>
    </w:lvl>
    <w:lvl w:ilvl="2">
      <w:start w:val="1"/>
      <w:numFmt w:val="decimal"/>
      <w:lvlText w:val="%1.%2.%3."/>
      <w:lvlJc w:val="left"/>
      <w:pPr>
        <w:ind w:left="676" w:hanging="720"/>
      </w:pPr>
      <w:rPr>
        <w:rFonts w:hint="default"/>
      </w:rPr>
    </w:lvl>
    <w:lvl w:ilvl="3">
      <w:start w:val="1"/>
      <w:numFmt w:val="decimal"/>
      <w:lvlText w:val="%1.%2.%3.%4."/>
      <w:lvlJc w:val="left"/>
      <w:pPr>
        <w:ind w:left="654" w:hanging="720"/>
      </w:pPr>
      <w:rPr>
        <w:rFonts w:hint="default"/>
      </w:rPr>
    </w:lvl>
    <w:lvl w:ilvl="4">
      <w:start w:val="1"/>
      <w:numFmt w:val="decimal"/>
      <w:lvlText w:val="%1.%2.%3.%4.%5."/>
      <w:lvlJc w:val="left"/>
      <w:pPr>
        <w:ind w:left="992" w:hanging="1080"/>
      </w:pPr>
      <w:rPr>
        <w:rFonts w:hint="default"/>
      </w:rPr>
    </w:lvl>
    <w:lvl w:ilvl="5">
      <w:start w:val="1"/>
      <w:numFmt w:val="decimal"/>
      <w:lvlText w:val="%1.%2.%3.%4.%5.%6."/>
      <w:lvlJc w:val="left"/>
      <w:pPr>
        <w:ind w:left="970" w:hanging="1080"/>
      </w:pPr>
      <w:rPr>
        <w:rFonts w:hint="default"/>
      </w:rPr>
    </w:lvl>
    <w:lvl w:ilvl="6">
      <w:start w:val="1"/>
      <w:numFmt w:val="decimal"/>
      <w:lvlText w:val="%1.%2.%3.%4.%5.%6.%7."/>
      <w:lvlJc w:val="left"/>
      <w:pPr>
        <w:ind w:left="1308" w:hanging="1440"/>
      </w:pPr>
      <w:rPr>
        <w:rFonts w:hint="default"/>
      </w:rPr>
    </w:lvl>
    <w:lvl w:ilvl="7">
      <w:start w:val="1"/>
      <w:numFmt w:val="decimal"/>
      <w:lvlText w:val="%1.%2.%3.%4.%5.%6.%7.%8."/>
      <w:lvlJc w:val="left"/>
      <w:pPr>
        <w:ind w:left="1286" w:hanging="1440"/>
      </w:pPr>
      <w:rPr>
        <w:rFonts w:hint="default"/>
      </w:rPr>
    </w:lvl>
    <w:lvl w:ilvl="8">
      <w:start w:val="1"/>
      <w:numFmt w:val="decimal"/>
      <w:lvlText w:val="%1.%2.%3.%4.%5.%6.%7.%8.%9."/>
      <w:lvlJc w:val="left"/>
      <w:pPr>
        <w:ind w:left="1624" w:hanging="1800"/>
      </w:pPr>
      <w:rPr>
        <w:rFonts w:hint="default"/>
      </w:rPr>
    </w:lvl>
  </w:abstractNum>
  <w:abstractNum w:abstractNumId="8" w15:restartNumberingAfterBreak="0">
    <w:nsid w:val="0D4417EB"/>
    <w:multiLevelType w:val="hybridMultilevel"/>
    <w:tmpl w:val="7D8AA190"/>
    <w:lvl w:ilvl="0" w:tplc="817E4DA4">
      <w:start w:val="1"/>
      <w:numFmt w:val="decimal"/>
      <w:lvlText w:val="%1."/>
      <w:lvlJc w:val="left"/>
      <w:pPr>
        <w:ind w:left="720" w:hanging="360"/>
      </w:pPr>
      <w:rPr>
        <w:rFonts w:ascii="Times New Roman" w:eastAsiaTheme="minorHAnsi" w:hAnsi="Times New Roman" w:cs="Times New Roman" w:hint="default"/>
        <w:i w:val="0"/>
        <w:iCs/>
      </w:rPr>
    </w:lvl>
    <w:lvl w:ilvl="1" w:tplc="E3E464E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FE3346B"/>
    <w:multiLevelType w:val="hybridMultilevel"/>
    <w:tmpl w:val="63DA332E"/>
    <w:lvl w:ilvl="0" w:tplc="B63CAE44">
      <w:start w:val="1"/>
      <w:numFmt w:val="decimal"/>
      <w:lvlText w:val="%1."/>
      <w:lvlJc w:val="left"/>
      <w:pPr>
        <w:ind w:left="720" w:hanging="360"/>
      </w:pPr>
      <w:rPr>
        <w:rFonts w:asciiTheme="minorHAnsi" w:eastAsiaTheme="minorHAnsi" w:hAnsiTheme="minorHAnsi" w:cstheme="minorBidi"/>
        <w:i w:val="0"/>
        <w:iCs/>
      </w:rPr>
    </w:lvl>
    <w:lvl w:ilvl="1" w:tplc="E3E464E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6795C40"/>
    <w:multiLevelType w:val="multilevel"/>
    <w:tmpl w:val="A170EECE"/>
    <w:lvl w:ilvl="0">
      <w:start w:val="5"/>
      <w:numFmt w:val="decimal"/>
      <w:lvlText w:val="%1."/>
      <w:lvlJc w:val="left"/>
      <w:pPr>
        <w:ind w:left="680" w:hanging="680"/>
      </w:pPr>
      <w:rPr>
        <w:rFonts w:hint="default"/>
      </w:rPr>
    </w:lvl>
    <w:lvl w:ilvl="1">
      <w:start w:val="1"/>
      <w:numFmt w:val="decimal"/>
      <w:lvlText w:val="%1.%2."/>
      <w:lvlJc w:val="left"/>
      <w:pPr>
        <w:ind w:left="658" w:hanging="680"/>
      </w:pPr>
      <w:rPr>
        <w:rFonts w:hint="default"/>
      </w:rPr>
    </w:lvl>
    <w:lvl w:ilvl="2">
      <w:start w:val="1"/>
      <w:numFmt w:val="decimal"/>
      <w:lvlText w:val="%1.%2.%3."/>
      <w:lvlJc w:val="left"/>
      <w:pPr>
        <w:ind w:left="676" w:hanging="720"/>
      </w:pPr>
      <w:rPr>
        <w:rFonts w:hint="default"/>
      </w:rPr>
    </w:lvl>
    <w:lvl w:ilvl="3">
      <w:start w:val="1"/>
      <w:numFmt w:val="decimal"/>
      <w:lvlText w:val="%1.%2.%3.%4."/>
      <w:lvlJc w:val="left"/>
      <w:pPr>
        <w:ind w:left="654" w:hanging="720"/>
      </w:pPr>
      <w:rPr>
        <w:rFonts w:hint="default"/>
      </w:rPr>
    </w:lvl>
    <w:lvl w:ilvl="4">
      <w:start w:val="1"/>
      <w:numFmt w:val="decimal"/>
      <w:lvlText w:val="%1.%2.%3.%4.%5."/>
      <w:lvlJc w:val="left"/>
      <w:pPr>
        <w:ind w:left="992" w:hanging="1080"/>
      </w:pPr>
      <w:rPr>
        <w:rFonts w:hint="default"/>
      </w:rPr>
    </w:lvl>
    <w:lvl w:ilvl="5">
      <w:start w:val="1"/>
      <w:numFmt w:val="decimal"/>
      <w:lvlText w:val="%1.%2.%3.%4.%5.%6."/>
      <w:lvlJc w:val="left"/>
      <w:pPr>
        <w:ind w:left="970" w:hanging="1080"/>
      </w:pPr>
      <w:rPr>
        <w:rFonts w:hint="default"/>
      </w:rPr>
    </w:lvl>
    <w:lvl w:ilvl="6">
      <w:start w:val="1"/>
      <w:numFmt w:val="decimal"/>
      <w:lvlText w:val="%1.%2.%3.%4.%5.%6.%7."/>
      <w:lvlJc w:val="left"/>
      <w:pPr>
        <w:ind w:left="1308" w:hanging="1440"/>
      </w:pPr>
      <w:rPr>
        <w:rFonts w:hint="default"/>
      </w:rPr>
    </w:lvl>
    <w:lvl w:ilvl="7">
      <w:start w:val="1"/>
      <w:numFmt w:val="decimal"/>
      <w:lvlText w:val="%1.%2.%3.%4.%5.%6.%7.%8."/>
      <w:lvlJc w:val="left"/>
      <w:pPr>
        <w:ind w:left="1286" w:hanging="1440"/>
      </w:pPr>
      <w:rPr>
        <w:rFonts w:hint="default"/>
      </w:rPr>
    </w:lvl>
    <w:lvl w:ilvl="8">
      <w:start w:val="1"/>
      <w:numFmt w:val="decimal"/>
      <w:lvlText w:val="%1.%2.%3.%4.%5.%6.%7.%8.%9."/>
      <w:lvlJc w:val="left"/>
      <w:pPr>
        <w:ind w:left="1624" w:hanging="1800"/>
      </w:pPr>
      <w:rPr>
        <w:rFonts w:hint="default"/>
      </w:rPr>
    </w:lvl>
  </w:abstractNum>
  <w:abstractNum w:abstractNumId="11" w15:restartNumberingAfterBreak="0">
    <w:nsid w:val="180523D5"/>
    <w:multiLevelType w:val="multilevel"/>
    <w:tmpl w:val="B6D210C4"/>
    <w:lvl w:ilvl="0">
      <w:start w:val="13"/>
      <w:numFmt w:val="decimal"/>
      <w:lvlText w:val="%1."/>
      <w:lvlJc w:val="left"/>
      <w:pPr>
        <w:ind w:left="450" w:hanging="450"/>
      </w:pPr>
      <w:rPr>
        <w:rFonts w:hint="default"/>
      </w:rPr>
    </w:lvl>
    <w:lvl w:ilvl="1">
      <w:start w:val="1"/>
      <w:numFmt w:val="decimal"/>
      <w:lvlText w:val="%1.%2."/>
      <w:lvlJc w:val="left"/>
      <w:pPr>
        <w:ind w:left="436" w:hanging="450"/>
      </w:pPr>
      <w:rPr>
        <w:rFonts w:hint="default"/>
      </w:rPr>
    </w:lvl>
    <w:lvl w:ilvl="2">
      <w:start w:val="1"/>
      <w:numFmt w:val="decimal"/>
      <w:lvlText w:val="%1.%2.%3."/>
      <w:lvlJc w:val="left"/>
      <w:pPr>
        <w:ind w:left="692" w:hanging="720"/>
      </w:pPr>
      <w:rPr>
        <w:rFonts w:hint="default"/>
      </w:rPr>
    </w:lvl>
    <w:lvl w:ilvl="3">
      <w:start w:val="1"/>
      <w:numFmt w:val="decimal"/>
      <w:lvlText w:val="%1.%2.%3.%4."/>
      <w:lvlJc w:val="left"/>
      <w:pPr>
        <w:ind w:left="678" w:hanging="720"/>
      </w:pPr>
      <w:rPr>
        <w:rFonts w:hint="default"/>
      </w:rPr>
    </w:lvl>
    <w:lvl w:ilvl="4">
      <w:start w:val="1"/>
      <w:numFmt w:val="decimal"/>
      <w:lvlText w:val="%1.%2.%3.%4.%5."/>
      <w:lvlJc w:val="left"/>
      <w:pPr>
        <w:ind w:left="1024" w:hanging="1080"/>
      </w:pPr>
      <w:rPr>
        <w:rFonts w:hint="default"/>
      </w:rPr>
    </w:lvl>
    <w:lvl w:ilvl="5">
      <w:start w:val="1"/>
      <w:numFmt w:val="decimal"/>
      <w:lvlText w:val="%1.%2.%3.%4.%5.%6."/>
      <w:lvlJc w:val="left"/>
      <w:pPr>
        <w:ind w:left="1010" w:hanging="1080"/>
      </w:pPr>
      <w:rPr>
        <w:rFonts w:hint="default"/>
      </w:rPr>
    </w:lvl>
    <w:lvl w:ilvl="6">
      <w:start w:val="1"/>
      <w:numFmt w:val="decimal"/>
      <w:lvlText w:val="%1.%2.%3.%4.%5.%6.%7."/>
      <w:lvlJc w:val="left"/>
      <w:pPr>
        <w:ind w:left="1356" w:hanging="1440"/>
      </w:pPr>
      <w:rPr>
        <w:rFonts w:hint="default"/>
      </w:rPr>
    </w:lvl>
    <w:lvl w:ilvl="7">
      <w:start w:val="1"/>
      <w:numFmt w:val="decimal"/>
      <w:lvlText w:val="%1.%2.%3.%4.%5.%6.%7.%8."/>
      <w:lvlJc w:val="left"/>
      <w:pPr>
        <w:ind w:left="1342" w:hanging="1440"/>
      </w:pPr>
      <w:rPr>
        <w:rFonts w:hint="default"/>
      </w:rPr>
    </w:lvl>
    <w:lvl w:ilvl="8">
      <w:start w:val="1"/>
      <w:numFmt w:val="decimal"/>
      <w:lvlText w:val="%1.%2.%3.%4.%5.%6.%7.%8.%9."/>
      <w:lvlJc w:val="left"/>
      <w:pPr>
        <w:ind w:left="1688" w:hanging="1800"/>
      </w:pPr>
      <w:rPr>
        <w:rFonts w:hint="default"/>
      </w:rPr>
    </w:lvl>
  </w:abstractNum>
  <w:abstractNum w:abstractNumId="12" w15:restartNumberingAfterBreak="0">
    <w:nsid w:val="1D131E83"/>
    <w:multiLevelType w:val="multilevel"/>
    <w:tmpl w:val="9E2CAF4A"/>
    <w:lvl w:ilvl="0">
      <w:start w:val="3"/>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D533032"/>
    <w:multiLevelType w:val="hybridMultilevel"/>
    <w:tmpl w:val="76A287A6"/>
    <w:lvl w:ilvl="0" w:tplc="817E4DA4">
      <w:start w:val="1"/>
      <w:numFmt w:val="decimal"/>
      <w:lvlText w:val="%1."/>
      <w:lvlJc w:val="left"/>
      <w:pPr>
        <w:ind w:left="720" w:hanging="360"/>
      </w:pPr>
      <w:rPr>
        <w:rFonts w:ascii="Times New Roman" w:eastAsiaTheme="minorHAnsi" w:hAnsi="Times New Roman" w:cs="Times New Roman" w:hint="default"/>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E764B0A"/>
    <w:multiLevelType w:val="multilevel"/>
    <w:tmpl w:val="2B466242"/>
    <w:lvl w:ilvl="0">
      <w:start w:val="14"/>
      <w:numFmt w:val="decimal"/>
      <w:lvlText w:val="%1."/>
      <w:lvlJc w:val="left"/>
      <w:pPr>
        <w:ind w:left="620" w:hanging="620"/>
      </w:pPr>
      <w:rPr>
        <w:rFonts w:hint="default"/>
      </w:rPr>
    </w:lvl>
    <w:lvl w:ilvl="1">
      <w:start w:val="1"/>
      <w:numFmt w:val="decimal"/>
      <w:lvlText w:val="%1.%2."/>
      <w:lvlJc w:val="left"/>
      <w:pPr>
        <w:ind w:left="620" w:hanging="6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04350C8"/>
    <w:multiLevelType w:val="multilevel"/>
    <w:tmpl w:val="8CCC07EA"/>
    <w:lvl w:ilvl="0">
      <w:start w:val="14"/>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1B84AE4"/>
    <w:multiLevelType w:val="multilevel"/>
    <w:tmpl w:val="7F86A076"/>
    <w:lvl w:ilvl="0">
      <w:start w:val="10"/>
      <w:numFmt w:val="decimal"/>
      <w:lvlText w:val="%1."/>
      <w:lvlJc w:val="left"/>
      <w:pPr>
        <w:ind w:left="620" w:hanging="620"/>
      </w:pPr>
      <w:rPr>
        <w:rFonts w:hint="default"/>
      </w:rPr>
    </w:lvl>
    <w:lvl w:ilvl="1">
      <w:start w:val="1"/>
      <w:numFmt w:val="decimal"/>
      <w:lvlText w:val="%1.%2."/>
      <w:lvlJc w:val="left"/>
      <w:pPr>
        <w:ind w:left="620" w:hanging="6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4754FA2"/>
    <w:multiLevelType w:val="multilevel"/>
    <w:tmpl w:val="70F83E5C"/>
    <w:lvl w:ilvl="0">
      <w:start w:val="14"/>
      <w:numFmt w:val="decimal"/>
      <w:lvlText w:val="%1."/>
      <w:lvlJc w:val="left"/>
      <w:pPr>
        <w:ind w:left="780" w:hanging="780"/>
      </w:pPr>
      <w:rPr>
        <w:rFonts w:hint="default"/>
      </w:rPr>
    </w:lvl>
    <w:lvl w:ilvl="1">
      <w:start w:val="1"/>
      <w:numFmt w:val="decimal"/>
      <w:lvlText w:val="%1.%2."/>
      <w:lvlJc w:val="left"/>
      <w:pPr>
        <w:ind w:left="758" w:hanging="780"/>
      </w:pPr>
      <w:rPr>
        <w:rFonts w:hint="default"/>
      </w:rPr>
    </w:lvl>
    <w:lvl w:ilvl="2">
      <w:start w:val="1"/>
      <w:numFmt w:val="decimal"/>
      <w:lvlText w:val="%1.%2.%3."/>
      <w:lvlJc w:val="left"/>
      <w:pPr>
        <w:ind w:left="736" w:hanging="780"/>
      </w:pPr>
      <w:rPr>
        <w:rFonts w:hint="default"/>
      </w:rPr>
    </w:lvl>
    <w:lvl w:ilvl="3">
      <w:start w:val="1"/>
      <w:numFmt w:val="decimal"/>
      <w:lvlText w:val="%1.%2.%3.%4."/>
      <w:lvlJc w:val="left"/>
      <w:pPr>
        <w:ind w:left="714" w:hanging="780"/>
      </w:pPr>
      <w:rPr>
        <w:rFonts w:hint="default"/>
      </w:rPr>
    </w:lvl>
    <w:lvl w:ilvl="4">
      <w:start w:val="1"/>
      <w:numFmt w:val="decimal"/>
      <w:lvlText w:val="%1.%2.%3.%4.%5."/>
      <w:lvlJc w:val="left"/>
      <w:pPr>
        <w:ind w:left="992" w:hanging="1080"/>
      </w:pPr>
      <w:rPr>
        <w:rFonts w:hint="default"/>
      </w:rPr>
    </w:lvl>
    <w:lvl w:ilvl="5">
      <w:start w:val="1"/>
      <w:numFmt w:val="decimal"/>
      <w:lvlText w:val="%1.%2.%3.%4.%5.%6."/>
      <w:lvlJc w:val="left"/>
      <w:pPr>
        <w:ind w:left="970" w:hanging="1080"/>
      </w:pPr>
      <w:rPr>
        <w:rFonts w:hint="default"/>
      </w:rPr>
    </w:lvl>
    <w:lvl w:ilvl="6">
      <w:start w:val="1"/>
      <w:numFmt w:val="decimal"/>
      <w:lvlText w:val="%1.%2.%3.%4.%5.%6.%7."/>
      <w:lvlJc w:val="left"/>
      <w:pPr>
        <w:ind w:left="1308" w:hanging="1440"/>
      </w:pPr>
      <w:rPr>
        <w:rFonts w:hint="default"/>
      </w:rPr>
    </w:lvl>
    <w:lvl w:ilvl="7">
      <w:start w:val="1"/>
      <w:numFmt w:val="decimal"/>
      <w:lvlText w:val="%1.%2.%3.%4.%5.%6.%7.%8."/>
      <w:lvlJc w:val="left"/>
      <w:pPr>
        <w:ind w:left="1286" w:hanging="1440"/>
      </w:pPr>
      <w:rPr>
        <w:rFonts w:hint="default"/>
      </w:rPr>
    </w:lvl>
    <w:lvl w:ilvl="8">
      <w:start w:val="1"/>
      <w:numFmt w:val="decimal"/>
      <w:lvlText w:val="%1.%2.%3.%4.%5.%6.%7.%8.%9."/>
      <w:lvlJc w:val="left"/>
      <w:pPr>
        <w:ind w:left="1624" w:hanging="1800"/>
      </w:pPr>
      <w:rPr>
        <w:rFonts w:hint="default"/>
      </w:rPr>
    </w:lvl>
  </w:abstractNum>
  <w:abstractNum w:abstractNumId="18" w15:restartNumberingAfterBreak="0">
    <w:nsid w:val="250611BE"/>
    <w:multiLevelType w:val="multilevel"/>
    <w:tmpl w:val="BEF2D78A"/>
    <w:lvl w:ilvl="0">
      <w:start w:val="4"/>
      <w:numFmt w:val="decimal"/>
      <w:lvlText w:val="%1."/>
      <w:lvlJc w:val="left"/>
      <w:pPr>
        <w:ind w:left="680" w:hanging="680"/>
      </w:pPr>
      <w:rPr>
        <w:rFonts w:hint="default"/>
      </w:rPr>
    </w:lvl>
    <w:lvl w:ilvl="1">
      <w:start w:val="1"/>
      <w:numFmt w:val="decimal"/>
      <w:lvlText w:val="%1.%2."/>
      <w:lvlJc w:val="left"/>
      <w:pPr>
        <w:ind w:left="658" w:hanging="680"/>
      </w:pPr>
      <w:rPr>
        <w:rFonts w:hint="default"/>
      </w:rPr>
    </w:lvl>
    <w:lvl w:ilvl="2">
      <w:start w:val="1"/>
      <w:numFmt w:val="decimal"/>
      <w:lvlText w:val="%1.%2.%3."/>
      <w:lvlJc w:val="left"/>
      <w:pPr>
        <w:ind w:left="676" w:hanging="720"/>
      </w:pPr>
      <w:rPr>
        <w:rFonts w:hint="default"/>
      </w:rPr>
    </w:lvl>
    <w:lvl w:ilvl="3">
      <w:start w:val="1"/>
      <w:numFmt w:val="decimal"/>
      <w:lvlText w:val="%1.%2.%3.%4."/>
      <w:lvlJc w:val="left"/>
      <w:pPr>
        <w:ind w:left="654" w:hanging="720"/>
      </w:pPr>
      <w:rPr>
        <w:rFonts w:hint="default"/>
      </w:rPr>
    </w:lvl>
    <w:lvl w:ilvl="4">
      <w:start w:val="1"/>
      <w:numFmt w:val="decimal"/>
      <w:lvlText w:val="%1.%2.%3.%4.%5."/>
      <w:lvlJc w:val="left"/>
      <w:pPr>
        <w:ind w:left="992" w:hanging="1080"/>
      </w:pPr>
      <w:rPr>
        <w:rFonts w:hint="default"/>
      </w:rPr>
    </w:lvl>
    <w:lvl w:ilvl="5">
      <w:start w:val="1"/>
      <w:numFmt w:val="decimal"/>
      <w:lvlText w:val="%1.%2.%3.%4.%5.%6."/>
      <w:lvlJc w:val="left"/>
      <w:pPr>
        <w:ind w:left="970" w:hanging="1080"/>
      </w:pPr>
      <w:rPr>
        <w:rFonts w:hint="default"/>
      </w:rPr>
    </w:lvl>
    <w:lvl w:ilvl="6">
      <w:start w:val="1"/>
      <w:numFmt w:val="decimal"/>
      <w:lvlText w:val="%1.%2.%3.%4.%5.%6.%7."/>
      <w:lvlJc w:val="left"/>
      <w:pPr>
        <w:ind w:left="1308" w:hanging="1440"/>
      </w:pPr>
      <w:rPr>
        <w:rFonts w:hint="default"/>
      </w:rPr>
    </w:lvl>
    <w:lvl w:ilvl="7">
      <w:start w:val="1"/>
      <w:numFmt w:val="decimal"/>
      <w:lvlText w:val="%1.%2.%3.%4.%5.%6.%7.%8."/>
      <w:lvlJc w:val="left"/>
      <w:pPr>
        <w:ind w:left="1286" w:hanging="1440"/>
      </w:pPr>
      <w:rPr>
        <w:rFonts w:hint="default"/>
      </w:rPr>
    </w:lvl>
    <w:lvl w:ilvl="8">
      <w:start w:val="1"/>
      <w:numFmt w:val="decimal"/>
      <w:lvlText w:val="%1.%2.%3.%4.%5.%6.%7.%8.%9."/>
      <w:lvlJc w:val="left"/>
      <w:pPr>
        <w:ind w:left="1624" w:hanging="1800"/>
      </w:pPr>
      <w:rPr>
        <w:rFonts w:hint="default"/>
      </w:rPr>
    </w:lvl>
  </w:abstractNum>
  <w:abstractNum w:abstractNumId="19" w15:restartNumberingAfterBreak="0">
    <w:nsid w:val="25822846"/>
    <w:multiLevelType w:val="multilevel"/>
    <w:tmpl w:val="7E5C2EF2"/>
    <w:lvl w:ilvl="0">
      <w:start w:val="6"/>
      <w:numFmt w:val="decimal"/>
      <w:lvlText w:val="%1."/>
      <w:lvlJc w:val="left"/>
      <w:pPr>
        <w:ind w:left="360" w:hanging="360"/>
      </w:pPr>
      <w:rPr>
        <w:rFonts w:hint="default"/>
      </w:rPr>
    </w:lvl>
    <w:lvl w:ilvl="1">
      <w:start w:val="1"/>
      <w:numFmt w:val="decimal"/>
      <w:lvlText w:val="%1.%2."/>
      <w:lvlJc w:val="left"/>
      <w:pPr>
        <w:ind w:left="346" w:hanging="360"/>
      </w:pPr>
      <w:rPr>
        <w:rFonts w:hint="default"/>
      </w:rPr>
    </w:lvl>
    <w:lvl w:ilvl="2">
      <w:start w:val="1"/>
      <w:numFmt w:val="decimal"/>
      <w:lvlText w:val="%1.%2.%3."/>
      <w:lvlJc w:val="left"/>
      <w:pPr>
        <w:ind w:left="692" w:hanging="720"/>
      </w:pPr>
      <w:rPr>
        <w:rFonts w:hint="default"/>
      </w:rPr>
    </w:lvl>
    <w:lvl w:ilvl="3">
      <w:start w:val="1"/>
      <w:numFmt w:val="decimal"/>
      <w:lvlText w:val="%1.%2.%3.%4."/>
      <w:lvlJc w:val="left"/>
      <w:pPr>
        <w:ind w:left="678" w:hanging="720"/>
      </w:pPr>
      <w:rPr>
        <w:rFonts w:hint="default"/>
      </w:rPr>
    </w:lvl>
    <w:lvl w:ilvl="4">
      <w:start w:val="1"/>
      <w:numFmt w:val="decimal"/>
      <w:lvlText w:val="%1.%2.%3.%4.%5."/>
      <w:lvlJc w:val="left"/>
      <w:pPr>
        <w:ind w:left="1024" w:hanging="1080"/>
      </w:pPr>
      <w:rPr>
        <w:rFonts w:hint="default"/>
      </w:rPr>
    </w:lvl>
    <w:lvl w:ilvl="5">
      <w:start w:val="1"/>
      <w:numFmt w:val="decimal"/>
      <w:lvlText w:val="%1.%2.%3.%4.%5.%6."/>
      <w:lvlJc w:val="left"/>
      <w:pPr>
        <w:ind w:left="1010" w:hanging="1080"/>
      </w:pPr>
      <w:rPr>
        <w:rFonts w:hint="default"/>
      </w:rPr>
    </w:lvl>
    <w:lvl w:ilvl="6">
      <w:start w:val="1"/>
      <w:numFmt w:val="decimal"/>
      <w:lvlText w:val="%1.%2.%3.%4.%5.%6.%7."/>
      <w:lvlJc w:val="left"/>
      <w:pPr>
        <w:ind w:left="1356" w:hanging="1440"/>
      </w:pPr>
      <w:rPr>
        <w:rFonts w:hint="default"/>
      </w:rPr>
    </w:lvl>
    <w:lvl w:ilvl="7">
      <w:start w:val="1"/>
      <w:numFmt w:val="decimal"/>
      <w:lvlText w:val="%1.%2.%3.%4.%5.%6.%7.%8."/>
      <w:lvlJc w:val="left"/>
      <w:pPr>
        <w:ind w:left="1342" w:hanging="1440"/>
      </w:pPr>
      <w:rPr>
        <w:rFonts w:hint="default"/>
      </w:rPr>
    </w:lvl>
    <w:lvl w:ilvl="8">
      <w:start w:val="1"/>
      <w:numFmt w:val="decimal"/>
      <w:lvlText w:val="%1.%2.%3.%4.%5.%6.%7.%8.%9."/>
      <w:lvlJc w:val="left"/>
      <w:pPr>
        <w:ind w:left="1688" w:hanging="1800"/>
      </w:pPr>
      <w:rPr>
        <w:rFonts w:hint="default"/>
      </w:rPr>
    </w:lvl>
  </w:abstractNum>
  <w:abstractNum w:abstractNumId="20" w15:restartNumberingAfterBreak="0">
    <w:nsid w:val="283242D4"/>
    <w:multiLevelType w:val="hybridMultilevel"/>
    <w:tmpl w:val="277C0F54"/>
    <w:lvl w:ilvl="0" w:tplc="0409000F">
      <w:start w:val="1"/>
      <w:numFmt w:val="decimal"/>
      <w:lvlText w:val="%1."/>
      <w:lvlJc w:val="left"/>
      <w:pPr>
        <w:ind w:left="720" w:hanging="360"/>
      </w:pPr>
    </w:lvl>
    <w:lvl w:ilvl="1" w:tplc="E3E464E0">
      <w:start w:val="1"/>
      <w:numFmt w:val="lowerLetter"/>
      <w:lvlText w:val="(%2)"/>
      <w:lvlJc w:val="left"/>
      <w:pPr>
        <w:ind w:left="1440" w:hanging="360"/>
      </w:pPr>
      <w:rPr>
        <w:rFonts w:hint="default"/>
      </w:rPr>
    </w:lvl>
    <w:lvl w:ilvl="2" w:tplc="CDF83AD4">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E66218"/>
    <w:multiLevelType w:val="multilevel"/>
    <w:tmpl w:val="1EE0F42A"/>
    <w:lvl w:ilvl="0">
      <w:start w:val="15"/>
      <w:numFmt w:val="decimal"/>
      <w:lvlText w:val="%1."/>
      <w:lvlJc w:val="left"/>
      <w:pPr>
        <w:ind w:left="620" w:hanging="620"/>
      </w:pPr>
      <w:rPr>
        <w:rFonts w:hint="default"/>
      </w:rPr>
    </w:lvl>
    <w:lvl w:ilvl="1">
      <w:start w:val="1"/>
      <w:numFmt w:val="decimal"/>
      <w:lvlText w:val="%1.%2."/>
      <w:lvlJc w:val="left"/>
      <w:pPr>
        <w:ind w:left="613" w:hanging="620"/>
      </w:pPr>
      <w:rPr>
        <w:rFonts w:hint="default"/>
      </w:rPr>
    </w:lvl>
    <w:lvl w:ilvl="2">
      <w:start w:val="1"/>
      <w:numFmt w:val="decimal"/>
      <w:lvlText w:val="%1.%2.%3."/>
      <w:lvlJc w:val="left"/>
      <w:pPr>
        <w:ind w:left="706" w:hanging="720"/>
      </w:pPr>
      <w:rPr>
        <w:rFonts w:hint="default"/>
      </w:rPr>
    </w:lvl>
    <w:lvl w:ilvl="3">
      <w:start w:val="1"/>
      <w:numFmt w:val="decimal"/>
      <w:lvlText w:val="%1.%2.%3.%4."/>
      <w:lvlJc w:val="left"/>
      <w:pPr>
        <w:ind w:left="699" w:hanging="720"/>
      </w:pPr>
      <w:rPr>
        <w:rFonts w:hint="default"/>
      </w:rPr>
    </w:lvl>
    <w:lvl w:ilvl="4">
      <w:start w:val="1"/>
      <w:numFmt w:val="decimal"/>
      <w:lvlText w:val="%1.%2.%3.%4.%5."/>
      <w:lvlJc w:val="left"/>
      <w:pPr>
        <w:ind w:left="1052" w:hanging="1080"/>
      </w:pPr>
      <w:rPr>
        <w:rFonts w:hint="default"/>
      </w:rPr>
    </w:lvl>
    <w:lvl w:ilvl="5">
      <w:start w:val="1"/>
      <w:numFmt w:val="decimal"/>
      <w:lvlText w:val="%1.%2.%3.%4.%5.%6."/>
      <w:lvlJc w:val="left"/>
      <w:pPr>
        <w:ind w:left="1045" w:hanging="1080"/>
      </w:pPr>
      <w:rPr>
        <w:rFonts w:hint="default"/>
      </w:rPr>
    </w:lvl>
    <w:lvl w:ilvl="6">
      <w:start w:val="1"/>
      <w:numFmt w:val="decimal"/>
      <w:lvlText w:val="%1.%2.%3.%4.%5.%6.%7."/>
      <w:lvlJc w:val="left"/>
      <w:pPr>
        <w:ind w:left="1398" w:hanging="1440"/>
      </w:pPr>
      <w:rPr>
        <w:rFonts w:hint="default"/>
      </w:rPr>
    </w:lvl>
    <w:lvl w:ilvl="7">
      <w:start w:val="1"/>
      <w:numFmt w:val="decimal"/>
      <w:lvlText w:val="%1.%2.%3.%4.%5.%6.%7.%8."/>
      <w:lvlJc w:val="left"/>
      <w:pPr>
        <w:ind w:left="1391" w:hanging="1440"/>
      </w:pPr>
      <w:rPr>
        <w:rFonts w:hint="default"/>
      </w:rPr>
    </w:lvl>
    <w:lvl w:ilvl="8">
      <w:start w:val="1"/>
      <w:numFmt w:val="decimal"/>
      <w:lvlText w:val="%1.%2.%3.%4.%5.%6.%7.%8.%9."/>
      <w:lvlJc w:val="left"/>
      <w:pPr>
        <w:ind w:left="1744" w:hanging="1800"/>
      </w:pPr>
      <w:rPr>
        <w:rFonts w:hint="default"/>
      </w:rPr>
    </w:lvl>
  </w:abstractNum>
  <w:abstractNum w:abstractNumId="22" w15:restartNumberingAfterBreak="0">
    <w:nsid w:val="2DEF5992"/>
    <w:multiLevelType w:val="multilevel"/>
    <w:tmpl w:val="F43AF9F0"/>
    <w:lvl w:ilvl="0">
      <w:start w:val="12"/>
      <w:numFmt w:val="decimal"/>
      <w:lvlText w:val="%1."/>
      <w:lvlJc w:val="left"/>
      <w:pPr>
        <w:ind w:left="790" w:hanging="790"/>
      </w:pPr>
      <w:rPr>
        <w:rFonts w:hint="default"/>
      </w:rPr>
    </w:lvl>
    <w:lvl w:ilvl="1">
      <w:start w:val="1"/>
      <w:numFmt w:val="decimal"/>
      <w:lvlText w:val="%1.%2."/>
      <w:lvlJc w:val="left"/>
      <w:pPr>
        <w:ind w:left="790" w:hanging="790"/>
      </w:pPr>
      <w:rPr>
        <w:rFonts w:hint="default"/>
      </w:rPr>
    </w:lvl>
    <w:lvl w:ilvl="2">
      <w:start w:val="1"/>
      <w:numFmt w:val="decimal"/>
      <w:lvlText w:val="%1.%2.%3."/>
      <w:lvlJc w:val="left"/>
      <w:pPr>
        <w:ind w:left="790" w:hanging="790"/>
      </w:pPr>
      <w:rPr>
        <w:rFonts w:hint="default"/>
      </w:rPr>
    </w:lvl>
    <w:lvl w:ilvl="3">
      <w:start w:val="1"/>
      <w:numFmt w:val="decimal"/>
      <w:lvlText w:val="%1.%2.%3.%4."/>
      <w:lvlJc w:val="left"/>
      <w:pPr>
        <w:ind w:left="790" w:hanging="79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4" w15:restartNumberingAfterBreak="0">
    <w:nsid w:val="303F1DD7"/>
    <w:multiLevelType w:val="multilevel"/>
    <w:tmpl w:val="0EFADFAE"/>
    <w:lvl w:ilvl="0">
      <w:start w:val="2"/>
      <w:numFmt w:val="decimal"/>
      <w:lvlText w:val="%1."/>
      <w:lvlJc w:val="left"/>
      <w:pPr>
        <w:ind w:left="680" w:hanging="680"/>
      </w:pPr>
      <w:rPr>
        <w:rFonts w:hint="default"/>
      </w:rPr>
    </w:lvl>
    <w:lvl w:ilvl="1">
      <w:start w:val="2"/>
      <w:numFmt w:val="decimal"/>
      <w:lvlText w:val="%1.%2."/>
      <w:lvlJc w:val="left"/>
      <w:pPr>
        <w:ind w:left="680" w:hanging="680"/>
      </w:pPr>
      <w:rPr>
        <w:rFonts w:hint="default"/>
      </w:rPr>
    </w:lvl>
    <w:lvl w:ilvl="2">
      <w:start w:val="1"/>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1E026EA"/>
    <w:multiLevelType w:val="multilevel"/>
    <w:tmpl w:val="1AB01D80"/>
    <w:lvl w:ilvl="0">
      <w:start w:val="13"/>
      <w:numFmt w:val="decimal"/>
      <w:lvlText w:val="%1."/>
      <w:lvlJc w:val="left"/>
      <w:pPr>
        <w:ind w:left="620" w:hanging="620"/>
      </w:pPr>
      <w:rPr>
        <w:rFonts w:hint="default"/>
      </w:rPr>
    </w:lvl>
    <w:lvl w:ilvl="1">
      <w:start w:val="1"/>
      <w:numFmt w:val="decimal"/>
      <w:lvlText w:val="%1.%2."/>
      <w:lvlJc w:val="left"/>
      <w:pPr>
        <w:ind w:left="620" w:hanging="6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2872972"/>
    <w:multiLevelType w:val="multilevel"/>
    <w:tmpl w:val="226E4A78"/>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2FB0749"/>
    <w:multiLevelType w:val="hybridMultilevel"/>
    <w:tmpl w:val="6C72E744"/>
    <w:lvl w:ilvl="0" w:tplc="1009000F">
      <w:start w:val="1"/>
      <w:numFmt w:val="decimal"/>
      <w:lvlText w:val="%1."/>
      <w:lvlJc w:val="left"/>
      <w:pPr>
        <w:ind w:left="2520" w:hanging="360"/>
      </w:pPr>
    </w:lvl>
    <w:lvl w:ilvl="1" w:tplc="10090019">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28" w15:restartNumberingAfterBreak="0">
    <w:nsid w:val="33EA5E47"/>
    <w:multiLevelType w:val="multilevel"/>
    <w:tmpl w:val="36CA3F90"/>
    <w:lvl w:ilvl="0">
      <w:start w:val="12"/>
      <w:numFmt w:val="decimal"/>
      <w:lvlText w:val="%1."/>
      <w:lvlJc w:val="left"/>
      <w:pPr>
        <w:ind w:left="790" w:hanging="790"/>
      </w:pPr>
      <w:rPr>
        <w:rFonts w:hint="default"/>
      </w:rPr>
    </w:lvl>
    <w:lvl w:ilvl="1">
      <w:start w:val="1"/>
      <w:numFmt w:val="decimal"/>
      <w:lvlText w:val="%1.%2."/>
      <w:lvlJc w:val="left"/>
      <w:pPr>
        <w:ind w:left="790" w:hanging="790"/>
      </w:pPr>
      <w:rPr>
        <w:rFonts w:hint="default"/>
      </w:rPr>
    </w:lvl>
    <w:lvl w:ilvl="2">
      <w:start w:val="1"/>
      <w:numFmt w:val="decimal"/>
      <w:lvlText w:val="%1.%2.%3."/>
      <w:lvlJc w:val="left"/>
      <w:pPr>
        <w:ind w:left="790" w:hanging="790"/>
      </w:pPr>
      <w:rPr>
        <w:rFonts w:hint="default"/>
      </w:rPr>
    </w:lvl>
    <w:lvl w:ilvl="3">
      <w:start w:val="1"/>
      <w:numFmt w:val="decimal"/>
      <w:lvlText w:val="%1.%2.%3.%4."/>
      <w:lvlJc w:val="left"/>
      <w:pPr>
        <w:ind w:left="790" w:hanging="79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67B542A"/>
    <w:multiLevelType w:val="hybridMultilevel"/>
    <w:tmpl w:val="A44C60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DF83AD4">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73B215B"/>
    <w:multiLevelType w:val="multilevel"/>
    <w:tmpl w:val="B296CEA8"/>
    <w:lvl w:ilvl="0">
      <w:start w:val="5"/>
      <w:numFmt w:val="decimal"/>
      <w:lvlText w:val="%1."/>
      <w:lvlJc w:val="left"/>
      <w:pPr>
        <w:ind w:left="360" w:hanging="360"/>
      </w:pPr>
      <w:rPr>
        <w:rFonts w:hint="default"/>
      </w:rPr>
    </w:lvl>
    <w:lvl w:ilvl="1">
      <w:start w:val="1"/>
      <w:numFmt w:val="decimal"/>
      <w:lvlText w:val="%1.%2."/>
      <w:lvlJc w:val="left"/>
      <w:pPr>
        <w:ind w:left="346" w:hanging="360"/>
      </w:pPr>
      <w:rPr>
        <w:rFonts w:hint="default"/>
      </w:rPr>
    </w:lvl>
    <w:lvl w:ilvl="2">
      <w:start w:val="1"/>
      <w:numFmt w:val="decimal"/>
      <w:lvlText w:val="%1.%2.%3."/>
      <w:lvlJc w:val="left"/>
      <w:pPr>
        <w:ind w:left="692" w:hanging="720"/>
      </w:pPr>
      <w:rPr>
        <w:rFonts w:hint="default"/>
      </w:rPr>
    </w:lvl>
    <w:lvl w:ilvl="3">
      <w:start w:val="1"/>
      <w:numFmt w:val="decimal"/>
      <w:lvlText w:val="%1.%2.%3.%4."/>
      <w:lvlJc w:val="left"/>
      <w:pPr>
        <w:ind w:left="678" w:hanging="720"/>
      </w:pPr>
      <w:rPr>
        <w:rFonts w:hint="default"/>
      </w:rPr>
    </w:lvl>
    <w:lvl w:ilvl="4">
      <w:start w:val="1"/>
      <w:numFmt w:val="decimal"/>
      <w:lvlText w:val="%1.%2.%3.%4.%5."/>
      <w:lvlJc w:val="left"/>
      <w:pPr>
        <w:ind w:left="1024" w:hanging="1080"/>
      </w:pPr>
      <w:rPr>
        <w:rFonts w:hint="default"/>
      </w:rPr>
    </w:lvl>
    <w:lvl w:ilvl="5">
      <w:start w:val="1"/>
      <w:numFmt w:val="decimal"/>
      <w:lvlText w:val="%1.%2.%3.%4.%5.%6."/>
      <w:lvlJc w:val="left"/>
      <w:pPr>
        <w:ind w:left="1010" w:hanging="1080"/>
      </w:pPr>
      <w:rPr>
        <w:rFonts w:hint="default"/>
      </w:rPr>
    </w:lvl>
    <w:lvl w:ilvl="6">
      <w:start w:val="1"/>
      <w:numFmt w:val="decimal"/>
      <w:lvlText w:val="%1.%2.%3.%4.%5.%6.%7."/>
      <w:lvlJc w:val="left"/>
      <w:pPr>
        <w:ind w:left="1356" w:hanging="1440"/>
      </w:pPr>
      <w:rPr>
        <w:rFonts w:hint="default"/>
      </w:rPr>
    </w:lvl>
    <w:lvl w:ilvl="7">
      <w:start w:val="1"/>
      <w:numFmt w:val="decimal"/>
      <w:lvlText w:val="%1.%2.%3.%4.%5.%6.%7.%8."/>
      <w:lvlJc w:val="left"/>
      <w:pPr>
        <w:ind w:left="1342" w:hanging="1440"/>
      </w:pPr>
      <w:rPr>
        <w:rFonts w:hint="default"/>
      </w:rPr>
    </w:lvl>
    <w:lvl w:ilvl="8">
      <w:start w:val="1"/>
      <w:numFmt w:val="decimal"/>
      <w:lvlText w:val="%1.%2.%3.%4.%5.%6.%7.%8.%9."/>
      <w:lvlJc w:val="left"/>
      <w:pPr>
        <w:ind w:left="1688" w:hanging="1800"/>
      </w:pPr>
      <w:rPr>
        <w:rFonts w:hint="default"/>
      </w:rPr>
    </w:lvl>
  </w:abstractNum>
  <w:abstractNum w:abstractNumId="31" w15:restartNumberingAfterBreak="0">
    <w:nsid w:val="38F267CE"/>
    <w:multiLevelType w:val="multilevel"/>
    <w:tmpl w:val="B26C7EA0"/>
    <w:lvl w:ilvl="0">
      <w:start w:val="1"/>
      <w:numFmt w:val="decimal"/>
      <w:lvlText w:val="%1."/>
      <w:lvlJc w:val="left"/>
      <w:pPr>
        <w:ind w:left="720" w:hanging="360"/>
      </w:pPr>
    </w:lvl>
    <w:lvl w:ilvl="1">
      <w:start w:val="1"/>
      <w:numFmt w:val="decimal"/>
      <w:isLgl/>
      <w:lvlText w:val="%1.%2."/>
      <w:lvlJc w:val="left"/>
      <w:pPr>
        <w:ind w:left="1040" w:hanging="6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3E7B33B5"/>
    <w:multiLevelType w:val="multilevel"/>
    <w:tmpl w:val="B9A20E86"/>
    <w:lvl w:ilvl="0">
      <w:start w:val="7"/>
      <w:numFmt w:val="decimal"/>
      <w:lvlText w:val="%1."/>
      <w:lvlJc w:val="left"/>
      <w:pPr>
        <w:ind w:left="360" w:hanging="360"/>
      </w:pPr>
      <w:rPr>
        <w:rFonts w:hint="default"/>
      </w:rPr>
    </w:lvl>
    <w:lvl w:ilvl="1">
      <w:start w:val="1"/>
      <w:numFmt w:val="decimal"/>
      <w:lvlText w:val="%1.%2."/>
      <w:lvlJc w:val="left"/>
      <w:pPr>
        <w:ind w:left="346" w:hanging="360"/>
      </w:pPr>
      <w:rPr>
        <w:rFonts w:hint="default"/>
      </w:rPr>
    </w:lvl>
    <w:lvl w:ilvl="2">
      <w:start w:val="1"/>
      <w:numFmt w:val="decimal"/>
      <w:lvlText w:val="%1.%2.%3."/>
      <w:lvlJc w:val="left"/>
      <w:pPr>
        <w:ind w:left="692" w:hanging="720"/>
      </w:pPr>
      <w:rPr>
        <w:rFonts w:hint="default"/>
      </w:rPr>
    </w:lvl>
    <w:lvl w:ilvl="3">
      <w:start w:val="1"/>
      <w:numFmt w:val="decimal"/>
      <w:lvlText w:val="%1.%2.%3.%4."/>
      <w:lvlJc w:val="left"/>
      <w:pPr>
        <w:ind w:left="678" w:hanging="720"/>
      </w:pPr>
      <w:rPr>
        <w:rFonts w:hint="default"/>
      </w:rPr>
    </w:lvl>
    <w:lvl w:ilvl="4">
      <w:start w:val="1"/>
      <w:numFmt w:val="decimal"/>
      <w:lvlText w:val="%1.%2.%3.%4.%5."/>
      <w:lvlJc w:val="left"/>
      <w:pPr>
        <w:ind w:left="1024" w:hanging="1080"/>
      </w:pPr>
      <w:rPr>
        <w:rFonts w:hint="default"/>
      </w:rPr>
    </w:lvl>
    <w:lvl w:ilvl="5">
      <w:start w:val="1"/>
      <w:numFmt w:val="decimal"/>
      <w:lvlText w:val="%1.%2.%3.%4.%5.%6."/>
      <w:lvlJc w:val="left"/>
      <w:pPr>
        <w:ind w:left="1010" w:hanging="1080"/>
      </w:pPr>
      <w:rPr>
        <w:rFonts w:hint="default"/>
      </w:rPr>
    </w:lvl>
    <w:lvl w:ilvl="6">
      <w:start w:val="1"/>
      <w:numFmt w:val="decimal"/>
      <w:lvlText w:val="%1.%2.%3.%4.%5.%6.%7."/>
      <w:lvlJc w:val="left"/>
      <w:pPr>
        <w:ind w:left="1356" w:hanging="1440"/>
      </w:pPr>
      <w:rPr>
        <w:rFonts w:hint="default"/>
      </w:rPr>
    </w:lvl>
    <w:lvl w:ilvl="7">
      <w:start w:val="1"/>
      <w:numFmt w:val="decimal"/>
      <w:lvlText w:val="%1.%2.%3.%4.%5.%6.%7.%8."/>
      <w:lvlJc w:val="left"/>
      <w:pPr>
        <w:ind w:left="1342" w:hanging="1440"/>
      </w:pPr>
      <w:rPr>
        <w:rFonts w:hint="default"/>
      </w:rPr>
    </w:lvl>
    <w:lvl w:ilvl="8">
      <w:start w:val="1"/>
      <w:numFmt w:val="decimal"/>
      <w:lvlText w:val="%1.%2.%3.%4.%5.%6.%7.%8.%9."/>
      <w:lvlJc w:val="left"/>
      <w:pPr>
        <w:ind w:left="1688" w:hanging="1800"/>
      </w:pPr>
      <w:rPr>
        <w:rFonts w:hint="default"/>
      </w:rPr>
    </w:lvl>
  </w:abstractNum>
  <w:abstractNum w:abstractNumId="33" w15:restartNumberingAfterBreak="0">
    <w:nsid w:val="3F6D0816"/>
    <w:multiLevelType w:val="multilevel"/>
    <w:tmpl w:val="DCE61B34"/>
    <w:lvl w:ilvl="0">
      <w:start w:val="8"/>
      <w:numFmt w:val="decimal"/>
      <w:lvlText w:val="%1."/>
      <w:lvlJc w:val="left"/>
      <w:pPr>
        <w:ind w:left="360" w:hanging="360"/>
      </w:pPr>
      <w:rPr>
        <w:rFonts w:hint="default"/>
      </w:rPr>
    </w:lvl>
    <w:lvl w:ilvl="1">
      <w:start w:val="1"/>
      <w:numFmt w:val="decimal"/>
      <w:lvlText w:val="%1.%2."/>
      <w:lvlJc w:val="left"/>
      <w:pPr>
        <w:ind w:left="346" w:hanging="360"/>
      </w:pPr>
      <w:rPr>
        <w:rFonts w:hint="default"/>
      </w:rPr>
    </w:lvl>
    <w:lvl w:ilvl="2">
      <w:start w:val="1"/>
      <w:numFmt w:val="decimal"/>
      <w:lvlText w:val="%1.%2.%3."/>
      <w:lvlJc w:val="left"/>
      <w:pPr>
        <w:ind w:left="692" w:hanging="720"/>
      </w:pPr>
      <w:rPr>
        <w:rFonts w:hint="default"/>
      </w:rPr>
    </w:lvl>
    <w:lvl w:ilvl="3">
      <w:start w:val="1"/>
      <w:numFmt w:val="decimal"/>
      <w:lvlText w:val="%1.%2.%3.%4."/>
      <w:lvlJc w:val="left"/>
      <w:pPr>
        <w:ind w:left="678" w:hanging="720"/>
      </w:pPr>
      <w:rPr>
        <w:rFonts w:hint="default"/>
      </w:rPr>
    </w:lvl>
    <w:lvl w:ilvl="4">
      <w:start w:val="1"/>
      <w:numFmt w:val="decimal"/>
      <w:lvlText w:val="%1.%2.%3.%4.%5."/>
      <w:lvlJc w:val="left"/>
      <w:pPr>
        <w:ind w:left="1024" w:hanging="1080"/>
      </w:pPr>
      <w:rPr>
        <w:rFonts w:hint="default"/>
      </w:rPr>
    </w:lvl>
    <w:lvl w:ilvl="5">
      <w:start w:val="1"/>
      <w:numFmt w:val="decimal"/>
      <w:lvlText w:val="%1.%2.%3.%4.%5.%6."/>
      <w:lvlJc w:val="left"/>
      <w:pPr>
        <w:ind w:left="1010" w:hanging="1080"/>
      </w:pPr>
      <w:rPr>
        <w:rFonts w:hint="default"/>
      </w:rPr>
    </w:lvl>
    <w:lvl w:ilvl="6">
      <w:start w:val="1"/>
      <w:numFmt w:val="decimal"/>
      <w:lvlText w:val="%1.%2.%3.%4.%5.%6.%7."/>
      <w:lvlJc w:val="left"/>
      <w:pPr>
        <w:ind w:left="1356" w:hanging="1440"/>
      </w:pPr>
      <w:rPr>
        <w:rFonts w:hint="default"/>
      </w:rPr>
    </w:lvl>
    <w:lvl w:ilvl="7">
      <w:start w:val="1"/>
      <w:numFmt w:val="decimal"/>
      <w:lvlText w:val="%1.%2.%3.%4.%5.%6.%7.%8."/>
      <w:lvlJc w:val="left"/>
      <w:pPr>
        <w:ind w:left="1342" w:hanging="1440"/>
      </w:pPr>
      <w:rPr>
        <w:rFonts w:hint="default"/>
      </w:rPr>
    </w:lvl>
    <w:lvl w:ilvl="8">
      <w:start w:val="1"/>
      <w:numFmt w:val="decimal"/>
      <w:lvlText w:val="%1.%2.%3.%4.%5.%6.%7.%8.%9."/>
      <w:lvlJc w:val="left"/>
      <w:pPr>
        <w:ind w:left="1688" w:hanging="1800"/>
      </w:pPr>
      <w:rPr>
        <w:rFonts w:hint="default"/>
      </w:rPr>
    </w:lvl>
  </w:abstractNum>
  <w:abstractNum w:abstractNumId="34" w15:restartNumberingAfterBreak="0">
    <w:nsid w:val="3FBA10F7"/>
    <w:multiLevelType w:val="hybridMultilevel"/>
    <w:tmpl w:val="1ABA9B30"/>
    <w:lvl w:ilvl="0" w:tplc="1009000F">
      <w:start w:val="1"/>
      <w:numFmt w:val="decimal"/>
      <w:lvlText w:val="%1."/>
      <w:lvlJc w:val="left"/>
      <w:pPr>
        <w:ind w:left="2520" w:hanging="360"/>
      </w:pPr>
    </w:lvl>
    <w:lvl w:ilvl="1" w:tplc="E3E464E0">
      <w:start w:val="1"/>
      <w:numFmt w:val="lowerLetter"/>
      <w:lvlText w:val="(%2)"/>
      <w:lvlJc w:val="left"/>
      <w:pPr>
        <w:ind w:left="3240" w:hanging="360"/>
      </w:pPr>
      <w:rPr>
        <w:rFonts w:hint="default"/>
      </w:r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35" w15:restartNumberingAfterBreak="0">
    <w:nsid w:val="4476312A"/>
    <w:multiLevelType w:val="multilevel"/>
    <w:tmpl w:val="226E4A78"/>
    <w:lvl w:ilvl="0">
      <w:start w:val="8"/>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4907DFE"/>
    <w:multiLevelType w:val="multilevel"/>
    <w:tmpl w:val="788045FA"/>
    <w:lvl w:ilvl="0">
      <w:start w:val="10"/>
      <w:numFmt w:val="decimal"/>
      <w:lvlText w:val="%1."/>
      <w:lvlJc w:val="left"/>
      <w:pPr>
        <w:ind w:left="790" w:hanging="790"/>
      </w:pPr>
      <w:rPr>
        <w:rFonts w:hint="default"/>
      </w:rPr>
    </w:lvl>
    <w:lvl w:ilvl="1">
      <w:start w:val="1"/>
      <w:numFmt w:val="decimal"/>
      <w:lvlText w:val="%1.%2."/>
      <w:lvlJc w:val="left"/>
      <w:pPr>
        <w:ind w:left="768" w:hanging="790"/>
      </w:pPr>
      <w:rPr>
        <w:rFonts w:hint="default"/>
      </w:rPr>
    </w:lvl>
    <w:lvl w:ilvl="2">
      <w:start w:val="1"/>
      <w:numFmt w:val="decimal"/>
      <w:lvlText w:val="%1.%2.%3."/>
      <w:lvlJc w:val="left"/>
      <w:pPr>
        <w:ind w:left="746" w:hanging="790"/>
      </w:pPr>
      <w:rPr>
        <w:rFonts w:hint="default"/>
      </w:rPr>
    </w:lvl>
    <w:lvl w:ilvl="3">
      <w:start w:val="1"/>
      <w:numFmt w:val="decimal"/>
      <w:lvlText w:val="%1.%2.%3.%4."/>
      <w:lvlJc w:val="left"/>
      <w:pPr>
        <w:ind w:left="724" w:hanging="790"/>
      </w:pPr>
      <w:rPr>
        <w:rFonts w:hint="default"/>
      </w:rPr>
    </w:lvl>
    <w:lvl w:ilvl="4">
      <w:start w:val="1"/>
      <w:numFmt w:val="decimal"/>
      <w:lvlText w:val="%1.%2.%3.%4.%5."/>
      <w:lvlJc w:val="left"/>
      <w:pPr>
        <w:ind w:left="992" w:hanging="1080"/>
      </w:pPr>
      <w:rPr>
        <w:rFonts w:hint="default"/>
      </w:rPr>
    </w:lvl>
    <w:lvl w:ilvl="5">
      <w:start w:val="1"/>
      <w:numFmt w:val="decimal"/>
      <w:lvlText w:val="%1.%2.%3.%4.%5.%6."/>
      <w:lvlJc w:val="left"/>
      <w:pPr>
        <w:ind w:left="970" w:hanging="1080"/>
      </w:pPr>
      <w:rPr>
        <w:rFonts w:hint="default"/>
      </w:rPr>
    </w:lvl>
    <w:lvl w:ilvl="6">
      <w:start w:val="1"/>
      <w:numFmt w:val="decimal"/>
      <w:lvlText w:val="%1.%2.%3.%4.%5.%6.%7."/>
      <w:lvlJc w:val="left"/>
      <w:pPr>
        <w:ind w:left="1308" w:hanging="1440"/>
      </w:pPr>
      <w:rPr>
        <w:rFonts w:hint="default"/>
      </w:rPr>
    </w:lvl>
    <w:lvl w:ilvl="7">
      <w:start w:val="1"/>
      <w:numFmt w:val="decimal"/>
      <w:lvlText w:val="%1.%2.%3.%4.%5.%6.%7.%8."/>
      <w:lvlJc w:val="left"/>
      <w:pPr>
        <w:ind w:left="1286" w:hanging="1440"/>
      </w:pPr>
      <w:rPr>
        <w:rFonts w:hint="default"/>
      </w:rPr>
    </w:lvl>
    <w:lvl w:ilvl="8">
      <w:start w:val="1"/>
      <w:numFmt w:val="decimal"/>
      <w:lvlText w:val="%1.%2.%3.%4.%5.%6.%7.%8.%9."/>
      <w:lvlJc w:val="left"/>
      <w:pPr>
        <w:ind w:left="1624" w:hanging="1800"/>
      </w:pPr>
      <w:rPr>
        <w:rFonts w:hint="default"/>
      </w:rPr>
    </w:lvl>
  </w:abstractNum>
  <w:abstractNum w:abstractNumId="37" w15:restartNumberingAfterBreak="0">
    <w:nsid w:val="4661394E"/>
    <w:multiLevelType w:val="multilevel"/>
    <w:tmpl w:val="2B466242"/>
    <w:lvl w:ilvl="0">
      <w:start w:val="18"/>
      <w:numFmt w:val="decimal"/>
      <w:lvlText w:val="%1."/>
      <w:lvlJc w:val="left"/>
      <w:pPr>
        <w:ind w:left="620" w:hanging="620"/>
      </w:pPr>
      <w:rPr>
        <w:rFonts w:hint="default"/>
      </w:rPr>
    </w:lvl>
    <w:lvl w:ilvl="1">
      <w:start w:val="1"/>
      <w:numFmt w:val="decimal"/>
      <w:lvlText w:val="%1.%2."/>
      <w:lvlJc w:val="left"/>
      <w:pPr>
        <w:ind w:left="620" w:hanging="6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4C517AD5"/>
    <w:multiLevelType w:val="multilevel"/>
    <w:tmpl w:val="3D7AF676"/>
    <w:lvl w:ilvl="0">
      <w:start w:val="9"/>
      <w:numFmt w:val="decimal"/>
      <w:lvlText w:val="%1."/>
      <w:lvlJc w:val="left"/>
      <w:pPr>
        <w:ind w:left="360" w:hanging="360"/>
      </w:pPr>
      <w:rPr>
        <w:rFonts w:hint="default"/>
      </w:rPr>
    </w:lvl>
    <w:lvl w:ilvl="1">
      <w:start w:val="1"/>
      <w:numFmt w:val="decimal"/>
      <w:lvlText w:val="%1.%2."/>
      <w:lvlJc w:val="left"/>
      <w:pPr>
        <w:ind w:left="346" w:hanging="360"/>
      </w:pPr>
      <w:rPr>
        <w:rFonts w:hint="default"/>
      </w:rPr>
    </w:lvl>
    <w:lvl w:ilvl="2">
      <w:start w:val="1"/>
      <w:numFmt w:val="decimal"/>
      <w:lvlText w:val="%1.%2.%3."/>
      <w:lvlJc w:val="left"/>
      <w:pPr>
        <w:ind w:left="692" w:hanging="720"/>
      </w:pPr>
      <w:rPr>
        <w:rFonts w:hint="default"/>
      </w:rPr>
    </w:lvl>
    <w:lvl w:ilvl="3">
      <w:start w:val="1"/>
      <w:numFmt w:val="decimal"/>
      <w:lvlText w:val="%1.%2.%3.%4."/>
      <w:lvlJc w:val="left"/>
      <w:pPr>
        <w:ind w:left="678" w:hanging="720"/>
      </w:pPr>
      <w:rPr>
        <w:rFonts w:hint="default"/>
      </w:rPr>
    </w:lvl>
    <w:lvl w:ilvl="4">
      <w:start w:val="1"/>
      <w:numFmt w:val="decimal"/>
      <w:lvlText w:val="%1.%2.%3.%4.%5."/>
      <w:lvlJc w:val="left"/>
      <w:pPr>
        <w:ind w:left="1024" w:hanging="1080"/>
      </w:pPr>
      <w:rPr>
        <w:rFonts w:hint="default"/>
      </w:rPr>
    </w:lvl>
    <w:lvl w:ilvl="5">
      <w:start w:val="1"/>
      <w:numFmt w:val="decimal"/>
      <w:lvlText w:val="%1.%2.%3.%4.%5.%6."/>
      <w:lvlJc w:val="left"/>
      <w:pPr>
        <w:ind w:left="1010" w:hanging="1080"/>
      </w:pPr>
      <w:rPr>
        <w:rFonts w:hint="default"/>
      </w:rPr>
    </w:lvl>
    <w:lvl w:ilvl="6">
      <w:start w:val="1"/>
      <w:numFmt w:val="decimal"/>
      <w:lvlText w:val="%1.%2.%3.%4.%5.%6.%7."/>
      <w:lvlJc w:val="left"/>
      <w:pPr>
        <w:ind w:left="1356" w:hanging="1440"/>
      </w:pPr>
      <w:rPr>
        <w:rFonts w:hint="default"/>
      </w:rPr>
    </w:lvl>
    <w:lvl w:ilvl="7">
      <w:start w:val="1"/>
      <w:numFmt w:val="decimal"/>
      <w:lvlText w:val="%1.%2.%3.%4.%5.%6.%7.%8."/>
      <w:lvlJc w:val="left"/>
      <w:pPr>
        <w:ind w:left="1342" w:hanging="1440"/>
      </w:pPr>
      <w:rPr>
        <w:rFonts w:hint="default"/>
      </w:rPr>
    </w:lvl>
    <w:lvl w:ilvl="8">
      <w:start w:val="1"/>
      <w:numFmt w:val="decimal"/>
      <w:lvlText w:val="%1.%2.%3.%4.%5.%6.%7.%8.%9."/>
      <w:lvlJc w:val="left"/>
      <w:pPr>
        <w:ind w:left="1688" w:hanging="1800"/>
      </w:pPr>
      <w:rPr>
        <w:rFonts w:hint="default"/>
      </w:rPr>
    </w:lvl>
  </w:abstractNum>
  <w:abstractNum w:abstractNumId="40" w15:restartNumberingAfterBreak="0">
    <w:nsid w:val="4CBD3ABA"/>
    <w:multiLevelType w:val="multilevel"/>
    <w:tmpl w:val="5E8CAE60"/>
    <w:lvl w:ilvl="0">
      <w:start w:val="9"/>
      <w:numFmt w:val="decimal"/>
      <w:lvlText w:val="%1."/>
      <w:lvlJc w:val="left"/>
      <w:pPr>
        <w:ind w:left="510" w:hanging="510"/>
      </w:pPr>
      <w:rPr>
        <w:rFonts w:hint="default"/>
      </w:rPr>
    </w:lvl>
    <w:lvl w:ilvl="1">
      <w:start w:val="1"/>
      <w:numFmt w:val="decimal"/>
      <w:lvlText w:val="%1.%2."/>
      <w:lvlJc w:val="left"/>
      <w:pPr>
        <w:ind w:left="477" w:hanging="510"/>
      </w:pPr>
      <w:rPr>
        <w:rFonts w:hint="default"/>
      </w:rPr>
    </w:lvl>
    <w:lvl w:ilvl="2">
      <w:start w:val="2"/>
      <w:numFmt w:val="decimal"/>
      <w:lvlText w:val="%1.%2.%3."/>
      <w:lvlJc w:val="left"/>
      <w:pPr>
        <w:ind w:left="654" w:hanging="720"/>
      </w:pPr>
      <w:rPr>
        <w:rFonts w:hint="default"/>
      </w:rPr>
    </w:lvl>
    <w:lvl w:ilvl="3">
      <w:start w:val="1"/>
      <w:numFmt w:val="decimal"/>
      <w:lvlText w:val="%1.%2.%3.%4."/>
      <w:lvlJc w:val="left"/>
      <w:pPr>
        <w:ind w:left="621" w:hanging="720"/>
      </w:pPr>
      <w:rPr>
        <w:rFonts w:hint="default"/>
      </w:rPr>
    </w:lvl>
    <w:lvl w:ilvl="4">
      <w:start w:val="1"/>
      <w:numFmt w:val="decimal"/>
      <w:lvlText w:val="%1.%2.%3.%4.%5."/>
      <w:lvlJc w:val="left"/>
      <w:pPr>
        <w:ind w:left="948" w:hanging="1080"/>
      </w:pPr>
      <w:rPr>
        <w:rFonts w:hint="default"/>
      </w:rPr>
    </w:lvl>
    <w:lvl w:ilvl="5">
      <w:start w:val="1"/>
      <w:numFmt w:val="decimal"/>
      <w:lvlText w:val="%1.%2.%3.%4.%5.%6."/>
      <w:lvlJc w:val="left"/>
      <w:pPr>
        <w:ind w:left="915" w:hanging="1080"/>
      </w:pPr>
      <w:rPr>
        <w:rFonts w:hint="default"/>
      </w:rPr>
    </w:lvl>
    <w:lvl w:ilvl="6">
      <w:start w:val="1"/>
      <w:numFmt w:val="decimal"/>
      <w:lvlText w:val="%1.%2.%3.%4.%5.%6.%7."/>
      <w:lvlJc w:val="left"/>
      <w:pPr>
        <w:ind w:left="1242" w:hanging="1440"/>
      </w:pPr>
      <w:rPr>
        <w:rFonts w:hint="default"/>
      </w:rPr>
    </w:lvl>
    <w:lvl w:ilvl="7">
      <w:start w:val="1"/>
      <w:numFmt w:val="decimal"/>
      <w:lvlText w:val="%1.%2.%3.%4.%5.%6.%7.%8."/>
      <w:lvlJc w:val="left"/>
      <w:pPr>
        <w:ind w:left="1209" w:hanging="1440"/>
      </w:pPr>
      <w:rPr>
        <w:rFonts w:hint="default"/>
      </w:rPr>
    </w:lvl>
    <w:lvl w:ilvl="8">
      <w:start w:val="1"/>
      <w:numFmt w:val="decimal"/>
      <w:lvlText w:val="%1.%2.%3.%4.%5.%6.%7.%8.%9."/>
      <w:lvlJc w:val="left"/>
      <w:pPr>
        <w:ind w:left="1536" w:hanging="1800"/>
      </w:pPr>
      <w:rPr>
        <w:rFonts w:hint="default"/>
      </w:rPr>
    </w:lvl>
  </w:abstractNum>
  <w:abstractNum w:abstractNumId="41" w15:restartNumberingAfterBreak="0">
    <w:nsid w:val="4E0442B4"/>
    <w:multiLevelType w:val="multilevel"/>
    <w:tmpl w:val="18A84F2E"/>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4F995BDE"/>
    <w:multiLevelType w:val="multilevel"/>
    <w:tmpl w:val="4BD46766"/>
    <w:lvl w:ilvl="0">
      <w:start w:val="15"/>
      <w:numFmt w:val="decimal"/>
      <w:lvlText w:val="%1."/>
      <w:lvlJc w:val="left"/>
      <w:pPr>
        <w:ind w:left="620" w:hanging="620"/>
      </w:pPr>
      <w:rPr>
        <w:rFonts w:hint="default"/>
      </w:rPr>
    </w:lvl>
    <w:lvl w:ilvl="1">
      <w:start w:val="1"/>
      <w:numFmt w:val="decimal"/>
      <w:lvlText w:val="%1.%2."/>
      <w:lvlJc w:val="left"/>
      <w:pPr>
        <w:ind w:left="620" w:hanging="6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FC21B8A"/>
    <w:multiLevelType w:val="hybridMultilevel"/>
    <w:tmpl w:val="4D3C5068"/>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50C43710"/>
    <w:multiLevelType w:val="multilevel"/>
    <w:tmpl w:val="28D608A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5154069"/>
    <w:multiLevelType w:val="multilevel"/>
    <w:tmpl w:val="7B726B9C"/>
    <w:lvl w:ilvl="0">
      <w:start w:val="12"/>
      <w:numFmt w:val="decimal"/>
      <w:lvlText w:val="%1."/>
      <w:lvlJc w:val="left"/>
      <w:pPr>
        <w:ind w:left="450" w:hanging="450"/>
      </w:pPr>
      <w:rPr>
        <w:rFonts w:hint="default"/>
      </w:rPr>
    </w:lvl>
    <w:lvl w:ilvl="1">
      <w:start w:val="1"/>
      <w:numFmt w:val="decimal"/>
      <w:lvlText w:val="%1.%2."/>
      <w:lvlJc w:val="left"/>
      <w:pPr>
        <w:ind w:left="436" w:hanging="450"/>
      </w:pPr>
      <w:rPr>
        <w:rFonts w:hint="default"/>
      </w:rPr>
    </w:lvl>
    <w:lvl w:ilvl="2">
      <w:start w:val="1"/>
      <w:numFmt w:val="decimal"/>
      <w:lvlText w:val="%1.%2.%3."/>
      <w:lvlJc w:val="left"/>
      <w:pPr>
        <w:ind w:left="692" w:hanging="720"/>
      </w:pPr>
      <w:rPr>
        <w:rFonts w:hint="default"/>
      </w:rPr>
    </w:lvl>
    <w:lvl w:ilvl="3">
      <w:start w:val="1"/>
      <w:numFmt w:val="decimal"/>
      <w:lvlText w:val="%1.%2.%3.%4."/>
      <w:lvlJc w:val="left"/>
      <w:pPr>
        <w:ind w:left="678" w:hanging="720"/>
      </w:pPr>
      <w:rPr>
        <w:rFonts w:hint="default"/>
      </w:rPr>
    </w:lvl>
    <w:lvl w:ilvl="4">
      <w:start w:val="1"/>
      <w:numFmt w:val="decimal"/>
      <w:lvlText w:val="%1.%2.%3.%4.%5."/>
      <w:lvlJc w:val="left"/>
      <w:pPr>
        <w:ind w:left="1024" w:hanging="1080"/>
      </w:pPr>
      <w:rPr>
        <w:rFonts w:hint="default"/>
      </w:rPr>
    </w:lvl>
    <w:lvl w:ilvl="5">
      <w:start w:val="1"/>
      <w:numFmt w:val="decimal"/>
      <w:lvlText w:val="%1.%2.%3.%4.%5.%6."/>
      <w:lvlJc w:val="left"/>
      <w:pPr>
        <w:ind w:left="1010" w:hanging="1080"/>
      </w:pPr>
      <w:rPr>
        <w:rFonts w:hint="default"/>
      </w:rPr>
    </w:lvl>
    <w:lvl w:ilvl="6">
      <w:start w:val="1"/>
      <w:numFmt w:val="decimal"/>
      <w:lvlText w:val="%1.%2.%3.%4.%5.%6.%7."/>
      <w:lvlJc w:val="left"/>
      <w:pPr>
        <w:ind w:left="1356" w:hanging="1440"/>
      </w:pPr>
      <w:rPr>
        <w:rFonts w:hint="default"/>
      </w:rPr>
    </w:lvl>
    <w:lvl w:ilvl="7">
      <w:start w:val="1"/>
      <w:numFmt w:val="decimal"/>
      <w:lvlText w:val="%1.%2.%3.%4.%5.%6.%7.%8."/>
      <w:lvlJc w:val="left"/>
      <w:pPr>
        <w:ind w:left="1342" w:hanging="1440"/>
      </w:pPr>
      <w:rPr>
        <w:rFonts w:hint="default"/>
      </w:rPr>
    </w:lvl>
    <w:lvl w:ilvl="8">
      <w:start w:val="1"/>
      <w:numFmt w:val="decimal"/>
      <w:lvlText w:val="%1.%2.%3.%4.%5.%6.%7.%8.%9."/>
      <w:lvlJc w:val="left"/>
      <w:pPr>
        <w:ind w:left="1688" w:hanging="1800"/>
      </w:pPr>
      <w:rPr>
        <w:rFonts w:hint="default"/>
      </w:rPr>
    </w:lvl>
  </w:abstractNum>
  <w:abstractNum w:abstractNumId="46" w15:restartNumberingAfterBreak="0">
    <w:nsid w:val="56FE11AC"/>
    <w:multiLevelType w:val="multilevel"/>
    <w:tmpl w:val="818EAF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A2E6AC8"/>
    <w:multiLevelType w:val="hybridMultilevel"/>
    <w:tmpl w:val="30BE35B8"/>
    <w:lvl w:ilvl="0" w:tplc="08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D0A6D22">
      <w:start w:val="1"/>
      <w:numFmt w:val="decimal"/>
      <w:lvlText w:val="%7."/>
      <w:lvlJc w:val="left"/>
      <w:pPr>
        <w:ind w:left="360" w:hanging="360"/>
      </w:pPr>
      <w:rPr>
        <w:i w:val="0"/>
      </w:r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48" w15:restartNumberingAfterBreak="0">
    <w:nsid w:val="5C810663"/>
    <w:multiLevelType w:val="multilevel"/>
    <w:tmpl w:val="82CAFDE6"/>
    <w:lvl w:ilvl="0">
      <w:start w:val="5"/>
      <w:numFmt w:val="decimal"/>
      <w:lvlText w:val="%1."/>
      <w:lvlJc w:val="left"/>
      <w:pPr>
        <w:ind w:left="510" w:hanging="510"/>
      </w:pPr>
      <w:rPr>
        <w:rFonts w:hint="default"/>
      </w:rPr>
    </w:lvl>
    <w:lvl w:ilvl="1">
      <w:start w:val="3"/>
      <w:numFmt w:val="decimal"/>
      <w:lvlText w:val="%1.%2."/>
      <w:lvlJc w:val="left"/>
      <w:pPr>
        <w:ind w:left="523" w:hanging="510"/>
      </w:pPr>
      <w:rPr>
        <w:rFonts w:hint="default"/>
      </w:rPr>
    </w:lvl>
    <w:lvl w:ilvl="2">
      <w:start w:val="1"/>
      <w:numFmt w:val="decimal"/>
      <w:lvlText w:val="%1.%2.%3."/>
      <w:lvlJc w:val="left"/>
      <w:pPr>
        <w:ind w:left="746" w:hanging="720"/>
      </w:pPr>
      <w:rPr>
        <w:rFonts w:hint="default"/>
      </w:rPr>
    </w:lvl>
    <w:lvl w:ilvl="3">
      <w:start w:val="1"/>
      <w:numFmt w:val="decimal"/>
      <w:lvlText w:val="%1.%2.%3.%4."/>
      <w:lvlJc w:val="left"/>
      <w:pPr>
        <w:ind w:left="759" w:hanging="720"/>
      </w:pPr>
      <w:rPr>
        <w:rFonts w:hint="default"/>
      </w:rPr>
    </w:lvl>
    <w:lvl w:ilvl="4">
      <w:start w:val="1"/>
      <w:numFmt w:val="decimal"/>
      <w:lvlText w:val="%1.%2.%3.%4.%5."/>
      <w:lvlJc w:val="left"/>
      <w:pPr>
        <w:ind w:left="1132" w:hanging="1080"/>
      </w:pPr>
      <w:rPr>
        <w:rFonts w:hint="default"/>
      </w:rPr>
    </w:lvl>
    <w:lvl w:ilvl="5">
      <w:start w:val="1"/>
      <w:numFmt w:val="decimal"/>
      <w:lvlText w:val="%1.%2.%3.%4.%5.%6."/>
      <w:lvlJc w:val="left"/>
      <w:pPr>
        <w:ind w:left="1145" w:hanging="1080"/>
      </w:pPr>
      <w:rPr>
        <w:rFonts w:hint="default"/>
      </w:rPr>
    </w:lvl>
    <w:lvl w:ilvl="6">
      <w:start w:val="1"/>
      <w:numFmt w:val="decimal"/>
      <w:lvlText w:val="%1.%2.%3.%4.%5.%6.%7."/>
      <w:lvlJc w:val="left"/>
      <w:pPr>
        <w:ind w:left="1518" w:hanging="1440"/>
      </w:pPr>
      <w:rPr>
        <w:rFonts w:hint="default"/>
      </w:rPr>
    </w:lvl>
    <w:lvl w:ilvl="7">
      <w:start w:val="1"/>
      <w:numFmt w:val="decimal"/>
      <w:lvlText w:val="%1.%2.%3.%4.%5.%6.%7.%8."/>
      <w:lvlJc w:val="left"/>
      <w:pPr>
        <w:ind w:left="1531" w:hanging="1440"/>
      </w:pPr>
      <w:rPr>
        <w:rFonts w:hint="default"/>
      </w:rPr>
    </w:lvl>
    <w:lvl w:ilvl="8">
      <w:start w:val="1"/>
      <w:numFmt w:val="decimal"/>
      <w:lvlText w:val="%1.%2.%3.%4.%5.%6.%7.%8.%9."/>
      <w:lvlJc w:val="left"/>
      <w:pPr>
        <w:ind w:left="1904" w:hanging="1800"/>
      </w:pPr>
      <w:rPr>
        <w:rFonts w:hint="default"/>
      </w:rPr>
    </w:lvl>
  </w:abstractNum>
  <w:abstractNum w:abstractNumId="49" w15:restartNumberingAfterBreak="0">
    <w:nsid w:val="5C975246"/>
    <w:multiLevelType w:val="hybridMultilevel"/>
    <w:tmpl w:val="E26A86A6"/>
    <w:lvl w:ilvl="0" w:tplc="2E20D0EE">
      <w:start w:val="1"/>
      <w:numFmt w:val="upperRoman"/>
      <w:lvlText w:val="%1."/>
      <w:lvlJc w:val="left"/>
      <w:pPr>
        <w:ind w:left="384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02A767A"/>
    <w:multiLevelType w:val="multilevel"/>
    <w:tmpl w:val="0F1C1B18"/>
    <w:lvl w:ilvl="0">
      <w:start w:val="11"/>
      <w:numFmt w:val="decimal"/>
      <w:lvlText w:val="%1."/>
      <w:lvlJc w:val="left"/>
      <w:pPr>
        <w:ind w:left="450" w:hanging="450"/>
      </w:pPr>
      <w:rPr>
        <w:rFonts w:hint="default"/>
      </w:rPr>
    </w:lvl>
    <w:lvl w:ilvl="1">
      <w:start w:val="1"/>
      <w:numFmt w:val="decimal"/>
      <w:lvlText w:val="%1.%2."/>
      <w:lvlJc w:val="left"/>
      <w:pPr>
        <w:ind w:left="436" w:hanging="450"/>
      </w:pPr>
      <w:rPr>
        <w:rFonts w:hint="default"/>
      </w:rPr>
    </w:lvl>
    <w:lvl w:ilvl="2">
      <w:start w:val="1"/>
      <w:numFmt w:val="decimal"/>
      <w:lvlText w:val="%1.%2.%3."/>
      <w:lvlJc w:val="left"/>
      <w:pPr>
        <w:ind w:left="692" w:hanging="720"/>
      </w:pPr>
      <w:rPr>
        <w:rFonts w:hint="default"/>
      </w:rPr>
    </w:lvl>
    <w:lvl w:ilvl="3">
      <w:start w:val="1"/>
      <w:numFmt w:val="decimal"/>
      <w:lvlText w:val="%1.%2.%3.%4."/>
      <w:lvlJc w:val="left"/>
      <w:pPr>
        <w:ind w:left="678" w:hanging="720"/>
      </w:pPr>
      <w:rPr>
        <w:rFonts w:hint="default"/>
      </w:rPr>
    </w:lvl>
    <w:lvl w:ilvl="4">
      <w:start w:val="1"/>
      <w:numFmt w:val="decimal"/>
      <w:lvlText w:val="%1.%2.%3.%4.%5."/>
      <w:lvlJc w:val="left"/>
      <w:pPr>
        <w:ind w:left="1024" w:hanging="1080"/>
      </w:pPr>
      <w:rPr>
        <w:rFonts w:hint="default"/>
      </w:rPr>
    </w:lvl>
    <w:lvl w:ilvl="5">
      <w:start w:val="1"/>
      <w:numFmt w:val="decimal"/>
      <w:lvlText w:val="%1.%2.%3.%4.%5.%6."/>
      <w:lvlJc w:val="left"/>
      <w:pPr>
        <w:ind w:left="1010" w:hanging="1080"/>
      </w:pPr>
      <w:rPr>
        <w:rFonts w:hint="default"/>
      </w:rPr>
    </w:lvl>
    <w:lvl w:ilvl="6">
      <w:start w:val="1"/>
      <w:numFmt w:val="decimal"/>
      <w:lvlText w:val="%1.%2.%3.%4.%5.%6.%7."/>
      <w:lvlJc w:val="left"/>
      <w:pPr>
        <w:ind w:left="1356" w:hanging="1440"/>
      </w:pPr>
      <w:rPr>
        <w:rFonts w:hint="default"/>
      </w:rPr>
    </w:lvl>
    <w:lvl w:ilvl="7">
      <w:start w:val="1"/>
      <w:numFmt w:val="decimal"/>
      <w:lvlText w:val="%1.%2.%3.%4.%5.%6.%7.%8."/>
      <w:lvlJc w:val="left"/>
      <w:pPr>
        <w:ind w:left="1342" w:hanging="1440"/>
      </w:pPr>
      <w:rPr>
        <w:rFonts w:hint="default"/>
      </w:rPr>
    </w:lvl>
    <w:lvl w:ilvl="8">
      <w:start w:val="1"/>
      <w:numFmt w:val="decimal"/>
      <w:lvlText w:val="%1.%2.%3.%4.%5.%6.%7.%8.%9."/>
      <w:lvlJc w:val="left"/>
      <w:pPr>
        <w:ind w:left="1688" w:hanging="1800"/>
      </w:pPr>
      <w:rPr>
        <w:rFonts w:hint="default"/>
      </w:rPr>
    </w:lvl>
  </w:abstractNum>
  <w:abstractNum w:abstractNumId="51" w15:restartNumberingAfterBreak="0">
    <w:nsid w:val="65DB49AF"/>
    <w:multiLevelType w:val="multilevel"/>
    <w:tmpl w:val="184CA2FE"/>
    <w:lvl w:ilvl="0">
      <w:start w:val="11"/>
      <w:numFmt w:val="decimal"/>
      <w:lvlText w:val="%1"/>
      <w:lvlJc w:val="left"/>
      <w:pPr>
        <w:ind w:left="730" w:hanging="730"/>
      </w:pPr>
      <w:rPr>
        <w:rFonts w:hint="default"/>
      </w:rPr>
    </w:lvl>
    <w:lvl w:ilvl="1">
      <w:start w:val="1"/>
      <w:numFmt w:val="decimal"/>
      <w:lvlText w:val="%1.%2"/>
      <w:lvlJc w:val="left"/>
      <w:pPr>
        <w:ind w:left="730" w:hanging="730"/>
      </w:pPr>
      <w:rPr>
        <w:rFonts w:hint="default"/>
      </w:rPr>
    </w:lvl>
    <w:lvl w:ilvl="2">
      <w:start w:val="1"/>
      <w:numFmt w:val="decimal"/>
      <w:lvlText w:val="%1.%2.%3"/>
      <w:lvlJc w:val="left"/>
      <w:pPr>
        <w:ind w:left="730" w:hanging="730"/>
      </w:pPr>
      <w:rPr>
        <w:rFonts w:hint="default"/>
      </w:rPr>
    </w:lvl>
    <w:lvl w:ilvl="3">
      <w:start w:val="1"/>
      <w:numFmt w:val="decimal"/>
      <w:lvlText w:val="%1.%2.%3.%4"/>
      <w:lvlJc w:val="left"/>
      <w:pPr>
        <w:ind w:left="730" w:hanging="7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EE04F0F"/>
    <w:multiLevelType w:val="hybridMultilevel"/>
    <w:tmpl w:val="506CAA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4" w15:restartNumberingAfterBreak="0">
    <w:nsid w:val="6F6C3F25"/>
    <w:multiLevelType w:val="multilevel"/>
    <w:tmpl w:val="80744FB8"/>
    <w:lvl w:ilvl="0">
      <w:start w:val="7"/>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F7E0FA9"/>
    <w:multiLevelType w:val="multilevel"/>
    <w:tmpl w:val="D0AAA67C"/>
    <w:lvl w:ilvl="0">
      <w:start w:val="5"/>
      <w:numFmt w:val="decimal"/>
      <w:lvlText w:val="%1."/>
      <w:lvlJc w:val="left"/>
      <w:pPr>
        <w:ind w:left="510" w:hanging="510"/>
      </w:pPr>
      <w:rPr>
        <w:rFonts w:hint="default"/>
      </w:rPr>
    </w:lvl>
    <w:lvl w:ilvl="1">
      <w:start w:val="1"/>
      <w:numFmt w:val="decimal"/>
      <w:lvlText w:val="%1.%2."/>
      <w:lvlJc w:val="left"/>
      <w:pPr>
        <w:ind w:left="523" w:hanging="510"/>
      </w:pPr>
      <w:rPr>
        <w:rFonts w:hint="default"/>
      </w:rPr>
    </w:lvl>
    <w:lvl w:ilvl="2">
      <w:start w:val="1"/>
      <w:numFmt w:val="decimal"/>
      <w:lvlText w:val="%1.%2.%3."/>
      <w:lvlJc w:val="left"/>
      <w:pPr>
        <w:ind w:left="746" w:hanging="720"/>
      </w:pPr>
      <w:rPr>
        <w:rFonts w:hint="default"/>
      </w:rPr>
    </w:lvl>
    <w:lvl w:ilvl="3">
      <w:start w:val="1"/>
      <w:numFmt w:val="decimal"/>
      <w:lvlText w:val="%1.%2.%3.%4."/>
      <w:lvlJc w:val="left"/>
      <w:pPr>
        <w:ind w:left="759" w:hanging="720"/>
      </w:pPr>
      <w:rPr>
        <w:rFonts w:hint="default"/>
      </w:rPr>
    </w:lvl>
    <w:lvl w:ilvl="4">
      <w:start w:val="1"/>
      <w:numFmt w:val="decimal"/>
      <w:lvlText w:val="%1.%2.%3.%4.%5."/>
      <w:lvlJc w:val="left"/>
      <w:pPr>
        <w:ind w:left="1132" w:hanging="1080"/>
      </w:pPr>
      <w:rPr>
        <w:rFonts w:hint="default"/>
      </w:rPr>
    </w:lvl>
    <w:lvl w:ilvl="5">
      <w:start w:val="1"/>
      <w:numFmt w:val="decimal"/>
      <w:lvlText w:val="%1.%2.%3.%4.%5.%6."/>
      <w:lvlJc w:val="left"/>
      <w:pPr>
        <w:ind w:left="1145" w:hanging="1080"/>
      </w:pPr>
      <w:rPr>
        <w:rFonts w:hint="default"/>
      </w:rPr>
    </w:lvl>
    <w:lvl w:ilvl="6">
      <w:start w:val="1"/>
      <w:numFmt w:val="decimal"/>
      <w:lvlText w:val="%1.%2.%3.%4.%5.%6.%7."/>
      <w:lvlJc w:val="left"/>
      <w:pPr>
        <w:ind w:left="1518" w:hanging="1440"/>
      </w:pPr>
      <w:rPr>
        <w:rFonts w:hint="default"/>
      </w:rPr>
    </w:lvl>
    <w:lvl w:ilvl="7">
      <w:start w:val="1"/>
      <w:numFmt w:val="decimal"/>
      <w:lvlText w:val="%1.%2.%3.%4.%5.%6.%7.%8."/>
      <w:lvlJc w:val="left"/>
      <w:pPr>
        <w:ind w:left="1531" w:hanging="1440"/>
      </w:pPr>
      <w:rPr>
        <w:rFonts w:hint="default"/>
      </w:rPr>
    </w:lvl>
    <w:lvl w:ilvl="8">
      <w:start w:val="1"/>
      <w:numFmt w:val="decimal"/>
      <w:lvlText w:val="%1.%2.%3.%4.%5.%6.%7.%8.%9."/>
      <w:lvlJc w:val="left"/>
      <w:pPr>
        <w:ind w:left="1904" w:hanging="1800"/>
      </w:pPr>
      <w:rPr>
        <w:rFonts w:hint="default"/>
      </w:rPr>
    </w:lvl>
  </w:abstractNum>
  <w:abstractNum w:abstractNumId="56" w15:restartNumberingAfterBreak="0">
    <w:nsid w:val="70CA4A2C"/>
    <w:multiLevelType w:val="multilevel"/>
    <w:tmpl w:val="6C1CD942"/>
    <w:lvl w:ilvl="0">
      <w:start w:val="2"/>
      <w:numFmt w:val="decimal"/>
      <w:lvlText w:val="%1"/>
      <w:lvlJc w:val="left"/>
      <w:pPr>
        <w:ind w:left="450" w:hanging="450"/>
      </w:pPr>
      <w:rPr>
        <w:rFonts w:hint="default"/>
      </w:rPr>
    </w:lvl>
    <w:lvl w:ilvl="1">
      <w:start w:val="1"/>
      <w:numFmt w:val="decimal"/>
      <w:lvlText w:val="%1.%2"/>
      <w:lvlJc w:val="left"/>
      <w:pPr>
        <w:ind w:left="477" w:hanging="450"/>
      </w:pPr>
      <w:rPr>
        <w:rFonts w:hint="default"/>
      </w:rPr>
    </w:lvl>
    <w:lvl w:ilvl="2">
      <w:start w:val="4"/>
      <w:numFmt w:val="decimal"/>
      <w:lvlText w:val="%1.%2.%3"/>
      <w:lvlJc w:val="left"/>
      <w:pPr>
        <w:ind w:left="774" w:hanging="720"/>
      </w:pPr>
      <w:rPr>
        <w:rFonts w:hint="default"/>
      </w:rPr>
    </w:lvl>
    <w:lvl w:ilvl="3">
      <w:start w:val="1"/>
      <w:numFmt w:val="decimal"/>
      <w:lvlText w:val="%1.%2.%3.%4"/>
      <w:lvlJc w:val="left"/>
      <w:pPr>
        <w:ind w:left="80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215" w:hanging="1080"/>
      </w:pPr>
      <w:rPr>
        <w:rFonts w:hint="default"/>
      </w:rPr>
    </w:lvl>
    <w:lvl w:ilvl="6">
      <w:start w:val="1"/>
      <w:numFmt w:val="decimal"/>
      <w:lvlText w:val="%1.%2.%3.%4.%5.%6.%7"/>
      <w:lvlJc w:val="left"/>
      <w:pPr>
        <w:ind w:left="1602" w:hanging="1440"/>
      </w:pPr>
      <w:rPr>
        <w:rFonts w:hint="default"/>
      </w:rPr>
    </w:lvl>
    <w:lvl w:ilvl="7">
      <w:start w:val="1"/>
      <w:numFmt w:val="decimal"/>
      <w:lvlText w:val="%1.%2.%3.%4.%5.%6.%7.%8"/>
      <w:lvlJc w:val="left"/>
      <w:pPr>
        <w:ind w:left="1629" w:hanging="1440"/>
      </w:pPr>
      <w:rPr>
        <w:rFonts w:hint="default"/>
      </w:rPr>
    </w:lvl>
    <w:lvl w:ilvl="8">
      <w:start w:val="1"/>
      <w:numFmt w:val="decimal"/>
      <w:lvlText w:val="%1.%2.%3.%4.%5.%6.%7.%8.%9"/>
      <w:lvlJc w:val="left"/>
      <w:pPr>
        <w:ind w:left="1656" w:hanging="1440"/>
      </w:pPr>
      <w:rPr>
        <w:rFonts w:hint="default"/>
      </w:rPr>
    </w:lvl>
  </w:abstractNum>
  <w:abstractNum w:abstractNumId="57" w15:restartNumberingAfterBreak="0">
    <w:nsid w:val="7271302C"/>
    <w:multiLevelType w:val="multilevel"/>
    <w:tmpl w:val="226E4A78"/>
    <w:lvl w:ilvl="0">
      <w:start w:val="6"/>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54E0336"/>
    <w:multiLevelType w:val="multilevel"/>
    <w:tmpl w:val="D6B6C0B6"/>
    <w:lvl w:ilvl="0">
      <w:start w:val="2"/>
      <w:numFmt w:val="decimal"/>
      <w:lvlText w:val="%1."/>
      <w:lvlJc w:val="left"/>
      <w:pPr>
        <w:ind w:left="360" w:hanging="360"/>
      </w:pPr>
      <w:rPr>
        <w:rFonts w:hint="default"/>
      </w:rPr>
    </w:lvl>
    <w:lvl w:ilvl="1">
      <w:start w:val="1"/>
      <w:numFmt w:val="decimal"/>
      <w:lvlText w:val="%1.%2."/>
      <w:lvlJc w:val="left"/>
      <w:pPr>
        <w:ind w:left="346" w:hanging="360"/>
      </w:pPr>
      <w:rPr>
        <w:rFonts w:hint="default"/>
      </w:rPr>
    </w:lvl>
    <w:lvl w:ilvl="2">
      <w:start w:val="1"/>
      <w:numFmt w:val="decimal"/>
      <w:lvlText w:val="%1.%2.%3."/>
      <w:lvlJc w:val="left"/>
      <w:pPr>
        <w:ind w:left="692" w:hanging="720"/>
      </w:pPr>
      <w:rPr>
        <w:rFonts w:hint="default"/>
      </w:rPr>
    </w:lvl>
    <w:lvl w:ilvl="3">
      <w:start w:val="1"/>
      <w:numFmt w:val="decimal"/>
      <w:lvlText w:val="%1.%2.%3.%4."/>
      <w:lvlJc w:val="left"/>
      <w:pPr>
        <w:ind w:left="678" w:hanging="720"/>
      </w:pPr>
      <w:rPr>
        <w:rFonts w:hint="default"/>
      </w:rPr>
    </w:lvl>
    <w:lvl w:ilvl="4">
      <w:start w:val="1"/>
      <w:numFmt w:val="decimal"/>
      <w:lvlText w:val="%1.%2.%3.%4.%5."/>
      <w:lvlJc w:val="left"/>
      <w:pPr>
        <w:ind w:left="1024" w:hanging="1080"/>
      </w:pPr>
      <w:rPr>
        <w:rFonts w:hint="default"/>
      </w:rPr>
    </w:lvl>
    <w:lvl w:ilvl="5">
      <w:start w:val="1"/>
      <w:numFmt w:val="decimal"/>
      <w:lvlText w:val="%1.%2.%3.%4.%5.%6."/>
      <w:lvlJc w:val="left"/>
      <w:pPr>
        <w:ind w:left="1010" w:hanging="1080"/>
      </w:pPr>
      <w:rPr>
        <w:rFonts w:hint="default"/>
      </w:rPr>
    </w:lvl>
    <w:lvl w:ilvl="6">
      <w:start w:val="1"/>
      <w:numFmt w:val="decimal"/>
      <w:lvlText w:val="%1.%2.%3.%4.%5.%6.%7."/>
      <w:lvlJc w:val="left"/>
      <w:pPr>
        <w:ind w:left="1356" w:hanging="1440"/>
      </w:pPr>
      <w:rPr>
        <w:rFonts w:hint="default"/>
      </w:rPr>
    </w:lvl>
    <w:lvl w:ilvl="7">
      <w:start w:val="1"/>
      <w:numFmt w:val="decimal"/>
      <w:lvlText w:val="%1.%2.%3.%4.%5.%6.%7.%8."/>
      <w:lvlJc w:val="left"/>
      <w:pPr>
        <w:ind w:left="1342" w:hanging="1440"/>
      </w:pPr>
      <w:rPr>
        <w:rFonts w:hint="default"/>
      </w:rPr>
    </w:lvl>
    <w:lvl w:ilvl="8">
      <w:start w:val="1"/>
      <w:numFmt w:val="decimal"/>
      <w:lvlText w:val="%1.%2.%3.%4.%5.%6.%7.%8.%9."/>
      <w:lvlJc w:val="left"/>
      <w:pPr>
        <w:ind w:left="1688" w:hanging="1800"/>
      </w:pPr>
      <w:rPr>
        <w:rFonts w:hint="default"/>
      </w:rPr>
    </w:lvl>
  </w:abstractNum>
  <w:abstractNum w:abstractNumId="59" w15:restartNumberingAfterBreak="0">
    <w:nsid w:val="789128BF"/>
    <w:multiLevelType w:val="multilevel"/>
    <w:tmpl w:val="9E2CAF4A"/>
    <w:lvl w:ilvl="0">
      <w:start w:val="2"/>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AAF5FDB"/>
    <w:multiLevelType w:val="multilevel"/>
    <w:tmpl w:val="1A0EC962"/>
    <w:lvl w:ilvl="0">
      <w:start w:val="20"/>
      <w:numFmt w:val="decimal"/>
      <w:lvlText w:val="%1."/>
      <w:lvlJc w:val="left"/>
      <w:pPr>
        <w:ind w:left="0" w:firstLine="0"/>
      </w:pPr>
      <w:rPr>
        <w:rFonts w:hint="default"/>
      </w:rPr>
    </w:lvl>
    <w:lvl w:ilvl="1">
      <w:start w:val="1"/>
      <w:numFmt w:val="decimal"/>
      <w:lvlText w:val="%1.%2."/>
      <w:lvlJc w:val="left"/>
      <w:pPr>
        <w:ind w:left="16" w:firstLine="0"/>
      </w:pPr>
      <w:rPr>
        <w:rFonts w:hint="default"/>
      </w:rPr>
    </w:lvl>
    <w:lvl w:ilvl="2">
      <w:start w:val="1"/>
      <w:numFmt w:val="decimal"/>
      <w:lvlText w:val="%1.%2.%3."/>
      <w:lvlJc w:val="left"/>
      <w:pPr>
        <w:ind w:left="288" w:hanging="256"/>
      </w:pPr>
      <w:rPr>
        <w:rFonts w:hint="default"/>
      </w:rPr>
    </w:lvl>
    <w:lvl w:ilvl="3">
      <w:start w:val="1"/>
      <w:numFmt w:val="decimal"/>
      <w:lvlText w:val="%1.%2.%3.%4."/>
      <w:lvlJc w:val="left"/>
      <w:pPr>
        <w:ind w:left="304" w:hanging="256"/>
      </w:pPr>
      <w:rPr>
        <w:rFonts w:hint="default"/>
      </w:rPr>
    </w:lvl>
    <w:lvl w:ilvl="4">
      <w:start w:val="1"/>
      <w:numFmt w:val="decimal"/>
      <w:lvlText w:val="%1.%2.%3.%4.%5."/>
      <w:lvlJc w:val="left"/>
      <w:pPr>
        <w:ind w:left="680" w:hanging="616"/>
      </w:pPr>
      <w:rPr>
        <w:rFonts w:hint="default"/>
      </w:rPr>
    </w:lvl>
    <w:lvl w:ilvl="5">
      <w:start w:val="1"/>
      <w:numFmt w:val="decimal"/>
      <w:lvlText w:val="%1.%2.%3.%4.%5.%6."/>
      <w:lvlJc w:val="left"/>
      <w:pPr>
        <w:ind w:left="696" w:hanging="616"/>
      </w:pPr>
      <w:rPr>
        <w:rFonts w:hint="default"/>
      </w:rPr>
    </w:lvl>
    <w:lvl w:ilvl="6">
      <w:start w:val="1"/>
      <w:numFmt w:val="decimal"/>
      <w:lvlText w:val="%1.%2.%3.%4.%5.%6.%7."/>
      <w:lvlJc w:val="left"/>
      <w:pPr>
        <w:ind w:left="1072" w:hanging="976"/>
      </w:pPr>
      <w:rPr>
        <w:rFonts w:hint="default"/>
      </w:rPr>
    </w:lvl>
    <w:lvl w:ilvl="7">
      <w:start w:val="1"/>
      <w:numFmt w:val="decimal"/>
      <w:lvlText w:val="%1.%2.%3.%4.%5.%6.%7.%8."/>
      <w:lvlJc w:val="left"/>
      <w:pPr>
        <w:ind w:left="1088" w:hanging="976"/>
      </w:pPr>
      <w:rPr>
        <w:rFonts w:hint="default"/>
      </w:rPr>
    </w:lvl>
    <w:lvl w:ilvl="8">
      <w:start w:val="1"/>
      <w:numFmt w:val="decimal"/>
      <w:lvlText w:val="%1.%2.%3.%4.%5.%6.%7.%8.%9."/>
      <w:lvlJc w:val="left"/>
      <w:pPr>
        <w:ind w:left="1464" w:hanging="1336"/>
      </w:pPr>
      <w:rPr>
        <w:rFonts w:hint="default"/>
      </w:rPr>
    </w:lvl>
  </w:abstractNum>
  <w:abstractNum w:abstractNumId="61" w15:restartNumberingAfterBreak="0">
    <w:nsid w:val="7B617DFD"/>
    <w:multiLevelType w:val="hybridMultilevel"/>
    <w:tmpl w:val="1E38C768"/>
    <w:lvl w:ilvl="0" w:tplc="10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BE8525E"/>
    <w:multiLevelType w:val="multilevel"/>
    <w:tmpl w:val="4B1A9122"/>
    <w:lvl w:ilvl="0">
      <w:start w:val="1"/>
      <w:numFmt w:val="decimal"/>
      <w:lvlText w:val="%1."/>
      <w:lvlJc w:val="left"/>
      <w:pPr>
        <w:ind w:left="720" w:hanging="360"/>
      </w:p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7D5E4C08"/>
    <w:multiLevelType w:val="multilevel"/>
    <w:tmpl w:val="20943324"/>
    <w:lvl w:ilvl="0">
      <w:start w:val="1"/>
      <w:numFmt w:val="decimal"/>
      <w:lvlText w:val="%1."/>
      <w:lvlJc w:val="left"/>
      <w:pPr>
        <w:ind w:left="360" w:hanging="360"/>
      </w:pPr>
      <w:rPr>
        <w:rFonts w:hint="default"/>
      </w:rPr>
    </w:lvl>
    <w:lvl w:ilvl="1">
      <w:start w:val="1"/>
      <w:numFmt w:val="decimal"/>
      <w:lvlText w:val="%1.%2."/>
      <w:lvlJc w:val="left"/>
      <w:pPr>
        <w:ind w:left="346" w:hanging="360"/>
      </w:pPr>
      <w:rPr>
        <w:rFonts w:hint="default"/>
      </w:rPr>
    </w:lvl>
    <w:lvl w:ilvl="2">
      <w:start w:val="1"/>
      <w:numFmt w:val="decimal"/>
      <w:lvlText w:val="%1.%2.%3."/>
      <w:lvlJc w:val="left"/>
      <w:pPr>
        <w:ind w:left="692" w:hanging="720"/>
      </w:pPr>
      <w:rPr>
        <w:rFonts w:hint="default"/>
      </w:rPr>
    </w:lvl>
    <w:lvl w:ilvl="3">
      <w:start w:val="1"/>
      <w:numFmt w:val="decimal"/>
      <w:lvlText w:val="%1.%2.%3.%4."/>
      <w:lvlJc w:val="left"/>
      <w:pPr>
        <w:ind w:left="678" w:hanging="720"/>
      </w:pPr>
      <w:rPr>
        <w:rFonts w:hint="default"/>
      </w:rPr>
    </w:lvl>
    <w:lvl w:ilvl="4">
      <w:start w:val="1"/>
      <w:numFmt w:val="decimal"/>
      <w:lvlText w:val="%1.%2.%3.%4.%5."/>
      <w:lvlJc w:val="left"/>
      <w:pPr>
        <w:ind w:left="1024" w:hanging="1080"/>
      </w:pPr>
      <w:rPr>
        <w:rFonts w:hint="default"/>
      </w:rPr>
    </w:lvl>
    <w:lvl w:ilvl="5">
      <w:start w:val="1"/>
      <w:numFmt w:val="decimal"/>
      <w:lvlText w:val="%1.%2.%3.%4.%5.%6."/>
      <w:lvlJc w:val="left"/>
      <w:pPr>
        <w:ind w:left="1010" w:hanging="1080"/>
      </w:pPr>
      <w:rPr>
        <w:rFonts w:hint="default"/>
      </w:rPr>
    </w:lvl>
    <w:lvl w:ilvl="6">
      <w:start w:val="1"/>
      <w:numFmt w:val="decimal"/>
      <w:lvlText w:val="%1.%2.%3.%4.%5.%6.%7."/>
      <w:lvlJc w:val="left"/>
      <w:pPr>
        <w:ind w:left="1356" w:hanging="1440"/>
      </w:pPr>
      <w:rPr>
        <w:rFonts w:hint="default"/>
      </w:rPr>
    </w:lvl>
    <w:lvl w:ilvl="7">
      <w:start w:val="1"/>
      <w:numFmt w:val="decimal"/>
      <w:lvlText w:val="%1.%2.%3.%4.%5.%6.%7.%8."/>
      <w:lvlJc w:val="left"/>
      <w:pPr>
        <w:ind w:left="1342" w:hanging="1440"/>
      </w:pPr>
      <w:rPr>
        <w:rFonts w:hint="default"/>
      </w:rPr>
    </w:lvl>
    <w:lvl w:ilvl="8">
      <w:start w:val="1"/>
      <w:numFmt w:val="decimal"/>
      <w:lvlText w:val="%1.%2.%3.%4.%5.%6.%7.%8.%9."/>
      <w:lvlJc w:val="left"/>
      <w:pPr>
        <w:ind w:left="1688" w:hanging="1800"/>
      </w:pPr>
      <w:rPr>
        <w:rFonts w:hint="default"/>
      </w:rPr>
    </w:lvl>
  </w:abstractNum>
  <w:num w:numId="1">
    <w:abstractNumId w:val="23"/>
  </w:num>
  <w:num w:numId="2">
    <w:abstractNumId w:val="41"/>
  </w:num>
  <w:num w:numId="3">
    <w:abstractNumId w:val="41"/>
  </w:num>
  <w:num w:numId="4">
    <w:abstractNumId w:val="38"/>
  </w:num>
  <w:num w:numId="5">
    <w:abstractNumId w:val="52"/>
  </w:num>
  <w:num w:numId="6">
    <w:abstractNumId w:val="61"/>
  </w:num>
  <w:num w:numId="7">
    <w:abstractNumId w:val="43"/>
  </w:num>
  <w:num w:numId="8">
    <w:abstractNumId w:val="47"/>
  </w:num>
  <w:num w:numId="9">
    <w:abstractNumId w:val="0"/>
  </w:num>
  <w:num w:numId="10">
    <w:abstractNumId w:val="29"/>
  </w:num>
  <w:num w:numId="11">
    <w:abstractNumId w:val="27"/>
  </w:num>
  <w:num w:numId="12">
    <w:abstractNumId w:val="41"/>
  </w:num>
  <w:num w:numId="13">
    <w:abstractNumId w:val="41"/>
  </w:num>
  <w:num w:numId="14">
    <w:abstractNumId w:val="41"/>
  </w:num>
  <w:num w:numId="15">
    <w:abstractNumId w:val="41"/>
  </w:num>
  <w:num w:numId="16">
    <w:abstractNumId w:val="41"/>
  </w:num>
  <w:num w:numId="1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41"/>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num>
  <w:num w:numId="22">
    <w:abstractNumId w:val="41"/>
  </w:num>
  <w:num w:numId="23">
    <w:abstractNumId w:val="13"/>
  </w:num>
  <w:num w:numId="24">
    <w:abstractNumId w:val="41"/>
  </w:num>
  <w:num w:numId="25">
    <w:abstractNumId w:val="41"/>
  </w:num>
  <w:num w:numId="26">
    <w:abstractNumId w:val="41"/>
  </w:num>
  <w:num w:numId="27">
    <w:abstractNumId w:val="20"/>
  </w:num>
  <w:num w:numId="28">
    <w:abstractNumId w:val="41"/>
  </w:num>
  <w:num w:numId="29">
    <w:abstractNumId w:val="34"/>
  </w:num>
  <w:num w:numId="30">
    <w:abstractNumId w:val="9"/>
  </w:num>
  <w:num w:numId="31">
    <w:abstractNumId w:val="8"/>
  </w:num>
  <w:num w:numId="32">
    <w:abstractNumId w:val="49"/>
  </w:num>
  <w:num w:numId="33">
    <w:abstractNumId w:val="4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num>
  <w:num w:numId="35">
    <w:abstractNumId w:val="62"/>
  </w:num>
  <w:num w:numId="36">
    <w:abstractNumId w:val="31"/>
  </w:num>
  <w:num w:numId="37">
    <w:abstractNumId w:val="63"/>
  </w:num>
  <w:num w:numId="38">
    <w:abstractNumId w:val="58"/>
  </w:num>
  <w:num w:numId="39">
    <w:abstractNumId w:val="59"/>
  </w:num>
  <w:num w:numId="40">
    <w:abstractNumId w:val="1"/>
  </w:num>
  <w:num w:numId="41">
    <w:abstractNumId w:val="44"/>
  </w:num>
  <w:num w:numId="42">
    <w:abstractNumId w:val="12"/>
  </w:num>
  <w:num w:numId="43">
    <w:abstractNumId w:val="5"/>
  </w:num>
  <w:num w:numId="44">
    <w:abstractNumId w:val="46"/>
  </w:num>
  <w:num w:numId="45">
    <w:abstractNumId w:val="26"/>
  </w:num>
  <w:num w:numId="46">
    <w:abstractNumId w:val="18"/>
  </w:num>
  <w:num w:numId="47">
    <w:abstractNumId w:val="30"/>
  </w:num>
  <w:num w:numId="48">
    <w:abstractNumId w:val="55"/>
  </w:num>
  <w:num w:numId="49">
    <w:abstractNumId w:val="10"/>
  </w:num>
  <w:num w:numId="50">
    <w:abstractNumId w:val="19"/>
  </w:num>
  <w:num w:numId="51">
    <w:abstractNumId w:val="57"/>
  </w:num>
  <w:num w:numId="52">
    <w:abstractNumId w:val="7"/>
  </w:num>
  <w:num w:numId="53">
    <w:abstractNumId w:val="32"/>
  </w:num>
  <w:num w:numId="54">
    <w:abstractNumId w:val="54"/>
  </w:num>
  <w:num w:numId="55">
    <w:abstractNumId w:val="33"/>
  </w:num>
  <w:num w:numId="56">
    <w:abstractNumId w:val="35"/>
  </w:num>
  <w:num w:numId="57">
    <w:abstractNumId w:val="39"/>
  </w:num>
  <w:num w:numId="58">
    <w:abstractNumId w:val="2"/>
  </w:num>
  <w:num w:numId="59">
    <w:abstractNumId w:val="40"/>
  </w:num>
  <w:num w:numId="60">
    <w:abstractNumId w:val="4"/>
  </w:num>
  <w:num w:numId="61">
    <w:abstractNumId w:val="16"/>
  </w:num>
  <w:num w:numId="62">
    <w:abstractNumId w:val="36"/>
  </w:num>
  <w:num w:numId="63">
    <w:abstractNumId w:val="50"/>
  </w:num>
  <w:num w:numId="64">
    <w:abstractNumId w:val="51"/>
  </w:num>
  <w:num w:numId="65">
    <w:abstractNumId w:val="45"/>
  </w:num>
  <w:num w:numId="66">
    <w:abstractNumId w:val="22"/>
  </w:num>
  <w:num w:numId="67">
    <w:abstractNumId w:val="28"/>
  </w:num>
  <w:num w:numId="68">
    <w:abstractNumId w:val="11"/>
  </w:num>
  <w:num w:numId="69">
    <w:abstractNumId w:val="25"/>
  </w:num>
  <w:num w:numId="70">
    <w:abstractNumId w:val="15"/>
  </w:num>
  <w:num w:numId="71">
    <w:abstractNumId w:val="14"/>
  </w:num>
  <w:num w:numId="72">
    <w:abstractNumId w:val="21"/>
  </w:num>
  <w:num w:numId="73">
    <w:abstractNumId w:val="42"/>
  </w:num>
  <w:num w:numId="74">
    <w:abstractNumId w:val="3"/>
  </w:num>
  <w:num w:numId="75">
    <w:abstractNumId w:val="37"/>
  </w:num>
  <w:num w:numId="76">
    <w:abstractNumId w:val="6"/>
  </w:num>
  <w:num w:numId="77">
    <w:abstractNumId w:val="41"/>
  </w:num>
  <w:num w:numId="78">
    <w:abstractNumId w:val="17"/>
  </w:num>
  <w:num w:numId="79">
    <w:abstractNumId w:val="60"/>
  </w:num>
  <w:num w:numId="80">
    <w:abstractNumId w:val="41"/>
  </w:num>
  <w:num w:numId="81">
    <w:abstractNumId w:val="56"/>
  </w:num>
  <w:num w:numId="82">
    <w:abstractNumId w:val="24"/>
  </w:num>
  <w:num w:numId="83">
    <w:abstractNumId w:val="48"/>
  </w:num>
  <w:num w:numId="84">
    <w:abstractNumId w:val="41"/>
  </w:num>
  <w:num w:numId="85">
    <w:abstractNumId w:val="41"/>
  </w:num>
  <w:num w:numId="86">
    <w:abstractNumId w:val="41"/>
  </w:num>
  <w:num w:numId="8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1"/>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61D"/>
    <w:rsid w:val="00000004"/>
    <w:rsid w:val="000007A7"/>
    <w:rsid w:val="00000EDF"/>
    <w:rsid w:val="00001D60"/>
    <w:rsid w:val="000032BD"/>
    <w:rsid w:val="00003CF4"/>
    <w:rsid w:val="000058F1"/>
    <w:rsid w:val="00006811"/>
    <w:rsid w:val="00006900"/>
    <w:rsid w:val="00006E18"/>
    <w:rsid w:val="000074AE"/>
    <w:rsid w:val="00007B38"/>
    <w:rsid w:val="00007E15"/>
    <w:rsid w:val="00010A03"/>
    <w:rsid w:val="00010EAD"/>
    <w:rsid w:val="00011EC6"/>
    <w:rsid w:val="000123CB"/>
    <w:rsid w:val="00012468"/>
    <w:rsid w:val="00012A76"/>
    <w:rsid w:val="00012C87"/>
    <w:rsid w:val="00012EA5"/>
    <w:rsid w:val="00014005"/>
    <w:rsid w:val="0001499D"/>
    <w:rsid w:val="00015999"/>
    <w:rsid w:val="00015BEF"/>
    <w:rsid w:val="00017197"/>
    <w:rsid w:val="00021DAF"/>
    <w:rsid w:val="00021F86"/>
    <w:rsid w:val="0002338D"/>
    <w:rsid w:val="00023A79"/>
    <w:rsid w:val="00023A7E"/>
    <w:rsid w:val="00025252"/>
    <w:rsid w:val="00025868"/>
    <w:rsid w:val="00026A6C"/>
    <w:rsid w:val="00026DA8"/>
    <w:rsid w:val="00026FFC"/>
    <w:rsid w:val="00030CC2"/>
    <w:rsid w:val="00031943"/>
    <w:rsid w:val="000323E8"/>
    <w:rsid w:val="00032C5E"/>
    <w:rsid w:val="00032E03"/>
    <w:rsid w:val="000335A2"/>
    <w:rsid w:val="000338DB"/>
    <w:rsid w:val="000340D9"/>
    <w:rsid w:val="0003434A"/>
    <w:rsid w:val="00034DB8"/>
    <w:rsid w:val="00036AC9"/>
    <w:rsid w:val="00037190"/>
    <w:rsid w:val="00037C29"/>
    <w:rsid w:val="00037E6A"/>
    <w:rsid w:val="000408B9"/>
    <w:rsid w:val="00040A80"/>
    <w:rsid w:val="0004168D"/>
    <w:rsid w:val="00043A30"/>
    <w:rsid w:val="00044510"/>
    <w:rsid w:val="000471F5"/>
    <w:rsid w:val="00047845"/>
    <w:rsid w:val="00047955"/>
    <w:rsid w:val="00050830"/>
    <w:rsid w:val="00052548"/>
    <w:rsid w:val="00052A77"/>
    <w:rsid w:val="00052F2A"/>
    <w:rsid w:val="00053B07"/>
    <w:rsid w:val="00053CD3"/>
    <w:rsid w:val="00054725"/>
    <w:rsid w:val="000568AF"/>
    <w:rsid w:val="00057763"/>
    <w:rsid w:val="00057EBB"/>
    <w:rsid w:val="0006045E"/>
    <w:rsid w:val="00062495"/>
    <w:rsid w:val="000624F8"/>
    <w:rsid w:val="00062AAA"/>
    <w:rsid w:val="00063130"/>
    <w:rsid w:val="000645A1"/>
    <w:rsid w:val="00064B6F"/>
    <w:rsid w:val="000658D6"/>
    <w:rsid w:val="00065B8C"/>
    <w:rsid w:val="00067DF2"/>
    <w:rsid w:val="00070410"/>
    <w:rsid w:val="0007122B"/>
    <w:rsid w:val="00071288"/>
    <w:rsid w:val="0007171B"/>
    <w:rsid w:val="00074719"/>
    <w:rsid w:val="00076254"/>
    <w:rsid w:val="000764C2"/>
    <w:rsid w:val="000769BD"/>
    <w:rsid w:val="00077276"/>
    <w:rsid w:val="00080644"/>
    <w:rsid w:val="000808A2"/>
    <w:rsid w:val="00080D98"/>
    <w:rsid w:val="00080F8D"/>
    <w:rsid w:val="00081296"/>
    <w:rsid w:val="0008442A"/>
    <w:rsid w:val="00085AAC"/>
    <w:rsid w:val="00090081"/>
    <w:rsid w:val="000909C9"/>
    <w:rsid w:val="00093DC8"/>
    <w:rsid w:val="0009480A"/>
    <w:rsid w:val="00096449"/>
    <w:rsid w:val="000A0FF5"/>
    <w:rsid w:val="000A294E"/>
    <w:rsid w:val="000A2C1A"/>
    <w:rsid w:val="000A2DA8"/>
    <w:rsid w:val="000A7279"/>
    <w:rsid w:val="000B0E78"/>
    <w:rsid w:val="000B4C65"/>
    <w:rsid w:val="000B57EA"/>
    <w:rsid w:val="000B78F5"/>
    <w:rsid w:val="000C1AC8"/>
    <w:rsid w:val="000C215A"/>
    <w:rsid w:val="000C3016"/>
    <w:rsid w:val="000C3669"/>
    <w:rsid w:val="000C4835"/>
    <w:rsid w:val="000C75D2"/>
    <w:rsid w:val="000D2865"/>
    <w:rsid w:val="000D2934"/>
    <w:rsid w:val="000D2EF5"/>
    <w:rsid w:val="000D306A"/>
    <w:rsid w:val="000D319F"/>
    <w:rsid w:val="000D352F"/>
    <w:rsid w:val="000D47CB"/>
    <w:rsid w:val="000D48F2"/>
    <w:rsid w:val="000D5537"/>
    <w:rsid w:val="000D5A5B"/>
    <w:rsid w:val="000D5F22"/>
    <w:rsid w:val="000D604B"/>
    <w:rsid w:val="000D6674"/>
    <w:rsid w:val="000D7DD1"/>
    <w:rsid w:val="000E010E"/>
    <w:rsid w:val="000E07B7"/>
    <w:rsid w:val="000E2389"/>
    <w:rsid w:val="000E325C"/>
    <w:rsid w:val="000E673A"/>
    <w:rsid w:val="000E6FC1"/>
    <w:rsid w:val="000E71D5"/>
    <w:rsid w:val="000E7EA6"/>
    <w:rsid w:val="000F31AC"/>
    <w:rsid w:val="000F35F1"/>
    <w:rsid w:val="000F406C"/>
    <w:rsid w:val="000F44C8"/>
    <w:rsid w:val="000F50C3"/>
    <w:rsid w:val="000F59BC"/>
    <w:rsid w:val="000F70D9"/>
    <w:rsid w:val="000F74F5"/>
    <w:rsid w:val="001003FB"/>
    <w:rsid w:val="00100ED7"/>
    <w:rsid w:val="00101016"/>
    <w:rsid w:val="00101D06"/>
    <w:rsid w:val="00105372"/>
    <w:rsid w:val="0010649A"/>
    <w:rsid w:val="001069A5"/>
    <w:rsid w:val="00107B25"/>
    <w:rsid w:val="00110108"/>
    <w:rsid w:val="0011201A"/>
    <w:rsid w:val="0011209C"/>
    <w:rsid w:val="001121C1"/>
    <w:rsid w:val="00112904"/>
    <w:rsid w:val="0011340A"/>
    <w:rsid w:val="00113801"/>
    <w:rsid w:val="00113CB4"/>
    <w:rsid w:val="0011436A"/>
    <w:rsid w:val="00114BC5"/>
    <w:rsid w:val="00114FFF"/>
    <w:rsid w:val="00115D64"/>
    <w:rsid w:val="00116DB0"/>
    <w:rsid w:val="00117132"/>
    <w:rsid w:val="00122E1E"/>
    <w:rsid w:val="0012408A"/>
    <w:rsid w:val="00125B89"/>
    <w:rsid w:val="00126862"/>
    <w:rsid w:val="00130A5F"/>
    <w:rsid w:val="00130BCD"/>
    <w:rsid w:val="00131156"/>
    <w:rsid w:val="001312AD"/>
    <w:rsid w:val="00131E7A"/>
    <w:rsid w:val="00132613"/>
    <w:rsid w:val="00133390"/>
    <w:rsid w:val="001335EE"/>
    <w:rsid w:val="00133943"/>
    <w:rsid w:val="00133D21"/>
    <w:rsid w:val="0013473D"/>
    <w:rsid w:val="00134846"/>
    <w:rsid w:val="00134F3B"/>
    <w:rsid w:val="001363A8"/>
    <w:rsid w:val="0013640B"/>
    <w:rsid w:val="00136953"/>
    <w:rsid w:val="00140EF4"/>
    <w:rsid w:val="001456AA"/>
    <w:rsid w:val="00146122"/>
    <w:rsid w:val="00147288"/>
    <w:rsid w:val="00147962"/>
    <w:rsid w:val="00147B3F"/>
    <w:rsid w:val="00150A4D"/>
    <w:rsid w:val="0015103A"/>
    <w:rsid w:val="00151065"/>
    <w:rsid w:val="0015181B"/>
    <w:rsid w:val="0015379E"/>
    <w:rsid w:val="001552B4"/>
    <w:rsid w:val="0015662C"/>
    <w:rsid w:val="00157232"/>
    <w:rsid w:val="001621F7"/>
    <w:rsid w:val="001627B6"/>
    <w:rsid w:val="00162C24"/>
    <w:rsid w:val="001634CD"/>
    <w:rsid w:val="00163DFE"/>
    <w:rsid w:val="00163F5E"/>
    <w:rsid w:val="001644C1"/>
    <w:rsid w:val="00164601"/>
    <w:rsid w:val="001648DB"/>
    <w:rsid w:val="0016533D"/>
    <w:rsid w:val="0016570F"/>
    <w:rsid w:val="00165778"/>
    <w:rsid w:val="00166565"/>
    <w:rsid w:val="00167673"/>
    <w:rsid w:val="00167916"/>
    <w:rsid w:val="00172AF6"/>
    <w:rsid w:val="00173F68"/>
    <w:rsid w:val="0017470C"/>
    <w:rsid w:val="0017497C"/>
    <w:rsid w:val="00174BBF"/>
    <w:rsid w:val="00176123"/>
    <w:rsid w:val="001764FF"/>
    <w:rsid w:val="00176890"/>
    <w:rsid w:val="00176CEE"/>
    <w:rsid w:val="00176D50"/>
    <w:rsid w:val="001773E3"/>
    <w:rsid w:val="001800D3"/>
    <w:rsid w:val="00181A6A"/>
    <w:rsid w:val="00181B7A"/>
    <w:rsid w:val="001821F2"/>
    <w:rsid w:val="0018234F"/>
    <w:rsid w:val="001832AC"/>
    <w:rsid w:val="0018374C"/>
    <w:rsid w:val="001849F9"/>
    <w:rsid w:val="00184EA4"/>
    <w:rsid w:val="001859FF"/>
    <w:rsid w:val="00185D9D"/>
    <w:rsid w:val="00186073"/>
    <w:rsid w:val="001860DC"/>
    <w:rsid w:val="00186474"/>
    <w:rsid w:val="00186C83"/>
    <w:rsid w:val="00186DD8"/>
    <w:rsid w:val="00186DFF"/>
    <w:rsid w:val="00187DF4"/>
    <w:rsid w:val="00190852"/>
    <w:rsid w:val="001930AD"/>
    <w:rsid w:val="00193570"/>
    <w:rsid w:val="0019379D"/>
    <w:rsid w:val="00195F8C"/>
    <w:rsid w:val="00196589"/>
    <w:rsid w:val="001A0884"/>
    <w:rsid w:val="001A0E69"/>
    <w:rsid w:val="001A3FA2"/>
    <w:rsid w:val="001A416D"/>
    <w:rsid w:val="001A7105"/>
    <w:rsid w:val="001A716F"/>
    <w:rsid w:val="001A7ECB"/>
    <w:rsid w:val="001B0AFC"/>
    <w:rsid w:val="001B13FE"/>
    <w:rsid w:val="001B1BB8"/>
    <w:rsid w:val="001B1E9E"/>
    <w:rsid w:val="001B2E65"/>
    <w:rsid w:val="001B35E0"/>
    <w:rsid w:val="001B37E2"/>
    <w:rsid w:val="001B66A8"/>
    <w:rsid w:val="001B70F0"/>
    <w:rsid w:val="001C3C69"/>
    <w:rsid w:val="001C5F7D"/>
    <w:rsid w:val="001C6156"/>
    <w:rsid w:val="001C62D1"/>
    <w:rsid w:val="001D0B1D"/>
    <w:rsid w:val="001D26CE"/>
    <w:rsid w:val="001D2930"/>
    <w:rsid w:val="001D34E6"/>
    <w:rsid w:val="001D3996"/>
    <w:rsid w:val="001D3F0D"/>
    <w:rsid w:val="001D4C1D"/>
    <w:rsid w:val="001D56BD"/>
    <w:rsid w:val="001D6F0B"/>
    <w:rsid w:val="001D77A0"/>
    <w:rsid w:val="001E048E"/>
    <w:rsid w:val="001E0562"/>
    <w:rsid w:val="001E1A97"/>
    <w:rsid w:val="001E2CFA"/>
    <w:rsid w:val="001E4E83"/>
    <w:rsid w:val="001E5050"/>
    <w:rsid w:val="001E54EC"/>
    <w:rsid w:val="001E699E"/>
    <w:rsid w:val="001E74D7"/>
    <w:rsid w:val="001F0073"/>
    <w:rsid w:val="001F334E"/>
    <w:rsid w:val="001F43B9"/>
    <w:rsid w:val="001F5C53"/>
    <w:rsid w:val="001F6965"/>
    <w:rsid w:val="001F7248"/>
    <w:rsid w:val="001F7B48"/>
    <w:rsid w:val="002002E8"/>
    <w:rsid w:val="00200A34"/>
    <w:rsid w:val="00201A94"/>
    <w:rsid w:val="00201B75"/>
    <w:rsid w:val="002023E0"/>
    <w:rsid w:val="002037D3"/>
    <w:rsid w:val="00204252"/>
    <w:rsid w:val="00204F61"/>
    <w:rsid w:val="00205049"/>
    <w:rsid w:val="002051A7"/>
    <w:rsid w:val="00205562"/>
    <w:rsid w:val="00205668"/>
    <w:rsid w:val="002061C3"/>
    <w:rsid w:val="0020626D"/>
    <w:rsid w:val="00206819"/>
    <w:rsid w:val="002074AF"/>
    <w:rsid w:val="00210055"/>
    <w:rsid w:val="00210EB4"/>
    <w:rsid w:val="002118B8"/>
    <w:rsid w:val="00214660"/>
    <w:rsid w:val="002154C0"/>
    <w:rsid w:val="002160DE"/>
    <w:rsid w:val="00220F5E"/>
    <w:rsid w:val="00221240"/>
    <w:rsid w:val="00221329"/>
    <w:rsid w:val="0022166E"/>
    <w:rsid w:val="00221950"/>
    <w:rsid w:val="002225C5"/>
    <w:rsid w:val="00224295"/>
    <w:rsid w:val="002253F6"/>
    <w:rsid w:val="00227310"/>
    <w:rsid w:val="00227631"/>
    <w:rsid w:val="002279A8"/>
    <w:rsid w:val="00230B1A"/>
    <w:rsid w:val="00230E58"/>
    <w:rsid w:val="0023190E"/>
    <w:rsid w:val="00231D9C"/>
    <w:rsid w:val="00232673"/>
    <w:rsid w:val="00232903"/>
    <w:rsid w:val="00232B3E"/>
    <w:rsid w:val="00233724"/>
    <w:rsid w:val="00235B98"/>
    <w:rsid w:val="00235E0E"/>
    <w:rsid w:val="0023618A"/>
    <w:rsid w:val="00237221"/>
    <w:rsid w:val="002415B4"/>
    <w:rsid w:val="00241F84"/>
    <w:rsid w:val="0024659F"/>
    <w:rsid w:val="00247041"/>
    <w:rsid w:val="002501BE"/>
    <w:rsid w:val="00251DBA"/>
    <w:rsid w:val="002536AE"/>
    <w:rsid w:val="002560E8"/>
    <w:rsid w:val="0025679F"/>
    <w:rsid w:val="002569BF"/>
    <w:rsid w:val="00257177"/>
    <w:rsid w:val="002616CD"/>
    <w:rsid w:val="002619C7"/>
    <w:rsid w:val="00261DFB"/>
    <w:rsid w:val="00262757"/>
    <w:rsid w:val="00263484"/>
    <w:rsid w:val="00264986"/>
    <w:rsid w:val="00264C47"/>
    <w:rsid w:val="002670C6"/>
    <w:rsid w:val="0026762D"/>
    <w:rsid w:val="002712E6"/>
    <w:rsid w:val="00272191"/>
    <w:rsid w:val="002723AB"/>
    <w:rsid w:val="002732B8"/>
    <w:rsid w:val="00273607"/>
    <w:rsid w:val="00273EF7"/>
    <w:rsid w:val="002756B3"/>
    <w:rsid w:val="002760AB"/>
    <w:rsid w:val="002776B5"/>
    <w:rsid w:val="00281CB4"/>
    <w:rsid w:val="00282832"/>
    <w:rsid w:val="00284B0B"/>
    <w:rsid w:val="002857D1"/>
    <w:rsid w:val="00286125"/>
    <w:rsid w:val="0028676F"/>
    <w:rsid w:val="00290AD0"/>
    <w:rsid w:val="00291094"/>
    <w:rsid w:val="00291121"/>
    <w:rsid w:val="002916C6"/>
    <w:rsid w:val="00291B4F"/>
    <w:rsid w:val="002927D5"/>
    <w:rsid w:val="0029282F"/>
    <w:rsid w:val="00292A85"/>
    <w:rsid w:val="00293E4D"/>
    <w:rsid w:val="0029406E"/>
    <w:rsid w:val="00294816"/>
    <w:rsid w:val="0029507D"/>
    <w:rsid w:val="00295875"/>
    <w:rsid w:val="00295C50"/>
    <w:rsid w:val="00296116"/>
    <w:rsid w:val="0029691B"/>
    <w:rsid w:val="002974BD"/>
    <w:rsid w:val="002A03D0"/>
    <w:rsid w:val="002A2029"/>
    <w:rsid w:val="002A3433"/>
    <w:rsid w:val="002A3542"/>
    <w:rsid w:val="002A3CDF"/>
    <w:rsid w:val="002A64C3"/>
    <w:rsid w:val="002B3AF5"/>
    <w:rsid w:val="002B41C5"/>
    <w:rsid w:val="002B493D"/>
    <w:rsid w:val="002B617F"/>
    <w:rsid w:val="002B63C1"/>
    <w:rsid w:val="002B63FE"/>
    <w:rsid w:val="002B6BA3"/>
    <w:rsid w:val="002B6F31"/>
    <w:rsid w:val="002C04FD"/>
    <w:rsid w:val="002C0A15"/>
    <w:rsid w:val="002C17A1"/>
    <w:rsid w:val="002C17A7"/>
    <w:rsid w:val="002C3319"/>
    <w:rsid w:val="002C365C"/>
    <w:rsid w:val="002C38BF"/>
    <w:rsid w:val="002C577B"/>
    <w:rsid w:val="002C699A"/>
    <w:rsid w:val="002C72F1"/>
    <w:rsid w:val="002C7AE0"/>
    <w:rsid w:val="002D009F"/>
    <w:rsid w:val="002D0172"/>
    <w:rsid w:val="002D12F3"/>
    <w:rsid w:val="002D2C9D"/>
    <w:rsid w:val="002D68E5"/>
    <w:rsid w:val="002D7198"/>
    <w:rsid w:val="002E265D"/>
    <w:rsid w:val="002E2838"/>
    <w:rsid w:val="002E43D4"/>
    <w:rsid w:val="002E522D"/>
    <w:rsid w:val="002F029C"/>
    <w:rsid w:val="002F1262"/>
    <w:rsid w:val="002F1AB6"/>
    <w:rsid w:val="002F2756"/>
    <w:rsid w:val="002F698F"/>
    <w:rsid w:val="002F6D54"/>
    <w:rsid w:val="003005E9"/>
    <w:rsid w:val="0030169D"/>
    <w:rsid w:val="00302471"/>
    <w:rsid w:val="00302582"/>
    <w:rsid w:val="00303403"/>
    <w:rsid w:val="00303D27"/>
    <w:rsid w:val="00304587"/>
    <w:rsid w:val="00304874"/>
    <w:rsid w:val="00304E08"/>
    <w:rsid w:val="003050AF"/>
    <w:rsid w:val="00305654"/>
    <w:rsid w:val="00305977"/>
    <w:rsid w:val="003060EB"/>
    <w:rsid w:val="0030668B"/>
    <w:rsid w:val="00306B24"/>
    <w:rsid w:val="00306B74"/>
    <w:rsid w:val="003076A4"/>
    <w:rsid w:val="00307EA8"/>
    <w:rsid w:val="00311791"/>
    <w:rsid w:val="003119CA"/>
    <w:rsid w:val="00311C94"/>
    <w:rsid w:val="00312C7C"/>
    <w:rsid w:val="003134F2"/>
    <w:rsid w:val="0031375F"/>
    <w:rsid w:val="00313CF4"/>
    <w:rsid w:val="00314EAA"/>
    <w:rsid w:val="003153EB"/>
    <w:rsid w:val="00316F10"/>
    <w:rsid w:val="00317092"/>
    <w:rsid w:val="0032014C"/>
    <w:rsid w:val="003203F8"/>
    <w:rsid w:val="00321002"/>
    <w:rsid w:val="003215C6"/>
    <w:rsid w:val="00321985"/>
    <w:rsid w:val="00321B70"/>
    <w:rsid w:val="00321EA2"/>
    <w:rsid w:val="00323A7C"/>
    <w:rsid w:val="0032420D"/>
    <w:rsid w:val="00325638"/>
    <w:rsid w:val="00325772"/>
    <w:rsid w:val="00326D56"/>
    <w:rsid w:val="003273A3"/>
    <w:rsid w:val="003276E0"/>
    <w:rsid w:val="0032770E"/>
    <w:rsid w:val="00330F29"/>
    <w:rsid w:val="003317FA"/>
    <w:rsid w:val="00331805"/>
    <w:rsid w:val="00331A8C"/>
    <w:rsid w:val="00331FAB"/>
    <w:rsid w:val="0033374B"/>
    <w:rsid w:val="0033388A"/>
    <w:rsid w:val="00333DC2"/>
    <w:rsid w:val="00333ED5"/>
    <w:rsid w:val="003347D0"/>
    <w:rsid w:val="00336586"/>
    <w:rsid w:val="00336DC7"/>
    <w:rsid w:val="00337D4F"/>
    <w:rsid w:val="00340066"/>
    <w:rsid w:val="00340555"/>
    <w:rsid w:val="00340BBB"/>
    <w:rsid w:val="00340E6F"/>
    <w:rsid w:val="00342F7B"/>
    <w:rsid w:val="00344D5E"/>
    <w:rsid w:val="00345105"/>
    <w:rsid w:val="003455D0"/>
    <w:rsid w:val="00345F22"/>
    <w:rsid w:val="003464DF"/>
    <w:rsid w:val="00350DC6"/>
    <w:rsid w:val="00350F43"/>
    <w:rsid w:val="003510DE"/>
    <w:rsid w:val="00351205"/>
    <w:rsid w:val="003517BA"/>
    <w:rsid w:val="003527C3"/>
    <w:rsid w:val="00354FEC"/>
    <w:rsid w:val="0035554C"/>
    <w:rsid w:val="00356385"/>
    <w:rsid w:val="0035785B"/>
    <w:rsid w:val="00357CA7"/>
    <w:rsid w:val="0036032F"/>
    <w:rsid w:val="0036237A"/>
    <w:rsid w:val="00363651"/>
    <w:rsid w:val="00366AA7"/>
    <w:rsid w:val="0036722B"/>
    <w:rsid w:val="00371CA9"/>
    <w:rsid w:val="00372885"/>
    <w:rsid w:val="00372F74"/>
    <w:rsid w:val="003737EE"/>
    <w:rsid w:val="00373F02"/>
    <w:rsid w:val="0037467D"/>
    <w:rsid w:val="0037499F"/>
    <w:rsid w:val="00375936"/>
    <w:rsid w:val="003763E2"/>
    <w:rsid w:val="0037657C"/>
    <w:rsid w:val="003770B8"/>
    <w:rsid w:val="003818DB"/>
    <w:rsid w:val="003826EF"/>
    <w:rsid w:val="00383A62"/>
    <w:rsid w:val="0038773C"/>
    <w:rsid w:val="00387B55"/>
    <w:rsid w:val="003908B4"/>
    <w:rsid w:val="003917D4"/>
    <w:rsid w:val="00391F3B"/>
    <w:rsid w:val="00393236"/>
    <w:rsid w:val="0039648B"/>
    <w:rsid w:val="0039648E"/>
    <w:rsid w:val="0039712A"/>
    <w:rsid w:val="0039785F"/>
    <w:rsid w:val="003A147C"/>
    <w:rsid w:val="003A1711"/>
    <w:rsid w:val="003A1F25"/>
    <w:rsid w:val="003A2F6C"/>
    <w:rsid w:val="003A4410"/>
    <w:rsid w:val="003A461C"/>
    <w:rsid w:val="003A4681"/>
    <w:rsid w:val="003A5952"/>
    <w:rsid w:val="003A696B"/>
    <w:rsid w:val="003B1FFC"/>
    <w:rsid w:val="003B242B"/>
    <w:rsid w:val="003B2985"/>
    <w:rsid w:val="003B315D"/>
    <w:rsid w:val="003B469D"/>
    <w:rsid w:val="003B530C"/>
    <w:rsid w:val="003B589D"/>
    <w:rsid w:val="003B6595"/>
    <w:rsid w:val="003B663F"/>
    <w:rsid w:val="003B6F58"/>
    <w:rsid w:val="003B74C8"/>
    <w:rsid w:val="003C0967"/>
    <w:rsid w:val="003C1046"/>
    <w:rsid w:val="003C1C0A"/>
    <w:rsid w:val="003C65A8"/>
    <w:rsid w:val="003C776C"/>
    <w:rsid w:val="003C7EFF"/>
    <w:rsid w:val="003D1B0B"/>
    <w:rsid w:val="003D1E39"/>
    <w:rsid w:val="003D2C80"/>
    <w:rsid w:val="003D37DF"/>
    <w:rsid w:val="003D4511"/>
    <w:rsid w:val="003D4CF2"/>
    <w:rsid w:val="003D5A24"/>
    <w:rsid w:val="003D6667"/>
    <w:rsid w:val="003E0904"/>
    <w:rsid w:val="003E1277"/>
    <w:rsid w:val="003E15C6"/>
    <w:rsid w:val="003E1E13"/>
    <w:rsid w:val="003E2693"/>
    <w:rsid w:val="003E48D9"/>
    <w:rsid w:val="003E6C80"/>
    <w:rsid w:val="003E6F54"/>
    <w:rsid w:val="003F25D6"/>
    <w:rsid w:val="003F28A3"/>
    <w:rsid w:val="003F3299"/>
    <w:rsid w:val="003F4EC8"/>
    <w:rsid w:val="003F7224"/>
    <w:rsid w:val="00400B2B"/>
    <w:rsid w:val="004014BD"/>
    <w:rsid w:val="0040279C"/>
    <w:rsid w:val="00402AC8"/>
    <w:rsid w:val="00403202"/>
    <w:rsid w:val="004034C7"/>
    <w:rsid w:val="00403C11"/>
    <w:rsid w:val="00404019"/>
    <w:rsid w:val="004040AD"/>
    <w:rsid w:val="00410171"/>
    <w:rsid w:val="00411C88"/>
    <w:rsid w:val="004121D1"/>
    <w:rsid w:val="00412F82"/>
    <w:rsid w:val="004161EF"/>
    <w:rsid w:val="004176F0"/>
    <w:rsid w:val="00417A42"/>
    <w:rsid w:val="00417E5E"/>
    <w:rsid w:val="00421245"/>
    <w:rsid w:val="0042152B"/>
    <w:rsid w:val="00421BAA"/>
    <w:rsid w:val="00421C36"/>
    <w:rsid w:val="0042368C"/>
    <w:rsid w:val="00423955"/>
    <w:rsid w:val="00424702"/>
    <w:rsid w:val="0042472B"/>
    <w:rsid w:val="0042546F"/>
    <w:rsid w:val="0042586B"/>
    <w:rsid w:val="00425A94"/>
    <w:rsid w:val="00427406"/>
    <w:rsid w:val="00427D21"/>
    <w:rsid w:val="0043054E"/>
    <w:rsid w:val="00431921"/>
    <w:rsid w:val="0043199C"/>
    <w:rsid w:val="00431AB8"/>
    <w:rsid w:val="00432839"/>
    <w:rsid w:val="004334AE"/>
    <w:rsid w:val="004377E5"/>
    <w:rsid w:val="004417AD"/>
    <w:rsid w:val="00444C31"/>
    <w:rsid w:val="004504EC"/>
    <w:rsid w:val="00451547"/>
    <w:rsid w:val="00451A2B"/>
    <w:rsid w:val="00453478"/>
    <w:rsid w:val="00453C1D"/>
    <w:rsid w:val="00453FCA"/>
    <w:rsid w:val="00454560"/>
    <w:rsid w:val="00457BFB"/>
    <w:rsid w:val="00460A07"/>
    <w:rsid w:val="004627D0"/>
    <w:rsid w:val="004644C2"/>
    <w:rsid w:val="00464983"/>
    <w:rsid w:val="00464EA9"/>
    <w:rsid w:val="00466270"/>
    <w:rsid w:val="00466430"/>
    <w:rsid w:val="00467A83"/>
    <w:rsid w:val="00467F9C"/>
    <w:rsid w:val="004713BE"/>
    <w:rsid w:val="004719C0"/>
    <w:rsid w:val="00472E2A"/>
    <w:rsid w:val="00473F18"/>
    <w:rsid w:val="00474579"/>
    <w:rsid w:val="00474881"/>
    <w:rsid w:val="00475344"/>
    <w:rsid w:val="00475A48"/>
    <w:rsid w:val="0047794B"/>
    <w:rsid w:val="00480BA3"/>
    <w:rsid w:val="00481A66"/>
    <w:rsid w:val="0048280C"/>
    <w:rsid w:val="004838A8"/>
    <w:rsid w:val="0048394B"/>
    <w:rsid w:val="00484134"/>
    <w:rsid w:val="00484C8D"/>
    <w:rsid w:val="00487985"/>
    <w:rsid w:val="00487FCD"/>
    <w:rsid w:val="00490C7E"/>
    <w:rsid w:val="00490F1D"/>
    <w:rsid w:val="00491D6D"/>
    <w:rsid w:val="00492C02"/>
    <w:rsid w:val="00493477"/>
    <w:rsid w:val="0049387A"/>
    <w:rsid w:val="004A0A4A"/>
    <w:rsid w:val="004A0A52"/>
    <w:rsid w:val="004A24AD"/>
    <w:rsid w:val="004A32FD"/>
    <w:rsid w:val="004A453F"/>
    <w:rsid w:val="004A567E"/>
    <w:rsid w:val="004B2A6B"/>
    <w:rsid w:val="004B358C"/>
    <w:rsid w:val="004B3E4A"/>
    <w:rsid w:val="004B42E7"/>
    <w:rsid w:val="004B5808"/>
    <w:rsid w:val="004B5AD9"/>
    <w:rsid w:val="004B69AA"/>
    <w:rsid w:val="004C047C"/>
    <w:rsid w:val="004C1BC4"/>
    <w:rsid w:val="004C3BC6"/>
    <w:rsid w:val="004C3E5F"/>
    <w:rsid w:val="004C3F74"/>
    <w:rsid w:val="004C51F6"/>
    <w:rsid w:val="004C57D1"/>
    <w:rsid w:val="004C5823"/>
    <w:rsid w:val="004C5D4B"/>
    <w:rsid w:val="004C6720"/>
    <w:rsid w:val="004D0012"/>
    <w:rsid w:val="004D0672"/>
    <w:rsid w:val="004D0B79"/>
    <w:rsid w:val="004D167D"/>
    <w:rsid w:val="004D1AA7"/>
    <w:rsid w:val="004D225C"/>
    <w:rsid w:val="004D227E"/>
    <w:rsid w:val="004D2C41"/>
    <w:rsid w:val="004D2D31"/>
    <w:rsid w:val="004D32DE"/>
    <w:rsid w:val="004D3EB9"/>
    <w:rsid w:val="004D4B6A"/>
    <w:rsid w:val="004D7443"/>
    <w:rsid w:val="004D76D8"/>
    <w:rsid w:val="004D79FB"/>
    <w:rsid w:val="004E084E"/>
    <w:rsid w:val="004E0E85"/>
    <w:rsid w:val="004E1B50"/>
    <w:rsid w:val="004E1E12"/>
    <w:rsid w:val="004E2613"/>
    <w:rsid w:val="004E324A"/>
    <w:rsid w:val="004E5E47"/>
    <w:rsid w:val="004E6EC8"/>
    <w:rsid w:val="004E7089"/>
    <w:rsid w:val="004F42EE"/>
    <w:rsid w:val="004F4EEE"/>
    <w:rsid w:val="004F53AA"/>
    <w:rsid w:val="004F5A6C"/>
    <w:rsid w:val="004F79BC"/>
    <w:rsid w:val="004F7FA0"/>
    <w:rsid w:val="005010B3"/>
    <w:rsid w:val="00503375"/>
    <w:rsid w:val="005035B3"/>
    <w:rsid w:val="0050524B"/>
    <w:rsid w:val="005060DA"/>
    <w:rsid w:val="0050612A"/>
    <w:rsid w:val="0050723B"/>
    <w:rsid w:val="00507F1A"/>
    <w:rsid w:val="005103A9"/>
    <w:rsid w:val="0051054A"/>
    <w:rsid w:val="00511C04"/>
    <w:rsid w:val="00512491"/>
    <w:rsid w:val="00513018"/>
    <w:rsid w:val="005132C5"/>
    <w:rsid w:val="00515A12"/>
    <w:rsid w:val="00515ADF"/>
    <w:rsid w:val="00515C13"/>
    <w:rsid w:val="00516309"/>
    <w:rsid w:val="00516EA0"/>
    <w:rsid w:val="00517044"/>
    <w:rsid w:val="00520A4F"/>
    <w:rsid w:val="00522239"/>
    <w:rsid w:val="00524E37"/>
    <w:rsid w:val="0052538E"/>
    <w:rsid w:val="00525F41"/>
    <w:rsid w:val="00526EF1"/>
    <w:rsid w:val="00527D9E"/>
    <w:rsid w:val="00530DB5"/>
    <w:rsid w:val="00531C6D"/>
    <w:rsid w:val="00533677"/>
    <w:rsid w:val="00534216"/>
    <w:rsid w:val="00534292"/>
    <w:rsid w:val="005344B8"/>
    <w:rsid w:val="00534681"/>
    <w:rsid w:val="00536DBD"/>
    <w:rsid w:val="00536EA2"/>
    <w:rsid w:val="00537D21"/>
    <w:rsid w:val="00537E26"/>
    <w:rsid w:val="005402C5"/>
    <w:rsid w:val="0054590F"/>
    <w:rsid w:val="00545A7B"/>
    <w:rsid w:val="00546C3A"/>
    <w:rsid w:val="00547CC2"/>
    <w:rsid w:val="00550034"/>
    <w:rsid w:val="005505B6"/>
    <w:rsid w:val="00550824"/>
    <w:rsid w:val="0055194B"/>
    <w:rsid w:val="005523B4"/>
    <w:rsid w:val="00552470"/>
    <w:rsid w:val="0055383B"/>
    <w:rsid w:val="0055395B"/>
    <w:rsid w:val="005546E6"/>
    <w:rsid w:val="005548F9"/>
    <w:rsid w:val="00554E28"/>
    <w:rsid w:val="00555409"/>
    <w:rsid w:val="005555CD"/>
    <w:rsid w:val="00556016"/>
    <w:rsid w:val="005561BA"/>
    <w:rsid w:val="005566FF"/>
    <w:rsid w:val="00557494"/>
    <w:rsid w:val="00561370"/>
    <w:rsid w:val="005632B9"/>
    <w:rsid w:val="00563442"/>
    <w:rsid w:val="0056434D"/>
    <w:rsid w:val="00564C59"/>
    <w:rsid w:val="0056587B"/>
    <w:rsid w:val="00565B42"/>
    <w:rsid w:val="00566089"/>
    <w:rsid w:val="005676EE"/>
    <w:rsid w:val="00567ABC"/>
    <w:rsid w:val="00567C85"/>
    <w:rsid w:val="005704EA"/>
    <w:rsid w:val="0057052F"/>
    <w:rsid w:val="00570674"/>
    <w:rsid w:val="00570F53"/>
    <w:rsid w:val="0057158B"/>
    <w:rsid w:val="005723C5"/>
    <w:rsid w:val="0057277E"/>
    <w:rsid w:val="005728CE"/>
    <w:rsid w:val="005728EB"/>
    <w:rsid w:val="00572A85"/>
    <w:rsid w:val="0057380B"/>
    <w:rsid w:val="00573A52"/>
    <w:rsid w:val="00573D57"/>
    <w:rsid w:val="00575B9B"/>
    <w:rsid w:val="00575C41"/>
    <w:rsid w:val="0057652E"/>
    <w:rsid w:val="005773A4"/>
    <w:rsid w:val="005774CA"/>
    <w:rsid w:val="00580C74"/>
    <w:rsid w:val="0058163F"/>
    <w:rsid w:val="0058174E"/>
    <w:rsid w:val="00581B42"/>
    <w:rsid w:val="00581D79"/>
    <w:rsid w:val="0058469B"/>
    <w:rsid w:val="0058515D"/>
    <w:rsid w:val="00585690"/>
    <w:rsid w:val="0058580E"/>
    <w:rsid w:val="005864CF"/>
    <w:rsid w:val="00590794"/>
    <w:rsid w:val="00590B2B"/>
    <w:rsid w:val="00592BC3"/>
    <w:rsid w:val="0059441A"/>
    <w:rsid w:val="005948A5"/>
    <w:rsid w:val="005965C8"/>
    <w:rsid w:val="00596D1A"/>
    <w:rsid w:val="00596DE0"/>
    <w:rsid w:val="00597B9C"/>
    <w:rsid w:val="005A12C8"/>
    <w:rsid w:val="005A141F"/>
    <w:rsid w:val="005A224E"/>
    <w:rsid w:val="005A2B0E"/>
    <w:rsid w:val="005A32B0"/>
    <w:rsid w:val="005A3AB1"/>
    <w:rsid w:val="005A462A"/>
    <w:rsid w:val="005A4961"/>
    <w:rsid w:val="005A66DA"/>
    <w:rsid w:val="005B11CD"/>
    <w:rsid w:val="005B576B"/>
    <w:rsid w:val="005B653B"/>
    <w:rsid w:val="005B7DF9"/>
    <w:rsid w:val="005C02EB"/>
    <w:rsid w:val="005C0EE3"/>
    <w:rsid w:val="005C1A9B"/>
    <w:rsid w:val="005C2C16"/>
    <w:rsid w:val="005C3E9A"/>
    <w:rsid w:val="005C439D"/>
    <w:rsid w:val="005C4CE6"/>
    <w:rsid w:val="005C4E47"/>
    <w:rsid w:val="005C5A0A"/>
    <w:rsid w:val="005C5A7B"/>
    <w:rsid w:val="005C5B01"/>
    <w:rsid w:val="005C61EA"/>
    <w:rsid w:val="005C6855"/>
    <w:rsid w:val="005C7062"/>
    <w:rsid w:val="005D089E"/>
    <w:rsid w:val="005D243E"/>
    <w:rsid w:val="005D2BB8"/>
    <w:rsid w:val="005D2F9F"/>
    <w:rsid w:val="005D3A38"/>
    <w:rsid w:val="005D3B03"/>
    <w:rsid w:val="005D49EE"/>
    <w:rsid w:val="005D52E1"/>
    <w:rsid w:val="005D5703"/>
    <w:rsid w:val="005D5993"/>
    <w:rsid w:val="005D6A28"/>
    <w:rsid w:val="005D71A8"/>
    <w:rsid w:val="005E1199"/>
    <w:rsid w:val="005E1934"/>
    <w:rsid w:val="005E1B7B"/>
    <w:rsid w:val="005E2117"/>
    <w:rsid w:val="005E2728"/>
    <w:rsid w:val="005E3D6D"/>
    <w:rsid w:val="005E585E"/>
    <w:rsid w:val="005E5F4D"/>
    <w:rsid w:val="005E616B"/>
    <w:rsid w:val="005E6C43"/>
    <w:rsid w:val="005E7886"/>
    <w:rsid w:val="005F0402"/>
    <w:rsid w:val="005F0A18"/>
    <w:rsid w:val="005F2ABF"/>
    <w:rsid w:val="005F3636"/>
    <w:rsid w:val="005F376D"/>
    <w:rsid w:val="005F3D6C"/>
    <w:rsid w:val="005F5C8A"/>
    <w:rsid w:val="005F7079"/>
    <w:rsid w:val="005F7243"/>
    <w:rsid w:val="005F7431"/>
    <w:rsid w:val="005F796E"/>
    <w:rsid w:val="00601679"/>
    <w:rsid w:val="00604BD8"/>
    <w:rsid w:val="00604EC6"/>
    <w:rsid w:val="0060509D"/>
    <w:rsid w:val="00607589"/>
    <w:rsid w:val="006075BA"/>
    <w:rsid w:val="00607AF2"/>
    <w:rsid w:val="00610AAA"/>
    <w:rsid w:val="00610C07"/>
    <w:rsid w:val="00611694"/>
    <w:rsid w:val="006122BA"/>
    <w:rsid w:val="00612A56"/>
    <w:rsid w:val="00612D09"/>
    <w:rsid w:val="006136DC"/>
    <w:rsid w:val="00614B5F"/>
    <w:rsid w:val="00614CDF"/>
    <w:rsid w:val="0061563F"/>
    <w:rsid w:val="00620EFB"/>
    <w:rsid w:val="00621832"/>
    <w:rsid w:val="00621FF8"/>
    <w:rsid w:val="00623898"/>
    <w:rsid w:val="00627E5F"/>
    <w:rsid w:val="0063108D"/>
    <w:rsid w:val="0063334A"/>
    <w:rsid w:val="00633CE5"/>
    <w:rsid w:val="00633F92"/>
    <w:rsid w:val="00634337"/>
    <w:rsid w:val="00634F47"/>
    <w:rsid w:val="0063502C"/>
    <w:rsid w:val="00635CA4"/>
    <w:rsid w:val="00635EEF"/>
    <w:rsid w:val="00636925"/>
    <w:rsid w:val="00637EAE"/>
    <w:rsid w:val="00640551"/>
    <w:rsid w:val="006409FB"/>
    <w:rsid w:val="00642EED"/>
    <w:rsid w:val="00643921"/>
    <w:rsid w:val="0064427B"/>
    <w:rsid w:val="00644782"/>
    <w:rsid w:val="0064484E"/>
    <w:rsid w:val="0064533A"/>
    <w:rsid w:val="00645677"/>
    <w:rsid w:val="00647A5B"/>
    <w:rsid w:val="00651547"/>
    <w:rsid w:val="006520AA"/>
    <w:rsid w:val="00652ADC"/>
    <w:rsid w:val="00653B41"/>
    <w:rsid w:val="0065480B"/>
    <w:rsid w:val="00654CCD"/>
    <w:rsid w:val="0065519D"/>
    <w:rsid w:val="0065542C"/>
    <w:rsid w:val="00656344"/>
    <w:rsid w:val="0065663F"/>
    <w:rsid w:val="006577D9"/>
    <w:rsid w:val="006605A7"/>
    <w:rsid w:val="00660937"/>
    <w:rsid w:val="00660C2A"/>
    <w:rsid w:val="00660CD0"/>
    <w:rsid w:val="00661123"/>
    <w:rsid w:val="0066182D"/>
    <w:rsid w:val="00663EAC"/>
    <w:rsid w:val="00665076"/>
    <w:rsid w:val="0066577A"/>
    <w:rsid w:val="00665B06"/>
    <w:rsid w:val="00667D8A"/>
    <w:rsid w:val="00667F65"/>
    <w:rsid w:val="006704D2"/>
    <w:rsid w:val="00670F09"/>
    <w:rsid w:val="00671A99"/>
    <w:rsid w:val="00671C24"/>
    <w:rsid w:val="00672D4A"/>
    <w:rsid w:val="00673693"/>
    <w:rsid w:val="006759D9"/>
    <w:rsid w:val="00675B89"/>
    <w:rsid w:val="00676BC3"/>
    <w:rsid w:val="0067726B"/>
    <w:rsid w:val="0068074B"/>
    <w:rsid w:val="006809AC"/>
    <w:rsid w:val="006830DB"/>
    <w:rsid w:val="0068326C"/>
    <w:rsid w:val="00683F3E"/>
    <w:rsid w:val="0068430A"/>
    <w:rsid w:val="006849CE"/>
    <w:rsid w:val="00685331"/>
    <w:rsid w:val="006864A2"/>
    <w:rsid w:val="00686F55"/>
    <w:rsid w:val="00690159"/>
    <w:rsid w:val="00690CC1"/>
    <w:rsid w:val="00691219"/>
    <w:rsid w:val="006925E1"/>
    <w:rsid w:val="006969B8"/>
    <w:rsid w:val="00697EC0"/>
    <w:rsid w:val="006A08E8"/>
    <w:rsid w:val="006A0E3E"/>
    <w:rsid w:val="006A476B"/>
    <w:rsid w:val="006A515A"/>
    <w:rsid w:val="006A5243"/>
    <w:rsid w:val="006A54EA"/>
    <w:rsid w:val="006A5667"/>
    <w:rsid w:val="006A61B8"/>
    <w:rsid w:val="006A628E"/>
    <w:rsid w:val="006A6551"/>
    <w:rsid w:val="006A6F52"/>
    <w:rsid w:val="006B2290"/>
    <w:rsid w:val="006B33A2"/>
    <w:rsid w:val="006B3933"/>
    <w:rsid w:val="006B4D8F"/>
    <w:rsid w:val="006B6476"/>
    <w:rsid w:val="006B6F3A"/>
    <w:rsid w:val="006C00D2"/>
    <w:rsid w:val="006C1364"/>
    <w:rsid w:val="006C1864"/>
    <w:rsid w:val="006C199B"/>
    <w:rsid w:val="006C2A76"/>
    <w:rsid w:val="006C33FF"/>
    <w:rsid w:val="006C37DB"/>
    <w:rsid w:val="006C4876"/>
    <w:rsid w:val="006C4A3B"/>
    <w:rsid w:val="006C68B5"/>
    <w:rsid w:val="006C70D2"/>
    <w:rsid w:val="006C712E"/>
    <w:rsid w:val="006D2219"/>
    <w:rsid w:val="006D2CFA"/>
    <w:rsid w:val="006D3515"/>
    <w:rsid w:val="006D3D60"/>
    <w:rsid w:val="006D4D6D"/>
    <w:rsid w:val="006D4FB1"/>
    <w:rsid w:val="006D57FE"/>
    <w:rsid w:val="006D61E2"/>
    <w:rsid w:val="006D623D"/>
    <w:rsid w:val="006D6590"/>
    <w:rsid w:val="006D6FBA"/>
    <w:rsid w:val="006E07AE"/>
    <w:rsid w:val="006E0EFF"/>
    <w:rsid w:val="006E2286"/>
    <w:rsid w:val="006E2790"/>
    <w:rsid w:val="006E3643"/>
    <w:rsid w:val="006E437C"/>
    <w:rsid w:val="006E54E7"/>
    <w:rsid w:val="006E6282"/>
    <w:rsid w:val="006E7F4F"/>
    <w:rsid w:val="006F0226"/>
    <w:rsid w:val="006F034F"/>
    <w:rsid w:val="006F0579"/>
    <w:rsid w:val="006F07B6"/>
    <w:rsid w:val="006F082E"/>
    <w:rsid w:val="006F1597"/>
    <w:rsid w:val="006F1726"/>
    <w:rsid w:val="006F1BD8"/>
    <w:rsid w:val="006F2FFC"/>
    <w:rsid w:val="006F3B0A"/>
    <w:rsid w:val="006F400A"/>
    <w:rsid w:val="006F414C"/>
    <w:rsid w:val="006F4D1A"/>
    <w:rsid w:val="006F4FCE"/>
    <w:rsid w:val="006F6538"/>
    <w:rsid w:val="006F6D7E"/>
    <w:rsid w:val="00700380"/>
    <w:rsid w:val="00702585"/>
    <w:rsid w:val="00702E94"/>
    <w:rsid w:val="00703639"/>
    <w:rsid w:val="0070606E"/>
    <w:rsid w:val="007062BC"/>
    <w:rsid w:val="00707A9C"/>
    <w:rsid w:val="00710225"/>
    <w:rsid w:val="00710CD4"/>
    <w:rsid w:val="00710FC9"/>
    <w:rsid w:val="0071221A"/>
    <w:rsid w:val="00717D88"/>
    <w:rsid w:val="00720D88"/>
    <w:rsid w:val="00722193"/>
    <w:rsid w:val="0072548C"/>
    <w:rsid w:val="00725CFC"/>
    <w:rsid w:val="0073041D"/>
    <w:rsid w:val="00730626"/>
    <w:rsid w:val="0073102A"/>
    <w:rsid w:val="007311DA"/>
    <w:rsid w:val="007317A1"/>
    <w:rsid w:val="00731BDD"/>
    <w:rsid w:val="00731EB9"/>
    <w:rsid w:val="00732A02"/>
    <w:rsid w:val="007330D7"/>
    <w:rsid w:val="00733A79"/>
    <w:rsid w:val="00733F3E"/>
    <w:rsid w:val="00734911"/>
    <w:rsid w:val="00734E21"/>
    <w:rsid w:val="007372F4"/>
    <w:rsid w:val="00737458"/>
    <w:rsid w:val="00741E73"/>
    <w:rsid w:val="00743B13"/>
    <w:rsid w:val="007466A3"/>
    <w:rsid w:val="007468D8"/>
    <w:rsid w:val="00747186"/>
    <w:rsid w:val="007510BC"/>
    <w:rsid w:val="007512EE"/>
    <w:rsid w:val="00751A8F"/>
    <w:rsid w:val="00752251"/>
    <w:rsid w:val="00752EEC"/>
    <w:rsid w:val="007543FE"/>
    <w:rsid w:val="00756780"/>
    <w:rsid w:val="00757636"/>
    <w:rsid w:val="007578E8"/>
    <w:rsid w:val="007601D3"/>
    <w:rsid w:val="007604A6"/>
    <w:rsid w:val="0076056E"/>
    <w:rsid w:val="007608B4"/>
    <w:rsid w:val="00763F87"/>
    <w:rsid w:val="007640BA"/>
    <w:rsid w:val="00765532"/>
    <w:rsid w:val="00765BC9"/>
    <w:rsid w:val="00765D00"/>
    <w:rsid w:val="0076627E"/>
    <w:rsid w:val="007667BC"/>
    <w:rsid w:val="00767BF3"/>
    <w:rsid w:val="00767D87"/>
    <w:rsid w:val="00771F4C"/>
    <w:rsid w:val="00772220"/>
    <w:rsid w:val="00774516"/>
    <w:rsid w:val="00775460"/>
    <w:rsid w:val="007763F1"/>
    <w:rsid w:val="007819E9"/>
    <w:rsid w:val="00785576"/>
    <w:rsid w:val="00785816"/>
    <w:rsid w:val="00786056"/>
    <w:rsid w:val="007860D7"/>
    <w:rsid w:val="007861C0"/>
    <w:rsid w:val="00786799"/>
    <w:rsid w:val="00786D2A"/>
    <w:rsid w:val="007873EB"/>
    <w:rsid w:val="0079011C"/>
    <w:rsid w:val="00791484"/>
    <w:rsid w:val="007921B0"/>
    <w:rsid w:val="00792928"/>
    <w:rsid w:val="007937D9"/>
    <w:rsid w:val="00793B7B"/>
    <w:rsid w:val="00794280"/>
    <w:rsid w:val="007942D3"/>
    <w:rsid w:val="00794BCD"/>
    <w:rsid w:val="0079649C"/>
    <w:rsid w:val="007A1390"/>
    <w:rsid w:val="007A1674"/>
    <w:rsid w:val="007A321D"/>
    <w:rsid w:val="007A3C8A"/>
    <w:rsid w:val="007A468D"/>
    <w:rsid w:val="007A5356"/>
    <w:rsid w:val="007A5CD5"/>
    <w:rsid w:val="007A71BA"/>
    <w:rsid w:val="007B2099"/>
    <w:rsid w:val="007B29D9"/>
    <w:rsid w:val="007B4D82"/>
    <w:rsid w:val="007B6C09"/>
    <w:rsid w:val="007B7741"/>
    <w:rsid w:val="007B7AF1"/>
    <w:rsid w:val="007B7B98"/>
    <w:rsid w:val="007B7CC5"/>
    <w:rsid w:val="007B7EBB"/>
    <w:rsid w:val="007C179D"/>
    <w:rsid w:val="007C19A8"/>
    <w:rsid w:val="007C3532"/>
    <w:rsid w:val="007C41BF"/>
    <w:rsid w:val="007C43D2"/>
    <w:rsid w:val="007C4B38"/>
    <w:rsid w:val="007C5C33"/>
    <w:rsid w:val="007C6D48"/>
    <w:rsid w:val="007C741A"/>
    <w:rsid w:val="007D0296"/>
    <w:rsid w:val="007D0D42"/>
    <w:rsid w:val="007D130E"/>
    <w:rsid w:val="007D1DD0"/>
    <w:rsid w:val="007D2EB2"/>
    <w:rsid w:val="007D3664"/>
    <w:rsid w:val="007D3775"/>
    <w:rsid w:val="007D385A"/>
    <w:rsid w:val="007D3CB3"/>
    <w:rsid w:val="007E09DA"/>
    <w:rsid w:val="007E1745"/>
    <w:rsid w:val="007E1EE0"/>
    <w:rsid w:val="007E1FD8"/>
    <w:rsid w:val="007E2E4F"/>
    <w:rsid w:val="007E5686"/>
    <w:rsid w:val="007E5F08"/>
    <w:rsid w:val="007E6EAA"/>
    <w:rsid w:val="007E7B77"/>
    <w:rsid w:val="007E7D62"/>
    <w:rsid w:val="007F1366"/>
    <w:rsid w:val="007F203F"/>
    <w:rsid w:val="007F2599"/>
    <w:rsid w:val="007F3DB4"/>
    <w:rsid w:val="007F45A5"/>
    <w:rsid w:val="007F6524"/>
    <w:rsid w:val="007F7F83"/>
    <w:rsid w:val="00800222"/>
    <w:rsid w:val="00800629"/>
    <w:rsid w:val="00800D27"/>
    <w:rsid w:val="00801C08"/>
    <w:rsid w:val="0080358C"/>
    <w:rsid w:val="00803EEF"/>
    <w:rsid w:val="008043AB"/>
    <w:rsid w:val="00805A0E"/>
    <w:rsid w:val="00805EC5"/>
    <w:rsid w:val="00807B80"/>
    <w:rsid w:val="00807E6F"/>
    <w:rsid w:val="00807F84"/>
    <w:rsid w:val="00810A78"/>
    <w:rsid w:val="00811292"/>
    <w:rsid w:val="00811626"/>
    <w:rsid w:val="00811705"/>
    <w:rsid w:val="008132D8"/>
    <w:rsid w:val="00813663"/>
    <w:rsid w:val="00815B8D"/>
    <w:rsid w:val="0081710D"/>
    <w:rsid w:val="008178B6"/>
    <w:rsid w:val="0082007D"/>
    <w:rsid w:val="0082064C"/>
    <w:rsid w:val="00822B68"/>
    <w:rsid w:val="00822DF8"/>
    <w:rsid w:val="008235CF"/>
    <w:rsid w:val="008236FF"/>
    <w:rsid w:val="008277A4"/>
    <w:rsid w:val="0082799C"/>
    <w:rsid w:val="00830651"/>
    <w:rsid w:val="00830656"/>
    <w:rsid w:val="00832981"/>
    <w:rsid w:val="00834AFE"/>
    <w:rsid w:val="008370A3"/>
    <w:rsid w:val="00837A3D"/>
    <w:rsid w:val="00842150"/>
    <w:rsid w:val="008437A8"/>
    <w:rsid w:val="0084402D"/>
    <w:rsid w:val="0084458A"/>
    <w:rsid w:val="00844A99"/>
    <w:rsid w:val="008475F8"/>
    <w:rsid w:val="00850E21"/>
    <w:rsid w:val="008511B4"/>
    <w:rsid w:val="00851D82"/>
    <w:rsid w:val="008543CD"/>
    <w:rsid w:val="00854742"/>
    <w:rsid w:val="00854978"/>
    <w:rsid w:val="00855008"/>
    <w:rsid w:val="0085503B"/>
    <w:rsid w:val="008562F2"/>
    <w:rsid w:val="0085721E"/>
    <w:rsid w:val="008577C6"/>
    <w:rsid w:val="00857F39"/>
    <w:rsid w:val="00863519"/>
    <w:rsid w:val="00864167"/>
    <w:rsid w:val="00864663"/>
    <w:rsid w:val="00864A84"/>
    <w:rsid w:val="008652FA"/>
    <w:rsid w:val="00865B74"/>
    <w:rsid w:val="00866F16"/>
    <w:rsid w:val="0086760F"/>
    <w:rsid w:val="008679B7"/>
    <w:rsid w:val="00871E4B"/>
    <w:rsid w:val="008730A3"/>
    <w:rsid w:val="0087317A"/>
    <w:rsid w:val="008737CE"/>
    <w:rsid w:val="00874A36"/>
    <w:rsid w:val="0087548B"/>
    <w:rsid w:val="008773B7"/>
    <w:rsid w:val="008807F5"/>
    <w:rsid w:val="00881532"/>
    <w:rsid w:val="00881E94"/>
    <w:rsid w:val="0088214B"/>
    <w:rsid w:val="00882EE7"/>
    <w:rsid w:val="00883AA1"/>
    <w:rsid w:val="00883BF1"/>
    <w:rsid w:val="00884DC0"/>
    <w:rsid w:val="00885260"/>
    <w:rsid w:val="00885A67"/>
    <w:rsid w:val="00886172"/>
    <w:rsid w:val="0088655A"/>
    <w:rsid w:val="00890964"/>
    <w:rsid w:val="00891E36"/>
    <w:rsid w:val="00894613"/>
    <w:rsid w:val="00894E01"/>
    <w:rsid w:val="008950F5"/>
    <w:rsid w:val="00895447"/>
    <w:rsid w:val="00895849"/>
    <w:rsid w:val="008961C3"/>
    <w:rsid w:val="008965CA"/>
    <w:rsid w:val="008974F0"/>
    <w:rsid w:val="008A0919"/>
    <w:rsid w:val="008A0C01"/>
    <w:rsid w:val="008A32C8"/>
    <w:rsid w:val="008A3354"/>
    <w:rsid w:val="008A4507"/>
    <w:rsid w:val="008A49C2"/>
    <w:rsid w:val="008A5549"/>
    <w:rsid w:val="008B012A"/>
    <w:rsid w:val="008B0367"/>
    <w:rsid w:val="008B264F"/>
    <w:rsid w:val="008B3120"/>
    <w:rsid w:val="008B3FFD"/>
    <w:rsid w:val="008B45F2"/>
    <w:rsid w:val="008B4658"/>
    <w:rsid w:val="008B4D56"/>
    <w:rsid w:val="008B6D3C"/>
    <w:rsid w:val="008C152B"/>
    <w:rsid w:val="008C1635"/>
    <w:rsid w:val="008C1D63"/>
    <w:rsid w:val="008C1E50"/>
    <w:rsid w:val="008C2255"/>
    <w:rsid w:val="008C3D16"/>
    <w:rsid w:val="008C7F5A"/>
    <w:rsid w:val="008D06A7"/>
    <w:rsid w:val="008D33A7"/>
    <w:rsid w:val="008D33E8"/>
    <w:rsid w:val="008D4F61"/>
    <w:rsid w:val="008D4FDB"/>
    <w:rsid w:val="008D5737"/>
    <w:rsid w:val="008D5DFB"/>
    <w:rsid w:val="008D63E8"/>
    <w:rsid w:val="008D67F7"/>
    <w:rsid w:val="008D7C48"/>
    <w:rsid w:val="008E1214"/>
    <w:rsid w:val="008E1B6A"/>
    <w:rsid w:val="008E2532"/>
    <w:rsid w:val="008E2B9E"/>
    <w:rsid w:val="008E32E9"/>
    <w:rsid w:val="008E4634"/>
    <w:rsid w:val="008E4CE3"/>
    <w:rsid w:val="008E6691"/>
    <w:rsid w:val="008F0A1C"/>
    <w:rsid w:val="008F0F56"/>
    <w:rsid w:val="008F1092"/>
    <w:rsid w:val="008F2734"/>
    <w:rsid w:val="008F50FE"/>
    <w:rsid w:val="008F5F37"/>
    <w:rsid w:val="008F65F7"/>
    <w:rsid w:val="008F6BE9"/>
    <w:rsid w:val="009002D6"/>
    <w:rsid w:val="00901ADD"/>
    <w:rsid w:val="00902602"/>
    <w:rsid w:val="00903657"/>
    <w:rsid w:val="00903A6C"/>
    <w:rsid w:val="00904962"/>
    <w:rsid w:val="00905433"/>
    <w:rsid w:val="009059D1"/>
    <w:rsid w:val="0090679E"/>
    <w:rsid w:val="00906E17"/>
    <w:rsid w:val="009071E4"/>
    <w:rsid w:val="00907BF2"/>
    <w:rsid w:val="009112B7"/>
    <w:rsid w:val="009124AF"/>
    <w:rsid w:val="00912A54"/>
    <w:rsid w:val="00914519"/>
    <w:rsid w:val="00916EDA"/>
    <w:rsid w:val="009172EE"/>
    <w:rsid w:val="00917DBE"/>
    <w:rsid w:val="009208DD"/>
    <w:rsid w:val="00921FB8"/>
    <w:rsid w:val="009241B4"/>
    <w:rsid w:val="00926625"/>
    <w:rsid w:val="009266AD"/>
    <w:rsid w:val="00927160"/>
    <w:rsid w:val="00927991"/>
    <w:rsid w:val="0093049F"/>
    <w:rsid w:val="00930BA1"/>
    <w:rsid w:val="0093169E"/>
    <w:rsid w:val="00933166"/>
    <w:rsid w:val="0093322B"/>
    <w:rsid w:val="00933CC6"/>
    <w:rsid w:val="0093419C"/>
    <w:rsid w:val="009349B5"/>
    <w:rsid w:val="009363D1"/>
    <w:rsid w:val="00937336"/>
    <w:rsid w:val="00937D52"/>
    <w:rsid w:val="00940468"/>
    <w:rsid w:val="009408A7"/>
    <w:rsid w:val="0094160B"/>
    <w:rsid w:val="009417AC"/>
    <w:rsid w:val="00942DE4"/>
    <w:rsid w:val="00944FB9"/>
    <w:rsid w:val="00945561"/>
    <w:rsid w:val="009479D0"/>
    <w:rsid w:val="00947EF4"/>
    <w:rsid w:val="009505C9"/>
    <w:rsid w:val="00950752"/>
    <w:rsid w:val="009519C8"/>
    <w:rsid w:val="00952AFA"/>
    <w:rsid w:val="00953DEC"/>
    <w:rsid w:val="00954AD6"/>
    <w:rsid w:val="00954E0F"/>
    <w:rsid w:val="00955F63"/>
    <w:rsid w:val="00956DD1"/>
    <w:rsid w:val="00957C04"/>
    <w:rsid w:val="009603E7"/>
    <w:rsid w:val="009631BA"/>
    <w:rsid w:val="0096325F"/>
    <w:rsid w:val="00963403"/>
    <w:rsid w:val="00963BC9"/>
    <w:rsid w:val="0096422F"/>
    <w:rsid w:val="009646D9"/>
    <w:rsid w:val="00964FB2"/>
    <w:rsid w:val="00966424"/>
    <w:rsid w:val="00966AFC"/>
    <w:rsid w:val="009714F1"/>
    <w:rsid w:val="0097263C"/>
    <w:rsid w:val="00972687"/>
    <w:rsid w:val="009738C8"/>
    <w:rsid w:val="0097588D"/>
    <w:rsid w:val="0097595D"/>
    <w:rsid w:val="00976BD2"/>
    <w:rsid w:val="009777E7"/>
    <w:rsid w:val="00977DA5"/>
    <w:rsid w:val="00980A19"/>
    <w:rsid w:val="009814AC"/>
    <w:rsid w:val="0098264C"/>
    <w:rsid w:val="009838D7"/>
    <w:rsid w:val="00983EB7"/>
    <w:rsid w:val="00984141"/>
    <w:rsid w:val="009843D8"/>
    <w:rsid w:val="00985F57"/>
    <w:rsid w:val="00986697"/>
    <w:rsid w:val="009908D8"/>
    <w:rsid w:val="0099213A"/>
    <w:rsid w:val="00994450"/>
    <w:rsid w:val="009951C8"/>
    <w:rsid w:val="00995971"/>
    <w:rsid w:val="00996833"/>
    <w:rsid w:val="00997276"/>
    <w:rsid w:val="0099764F"/>
    <w:rsid w:val="009A151D"/>
    <w:rsid w:val="009A23C2"/>
    <w:rsid w:val="009A3F46"/>
    <w:rsid w:val="009A4D80"/>
    <w:rsid w:val="009A4D9F"/>
    <w:rsid w:val="009A6783"/>
    <w:rsid w:val="009B1C74"/>
    <w:rsid w:val="009B40F9"/>
    <w:rsid w:val="009B5596"/>
    <w:rsid w:val="009B59E7"/>
    <w:rsid w:val="009B6E96"/>
    <w:rsid w:val="009B731D"/>
    <w:rsid w:val="009C1B85"/>
    <w:rsid w:val="009C1F04"/>
    <w:rsid w:val="009C2DE6"/>
    <w:rsid w:val="009C494E"/>
    <w:rsid w:val="009C5717"/>
    <w:rsid w:val="009C60D0"/>
    <w:rsid w:val="009D02D1"/>
    <w:rsid w:val="009D0B42"/>
    <w:rsid w:val="009D0E5D"/>
    <w:rsid w:val="009D0E89"/>
    <w:rsid w:val="009D0FA7"/>
    <w:rsid w:val="009D1FB6"/>
    <w:rsid w:val="009D3685"/>
    <w:rsid w:val="009D479B"/>
    <w:rsid w:val="009D4827"/>
    <w:rsid w:val="009D534B"/>
    <w:rsid w:val="009D54A8"/>
    <w:rsid w:val="009D7FBD"/>
    <w:rsid w:val="009E077A"/>
    <w:rsid w:val="009E0D8F"/>
    <w:rsid w:val="009E12A0"/>
    <w:rsid w:val="009E4BEA"/>
    <w:rsid w:val="009E5141"/>
    <w:rsid w:val="009E540D"/>
    <w:rsid w:val="009E6AF7"/>
    <w:rsid w:val="009E6B66"/>
    <w:rsid w:val="009E7B09"/>
    <w:rsid w:val="009E7D19"/>
    <w:rsid w:val="009F043F"/>
    <w:rsid w:val="009F048C"/>
    <w:rsid w:val="009F0841"/>
    <w:rsid w:val="009F0AAA"/>
    <w:rsid w:val="009F1C06"/>
    <w:rsid w:val="009F2E5F"/>
    <w:rsid w:val="009F3346"/>
    <w:rsid w:val="009F33F3"/>
    <w:rsid w:val="009F3B18"/>
    <w:rsid w:val="009F3DB9"/>
    <w:rsid w:val="009F437C"/>
    <w:rsid w:val="009F45B9"/>
    <w:rsid w:val="009F7B35"/>
    <w:rsid w:val="00A00B26"/>
    <w:rsid w:val="00A03A5A"/>
    <w:rsid w:val="00A03CCB"/>
    <w:rsid w:val="00A131C8"/>
    <w:rsid w:val="00A13632"/>
    <w:rsid w:val="00A13695"/>
    <w:rsid w:val="00A136C5"/>
    <w:rsid w:val="00A13D61"/>
    <w:rsid w:val="00A13DD9"/>
    <w:rsid w:val="00A15063"/>
    <w:rsid w:val="00A15142"/>
    <w:rsid w:val="00A157BA"/>
    <w:rsid w:val="00A15C8F"/>
    <w:rsid w:val="00A15D45"/>
    <w:rsid w:val="00A1744D"/>
    <w:rsid w:val="00A20143"/>
    <w:rsid w:val="00A2119E"/>
    <w:rsid w:val="00A248D6"/>
    <w:rsid w:val="00A250E1"/>
    <w:rsid w:val="00A25FDA"/>
    <w:rsid w:val="00A2614C"/>
    <w:rsid w:val="00A26586"/>
    <w:rsid w:val="00A30CCB"/>
    <w:rsid w:val="00A31510"/>
    <w:rsid w:val="00A32368"/>
    <w:rsid w:val="00A336C1"/>
    <w:rsid w:val="00A34991"/>
    <w:rsid w:val="00A34D19"/>
    <w:rsid w:val="00A363C5"/>
    <w:rsid w:val="00A36A4E"/>
    <w:rsid w:val="00A4058F"/>
    <w:rsid w:val="00A41ED7"/>
    <w:rsid w:val="00A426EE"/>
    <w:rsid w:val="00A4300B"/>
    <w:rsid w:val="00A450FB"/>
    <w:rsid w:val="00A46F1F"/>
    <w:rsid w:val="00A47488"/>
    <w:rsid w:val="00A4768F"/>
    <w:rsid w:val="00A505D5"/>
    <w:rsid w:val="00A52138"/>
    <w:rsid w:val="00A52272"/>
    <w:rsid w:val="00A522BF"/>
    <w:rsid w:val="00A5276B"/>
    <w:rsid w:val="00A5296D"/>
    <w:rsid w:val="00A52B37"/>
    <w:rsid w:val="00A55C0A"/>
    <w:rsid w:val="00A561D0"/>
    <w:rsid w:val="00A56A38"/>
    <w:rsid w:val="00A57736"/>
    <w:rsid w:val="00A5783C"/>
    <w:rsid w:val="00A57E50"/>
    <w:rsid w:val="00A60844"/>
    <w:rsid w:val="00A60B83"/>
    <w:rsid w:val="00A60E4B"/>
    <w:rsid w:val="00A62E3D"/>
    <w:rsid w:val="00A6393A"/>
    <w:rsid w:val="00A714EC"/>
    <w:rsid w:val="00A71AB9"/>
    <w:rsid w:val="00A72373"/>
    <w:rsid w:val="00A727FD"/>
    <w:rsid w:val="00A75663"/>
    <w:rsid w:val="00A75B2B"/>
    <w:rsid w:val="00A7760B"/>
    <w:rsid w:val="00A804AB"/>
    <w:rsid w:val="00A80567"/>
    <w:rsid w:val="00A81491"/>
    <w:rsid w:val="00A8172F"/>
    <w:rsid w:val="00A85281"/>
    <w:rsid w:val="00A86A13"/>
    <w:rsid w:val="00A86ED7"/>
    <w:rsid w:val="00A8720D"/>
    <w:rsid w:val="00A877D5"/>
    <w:rsid w:val="00A877ED"/>
    <w:rsid w:val="00A8785E"/>
    <w:rsid w:val="00A90862"/>
    <w:rsid w:val="00A909E7"/>
    <w:rsid w:val="00A90EB2"/>
    <w:rsid w:val="00A927A2"/>
    <w:rsid w:val="00A92B0E"/>
    <w:rsid w:val="00A971F1"/>
    <w:rsid w:val="00A97553"/>
    <w:rsid w:val="00AA00C3"/>
    <w:rsid w:val="00AA1983"/>
    <w:rsid w:val="00AA1F50"/>
    <w:rsid w:val="00AA2935"/>
    <w:rsid w:val="00AA2A36"/>
    <w:rsid w:val="00AA36F0"/>
    <w:rsid w:val="00AA4935"/>
    <w:rsid w:val="00AA5E98"/>
    <w:rsid w:val="00AA5F69"/>
    <w:rsid w:val="00AA6799"/>
    <w:rsid w:val="00AA68E2"/>
    <w:rsid w:val="00AA6AC7"/>
    <w:rsid w:val="00AA6F92"/>
    <w:rsid w:val="00AB0634"/>
    <w:rsid w:val="00AB0A35"/>
    <w:rsid w:val="00AB131D"/>
    <w:rsid w:val="00AB1C57"/>
    <w:rsid w:val="00AB28EF"/>
    <w:rsid w:val="00AB334A"/>
    <w:rsid w:val="00AB3F0D"/>
    <w:rsid w:val="00AB3F85"/>
    <w:rsid w:val="00AB5585"/>
    <w:rsid w:val="00AB6934"/>
    <w:rsid w:val="00AB7E9E"/>
    <w:rsid w:val="00AC0814"/>
    <w:rsid w:val="00AC08CB"/>
    <w:rsid w:val="00AC13E3"/>
    <w:rsid w:val="00AC202B"/>
    <w:rsid w:val="00AC2097"/>
    <w:rsid w:val="00AC2955"/>
    <w:rsid w:val="00AC2DDF"/>
    <w:rsid w:val="00AC3250"/>
    <w:rsid w:val="00AC40DE"/>
    <w:rsid w:val="00AC40F0"/>
    <w:rsid w:val="00AC5477"/>
    <w:rsid w:val="00AC608B"/>
    <w:rsid w:val="00AD02A4"/>
    <w:rsid w:val="00AD02EE"/>
    <w:rsid w:val="00AD064E"/>
    <w:rsid w:val="00AD077A"/>
    <w:rsid w:val="00AD2DAE"/>
    <w:rsid w:val="00AD32AB"/>
    <w:rsid w:val="00AD39FE"/>
    <w:rsid w:val="00AD4CD0"/>
    <w:rsid w:val="00AD6B21"/>
    <w:rsid w:val="00AD73E3"/>
    <w:rsid w:val="00AD7DBF"/>
    <w:rsid w:val="00AE0D1D"/>
    <w:rsid w:val="00AE0D65"/>
    <w:rsid w:val="00AE4D9F"/>
    <w:rsid w:val="00AE7657"/>
    <w:rsid w:val="00AE7C97"/>
    <w:rsid w:val="00AE7F53"/>
    <w:rsid w:val="00AF083B"/>
    <w:rsid w:val="00AF42DE"/>
    <w:rsid w:val="00AF5FB4"/>
    <w:rsid w:val="00AF6C88"/>
    <w:rsid w:val="00AF711E"/>
    <w:rsid w:val="00AF74BE"/>
    <w:rsid w:val="00AF76AD"/>
    <w:rsid w:val="00AF76E6"/>
    <w:rsid w:val="00B0053B"/>
    <w:rsid w:val="00B00CAA"/>
    <w:rsid w:val="00B0105D"/>
    <w:rsid w:val="00B024F3"/>
    <w:rsid w:val="00B0462A"/>
    <w:rsid w:val="00B04ECC"/>
    <w:rsid w:val="00B13297"/>
    <w:rsid w:val="00B1330A"/>
    <w:rsid w:val="00B1430F"/>
    <w:rsid w:val="00B147C0"/>
    <w:rsid w:val="00B147EE"/>
    <w:rsid w:val="00B150A2"/>
    <w:rsid w:val="00B16F16"/>
    <w:rsid w:val="00B174D2"/>
    <w:rsid w:val="00B20B06"/>
    <w:rsid w:val="00B21301"/>
    <w:rsid w:val="00B2344E"/>
    <w:rsid w:val="00B2490A"/>
    <w:rsid w:val="00B249C1"/>
    <w:rsid w:val="00B250B9"/>
    <w:rsid w:val="00B25AA5"/>
    <w:rsid w:val="00B25CF9"/>
    <w:rsid w:val="00B26231"/>
    <w:rsid w:val="00B26750"/>
    <w:rsid w:val="00B26CB5"/>
    <w:rsid w:val="00B30DFA"/>
    <w:rsid w:val="00B322CB"/>
    <w:rsid w:val="00B324FA"/>
    <w:rsid w:val="00B3369F"/>
    <w:rsid w:val="00B336DC"/>
    <w:rsid w:val="00B33DB6"/>
    <w:rsid w:val="00B34BB1"/>
    <w:rsid w:val="00B35405"/>
    <w:rsid w:val="00B355A1"/>
    <w:rsid w:val="00B3682D"/>
    <w:rsid w:val="00B402D9"/>
    <w:rsid w:val="00B4215E"/>
    <w:rsid w:val="00B42942"/>
    <w:rsid w:val="00B42BE0"/>
    <w:rsid w:val="00B43A08"/>
    <w:rsid w:val="00B50235"/>
    <w:rsid w:val="00B5118C"/>
    <w:rsid w:val="00B5232C"/>
    <w:rsid w:val="00B52C99"/>
    <w:rsid w:val="00B54054"/>
    <w:rsid w:val="00B544DD"/>
    <w:rsid w:val="00B54819"/>
    <w:rsid w:val="00B548B0"/>
    <w:rsid w:val="00B54956"/>
    <w:rsid w:val="00B54D87"/>
    <w:rsid w:val="00B57B99"/>
    <w:rsid w:val="00B60D6B"/>
    <w:rsid w:val="00B6128C"/>
    <w:rsid w:val="00B61CFB"/>
    <w:rsid w:val="00B63811"/>
    <w:rsid w:val="00B63EF9"/>
    <w:rsid w:val="00B65091"/>
    <w:rsid w:val="00B65CFE"/>
    <w:rsid w:val="00B66DFA"/>
    <w:rsid w:val="00B66EBE"/>
    <w:rsid w:val="00B66EF0"/>
    <w:rsid w:val="00B6767B"/>
    <w:rsid w:val="00B7128C"/>
    <w:rsid w:val="00B71582"/>
    <w:rsid w:val="00B71656"/>
    <w:rsid w:val="00B72AFF"/>
    <w:rsid w:val="00B7320C"/>
    <w:rsid w:val="00B74957"/>
    <w:rsid w:val="00B765FB"/>
    <w:rsid w:val="00B771BD"/>
    <w:rsid w:val="00B8063A"/>
    <w:rsid w:val="00B81B83"/>
    <w:rsid w:val="00B82828"/>
    <w:rsid w:val="00B83D33"/>
    <w:rsid w:val="00B84C9F"/>
    <w:rsid w:val="00B857C2"/>
    <w:rsid w:val="00B86C78"/>
    <w:rsid w:val="00B86F18"/>
    <w:rsid w:val="00B87093"/>
    <w:rsid w:val="00B91189"/>
    <w:rsid w:val="00B913DF"/>
    <w:rsid w:val="00B91567"/>
    <w:rsid w:val="00B94A39"/>
    <w:rsid w:val="00B94E6C"/>
    <w:rsid w:val="00B9561F"/>
    <w:rsid w:val="00BA1BE3"/>
    <w:rsid w:val="00BA1F96"/>
    <w:rsid w:val="00BA1FFB"/>
    <w:rsid w:val="00BA2B62"/>
    <w:rsid w:val="00BA2CAD"/>
    <w:rsid w:val="00BA2E07"/>
    <w:rsid w:val="00BA33F0"/>
    <w:rsid w:val="00BA41FC"/>
    <w:rsid w:val="00BA42F2"/>
    <w:rsid w:val="00BA4C15"/>
    <w:rsid w:val="00BA4EB3"/>
    <w:rsid w:val="00BA59B3"/>
    <w:rsid w:val="00BA6DA7"/>
    <w:rsid w:val="00BB01F5"/>
    <w:rsid w:val="00BB0A04"/>
    <w:rsid w:val="00BB0E81"/>
    <w:rsid w:val="00BB1B38"/>
    <w:rsid w:val="00BB1DD9"/>
    <w:rsid w:val="00BB2E5D"/>
    <w:rsid w:val="00BB4606"/>
    <w:rsid w:val="00BB4C6A"/>
    <w:rsid w:val="00BB57B6"/>
    <w:rsid w:val="00BB722E"/>
    <w:rsid w:val="00BC082E"/>
    <w:rsid w:val="00BC4CAD"/>
    <w:rsid w:val="00BC50F7"/>
    <w:rsid w:val="00BC5354"/>
    <w:rsid w:val="00BC563C"/>
    <w:rsid w:val="00BC5A15"/>
    <w:rsid w:val="00BC5CAA"/>
    <w:rsid w:val="00BD0B4D"/>
    <w:rsid w:val="00BD1746"/>
    <w:rsid w:val="00BD2736"/>
    <w:rsid w:val="00BD640E"/>
    <w:rsid w:val="00BD67CB"/>
    <w:rsid w:val="00BD67DA"/>
    <w:rsid w:val="00BD7464"/>
    <w:rsid w:val="00BD7CA4"/>
    <w:rsid w:val="00BE14C1"/>
    <w:rsid w:val="00BE23A1"/>
    <w:rsid w:val="00BE2408"/>
    <w:rsid w:val="00BE2B1B"/>
    <w:rsid w:val="00BE3129"/>
    <w:rsid w:val="00BE4007"/>
    <w:rsid w:val="00BE4804"/>
    <w:rsid w:val="00BE4BE9"/>
    <w:rsid w:val="00BE594D"/>
    <w:rsid w:val="00BE7074"/>
    <w:rsid w:val="00BE777B"/>
    <w:rsid w:val="00BF0748"/>
    <w:rsid w:val="00BF1263"/>
    <w:rsid w:val="00BF15C4"/>
    <w:rsid w:val="00BF3212"/>
    <w:rsid w:val="00BF3D10"/>
    <w:rsid w:val="00BF4486"/>
    <w:rsid w:val="00BF48EB"/>
    <w:rsid w:val="00BF5C28"/>
    <w:rsid w:val="00BF6D6D"/>
    <w:rsid w:val="00BF6FD0"/>
    <w:rsid w:val="00BF7131"/>
    <w:rsid w:val="00BF7422"/>
    <w:rsid w:val="00C004AD"/>
    <w:rsid w:val="00C01183"/>
    <w:rsid w:val="00C02AC0"/>
    <w:rsid w:val="00C02D48"/>
    <w:rsid w:val="00C0330C"/>
    <w:rsid w:val="00C034B6"/>
    <w:rsid w:val="00C05216"/>
    <w:rsid w:val="00C07601"/>
    <w:rsid w:val="00C105E8"/>
    <w:rsid w:val="00C1191F"/>
    <w:rsid w:val="00C12A40"/>
    <w:rsid w:val="00C12B65"/>
    <w:rsid w:val="00C1311E"/>
    <w:rsid w:val="00C142B1"/>
    <w:rsid w:val="00C143BF"/>
    <w:rsid w:val="00C1581E"/>
    <w:rsid w:val="00C15902"/>
    <w:rsid w:val="00C16D85"/>
    <w:rsid w:val="00C17C8D"/>
    <w:rsid w:val="00C218B4"/>
    <w:rsid w:val="00C219AF"/>
    <w:rsid w:val="00C221CA"/>
    <w:rsid w:val="00C23100"/>
    <w:rsid w:val="00C23B81"/>
    <w:rsid w:val="00C23D2F"/>
    <w:rsid w:val="00C23E3E"/>
    <w:rsid w:val="00C24950"/>
    <w:rsid w:val="00C24D26"/>
    <w:rsid w:val="00C25BD7"/>
    <w:rsid w:val="00C26E3A"/>
    <w:rsid w:val="00C27443"/>
    <w:rsid w:val="00C32021"/>
    <w:rsid w:val="00C33ECF"/>
    <w:rsid w:val="00C34B18"/>
    <w:rsid w:val="00C35204"/>
    <w:rsid w:val="00C36176"/>
    <w:rsid w:val="00C363C6"/>
    <w:rsid w:val="00C36ACD"/>
    <w:rsid w:val="00C40CF4"/>
    <w:rsid w:val="00C40F45"/>
    <w:rsid w:val="00C41E21"/>
    <w:rsid w:val="00C42397"/>
    <w:rsid w:val="00C42689"/>
    <w:rsid w:val="00C42EC2"/>
    <w:rsid w:val="00C443BD"/>
    <w:rsid w:val="00C451C5"/>
    <w:rsid w:val="00C45F41"/>
    <w:rsid w:val="00C46E92"/>
    <w:rsid w:val="00C46F93"/>
    <w:rsid w:val="00C5190F"/>
    <w:rsid w:val="00C51D03"/>
    <w:rsid w:val="00C51F6B"/>
    <w:rsid w:val="00C52093"/>
    <w:rsid w:val="00C521A8"/>
    <w:rsid w:val="00C5276C"/>
    <w:rsid w:val="00C52AE5"/>
    <w:rsid w:val="00C5377F"/>
    <w:rsid w:val="00C544B1"/>
    <w:rsid w:val="00C54725"/>
    <w:rsid w:val="00C555C4"/>
    <w:rsid w:val="00C5564D"/>
    <w:rsid w:val="00C565DB"/>
    <w:rsid w:val="00C571A3"/>
    <w:rsid w:val="00C57B0A"/>
    <w:rsid w:val="00C60425"/>
    <w:rsid w:val="00C62AC7"/>
    <w:rsid w:val="00C63478"/>
    <w:rsid w:val="00C64AB2"/>
    <w:rsid w:val="00C65BC0"/>
    <w:rsid w:val="00C66BA4"/>
    <w:rsid w:val="00C66C36"/>
    <w:rsid w:val="00C6779E"/>
    <w:rsid w:val="00C679D1"/>
    <w:rsid w:val="00C70148"/>
    <w:rsid w:val="00C70A36"/>
    <w:rsid w:val="00C70E64"/>
    <w:rsid w:val="00C735F0"/>
    <w:rsid w:val="00C737BD"/>
    <w:rsid w:val="00C746E0"/>
    <w:rsid w:val="00C74DC7"/>
    <w:rsid w:val="00C772CB"/>
    <w:rsid w:val="00C8165A"/>
    <w:rsid w:val="00C8289E"/>
    <w:rsid w:val="00C832C3"/>
    <w:rsid w:val="00C8491B"/>
    <w:rsid w:val="00C84CE3"/>
    <w:rsid w:val="00C90E8A"/>
    <w:rsid w:val="00C912F8"/>
    <w:rsid w:val="00C9161D"/>
    <w:rsid w:val="00C91726"/>
    <w:rsid w:val="00C92C5B"/>
    <w:rsid w:val="00C935A1"/>
    <w:rsid w:val="00C9424B"/>
    <w:rsid w:val="00C97267"/>
    <w:rsid w:val="00C9782D"/>
    <w:rsid w:val="00C97980"/>
    <w:rsid w:val="00C97E0D"/>
    <w:rsid w:val="00CA0C1D"/>
    <w:rsid w:val="00CA1246"/>
    <w:rsid w:val="00CA15E0"/>
    <w:rsid w:val="00CA1A16"/>
    <w:rsid w:val="00CA2518"/>
    <w:rsid w:val="00CA3212"/>
    <w:rsid w:val="00CA3877"/>
    <w:rsid w:val="00CA498F"/>
    <w:rsid w:val="00CA65EE"/>
    <w:rsid w:val="00CA6731"/>
    <w:rsid w:val="00CA69C5"/>
    <w:rsid w:val="00CA7F60"/>
    <w:rsid w:val="00CB00EC"/>
    <w:rsid w:val="00CB0FFD"/>
    <w:rsid w:val="00CB1DDE"/>
    <w:rsid w:val="00CB49C1"/>
    <w:rsid w:val="00CB50E5"/>
    <w:rsid w:val="00CB5DBB"/>
    <w:rsid w:val="00CB5F56"/>
    <w:rsid w:val="00CB6EB6"/>
    <w:rsid w:val="00CC0268"/>
    <w:rsid w:val="00CC0632"/>
    <w:rsid w:val="00CC0F92"/>
    <w:rsid w:val="00CC1391"/>
    <w:rsid w:val="00CC1483"/>
    <w:rsid w:val="00CC1802"/>
    <w:rsid w:val="00CC2E8B"/>
    <w:rsid w:val="00CC3BA5"/>
    <w:rsid w:val="00CC4DBE"/>
    <w:rsid w:val="00CC62F9"/>
    <w:rsid w:val="00CC645C"/>
    <w:rsid w:val="00CC6DFE"/>
    <w:rsid w:val="00CC7D26"/>
    <w:rsid w:val="00CD011E"/>
    <w:rsid w:val="00CD12E1"/>
    <w:rsid w:val="00CD13AB"/>
    <w:rsid w:val="00CD1B9D"/>
    <w:rsid w:val="00CD285B"/>
    <w:rsid w:val="00CD3287"/>
    <w:rsid w:val="00CD40A1"/>
    <w:rsid w:val="00CD41FD"/>
    <w:rsid w:val="00CD44C2"/>
    <w:rsid w:val="00CD72F9"/>
    <w:rsid w:val="00CE08B1"/>
    <w:rsid w:val="00CE24B9"/>
    <w:rsid w:val="00CE32DF"/>
    <w:rsid w:val="00CF0E60"/>
    <w:rsid w:val="00CF1848"/>
    <w:rsid w:val="00CF429E"/>
    <w:rsid w:val="00CF4531"/>
    <w:rsid w:val="00CF5E0D"/>
    <w:rsid w:val="00CF6088"/>
    <w:rsid w:val="00CF7A53"/>
    <w:rsid w:val="00D006A5"/>
    <w:rsid w:val="00D01D2A"/>
    <w:rsid w:val="00D04754"/>
    <w:rsid w:val="00D052AA"/>
    <w:rsid w:val="00D06CBF"/>
    <w:rsid w:val="00D12044"/>
    <w:rsid w:val="00D1264A"/>
    <w:rsid w:val="00D126B0"/>
    <w:rsid w:val="00D1560D"/>
    <w:rsid w:val="00D15FD0"/>
    <w:rsid w:val="00D16C09"/>
    <w:rsid w:val="00D17153"/>
    <w:rsid w:val="00D17489"/>
    <w:rsid w:val="00D17959"/>
    <w:rsid w:val="00D17A2C"/>
    <w:rsid w:val="00D20325"/>
    <w:rsid w:val="00D21595"/>
    <w:rsid w:val="00D2210E"/>
    <w:rsid w:val="00D22A07"/>
    <w:rsid w:val="00D23654"/>
    <w:rsid w:val="00D24D1E"/>
    <w:rsid w:val="00D26A49"/>
    <w:rsid w:val="00D277BB"/>
    <w:rsid w:val="00D302E9"/>
    <w:rsid w:val="00D3210C"/>
    <w:rsid w:val="00D33EFC"/>
    <w:rsid w:val="00D35D2A"/>
    <w:rsid w:val="00D36142"/>
    <w:rsid w:val="00D40267"/>
    <w:rsid w:val="00D40330"/>
    <w:rsid w:val="00D40DBC"/>
    <w:rsid w:val="00D410B3"/>
    <w:rsid w:val="00D428DC"/>
    <w:rsid w:val="00D43846"/>
    <w:rsid w:val="00D44195"/>
    <w:rsid w:val="00D45BE8"/>
    <w:rsid w:val="00D4711D"/>
    <w:rsid w:val="00D47887"/>
    <w:rsid w:val="00D47FD0"/>
    <w:rsid w:val="00D51313"/>
    <w:rsid w:val="00D522A0"/>
    <w:rsid w:val="00D5251C"/>
    <w:rsid w:val="00D52B44"/>
    <w:rsid w:val="00D55028"/>
    <w:rsid w:val="00D55591"/>
    <w:rsid w:val="00D5577F"/>
    <w:rsid w:val="00D5699B"/>
    <w:rsid w:val="00D56E00"/>
    <w:rsid w:val="00D57454"/>
    <w:rsid w:val="00D576A6"/>
    <w:rsid w:val="00D607A2"/>
    <w:rsid w:val="00D60BCC"/>
    <w:rsid w:val="00D61014"/>
    <w:rsid w:val="00D6139F"/>
    <w:rsid w:val="00D61474"/>
    <w:rsid w:val="00D61A04"/>
    <w:rsid w:val="00D62B28"/>
    <w:rsid w:val="00D62C14"/>
    <w:rsid w:val="00D63529"/>
    <w:rsid w:val="00D64895"/>
    <w:rsid w:val="00D64E85"/>
    <w:rsid w:val="00D66D8F"/>
    <w:rsid w:val="00D67DBE"/>
    <w:rsid w:val="00D725A8"/>
    <w:rsid w:val="00D72893"/>
    <w:rsid w:val="00D73087"/>
    <w:rsid w:val="00D73BBD"/>
    <w:rsid w:val="00D76A18"/>
    <w:rsid w:val="00D76B9E"/>
    <w:rsid w:val="00D76F59"/>
    <w:rsid w:val="00D80849"/>
    <w:rsid w:val="00D80CCD"/>
    <w:rsid w:val="00D80EA8"/>
    <w:rsid w:val="00D80F3B"/>
    <w:rsid w:val="00D80F79"/>
    <w:rsid w:val="00D8119E"/>
    <w:rsid w:val="00D827FA"/>
    <w:rsid w:val="00D82E8F"/>
    <w:rsid w:val="00D85AA6"/>
    <w:rsid w:val="00D91379"/>
    <w:rsid w:val="00D920F2"/>
    <w:rsid w:val="00D9487D"/>
    <w:rsid w:val="00D94938"/>
    <w:rsid w:val="00D96C60"/>
    <w:rsid w:val="00D97035"/>
    <w:rsid w:val="00D97281"/>
    <w:rsid w:val="00D973CF"/>
    <w:rsid w:val="00D97BAA"/>
    <w:rsid w:val="00DA1AB1"/>
    <w:rsid w:val="00DA22CE"/>
    <w:rsid w:val="00DA2707"/>
    <w:rsid w:val="00DA33EA"/>
    <w:rsid w:val="00DA568E"/>
    <w:rsid w:val="00DA671F"/>
    <w:rsid w:val="00DA7757"/>
    <w:rsid w:val="00DA7904"/>
    <w:rsid w:val="00DB220B"/>
    <w:rsid w:val="00DB4176"/>
    <w:rsid w:val="00DB5790"/>
    <w:rsid w:val="00DB5BA7"/>
    <w:rsid w:val="00DB61C4"/>
    <w:rsid w:val="00DB77F5"/>
    <w:rsid w:val="00DC15D9"/>
    <w:rsid w:val="00DC16AC"/>
    <w:rsid w:val="00DC1958"/>
    <w:rsid w:val="00DC2B94"/>
    <w:rsid w:val="00DC3770"/>
    <w:rsid w:val="00DC3B88"/>
    <w:rsid w:val="00DC3C00"/>
    <w:rsid w:val="00DC4EA3"/>
    <w:rsid w:val="00DC70BE"/>
    <w:rsid w:val="00DC7834"/>
    <w:rsid w:val="00DD0BE2"/>
    <w:rsid w:val="00DD118C"/>
    <w:rsid w:val="00DD2E9D"/>
    <w:rsid w:val="00DD492F"/>
    <w:rsid w:val="00DD5B17"/>
    <w:rsid w:val="00DD6216"/>
    <w:rsid w:val="00DD78CF"/>
    <w:rsid w:val="00DE14DF"/>
    <w:rsid w:val="00DE1A56"/>
    <w:rsid w:val="00DE1ADD"/>
    <w:rsid w:val="00DE1E7F"/>
    <w:rsid w:val="00DE3AE6"/>
    <w:rsid w:val="00DE442E"/>
    <w:rsid w:val="00DE48CA"/>
    <w:rsid w:val="00DE4D8B"/>
    <w:rsid w:val="00DE5BB4"/>
    <w:rsid w:val="00DE7DF7"/>
    <w:rsid w:val="00DF09A3"/>
    <w:rsid w:val="00DF0D32"/>
    <w:rsid w:val="00DF2F43"/>
    <w:rsid w:val="00DF3681"/>
    <w:rsid w:val="00DF5882"/>
    <w:rsid w:val="00DF614E"/>
    <w:rsid w:val="00DF6370"/>
    <w:rsid w:val="00DF64AA"/>
    <w:rsid w:val="00DF7EF3"/>
    <w:rsid w:val="00E00720"/>
    <w:rsid w:val="00E0162D"/>
    <w:rsid w:val="00E01C88"/>
    <w:rsid w:val="00E029A9"/>
    <w:rsid w:val="00E02D91"/>
    <w:rsid w:val="00E03B2D"/>
    <w:rsid w:val="00E046E8"/>
    <w:rsid w:val="00E05087"/>
    <w:rsid w:val="00E0616C"/>
    <w:rsid w:val="00E070C7"/>
    <w:rsid w:val="00E1137C"/>
    <w:rsid w:val="00E129FB"/>
    <w:rsid w:val="00E1524A"/>
    <w:rsid w:val="00E15315"/>
    <w:rsid w:val="00E15363"/>
    <w:rsid w:val="00E167FA"/>
    <w:rsid w:val="00E16BD6"/>
    <w:rsid w:val="00E16F03"/>
    <w:rsid w:val="00E1717D"/>
    <w:rsid w:val="00E176C0"/>
    <w:rsid w:val="00E17D4E"/>
    <w:rsid w:val="00E21635"/>
    <w:rsid w:val="00E236E8"/>
    <w:rsid w:val="00E242B4"/>
    <w:rsid w:val="00E25896"/>
    <w:rsid w:val="00E25A64"/>
    <w:rsid w:val="00E30ACD"/>
    <w:rsid w:val="00E32AE0"/>
    <w:rsid w:val="00E33126"/>
    <w:rsid w:val="00E339DA"/>
    <w:rsid w:val="00E343EB"/>
    <w:rsid w:val="00E344C3"/>
    <w:rsid w:val="00E35353"/>
    <w:rsid w:val="00E359B1"/>
    <w:rsid w:val="00E35E6E"/>
    <w:rsid w:val="00E3748B"/>
    <w:rsid w:val="00E379AA"/>
    <w:rsid w:val="00E37F17"/>
    <w:rsid w:val="00E37F19"/>
    <w:rsid w:val="00E40479"/>
    <w:rsid w:val="00E414EE"/>
    <w:rsid w:val="00E4155A"/>
    <w:rsid w:val="00E42357"/>
    <w:rsid w:val="00E43C61"/>
    <w:rsid w:val="00E43D88"/>
    <w:rsid w:val="00E43FFE"/>
    <w:rsid w:val="00E444EF"/>
    <w:rsid w:val="00E44718"/>
    <w:rsid w:val="00E4474F"/>
    <w:rsid w:val="00E454A4"/>
    <w:rsid w:val="00E46301"/>
    <w:rsid w:val="00E46D25"/>
    <w:rsid w:val="00E46FB3"/>
    <w:rsid w:val="00E47141"/>
    <w:rsid w:val="00E51C7F"/>
    <w:rsid w:val="00E51F49"/>
    <w:rsid w:val="00E526F9"/>
    <w:rsid w:val="00E5327F"/>
    <w:rsid w:val="00E53376"/>
    <w:rsid w:val="00E55750"/>
    <w:rsid w:val="00E55E25"/>
    <w:rsid w:val="00E601DD"/>
    <w:rsid w:val="00E6100A"/>
    <w:rsid w:val="00E61C61"/>
    <w:rsid w:val="00E64A87"/>
    <w:rsid w:val="00E66235"/>
    <w:rsid w:val="00E664AF"/>
    <w:rsid w:val="00E667F7"/>
    <w:rsid w:val="00E70D54"/>
    <w:rsid w:val="00E70EDC"/>
    <w:rsid w:val="00E723CE"/>
    <w:rsid w:val="00E7320C"/>
    <w:rsid w:val="00E7337D"/>
    <w:rsid w:val="00E73564"/>
    <w:rsid w:val="00E73F23"/>
    <w:rsid w:val="00E73F71"/>
    <w:rsid w:val="00E7439C"/>
    <w:rsid w:val="00E747AA"/>
    <w:rsid w:val="00E7495E"/>
    <w:rsid w:val="00E75811"/>
    <w:rsid w:val="00E76653"/>
    <w:rsid w:val="00E80203"/>
    <w:rsid w:val="00E80680"/>
    <w:rsid w:val="00E80F63"/>
    <w:rsid w:val="00E810E5"/>
    <w:rsid w:val="00E81D98"/>
    <w:rsid w:val="00E82470"/>
    <w:rsid w:val="00E83C24"/>
    <w:rsid w:val="00E843A4"/>
    <w:rsid w:val="00E84694"/>
    <w:rsid w:val="00E859FA"/>
    <w:rsid w:val="00E86954"/>
    <w:rsid w:val="00E86C12"/>
    <w:rsid w:val="00E876B9"/>
    <w:rsid w:val="00E87817"/>
    <w:rsid w:val="00E87BCD"/>
    <w:rsid w:val="00E9016C"/>
    <w:rsid w:val="00E90509"/>
    <w:rsid w:val="00E909B5"/>
    <w:rsid w:val="00E90BA0"/>
    <w:rsid w:val="00E90F30"/>
    <w:rsid w:val="00E91A12"/>
    <w:rsid w:val="00E9216A"/>
    <w:rsid w:val="00E92228"/>
    <w:rsid w:val="00E9318D"/>
    <w:rsid w:val="00E94271"/>
    <w:rsid w:val="00E9687E"/>
    <w:rsid w:val="00E97BED"/>
    <w:rsid w:val="00EA032E"/>
    <w:rsid w:val="00EA04BF"/>
    <w:rsid w:val="00EA0B89"/>
    <w:rsid w:val="00EA0DDE"/>
    <w:rsid w:val="00EA23A7"/>
    <w:rsid w:val="00EA34B5"/>
    <w:rsid w:val="00EA37C3"/>
    <w:rsid w:val="00EA4572"/>
    <w:rsid w:val="00EA4818"/>
    <w:rsid w:val="00EA5786"/>
    <w:rsid w:val="00EA58F6"/>
    <w:rsid w:val="00EA59FC"/>
    <w:rsid w:val="00EA63E7"/>
    <w:rsid w:val="00EA77AB"/>
    <w:rsid w:val="00EB0015"/>
    <w:rsid w:val="00EB0CE8"/>
    <w:rsid w:val="00EB1B7C"/>
    <w:rsid w:val="00EB368B"/>
    <w:rsid w:val="00EB3945"/>
    <w:rsid w:val="00EB3A8C"/>
    <w:rsid w:val="00EB48E0"/>
    <w:rsid w:val="00EB4D96"/>
    <w:rsid w:val="00EB5330"/>
    <w:rsid w:val="00EB5856"/>
    <w:rsid w:val="00EB59B3"/>
    <w:rsid w:val="00EB6B47"/>
    <w:rsid w:val="00EC0C8D"/>
    <w:rsid w:val="00EC1743"/>
    <w:rsid w:val="00EC1F48"/>
    <w:rsid w:val="00EC2BCB"/>
    <w:rsid w:val="00EC3240"/>
    <w:rsid w:val="00EC3CEF"/>
    <w:rsid w:val="00EC4543"/>
    <w:rsid w:val="00EC6683"/>
    <w:rsid w:val="00EC6838"/>
    <w:rsid w:val="00EC6A9A"/>
    <w:rsid w:val="00EC73EE"/>
    <w:rsid w:val="00EC75DC"/>
    <w:rsid w:val="00EC7E3A"/>
    <w:rsid w:val="00ED13B3"/>
    <w:rsid w:val="00ED1A74"/>
    <w:rsid w:val="00ED2D6B"/>
    <w:rsid w:val="00ED371D"/>
    <w:rsid w:val="00ED4562"/>
    <w:rsid w:val="00ED4791"/>
    <w:rsid w:val="00ED61EC"/>
    <w:rsid w:val="00ED7DBD"/>
    <w:rsid w:val="00ED7E65"/>
    <w:rsid w:val="00EE04A1"/>
    <w:rsid w:val="00EE14A5"/>
    <w:rsid w:val="00EE219E"/>
    <w:rsid w:val="00EE41E0"/>
    <w:rsid w:val="00EE452C"/>
    <w:rsid w:val="00EE45C4"/>
    <w:rsid w:val="00EE4A08"/>
    <w:rsid w:val="00EE4A8B"/>
    <w:rsid w:val="00EE4F62"/>
    <w:rsid w:val="00EE668A"/>
    <w:rsid w:val="00EE7E7F"/>
    <w:rsid w:val="00EF0A46"/>
    <w:rsid w:val="00EF2BBB"/>
    <w:rsid w:val="00EF4B29"/>
    <w:rsid w:val="00EF5F6D"/>
    <w:rsid w:val="00EF7CEA"/>
    <w:rsid w:val="00F009E1"/>
    <w:rsid w:val="00F00FE0"/>
    <w:rsid w:val="00F0183E"/>
    <w:rsid w:val="00F021BC"/>
    <w:rsid w:val="00F02442"/>
    <w:rsid w:val="00F03144"/>
    <w:rsid w:val="00F03635"/>
    <w:rsid w:val="00F03C9E"/>
    <w:rsid w:val="00F04CB3"/>
    <w:rsid w:val="00F05678"/>
    <w:rsid w:val="00F0567B"/>
    <w:rsid w:val="00F06695"/>
    <w:rsid w:val="00F1023D"/>
    <w:rsid w:val="00F108F9"/>
    <w:rsid w:val="00F10D3E"/>
    <w:rsid w:val="00F1181A"/>
    <w:rsid w:val="00F12441"/>
    <w:rsid w:val="00F13D16"/>
    <w:rsid w:val="00F17A5F"/>
    <w:rsid w:val="00F208B0"/>
    <w:rsid w:val="00F23297"/>
    <w:rsid w:val="00F25113"/>
    <w:rsid w:val="00F2599E"/>
    <w:rsid w:val="00F26969"/>
    <w:rsid w:val="00F271C3"/>
    <w:rsid w:val="00F302C1"/>
    <w:rsid w:val="00F30785"/>
    <w:rsid w:val="00F30EA2"/>
    <w:rsid w:val="00F32D42"/>
    <w:rsid w:val="00F34112"/>
    <w:rsid w:val="00F3615E"/>
    <w:rsid w:val="00F36436"/>
    <w:rsid w:val="00F365F4"/>
    <w:rsid w:val="00F36791"/>
    <w:rsid w:val="00F3735E"/>
    <w:rsid w:val="00F407C2"/>
    <w:rsid w:val="00F40C02"/>
    <w:rsid w:val="00F40E95"/>
    <w:rsid w:val="00F411EF"/>
    <w:rsid w:val="00F426A1"/>
    <w:rsid w:val="00F42972"/>
    <w:rsid w:val="00F42CEF"/>
    <w:rsid w:val="00F43AD4"/>
    <w:rsid w:val="00F4465B"/>
    <w:rsid w:val="00F44F05"/>
    <w:rsid w:val="00F4545E"/>
    <w:rsid w:val="00F479B6"/>
    <w:rsid w:val="00F505FE"/>
    <w:rsid w:val="00F50DA9"/>
    <w:rsid w:val="00F5172B"/>
    <w:rsid w:val="00F51827"/>
    <w:rsid w:val="00F5219B"/>
    <w:rsid w:val="00F53193"/>
    <w:rsid w:val="00F5361C"/>
    <w:rsid w:val="00F54344"/>
    <w:rsid w:val="00F55843"/>
    <w:rsid w:val="00F568EC"/>
    <w:rsid w:val="00F57CFC"/>
    <w:rsid w:val="00F57EE9"/>
    <w:rsid w:val="00F60035"/>
    <w:rsid w:val="00F611D3"/>
    <w:rsid w:val="00F61419"/>
    <w:rsid w:val="00F61BF1"/>
    <w:rsid w:val="00F6260C"/>
    <w:rsid w:val="00F6326B"/>
    <w:rsid w:val="00F63656"/>
    <w:rsid w:val="00F639ED"/>
    <w:rsid w:val="00F65683"/>
    <w:rsid w:val="00F6586C"/>
    <w:rsid w:val="00F660B9"/>
    <w:rsid w:val="00F66399"/>
    <w:rsid w:val="00F67887"/>
    <w:rsid w:val="00F679CE"/>
    <w:rsid w:val="00F70ECA"/>
    <w:rsid w:val="00F718A6"/>
    <w:rsid w:val="00F71F6E"/>
    <w:rsid w:val="00F72191"/>
    <w:rsid w:val="00F722ED"/>
    <w:rsid w:val="00F749BF"/>
    <w:rsid w:val="00F77743"/>
    <w:rsid w:val="00F80545"/>
    <w:rsid w:val="00F80638"/>
    <w:rsid w:val="00F8071E"/>
    <w:rsid w:val="00F80F42"/>
    <w:rsid w:val="00F818C1"/>
    <w:rsid w:val="00F82151"/>
    <w:rsid w:val="00F82E2D"/>
    <w:rsid w:val="00F84541"/>
    <w:rsid w:val="00F85257"/>
    <w:rsid w:val="00F856DB"/>
    <w:rsid w:val="00F861E3"/>
    <w:rsid w:val="00F86847"/>
    <w:rsid w:val="00F87382"/>
    <w:rsid w:val="00F90198"/>
    <w:rsid w:val="00F924C5"/>
    <w:rsid w:val="00F9268A"/>
    <w:rsid w:val="00F93F72"/>
    <w:rsid w:val="00F94072"/>
    <w:rsid w:val="00F94774"/>
    <w:rsid w:val="00FA016D"/>
    <w:rsid w:val="00FA0D41"/>
    <w:rsid w:val="00FA1374"/>
    <w:rsid w:val="00FA1CBE"/>
    <w:rsid w:val="00FA1F08"/>
    <w:rsid w:val="00FA2184"/>
    <w:rsid w:val="00FA22F3"/>
    <w:rsid w:val="00FA2C39"/>
    <w:rsid w:val="00FA4F01"/>
    <w:rsid w:val="00FA663B"/>
    <w:rsid w:val="00FB0024"/>
    <w:rsid w:val="00FB0D01"/>
    <w:rsid w:val="00FB1486"/>
    <w:rsid w:val="00FB1843"/>
    <w:rsid w:val="00FB28FC"/>
    <w:rsid w:val="00FB2A95"/>
    <w:rsid w:val="00FB2DD5"/>
    <w:rsid w:val="00FB485E"/>
    <w:rsid w:val="00FB65E4"/>
    <w:rsid w:val="00FB6708"/>
    <w:rsid w:val="00FB6CC0"/>
    <w:rsid w:val="00FB70A9"/>
    <w:rsid w:val="00FB7B5C"/>
    <w:rsid w:val="00FC04D6"/>
    <w:rsid w:val="00FC0513"/>
    <w:rsid w:val="00FC0B60"/>
    <w:rsid w:val="00FC4A32"/>
    <w:rsid w:val="00FC4C3E"/>
    <w:rsid w:val="00FC53DB"/>
    <w:rsid w:val="00FC5780"/>
    <w:rsid w:val="00FC6565"/>
    <w:rsid w:val="00FC65F8"/>
    <w:rsid w:val="00FC754D"/>
    <w:rsid w:val="00FD09D4"/>
    <w:rsid w:val="00FD1BAB"/>
    <w:rsid w:val="00FD1E98"/>
    <w:rsid w:val="00FD2FFC"/>
    <w:rsid w:val="00FD322C"/>
    <w:rsid w:val="00FD47FE"/>
    <w:rsid w:val="00FD5E27"/>
    <w:rsid w:val="00FE0337"/>
    <w:rsid w:val="00FE181F"/>
    <w:rsid w:val="00FE1849"/>
    <w:rsid w:val="00FE220A"/>
    <w:rsid w:val="00FE32F2"/>
    <w:rsid w:val="00FE4C2B"/>
    <w:rsid w:val="00FE5D19"/>
    <w:rsid w:val="00FF003C"/>
    <w:rsid w:val="00FF0380"/>
    <w:rsid w:val="00FF0DA4"/>
    <w:rsid w:val="00FF0ECF"/>
    <w:rsid w:val="00FF19A9"/>
    <w:rsid w:val="00FF2FDC"/>
    <w:rsid w:val="00FF4143"/>
    <w:rsid w:val="00FF5028"/>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44B5DE"/>
  <w15:docId w15:val="{1A3B472F-C21F-4BCD-9D15-6B400C023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uiPriority w:val="9"/>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uiPriority w:val="9"/>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uiPriority w:val="99"/>
    <w:rsid w:val="007E09DA"/>
    <w:pPr>
      <w:tabs>
        <w:tab w:val="center" w:pos="4320"/>
        <w:tab w:val="right" w:pos="8640"/>
      </w:tabs>
    </w:pPr>
  </w:style>
  <w:style w:type="character" w:customStyle="1" w:styleId="HeaderChar">
    <w:name w:val="Header Char"/>
    <w:basedOn w:val="DefaultParagraphFont"/>
    <w:link w:val="Header"/>
    <w:uiPriority w:val="99"/>
    <w:rsid w:val="00CF1848"/>
    <w:rPr>
      <w:rFonts w:ascii="Times New Roman" w:eastAsia="Times New Roman" w:hAnsi="Times New Roman" w:cs="Times New Roman"/>
      <w:sz w:val="22"/>
      <w:lang w:val="en-GB"/>
    </w:rPr>
  </w:style>
  <w:style w:type="paragraph" w:styleId="Footer">
    <w:name w:val="footer"/>
    <w:basedOn w:val="Normal"/>
    <w:link w:val="FooterChar"/>
    <w:uiPriority w:val="99"/>
    <w:rsid w:val="007E09DA"/>
    <w:pPr>
      <w:tabs>
        <w:tab w:val="center" w:pos="4320"/>
        <w:tab w:val="right" w:pos="8640"/>
      </w:tabs>
      <w:ind w:firstLine="720"/>
      <w:jc w:val="right"/>
    </w:pPr>
  </w:style>
  <w:style w:type="character" w:customStyle="1" w:styleId="FooterChar">
    <w:name w:val="Footer Char"/>
    <w:basedOn w:val="DefaultParagraphFont"/>
    <w:link w:val="Footer"/>
    <w:uiPriority w:val="99"/>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uiPriority w:val="99"/>
    <w:semiHidden/>
    <w:rsid w:val="007E09DA"/>
    <w:rPr>
      <w:sz w:val="16"/>
    </w:rPr>
  </w:style>
  <w:style w:type="paragraph" w:styleId="CommentText">
    <w:name w:val="annotation text"/>
    <w:basedOn w:val="Normal"/>
    <w:link w:val="CommentTextChar"/>
    <w:uiPriority w:val="99"/>
    <w:semiHidden/>
    <w:rsid w:val="007E09DA"/>
    <w:pPr>
      <w:spacing w:after="120" w:line="240" w:lineRule="exact"/>
    </w:pPr>
  </w:style>
  <w:style w:type="character" w:customStyle="1" w:styleId="CommentTextChar">
    <w:name w:val="Comment Text Char"/>
    <w:basedOn w:val="DefaultParagraphFont"/>
    <w:link w:val="CommentText"/>
    <w:uiPriority w:val="99"/>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uiPriority w:val="9"/>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uiPriority w:val="9"/>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uiPriority w:val="9"/>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3"/>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4"/>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5"/>
      </w:numPr>
      <w:spacing w:after="120"/>
    </w:pPr>
    <w:rPr>
      <w:rFonts w:cs="Angsana New"/>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
    <w:basedOn w:val="Normal"/>
    <w:link w:val="ListParagraphChar"/>
    <w:uiPriority w:val="34"/>
    <w:qFormat/>
    <w:rsid w:val="00492C02"/>
    <w:pPr>
      <w:spacing w:before="120" w:after="120"/>
      <w:ind w:left="720"/>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character" w:customStyle="1" w:styleId="UnresolvedMention1">
    <w:name w:val="Unresolved Mention1"/>
    <w:basedOn w:val="DefaultParagraphFont"/>
    <w:uiPriority w:val="99"/>
    <w:semiHidden/>
    <w:unhideWhenUsed/>
    <w:rsid w:val="00EB4D9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60D6B"/>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B60D6B"/>
    <w:rPr>
      <w:rFonts w:ascii="Times New Roman" w:eastAsia="Times New Roman" w:hAnsi="Times New Roman" w:cs="Times New Roman"/>
      <w:b/>
      <w:bCs/>
      <w:sz w:val="20"/>
      <w:szCs w:val="20"/>
      <w:lang w:val="en-GB"/>
    </w:rPr>
  </w:style>
  <w:style w:type="character" w:styleId="UnresolvedMention">
    <w:name w:val="Unresolved Mention"/>
    <w:basedOn w:val="DefaultParagraphFont"/>
    <w:uiPriority w:val="99"/>
    <w:semiHidden/>
    <w:unhideWhenUsed/>
    <w:rsid w:val="00A62E3D"/>
    <w:rPr>
      <w:color w:val="605E5C"/>
      <w:shd w:val="clear" w:color="auto" w:fill="E1DFDD"/>
    </w:rPr>
  </w:style>
  <w:style w:type="character" w:customStyle="1" w:styleId="normaltextrun">
    <w:name w:val="normaltextrun"/>
    <w:basedOn w:val="DefaultParagraphFont"/>
    <w:rsid w:val="00A90EB2"/>
  </w:style>
  <w:style w:type="character" w:customStyle="1" w:styleId="eop">
    <w:name w:val="eop"/>
    <w:basedOn w:val="DefaultParagraphFont"/>
    <w:rsid w:val="00A90EB2"/>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locked/>
    <w:rsid w:val="00A90EB2"/>
    <w:rPr>
      <w:rFonts w:ascii="Times New Roman" w:eastAsia="Times New Roman" w:hAnsi="Times New Roman" w:cs="Times New Roman"/>
      <w:sz w:val="22"/>
      <w:lang w:val="en-GB"/>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F679CE"/>
    <w:pPr>
      <w:spacing w:after="160" w:line="240" w:lineRule="exact"/>
      <w:jc w:val="left"/>
    </w:pPr>
    <w:rPr>
      <w:rFonts w:asciiTheme="minorHAnsi" w:eastAsiaTheme="minorEastAsia" w:hAnsiTheme="minorHAnsi" w:cstheme="minorBidi"/>
      <w:vertAlign w:val="superscript"/>
      <w:lang w:val="fr-CA"/>
    </w:rPr>
  </w:style>
  <w:style w:type="character" w:customStyle="1" w:styleId="ng-binding">
    <w:name w:val="ng-binding"/>
    <w:basedOn w:val="DefaultParagraphFont"/>
    <w:rsid w:val="00610AAA"/>
  </w:style>
  <w:style w:type="paragraph" w:styleId="Revision">
    <w:name w:val="Revision"/>
    <w:hidden/>
    <w:uiPriority w:val="99"/>
    <w:semiHidden/>
    <w:rsid w:val="00CC2E8B"/>
    <w:rPr>
      <w:rFonts w:ascii="Times New Roman" w:eastAsia="Times New Roman" w:hAnsi="Times New Roman" w:cs="Times New Roman"/>
      <w:sz w:val="22"/>
      <w:lang w:val="en-GB"/>
    </w:rPr>
  </w:style>
  <w:style w:type="character" w:styleId="Strong">
    <w:name w:val="Strong"/>
    <w:basedOn w:val="DefaultParagraphFont"/>
    <w:uiPriority w:val="22"/>
    <w:qFormat/>
    <w:rsid w:val="005402C5"/>
    <w:rPr>
      <w:b/>
      <w:bCs/>
    </w:rPr>
  </w:style>
  <w:style w:type="character" w:customStyle="1" w:styleId="preferred">
    <w:name w:val="preferred"/>
    <w:basedOn w:val="DefaultParagraphFont"/>
    <w:rsid w:val="00612A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317774">
      <w:bodyDiv w:val="1"/>
      <w:marLeft w:val="0"/>
      <w:marRight w:val="0"/>
      <w:marTop w:val="0"/>
      <w:marBottom w:val="0"/>
      <w:divBdr>
        <w:top w:val="none" w:sz="0" w:space="0" w:color="auto"/>
        <w:left w:val="none" w:sz="0" w:space="0" w:color="auto"/>
        <w:bottom w:val="none" w:sz="0" w:space="0" w:color="auto"/>
        <w:right w:val="none" w:sz="0" w:space="0" w:color="auto"/>
      </w:divBdr>
    </w:div>
    <w:div w:id="245769266">
      <w:bodyDiv w:val="1"/>
      <w:marLeft w:val="0"/>
      <w:marRight w:val="0"/>
      <w:marTop w:val="0"/>
      <w:marBottom w:val="0"/>
      <w:divBdr>
        <w:top w:val="none" w:sz="0" w:space="0" w:color="auto"/>
        <w:left w:val="none" w:sz="0" w:space="0" w:color="auto"/>
        <w:bottom w:val="none" w:sz="0" w:space="0" w:color="auto"/>
        <w:right w:val="none" w:sz="0" w:space="0" w:color="auto"/>
      </w:divBdr>
    </w:div>
    <w:div w:id="552036201">
      <w:bodyDiv w:val="1"/>
      <w:marLeft w:val="0"/>
      <w:marRight w:val="0"/>
      <w:marTop w:val="0"/>
      <w:marBottom w:val="0"/>
      <w:divBdr>
        <w:top w:val="none" w:sz="0" w:space="0" w:color="auto"/>
        <w:left w:val="none" w:sz="0" w:space="0" w:color="auto"/>
        <w:bottom w:val="none" w:sz="0" w:space="0" w:color="auto"/>
        <w:right w:val="none" w:sz="0" w:space="0" w:color="auto"/>
      </w:divBdr>
    </w:div>
    <w:div w:id="785275091">
      <w:bodyDiv w:val="1"/>
      <w:marLeft w:val="0"/>
      <w:marRight w:val="0"/>
      <w:marTop w:val="0"/>
      <w:marBottom w:val="0"/>
      <w:divBdr>
        <w:top w:val="none" w:sz="0" w:space="0" w:color="auto"/>
        <w:left w:val="none" w:sz="0" w:space="0" w:color="auto"/>
        <w:bottom w:val="none" w:sz="0" w:space="0" w:color="auto"/>
        <w:right w:val="none" w:sz="0" w:space="0" w:color="auto"/>
      </w:divBdr>
    </w:div>
    <w:div w:id="943271336">
      <w:bodyDiv w:val="1"/>
      <w:marLeft w:val="0"/>
      <w:marRight w:val="0"/>
      <w:marTop w:val="0"/>
      <w:marBottom w:val="0"/>
      <w:divBdr>
        <w:top w:val="none" w:sz="0" w:space="0" w:color="auto"/>
        <w:left w:val="none" w:sz="0" w:space="0" w:color="auto"/>
        <w:bottom w:val="none" w:sz="0" w:space="0" w:color="auto"/>
        <w:right w:val="none" w:sz="0" w:space="0" w:color="auto"/>
      </w:divBdr>
    </w:div>
    <w:div w:id="1566642657">
      <w:bodyDiv w:val="1"/>
      <w:marLeft w:val="0"/>
      <w:marRight w:val="0"/>
      <w:marTop w:val="0"/>
      <w:marBottom w:val="0"/>
      <w:divBdr>
        <w:top w:val="none" w:sz="0" w:space="0" w:color="auto"/>
        <w:left w:val="none" w:sz="0" w:space="0" w:color="auto"/>
        <w:bottom w:val="none" w:sz="0" w:space="0" w:color="auto"/>
        <w:right w:val="none" w:sz="0" w:space="0" w:color="auto"/>
      </w:divBdr>
    </w:div>
    <w:div w:id="1648778180">
      <w:bodyDiv w:val="1"/>
      <w:marLeft w:val="0"/>
      <w:marRight w:val="0"/>
      <w:marTop w:val="0"/>
      <w:marBottom w:val="0"/>
      <w:divBdr>
        <w:top w:val="none" w:sz="0" w:space="0" w:color="auto"/>
        <w:left w:val="none" w:sz="0" w:space="0" w:color="auto"/>
        <w:bottom w:val="none" w:sz="0" w:space="0" w:color="auto"/>
        <w:right w:val="none" w:sz="0" w:space="0" w:color="auto"/>
      </w:divBdr>
    </w:div>
    <w:div w:id="20785507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26" Type="http://schemas.openxmlformats.org/officeDocument/2006/relationships/hyperlink" Target="https://www.protectedplanet.net/en" TargetMode="External"/><Relationship Id="rId39" Type="http://schemas.openxmlformats.org/officeDocument/2006/relationships/hyperlink" Target="https://urban-data-guo-un-habitat.hub.arcgis.com/documents/metadata-on-sdg-indicator-11-7-1/explore" TargetMode="External"/><Relationship Id="rId3" Type="http://schemas.openxmlformats.org/officeDocument/2006/relationships/customXml" Target="../customXml/item3.xml"/><Relationship Id="rId21" Type="http://schemas.openxmlformats.org/officeDocument/2006/relationships/hyperlink" Target="https://geobon.org/ebvs/indicators/" TargetMode="External"/><Relationship Id="rId34" Type="http://schemas.openxmlformats.org/officeDocument/2006/relationships/hyperlink" Target="https://www.ipcc-nggip.iges.or.jp/public/2019rf/index.html" TargetMode="External"/><Relationship Id="rId42" Type="http://schemas.openxmlformats.org/officeDocument/2006/relationships/hyperlink" Target="https://unstats.un.org/sdgs/metadata/?Text=&amp;Goal=12&amp;Target=12.6" TargetMode="External"/><Relationship Id="rId47"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5" Type="http://schemas.openxmlformats.org/officeDocument/2006/relationships/hyperlink" Target="http://www.fao.org/in-action/forest-landscape-restoration-mechanism/resources/detail/es/c/1315004/" TargetMode="External"/><Relationship Id="rId33" Type="http://schemas.openxmlformats.org/officeDocument/2006/relationships/hyperlink" Target="http://www.fao.org/faostat/en/" TargetMode="External"/><Relationship Id="rId38" Type="http://schemas.openxmlformats.org/officeDocument/2006/relationships/hyperlink" Target="https://seea.un.org/ecosystem-accounting"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seea.un.org/ecosystem-accounting" TargetMode="External"/><Relationship Id="rId29" Type="http://schemas.openxmlformats.org/officeDocument/2006/relationships/hyperlink" Target="http://www.fao.org/sustainable-development-goals/indicators/1441/en/" TargetMode="External"/><Relationship Id="rId41" Type="http://schemas.openxmlformats.org/officeDocument/2006/relationships/hyperlink" Target="https://unstats.un.org/sdgs/metadata/?Text=&amp;Goal=15&amp;Target=15.9"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seea.un.org/ecosystem-accounting" TargetMode="External"/><Relationship Id="rId32" Type="http://schemas.openxmlformats.org/officeDocument/2006/relationships/hyperlink" Target="https://www.unep.org/explore-topics/sustainable-development-goals/why-do-sustainable-development-goals-matter/goal-14" TargetMode="External"/><Relationship Id="rId37" Type="http://schemas.openxmlformats.org/officeDocument/2006/relationships/hyperlink" Target="https://unstats.un.org/sdgs/metadata/?Text&amp;Goal=15&amp;Target" TargetMode="External"/><Relationship Id="rId40" Type="http://schemas.openxmlformats.org/officeDocument/2006/relationships/hyperlink" Target="https://unstats.un.org/sdgs/metadata/?Text=&amp;Goal=15&amp;Target=15.9" TargetMode="External"/><Relationship Id="rId45" Type="http://schemas.openxmlformats.org/officeDocument/2006/relationships/hyperlink" Target="https://www.worldbank.org/en/programs/lsms/land-tenure"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www.sciencedirect.com/science/article/pii/S0006320720307126" TargetMode="External"/><Relationship Id="rId28" Type="http://schemas.openxmlformats.org/officeDocument/2006/relationships/hyperlink" Target="http://www.fao.org/sustainable-development-goals/indicators/251a/en/" TargetMode="External"/><Relationship Id="rId36" Type="http://schemas.openxmlformats.org/officeDocument/2006/relationships/hyperlink" Target="http://www.fao.org/sustainable-development-goals/indicators/241/en/" TargetMode="Externa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yperlink" Target="https://www.unep.org/explore-topics/sustainable-development-goals/why-do-sustainable-development-goals-matter/goal-14" TargetMode="External"/><Relationship Id="rId44" Type="http://schemas.openxmlformats.org/officeDocument/2006/relationships/hyperlink" Target="https://unstats.un.org/sdgs/metadata/?Text=&amp;Goal=15&amp;Target=15.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yperlink" Target="https://www.iucnredlist.org/" TargetMode="External"/><Relationship Id="rId27" Type="http://schemas.openxmlformats.org/officeDocument/2006/relationships/hyperlink" Target="https://www.hwctf.org/" TargetMode="External"/><Relationship Id="rId30" Type="http://schemas.openxmlformats.org/officeDocument/2006/relationships/hyperlink" Target="https://geobon.org/ebvs/working-groups/species-populations/ebv-for-invasion-monitoring/" TargetMode="External"/><Relationship Id="rId35" Type="http://schemas.openxmlformats.org/officeDocument/2006/relationships/hyperlink" Target="https://seea.un.org/ecosystem-accounting" TargetMode="External"/><Relationship Id="rId43" Type="http://schemas.openxmlformats.org/officeDocument/2006/relationships/hyperlink" Target="https://www.unep.org/explore-topics/sustainable-development-goals/why-do-sustainable-development-goals-matter/goal-12-1" TargetMode="Externa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unstats.un.org/unsd/statcom/52nd-session/documents/BG-3f-2020_GA_report_%20draft_%20ver7_nomap-E.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notTrueType/>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01AD3"/>
    <w:rsid w:val="00006BF6"/>
    <w:rsid w:val="00016F67"/>
    <w:rsid w:val="0002759F"/>
    <w:rsid w:val="00027B83"/>
    <w:rsid w:val="00040713"/>
    <w:rsid w:val="00055638"/>
    <w:rsid w:val="000558FF"/>
    <w:rsid w:val="000710E3"/>
    <w:rsid w:val="000D39B9"/>
    <w:rsid w:val="000E29F3"/>
    <w:rsid w:val="000F650C"/>
    <w:rsid w:val="000F6E6E"/>
    <w:rsid w:val="00155B86"/>
    <w:rsid w:val="0016197C"/>
    <w:rsid w:val="00164C7C"/>
    <w:rsid w:val="00180247"/>
    <w:rsid w:val="001C7ACF"/>
    <w:rsid w:val="001F015E"/>
    <w:rsid w:val="00226FED"/>
    <w:rsid w:val="0026263B"/>
    <w:rsid w:val="00281838"/>
    <w:rsid w:val="002D263C"/>
    <w:rsid w:val="00302715"/>
    <w:rsid w:val="00327111"/>
    <w:rsid w:val="00333976"/>
    <w:rsid w:val="0034071E"/>
    <w:rsid w:val="00344A9B"/>
    <w:rsid w:val="003E3277"/>
    <w:rsid w:val="00415222"/>
    <w:rsid w:val="0046422C"/>
    <w:rsid w:val="004760CF"/>
    <w:rsid w:val="00476DBA"/>
    <w:rsid w:val="004D120C"/>
    <w:rsid w:val="004E092F"/>
    <w:rsid w:val="00500A2B"/>
    <w:rsid w:val="00501B75"/>
    <w:rsid w:val="00531468"/>
    <w:rsid w:val="00540318"/>
    <w:rsid w:val="0058288D"/>
    <w:rsid w:val="00592D8C"/>
    <w:rsid w:val="00596D77"/>
    <w:rsid w:val="005F3CB0"/>
    <w:rsid w:val="00607E19"/>
    <w:rsid w:val="0062037C"/>
    <w:rsid w:val="00663B54"/>
    <w:rsid w:val="00665C6B"/>
    <w:rsid w:val="006801B3"/>
    <w:rsid w:val="00687FDA"/>
    <w:rsid w:val="006917DE"/>
    <w:rsid w:val="00697AE5"/>
    <w:rsid w:val="006C0CE5"/>
    <w:rsid w:val="006C70C2"/>
    <w:rsid w:val="006F7444"/>
    <w:rsid w:val="00714ADD"/>
    <w:rsid w:val="0074782C"/>
    <w:rsid w:val="007F0A05"/>
    <w:rsid w:val="00810A55"/>
    <w:rsid w:val="008469F2"/>
    <w:rsid w:val="0086189B"/>
    <w:rsid w:val="00886C06"/>
    <w:rsid w:val="008908F9"/>
    <w:rsid w:val="00896A2A"/>
    <w:rsid w:val="008B31D8"/>
    <w:rsid w:val="008B7A66"/>
    <w:rsid w:val="008C29F6"/>
    <w:rsid w:val="008C6619"/>
    <w:rsid w:val="008D420E"/>
    <w:rsid w:val="0091383C"/>
    <w:rsid w:val="0098642F"/>
    <w:rsid w:val="009940C8"/>
    <w:rsid w:val="00A00756"/>
    <w:rsid w:val="00A22DF0"/>
    <w:rsid w:val="00A26295"/>
    <w:rsid w:val="00A35565"/>
    <w:rsid w:val="00A47D7E"/>
    <w:rsid w:val="00A736BE"/>
    <w:rsid w:val="00B21F67"/>
    <w:rsid w:val="00B52DE6"/>
    <w:rsid w:val="00B62210"/>
    <w:rsid w:val="00BB49B8"/>
    <w:rsid w:val="00C163DB"/>
    <w:rsid w:val="00C20F81"/>
    <w:rsid w:val="00C67437"/>
    <w:rsid w:val="00C8104B"/>
    <w:rsid w:val="00CD6C49"/>
    <w:rsid w:val="00D16227"/>
    <w:rsid w:val="00D31D12"/>
    <w:rsid w:val="00D675FA"/>
    <w:rsid w:val="00D86244"/>
    <w:rsid w:val="00DB48D4"/>
    <w:rsid w:val="00E66013"/>
    <w:rsid w:val="00EB04BB"/>
    <w:rsid w:val="00EB4D61"/>
    <w:rsid w:val="00F11109"/>
    <w:rsid w:val="00F11930"/>
    <w:rsid w:val="00F302FC"/>
    <w:rsid w:val="00F53E31"/>
    <w:rsid w:val="00F74B87"/>
    <w:rsid w:val="00F844CC"/>
    <w:rsid w:val="00FC153F"/>
    <w:rsid w:val="00FE59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6D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2" ma:contentTypeDescription="Create a new document." ma:contentTypeScope="" ma:versionID="b2940eda6149edcb6b242f529514f29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22b615662ec7a5f2ba2633737ce3087f"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99E2B02-80F9-494D-8EAF-7C799FD00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08CEDD-7356-4B2D-8F1A-62CDB70C3CEA}">
  <ds:schemaRefs>
    <ds:schemaRef ds:uri="http://schemas.openxmlformats.org/officeDocument/2006/bibliography"/>
  </ds:schemaRefs>
</ds:datastoreItem>
</file>

<file path=customXml/itemProps5.xml><?xml version="1.0" encoding="utf-8"?>
<ds:datastoreItem xmlns:ds="http://schemas.openxmlformats.org/officeDocument/2006/customXml" ds:itemID="{157C228B-262D-4418-9EAD-4DA8699E50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4373</Words>
  <Characters>24927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Proposed headline indicators for the post-2020 global biodiversity framework</vt:lpstr>
    </vt:vector>
  </TitlesOfParts>
  <Company>United Nations</Company>
  <LinksUpToDate>false</LinksUpToDate>
  <CharactersWithSpaces>29242</CharactersWithSpaces>
  <SharedDoc>false</SharedDoc>
  <HyperlinkBase>https://www.cbd.int/conferences/post2020</HyperlinkBase>
  <HLinks>
    <vt:vector size="162" baseType="variant">
      <vt:variant>
        <vt:i4>3080237</vt:i4>
      </vt:variant>
      <vt:variant>
        <vt:i4>75</vt:i4>
      </vt:variant>
      <vt:variant>
        <vt:i4>0</vt:i4>
      </vt:variant>
      <vt:variant>
        <vt:i4>5</vt:i4>
      </vt:variant>
      <vt:variant>
        <vt:lpwstr>https://www.worldbank.org/en/programs/lsms/land-tenure</vt:lpwstr>
      </vt:variant>
      <vt:variant>
        <vt:lpwstr/>
      </vt:variant>
      <vt:variant>
        <vt:i4>7929911</vt:i4>
      </vt:variant>
      <vt:variant>
        <vt:i4>72</vt:i4>
      </vt:variant>
      <vt:variant>
        <vt:i4>0</vt:i4>
      </vt:variant>
      <vt:variant>
        <vt:i4>5</vt:i4>
      </vt:variant>
      <vt:variant>
        <vt:lpwstr>https://unstats.un.org/sdgs/metadata/?Text=&amp;Goal=15&amp;Target=15.a</vt:lpwstr>
      </vt:variant>
      <vt:variant>
        <vt:lpwstr/>
      </vt:variant>
      <vt:variant>
        <vt:i4>2621537</vt:i4>
      </vt:variant>
      <vt:variant>
        <vt:i4>69</vt:i4>
      </vt:variant>
      <vt:variant>
        <vt:i4>0</vt:i4>
      </vt:variant>
      <vt:variant>
        <vt:i4>5</vt:i4>
      </vt:variant>
      <vt:variant>
        <vt:lpwstr>https://www.unep.org/explore-topics/sustainable-development-goals/why-do-sustainable-development-goals-matter/goal-12-1</vt:lpwstr>
      </vt:variant>
      <vt:variant>
        <vt:lpwstr/>
      </vt:variant>
      <vt:variant>
        <vt:i4>7929911</vt:i4>
      </vt:variant>
      <vt:variant>
        <vt:i4>66</vt:i4>
      </vt:variant>
      <vt:variant>
        <vt:i4>0</vt:i4>
      </vt:variant>
      <vt:variant>
        <vt:i4>5</vt:i4>
      </vt:variant>
      <vt:variant>
        <vt:lpwstr>https://unstats.un.org/sdgs/metadata/?Text=&amp;Goal=12&amp;Target=12.6</vt:lpwstr>
      </vt:variant>
      <vt:variant>
        <vt:lpwstr/>
      </vt:variant>
      <vt:variant>
        <vt:i4>7929911</vt:i4>
      </vt:variant>
      <vt:variant>
        <vt:i4>63</vt:i4>
      </vt:variant>
      <vt:variant>
        <vt:i4>0</vt:i4>
      </vt:variant>
      <vt:variant>
        <vt:i4>5</vt:i4>
      </vt:variant>
      <vt:variant>
        <vt:lpwstr>https://unstats.un.org/sdgs/metadata/?Text=&amp;Goal=15&amp;Target=15.9</vt:lpwstr>
      </vt:variant>
      <vt:variant>
        <vt:lpwstr/>
      </vt:variant>
      <vt:variant>
        <vt:i4>7929911</vt:i4>
      </vt:variant>
      <vt:variant>
        <vt:i4>60</vt:i4>
      </vt:variant>
      <vt:variant>
        <vt:i4>0</vt:i4>
      </vt:variant>
      <vt:variant>
        <vt:i4>5</vt:i4>
      </vt:variant>
      <vt:variant>
        <vt:lpwstr>https://unstats.un.org/sdgs/metadata/?Text=&amp;Goal=15&amp;Target=15.9</vt:lpwstr>
      </vt:variant>
      <vt:variant>
        <vt:lpwstr/>
      </vt:variant>
      <vt:variant>
        <vt:i4>3276917</vt:i4>
      </vt:variant>
      <vt:variant>
        <vt:i4>57</vt:i4>
      </vt:variant>
      <vt:variant>
        <vt:i4>0</vt:i4>
      </vt:variant>
      <vt:variant>
        <vt:i4>5</vt:i4>
      </vt:variant>
      <vt:variant>
        <vt:lpwstr>https://urban-data-guo-un-habitat.hub.arcgis.com/documents/metadata-on-sdg-indicator-11-7-1/explore</vt:lpwstr>
      </vt:variant>
      <vt:variant>
        <vt:lpwstr/>
      </vt:variant>
      <vt:variant>
        <vt:i4>5505049</vt:i4>
      </vt:variant>
      <vt:variant>
        <vt:i4>54</vt:i4>
      </vt:variant>
      <vt:variant>
        <vt:i4>0</vt:i4>
      </vt:variant>
      <vt:variant>
        <vt:i4>5</vt:i4>
      </vt:variant>
      <vt:variant>
        <vt:lpwstr>https://seea.un.org/ecosystem-accounting</vt:lpwstr>
      </vt:variant>
      <vt:variant>
        <vt:lpwstr/>
      </vt:variant>
      <vt:variant>
        <vt:i4>4915291</vt:i4>
      </vt:variant>
      <vt:variant>
        <vt:i4>51</vt:i4>
      </vt:variant>
      <vt:variant>
        <vt:i4>0</vt:i4>
      </vt:variant>
      <vt:variant>
        <vt:i4>5</vt:i4>
      </vt:variant>
      <vt:variant>
        <vt:lpwstr>https://unstats.un.org/sdgs/metadata/?Text&amp;Goal=15&amp;Target</vt:lpwstr>
      </vt:variant>
      <vt:variant>
        <vt:lpwstr/>
      </vt:variant>
      <vt:variant>
        <vt:i4>7995515</vt:i4>
      </vt:variant>
      <vt:variant>
        <vt:i4>48</vt:i4>
      </vt:variant>
      <vt:variant>
        <vt:i4>0</vt:i4>
      </vt:variant>
      <vt:variant>
        <vt:i4>5</vt:i4>
      </vt:variant>
      <vt:variant>
        <vt:lpwstr>http://www.fao.org/sustainable-development-goals/indicators/241/en/</vt:lpwstr>
      </vt:variant>
      <vt:variant>
        <vt:lpwstr/>
      </vt:variant>
      <vt:variant>
        <vt:i4>5505049</vt:i4>
      </vt:variant>
      <vt:variant>
        <vt:i4>45</vt:i4>
      </vt:variant>
      <vt:variant>
        <vt:i4>0</vt:i4>
      </vt:variant>
      <vt:variant>
        <vt:i4>5</vt:i4>
      </vt:variant>
      <vt:variant>
        <vt:lpwstr>https://seea.un.org/ecosystem-accounting</vt:lpwstr>
      </vt:variant>
      <vt:variant>
        <vt:lpwstr/>
      </vt:variant>
      <vt:variant>
        <vt:i4>3014697</vt:i4>
      </vt:variant>
      <vt:variant>
        <vt:i4>42</vt:i4>
      </vt:variant>
      <vt:variant>
        <vt:i4>0</vt:i4>
      </vt:variant>
      <vt:variant>
        <vt:i4>5</vt:i4>
      </vt:variant>
      <vt:variant>
        <vt:lpwstr>https://www.ipcc-nggip.iges.or.jp/public/2019rf/index.html</vt:lpwstr>
      </vt:variant>
      <vt:variant>
        <vt:lpwstr/>
      </vt:variant>
      <vt:variant>
        <vt:i4>2687026</vt:i4>
      </vt:variant>
      <vt:variant>
        <vt:i4>39</vt:i4>
      </vt:variant>
      <vt:variant>
        <vt:i4>0</vt:i4>
      </vt:variant>
      <vt:variant>
        <vt:i4>5</vt:i4>
      </vt:variant>
      <vt:variant>
        <vt:lpwstr>http://www.fao.org/faostat/en/</vt:lpwstr>
      </vt:variant>
      <vt:variant>
        <vt:lpwstr>data/EP/visualize</vt:lpwstr>
      </vt:variant>
      <vt:variant>
        <vt:i4>327763</vt:i4>
      </vt:variant>
      <vt:variant>
        <vt:i4>36</vt:i4>
      </vt:variant>
      <vt:variant>
        <vt:i4>0</vt:i4>
      </vt:variant>
      <vt:variant>
        <vt:i4>5</vt:i4>
      </vt:variant>
      <vt:variant>
        <vt:lpwstr>https://www.unep.org/explore-topics/sustainable-development-goals/why-do-sustainable-development-goals-matter/goal-14</vt:lpwstr>
      </vt:variant>
      <vt:variant>
        <vt:lpwstr/>
      </vt:variant>
      <vt:variant>
        <vt:i4>327763</vt:i4>
      </vt:variant>
      <vt:variant>
        <vt:i4>33</vt:i4>
      </vt:variant>
      <vt:variant>
        <vt:i4>0</vt:i4>
      </vt:variant>
      <vt:variant>
        <vt:i4>5</vt:i4>
      </vt:variant>
      <vt:variant>
        <vt:lpwstr>https://www.unep.org/explore-topics/sustainable-development-goals/why-do-sustainable-development-goals-matter/goal-14</vt:lpwstr>
      </vt:variant>
      <vt:variant>
        <vt:lpwstr/>
      </vt:variant>
      <vt:variant>
        <vt:i4>3735679</vt:i4>
      </vt:variant>
      <vt:variant>
        <vt:i4>30</vt:i4>
      </vt:variant>
      <vt:variant>
        <vt:i4>0</vt:i4>
      </vt:variant>
      <vt:variant>
        <vt:i4>5</vt:i4>
      </vt:variant>
      <vt:variant>
        <vt:lpwstr>https://geobon.org/ebvs/working-groups/species-populations/ebv-for-invasion-monitoring/</vt:lpwstr>
      </vt:variant>
      <vt:variant>
        <vt:lpwstr/>
      </vt:variant>
      <vt:variant>
        <vt:i4>4194393</vt:i4>
      </vt:variant>
      <vt:variant>
        <vt:i4>27</vt:i4>
      </vt:variant>
      <vt:variant>
        <vt:i4>0</vt:i4>
      </vt:variant>
      <vt:variant>
        <vt:i4>5</vt:i4>
      </vt:variant>
      <vt:variant>
        <vt:lpwstr>http://www.fao.org/sustainable-development-goals/indicators/1441/en/</vt:lpwstr>
      </vt:variant>
      <vt:variant>
        <vt:lpwstr/>
      </vt:variant>
      <vt:variant>
        <vt:i4>1114207</vt:i4>
      </vt:variant>
      <vt:variant>
        <vt:i4>24</vt:i4>
      </vt:variant>
      <vt:variant>
        <vt:i4>0</vt:i4>
      </vt:variant>
      <vt:variant>
        <vt:i4>5</vt:i4>
      </vt:variant>
      <vt:variant>
        <vt:lpwstr>http://www.fao.org/sustainable-development-goals/indicators/251a/en/</vt:lpwstr>
      </vt:variant>
      <vt:variant>
        <vt:lpwstr/>
      </vt:variant>
      <vt:variant>
        <vt:i4>3670053</vt:i4>
      </vt:variant>
      <vt:variant>
        <vt:i4>21</vt:i4>
      </vt:variant>
      <vt:variant>
        <vt:i4>0</vt:i4>
      </vt:variant>
      <vt:variant>
        <vt:i4>5</vt:i4>
      </vt:variant>
      <vt:variant>
        <vt:lpwstr>https://www.hwctf.org/</vt:lpwstr>
      </vt:variant>
      <vt:variant>
        <vt:lpwstr/>
      </vt:variant>
      <vt:variant>
        <vt:i4>3538979</vt:i4>
      </vt:variant>
      <vt:variant>
        <vt:i4>18</vt:i4>
      </vt:variant>
      <vt:variant>
        <vt:i4>0</vt:i4>
      </vt:variant>
      <vt:variant>
        <vt:i4>5</vt:i4>
      </vt:variant>
      <vt:variant>
        <vt:lpwstr>https://www.protectedplanet.net/en</vt:lpwstr>
      </vt:variant>
      <vt:variant>
        <vt:lpwstr/>
      </vt:variant>
      <vt:variant>
        <vt:i4>3604535</vt:i4>
      </vt:variant>
      <vt:variant>
        <vt:i4>15</vt:i4>
      </vt:variant>
      <vt:variant>
        <vt:i4>0</vt:i4>
      </vt:variant>
      <vt:variant>
        <vt:i4>5</vt:i4>
      </vt:variant>
      <vt:variant>
        <vt:lpwstr>http://www.fao.org/in-action/forest-landscape-restoration-mechanism/resources/detail/es/c/1315004/</vt:lpwstr>
      </vt:variant>
      <vt:variant>
        <vt:lpwstr/>
      </vt:variant>
      <vt:variant>
        <vt:i4>5505049</vt:i4>
      </vt:variant>
      <vt:variant>
        <vt:i4>12</vt:i4>
      </vt:variant>
      <vt:variant>
        <vt:i4>0</vt:i4>
      </vt:variant>
      <vt:variant>
        <vt:i4>5</vt:i4>
      </vt:variant>
      <vt:variant>
        <vt:lpwstr>https://seea.un.org/ecosystem-accounting</vt:lpwstr>
      </vt:variant>
      <vt:variant>
        <vt:lpwstr/>
      </vt:variant>
      <vt:variant>
        <vt:i4>6619261</vt:i4>
      </vt:variant>
      <vt:variant>
        <vt:i4>9</vt:i4>
      </vt:variant>
      <vt:variant>
        <vt:i4>0</vt:i4>
      </vt:variant>
      <vt:variant>
        <vt:i4>5</vt:i4>
      </vt:variant>
      <vt:variant>
        <vt:lpwstr>https://www.sciencedirect.com/science/article/pii/S0006320720307126</vt:lpwstr>
      </vt:variant>
      <vt:variant>
        <vt:lpwstr/>
      </vt:variant>
      <vt:variant>
        <vt:i4>5898313</vt:i4>
      </vt:variant>
      <vt:variant>
        <vt:i4>6</vt:i4>
      </vt:variant>
      <vt:variant>
        <vt:i4>0</vt:i4>
      </vt:variant>
      <vt:variant>
        <vt:i4>5</vt:i4>
      </vt:variant>
      <vt:variant>
        <vt:lpwstr>https://www.iucnredlist.org/</vt:lpwstr>
      </vt:variant>
      <vt:variant>
        <vt:lpwstr/>
      </vt:variant>
      <vt:variant>
        <vt:i4>3538989</vt:i4>
      </vt:variant>
      <vt:variant>
        <vt:i4>3</vt:i4>
      </vt:variant>
      <vt:variant>
        <vt:i4>0</vt:i4>
      </vt:variant>
      <vt:variant>
        <vt:i4>5</vt:i4>
      </vt:variant>
      <vt:variant>
        <vt:lpwstr>https://geobon.org/ebvs/indicators/</vt:lpwstr>
      </vt:variant>
      <vt:variant>
        <vt:lpwstr/>
      </vt:variant>
      <vt:variant>
        <vt:i4>5505049</vt:i4>
      </vt:variant>
      <vt:variant>
        <vt:i4>0</vt:i4>
      </vt:variant>
      <vt:variant>
        <vt:i4>0</vt:i4>
      </vt:variant>
      <vt:variant>
        <vt:i4>5</vt:i4>
      </vt:variant>
      <vt:variant>
        <vt:lpwstr>https://seea.un.org/ecosystem-accounting</vt:lpwstr>
      </vt:variant>
      <vt:variant>
        <vt:lpwstr/>
      </vt:variant>
      <vt:variant>
        <vt:i4>4390950</vt:i4>
      </vt:variant>
      <vt:variant>
        <vt:i4>0</vt:i4>
      </vt:variant>
      <vt:variant>
        <vt:i4>0</vt:i4>
      </vt:variant>
      <vt:variant>
        <vt:i4>5</vt:i4>
      </vt:variant>
      <vt:variant>
        <vt:lpwstr>https://unstats.un.org/unsd/statcom/52nd-session/documents/BG-3f-2020_GA_report_ draft_ ver7_nomap-E.pdf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headline indicators for the post-2020 global biodiversity framework</dc:title>
  <dc:subject>CBD/WG2020/3/3/Add.1</dc:subject>
  <dc:creator>SCBD</dc:creator>
  <cp:keywords>Open-ended Working Group on the Post-2020 Global Biodiversity Framework, third meeting, Convention on Biological Diversity</cp:keywords>
  <dc:description/>
  <cp:lastModifiedBy>Veronique Lefebvre</cp:lastModifiedBy>
  <cp:revision>3</cp:revision>
  <cp:lastPrinted>2020-02-13T14:09:00Z</cp:lastPrinted>
  <dcterms:created xsi:type="dcterms:W3CDTF">2021-07-12T13:41:00Z</dcterms:created>
  <dcterms:modified xsi:type="dcterms:W3CDTF">2021-07-12T13:41:00Z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