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745"/>
        <w:gridCol w:w="4486"/>
      </w:tblGrid>
      <w:tr w:rsidR="00C9161D" w:rsidRPr="0075563B" w14:paraId="61B2AC1A" w14:textId="77777777" w:rsidTr="004A3CE3">
        <w:trPr>
          <w:trHeight w:val="709"/>
        </w:trPr>
        <w:tc>
          <w:tcPr>
            <w:tcW w:w="976" w:type="dxa"/>
            <w:tcBorders>
              <w:bottom w:val="single" w:sz="12" w:space="0" w:color="auto"/>
            </w:tcBorders>
          </w:tcPr>
          <w:p w14:paraId="3FC2311A" w14:textId="6CA7317D" w:rsidR="00C9161D" w:rsidRPr="0075563B" w:rsidRDefault="00C9161D" w:rsidP="00190CAF">
            <w:pPr>
              <w:kinsoku w:val="0"/>
              <w:overflowPunct w:val="0"/>
              <w:autoSpaceDE w:val="0"/>
              <w:autoSpaceDN w:val="0"/>
              <w:rPr>
                <w:kern w:val="22"/>
              </w:rPr>
            </w:pPr>
            <w:bookmarkStart w:id="0" w:name="_Hlk505247837"/>
            <w:r w:rsidRPr="0075563B">
              <w:rPr>
                <w:noProof/>
                <w:lang w:val="en-US"/>
              </w:rPr>
              <w:drawing>
                <wp:inline distT="0" distB="0" distL="0" distR="0" wp14:anchorId="622A9E8F" wp14:editId="1811C23F">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745" w:type="dxa"/>
            <w:tcBorders>
              <w:bottom w:val="single" w:sz="12" w:space="0" w:color="auto"/>
            </w:tcBorders>
          </w:tcPr>
          <w:p w14:paraId="17E296A1" w14:textId="131B1162" w:rsidR="00C9161D" w:rsidRPr="0075563B" w:rsidRDefault="009B10AD" w:rsidP="00190CAF">
            <w:pPr>
              <w:kinsoku w:val="0"/>
              <w:overflowPunct w:val="0"/>
              <w:autoSpaceDE w:val="0"/>
              <w:autoSpaceDN w:val="0"/>
              <w:rPr>
                <w:kern w:val="22"/>
              </w:rPr>
            </w:pPr>
            <w:r w:rsidRPr="0075563B">
              <w:rPr>
                <w:noProof/>
                <w:lang w:val="en-US"/>
              </w:rPr>
              <w:drawing>
                <wp:anchor distT="0" distB="0" distL="114300" distR="114300" simplePos="0" relativeHeight="251659264" behindDoc="0" locked="0" layoutInCell="1" allowOverlap="1" wp14:anchorId="10768B23" wp14:editId="078CB93A">
                  <wp:simplePos x="0" y="0"/>
                  <wp:positionH relativeFrom="column">
                    <wp:posOffset>39370</wp:posOffset>
                  </wp:positionH>
                  <wp:positionV relativeFrom="paragraph">
                    <wp:posOffset>106680</wp:posOffset>
                  </wp:positionV>
                  <wp:extent cx="614045" cy="3505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4045" cy="350520"/>
                          </a:xfrm>
                          <a:prstGeom prst="rect">
                            <a:avLst/>
                          </a:prstGeom>
                          <a:noFill/>
                        </pic:spPr>
                      </pic:pic>
                    </a:graphicData>
                  </a:graphic>
                  <wp14:sizeRelH relativeFrom="page">
                    <wp14:pctWidth>0</wp14:pctWidth>
                  </wp14:sizeRelH>
                  <wp14:sizeRelV relativeFrom="page">
                    <wp14:pctHeight>0</wp14:pctHeight>
                  </wp14:sizeRelV>
                </wp:anchor>
              </w:drawing>
            </w:r>
          </w:p>
        </w:tc>
        <w:tc>
          <w:tcPr>
            <w:tcW w:w="4486" w:type="dxa"/>
            <w:tcBorders>
              <w:bottom w:val="single" w:sz="12" w:space="0" w:color="auto"/>
            </w:tcBorders>
          </w:tcPr>
          <w:p w14:paraId="6AB94C58" w14:textId="77777777" w:rsidR="00C9161D" w:rsidRPr="0075563B" w:rsidRDefault="00C9161D" w:rsidP="00190CAF">
            <w:pPr>
              <w:kinsoku w:val="0"/>
              <w:overflowPunct w:val="0"/>
              <w:autoSpaceDE w:val="0"/>
              <w:autoSpaceDN w:val="0"/>
              <w:jc w:val="right"/>
              <w:rPr>
                <w:rFonts w:ascii="Arial" w:hAnsi="Arial" w:cs="Arial"/>
                <w:b/>
                <w:kern w:val="22"/>
                <w:sz w:val="32"/>
                <w:szCs w:val="32"/>
              </w:rPr>
            </w:pPr>
            <w:proofErr w:type="spellStart"/>
            <w:r w:rsidRPr="0075563B">
              <w:rPr>
                <w:rFonts w:ascii="Arial" w:hAnsi="Arial"/>
                <w:b/>
                <w:sz w:val="32"/>
                <w:szCs w:val="32"/>
              </w:rPr>
              <w:t>CBD</w:t>
            </w:r>
            <w:proofErr w:type="spellEnd"/>
          </w:p>
        </w:tc>
      </w:tr>
      <w:bookmarkEnd w:id="0"/>
      <w:tr w:rsidR="00C9161D" w:rsidRPr="0075563B" w14:paraId="584FACFE" w14:textId="77777777" w:rsidTr="004A3CE3">
        <w:tc>
          <w:tcPr>
            <w:tcW w:w="5721" w:type="dxa"/>
            <w:gridSpan w:val="2"/>
            <w:tcBorders>
              <w:top w:val="single" w:sz="12" w:space="0" w:color="auto"/>
              <w:bottom w:val="single" w:sz="36" w:space="0" w:color="auto"/>
            </w:tcBorders>
            <w:vAlign w:val="center"/>
          </w:tcPr>
          <w:p w14:paraId="1E813D03" w14:textId="3A927436" w:rsidR="00C9161D" w:rsidRPr="0075563B" w:rsidRDefault="009B10AD" w:rsidP="00190CAF">
            <w:pPr>
              <w:kinsoku w:val="0"/>
              <w:overflowPunct w:val="0"/>
              <w:autoSpaceDE w:val="0"/>
              <w:autoSpaceDN w:val="0"/>
              <w:rPr>
                <w:kern w:val="22"/>
              </w:rPr>
            </w:pPr>
            <w:r w:rsidRPr="0075563B">
              <w:rPr>
                <w:noProof/>
                <w:kern w:val="22"/>
                <w:lang w:val="en-US"/>
              </w:rPr>
              <w:drawing>
                <wp:inline distT="0" distB="0" distL="0" distR="0" wp14:anchorId="1F810247" wp14:editId="33411C49">
                  <wp:extent cx="2903220" cy="1066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03220" cy="1066800"/>
                          </a:xfrm>
                          <a:prstGeom prst="rect">
                            <a:avLst/>
                          </a:prstGeom>
                          <a:noFill/>
                          <a:ln>
                            <a:noFill/>
                          </a:ln>
                        </pic:spPr>
                      </pic:pic>
                    </a:graphicData>
                  </a:graphic>
                </wp:inline>
              </w:drawing>
            </w:r>
          </w:p>
        </w:tc>
        <w:tc>
          <w:tcPr>
            <w:tcW w:w="4486" w:type="dxa"/>
            <w:tcBorders>
              <w:top w:val="single" w:sz="12" w:space="0" w:color="auto"/>
              <w:bottom w:val="single" w:sz="36" w:space="0" w:color="auto"/>
            </w:tcBorders>
          </w:tcPr>
          <w:p w14:paraId="5F0E4E37" w14:textId="77777777" w:rsidR="00C9161D" w:rsidRPr="0075563B" w:rsidRDefault="00C9161D" w:rsidP="004C5BCC">
            <w:pPr>
              <w:kinsoku w:val="0"/>
              <w:overflowPunct w:val="0"/>
              <w:autoSpaceDE w:val="0"/>
              <w:autoSpaceDN w:val="0"/>
              <w:spacing w:before="0" w:after="0"/>
              <w:ind w:left="1213"/>
              <w:jc w:val="left"/>
              <w:rPr>
                <w:kern w:val="22"/>
                <w:szCs w:val="22"/>
              </w:rPr>
            </w:pPr>
            <w:proofErr w:type="spellStart"/>
            <w:r w:rsidRPr="0075563B">
              <w:t>Distr</w:t>
            </w:r>
            <w:proofErr w:type="spellEnd"/>
            <w:r w:rsidRPr="0075563B">
              <w:t>.</w:t>
            </w:r>
          </w:p>
          <w:p w14:paraId="42DB81AD" w14:textId="77777777" w:rsidR="00C9161D" w:rsidRPr="0075563B" w:rsidRDefault="00665EA5" w:rsidP="004C5BCC">
            <w:pPr>
              <w:kinsoku w:val="0"/>
              <w:overflowPunct w:val="0"/>
              <w:autoSpaceDE w:val="0"/>
              <w:autoSpaceDN w:val="0"/>
              <w:spacing w:before="0" w:after="0"/>
              <w:ind w:left="1213"/>
              <w:jc w:val="left"/>
              <w:rPr>
                <w:kern w:val="22"/>
                <w:szCs w:val="22"/>
              </w:rPr>
            </w:pPr>
            <w:sdt>
              <w:sdtPr>
                <w:rPr>
                  <w:kern w:val="22"/>
                  <w:szCs w:val="22"/>
                </w:rPr>
                <w:alias w:val="Estado"/>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F83B23" w:rsidRPr="0075563B">
                  <w:rPr>
                    <w:kern w:val="22"/>
                    <w:szCs w:val="22"/>
                  </w:rPr>
                  <w:t>GENERAL</w:t>
                </w:r>
              </w:sdtContent>
            </w:sdt>
          </w:p>
          <w:p w14:paraId="7A0AA0B0" w14:textId="77777777" w:rsidR="00C9161D" w:rsidRPr="0075563B" w:rsidRDefault="00C9161D" w:rsidP="004C5BCC">
            <w:pPr>
              <w:kinsoku w:val="0"/>
              <w:overflowPunct w:val="0"/>
              <w:autoSpaceDE w:val="0"/>
              <w:autoSpaceDN w:val="0"/>
              <w:spacing w:before="0" w:after="0"/>
              <w:ind w:left="1213"/>
              <w:jc w:val="left"/>
              <w:rPr>
                <w:kern w:val="22"/>
                <w:szCs w:val="22"/>
              </w:rPr>
            </w:pPr>
          </w:p>
          <w:p w14:paraId="04C36DC9" w14:textId="2A35D336" w:rsidR="00C9161D" w:rsidRPr="0075563B" w:rsidRDefault="00665EA5" w:rsidP="004C5BCC">
            <w:pPr>
              <w:kinsoku w:val="0"/>
              <w:overflowPunct w:val="0"/>
              <w:autoSpaceDE w:val="0"/>
              <w:autoSpaceDN w:val="0"/>
              <w:spacing w:before="0" w:after="0"/>
              <w:ind w:left="1213"/>
              <w:jc w:val="left"/>
              <w:rPr>
                <w:kern w:val="22"/>
                <w:szCs w:val="22"/>
              </w:rPr>
            </w:pPr>
            <w:sdt>
              <w:sdtPr>
                <w:rPr>
                  <w:bCs/>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proofErr w:type="spellStart"/>
                <w:r w:rsidR="005D2BCD" w:rsidRPr="0075563B">
                  <w:rPr>
                    <w:bCs/>
                    <w:kern w:val="22"/>
                  </w:rPr>
                  <w:t>CBD</w:t>
                </w:r>
                <w:proofErr w:type="spellEnd"/>
                <w:r w:rsidR="005D2BCD" w:rsidRPr="0075563B">
                  <w:rPr>
                    <w:bCs/>
                    <w:kern w:val="22"/>
                  </w:rPr>
                  <w:t>/</w:t>
                </w:r>
                <w:proofErr w:type="spellStart"/>
                <w:r w:rsidR="005D2BCD" w:rsidRPr="0075563B">
                  <w:rPr>
                    <w:bCs/>
                    <w:kern w:val="22"/>
                  </w:rPr>
                  <w:t>SBI</w:t>
                </w:r>
                <w:proofErr w:type="spellEnd"/>
                <w:r w:rsidR="005D2BCD" w:rsidRPr="0075563B">
                  <w:rPr>
                    <w:bCs/>
                    <w:kern w:val="22"/>
                  </w:rPr>
                  <w:t>/3/</w:t>
                </w:r>
                <w:r w:rsidR="00F81B88" w:rsidRPr="0075563B">
                  <w:rPr>
                    <w:bCs/>
                    <w:kern w:val="22"/>
                  </w:rPr>
                  <w:t>18</w:t>
                </w:r>
              </w:sdtContent>
            </w:sdt>
          </w:p>
          <w:p w14:paraId="58577695" w14:textId="1C6918B2" w:rsidR="00C9161D" w:rsidRPr="0075563B" w:rsidRDefault="00665EA5" w:rsidP="004C5BCC">
            <w:pPr>
              <w:kinsoku w:val="0"/>
              <w:overflowPunct w:val="0"/>
              <w:autoSpaceDE w:val="0"/>
              <w:autoSpaceDN w:val="0"/>
              <w:spacing w:before="0" w:after="0"/>
              <w:ind w:left="1213"/>
              <w:jc w:val="left"/>
              <w:rPr>
                <w:kern w:val="22"/>
                <w:szCs w:val="22"/>
              </w:rPr>
            </w:pPr>
            <w:sdt>
              <w:sdtPr>
                <w:rPr>
                  <w:kern w:val="22"/>
                  <w:szCs w:val="22"/>
                </w:rPr>
                <w:alias w:val="Fecha de publicación"/>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dateFormat w:val="d MMMM yyyy"/>
                  <w:lid w:val="es-UY"/>
                  <w:storeMappedDataAs w:val="dateTime"/>
                  <w:calendar w:val="gregorian"/>
                </w:date>
              </w:sdtPr>
              <w:sdtEndPr/>
              <w:sdtContent>
                <w:r w:rsidR="0089364B" w:rsidRPr="0075563B">
                  <w:rPr>
                    <w:kern w:val="22"/>
                    <w:szCs w:val="22"/>
                  </w:rPr>
                  <w:t xml:space="preserve">8 </w:t>
                </w:r>
                <w:r w:rsidR="00966E8B" w:rsidRPr="0075563B">
                  <w:rPr>
                    <w:kern w:val="22"/>
                    <w:szCs w:val="22"/>
                  </w:rPr>
                  <w:t xml:space="preserve">de </w:t>
                </w:r>
                <w:r w:rsidR="00772C08" w:rsidRPr="0075563B">
                  <w:rPr>
                    <w:kern w:val="22"/>
                    <w:szCs w:val="22"/>
                  </w:rPr>
                  <w:t>j</w:t>
                </w:r>
                <w:r w:rsidR="0089364B" w:rsidRPr="0075563B">
                  <w:rPr>
                    <w:kern w:val="22"/>
                    <w:szCs w:val="22"/>
                  </w:rPr>
                  <w:t xml:space="preserve">ulio </w:t>
                </w:r>
                <w:r w:rsidR="00966E8B" w:rsidRPr="0075563B">
                  <w:rPr>
                    <w:kern w:val="22"/>
                    <w:szCs w:val="22"/>
                  </w:rPr>
                  <w:t xml:space="preserve">de </w:t>
                </w:r>
                <w:r w:rsidR="0089364B" w:rsidRPr="0075563B">
                  <w:rPr>
                    <w:kern w:val="22"/>
                    <w:szCs w:val="22"/>
                  </w:rPr>
                  <w:t>2020</w:t>
                </w:r>
              </w:sdtContent>
            </w:sdt>
          </w:p>
          <w:p w14:paraId="2E6D25AB" w14:textId="77777777" w:rsidR="00C9161D" w:rsidRPr="0075563B" w:rsidRDefault="00C9161D" w:rsidP="004C5BCC">
            <w:pPr>
              <w:kinsoku w:val="0"/>
              <w:overflowPunct w:val="0"/>
              <w:autoSpaceDE w:val="0"/>
              <w:autoSpaceDN w:val="0"/>
              <w:spacing w:before="0" w:after="0"/>
              <w:ind w:left="1213"/>
              <w:jc w:val="left"/>
              <w:rPr>
                <w:kern w:val="22"/>
                <w:szCs w:val="22"/>
              </w:rPr>
            </w:pPr>
          </w:p>
          <w:p w14:paraId="51A8EB17" w14:textId="69795F95" w:rsidR="00C9161D" w:rsidRPr="0075563B" w:rsidRDefault="004C106A" w:rsidP="004C5BCC">
            <w:pPr>
              <w:kinsoku w:val="0"/>
              <w:overflowPunct w:val="0"/>
              <w:autoSpaceDE w:val="0"/>
              <w:autoSpaceDN w:val="0"/>
              <w:spacing w:before="0" w:after="0"/>
              <w:ind w:left="1213"/>
              <w:jc w:val="left"/>
              <w:rPr>
                <w:kern w:val="22"/>
              </w:rPr>
            </w:pPr>
            <w:r w:rsidRPr="0075563B">
              <w:t>ESPAÑOL</w:t>
            </w:r>
            <w:r w:rsidRPr="0075563B">
              <w:br/>
              <w:t xml:space="preserve">ORIGINAL: INGLÉS </w:t>
            </w:r>
          </w:p>
        </w:tc>
      </w:tr>
    </w:tbl>
    <w:p w14:paraId="162948D5" w14:textId="57C4E0BF" w:rsidR="004C106A" w:rsidRPr="0075563B" w:rsidRDefault="004C106A" w:rsidP="004C5BCC">
      <w:pPr>
        <w:pStyle w:val="meetingname"/>
        <w:spacing w:before="0" w:after="0"/>
        <w:ind w:left="284" w:right="4398" w:hanging="284"/>
        <w:rPr>
          <w:kern w:val="22"/>
        </w:rPr>
      </w:pPr>
      <w:bookmarkStart w:id="1" w:name="_Hlk15402193"/>
      <w:r w:rsidRPr="0075563B">
        <w:t>ÓRGANO SUBSIDIARIO SOBRE LA APLICACIÓN</w:t>
      </w:r>
    </w:p>
    <w:p w14:paraId="48DBCE33" w14:textId="73A3C9F2" w:rsidR="004C106A" w:rsidRPr="0075563B" w:rsidRDefault="004C106A" w:rsidP="004C5BCC">
      <w:pPr>
        <w:spacing w:before="0" w:after="0"/>
        <w:ind w:left="284" w:hanging="284"/>
        <w:jc w:val="left"/>
        <w:rPr>
          <w:snapToGrid w:val="0"/>
          <w:kern w:val="22"/>
          <w:szCs w:val="22"/>
        </w:rPr>
      </w:pPr>
      <w:r w:rsidRPr="0075563B">
        <w:rPr>
          <w:snapToGrid w:val="0"/>
          <w:szCs w:val="22"/>
        </w:rPr>
        <w:t>Tercera reunión</w:t>
      </w:r>
    </w:p>
    <w:p w14:paraId="3382448F" w14:textId="1ED8C906" w:rsidR="004C106A" w:rsidRPr="0075563B" w:rsidRDefault="00C4578F" w:rsidP="004C5BCC">
      <w:pPr>
        <w:spacing w:before="0" w:after="0"/>
        <w:ind w:left="284" w:hanging="284"/>
        <w:jc w:val="left"/>
        <w:rPr>
          <w:snapToGrid w:val="0"/>
          <w:kern w:val="22"/>
          <w:szCs w:val="22"/>
        </w:rPr>
      </w:pPr>
      <w:r w:rsidRPr="0075563B">
        <w:rPr>
          <w:snapToGrid w:val="0"/>
          <w:szCs w:val="22"/>
        </w:rPr>
        <w:t>Lugar y fechas por determinar</w:t>
      </w:r>
    </w:p>
    <w:p w14:paraId="7C13C5AB" w14:textId="717B7AD1" w:rsidR="002D6C64" w:rsidRPr="0075563B" w:rsidRDefault="004C106A" w:rsidP="004C5BCC">
      <w:pPr>
        <w:spacing w:before="0" w:after="0"/>
        <w:rPr>
          <w:kern w:val="22"/>
        </w:rPr>
      </w:pPr>
      <w:r w:rsidRPr="0075563B">
        <w:rPr>
          <w:snapToGrid w:val="0"/>
          <w:szCs w:val="22"/>
        </w:rPr>
        <w:t>Tema 5 del programa provisional</w:t>
      </w:r>
      <w:r w:rsidR="008D1EDB" w:rsidRPr="0075563B">
        <w:rPr>
          <w:snapToGrid w:val="0"/>
          <w:kern w:val="22"/>
          <w:szCs w:val="22"/>
        </w:rPr>
        <w:footnoteReference w:customMarkFollows="1" w:id="1"/>
        <w:t>*</w:t>
      </w:r>
    </w:p>
    <w:p w14:paraId="088DD498" w14:textId="637587AD" w:rsidR="004C106A" w:rsidRPr="0075563B" w:rsidRDefault="00665EA5" w:rsidP="005939BC">
      <w:pPr>
        <w:pStyle w:val="Heading1"/>
        <w:tabs>
          <w:tab w:val="clear" w:pos="720"/>
        </w:tabs>
        <w:rPr>
          <w:kern w:val="22"/>
          <w:szCs w:val="22"/>
        </w:rPr>
      </w:pPr>
      <w:sdt>
        <w:sdtPr>
          <w:rPr>
            <w:bCs/>
            <w:snapToGrid w:val="0"/>
            <w:kern w:val="22"/>
            <w:szCs w:val="22"/>
          </w:rPr>
          <w:alias w:val="Título"/>
          <w:tag w:val=""/>
          <w:id w:val="772832786"/>
          <w:placeholder>
            <w:docPart w:val="6A46EB6522BCCE46AA484B1E911E6FE9"/>
          </w:placeholder>
          <w:dataBinding w:prefixMappings="xmlns:ns0='http://purl.org/dc/elements/1.1/' xmlns:ns1='http://schemas.openxmlformats.org/package/2006/metadata/core-properties' " w:xpath="/ns1:coreProperties[1]/ns0:title[1]" w:storeItemID="{6C3C8BC8-F283-45AE-878A-BAB7291924A1}"/>
          <w:text/>
        </w:sdtPr>
        <w:sdtEndPr/>
        <w:sdtContent>
          <w:r w:rsidR="00CD7364" w:rsidRPr="0075563B">
            <w:rPr>
              <w:bCs/>
              <w:snapToGrid w:val="0"/>
              <w:kern w:val="22"/>
              <w:szCs w:val="22"/>
            </w:rPr>
            <w:t xml:space="preserve">Plan </w:t>
          </w:r>
          <w:r w:rsidR="00F9216B" w:rsidRPr="0075563B">
            <w:rPr>
              <w:bCs/>
              <w:snapToGrid w:val="0"/>
              <w:kern w:val="22"/>
              <w:szCs w:val="22"/>
            </w:rPr>
            <w:t>de aplicación y plan de acción para la creación de capacidad para el protocolo de cartagena</w:t>
          </w:r>
        </w:sdtContent>
      </w:sdt>
    </w:p>
    <w:p w14:paraId="04665ACF" w14:textId="0190DEA2" w:rsidR="004C106A" w:rsidRPr="0075563B" w:rsidRDefault="004C106A" w:rsidP="003B2EE4">
      <w:pPr>
        <w:pStyle w:val="Style1"/>
        <w:rPr>
          <w:b w:val="0"/>
          <w:kern w:val="22"/>
        </w:rPr>
      </w:pPr>
      <w:r w:rsidRPr="0075563B">
        <w:rPr>
          <w:b w:val="0"/>
        </w:rPr>
        <w:t>Nota de la Secretaria Ejecutiva</w:t>
      </w:r>
    </w:p>
    <w:p w14:paraId="746E373F" w14:textId="356075BA" w:rsidR="0085638D" w:rsidRPr="0075563B" w:rsidRDefault="005939BC" w:rsidP="00A94E8A">
      <w:pPr>
        <w:pStyle w:val="Heading1"/>
        <w:numPr>
          <w:ilvl w:val="0"/>
          <w:numId w:val="5"/>
        </w:numPr>
        <w:tabs>
          <w:tab w:val="clear" w:pos="720"/>
        </w:tabs>
        <w:rPr>
          <w:kern w:val="22"/>
          <w:szCs w:val="22"/>
        </w:rPr>
      </w:pPr>
      <w:r w:rsidRPr="0075563B">
        <w:t>Introducción</w:t>
      </w:r>
      <w:bookmarkEnd w:id="1"/>
    </w:p>
    <w:p w14:paraId="415A8556" w14:textId="76FD71E7" w:rsidR="00675AC8" w:rsidRPr="0075563B" w:rsidRDefault="001868F3" w:rsidP="00FD1048">
      <w:pPr>
        <w:numPr>
          <w:ilvl w:val="0"/>
          <w:numId w:val="4"/>
        </w:numPr>
        <w:tabs>
          <w:tab w:val="clear" w:pos="360"/>
        </w:tabs>
        <w:rPr>
          <w:kern w:val="22"/>
          <w:szCs w:val="22"/>
        </w:rPr>
      </w:pPr>
      <w:r w:rsidRPr="0075563B">
        <w:t xml:space="preserve">En su decisión </w:t>
      </w:r>
      <w:hyperlink r:id="rId15" w:history="1">
        <w:r w:rsidRPr="0075563B">
          <w:rPr>
            <w:rStyle w:val="Hyperlink"/>
            <w:sz w:val="22"/>
            <w:szCs w:val="22"/>
          </w:rPr>
          <w:t>BS-V/16</w:t>
        </w:r>
      </w:hyperlink>
      <w:r w:rsidRPr="0075563B">
        <w:t>, la Conferencia de las Partes que actúa como reunión de las Partes en el Protocolo de Cartagena (COP-</w:t>
      </w:r>
      <w:proofErr w:type="spellStart"/>
      <w:r w:rsidRPr="0075563B">
        <w:t>MOP</w:t>
      </w:r>
      <w:proofErr w:type="spellEnd"/>
      <w:r w:rsidRPr="0075563B">
        <w:t xml:space="preserve">) adoptó el Plan Estratégico para el Protocolo de Cartagena sobre Seguridad de la Biotecnología en el período 2011-2020. En su decisión </w:t>
      </w:r>
      <w:hyperlink r:id="rId16" w:history="1">
        <w:r w:rsidRPr="0075563B">
          <w:rPr>
            <w:rStyle w:val="Hyperlink"/>
            <w:sz w:val="22"/>
            <w:szCs w:val="22"/>
          </w:rPr>
          <w:t>BS-VI/3</w:t>
        </w:r>
      </w:hyperlink>
      <w:r w:rsidRPr="0075563B">
        <w:t>, la Conferencia de las Partes que actúa como reunión de las Partes en el Protocolo adoptó el Marco y Plan de Acción para la Creación de Capacidad para la Aplicación Efectiva del Protocolo de Cartagena.</w:t>
      </w:r>
    </w:p>
    <w:p w14:paraId="31B0CC76" w14:textId="15071FD2" w:rsidR="0048430A" w:rsidRPr="0075563B" w:rsidRDefault="00993802" w:rsidP="00FD1048">
      <w:pPr>
        <w:numPr>
          <w:ilvl w:val="0"/>
          <w:numId w:val="4"/>
        </w:numPr>
        <w:tabs>
          <w:tab w:val="clear" w:pos="360"/>
        </w:tabs>
        <w:rPr>
          <w:kern w:val="22"/>
        </w:rPr>
      </w:pPr>
      <w:r w:rsidRPr="0075563B">
        <w:t xml:space="preserve">En su decisión </w:t>
      </w:r>
      <w:hyperlink r:id="rId17" w:history="1">
        <w:r w:rsidRPr="0075563B">
          <w:rPr>
            <w:rStyle w:val="Hyperlink"/>
            <w:sz w:val="22"/>
            <w:szCs w:val="22"/>
          </w:rPr>
          <w:t>CP-9/7</w:t>
        </w:r>
      </w:hyperlink>
      <w:r w:rsidRPr="0075563B">
        <w:t xml:space="preserve">, la Conferencia de las Partes que actúa como reunión de las Partes en el Protocolo resaltó la necesidad de </w:t>
      </w:r>
      <w:r w:rsidR="0075563B">
        <w:t>elaborar</w:t>
      </w:r>
      <w:r w:rsidRPr="0075563B">
        <w:t xml:space="preserve"> un plan de aplicación específico para el Protocolo de Cartagena sobre Seguridad de la Biotecnología (plan de aplicación) como instrumento que suced</w:t>
      </w:r>
      <w:r w:rsidR="0055742C" w:rsidRPr="0075563B">
        <w:t>a</w:t>
      </w:r>
      <w:r w:rsidRPr="0075563B">
        <w:t xml:space="preserve"> al Plan Estratégico para el Protocolo de Cartagena sobre Seguridad de la Biotecnología en el período 2011-2020. La Conferencia de las Partes que actúa como reunión de las Partes en el Protocolo decidió elaborar un plan de aplicación que se basara en el marco mundial de la diversidad biológica posterior a 2020 y fuera complementario a él, y esbozó un proceso para su desarrollo. </w:t>
      </w:r>
    </w:p>
    <w:p w14:paraId="6EC92332" w14:textId="4CAF2B19" w:rsidR="00AB3B80" w:rsidRPr="0075563B" w:rsidRDefault="00573EC5" w:rsidP="00FD1048">
      <w:pPr>
        <w:numPr>
          <w:ilvl w:val="0"/>
          <w:numId w:val="4"/>
        </w:numPr>
        <w:tabs>
          <w:tab w:val="clear" w:pos="360"/>
        </w:tabs>
        <w:rPr>
          <w:kern w:val="22"/>
          <w:szCs w:val="22"/>
        </w:rPr>
      </w:pPr>
      <w:r w:rsidRPr="0075563B">
        <w:t xml:space="preserve">En la decisión </w:t>
      </w:r>
      <w:hyperlink r:id="rId18" w:history="1">
        <w:r w:rsidRPr="0075563B">
          <w:rPr>
            <w:color w:val="0000FF"/>
            <w:szCs w:val="22"/>
            <w:u w:val="single"/>
          </w:rPr>
          <w:t>CP-9/3</w:t>
        </w:r>
      </w:hyperlink>
      <w:r w:rsidRPr="0075563B">
        <w:t xml:space="preserve">, la Conferencia de las Partes que actúa como reunión de las Partes en el Protocolo reconoció la necesidad de un plan de acción específico para la creación de capacidad para la aplicación del Protocolo de Cartagena y su Protocolo Suplementario (plan de acción para la creación de capacidad) que esté en armonía con el plan de aplicación y sea complementario al marco estratégico a largo plazo para la creación de capacidad después de 2020 (decisión </w:t>
      </w:r>
      <w:hyperlink r:id="rId19" w:history="1">
        <w:r w:rsidRPr="0075563B">
          <w:rPr>
            <w:rStyle w:val="Hyperlink"/>
            <w:sz w:val="22"/>
            <w:szCs w:val="22"/>
          </w:rPr>
          <w:t>14/24</w:t>
        </w:r>
      </w:hyperlink>
      <w:r w:rsidRPr="0075563B">
        <w:t>), y acordó un calendario indicativo de actividades para su elaboración.</w:t>
      </w:r>
    </w:p>
    <w:p w14:paraId="5CB9C3F5" w14:textId="7223C44D" w:rsidR="000E6128" w:rsidRPr="0075563B" w:rsidRDefault="00AB3B80" w:rsidP="00FD1048">
      <w:pPr>
        <w:numPr>
          <w:ilvl w:val="0"/>
          <w:numId w:val="4"/>
        </w:numPr>
        <w:tabs>
          <w:tab w:val="clear" w:pos="360"/>
        </w:tabs>
        <w:rPr>
          <w:kern w:val="22"/>
          <w:szCs w:val="22"/>
        </w:rPr>
      </w:pPr>
      <w:r w:rsidRPr="0075563B">
        <w:t xml:space="preserve">De conformidad con las decisiones </w:t>
      </w:r>
      <w:r w:rsidRPr="0075563B">
        <w:rPr>
          <w:szCs w:val="22"/>
        </w:rPr>
        <w:t>CP-9/3</w:t>
      </w:r>
      <w:r w:rsidRPr="0075563B">
        <w:t xml:space="preserve"> y CP-9/7, el proyecto de plan de aplicación y plan de acción para la creación de capacidad se han elaborado mediante un amplio proceso de consultas que comprende, entre otras cosas, la presentación de opiniones, debates abiertos en línea, la revisión por el Grupo de Enlace sobre el Protocolo de Cartagena, y un proceso de revisión por las Partes y los observadores. </w:t>
      </w:r>
    </w:p>
    <w:p w14:paraId="5E66A15F" w14:textId="09C650B1" w:rsidR="00AB3B80" w:rsidRPr="0075563B" w:rsidRDefault="00591682" w:rsidP="00FD1048">
      <w:pPr>
        <w:numPr>
          <w:ilvl w:val="0"/>
          <w:numId w:val="4"/>
        </w:numPr>
        <w:tabs>
          <w:tab w:val="clear" w:pos="360"/>
        </w:tabs>
        <w:rPr>
          <w:kern w:val="22"/>
          <w:szCs w:val="22"/>
        </w:rPr>
      </w:pPr>
      <w:r w:rsidRPr="0075563B">
        <w:t>En las decisiones CP-9/7 y CP-9/3</w:t>
      </w:r>
      <w:r w:rsidR="00C61060" w:rsidRPr="0075563B">
        <w:t>,</w:t>
      </w:r>
      <w:r w:rsidRPr="0075563B">
        <w:t xml:space="preserve"> se pidió a la Secretaria Ejecutiva que enviara el plan de aplicación y el plan de acción para la creación de capacidad al Órgano Subsidiario sobre la Aplicación para que los considerara en su tercera reunión. </w:t>
      </w:r>
    </w:p>
    <w:p w14:paraId="51B0EAD0" w14:textId="71E36EA1" w:rsidR="005D35F5" w:rsidRPr="0075563B" w:rsidRDefault="005D35F5" w:rsidP="00FD1048">
      <w:pPr>
        <w:numPr>
          <w:ilvl w:val="0"/>
          <w:numId w:val="4"/>
        </w:numPr>
        <w:tabs>
          <w:tab w:val="clear" w:pos="360"/>
        </w:tabs>
        <w:rPr>
          <w:kern w:val="22"/>
          <w:szCs w:val="22"/>
        </w:rPr>
      </w:pPr>
      <w:r w:rsidRPr="0075563B">
        <w:lastRenderedPageBreak/>
        <w:t xml:space="preserve">En la sección II de </w:t>
      </w:r>
      <w:r w:rsidR="0098470D">
        <w:t>esta</w:t>
      </w:r>
      <w:r w:rsidRPr="0075563B">
        <w:t xml:space="preserve"> nota se presenta un panorama general del proceso de elaboración del proyecto de plan de aplicación y plan de acción para la creación de capacidad. El texto del proyecto de plan de aplicación y plan de acción para la creación de capacidad figura en el anexo del presente documento.</w:t>
      </w:r>
    </w:p>
    <w:p w14:paraId="7557DE3B" w14:textId="3E305847" w:rsidR="008D2839" w:rsidRPr="0075563B" w:rsidRDefault="00F9004B" w:rsidP="00FD1048">
      <w:pPr>
        <w:numPr>
          <w:ilvl w:val="0"/>
          <w:numId w:val="4"/>
        </w:numPr>
        <w:tabs>
          <w:tab w:val="clear" w:pos="360"/>
        </w:tabs>
        <w:rPr>
          <w:kern w:val="22"/>
          <w:szCs w:val="22"/>
        </w:rPr>
      </w:pPr>
      <w:r w:rsidRPr="0075563B">
        <w:t xml:space="preserve">Además, en la decisión CP-9/7, la Conferencia de las Partes que actúa como reunión de las Partes en el Protocolo resaltó la importancia de incluir la seguridad de la biotecnología en el marco mundial de la diversidad biológica posterior a 2020. En la sección III del presente documento se describen algunos vínculos con la elaboración del marco mundial de la diversidad biológica posterior a 2020 y los procesos asociados. </w:t>
      </w:r>
    </w:p>
    <w:p w14:paraId="2E3A7E30" w14:textId="0E149A61" w:rsidR="00604FCD" w:rsidRPr="0075563B" w:rsidRDefault="00BE1210" w:rsidP="00FD1048">
      <w:pPr>
        <w:numPr>
          <w:ilvl w:val="0"/>
          <w:numId w:val="4"/>
        </w:numPr>
        <w:tabs>
          <w:tab w:val="clear" w:pos="360"/>
        </w:tabs>
        <w:rPr>
          <w:kern w:val="22"/>
          <w:szCs w:val="22"/>
        </w:rPr>
      </w:pPr>
      <w:r w:rsidRPr="0075563B">
        <w:t xml:space="preserve">En la sección IV se brindan recomendaciones propuestas para el Órgano Subsidiario sobre la Aplicación. </w:t>
      </w:r>
    </w:p>
    <w:p w14:paraId="1D892388" w14:textId="664569A3" w:rsidR="00573EC5" w:rsidRPr="0075563B" w:rsidRDefault="008D2BCF" w:rsidP="0041140E">
      <w:pPr>
        <w:pStyle w:val="Heading1"/>
        <w:numPr>
          <w:ilvl w:val="0"/>
          <w:numId w:val="5"/>
        </w:numPr>
        <w:tabs>
          <w:tab w:val="clear" w:pos="720"/>
        </w:tabs>
        <w:ind w:left="1418" w:hanging="567"/>
        <w:jc w:val="left"/>
        <w:rPr>
          <w:kern w:val="22"/>
        </w:rPr>
      </w:pPr>
      <w:r w:rsidRPr="0075563B">
        <w:t>Panorama general del proceso de desarrollo del plan de aplicación y el plan de acción para la creación de capacidad</w:t>
      </w:r>
    </w:p>
    <w:p w14:paraId="29037EED" w14:textId="11C7463A" w:rsidR="00582BB2" w:rsidRPr="0075563B" w:rsidRDefault="001863DD" w:rsidP="006C1807">
      <w:pPr>
        <w:pStyle w:val="Heading2"/>
        <w:numPr>
          <w:ilvl w:val="0"/>
          <w:numId w:val="7"/>
        </w:numPr>
        <w:tabs>
          <w:tab w:val="clear" w:pos="720"/>
        </w:tabs>
        <w:rPr>
          <w:i/>
          <w:kern w:val="22"/>
        </w:rPr>
      </w:pPr>
      <w:r w:rsidRPr="0075563B">
        <w:t>Aportes de opiniones</w:t>
      </w:r>
    </w:p>
    <w:p w14:paraId="5B8793A0" w14:textId="6EC6EAEE" w:rsidR="001C3478" w:rsidRPr="0075563B" w:rsidRDefault="002F5C30" w:rsidP="00FD1048">
      <w:pPr>
        <w:numPr>
          <w:ilvl w:val="0"/>
          <w:numId w:val="4"/>
        </w:numPr>
        <w:tabs>
          <w:tab w:val="clear" w:pos="360"/>
        </w:tabs>
        <w:rPr>
          <w:kern w:val="22"/>
          <w:szCs w:val="22"/>
        </w:rPr>
      </w:pPr>
      <w:r w:rsidRPr="0075563B">
        <w:t>En respuesta a las decisiones CP-9/7 y CP-9/3, la Secretaria Ejecutiva solicitó la presentación de opiniones sobre la estructura y el contenido del plan de aplicación y posibles elementos para el plan de acción para la creación de capacidad</w:t>
      </w:r>
      <w:r w:rsidR="00B026D8" w:rsidRPr="0075563B">
        <w:rPr>
          <w:rStyle w:val="FootnoteReference"/>
          <w:kern w:val="22"/>
          <w:szCs w:val="22"/>
          <w:u w:val="none"/>
          <w:vertAlign w:val="superscript"/>
        </w:rPr>
        <w:footnoteReference w:id="2"/>
      </w:r>
      <w:r w:rsidRPr="0075563B">
        <w:t xml:space="preserve">. </w:t>
      </w:r>
    </w:p>
    <w:p w14:paraId="7817C256" w14:textId="2702C2E8" w:rsidR="00FA248A" w:rsidRPr="0075563B" w:rsidRDefault="001C3478" w:rsidP="00DB3359">
      <w:pPr>
        <w:numPr>
          <w:ilvl w:val="0"/>
          <w:numId w:val="4"/>
        </w:numPr>
        <w:tabs>
          <w:tab w:val="clear" w:pos="360"/>
        </w:tabs>
        <w:rPr>
          <w:kern w:val="22"/>
          <w:szCs w:val="22"/>
        </w:rPr>
      </w:pPr>
      <w:r w:rsidRPr="0075563B">
        <w:t>Se recibieron 28 presentaciones en total, de las cuales 22 fueron remitidas por Partes, una por otro Gobierno, una por una organización en representación de pueblos indígenas y comunidades locales, y cuatro por otras organizaciones</w:t>
      </w:r>
      <w:r w:rsidR="00E752A5" w:rsidRPr="0075563B">
        <w:rPr>
          <w:kern w:val="22"/>
          <w:szCs w:val="22"/>
          <w:vertAlign w:val="superscript"/>
        </w:rPr>
        <w:footnoteReference w:id="3"/>
      </w:r>
      <w:r w:rsidR="00986745" w:rsidRPr="0075563B">
        <w:t>.</w:t>
      </w:r>
      <w:r w:rsidRPr="0075563B">
        <w:t xml:space="preserve"> Se ofreció una síntesis de las presentaciones al Grupo de Enlace sobre el Protocolo de Cartagena en su 13</w:t>
      </w:r>
      <w:r w:rsidRPr="0075563B">
        <w:rPr>
          <w:vertAlign w:val="superscript"/>
        </w:rPr>
        <w:t>a</w:t>
      </w:r>
      <w:r w:rsidRPr="0075563B">
        <w:t xml:space="preserve"> reunión (</w:t>
      </w:r>
      <w:proofErr w:type="spellStart"/>
      <w:r w:rsidRPr="0075563B">
        <w:t>CBD</w:t>
      </w:r>
      <w:proofErr w:type="spellEnd"/>
      <w:r w:rsidRPr="0075563B">
        <w:t>/</w:t>
      </w:r>
      <w:proofErr w:type="spellStart"/>
      <w:r w:rsidRPr="0075563B">
        <w:t>CP</w:t>
      </w:r>
      <w:proofErr w:type="spellEnd"/>
      <w:r w:rsidRPr="0075563B">
        <w:t>/</w:t>
      </w:r>
      <w:proofErr w:type="spellStart"/>
      <w:r w:rsidRPr="0075563B">
        <w:t>LG</w:t>
      </w:r>
      <w:proofErr w:type="spellEnd"/>
      <w:r w:rsidRPr="0075563B">
        <w:t>/2019/1/</w:t>
      </w:r>
      <w:proofErr w:type="spellStart"/>
      <w:r w:rsidRPr="0075563B">
        <w:t>INF</w:t>
      </w:r>
      <w:proofErr w:type="spellEnd"/>
      <w:r w:rsidRPr="0075563B">
        <w:t>/1).</w:t>
      </w:r>
    </w:p>
    <w:p w14:paraId="5E5E18DD" w14:textId="3D4EB81E" w:rsidR="004E1391" w:rsidRPr="0075563B" w:rsidRDefault="004E1391" w:rsidP="00150B86">
      <w:pPr>
        <w:pStyle w:val="Heading2"/>
        <w:numPr>
          <w:ilvl w:val="0"/>
          <w:numId w:val="7"/>
        </w:numPr>
        <w:tabs>
          <w:tab w:val="clear" w:pos="720"/>
        </w:tabs>
        <w:rPr>
          <w:i/>
          <w:kern w:val="22"/>
        </w:rPr>
      </w:pPr>
      <w:r w:rsidRPr="0075563B">
        <w:t>Elaboración del proyecto de plan de aplicación</w:t>
      </w:r>
    </w:p>
    <w:p w14:paraId="51573169" w14:textId="675ED339" w:rsidR="00362DDD" w:rsidRPr="0075563B" w:rsidRDefault="004E1391" w:rsidP="002A4895">
      <w:pPr>
        <w:numPr>
          <w:ilvl w:val="0"/>
          <w:numId w:val="4"/>
        </w:numPr>
        <w:tabs>
          <w:tab w:val="clear" w:pos="360"/>
        </w:tabs>
        <w:rPr>
          <w:kern w:val="22"/>
          <w:szCs w:val="22"/>
        </w:rPr>
      </w:pPr>
      <w:r w:rsidRPr="0075563B">
        <w:t>Basándose en las presentaciones recibidas, la Secretar</w:t>
      </w:r>
      <w:r w:rsidR="00B96ED1">
        <w:t xml:space="preserve">ía </w:t>
      </w:r>
      <w:r w:rsidRPr="0075563B">
        <w:t>elaboró un proyecto del Plan de Aplicación. La Secretaría también tuvo en cuenta la orientación proporcionada por la Conferencia de las Partes que actúa como reunión de las Partes en el Protocolo en su decisión CP-9/7, párrafo 6, en la que decidió que el plan de aplicación:</w:t>
      </w:r>
      <w:r w:rsidR="00600BA6" w:rsidRPr="0075563B">
        <w:rPr>
          <w:rFonts w:ascii="Times" w:hAnsi="Times"/>
        </w:rPr>
        <w:t xml:space="preserve"> a) se desarrollar</w:t>
      </w:r>
      <w:r w:rsidR="008521E8" w:rsidRPr="0075563B">
        <w:rPr>
          <w:rFonts w:ascii="Times" w:hAnsi="Times"/>
        </w:rPr>
        <w:t>ía</w:t>
      </w:r>
      <w:r w:rsidRPr="0075563B">
        <w:rPr>
          <w:rFonts w:ascii="Times" w:hAnsi="Times"/>
        </w:rPr>
        <w:t xml:space="preserve"> como una herramienta </w:t>
      </w:r>
      <w:r w:rsidR="00600BA6" w:rsidRPr="0075563B">
        <w:rPr>
          <w:rFonts w:ascii="Times" w:hAnsi="Times"/>
        </w:rPr>
        <w:t>para la</w:t>
      </w:r>
      <w:r w:rsidRPr="0075563B">
        <w:rPr>
          <w:rFonts w:ascii="Times" w:hAnsi="Times"/>
        </w:rPr>
        <w:t xml:space="preserve"> aplicación; b) reflejar</w:t>
      </w:r>
      <w:r w:rsidR="008521E8" w:rsidRPr="0075563B">
        <w:rPr>
          <w:rFonts w:ascii="Times" w:hAnsi="Times"/>
        </w:rPr>
        <w:t>ía</w:t>
      </w:r>
      <w:r w:rsidRPr="0075563B">
        <w:rPr>
          <w:rFonts w:ascii="Times" w:hAnsi="Times"/>
        </w:rPr>
        <w:t xml:space="preserve"> los elementos del Plan Estratégico para el Protocolo de Cartagena en el período 2011-2020 que si</w:t>
      </w:r>
      <w:r w:rsidR="00C91596" w:rsidRPr="0075563B">
        <w:rPr>
          <w:rFonts w:ascii="Times" w:hAnsi="Times"/>
        </w:rPr>
        <w:t>guiera</w:t>
      </w:r>
      <w:r w:rsidRPr="0075563B">
        <w:rPr>
          <w:rFonts w:ascii="Times" w:hAnsi="Times"/>
        </w:rPr>
        <w:t>n siendo pertinentes; c) inclu</w:t>
      </w:r>
      <w:r w:rsidR="00C91596" w:rsidRPr="0075563B">
        <w:rPr>
          <w:rFonts w:ascii="Times" w:hAnsi="Times"/>
        </w:rPr>
        <w:t>iría</w:t>
      </w:r>
      <w:r w:rsidRPr="0075563B">
        <w:rPr>
          <w:rFonts w:ascii="Times" w:hAnsi="Times"/>
        </w:rPr>
        <w:t xml:space="preserve"> nuevos elementos que reflej</w:t>
      </w:r>
      <w:r w:rsidR="00F329D7" w:rsidRPr="0075563B">
        <w:rPr>
          <w:rFonts w:ascii="Times" w:hAnsi="Times"/>
        </w:rPr>
        <w:t>ara</w:t>
      </w:r>
      <w:r w:rsidRPr="0075563B">
        <w:rPr>
          <w:rFonts w:ascii="Times" w:hAnsi="Times"/>
        </w:rPr>
        <w:t xml:space="preserve">n las lecciones aprendidas y las novedades pertinentes para la seguridad de la biotecnología; d) </w:t>
      </w:r>
      <w:r w:rsidR="00C91596" w:rsidRPr="0075563B">
        <w:rPr>
          <w:rFonts w:ascii="Times" w:hAnsi="Times"/>
        </w:rPr>
        <w:t>sería</w:t>
      </w:r>
      <w:r w:rsidRPr="0075563B">
        <w:rPr>
          <w:rFonts w:ascii="Times" w:hAnsi="Times"/>
        </w:rPr>
        <w:t xml:space="preserve"> lo suficientemente flexible como para tener en cuenta las novedades que sur</w:t>
      </w:r>
      <w:r w:rsidR="00C91596" w:rsidRPr="0075563B">
        <w:rPr>
          <w:rFonts w:ascii="Times" w:hAnsi="Times"/>
        </w:rPr>
        <w:t>giera</w:t>
      </w:r>
      <w:r w:rsidRPr="0075563B">
        <w:rPr>
          <w:rFonts w:ascii="Times" w:hAnsi="Times"/>
        </w:rPr>
        <w:t>n en el período de aplicación; y e) compren</w:t>
      </w:r>
      <w:r w:rsidR="00C91596" w:rsidRPr="0075563B">
        <w:rPr>
          <w:rFonts w:ascii="Times" w:hAnsi="Times"/>
        </w:rPr>
        <w:t>dería</w:t>
      </w:r>
      <w:r w:rsidRPr="0075563B">
        <w:rPr>
          <w:rFonts w:ascii="Times" w:hAnsi="Times"/>
        </w:rPr>
        <w:t xml:space="preserve"> indicadores simples y fácilmente mensurables para facilitar el examen de los progresos en la aplicación del Protocolo. </w:t>
      </w:r>
      <w:r w:rsidRPr="0075563B">
        <w:t xml:space="preserve">La Secretaría también tuvo en cuenta la orientación proporcionada en la decisión </w:t>
      </w:r>
      <w:proofErr w:type="spellStart"/>
      <w:r w:rsidRPr="0075563B">
        <w:t>CP</w:t>
      </w:r>
      <w:proofErr w:type="spellEnd"/>
      <w:r w:rsidRPr="0075563B">
        <w:t>-VIII/15, donde se observaba que los indicadores deberían simplificarse, racionalizarse y ser fácilmente mensurables.</w:t>
      </w:r>
    </w:p>
    <w:p w14:paraId="65A208E1" w14:textId="4A68DCA8" w:rsidR="008E27BC" w:rsidRPr="0075563B" w:rsidRDefault="002A4895" w:rsidP="00DB3359">
      <w:pPr>
        <w:numPr>
          <w:ilvl w:val="0"/>
          <w:numId w:val="4"/>
        </w:numPr>
        <w:tabs>
          <w:tab w:val="clear" w:pos="360"/>
        </w:tabs>
        <w:rPr>
          <w:kern w:val="22"/>
        </w:rPr>
      </w:pPr>
      <w:r w:rsidRPr="0075563B">
        <w:t xml:space="preserve">El proyecto de plan de aplicación incluía los elementos del actual Plan Estratégico que, según las presentaciones, seguían siendo pertinentes, así como algunos elementos nuevos propuestos. En el proyecto se abordaban propuestas para evitar parte de la redundancia del actual Plan Estratégico y se tenían en cuenta las sugerencias relativas a centrarse en un número reducido de objetivos alcanzables. Los objetivos se agruparon en dos áreas: “Esferas de aplicación” y “entorno </w:t>
      </w:r>
      <w:r w:rsidR="00717A37" w:rsidRPr="0075563B">
        <w:t>propicio</w:t>
      </w:r>
      <w:r w:rsidRPr="0075563B">
        <w:t>”</w:t>
      </w:r>
      <w:r w:rsidR="00EF56F4" w:rsidRPr="0075563B">
        <w:rPr>
          <w:rStyle w:val="FootnoteReference"/>
          <w:kern w:val="22"/>
          <w:u w:val="none"/>
          <w:vertAlign w:val="superscript"/>
        </w:rPr>
        <w:footnoteReference w:id="4"/>
      </w:r>
      <w:r w:rsidRPr="0075563B">
        <w:t>.</w:t>
      </w:r>
    </w:p>
    <w:p w14:paraId="57C7E7B6" w14:textId="18D2683E" w:rsidR="00FA248A" w:rsidRPr="0075563B" w:rsidRDefault="00FA248A" w:rsidP="00150B86">
      <w:pPr>
        <w:pStyle w:val="Heading2"/>
        <w:numPr>
          <w:ilvl w:val="0"/>
          <w:numId w:val="7"/>
        </w:numPr>
        <w:tabs>
          <w:tab w:val="clear" w:pos="720"/>
        </w:tabs>
        <w:rPr>
          <w:i/>
          <w:kern w:val="22"/>
        </w:rPr>
      </w:pPr>
      <w:r w:rsidRPr="0075563B">
        <w:lastRenderedPageBreak/>
        <w:t>Debates abiertos en línea</w:t>
      </w:r>
    </w:p>
    <w:p w14:paraId="37FA8132" w14:textId="0F958B7B" w:rsidR="00FA248A" w:rsidRPr="0075563B" w:rsidRDefault="001074FB" w:rsidP="00261115">
      <w:pPr>
        <w:numPr>
          <w:ilvl w:val="0"/>
          <w:numId w:val="4"/>
        </w:numPr>
        <w:tabs>
          <w:tab w:val="clear" w:pos="360"/>
        </w:tabs>
        <w:rPr>
          <w:kern w:val="22"/>
          <w:szCs w:val="22"/>
        </w:rPr>
      </w:pPr>
      <w:r w:rsidRPr="0075563B">
        <w:t>Los debates abiertos en línea sobre el proyecto de plan de aplicación tuvieron lugar en el Centro de Intercambio de Información sobre Seguridad de la Biotecnología (</w:t>
      </w:r>
      <w:proofErr w:type="spellStart"/>
      <w:r w:rsidRPr="0075563B">
        <w:t>CIISB</w:t>
      </w:r>
      <w:proofErr w:type="spellEnd"/>
      <w:r w:rsidRPr="0075563B">
        <w:t>) del 8 al 22 de julio de 2019</w:t>
      </w:r>
      <w:r w:rsidRPr="0075563B">
        <w:rPr>
          <w:rStyle w:val="FootnoteReference"/>
          <w:kern w:val="22"/>
          <w:sz w:val="22"/>
          <w:szCs w:val="22"/>
          <w:u w:val="none"/>
          <w:vertAlign w:val="superscript"/>
        </w:rPr>
        <w:footnoteReference w:id="5"/>
      </w:r>
      <w:r w:rsidR="006A3326" w:rsidRPr="0075563B">
        <w:t>.</w:t>
      </w:r>
      <w:r w:rsidRPr="0075563B">
        <w:rPr>
          <w:szCs w:val="22"/>
          <w:vertAlign w:val="superscript"/>
        </w:rPr>
        <w:t xml:space="preserve"> </w:t>
      </w:r>
      <w:r w:rsidRPr="0075563B">
        <w:t>Un total de 109 participantes de 28 Partes, 4 Estados que no son Partes y 11 organizaciones fueron designados y registrados como participantes en las deliberaciones</w:t>
      </w:r>
      <w:r w:rsidR="00FA248A" w:rsidRPr="0075563B">
        <w:rPr>
          <w:kern w:val="22"/>
          <w:szCs w:val="22"/>
          <w:vertAlign w:val="superscript"/>
        </w:rPr>
        <w:footnoteReference w:id="6"/>
      </w:r>
      <w:r w:rsidRPr="0075563B">
        <w:t xml:space="preserve">. </w:t>
      </w:r>
    </w:p>
    <w:p w14:paraId="47543759" w14:textId="7517A7F3" w:rsidR="00FA248A" w:rsidRPr="0075563B" w:rsidRDefault="001D1194" w:rsidP="0085638D">
      <w:pPr>
        <w:numPr>
          <w:ilvl w:val="0"/>
          <w:numId w:val="4"/>
        </w:numPr>
        <w:tabs>
          <w:tab w:val="clear" w:pos="360"/>
        </w:tabs>
        <w:rPr>
          <w:kern w:val="22"/>
          <w:szCs w:val="22"/>
        </w:rPr>
      </w:pPr>
      <w:r w:rsidRPr="0075563B">
        <w:t xml:space="preserve">Las opiniones expresadas apoyaron en general el proyecto de plan de aplicación, incluida su estructura y la división de las metas entre “esferas de aplicación” y “entorno </w:t>
      </w:r>
      <w:r w:rsidR="000A751F" w:rsidRPr="0075563B">
        <w:t>propicio</w:t>
      </w:r>
      <w:r w:rsidRPr="0075563B">
        <w:t>”.</w:t>
      </w:r>
    </w:p>
    <w:p w14:paraId="79ED31A1" w14:textId="4EFD2CCC" w:rsidR="00DB3359" w:rsidRPr="0075563B" w:rsidRDefault="007F65A1" w:rsidP="00150B86">
      <w:pPr>
        <w:pStyle w:val="Heading2"/>
        <w:numPr>
          <w:ilvl w:val="0"/>
          <w:numId w:val="7"/>
        </w:numPr>
        <w:tabs>
          <w:tab w:val="clear" w:pos="720"/>
        </w:tabs>
        <w:rPr>
          <w:i/>
          <w:kern w:val="22"/>
        </w:rPr>
      </w:pPr>
      <w:r w:rsidRPr="0075563B">
        <w:t>13ª reunión del Grupo de Enlace</w:t>
      </w:r>
    </w:p>
    <w:p w14:paraId="016511F8" w14:textId="4A71984A" w:rsidR="00CF5B28" w:rsidRPr="0075563B" w:rsidRDefault="000156C3" w:rsidP="003222E7">
      <w:pPr>
        <w:numPr>
          <w:ilvl w:val="0"/>
          <w:numId w:val="4"/>
        </w:numPr>
        <w:tabs>
          <w:tab w:val="clear" w:pos="360"/>
        </w:tabs>
        <w:spacing w:after="200"/>
        <w:rPr>
          <w:kern w:val="22"/>
        </w:rPr>
      </w:pPr>
      <w:r w:rsidRPr="0075563B">
        <w:t xml:space="preserve">La 13ª reunión del Grupo de Enlace se celebró del 22 al 25 de octubre de 2019. Como preparación para la reunión, la Secretaria Ejecutiva revisó el proyecto de plan de aplicación sobre la base de las aportaciones realizadas durante los debates abiertos en línea. El proyecto de plan de aplicación revisado se presentó al Grupo de Enlace en el documento </w:t>
      </w:r>
      <w:proofErr w:type="spellStart"/>
      <w:r w:rsidRPr="0075563B">
        <w:t>CBD</w:t>
      </w:r>
      <w:proofErr w:type="spellEnd"/>
      <w:r w:rsidRPr="0075563B">
        <w:t>/</w:t>
      </w:r>
      <w:proofErr w:type="spellStart"/>
      <w:r w:rsidRPr="0075563B">
        <w:t>CP</w:t>
      </w:r>
      <w:proofErr w:type="spellEnd"/>
      <w:r w:rsidRPr="0075563B">
        <w:t>/</w:t>
      </w:r>
      <w:proofErr w:type="spellStart"/>
      <w:r w:rsidRPr="0075563B">
        <w:t>LG</w:t>
      </w:r>
      <w:proofErr w:type="spellEnd"/>
      <w:r w:rsidRPr="0075563B">
        <w:t>/2019/1/3. También se publicó un informe sobre los debates en línea (</w:t>
      </w:r>
      <w:proofErr w:type="spellStart"/>
      <w:r w:rsidRPr="0075563B">
        <w:t>CBD</w:t>
      </w:r>
      <w:proofErr w:type="spellEnd"/>
      <w:r w:rsidRPr="0075563B">
        <w:t>/</w:t>
      </w:r>
      <w:proofErr w:type="spellStart"/>
      <w:r w:rsidRPr="0075563B">
        <w:t>CP</w:t>
      </w:r>
      <w:proofErr w:type="spellEnd"/>
      <w:r w:rsidRPr="0075563B">
        <w:t>/</w:t>
      </w:r>
      <w:proofErr w:type="spellStart"/>
      <w:r w:rsidRPr="0075563B">
        <w:t>LG</w:t>
      </w:r>
      <w:proofErr w:type="spellEnd"/>
      <w:r w:rsidRPr="0075563B">
        <w:t>/2019/1/</w:t>
      </w:r>
      <w:proofErr w:type="spellStart"/>
      <w:r w:rsidRPr="0075563B">
        <w:t>INF</w:t>
      </w:r>
      <w:proofErr w:type="spellEnd"/>
      <w:r w:rsidRPr="0075563B">
        <w:t>/2).</w:t>
      </w:r>
    </w:p>
    <w:p w14:paraId="7CF74590" w14:textId="03B4608C" w:rsidR="0035264E" w:rsidRPr="0075563B" w:rsidRDefault="002A50DE" w:rsidP="0035264E">
      <w:pPr>
        <w:numPr>
          <w:ilvl w:val="0"/>
          <w:numId w:val="4"/>
        </w:numPr>
        <w:tabs>
          <w:tab w:val="clear" w:pos="360"/>
        </w:tabs>
        <w:rPr>
          <w:kern w:val="22"/>
          <w:szCs w:val="22"/>
        </w:rPr>
      </w:pPr>
      <w:r w:rsidRPr="0075563B">
        <w:t xml:space="preserve">Además, la Secretaria Ejecutiva elaboró un proyecto de plan de acción para la creación de capacidad, basándose en las opiniones presentadas en respuesta a la </w:t>
      </w:r>
      <w:r w:rsidRPr="0075563B">
        <w:rPr>
          <w:szCs w:val="22"/>
        </w:rPr>
        <w:t>notificación 2019-027</w:t>
      </w:r>
      <w:r w:rsidRPr="0075563B">
        <w:t>, y teniendo en cuenta las actividades pertinentes del Marco y Plan de Acción para la Creación de Capacidad para la Aplicación Efectiva del Protocolo de Cartagena (2012-2020), así como actividades esbozadas en el programa de trabajo sobre concienciación, educación y participación del público</w:t>
      </w:r>
      <w:r w:rsidR="00A21C50" w:rsidRPr="0075563B">
        <w:rPr>
          <w:rStyle w:val="FootnoteReference"/>
          <w:kern w:val="22"/>
          <w:szCs w:val="22"/>
          <w:u w:val="none"/>
          <w:vertAlign w:val="superscript"/>
        </w:rPr>
        <w:footnoteReference w:id="7"/>
      </w:r>
      <w:r w:rsidR="006A3326" w:rsidRPr="0075563B">
        <w:t>.</w:t>
      </w:r>
      <w:r w:rsidRPr="0075563B">
        <w:t xml:space="preserve"> </w:t>
      </w:r>
    </w:p>
    <w:p w14:paraId="77DDF3C2" w14:textId="77777777" w:rsidR="00AC3F3C" w:rsidRPr="0075563B" w:rsidRDefault="00C422AD" w:rsidP="0088782A">
      <w:pPr>
        <w:numPr>
          <w:ilvl w:val="0"/>
          <w:numId w:val="4"/>
        </w:numPr>
        <w:tabs>
          <w:tab w:val="clear" w:pos="360"/>
        </w:tabs>
      </w:pPr>
      <w:r w:rsidRPr="0075563B">
        <w:t xml:space="preserve">El proyecto de plan de acción para la creación de capacidad se presentó en consonancia con los objetivos del proyecto de plan de aplicación revisado a fin de mostrar la complementariedad de los dos planes y subrayar el vínculo entre los objetivos del plan de aplicación y las actividades de creación de capacidad </w:t>
      </w:r>
      <w:r w:rsidR="002D30E5" w:rsidRPr="0075563B">
        <w:t>relacionadas</w:t>
      </w:r>
      <w:r w:rsidRPr="0075563B">
        <w:t xml:space="preserve"> que son necesarias para ayudar a las Partes a alcanzar esos objetivos. El proyecto de plan de acción para la creación de capacidad se puso a disposición del Grupo de Enlace en el documento </w:t>
      </w:r>
      <w:proofErr w:type="spellStart"/>
      <w:r w:rsidRPr="0075563B">
        <w:t>CBD</w:t>
      </w:r>
      <w:proofErr w:type="spellEnd"/>
      <w:r w:rsidRPr="0075563B">
        <w:t>/</w:t>
      </w:r>
      <w:proofErr w:type="spellStart"/>
      <w:r w:rsidRPr="0075563B">
        <w:t>CP</w:t>
      </w:r>
      <w:proofErr w:type="spellEnd"/>
      <w:r w:rsidRPr="0075563B">
        <w:t>/</w:t>
      </w:r>
      <w:proofErr w:type="spellStart"/>
      <w:r w:rsidRPr="0075563B">
        <w:t>LG</w:t>
      </w:r>
      <w:proofErr w:type="spellEnd"/>
      <w:r w:rsidRPr="0075563B">
        <w:t>/2019/1/4.</w:t>
      </w:r>
    </w:p>
    <w:p w14:paraId="7000D620" w14:textId="474331E5" w:rsidR="00CB3657" w:rsidRPr="0075563B" w:rsidRDefault="001F58A9" w:rsidP="0088782A">
      <w:pPr>
        <w:numPr>
          <w:ilvl w:val="0"/>
          <w:numId w:val="4"/>
        </w:numPr>
        <w:tabs>
          <w:tab w:val="clear" w:pos="360"/>
        </w:tabs>
      </w:pPr>
      <w:r w:rsidRPr="0075563B">
        <w:t>El Grupo de Enlace examinó tanto el proyecto revisado de plan de aplicación posterior a 2020 como el proyecto de plan de acción para la creación de capacidad y brindó asesoramiento a la Secretaria Ejecutiva sobre su ulterior desarrollo</w:t>
      </w:r>
      <w:r w:rsidRPr="0075563B">
        <w:rPr>
          <w:kern w:val="22"/>
          <w:szCs w:val="22"/>
          <w:vertAlign w:val="superscript"/>
        </w:rPr>
        <w:footnoteReference w:id="8"/>
      </w:r>
      <w:r w:rsidRPr="0075563B">
        <w:t>.</w:t>
      </w:r>
    </w:p>
    <w:p w14:paraId="3AE79324" w14:textId="0F5C6721" w:rsidR="00A95664" w:rsidRPr="0075563B" w:rsidRDefault="00337757" w:rsidP="00150B86">
      <w:pPr>
        <w:pStyle w:val="Heading2"/>
        <w:numPr>
          <w:ilvl w:val="0"/>
          <w:numId w:val="7"/>
        </w:numPr>
        <w:tabs>
          <w:tab w:val="clear" w:pos="720"/>
        </w:tabs>
        <w:rPr>
          <w:i/>
          <w:kern w:val="22"/>
        </w:rPr>
      </w:pPr>
      <w:r w:rsidRPr="0075563B">
        <w:t xml:space="preserve">Revisión del proyecto de plan de aplicación y plan de acción para la creación de capacidad  </w:t>
      </w:r>
    </w:p>
    <w:p w14:paraId="0497696F" w14:textId="77777777" w:rsidR="007B190F" w:rsidRPr="0075563B" w:rsidRDefault="00647F11" w:rsidP="00E05A6D">
      <w:pPr>
        <w:numPr>
          <w:ilvl w:val="0"/>
          <w:numId w:val="4"/>
        </w:numPr>
        <w:tabs>
          <w:tab w:val="clear" w:pos="360"/>
        </w:tabs>
        <w:rPr>
          <w:kern w:val="22"/>
          <w:szCs w:val="22"/>
        </w:rPr>
      </w:pPr>
      <w:r w:rsidRPr="0075563B">
        <w:t>Teniendo en cuenta el asesoramiento del Grupo de Enlace, la Secretaría revisó nuevamente el proyecto de plan de aplicación y el plan de acción para la creación de capacidad, añadiendo un texto introductorio conjunto y presentando los cuadros de los dos planes uno junto al otro para mostrar su alineación y complementa</w:t>
      </w:r>
      <w:r w:rsidR="007B190F" w:rsidRPr="0075563B">
        <w:t>riedad y evitar la duplicación.</w:t>
      </w:r>
    </w:p>
    <w:p w14:paraId="36DBC9ED" w14:textId="31DCF45D" w:rsidR="0085638D" w:rsidRPr="0075563B" w:rsidRDefault="004D47CA" w:rsidP="00E05A6D">
      <w:pPr>
        <w:numPr>
          <w:ilvl w:val="0"/>
          <w:numId w:val="4"/>
        </w:numPr>
        <w:tabs>
          <w:tab w:val="clear" w:pos="360"/>
        </w:tabs>
        <w:rPr>
          <w:kern w:val="22"/>
          <w:szCs w:val="22"/>
        </w:rPr>
      </w:pPr>
      <w:r w:rsidRPr="0075563B">
        <w:t xml:space="preserve">Los proyectos de planes se publicaron en línea en diciembre de 2019 y se invitó a las Partes, otros Gobiernos, pueblos indígenas y comunidades locales y organizaciones pertinentes a que examinaran los </w:t>
      </w:r>
      <w:r w:rsidRPr="0075563B">
        <w:lastRenderedPageBreak/>
        <w:t>proyectos de planes y enviaran sus comentarios a la Secretaría</w:t>
      </w:r>
      <w:r w:rsidR="00A574C1" w:rsidRPr="0075563B">
        <w:rPr>
          <w:rStyle w:val="FootnoteReference"/>
          <w:kern w:val="22"/>
          <w:u w:val="none"/>
          <w:vertAlign w:val="superscript"/>
        </w:rPr>
        <w:footnoteReference w:id="9"/>
      </w:r>
      <w:r w:rsidRPr="0075563B">
        <w:t>. Se recibieron 25 comunicaciones en respuesta, de las cuales 15 procedían de las Partes, 3 de otros Gobiernos y 7 de organizaciones</w:t>
      </w:r>
      <w:r w:rsidR="001C3478" w:rsidRPr="0075563B">
        <w:rPr>
          <w:rStyle w:val="FootnoteReference"/>
          <w:kern w:val="22"/>
          <w:szCs w:val="22"/>
          <w:u w:val="none"/>
          <w:vertAlign w:val="superscript"/>
        </w:rPr>
        <w:footnoteReference w:id="10"/>
      </w:r>
      <w:r w:rsidRPr="0075563B">
        <w:t>.</w:t>
      </w:r>
      <w:r w:rsidRPr="0075563B">
        <w:rPr>
          <w:szCs w:val="22"/>
          <w:vertAlign w:val="superscript"/>
        </w:rPr>
        <w:t xml:space="preserve"> </w:t>
      </w:r>
    </w:p>
    <w:p w14:paraId="4873F389" w14:textId="7C28CEC0" w:rsidR="0085638D" w:rsidRPr="0075563B" w:rsidRDefault="0085638D" w:rsidP="00150B86">
      <w:pPr>
        <w:pStyle w:val="Heading2"/>
        <w:numPr>
          <w:ilvl w:val="0"/>
          <w:numId w:val="7"/>
        </w:numPr>
        <w:tabs>
          <w:tab w:val="clear" w:pos="720"/>
        </w:tabs>
        <w:rPr>
          <w:kern w:val="22"/>
          <w:szCs w:val="22"/>
        </w:rPr>
      </w:pPr>
      <w:r w:rsidRPr="0075563B">
        <w:t>14ª reunión del Grupo de Enlace</w:t>
      </w:r>
    </w:p>
    <w:p w14:paraId="30E0CD20" w14:textId="7C3723B3" w:rsidR="00AD6892" w:rsidRPr="0075563B" w:rsidRDefault="00384EAE" w:rsidP="00B73B2A">
      <w:pPr>
        <w:numPr>
          <w:ilvl w:val="0"/>
          <w:numId w:val="4"/>
        </w:numPr>
        <w:tabs>
          <w:tab w:val="clear" w:pos="360"/>
        </w:tabs>
        <w:rPr>
          <w:kern w:val="22"/>
        </w:rPr>
      </w:pPr>
      <w:r w:rsidRPr="0075563B">
        <w:t>Basándose en las comunicaciones recibidas a través del proceso de revisión, la Secretaría volvió a revisar el proyecto de plan de aplicación y plan de acción para la creación de capacidad, principalmente para aclarar los términos y mejorar la coherencia. El proyecto revisado se presentó al Grupo de Enlace en su 14</w:t>
      </w:r>
      <w:r w:rsidRPr="0075563B">
        <w:rPr>
          <w:vertAlign w:val="superscript"/>
        </w:rPr>
        <w:t>a</w:t>
      </w:r>
      <w:r w:rsidRPr="0075563B">
        <w:t xml:space="preserve"> reunión, que tuvo lugar del 20 al 23 de abril de 2020. </w:t>
      </w:r>
    </w:p>
    <w:p w14:paraId="043EC158" w14:textId="33B88C5D" w:rsidR="0085638D" w:rsidRPr="0075563B" w:rsidRDefault="00E610EB" w:rsidP="009208FD">
      <w:pPr>
        <w:numPr>
          <w:ilvl w:val="0"/>
          <w:numId w:val="4"/>
        </w:numPr>
        <w:tabs>
          <w:tab w:val="clear" w:pos="360"/>
        </w:tabs>
        <w:rPr>
          <w:kern w:val="22"/>
        </w:rPr>
      </w:pPr>
      <w:r w:rsidRPr="0075563B">
        <w:t xml:space="preserve">De conformidad con la decisión CP-9/3, el Grupo de Enlace concentró su revisión en el plan de acción para la creación de capacidad, teniendo también en cuenta la información de los cuartos informes nacionales y los resultados preliminares de la cuarta evaluación y revisión del Protocolo y la evaluación final del Plan Estratégico. </w:t>
      </w:r>
      <w:r w:rsidR="006537CF" w:rsidRPr="0075563B">
        <w:t>Además, p</w:t>
      </w:r>
      <w:r w:rsidRPr="0075563B">
        <w:t>roporcionó más asesoramiento a la Secretaria Ejecutiva a este respecto</w:t>
      </w:r>
      <w:r w:rsidR="0060241C" w:rsidRPr="0075563B">
        <w:rPr>
          <w:rStyle w:val="FootnoteReference"/>
          <w:kern w:val="22"/>
          <w:szCs w:val="22"/>
          <w:u w:val="none"/>
          <w:vertAlign w:val="superscript"/>
        </w:rPr>
        <w:footnoteReference w:id="11"/>
      </w:r>
      <w:r w:rsidRPr="0075563B">
        <w:t xml:space="preserve">.  </w:t>
      </w:r>
    </w:p>
    <w:p w14:paraId="66E6BC29" w14:textId="78CE1645" w:rsidR="008F506B" w:rsidRPr="0075563B" w:rsidRDefault="00167A6D" w:rsidP="00150B86">
      <w:pPr>
        <w:pStyle w:val="Heading2"/>
        <w:numPr>
          <w:ilvl w:val="0"/>
          <w:numId w:val="7"/>
        </w:numPr>
        <w:tabs>
          <w:tab w:val="clear" w:pos="720"/>
        </w:tabs>
        <w:rPr>
          <w:kern w:val="22"/>
          <w:szCs w:val="22"/>
        </w:rPr>
      </w:pPr>
      <w:r w:rsidRPr="0075563B">
        <w:t xml:space="preserve">Elaboración del proyecto final de plan de aplicación y plan de acción para la creación de capacidad </w:t>
      </w:r>
    </w:p>
    <w:p w14:paraId="77C92368" w14:textId="671E2031" w:rsidR="008F506B" w:rsidRPr="0075563B" w:rsidRDefault="00FE3AC9" w:rsidP="00150B86">
      <w:pPr>
        <w:numPr>
          <w:ilvl w:val="0"/>
          <w:numId w:val="4"/>
        </w:numPr>
        <w:tabs>
          <w:tab w:val="clear" w:pos="360"/>
        </w:tabs>
        <w:rPr>
          <w:kern w:val="22"/>
          <w:szCs w:val="22"/>
        </w:rPr>
      </w:pPr>
      <w:r w:rsidRPr="0075563B">
        <w:t xml:space="preserve">Basándose en los aportes del Grupo de Enlace en su 14ª reunión, la Secretaría elaboró el proyecto final de plan de aplicación para el Protocolo de Cartagena y plan de acción para la creación de capacidad, como figura en el anexo de la presente nota, para su consideración por el Órgano Subsidiario sobre la Aplicación en su tercera reunión. </w:t>
      </w:r>
    </w:p>
    <w:p w14:paraId="28F1A095" w14:textId="41B90B72" w:rsidR="00323EA4" w:rsidRPr="0075563B" w:rsidRDefault="00323EA4" w:rsidP="006D31F5">
      <w:pPr>
        <w:pStyle w:val="Heading1"/>
        <w:numPr>
          <w:ilvl w:val="0"/>
          <w:numId w:val="5"/>
        </w:numPr>
        <w:tabs>
          <w:tab w:val="clear" w:pos="720"/>
        </w:tabs>
        <w:jc w:val="left"/>
        <w:rPr>
          <w:kern w:val="22"/>
        </w:rPr>
      </w:pPr>
      <w:r w:rsidRPr="0075563B">
        <w:t>Vínculo con el marco mundial de la diversidad biológica posterior a 2020 y procesos relacionados</w:t>
      </w:r>
    </w:p>
    <w:p w14:paraId="683375F7" w14:textId="0A243769" w:rsidR="00F87AED" w:rsidRPr="0075563B" w:rsidRDefault="00F87AED" w:rsidP="00F87AED">
      <w:pPr>
        <w:pStyle w:val="Para1"/>
        <w:numPr>
          <w:ilvl w:val="0"/>
          <w:numId w:val="4"/>
        </w:numPr>
        <w:tabs>
          <w:tab w:val="clear" w:pos="360"/>
        </w:tabs>
        <w:rPr>
          <w:kern w:val="22"/>
          <w:szCs w:val="22"/>
        </w:rPr>
      </w:pPr>
      <w:r w:rsidRPr="0075563B">
        <w:t xml:space="preserve">En la decisión CP-9/7, la Conferencia de las Partes que actúa como reunión de las Partes acogió con beneplácito la decisión 14/34 de la Conferencia de las Partes y destacó la importancia de incluir la seguridad de la biotecnología en el marco mundial de la diversidad biológica posterior a 2020, y decidió que el plan de aplicación para el Protocolo de Cartagena posterior a 2020 debería basarse en el marco mundial de la diversidad biológica posterior a 2020 y ser complementario a él. </w:t>
      </w:r>
    </w:p>
    <w:p w14:paraId="068BE6CB" w14:textId="5EC6C991" w:rsidR="009C7797" w:rsidRPr="0075563B" w:rsidRDefault="005F564C" w:rsidP="00713057">
      <w:pPr>
        <w:pStyle w:val="Para1"/>
        <w:numPr>
          <w:ilvl w:val="0"/>
          <w:numId w:val="4"/>
        </w:numPr>
        <w:tabs>
          <w:tab w:val="clear" w:pos="360"/>
        </w:tabs>
        <w:rPr>
          <w:kern w:val="22"/>
          <w:szCs w:val="22"/>
          <w:shd w:val="clear" w:color="auto" w:fill="FFFFFF"/>
        </w:rPr>
      </w:pPr>
      <w:r w:rsidRPr="0075563B">
        <w:t>De conformidad con la decisión CP-9/7, el Grupo de Enlace en su 13</w:t>
      </w:r>
      <w:r w:rsidRPr="0075563B">
        <w:rPr>
          <w:vertAlign w:val="superscript"/>
        </w:rPr>
        <w:t>a</w:t>
      </w:r>
      <w:r w:rsidRPr="0075563B">
        <w:t xml:space="preserve"> reunión contribuyó </w:t>
      </w:r>
      <w:r w:rsidR="002574F9" w:rsidRPr="0075563B">
        <w:t>a</w:t>
      </w:r>
      <w:r w:rsidRPr="0075563B">
        <w:t>l desarrollo de los elementos pertinentes del componente de seguridad de la biotecnología en el marco mundial de la diversidad biológica posterior a 2020.</w:t>
      </w:r>
      <w:r w:rsidRPr="0075563B">
        <w:rPr>
          <w:szCs w:val="22"/>
          <w:shd w:val="clear" w:color="auto" w:fill="FFFFFF"/>
        </w:rPr>
        <w:t xml:space="preserve"> Los elementos sugeridos para el componente de seguridad de la biotecnología fueron transmitidos a los Copresidentes del Grupo de Trabajo de Composición Abierta sobre el Marco Mundial de la Diversidad Biológica posterior a 2020, que los emplearon para elaborar el borrador preliminar del marco mundial de la diversidad biológica posterior a 2020. El borrador preliminar fue considerado en la segunda reunión del Grupo de Trabajo de Composición Abierta, celebrada en Roma del 24 al 29 de febrero de 2020. </w:t>
      </w:r>
    </w:p>
    <w:p w14:paraId="42C73185" w14:textId="03138F10" w:rsidR="000735D6" w:rsidRPr="0075563B" w:rsidRDefault="002417F0" w:rsidP="00E773E2">
      <w:pPr>
        <w:pStyle w:val="Para1"/>
        <w:numPr>
          <w:ilvl w:val="0"/>
          <w:numId w:val="4"/>
        </w:numPr>
        <w:tabs>
          <w:tab w:val="clear" w:pos="360"/>
        </w:tabs>
        <w:rPr>
          <w:kern w:val="22"/>
          <w:szCs w:val="22"/>
          <w:shd w:val="clear" w:color="auto" w:fill="FFFFFF"/>
        </w:rPr>
      </w:pPr>
      <w:r w:rsidRPr="0075563B">
        <w:t xml:space="preserve">El marco mundial de la diversidad biológica posterior a 2020, incluida su meta sobre la seguridad de la biotecnología, está siendo revisado por los Copresidentes a la luz de los debates del Grupo de Trabajo de Composición Abierta. </w:t>
      </w:r>
      <w:r w:rsidR="00D9191E" w:rsidRPr="0075563B">
        <w:t xml:space="preserve">En el documento </w:t>
      </w:r>
      <w:proofErr w:type="spellStart"/>
      <w:r w:rsidR="00D9191E" w:rsidRPr="0075563B">
        <w:t>CBD</w:t>
      </w:r>
      <w:proofErr w:type="spellEnd"/>
      <w:r w:rsidR="00D9191E" w:rsidRPr="0075563B">
        <w:t>/</w:t>
      </w:r>
      <w:proofErr w:type="spellStart"/>
      <w:r w:rsidR="00D9191E" w:rsidRPr="0075563B">
        <w:t>SBI</w:t>
      </w:r>
      <w:proofErr w:type="spellEnd"/>
      <w:r w:rsidR="00D9191E" w:rsidRPr="0075563B">
        <w:t>/3/4 figura</w:t>
      </w:r>
      <w:r w:rsidRPr="0075563B">
        <w:t xml:space="preserve"> más información sobre el proceso hacia el marco mundial de la diversidad biológica posterior a 2020 y los temas relacionados del programa a considerar en la tercera reunión del Órgano</w:t>
      </w:r>
      <w:r w:rsidR="00D9191E" w:rsidRPr="0075563B">
        <w:t xml:space="preserve"> Subsidiario sobre la Aplicación</w:t>
      </w:r>
      <w:r w:rsidRPr="0075563B">
        <w:t>.</w:t>
      </w:r>
    </w:p>
    <w:p w14:paraId="7B8939B0" w14:textId="65DCF01C" w:rsidR="00D33BB6" w:rsidRPr="0075563B" w:rsidRDefault="0043081D" w:rsidP="00EC6FE6">
      <w:pPr>
        <w:pStyle w:val="Para1"/>
        <w:numPr>
          <w:ilvl w:val="0"/>
          <w:numId w:val="4"/>
        </w:numPr>
        <w:tabs>
          <w:tab w:val="clear" w:pos="360"/>
        </w:tabs>
        <w:rPr>
          <w:kern w:val="22"/>
          <w:szCs w:val="22"/>
          <w:shd w:val="clear" w:color="auto" w:fill="FFFFFF"/>
        </w:rPr>
      </w:pPr>
      <w:r w:rsidRPr="0075563B">
        <w:rPr>
          <w:szCs w:val="22"/>
          <w:shd w:val="clear" w:color="auto" w:fill="FFFFFF"/>
        </w:rPr>
        <w:t xml:space="preserve">La inclusión de la seguridad de la biotecnología en el marco mundial de la diversidad biológica posterior a 2020 resalta el vínculo entre la seguridad de la biotecnología y la diversidad biológica. Además, </w:t>
      </w:r>
      <w:r w:rsidRPr="0075563B">
        <w:rPr>
          <w:szCs w:val="22"/>
          <w:shd w:val="clear" w:color="auto" w:fill="FFFFFF"/>
        </w:rPr>
        <w:lastRenderedPageBreak/>
        <w:t>ayuda a fortalecer el vínculo entre la seguridad de la biotecnología y otros marcos más amplios, como los Objetivos de Desarrollo Sostenib</w:t>
      </w:r>
      <w:r w:rsidR="0089364B" w:rsidRPr="0075563B">
        <w:rPr>
          <w:szCs w:val="22"/>
          <w:shd w:val="clear" w:color="auto" w:fill="FFFFFF"/>
        </w:rPr>
        <w:t>le. Estos vínculos pueden contr</w:t>
      </w:r>
      <w:r w:rsidRPr="0075563B">
        <w:rPr>
          <w:szCs w:val="22"/>
          <w:shd w:val="clear" w:color="auto" w:fill="FFFFFF"/>
        </w:rPr>
        <w:t>ibuir a la inclusión de la seguridad de la biotecnología en las estrategias nacionales para la aplicación del marco mundial de la diversidad biológica, tales como las estrategias y planes de acción nacionales en materia de diversidad biológica, y en marcos e iniciativas para la aplicación de los Objetivos de Desarrollo Sostenible</w:t>
      </w:r>
      <w:r w:rsidR="00B46CB6" w:rsidRPr="0075563B">
        <w:rPr>
          <w:rStyle w:val="FootnoteReference"/>
          <w:kern w:val="22"/>
          <w:szCs w:val="22"/>
          <w:u w:val="none"/>
          <w:shd w:val="clear" w:color="auto" w:fill="FFFFFF"/>
          <w:vertAlign w:val="superscript"/>
        </w:rPr>
        <w:footnoteReference w:id="12"/>
      </w:r>
      <w:r w:rsidRPr="0075563B">
        <w:rPr>
          <w:szCs w:val="22"/>
          <w:shd w:val="clear" w:color="auto" w:fill="FFFFFF"/>
        </w:rPr>
        <w:t xml:space="preserve">. </w:t>
      </w:r>
    </w:p>
    <w:p w14:paraId="053A01BC" w14:textId="67108BB8" w:rsidR="00D96BFB" w:rsidRPr="0075563B" w:rsidRDefault="00D96BFB" w:rsidP="00E773E2">
      <w:pPr>
        <w:pStyle w:val="Para1"/>
        <w:numPr>
          <w:ilvl w:val="0"/>
          <w:numId w:val="4"/>
        </w:numPr>
        <w:tabs>
          <w:tab w:val="clear" w:pos="360"/>
        </w:tabs>
        <w:rPr>
          <w:kern w:val="22"/>
          <w:szCs w:val="22"/>
          <w:shd w:val="clear" w:color="auto" w:fill="FFFFFF"/>
        </w:rPr>
      </w:pPr>
      <w:r w:rsidRPr="0075563B">
        <w:t>En su decisión CP-9/3, la Conferencia de las Partes que actúa como reunión de las Partes reconoció la necesidad de un plan de acción específico para la creación de capacidad para la aplicación del Protocolo de Cartagena y su Protocolo Suplementario que esté en armonía con el plan de aplicación y sea complementario al marco estratégico a largo plazo para la creación de capacidad.</w:t>
      </w:r>
    </w:p>
    <w:p w14:paraId="0BE22E07" w14:textId="25E27B86" w:rsidR="008E3C53" w:rsidRPr="0075563B" w:rsidRDefault="00CA6041" w:rsidP="008E3C53">
      <w:pPr>
        <w:pStyle w:val="Para1"/>
        <w:numPr>
          <w:ilvl w:val="0"/>
          <w:numId w:val="4"/>
        </w:numPr>
        <w:suppressLineNumbers/>
        <w:tabs>
          <w:tab w:val="clear" w:pos="360"/>
        </w:tabs>
        <w:suppressAutoHyphens/>
        <w:rPr>
          <w:kern w:val="22"/>
          <w:szCs w:val="22"/>
        </w:rPr>
      </w:pPr>
      <w:r w:rsidRPr="0075563B">
        <w:t>El Grupo de Enlace, en su 13</w:t>
      </w:r>
      <w:r w:rsidRPr="0075563B">
        <w:rPr>
          <w:vertAlign w:val="superscript"/>
        </w:rPr>
        <w:t>a</w:t>
      </w:r>
      <w:r w:rsidRPr="0075563B">
        <w:t xml:space="preserve"> reunión, señaló que un conjunto de elementos generales y enfoques relacionados con el plan de acción para la creación de capacidad en virtud del Protocolo de Cartagena podrían abordarse en el marco a largo plazo para la creación de capacidad.</w:t>
      </w:r>
    </w:p>
    <w:p w14:paraId="0552AF84" w14:textId="131F7A0C" w:rsidR="00E95627" w:rsidRPr="0075563B" w:rsidRDefault="00AF7D22" w:rsidP="008E3C53">
      <w:pPr>
        <w:pStyle w:val="Para1"/>
        <w:numPr>
          <w:ilvl w:val="0"/>
          <w:numId w:val="4"/>
        </w:numPr>
        <w:suppressLineNumbers/>
        <w:tabs>
          <w:tab w:val="clear" w:pos="360"/>
        </w:tabs>
        <w:suppressAutoHyphens/>
        <w:rPr>
          <w:kern w:val="22"/>
          <w:szCs w:val="22"/>
        </w:rPr>
      </w:pPr>
      <w:r w:rsidRPr="0075563B">
        <w:t xml:space="preserve">El Grupo de Enlace señaló que sería beneficioso reconocer el plan de aplicación y el plan de acción para la creación de capacidad en los procesos posteriores a 2020 en virtud del Convenio. Además, señaló que las Partes en el Protocolo de Cartagena podrían facilitar esto mediante su participación proactiva en los procesos posteriores a 2020 en virtud del Convenio. </w:t>
      </w:r>
      <w:r w:rsidR="004B2FB2" w:rsidRPr="0075563B">
        <w:t>También r</w:t>
      </w:r>
      <w:r w:rsidRPr="0075563B">
        <w:t>esaltó la importancia de hacer referencia al plan de acción para la creación de capacidad en el proyecto de marco estratégico a largo plazo, a fin de asegurar que sus vínculos con el Protocolo y las cuestiones de seguridad de la biotecnología estén claros.</w:t>
      </w:r>
    </w:p>
    <w:p w14:paraId="3BA69C55" w14:textId="77777777" w:rsidR="001A3E92" w:rsidRPr="0075563B" w:rsidRDefault="001A3E92" w:rsidP="001A3E92">
      <w:pPr>
        <w:pStyle w:val="Heading1"/>
        <w:numPr>
          <w:ilvl w:val="0"/>
          <w:numId w:val="5"/>
        </w:numPr>
        <w:tabs>
          <w:tab w:val="clear" w:pos="720"/>
        </w:tabs>
        <w:rPr>
          <w:kern w:val="22"/>
        </w:rPr>
      </w:pPr>
      <w:r w:rsidRPr="0075563B">
        <w:t>Recomendaciones propuestas</w:t>
      </w:r>
    </w:p>
    <w:p w14:paraId="34F88A83" w14:textId="5AECDD4C" w:rsidR="00006737" w:rsidRPr="0075563B" w:rsidRDefault="002E186C" w:rsidP="00006737">
      <w:pPr>
        <w:numPr>
          <w:ilvl w:val="0"/>
          <w:numId w:val="4"/>
        </w:numPr>
        <w:tabs>
          <w:tab w:val="clear" w:pos="360"/>
        </w:tabs>
        <w:rPr>
          <w:kern w:val="22"/>
          <w:szCs w:val="22"/>
        </w:rPr>
      </w:pPr>
      <w:r w:rsidRPr="0075563B">
        <w:t xml:space="preserve">El Órgano Subsidiario sobre la Aplicación </w:t>
      </w:r>
      <w:r w:rsidR="00E36851" w:rsidRPr="0075563B">
        <w:t>podría</w:t>
      </w:r>
      <w:r w:rsidRPr="0075563B">
        <w:t xml:space="preserve"> estimar oportuno revisar el proyecto de plan de aplicación para el Protocolo de Cartagena y plan de acción para la creación de capacidad, como figura en el anexo al presente documento. </w:t>
      </w:r>
    </w:p>
    <w:p w14:paraId="061B2239" w14:textId="7813928E" w:rsidR="00A12BB7" w:rsidRPr="0075563B" w:rsidRDefault="00501203" w:rsidP="005B6393">
      <w:pPr>
        <w:numPr>
          <w:ilvl w:val="0"/>
          <w:numId w:val="4"/>
        </w:numPr>
        <w:tabs>
          <w:tab w:val="clear" w:pos="360"/>
        </w:tabs>
        <w:rPr>
          <w:kern w:val="22"/>
          <w:szCs w:val="22"/>
        </w:rPr>
      </w:pPr>
      <w:r w:rsidRPr="0075563B">
        <w:t>El siguiente proyecto de decisión se ha elaborado para su consideración por el Órgano Subsidiario sobre la Aplicación. Se prevé que en el contexto de las deliberaciones sobre esos dos documentos se elaborarán elementos adicionales para el proyecto de decisión relacionado con el marco mundial de la diversidad biológica posterior a 2020 y el marco estratégico a largo plazo para el desarrollo de capacidad, que se incorporarán al proyecto de decisión que se presente a la Conferencia de las Partes que actúa como reunión de las Partes en el Protocolo de Cartagena</w:t>
      </w:r>
      <w:r w:rsidR="002541F0" w:rsidRPr="0075563B">
        <w:t xml:space="preserve"> en su décima reunión</w:t>
      </w:r>
      <w:r w:rsidRPr="0075563B">
        <w:t xml:space="preserve">. </w:t>
      </w:r>
    </w:p>
    <w:p w14:paraId="68B42FF7" w14:textId="76962510" w:rsidR="009208FD" w:rsidRPr="0075563B" w:rsidRDefault="00A12BB7" w:rsidP="004149FB">
      <w:pPr>
        <w:numPr>
          <w:ilvl w:val="0"/>
          <w:numId w:val="4"/>
        </w:numPr>
        <w:tabs>
          <w:tab w:val="clear" w:pos="360"/>
        </w:tabs>
        <w:rPr>
          <w:kern w:val="22"/>
          <w:szCs w:val="22"/>
        </w:rPr>
      </w:pPr>
      <w:r w:rsidRPr="0075563B">
        <w:t xml:space="preserve">El Órgano Subsidiario sobre la Aplicación </w:t>
      </w:r>
      <w:r w:rsidR="00E36851" w:rsidRPr="0075563B">
        <w:t>podría</w:t>
      </w:r>
      <w:r w:rsidRPr="0075563B">
        <w:t xml:space="preserve"> estimar oportuno recomendar a la Conferencia de las Partes que actúa como reunión de las Partes en el Protocolo que, en su décima reunión, adopte una decisión del siguiente tenor:</w:t>
      </w:r>
    </w:p>
    <w:p w14:paraId="406DC3AA" w14:textId="7B8F9025" w:rsidR="002F76BB" w:rsidRPr="0075563B" w:rsidRDefault="002F76BB" w:rsidP="003E01D9">
      <w:pPr>
        <w:tabs>
          <w:tab w:val="left" w:pos="709"/>
        </w:tabs>
        <w:autoSpaceDE w:val="0"/>
        <w:autoSpaceDN w:val="0"/>
        <w:adjustRightInd w:val="0"/>
        <w:ind w:firstLine="720"/>
        <w:rPr>
          <w:rFonts w:eastAsiaTheme="minorEastAsia"/>
          <w:kern w:val="22"/>
          <w:szCs w:val="22"/>
        </w:rPr>
      </w:pPr>
      <w:r w:rsidRPr="0075563B">
        <w:rPr>
          <w:i/>
          <w:iCs/>
          <w:szCs w:val="22"/>
        </w:rPr>
        <w:t>La Conferencia de las Partes que actúa como reunión de las Partes en el Protocolo de Cartagena sobre Seguridad de la Biotecnología,</w:t>
      </w:r>
    </w:p>
    <w:p w14:paraId="0B4EC033" w14:textId="66768448" w:rsidR="001B3D79" w:rsidRPr="0075563B" w:rsidRDefault="00617732" w:rsidP="003E01D9">
      <w:pPr>
        <w:pStyle w:val="ListParagraph"/>
        <w:tabs>
          <w:tab w:val="left" w:pos="709"/>
        </w:tabs>
        <w:autoSpaceDE w:val="0"/>
        <w:autoSpaceDN w:val="0"/>
        <w:adjustRightInd w:val="0"/>
        <w:spacing w:after="240" w:line="240" w:lineRule="auto"/>
        <w:ind w:left="0"/>
        <w:contextualSpacing w:val="0"/>
        <w:jc w:val="both"/>
        <w:rPr>
          <w:rFonts w:ascii="Times New Roman" w:hAnsi="Times New Roman" w:cs="Times New Roman"/>
          <w:kern w:val="22"/>
        </w:rPr>
      </w:pPr>
      <w:r w:rsidRPr="0075563B">
        <w:rPr>
          <w:rFonts w:ascii="Times New Roman" w:hAnsi="Times New Roman"/>
        </w:rPr>
        <w:tab/>
      </w:r>
      <w:r w:rsidRPr="0075563B">
        <w:rPr>
          <w:rFonts w:ascii="Times New Roman" w:hAnsi="Times New Roman"/>
          <w:i/>
          <w:iCs/>
        </w:rPr>
        <w:t xml:space="preserve">Recordando </w:t>
      </w:r>
      <w:r w:rsidRPr="0075563B">
        <w:rPr>
          <w:rFonts w:ascii="Times New Roman" w:hAnsi="Times New Roman"/>
        </w:rPr>
        <w:t xml:space="preserve">la decisión CP-9/7, en la que decidió elaborar un plan de aplicación para el Protocolo de Cartagena que esté basado en el marco mundial de la diversidad biológica posterior a 2020 y sea complementario a él, </w:t>
      </w:r>
    </w:p>
    <w:p w14:paraId="2E086780" w14:textId="429DD54E" w:rsidR="00EF426A" w:rsidRPr="0075563B" w:rsidRDefault="00617732" w:rsidP="003E01D9">
      <w:pPr>
        <w:pStyle w:val="ListParagraph"/>
        <w:tabs>
          <w:tab w:val="left" w:pos="709"/>
        </w:tabs>
        <w:autoSpaceDE w:val="0"/>
        <w:autoSpaceDN w:val="0"/>
        <w:adjustRightInd w:val="0"/>
        <w:spacing w:after="240" w:line="240" w:lineRule="auto"/>
        <w:ind w:left="0"/>
        <w:contextualSpacing w:val="0"/>
        <w:jc w:val="both"/>
        <w:rPr>
          <w:rFonts w:ascii="Times New Roman" w:hAnsi="Times New Roman" w:cs="Times New Roman"/>
          <w:kern w:val="22"/>
        </w:rPr>
      </w:pPr>
      <w:r w:rsidRPr="0075563B">
        <w:rPr>
          <w:rFonts w:ascii="Times New Roman" w:hAnsi="Times New Roman"/>
        </w:rPr>
        <w:tab/>
      </w:r>
      <w:r w:rsidRPr="0075563B">
        <w:rPr>
          <w:rFonts w:ascii="Times New Roman" w:hAnsi="Times New Roman"/>
          <w:i/>
          <w:iCs/>
        </w:rPr>
        <w:t>Recordando asimismo</w:t>
      </w:r>
      <w:r w:rsidRPr="0075563B">
        <w:rPr>
          <w:rFonts w:ascii="Times New Roman" w:hAnsi="Times New Roman"/>
        </w:rPr>
        <w:t xml:space="preserve"> la decisión CP-9/3, en la que reconoció la necesidad de un plan de acción específico para la creación de capacidad para la aplicación del Protocolo de Cartagena y su Protocolo Suplementario que esté en armonía con el plan de aplicación y sea complementario al marco estratégico a </w:t>
      </w:r>
      <w:r w:rsidRPr="0075563B">
        <w:rPr>
          <w:rFonts w:ascii="Times New Roman" w:hAnsi="Times New Roman"/>
        </w:rPr>
        <w:lastRenderedPageBreak/>
        <w:t>largo plazo para la creación de capacidad en apoyo a la aplicación del marco mundial de la diversidad biológica posterior a 2020,</w:t>
      </w:r>
    </w:p>
    <w:p w14:paraId="4E94A0A0" w14:textId="09788BEF" w:rsidR="00A24F19" w:rsidRPr="0075563B" w:rsidRDefault="00B9111E" w:rsidP="004966AC">
      <w:pPr>
        <w:pStyle w:val="ListParagraph"/>
        <w:tabs>
          <w:tab w:val="left" w:pos="709"/>
        </w:tabs>
        <w:autoSpaceDE w:val="0"/>
        <w:autoSpaceDN w:val="0"/>
        <w:adjustRightInd w:val="0"/>
        <w:spacing w:after="240" w:line="240" w:lineRule="auto"/>
        <w:ind w:left="0" w:firstLine="709"/>
        <w:contextualSpacing w:val="0"/>
        <w:jc w:val="both"/>
        <w:rPr>
          <w:rFonts w:ascii="Times New Roman" w:hAnsi="Times New Roman" w:cs="Times New Roman"/>
          <w:kern w:val="22"/>
        </w:rPr>
      </w:pPr>
      <w:r w:rsidRPr="0075563B">
        <w:rPr>
          <w:rFonts w:ascii="Times New Roman" w:hAnsi="Times New Roman"/>
          <w:i/>
          <w:iCs/>
        </w:rPr>
        <w:t>Acogiendo con beneplácito</w:t>
      </w:r>
      <w:r w:rsidRPr="0075563B">
        <w:rPr>
          <w:rFonts w:ascii="Times New Roman" w:hAnsi="Times New Roman"/>
        </w:rPr>
        <w:t xml:space="preserve"> la contribución al desarrollo del plan de aplicación y el plan de acción para la creación de capacidad realizada por el Grupo de Enlace sobre el Protocolo de Cartagena, y la revisión por el Órgano Subsidiario sobre la Aplicación, </w:t>
      </w:r>
    </w:p>
    <w:p w14:paraId="08AE9E00" w14:textId="37E05656" w:rsidR="00D9199C" w:rsidRPr="0075563B" w:rsidRDefault="00D9199C" w:rsidP="004966AC">
      <w:pPr>
        <w:pStyle w:val="ListParagraph"/>
        <w:tabs>
          <w:tab w:val="left" w:pos="709"/>
        </w:tabs>
        <w:autoSpaceDE w:val="0"/>
        <w:autoSpaceDN w:val="0"/>
        <w:adjustRightInd w:val="0"/>
        <w:spacing w:after="240" w:line="240" w:lineRule="auto"/>
        <w:ind w:left="0" w:firstLine="709"/>
        <w:contextualSpacing w:val="0"/>
        <w:jc w:val="both"/>
        <w:rPr>
          <w:rFonts w:ascii="Times New Roman" w:hAnsi="Times New Roman" w:cs="Times New Roman"/>
          <w:kern w:val="22"/>
        </w:rPr>
      </w:pPr>
      <w:r w:rsidRPr="0075563B">
        <w:rPr>
          <w:rFonts w:ascii="Times New Roman" w:hAnsi="Times New Roman"/>
          <w:i/>
          <w:iCs/>
        </w:rPr>
        <w:t>Reconociendo</w:t>
      </w:r>
      <w:r w:rsidRPr="0075563B">
        <w:rPr>
          <w:rFonts w:ascii="Times New Roman" w:hAnsi="Times New Roman"/>
        </w:rPr>
        <w:t xml:space="preserve"> la complementariedad del plan de aplicación y el plan de acción para la creación de capacidad con el marco mundial de la diversidad biológica posterior a 2020 y el marco estratégico a largo plazo para la creación de capacidad en apoyo a la aplicación del marco mundial de la diversidad biológica posterior a 2020,</w:t>
      </w:r>
    </w:p>
    <w:p w14:paraId="621D29F6" w14:textId="21D50F12" w:rsidR="008B6F3A" w:rsidRPr="0075563B" w:rsidRDefault="009C3C79" w:rsidP="004966AC">
      <w:pPr>
        <w:pStyle w:val="ListParagraph"/>
        <w:numPr>
          <w:ilvl w:val="6"/>
          <w:numId w:val="4"/>
        </w:numPr>
        <w:tabs>
          <w:tab w:val="clear" w:pos="2520"/>
        </w:tabs>
        <w:autoSpaceDE w:val="0"/>
        <w:autoSpaceDN w:val="0"/>
        <w:adjustRightInd w:val="0"/>
        <w:spacing w:after="240" w:line="240" w:lineRule="auto"/>
        <w:ind w:left="0" w:firstLine="709"/>
        <w:contextualSpacing w:val="0"/>
        <w:jc w:val="both"/>
        <w:rPr>
          <w:rFonts w:ascii="Times New Roman" w:hAnsi="Times New Roman" w:cs="Times New Roman"/>
          <w:kern w:val="22"/>
        </w:rPr>
      </w:pPr>
      <w:r w:rsidRPr="0075563B">
        <w:rPr>
          <w:rFonts w:ascii="Times New Roman" w:hAnsi="Times New Roman"/>
          <w:i/>
          <w:iCs/>
        </w:rPr>
        <w:t>Adopta</w:t>
      </w:r>
      <w:r w:rsidRPr="0075563B">
        <w:rPr>
          <w:rFonts w:ascii="Times New Roman" w:hAnsi="Times New Roman"/>
        </w:rPr>
        <w:t xml:space="preserve"> el plan de aplicación y el plan de acción para la creación de capacidad en el período 2021-2030 como figura en el anexo a la presente decisión;</w:t>
      </w:r>
    </w:p>
    <w:p w14:paraId="5834CB3A" w14:textId="032AF5DA" w:rsidR="00054FD0" w:rsidRPr="0075563B" w:rsidRDefault="008B6F3A" w:rsidP="004966AC">
      <w:pPr>
        <w:pStyle w:val="ListParagraph"/>
        <w:numPr>
          <w:ilvl w:val="6"/>
          <w:numId w:val="4"/>
        </w:numPr>
        <w:tabs>
          <w:tab w:val="clear" w:pos="2520"/>
        </w:tabs>
        <w:autoSpaceDE w:val="0"/>
        <w:autoSpaceDN w:val="0"/>
        <w:adjustRightInd w:val="0"/>
        <w:spacing w:after="240" w:line="240" w:lineRule="auto"/>
        <w:ind w:left="0" w:firstLine="709"/>
        <w:contextualSpacing w:val="0"/>
        <w:jc w:val="both"/>
        <w:rPr>
          <w:rFonts w:ascii="Times New Roman" w:hAnsi="Times New Roman" w:cs="Times New Roman"/>
          <w:kern w:val="22"/>
        </w:rPr>
      </w:pPr>
      <w:r w:rsidRPr="0075563B">
        <w:rPr>
          <w:rFonts w:ascii="Times New Roman" w:hAnsi="Times New Roman"/>
          <w:i/>
          <w:iCs/>
        </w:rPr>
        <w:t xml:space="preserve">Insta </w:t>
      </w:r>
      <w:r w:rsidRPr="0075563B">
        <w:rPr>
          <w:rFonts w:ascii="Times New Roman" w:hAnsi="Times New Roman"/>
        </w:rPr>
        <w:t xml:space="preserve">a las Partes e </w:t>
      </w:r>
      <w:r w:rsidRPr="0075563B">
        <w:rPr>
          <w:rFonts w:ascii="Times New Roman" w:hAnsi="Times New Roman"/>
          <w:i/>
          <w:iCs/>
        </w:rPr>
        <w:t>invita</w:t>
      </w:r>
      <w:r w:rsidRPr="0075563B">
        <w:rPr>
          <w:rFonts w:ascii="Times New Roman" w:hAnsi="Times New Roman"/>
        </w:rPr>
        <w:t xml:space="preserve"> a otros Gobiernos a revisar y armonizar, según proceda, sus planes de acción nacionales y programas pertinentes para la aplicación del Protocolo, incluidas sus estrategias y planes de acción nacionales en materia de diversidad biológica, con el plan de aplicación y el plan de acción para la creación de capacidad;</w:t>
      </w:r>
    </w:p>
    <w:p w14:paraId="19766F45" w14:textId="6F824918" w:rsidR="00295528" w:rsidRPr="0075563B" w:rsidRDefault="00295528" w:rsidP="004966AC">
      <w:pPr>
        <w:pStyle w:val="ListParagraph"/>
        <w:numPr>
          <w:ilvl w:val="6"/>
          <w:numId w:val="4"/>
        </w:numPr>
        <w:tabs>
          <w:tab w:val="clear" w:pos="2520"/>
        </w:tabs>
        <w:autoSpaceDE w:val="0"/>
        <w:autoSpaceDN w:val="0"/>
        <w:adjustRightInd w:val="0"/>
        <w:spacing w:after="240" w:line="240" w:lineRule="auto"/>
        <w:ind w:left="0" w:firstLine="709"/>
        <w:contextualSpacing w:val="0"/>
        <w:jc w:val="both"/>
        <w:rPr>
          <w:rFonts w:ascii="Times New Roman" w:hAnsi="Times New Roman" w:cs="Times New Roman"/>
          <w:kern w:val="22"/>
        </w:rPr>
      </w:pPr>
      <w:r w:rsidRPr="0075563B">
        <w:rPr>
          <w:rFonts w:ascii="Times New Roman" w:hAnsi="Times New Roman"/>
          <w:i/>
          <w:iCs/>
        </w:rPr>
        <w:t xml:space="preserve">Insta asimismo </w:t>
      </w:r>
      <w:r w:rsidRPr="0075563B">
        <w:rPr>
          <w:rFonts w:ascii="Times New Roman" w:hAnsi="Times New Roman"/>
        </w:rPr>
        <w:t xml:space="preserve">a las Partes e </w:t>
      </w:r>
      <w:r w:rsidRPr="0075563B">
        <w:rPr>
          <w:rFonts w:ascii="Times New Roman" w:hAnsi="Times New Roman"/>
          <w:i/>
          <w:iCs/>
        </w:rPr>
        <w:t xml:space="preserve">invita </w:t>
      </w:r>
      <w:r w:rsidRPr="0075563B">
        <w:rPr>
          <w:rFonts w:ascii="Times New Roman" w:hAnsi="Times New Roman"/>
        </w:rPr>
        <w:t xml:space="preserve">a otros Gobiernos y donantes a asignar los recursos necesarios para acelerar la puesta en práctica del plan de aplicación y el plan de acción para la creación de capacidad, y </w:t>
      </w:r>
      <w:r w:rsidRPr="0075563B">
        <w:rPr>
          <w:rFonts w:ascii="Times New Roman" w:hAnsi="Times New Roman"/>
          <w:i/>
          <w:iCs/>
        </w:rPr>
        <w:t>reconoce</w:t>
      </w:r>
      <w:r w:rsidRPr="0075563B">
        <w:rPr>
          <w:rFonts w:ascii="Times New Roman" w:hAnsi="Times New Roman"/>
        </w:rPr>
        <w:t xml:space="preserve"> en particular la función del Fondo para el Medio Ambiente Mundial como mecanismo financiero del Protocolo;</w:t>
      </w:r>
    </w:p>
    <w:p w14:paraId="634C5B32" w14:textId="651CA010" w:rsidR="00565933" w:rsidRPr="0075563B" w:rsidRDefault="00565933" w:rsidP="00541AA0">
      <w:pPr>
        <w:pStyle w:val="ListParagraph"/>
        <w:numPr>
          <w:ilvl w:val="6"/>
          <w:numId w:val="4"/>
        </w:numPr>
        <w:tabs>
          <w:tab w:val="clear" w:pos="2520"/>
          <w:tab w:val="left" w:pos="709"/>
        </w:tabs>
        <w:autoSpaceDE w:val="0"/>
        <w:autoSpaceDN w:val="0"/>
        <w:adjustRightInd w:val="0"/>
        <w:spacing w:after="240" w:line="240" w:lineRule="auto"/>
        <w:ind w:left="0" w:firstLine="709"/>
        <w:contextualSpacing w:val="0"/>
        <w:jc w:val="both"/>
        <w:rPr>
          <w:rFonts w:ascii="Times New Roman" w:hAnsi="Times New Roman" w:cs="Times New Roman"/>
          <w:kern w:val="22"/>
        </w:rPr>
      </w:pPr>
      <w:r w:rsidRPr="0075563B">
        <w:rPr>
          <w:rFonts w:ascii="Times New Roman" w:hAnsi="Times New Roman"/>
          <w:i/>
          <w:iCs/>
        </w:rPr>
        <w:t xml:space="preserve">Decide </w:t>
      </w:r>
      <w:r w:rsidRPr="0075563B">
        <w:rPr>
          <w:rFonts w:ascii="Times New Roman" w:hAnsi="Times New Roman"/>
        </w:rPr>
        <w:t>que los valores de referencia para el plan de aplicación y el plan de acción para la creación de capacidad comprend</w:t>
      </w:r>
      <w:r w:rsidR="003B4D5F" w:rsidRPr="0075563B">
        <w:rPr>
          <w:rFonts w:ascii="Times New Roman" w:hAnsi="Times New Roman"/>
        </w:rPr>
        <w:t>erán</w:t>
      </w:r>
      <w:r w:rsidRPr="0075563B">
        <w:rPr>
          <w:rFonts w:ascii="Times New Roman" w:hAnsi="Times New Roman"/>
        </w:rPr>
        <w:t xml:space="preserve"> los datos recopilados en el cuarto ciclo de presentación de informes</w:t>
      </w:r>
      <w:r w:rsidR="00257600" w:rsidRPr="0075563B">
        <w:rPr>
          <w:rStyle w:val="FootnoteReference"/>
          <w:rFonts w:ascii="Times New Roman" w:hAnsi="Times New Roman" w:cs="Times New Roman"/>
          <w:kern w:val="22"/>
          <w:u w:val="none"/>
          <w:vertAlign w:val="superscript"/>
        </w:rPr>
        <w:footnoteReference w:id="13"/>
      </w:r>
      <w:r w:rsidRPr="0075563B">
        <w:rPr>
          <w:rFonts w:ascii="Times New Roman" w:hAnsi="Times New Roman"/>
        </w:rPr>
        <w:t>;</w:t>
      </w:r>
    </w:p>
    <w:p w14:paraId="28C5DF80" w14:textId="6A64D843" w:rsidR="00054FD0" w:rsidRPr="0075563B" w:rsidRDefault="00054FD0" w:rsidP="00541AA0">
      <w:pPr>
        <w:pStyle w:val="ListParagraph"/>
        <w:numPr>
          <w:ilvl w:val="6"/>
          <w:numId w:val="4"/>
        </w:numPr>
        <w:tabs>
          <w:tab w:val="clear" w:pos="2520"/>
          <w:tab w:val="left" w:pos="709"/>
        </w:tabs>
        <w:autoSpaceDE w:val="0"/>
        <w:autoSpaceDN w:val="0"/>
        <w:adjustRightInd w:val="0"/>
        <w:spacing w:after="240" w:line="240" w:lineRule="auto"/>
        <w:ind w:left="0" w:firstLine="709"/>
        <w:contextualSpacing w:val="0"/>
        <w:jc w:val="both"/>
        <w:rPr>
          <w:rFonts w:ascii="Times New Roman" w:hAnsi="Times New Roman" w:cs="Times New Roman"/>
          <w:kern w:val="22"/>
        </w:rPr>
      </w:pPr>
      <w:r w:rsidRPr="0075563B">
        <w:rPr>
          <w:rFonts w:ascii="Times New Roman" w:hAnsi="Times New Roman"/>
          <w:i/>
          <w:iCs/>
        </w:rPr>
        <w:t xml:space="preserve">Pide </w:t>
      </w:r>
      <w:r w:rsidRPr="0075563B">
        <w:rPr>
          <w:rFonts w:ascii="Times New Roman" w:hAnsi="Times New Roman"/>
        </w:rPr>
        <w:t>a la Secretaria Ejecutiva que en el formato para la presentación de los quintos informes nacionales sobre la aplicación del Protocolo de Cartagena sobre Seguridad de la Biotecnología</w:t>
      </w:r>
      <w:r w:rsidR="009E27A5" w:rsidRPr="0075563B">
        <w:rPr>
          <w:rFonts w:ascii="Times New Roman" w:hAnsi="Times New Roman"/>
        </w:rPr>
        <w:t xml:space="preserve"> incluya</w:t>
      </w:r>
      <w:r w:rsidRPr="0075563B">
        <w:rPr>
          <w:rFonts w:ascii="Times New Roman" w:hAnsi="Times New Roman"/>
        </w:rPr>
        <w:t xml:space="preserve"> preguntas </w:t>
      </w:r>
      <w:r w:rsidR="00F365FE" w:rsidRPr="0075563B">
        <w:rPr>
          <w:rFonts w:ascii="Times New Roman" w:hAnsi="Times New Roman"/>
        </w:rPr>
        <w:t xml:space="preserve">diseñadas </w:t>
      </w:r>
      <w:r w:rsidRPr="0075563B">
        <w:rPr>
          <w:rFonts w:ascii="Times New Roman" w:hAnsi="Times New Roman"/>
        </w:rPr>
        <w:t xml:space="preserve">para obtener información sobre los indicadores del plan de aplicación y el plan de acción para la creación de capacidad; </w:t>
      </w:r>
    </w:p>
    <w:p w14:paraId="1932FA54" w14:textId="3FBE9C98" w:rsidR="001C63BD" w:rsidRPr="0075563B" w:rsidRDefault="001C63BD" w:rsidP="00541AA0">
      <w:pPr>
        <w:pStyle w:val="ListParagraph"/>
        <w:numPr>
          <w:ilvl w:val="6"/>
          <w:numId w:val="4"/>
        </w:numPr>
        <w:tabs>
          <w:tab w:val="clear" w:pos="2520"/>
          <w:tab w:val="left" w:pos="709"/>
        </w:tabs>
        <w:autoSpaceDE w:val="0"/>
        <w:autoSpaceDN w:val="0"/>
        <w:adjustRightInd w:val="0"/>
        <w:spacing w:after="240" w:line="240" w:lineRule="auto"/>
        <w:ind w:left="0" w:firstLine="709"/>
        <w:contextualSpacing w:val="0"/>
        <w:jc w:val="both"/>
        <w:rPr>
          <w:rFonts w:ascii="Times New Roman" w:hAnsi="Times New Roman" w:cs="Times New Roman"/>
          <w:kern w:val="22"/>
        </w:rPr>
      </w:pPr>
      <w:r w:rsidRPr="0075563B">
        <w:rPr>
          <w:rFonts w:ascii="Times New Roman" w:hAnsi="Times New Roman"/>
          <w:i/>
          <w:iCs/>
        </w:rPr>
        <w:t xml:space="preserve">Decide </w:t>
      </w:r>
      <w:r w:rsidRPr="0075563B">
        <w:rPr>
          <w:rFonts w:ascii="Times New Roman" w:hAnsi="Times New Roman"/>
        </w:rPr>
        <w:t>realizar una evaluación a mitad de período del plan de aplicación y el plan de acción para la creación de capacidad conjuntamente con la quinta evaluación y revisión.</w:t>
      </w:r>
    </w:p>
    <w:p w14:paraId="4CABF0EE" w14:textId="77777777" w:rsidR="002F76BB" w:rsidRPr="0075563B" w:rsidRDefault="002F76BB" w:rsidP="0098318F">
      <w:pPr>
        <w:rPr>
          <w:rFonts w:eastAsiaTheme="minorEastAsia"/>
          <w:kern w:val="22"/>
        </w:rPr>
      </w:pPr>
    </w:p>
    <w:p w14:paraId="61EA0388" w14:textId="6D137AB6" w:rsidR="00AD1AFA" w:rsidRPr="0075563B" w:rsidRDefault="00AD1AFA" w:rsidP="00862D3F">
      <w:pPr>
        <w:pStyle w:val="Para1"/>
        <w:jc w:val="center"/>
        <w:rPr>
          <w:kern w:val="22"/>
          <w:szCs w:val="22"/>
          <w:shd w:val="clear" w:color="auto" w:fill="FFFFFF"/>
        </w:rPr>
      </w:pPr>
    </w:p>
    <w:p w14:paraId="2C7F482E" w14:textId="77777777" w:rsidR="00FC0B19" w:rsidRPr="0075563B" w:rsidRDefault="00FC0B19" w:rsidP="002F76BB">
      <w:pPr>
        <w:pStyle w:val="Para1"/>
        <w:rPr>
          <w:kern w:val="22"/>
          <w:szCs w:val="22"/>
        </w:rPr>
        <w:sectPr w:rsidR="00FC0B19" w:rsidRPr="0075563B" w:rsidSect="00DD3653">
          <w:headerReference w:type="even" r:id="rId20"/>
          <w:headerReference w:type="default" r:id="rId21"/>
          <w:pgSz w:w="12240" w:h="15840"/>
          <w:pgMar w:top="567" w:right="1389" w:bottom="1134" w:left="1389" w:header="709" w:footer="709" w:gutter="0"/>
          <w:cols w:space="708"/>
          <w:titlePg/>
          <w:docGrid w:linePitch="360"/>
        </w:sectPr>
      </w:pPr>
    </w:p>
    <w:p w14:paraId="46603F6B" w14:textId="223A115E" w:rsidR="00FC0B19" w:rsidRPr="0075563B" w:rsidRDefault="00FC0B19" w:rsidP="00FC0B19">
      <w:pPr>
        <w:pStyle w:val="Heading1"/>
        <w:rPr>
          <w:b w:val="0"/>
          <w:bCs/>
          <w:i/>
          <w:iCs/>
          <w:kern w:val="22"/>
        </w:rPr>
      </w:pPr>
      <w:r w:rsidRPr="0075563B">
        <w:rPr>
          <w:b w:val="0"/>
          <w:bCs/>
          <w:i/>
          <w:iCs/>
        </w:rPr>
        <w:lastRenderedPageBreak/>
        <w:t>A</w:t>
      </w:r>
      <w:r w:rsidRPr="0075563B">
        <w:rPr>
          <w:b w:val="0"/>
          <w:bCs/>
          <w:i/>
          <w:iCs/>
          <w:caps w:val="0"/>
        </w:rPr>
        <w:t>nexo</w:t>
      </w:r>
    </w:p>
    <w:p w14:paraId="0E43F46F" w14:textId="6AF1D25A" w:rsidR="00FC0B19" w:rsidRPr="0075563B" w:rsidRDefault="00FC0B19" w:rsidP="007A53A0">
      <w:pPr>
        <w:pStyle w:val="Heading1"/>
        <w:rPr>
          <w:kern w:val="22"/>
        </w:rPr>
      </w:pPr>
      <w:r w:rsidRPr="0075563B">
        <w:t>Plan de aplicación para el Protocolo de Cartagena y plan de acción para la creación de capacidad (2021-2030)</w:t>
      </w:r>
    </w:p>
    <w:p w14:paraId="37F615E8" w14:textId="160F0876" w:rsidR="00FC0B19" w:rsidRPr="0075563B" w:rsidRDefault="0061456E" w:rsidP="007A53A0">
      <w:pPr>
        <w:pStyle w:val="Heading1"/>
        <w:rPr>
          <w:kern w:val="22"/>
        </w:rPr>
      </w:pPr>
      <w:r w:rsidRPr="0075563B">
        <w:t>I.</w:t>
      </w:r>
      <w:r w:rsidRPr="0075563B">
        <w:tab/>
        <w:t>Finalidad del Plan de Aplicación y el Plan de Acción para la Creación de Capacidad</w:t>
      </w:r>
    </w:p>
    <w:p w14:paraId="54EE20EB" w14:textId="6F1532E4" w:rsidR="00FC0B19" w:rsidRPr="0075563B" w:rsidRDefault="009D6A15" w:rsidP="007A53A0">
      <w:pPr>
        <w:numPr>
          <w:ilvl w:val="0"/>
          <w:numId w:val="12"/>
        </w:numPr>
        <w:ind w:left="0" w:firstLine="0"/>
        <w:rPr>
          <w:kern w:val="22"/>
        </w:rPr>
      </w:pPr>
      <w:r w:rsidRPr="0075563B">
        <w:t>El Plan de A</w:t>
      </w:r>
      <w:r w:rsidR="00FC0B19" w:rsidRPr="0075563B">
        <w:t>plicación se ha elaborado como un marco de amplios logros y avances deseables para orientar a las Partes en su aplicación del Protocolo y medir los progresos a este respecto durante el período 2021-2030.</w:t>
      </w:r>
    </w:p>
    <w:p w14:paraId="7971C441" w14:textId="2E6530FB" w:rsidR="00FC0B19" w:rsidRPr="0075563B" w:rsidRDefault="00FC0B19" w:rsidP="007A53A0">
      <w:pPr>
        <w:numPr>
          <w:ilvl w:val="0"/>
          <w:numId w:val="12"/>
        </w:numPr>
        <w:ind w:left="0" w:firstLine="0"/>
        <w:rPr>
          <w:kern w:val="22"/>
        </w:rPr>
      </w:pPr>
      <w:r w:rsidRPr="0075563B">
        <w:t xml:space="preserve">La finalidad del Plan de </w:t>
      </w:r>
      <w:r w:rsidR="009D6A15" w:rsidRPr="0075563B">
        <w:t>A</w:t>
      </w:r>
      <w:r w:rsidRPr="0075563B">
        <w:t xml:space="preserve">cción para la </w:t>
      </w:r>
      <w:r w:rsidR="009D6A15" w:rsidRPr="0075563B">
        <w:t xml:space="preserve">Creación </w:t>
      </w:r>
      <w:r w:rsidRPr="0075563B">
        <w:t xml:space="preserve">de </w:t>
      </w:r>
      <w:r w:rsidR="009D6A15" w:rsidRPr="0075563B">
        <w:t xml:space="preserve">Capacidad </w:t>
      </w:r>
      <w:r w:rsidRPr="0075563B">
        <w:t xml:space="preserve">es facilitar el desarrollo y fortalecimiento de las capacidades de las Partes para aplicar el Protocolo a través de: a) identificar áreas clave para la creación de capacidad relacionada con los distintos objetivos del Plan de </w:t>
      </w:r>
      <w:r w:rsidR="009D6A15" w:rsidRPr="0075563B">
        <w:t>Aplicación</w:t>
      </w:r>
      <w:r w:rsidRPr="0075563B">
        <w:t xml:space="preserve">; b) facilitar la participación de los socios, incluidos los donantes; c) promover un enfoque coherente y coordinado de la creación de capacidad para la aplicación del Protocolo; y d) promover la cooperación y coordinación regional e internacional. El Plan de </w:t>
      </w:r>
      <w:r w:rsidR="009D6A15" w:rsidRPr="0075563B">
        <w:t xml:space="preserve">Acción </w:t>
      </w:r>
      <w:r w:rsidRPr="0075563B">
        <w:t xml:space="preserve">para la </w:t>
      </w:r>
      <w:r w:rsidR="009D6A15" w:rsidRPr="0075563B">
        <w:t xml:space="preserve">Creación </w:t>
      </w:r>
      <w:r w:rsidRPr="0075563B">
        <w:t xml:space="preserve">de </w:t>
      </w:r>
      <w:r w:rsidR="009D6A15" w:rsidRPr="0075563B">
        <w:t xml:space="preserve">Capacidad </w:t>
      </w:r>
      <w:r w:rsidRPr="0075563B">
        <w:t xml:space="preserve">abarca el mismo período que el Plan de </w:t>
      </w:r>
      <w:r w:rsidR="00821D56" w:rsidRPr="0075563B">
        <w:t>Aplicación</w:t>
      </w:r>
      <w:r w:rsidRPr="0075563B">
        <w:t xml:space="preserve">, desde 2021 a 2030. </w:t>
      </w:r>
    </w:p>
    <w:p w14:paraId="64280BD4" w14:textId="50466BD5" w:rsidR="00FC0B19" w:rsidRPr="0075563B" w:rsidRDefault="00FC0B19" w:rsidP="007A53A0">
      <w:pPr>
        <w:numPr>
          <w:ilvl w:val="0"/>
          <w:numId w:val="12"/>
        </w:numPr>
        <w:ind w:left="0" w:firstLine="0"/>
        <w:rPr>
          <w:b/>
          <w:kern w:val="22"/>
        </w:rPr>
      </w:pPr>
      <w:r w:rsidRPr="0075563B">
        <w:t xml:space="preserve">El Plan de </w:t>
      </w:r>
      <w:r w:rsidR="00544D32" w:rsidRPr="0075563B">
        <w:t xml:space="preserve">Aplicación </w:t>
      </w:r>
      <w:r w:rsidRPr="0075563B">
        <w:t xml:space="preserve">está dirigido principalmente a las Partes. Sin embargo, se reconoce que los Estados que no son Partes y las partes interesadas de distintos sectores, organizaciones, pueblos indígenas y comunidades locales y donantes pueden apoyar la aplicación del Protocolo y la realización de actividades de creación de capacidad, incluidas las que se esbozan en el Plan de </w:t>
      </w:r>
      <w:r w:rsidR="00544D32" w:rsidRPr="0075563B">
        <w:t xml:space="preserve">Acción </w:t>
      </w:r>
      <w:r w:rsidRPr="0075563B">
        <w:t xml:space="preserve">para la </w:t>
      </w:r>
      <w:r w:rsidR="00544D32" w:rsidRPr="0075563B">
        <w:t xml:space="preserve">Creación </w:t>
      </w:r>
      <w:r w:rsidRPr="0075563B">
        <w:t xml:space="preserve">de </w:t>
      </w:r>
      <w:r w:rsidR="00544D32" w:rsidRPr="0075563B">
        <w:t>Capacidad</w:t>
      </w:r>
      <w:r w:rsidRPr="0075563B">
        <w:t xml:space="preserve">. </w:t>
      </w:r>
    </w:p>
    <w:p w14:paraId="0696DBFF" w14:textId="682EA44B" w:rsidR="00FC0B19" w:rsidRPr="0075563B" w:rsidRDefault="007A53A0" w:rsidP="00C231CE">
      <w:pPr>
        <w:pStyle w:val="Heading1"/>
        <w:ind w:left="1418" w:hanging="567"/>
        <w:jc w:val="left"/>
        <w:rPr>
          <w:kern w:val="22"/>
        </w:rPr>
      </w:pPr>
      <w:r w:rsidRPr="0075563B">
        <w:t>II.</w:t>
      </w:r>
      <w:r w:rsidRPr="0075563B">
        <w:tab/>
        <w:t xml:space="preserve">Vínculo con el marco mundial de la diversidad biológica posterior a 2020, el marco estratégico a largo plazo para la creación de capacidad para el Convenio y sus Protocolos, y la Agenda 2030 para el Desarrollo Sostenible </w:t>
      </w:r>
    </w:p>
    <w:p w14:paraId="7BFA2460" w14:textId="3104AC32" w:rsidR="00FC0B19" w:rsidRPr="0075563B" w:rsidRDefault="00FC0B19" w:rsidP="00FC0B19">
      <w:pPr>
        <w:numPr>
          <w:ilvl w:val="0"/>
          <w:numId w:val="12"/>
        </w:numPr>
        <w:ind w:left="0" w:firstLine="0"/>
        <w:rPr>
          <w:kern w:val="22"/>
        </w:rPr>
      </w:pPr>
      <w:r w:rsidRPr="0075563B">
        <w:t xml:space="preserve">El Plan de </w:t>
      </w:r>
      <w:r w:rsidR="003856A9" w:rsidRPr="0075563B">
        <w:t xml:space="preserve">Aplicación </w:t>
      </w:r>
      <w:r w:rsidRPr="0075563B">
        <w:t xml:space="preserve">se basa en el marco mundial de la diversidad biológica posterior a 2020 y es </w:t>
      </w:r>
      <w:r w:rsidR="0089364B" w:rsidRPr="0075563B">
        <w:t>complementario</w:t>
      </w:r>
      <w:r w:rsidRPr="0075563B">
        <w:t xml:space="preserve"> a él, dado que sus metas, objetivos y resultados contribuyen al logro de la visión para 2050 del marco: “Para 2050, la diversidad biológica se valorará, conservará, restaurará y utilizará en forma racional, manteniendo los servicios de los ecosistemas, sosteniendo un planeta sano y brindando beneficios esenciales para todos”</w:t>
      </w:r>
      <w:r w:rsidR="00EC70A8" w:rsidRPr="0075563B">
        <w:t>,</w:t>
      </w:r>
      <w:r w:rsidRPr="0075563B">
        <w:t xml:space="preserve"> y su misión</w:t>
      </w:r>
      <w:r w:rsidR="00EC70A8" w:rsidRPr="0075563B">
        <w:t>,</w:t>
      </w:r>
      <w:r w:rsidRPr="0075563B">
        <w:t xml:space="preserve"> “Tomar medidas urgentes en todos los sectores de la sociedad para encaminar la diversidad biológica hacia la recuperación en beneficio del planeta y las personas”. El Plan de </w:t>
      </w:r>
      <w:r w:rsidR="003856A9" w:rsidRPr="0075563B">
        <w:t xml:space="preserve">Aplicación </w:t>
      </w:r>
      <w:r w:rsidRPr="0075563B">
        <w:t xml:space="preserve">tiene la finalidad de facilitar la aplicación del Protocolo de Cartagena y está dirigido a las Partes en dicho Protocolo. Además, el Plan de </w:t>
      </w:r>
      <w:r w:rsidR="003856A9" w:rsidRPr="0075563B">
        <w:t xml:space="preserve">Aplicación </w:t>
      </w:r>
      <w:r w:rsidRPr="0075563B">
        <w:t xml:space="preserve">puede apoyar y orientar a las Partes en el cumplimiento de las metas y objetivos pertinentes para la seguridad de la biotecnología en el marco mundial de la diversidad biológica posterior a 2020.  </w:t>
      </w:r>
    </w:p>
    <w:p w14:paraId="46528204" w14:textId="7DE2913B" w:rsidR="00FC0B19" w:rsidRPr="0075563B" w:rsidRDefault="00FC0B19" w:rsidP="007A53A0">
      <w:pPr>
        <w:numPr>
          <w:ilvl w:val="0"/>
          <w:numId w:val="12"/>
        </w:numPr>
        <w:ind w:left="0" w:firstLine="0"/>
        <w:rPr>
          <w:rFonts w:eastAsia="MS Mincho"/>
          <w:kern w:val="22"/>
        </w:rPr>
      </w:pPr>
      <w:r w:rsidRPr="0075563B">
        <w:t xml:space="preserve">El Plan de </w:t>
      </w:r>
      <w:r w:rsidR="003856A9" w:rsidRPr="0075563B">
        <w:t xml:space="preserve">Acción </w:t>
      </w:r>
      <w:r w:rsidRPr="0075563B">
        <w:t xml:space="preserve">para la </w:t>
      </w:r>
      <w:r w:rsidR="003856A9" w:rsidRPr="0075563B">
        <w:t xml:space="preserve">Creación </w:t>
      </w:r>
      <w:r w:rsidRPr="0075563B">
        <w:t xml:space="preserve">de </w:t>
      </w:r>
      <w:r w:rsidR="003856A9" w:rsidRPr="0075563B">
        <w:t xml:space="preserve">Capacidad </w:t>
      </w:r>
      <w:r w:rsidRPr="0075563B">
        <w:t xml:space="preserve">se ha elaborado de conformidad con el Plan de </w:t>
      </w:r>
      <w:r w:rsidR="003856A9" w:rsidRPr="0075563B">
        <w:t>Aplicación</w:t>
      </w:r>
      <w:r w:rsidRPr="0075563B">
        <w:t xml:space="preserve">, esbozando ejemplos de actividades de creación de capacidad para cada objetivo del Plan de </w:t>
      </w:r>
      <w:r w:rsidR="003856A9" w:rsidRPr="0075563B">
        <w:t>Aplicación</w:t>
      </w:r>
      <w:r w:rsidRPr="0075563B">
        <w:t xml:space="preserve">. El Plan de </w:t>
      </w:r>
      <w:r w:rsidR="003856A9" w:rsidRPr="0075563B">
        <w:t xml:space="preserve">Acción </w:t>
      </w:r>
      <w:r w:rsidRPr="0075563B">
        <w:t xml:space="preserve">es complementario al Plan de </w:t>
      </w:r>
      <w:r w:rsidR="003856A9" w:rsidRPr="0075563B">
        <w:t xml:space="preserve">Aplicación </w:t>
      </w:r>
      <w:r w:rsidRPr="0075563B">
        <w:t xml:space="preserve">dado que las actividades de creación de capacidad pueden apoyar el logro de los objetivos y resultados del Plan de </w:t>
      </w:r>
      <w:r w:rsidR="003856A9" w:rsidRPr="0075563B">
        <w:t>Aplicación</w:t>
      </w:r>
      <w:r w:rsidRPr="0075563B">
        <w:t xml:space="preserve">. Además, con el fin de garantizar la armonización y evitar posibles duplicaciones, el objetivo B.1. del Plan de </w:t>
      </w:r>
      <w:r w:rsidR="003856A9" w:rsidRPr="0075563B">
        <w:t xml:space="preserve">Aplicación </w:t>
      </w:r>
      <w:r w:rsidRPr="0075563B">
        <w:t xml:space="preserve">aborda la creación de capacidad en general y hace referencia a actividades específicas de creación de capacidad esbozadas en el Plan de </w:t>
      </w:r>
      <w:r w:rsidR="003856A9" w:rsidRPr="0075563B">
        <w:t xml:space="preserve">Acción </w:t>
      </w:r>
      <w:r w:rsidR="00DC6F63" w:rsidRPr="0075563B">
        <w:t>para la</w:t>
      </w:r>
      <w:r w:rsidRPr="0075563B">
        <w:t xml:space="preserve"> </w:t>
      </w:r>
      <w:r w:rsidR="003856A9" w:rsidRPr="0075563B">
        <w:t xml:space="preserve">Creación </w:t>
      </w:r>
      <w:r w:rsidRPr="0075563B">
        <w:t xml:space="preserve">de </w:t>
      </w:r>
      <w:r w:rsidR="003856A9" w:rsidRPr="0075563B">
        <w:t>Capacidad</w:t>
      </w:r>
      <w:r w:rsidRPr="0075563B">
        <w:t>.</w:t>
      </w:r>
    </w:p>
    <w:p w14:paraId="74CEECDF" w14:textId="32394A75" w:rsidR="00974541" w:rsidRPr="0075563B" w:rsidRDefault="00FC0B19" w:rsidP="00FC0B19">
      <w:pPr>
        <w:numPr>
          <w:ilvl w:val="0"/>
          <w:numId w:val="12"/>
        </w:numPr>
        <w:ind w:left="0" w:firstLine="0"/>
        <w:rPr>
          <w:kern w:val="22"/>
        </w:rPr>
      </w:pPr>
      <w:r w:rsidRPr="0075563B">
        <w:t xml:space="preserve">El Plan de </w:t>
      </w:r>
      <w:r w:rsidR="0052466F" w:rsidRPr="0075563B">
        <w:t xml:space="preserve">Acción </w:t>
      </w:r>
      <w:r w:rsidRPr="0075563B">
        <w:t xml:space="preserve">para la </w:t>
      </w:r>
      <w:r w:rsidR="0052466F" w:rsidRPr="0075563B">
        <w:t xml:space="preserve">Creación </w:t>
      </w:r>
      <w:r w:rsidRPr="0075563B">
        <w:t xml:space="preserve">de </w:t>
      </w:r>
      <w:r w:rsidR="0052466F" w:rsidRPr="0075563B">
        <w:t xml:space="preserve">Capacidad </w:t>
      </w:r>
      <w:r w:rsidRPr="0075563B">
        <w:t xml:space="preserve">es complementario al marco estratégico a largo plazo para la creación de capacidad. Este último aborda un conjunto de aspectos pertinentes al Plan de </w:t>
      </w:r>
      <w:r w:rsidR="0052466F" w:rsidRPr="0075563B">
        <w:t xml:space="preserve">Acción </w:t>
      </w:r>
      <w:r w:rsidRPr="0075563B">
        <w:t xml:space="preserve">para la </w:t>
      </w:r>
      <w:r w:rsidR="0052466F" w:rsidRPr="0075563B">
        <w:t xml:space="preserve">Creación </w:t>
      </w:r>
      <w:r w:rsidRPr="0075563B">
        <w:t xml:space="preserve">de </w:t>
      </w:r>
      <w:r w:rsidR="0052466F" w:rsidRPr="0075563B">
        <w:t>Capacidad</w:t>
      </w:r>
      <w:r w:rsidRPr="0075563B">
        <w:t xml:space="preserve">, tales como principios generales, enfoques y estrategias para mejorar el desarrollo de capacidades, que deberían tomarse en cuenta durante la planificación de actividades de creación de capacidad basadas en el Plan de </w:t>
      </w:r>
      <w:r w:rsidR="0052466F" w:rsidRPr="0075563B">
        <w:t xml:space="preserve">Acción </w:t>
      </w:r>
      <w:r w:rsidRPr="0075563B">
        <w:t xml:space="preserve">para la </w:t>
      </w:r>
      <w:r w:rsidR="0052466F" w:rsidRPr="0075563B">
        <w:t xml:space="preserve">Creación </w:t>
      </w:r>
      <w:r w:rsidRPr="0075563B">
        <w:t xml:space="preserve">de </w:t>
      </w:r>
      <w:r w:rsidR="0052466F" w:rsidRPr="0075563B">
        <w:t>Capacidad</w:t>
      </w:r>
      <w:r w:rsidRPr="0075563B">
        <w:t>. [</w:t>
      </w:r>
      <w:r w:rsidRPr="0075563B">
        <w:rPr>
          <w:i/>
          <w:iCs/>
        </w:rPr>
        <w:t xml:space="preserve">Se actualizará nuevamente </w:t>
      </w:r>
      <w:r w:rsidRPr="0075563B">
        <w:rPr>
          <w:i/>
          <w:iCs/>
        </w:rPr>
        <w:lastRenderedPageBreak/>
        <w:t>teniendo en cuenta la elaboración del marco estratégico a largo plazo</w:t>
      </w:r>
      <w:r w:rsidRPr="0075563B">
        <w:t xml:space="preserve"> </w:t>
      </w:r>
      <w:r w:rsidRPr="0075563B">
        <w:rPr>
          <w:i/>
          <w:iCs/>
        </w:rPr>
        <w:t>para la creación de capacidad en apoyo a la aplicación del marco mundial de la diversidad biológica posterior a 2020.</w:t>
      </w:r>
      <w:r w:rsidRPr="0075563B">
        <w:t>]</w:t>
      </w:r>
    </w:p>
    <w:p w14:paraId="4F17B61A" w14:textId="0D222208" w:rsidR="00FC0B19" w:rsidRPr="0075563B" w:rsidRDefault="00974541" w:rsidP="00E461AC">
      <w:pPr>
        <w:numPr>
          <w:ilvl w:val="0"/>
          <w:numId w:val="12"/>
        </w:numPr>
        <w:ind w:left="0" w:firstLine="0"/>
      </w:pPr>
      <w:r w:rsidRPr="0075563B">
        <w:t xml:space="preserve">El Plan de </w:t>
      </w:r>
      <w:r w:rsidR="0052466F" w:rsidRPr="0075563B">
        <w:t xml:space="preserve">Aplicación </w:t>
      </w:r>
      <w:r w:rsidRPr="0075563B">
        <w:t xml:space="preserve">y el Plan de </w:t>
      </w:r>
      <w:r w:rsidR="0052466F" w:rsidRPr="0075563B">
        <w:t xml:space="preserve">Acción </w:t>
      </w:r>
      <w:r w:rsidRPr="0075563B">
        <w:t xml:space="preserve">para la </w:t>
      </w:r>
      <w:r w:rsidR="0052466F" w:rsidRPr="0075563B">
        <w:t xml:space="preserve">Creación </w:t>
      </w:r>
      <w:r w:rsidRPr="0075563B">
        <w:t xml:space="preserve">de </w:t>
      </w:r>
      <w:r w:rsidR="0052466F" w:rsidRPr="0075563B">
        <w:t xml:space="preserve">Capacidad </w:t>
      </w:r>
      <w:r w:rsidRPr="0075563B">
        <w:t>también pueden servir para ayudar a las Partes a lograr los Objetivos de Desarrollo Sostenible, como por ejemplo los Objetivos 2 (poner fin al hambre, lograr la seguridad alimentaria y la mejora de la nutrición y promover la agricultura sostenible) y 3 (garantizar una vida saludable y promover el bienestar para todos y todas en todas las edades).</w:t>
      </w:r>
    </w:p>
    <w:p w14:paraId="5240C2A8" w14:textId="1CDBC5D7" w:rsidR="00FC0B19" w:rsidRPr="0075563B" w:rsidRDefault="007A53A0" w:rsidP="001D663F">
      <w:pPr>
        <w:pStyle w:val="Heading1"/>
        <w:ind w:left="1843" w:hanging="708"/>
        <w:jc w:val="left"/>
        <w:rPr>
          <w:kern w:val="22"/>
        </w:rPr>
      </w:pPr>
      <w:r w:rsidRPr="0075563B">
        <w:t>III.</w:t>
      </w:r>
      <w:r w:rsidRPr="0075563B">
        <w:tab/>
        <w:t xml:space="preserve">Estructura del Plan de aplicación y el Plan de acción para la creación de capacidad </w:t>
      </w:r>
    </w:p>
    <w:p w14:paraId="19787CFA" w14:textId="2F0BCDC8" w:rsidR="00FC0B19" w:rsidRPr="0075563B" w:rsidRDefault="00FC0B19" w:rsidP="007A53A0">
      <w:pPr>
        <w:numPr>
          <w:ilvl w:val="0"/>
          <w:numId w:val="12"/>
        </w:numPr>
        <w:ind w:left="0" w:firstLine="0"/>
        <w:rPr>
          <w:kern w:val="22"/>
        </w:rPr>
      </w:pPr>
      <w:r w:rsidRPr="0075563B">
        <w:t xml:space="preserve">En el Apéndice se presenta un cuadro que contiene las metas, objetivos, indicadores y resultados del Plan de </w:t>
      </w:r>
      <w:r w:rsidR="0052466F" w:rsidRPr="0075563B">
        <w:t>Aplicación</w:t>
      </w:r>
      <w:r w:rsidRPr="0075563B">
        <w:t xml:space="preserve">, junto con las esferas clave para la creación de capacidad y los ejemplos de actividades de creación de capacidad del Plan de Acción para la </w:t>
      </w:r>
      <w:r w:rsidR="0052466F" w:rsidRPr="0075563B">
        <w:t xml:space="preserve">Creación </w:t>
      </w:r>
      <w:r w:rsidRPr="0075563B">
        <w:t xml:space="preserve">de </w:t>
      </w:r>
      <w:r w:rsidR="0052466F" w:rsidRPr="0075563B">
        <w:t>Capacidad</w:t>
      </w:r>
      <w:r w:rsidRPr="0075563B">
        <w:t xml:space="preserve">. Esta presentación tiene por objeto mostrar la armonización y la complementariedad entre los dos planes y evitar la duplicación. </w:t>
      </w:r>
    </w:p>
    <w:p w14:paraId="67A9DCA6" w14:textId="703D39C7" w:rsidR="00FC0B19" w:rsidRPr="0075563B" w:rsidRDefault="001452C7" w:rsidP="001452C7">
      <w:pPr>
        <w:pStyle w:val="Heading2"/>
        <w:rPr>
          <w:i/>
          <w:kern w:val="22"/>
        </w:rPr>
      </w:pPr>
      <w:r w:rsidRPr="0075563B">
        <w:t>A.</w:t>
      </w:r>
      <w:r w:rsidRPr="0075563B">
        <w:tab/>
        <w:t xml:space="preserve">Plan de </w:t>
      </w:r>
      <w:r w:rsidR="0052466F" w:rsidRPr="0075563B">
        <w:t>Aplicación</w:t>
      </w:r>
    </w:p>
    <w:p w14:paraId="02437E93" w14:textId="1554B4F3" w:rsidR="00FC0B19" w:rsidRPr="0075563B" w:rsidRDefault="00FC0B19" w:rsidP="00FC0B19">
      <w:pPr>
        <w:numPr>
          <w:ilvl w:val="0"/>
          <w:numId w:val="12"/>
        </w:numPr>
        <w:ind w:left="0" w:firstLine="0"/>
        <w:rPr>
          <w:kern w:val="22"/>
        </w:rPr>
      </w:pPr>
      <w:r w:rsidRPr="0075563B">
        <w:t xml:space="preserve">En el Plan de </w:t>
      </w:r>
      <w:r w:rsidR="0052466F" w:rsidRPr="0075563B">
        <w:t xml:space="preserve">Aplicación </w:t>
      </w:r>
      <w:r w:rsidRPr="0075563B">
        <w:t xml:space="preserve">se trazan </w:t>
      </w:r>
      <w:r w:rsidRPr="0075563B">
        <w:rPr>
          <w:i/>
        </w:rPr>
        <w:t>metas</w:t>
      </w:r>
      <w:r w:rsidRPr="0075563B">
        <w:t xml:space="preserve"> que representan los logros generales que las Partes desean alcanzar. Las metas del Plan de </w:t>
      </w:r>
      <w:r w:rsidR="00480DF4" w:rsidRPr="0075563B">
        <w:t xml:space="preserve">Aplicación </w:t>
      </w:r>
      <w:r w:rsidRPr="0075563B">
        <w:t xml:space="preserve">están organizadas según “esferas de aplicación” y </w:t>
      </w:r>
      <w:r w:rsidR="00261534" w:rsidRPr="0075563B">
        <w:t>el</w:t>
      </w:r>
      <w:r w:rsidRPr="0075563B">
        <w:t xml:space="preserve"> “entorno </w:t>
      </w:r>
      <w:r w:rsidR="00BE51B2" w:rsidRPr="0075563B">
        <w:t>propicio</w:t>
      </w:r>
      <w:r w:rsidRPr="0075563B">
        <w:t xml:space="preserve">”. Las “esferas de aplicación” consisten en metas relacionadas con elementos clave para la aplicación del Protocolo. El “entorno </w:t>
      </w:r>
      <w:r w:rsidR="001634F5" w:rsidRPr="0075563B">
        <w:t>propicio</w:t>
      </w:r>
      <w:r w:rsidRPr="0075563B">
        <w:t xml:space="preserve">” comprende metas transversales relacionadas con la prestación de apoyo a la aplicación, es decir, la creación de capacidad, la movilización de recursos, la cooperación y la concienciación, educación y participación del público. Las metas dentro del “entorno </w:t>
      </w:r>
      <w:r w:rsidR="001634F5" w:rsidRPr="0075563B">
        <w:t>propicio</w:t>
      </w:r>
      <w:r w:rsidRPr="0075563B">
        <w:t xml:space="preserve">” representan logros transversales que favorecen una variedad de metas relacionadas con la aplicación y pueden </w:t>
      </w:r>
      <w:r w:rsidR="00781DBE">
        <w:t>considerarse</w:t>
      </w:r>
      <w:r w:rsidRPr="0075563B">
        <w:t xml:space="preserve"> conjuntamente con las metas relativas a las “esferas de aplicación”. Cada meta incluye los correspondientes objetivos, resultados e indicadores.</w:t>
      </w:r>
    </w:p>
    <w:p w14:paraId="38F3A5DD" w14:textId="76B6D849" w:rsidR="00FC0B19" w:rsidRPr="0075563B" w:rsidRDefault="00FC0B19" w:rsidP="00FC0B19">
      <w:pPr>
        <w:numPr>
          <w:ilvl w:val="0"/>
          <w:numId w:val="12"/>
        </w:numPr>
        <w:ind w:left="0" w:firstLine="0"/>
        <w:rPr>
          <w:kern w:val="22"/>
        </w:rPr>
      </w:pPr>
      <w:r w:rsidRPr="0075563B">
        <w:t xml:space="preserve">Los </w:t>
      </w:r>
      <w:r w:rsidRPr="0075563B">
        <w:rPr>
          <w:i/>
        </w:rPr>
        <w:t>objetivos</w:t>
      </w:r>
      <w:r w:rsidRPr="0075563B">
        <w:t xml:space="preserve"> describen logros clave para alcanzar la meta con la que están relacionados. Los objetivos no pretenden ofrecer una lista exhaustiva de los logros que pueden ser importantes para la meta. Los objetivos cumplen las disposiciones del Protocolo, incluidas las obligaciones y otras disposiciones, y la orientación proporcionada a través de las decisiones de la Conferencia de las Partes que actúa como reunión de las Partes en el Protocolo. La mayoría de las metas incluyen múltiples objetivos. </w:t>
      </w:r>
    </w:p>
    <w:p w14:paraId="01F9F38F" w14:textId="467CE1B9" w:rsidR="00FC0B19" w:rsidRPr="0075563B" w:rsidRDefault="00FC0B19" w:rsidP="00FC0B19">
      <w:pPr>
        <w:numPr>
          <w:ilvl w:val="0"/>
          <w:numId w:val="12"/>
        </w:numPr>
        <w:ind w:left="0" w:firstLine="0"/>
        <w:rPr>
          <w:kern w:val="22"/>
        </w:rPr>
      </w:pPr>
      <w:r w:rsidRPr="0075563B">
        <w:t xml:space="preserve">Los </w:t>
      </w:r>
      <w:r w:rsidRPr="0075563B">
        <w:rPr>
          <w:i/>
        </w:rPr>
        <w:t>indicadores</w:t>
      </w:r>
      <w:r w:rsidRPr="0075563B">
        <w:t xml:space="preserve"> están diseñados para medir el progreso hacia los objetivos. Los indicadores deben ser simples, mensurables y pertinentes para el objetivo asociado. </w:t>
      </w:r>
    </w:p>
    <w:p w14:paraId="68948057" w14:textId="6E02E8A2" w:rsidR="00FC0B19" w:rsidRPr="0075563B" w:rsidRDefault="00FC0B19" w:rsidP="001452C7">
      <w:pPr>
        <w:numPr>
          <w:ilvl w:val="0"/>
          <w:numId w:val="12"/>
        </w:numPr>
        <w:ind w:left="0" w:firstLine="0"/>
        <w:rPr>
          <w:kern w:val="22"/>
        </w:rPr>
      </w:pPr>
      <w:r w:rsidRPr="0075563B">
        <w:t xml:space="preserve">Los </w:t>
      </w:r>
      <w:r w:rsidRPr="0075563B">
        <w:rPr>
          <w:i/>
        </w:rPr>
        <w:t>resultados</w:t>
      </w:r>
      <w:r w:rsidRPr="0075563B">
        <w:t xml:space="preserve"> describen el efecto que causará el logro de la meta.</w:t>
      </w:r>
    </w:p>
    <w:p w14:paraId="240C80F8" w14:textId="33B9B4C1" w:rsidR="00FC0B19" w:rsidRPr="0075563B" w:rsidRDefault="001452C7" w:rsidP="001452C7">
      <w:pPr>
        <w:pStyle w:val="Heading2"/>
        <w:rPr>
          <w:kern w:val="22"/>
        </w:rPr>
      </w:pPr>
      <w:r w:rsidRPr="0075563B">
        <w:t>B.</w:t>
      </w:r>
      <w:r w:rsidRPr="0075563B">
        <w:tab/>
        <w:t xml:space="preserve">Plan de </w:t>
      </w:r>
      <w:r w:rsidR="00480DF4" w:rsidRPr="0075563B">
        <w:t xml:space="preserve">Acción </w:t>
      </w:r>
      <w:r w:rsidRPr="0075563B">
        <w:t xml:space="preserve">para la </w:t>
      </w:r>
      <w:r w:rsidR="00480DF4" w:rsidRPr="0075563B">
        <w:t xml:space="preserve">Creación </w:t>
      </w:r>
      <w:r w:rsidRPr="0075563B">
        <w:t xml:space="preserve">de </w:t>
      </w:r>
      <w:r w:rsidR="00480DF4" w:rsidRPr="0075563B">
        <w:t>Capacidad</w:t>
      </w:r>
    </w:p>
    <w:p w14:paraId="0EBC6B23" w14:textId="0E46F192" w:rsidR="00FC0B19" w:rsidRPr="0075563B" w:rsidRDefault="00FC0B19" w:rsidP="001452C7">
      <w:pPr>
        <w:numPr>
          <w:ilvl w:val="0"/>
          <w:numId w:val="12"/>
        </w:numPr>
        <w:ind w:left="0" w:firstLine="0"/>
        <w:rPr>
          <w:kern w:val="22"/>
        </w:rPr>
      </w:pPr>
      <w:r w:rsidRPr="0075563B">
        <w:t xml:space="preserve">El Plan de </w:t>
      </w:r>
      <w:r w:rsidR="00480DF4" w:rsidRPr="0075563B">
        <w:t xml:space="preserve">Acción </w:t>
      </w:r>
      <w:r w:rsidRPr="0075563B">
        <w:t xml:space="preserve">para la </w:t>
      </w:r>
      <w:r w:rsidR="00480DF4" w:rsidRPr="0075563B">
        <w:t xml:space="preserve">Creación </w:t>
      </w:r>
      <w:r w:rsidRPr="0075563B">
        <w:t xml:space="preserve">de </w:t>
      </w:r>
      <w:r w:rsidR="00480DF4" w:rsidRPr="0075563B">
        <w:t xml:space="preserve">Capacidad </w:t>
      </w:r>
      <w:r w:rsidRPr="0075563B">
        <w:t xml:space="preserve">esboza las </w:t>
      </w:r>
      <w:r w:rsidRPr="00391134">
        <w:rPr>
          <w:i/>
        </w:rPr>
        <w:t>á</w:t>
      </w:r>
      <w:r w:rsidRPr="0075563B">
        <w:rPr>
          <w:i/>
        </w:rPr>
        <w:t>reas clave para la creación de capacidad</w:t>
      </w:r>
      <w:r w:rsidRPr="0075563B">
        <w:t xml:space="preserve"> relacionadas con cada meta del Plan de </w:t>
      </w:r>
      <w:r w:rsidR="00480DF4" w:rsidRPr="0075563B">
        <w:t>Aplicación</w:t>
      </w:r>
      <w:r w:rsidRPr="0075563B">
        <w:t xml:space="preserve">. Las áreas clave para la creación de capacidad están en consonancia con los objetivos del Plan de </w:t>
      </w:r>
      <w:r w:rsidR="00480DF4" w:rsidRPr="0075563B">
        <w:t xml:space="preserve">Aplicación </w:t>
      </w:r>
      <w:r w:rsidRPr="0075563B">
        <w:t xml:space="preserve">e incluyen áreas para las que se sugieren actividades de creación de capacidad. </w:t>
      </w:r>
    </w:p>
    <w:p w14:paraId="6D66C44D" w14:textId="21BD61AE" w:rsidR="00FC0B19" w:rsidRPr="0075563B" w:rsidRDefault="00FC0B19" w:rsidP="001452C7">
      <w:pPr>
        <w:numPr>
          <w:ilvl w:val="0"/>
          <w:numId w:val="12"/>
        </w:numPr>
        <w:ind w:left="0" w:firstLine="0"/>
        <w:rPr>
          <w:rFonts w:eastAsia="MS Mincho"/>
          <w:kern w:val="22"/>
        </w:rPr>
      </w:pPr>
      <w:r w:rsidRPr="0075563B">
        <w:t xml:space="preserve">El Plan de </w:t>
      </w:r>
      <w:r w:rsidR="00480DF4" w:rsidRPr="0075563B">
        <w:t xml:space="preserve">Acción </w:t>
      </w:r>
      <w:r w:rsidRPr="0075563B">
        <w:t xml:space="preserve">también ofrece una lista de ejemplos de </w:t>
      </w:r>
      <w:r w:rsidRPr="0075563B">
        <w:rPr>
          <w:i/>
        </w:rPr>
        <w:t>actividades de creación de capacidad</w:t>
      </w:r>
      <w:r w:rsidRPr="0075563B">
        <w:t>, que fueron elaborados teniendo en cuenta las actividades de creación de capacidad que continúan vigentes y se incluyen, entre otros, en el Marco y Plan de Acción para la Creación de Capacidad para la Aplicación Efectiva del Protocolo de Cartagena (2012-2020), y el programa de trabajo sobre concienciación, educación y participación del público</w:t>
      </w:r>
      <w:r w:rsidRPr="0075563B">
        <w:rPr>
          <w:rStyle w:val="FootnoteReference"/>
          <w:kern w:val="22"/>
          <w:u w:val="none"/>
          <w:vertAlign w:val="superscript"/>
        </w:rPr>
        <w:footnoteReference w:id="14"/>
      </w:r>
      <w:r w:rsidRPr="0075563B">
        <w:t xml:space="preserve">. Algunas áreas clave para la creación de capacidad y las actividades de creación de capacidad son pertinentes para múltiples metas. Ese es el caso de las metas A.6, A.7 y A.8 relacionadas con diferentes aspectos de la detección e identificación de organismos vivos modificados. Por consiguiente, </w:t>
      </w:r>
      <w:r w:rsidRPr="0075563B">
        <w:lastRenderedPageBreak/>
        <w:t>las áreas clave para la creación de capacidad y las actividades de creación de capacidad se presentan como relacionadas con las tres metas.</w:t>
      </w:r>
    </w:p>
    <w:p w14:paraId="1A85ACB8" w14:textId="50EEB5A0" w:rsidR="00FC0B19" w:rsidRPr="0075563B" w:rsidRDefault="00FC0B19" w:rsidP="001452C7">
      <w:pPr>
        <w:numPr>
          <w:ilvl w:val="0"/>
          <w:numId w:val="12"/>
        </w:numPr>
        <w:ind w:left="0" w:firstLine="0"/>
        <w:rPr>
          <w:rFonts w:eastAsia="MS Mincho"/>
          <w:kern w:val="22"/>
        </w:rPr>
      </w:pPr>
      <w:r w:rsidRPr="0075563B">
        <w:t xml:space="preserve">Las áreas clave y las actividades de creación de capacidad descritas en el Plan de </w:t>
      </w:r>
      <w:r w:rsidR="00480DF4" w:rsidRPr="0075563B">
        <w:t xml:space="preserve">Acción </w:t>
      </w:r>
      <w:r w:rsidRPr="0075563B">
        <w:t xml:space="preserve">para la </w:t>
      </w:r>
      <w:r w:rsidR="00480DF4" w:rsidRPr="0075563B">
        <w:t xml:space="preserve">Creación </w:t>
      </w:r>
      <w:r w:rsidRPr="0075563B">
        <w:t xml:space="preserve">de </w:t>
      </w:r>
      <w:r w:rsidR="00480DF4" w:rsidRPr="0075563B">
        <w:t xml:space="preserve">Capacidad </w:t>
      </w:r>
      <w:r w:rsidRPr="0075563B">
        <w:t xml:space="preserve">no pretenden ser preceptivas o exhaustivas. Las áreas clave para la creación de capacidad se entienden como áreas indicativas en las que pueden necesitarse capacidades, y en las que pueden centrarse las intervenciones de creación de capacidad, dependiendo de las circunstancias y necesidades nacionales. Las actividades de creación de capacidad son ejemplos de los tipos de actividades que podrían llevarse a cabo para lograr los objetivos y resultados del Plan de </w:t>
      </w:r>
      <w:r w:rsidR="003133E9" w:rsidRPr="0075563B">
        <w:t>Aplicación</w:t>
      </w:r>
      <w:r w:rsidRPr="0075563B">
        <w:t xml:space="preserve">. Se reconoce que las necesidades y circunstancias nacionales y regionales deberían determinar en última instancia el diseño y la ejecución de las actividades de creación de capacidad, teniendo también en cuenta la orientación estratégica proporcionada en el marco estratégico a largo plazo para la creación de capacidad, según proceda. </w:t>
      </w:r>
    </w:p>
    <w:p w14:paraId="153FD44E" w14:textId="0F6F130D" w:rsidR="00FC0B19" w:rsidRPr="0075563B" w:rsidRDefault="00FC0B19" w:rsidP="001452C7">
      <w:pPr>
        <w:numPr>
          <w:ilvl w:val="0"/>
          <w:numId w:val="12"/>
        </w:numPr>
        <w:ind w:left="0" w:firstLine="0"/>
        <w:rPr>
          <w:rFonts w:eastAsia="MS Mincho"/>
          <w:kern w:val="22"/>
        </w:rPr>
      </w:pPr>
      <w:r w:rsidRPr="0075563B">
        <w:t xml:space="preserve">La información sobre las actividades de creación de capacidad realizadas o sobre los recursos o materiales para la creación de capacidad elaborados en el contexto del Plan de </w:t>
      </w:r>
      <w:r w:rsidR="003133E9" w:rsidRPr="0075563B">
        <w:t xml:space="preserve">Acción </w:t>
      </w:r>
      <w:r w:rsidRPr="0075563B">
        <w:t xml:space="preserve">para la </w:t>
      </w:r>
      <w:r w:rsidR="003133E9" w:rsidRPr="0075563B">
        <w:t xml:space="preserve">Creación </w:t>
      </w:r>
      <w:r w:rsidRPr="0075563B">
        <w:t xml:space="preserve">de </w:t>
      </w:r>
      <w:r w:rsidR="003133E9" w:rsidRPr="0075563B">
        <w:t xml:space="preserve">Capacidad </w:t>
      </w:r>
      <w:r w:rsidRPr="0075563B">
        <w:t>deberían compartirse a través del Centro de Intercambio de Información sobre Seguridad de la Biotecnología.</w:t>
      </w:r>
    </w:p>
    <w:p w14:paraId="4CC0766C" w14:textId="77777777" w:rsidR="00FC0B19" w:rsidRPr="0075563B" w:rsidRDefault="00FC0B19" w:rsidP="0031656B">
      <w:pPr>
        <w:spacing w:after="200" w:line="276" w:lineRule="auto"/>
        <w:jc w:val="center"/>
        <w:rPr>
          <w:rFonts w:eastAsia="MS Mincho"/>
          <w:i/>
          <w:iCs/>
          <w:kern w:val="22"/>
        </w:rPr>
      </w:pPr>
      <w:r w:rsidRPr="0075563B">
        <w:rPr>
          <w:i/>
          <w:iCs/>
        </w:rPr>
        <w:t>Proveedores de creación de capacidad y públicos destinatarios</w:t>
      </w:r>
    </w:p>
    <w:p w14:paraId="0E8BEF05" w14:textId="77777777" w:rsidR="00FC0B19" w:rsidRPr="0075563B" w:rsidRDefault="00FC0B19" w:rsidP="001452C7">
      <w:pPr>
        <w:numPr>
          <w:ilvl w:val="0"/>
          <w:numId w:val="12"/>
        </w:numPr>
        <w:ind w:left="0" w:firstLine="0"/>
        <w:rPr>
          <w:rFonts w:eastAsia="MS Mincho"/>
          <w:kern w:val="22"/>
        </w:rPr>
      </w:pPr>
      <w:r w:rsidRPr="0075563B">
        <w:t xml:space="preserve">Las actividades de creación de capacidad pueden llevarse a cabo en distintos niveles, entre ellos el ámbito nacional, regional y mundial. </w:t>
      </w:r>
    </w:p>
    <w:p w14:paraId="295D47DE" w14:textId="77777777" w:rsidR="00FC0B19" w:rsidRPr="0075563B" w:rsidRDefault="00FC0B19" w:rsidP="001452C7">
      <w:pPr>
        <w:numPr>
          <w:ilvl w:val="0"/>
          <w:numId w:val="12"/>
        </w:numPr>
        <w:ind w:left="0" w:firstLine="0"/>
        <w:rPr>
          <w:rFonts w:eastAsia="MS Mincho"/>
          <w:kern w:val="22"/>
        </w:rPr>
      </w:pPr>
      <w:r w:rsidRPr="0075563B">
        <w:t xml:space="preserve">Diversos agentes pueden ayudar a facilitar la ejecución de las actividades de creación de capacidad, entre ellos los gobiernos, las organizaciones de investigación, las organizaciones no gubernamentales, el sector privado y la Secretaría. La identificación de los agentes a este respecto depende en gran medida de las circunstancias, necesidades y prioridades nacionales. En este contexto, las actividades de creación de capacidad que se describen en el cuadro que figura a continuación no identifican a los agentes que podrían llevar a cabo las actividades de creación de capacidad.  </w:t>
      </w:r>
    </w:p>
    <w:p w14:paraId="7A9ADA33" w14:textId="6292C96D" w:rsidR="00FC0B19" w:rsidRPr="0075563B" w:rsidRDefault="00FC0B19" w:rsidP="001452C7">
      <w:pPr>
        <w:numPr>
          <w:ilvl w:val="0"/>
          <w:numId w:val="12"/>
        </w:numPr>
        <w:ind w:left="0" w:firstLine="0"/>
        <w:rPr>
          <w:rFonts w:eastAsia="MS Mincho"/>
          <w:kern w:val="22"/>
        </w:rPr>
      </w:pPr>
      <w:r w:rsidRPr="0075563B">
        <w:t>De la misma manera, diversos públicos destinatarios podrían beneficiarse de actividades específicas de creación de capacidad, en función de las circunstancias, necesidades y prioridades nacionales. Entre esos públicos podrían figurar los encargados de formular políticas, las autoridades administrativas, los técnicos de laboratorio y los funcionarios de aduanas, entre otros.</w:t>
      </w:r>
    </w:p>
    <w:p w14:paraId="21B1CC77" w14:textId="5994D622" w:rsidR="00FC0B19" w:rsidRPr="0075563B" w:rsidRDefault="00FC0B19" w:rsidP="001452C7">
      <w:pPr>
        <w:numPr>
          <w:ilvl w:val="0"/>
          <w:numId w:val="12"/>
        </w:numPr>
        <w:ind w:left="0" w:firstLine="0"/>
        <w:rPr>
          <w:rFonts w:eastAsia="MS Mincho"/>
          <w:kern w:val="22"/>
        </w:rPr>
      </w:pPr>
      <w:r w:rsidRPr="0075563B">
        <w:t xml:space="preserve">Al diseñar intervenciones de creación de capacidad en las áreas de creación de capacidad o sobre la base de los ejemplos de actividades esbozados en el Plan de </w:t>
      </w:r>
      <w:r w:rsidR="003F38DB" w:rsidRPr="0075563B">
        <w:t xml:space="preserve">Acción </w:t>
      </w:r>
      <w:r w:rsidRPr="0075563B">
        <w:t xml:space="preserve">para la </w:t>
      </w:r>
      <w:r w:rsidR="003F38DB" w:rsidRPr="0075563B">
        <w:t xml:space="preserve">Creación </w:t>
      </w:r>
      <w:r w:rsidRPr="0075563B">
        <w:t xml:space="preserve">de </w:t>
      </w:r>
      <w:r w:rsidR="003F38DB" w:rsidRPr="0075563B">
        <w:t>Capacidad</w:t>
      </w:r>
      <w:r w:rsidRPr="0075563B">
        <w:t xml:space="preserve">, se deben identificar los actores y los públicos destinatarios. Como se indica en las metas dentro del “entorno </w:t>
      </w:r>
      <w:r w:rsidR="00E61CA8" w:rsidRPr="0075563B">
        <w:t>propicio</w:t>
      </w:r>
      <w:r w:rsidRPr="0075563B">
        <w:t xml:space="preserve">” del Plan de </w:t>
      </w:r>
      <w:r w:rsidR="003F38DB" w:rsidRPr="0075563B">
        <w:t xml:space="preserve">Aplicación </w:t>
      </w:r>
      <w:r w:rsidRPr="0075563B">
        <w:t xml:space="preserve">y el Plan de </w:t>
      </w:r>
      <w:r w:rsidR="003F38DB" w:rsidRPr="0075563B">
        <w:t xml:space="preserve">Acción </w:t>
      </w:r>
      <w:r w:rsidRPr="0075563B">
        <w:t xml:space="preserve">para la </w:t>
      </w:r>
      <w:r w:rsidR="003F38DB" w:rsidRPr="0075563B">
        <w:t xml:space="preserve">Creación </w:t>
      </w:r>
      <w:r w:rsidRPr="0075563B">
        <w:t xml:space="preserve">de </w:t>
      </w:r>
      <w:r w:rsidR="003F38DB" w:rsidRPr="0075563B">
        <w:t>Capacidad</w:t>
      </w:r>
      <w:r w:rsidRPr="0075563B">
        <w:t xml:space="preserve">, la cooperación y la colaboración, además de la provisión de recursos adecuados, son prerrequisitos para llevar a cabo actividades de creación de capacidad en apoyo a la aplicación del Protocolo. </w:t>
      </w:r>
    </w:p>
    <w:p w14:paraId="3CFDC779" w14:textId="6439BAE8" w:rsidR="00FC0B19" w:rsidRPr="0075563B" w:rsidRDefault="001452C7" w:rsidP="0033004C">
      <w:pPr>
        <w:pStyle w:val="Heading2"/>
        <w:ind w:left="1701" w:right="248" w:hanging="567"/>
        <w:jc w:val="left"/>
        <w:rPr>
          <w:kern w:val="22"/>
        </w:rPr>
      </w:pPr>
      <w:r w:rsidRPr="0075563B">
        <w:t>C.</w:t>
      </w:r>
      <w:r w:rsidRPr="0075563B">
        <w:tab/>
        <w:t>Componente relativo al Protocolo Suplementario de Nagoya - Kuala Lumpur sobre Responsabilidad y Compensación</w:t>
      </w:r>
    </w:p>
    <w:p w14:paraId="6EDA496A" w14:textId="32E64AEA" w:rsidR="00FC0B19" w:rsidRPr="0075563B" w:rsidRDefault="00FC0B19" w:rsidP="001452C7">
      <w:pPr>
        <w:numPr>
          <w:ilvl w:val="0"/>
          <w:numId w:val="12"/>
        </w:numPr>
        <w:ind w:left="0" w:firstLine="0"/>
        <w:rPr>
          <w:kern w:val="22"/>
        </w:rPr>
      </w:pPr>
      <w:r w:rsidRPr="0075563B">
        <w:t>El Protocolo Suplementario de Nagoya – Kuala Lumpur sobre Responsabilidad y Compensación fue adoptado por la Conferencia de las Partes que actúa como reunión de las Partes en el Protocolo en 2010 (decisión BS-V/11). El Plan Estratégico para el Protocolo, también adoptado en 2010, incluía elementos sobre responsabilidad y compensación y el Protocolo Suplementario. El Protocolo Suplementario entró en vigor el 5 de marzo de 2018.</w:t>
      </w:r>
    </w:p>
    <w:p w14:paraId="473F6D41" w14:textId="77777777" w:rsidR="00FC0B19" w:rsidRPr="0075563B" w:rsidRDefault="00FC0B19" w:rsidP="001452C7">
      <w:pPr>
        <w:numPr>
          <w:ilvl w:val="0"/>
          <w:numId w:val="12"/>
        </w:numPr>
        <w:ind w:left="0" w:firstLine="0"/>
        <w:rPr>
          <w:rFonts w:eastAsia="MS Mincho"/>
          <w:kern w:val="22"/>
        </w:rPr>
      </w:pPr>
      <w:r w:rsidRPr="0075563B">
        <w:t xml:space="preserve">En el apéndice que figura a continuación se incluye un componente sobre el Protocolo Suplementario. La inclusión de un componente sobre el Protocolo Suplementario tiene la finalidad de apoyar la aplicación del Protocolo de Cartagena y contribuir a la aplicación efectiva del Protocolo Suplementario, si bien se reconoce que son instrumentos jurídicos separados y que las obligaciones dimanantes de estos instrumentos solo obligan a las Partes en el respectivo instrumento. </w:t>
      </w:r>
    </w:p>
    <w:p w14:paraId="6555D48D" w14:textId="7978C22E" w:rsidR="00FC0B19" w:rsidRPr="0075563B" w:rsidRDefault="0061456E" w:rsidP="0061456E">
      <w:pPr>
        <w:pStyle w:val="Heading1"/>
        <w:rPr>
          <w:kern w:val="22"/>
        </w:rPr>
      </w:pPr>
      <w:r w:rsidRPr="0075563B">
        <w:lastRenderedPageBreak/>
        <w:t>IV.</w:t>
      </w:r>
      <w:r w:rsidRPr="0075563B">
        <w:tab/>
        <w:t>Evaluación y revisión</w:t>
      </w:r>
    </w:p>
    <w:p w14:paraId="1D5CC5CB" w14:textId="7ADFB47B" w:rsidR="00FC0B19" w:rsidRPr="0075563B" w:rsidRDefault="00FC0B19" w:rsidP="0098131D">
      <w:pPr>
        <w:numPr>
          <w:ilvl w:val="0"/>
          <w:numId w:val="12"/>
        </w:numPr>
        <w:ind w:left="0" w:firstLine="0"/>
        <w:rPr>
          <w:kern w:val="22"/>
        </w:rPr>
      </w:pPr>
      <w:r w:rsidRPr="0075563B">
        <w:t xml:space="preserve">La Conferencia de las Partes que actúa como reunión de las Partes en el Protocolo de Cartagena podría decidir realizar una evaluación a mitad de período y una evaluación final del Plan de </w:t>
      </w:r>
      <w:r w:rsidR="000A1CB0" w:rsidRPr="0075563B">
        <w:t xml:space="preserve">Aplicación </w:t>
      </w:r>
      <w:r w:rsidRPr="0075563B">
        <w:t xml:space="preserve">y el Plan de </w:t>
      </w:r>
      <w:r w:rsidR="000A1CB0" w:rsidRPr="0075563B">
        <w:t xml:space="preserve">Acción </w:t>
      </w:r>
      <w:r w:rsidRPr="0075563B">
        <w:t xml:space="preserve">para la </w:t>
      </w:r>
      <w:r w:rsidR="000A1CB0" w:rsidRPr="0075563B">
        <w:t xml:space="preserve">Creación </w:t>
      </w:r>
      <w:r w:rsidRPr="0075563B">
        <w:t xml:space="preserve">de </w:t>
      </w:r>
      <w:r w:rsidR="000A1CB0" w:rsidRPr="0075563B">
        <w:t>Capacidad</w:t>
      </w:r>
      <w:r w:rsidR="00B04812" w:rsidRPr="0075563B">
        <w:t>.</w:t>
      </w:r>
      <w:r w:rsidRPr="0075563B">
        <w:t xml:space="preserve"> Estas evaluaciones podrían basarse en la información proporcionada por las Partes en sus informes nacionales, información sobre actividades de creación de capacidad e información del Centro de Intercambio de Información sobre Seguridad de la Biotecnología, entre otros datos. Esta información podría emplearse para evaluar en qué medida se están cumpliendo los objetivos del Plan de </w:t>
      </w:r>
      <w:r w:rsidR="000A1CB0" w:rsidRPr="0075563B">
        <w:t>Aplicación</w:t>
      </w:r>
      <w:r w:rsidRPr="0075563B">
        <w:t xml:space="preserve">, por </w:t>
      </w:r>
      <w:r w:rsidR="00DB3DB1" w:rsidRPr="0075563B">
        <w:t>ejemplo,</w:t>
      </w:r>
      <w:r w:rsidRPr="0075563B">
        <w:t xml:space="preserve"> mediante actividades de creación de capacidad.</w:t>
      </w:r>
    </w:p>
    <w:p w14:paraId="0B1CCEF2" w14:textId="10D79347" w:rsidR="00FC0B19" w:rsidRPr="0075563B" w:rsidRDefault="00FC0B19" w:rsidP="001452C7">
      <w:pPr>
        <w:numPr>
          <w:ilvl w:val="0"/>
          <w:numId w:val="12"/>
        </w:numPr>
        <w:ind w:left="0" w:firstLine="0"/>
        <w:rPr>
          <w:kern w:val="22"/>
        </w:rPr>
      </w:pPr>
      <w:r w:rsidRPr="0075563B">
        <w:t xml:space="preserve">Los resultados de la cuarta evaluación y revisión de la eficacia del Protocolo de Cartagena y la evaluación final del Plan Estratégico del Protocolo de Cartagena se utilizarán para establecer valores de referencia a fin de medir los progresos en el logro de las metas del Plan de </w:t>
      </w:r>
      <w:r w:rsidR="000A1CB0" w:rsidRPr="0075563B">
        <w:t>Aplicación</w:t>
      </w:r>
      <w:r w:rsidRPr="0075563B">
        <w:t xml:space="preserve">. </w:t>
      </w:r>
    </w:p>
    <w:p w14:paraId="6B3BD75A" w14:textId="77777777" w:rsidR="00FC0B19" w:rsidRPr="0075563B" w:rsidRDefault="00FC0B19" w:rsidP="00FC0B19">
      <w:pPr>
        <w:rPr>
          <w:kern w:val="22"/>
        </w:rPr>
      </w:pPr>
    </w:p>
    <w:p w14:paraId="2A9CA7ED" w14:textId="61A70E77" w:rsidR="00FC0B19" w:rsidRPr="0075563B" w:rsidRDefault="00FC0B19" w:rsidP="0098131D">
      <w:pPr>
        <w:pStyle w:val="Heading1"/>
        <w:numPr>
          <w:ilvl w:val="0"/>
          <w:numId w:val="5"/>
        </w:numPr>
        <w:tabs>
          <w:tab w:val="clear" w:pos="720"/>
        </w:tabs>
        <w:rPr>
          <w:kern w:val="22"/>
        </w:rPr>
      </w:pPr>
      <w:r w:rsidRPr="0075563B">
        <w:t>Prioridades y programación</w:t>
      </w:r>
    </w:p>
    <w:p w14:paraId="5A23672D" w14:textId="3D15210F" w:rsidR="00FC0B19" w:rsidRPr="0075563B" w:rsidRDefault="00FC0B19" w:rsidP="0061456E">
      <w:pPr>
        <w:numPr>
          <w:ilvl w:val="0"/>
          <w:numId w:val="12"/>
        </w:numPr>
        <w:ind w:left="0" w:firstLine="0"/>
        <w:rPr>
          <w:kern w:val="22"/>
        </w:rPr>
      </w:pPr>
      <w:r w:rsidRPr="0075563B">
        <w:t xml:space="preserve">La Conferencia de las Partes que actúa como reunión de las Partes en el Protocolo de Cartagena en forma periódica podría establecer prioridades para planificar y programar la labor a realizar dentro del período del Plan de </w:t>
      </w:r>
      <w:r w:rsidR="000A1CB0" w:rsidRPr="0075563B">
        <w:t>Aplicación</w:t>
      </w:r>
      <w:r w:rsidRPr="0075563B">
        <w:t>. Esto podría incluir la identificación de hitos que conduzcan al logro de los objetivos de</w:t>
      </w:r>
      <w:r w:rsidR="00D5018E" w:rsidRPr="0075563B">
        <w:t xml:space="preserve"> dicho</w:t>
      </w:r>
      <w:r w:rsidRPr="0075563B">
        <w:t xml:space="preserve"> Plan de </w:t>
      </w:r>
      <w:r w:rsidR="00E26149" w:rsidRPr="0075563B">
        <w:t>Aplicación</w:t>
      </w:r>
      <w:r w:rsidRPr="0075563B">
        <w:t>.</w:t>
      </w:r>
    </w:p>
    <w:p w14:paraId="1C345321" w14:textId="4C59B80A" w:rsidR="00FC0B19" w:rsidRPr="0075563B" w:rsidRDefault="00FC0B19" w:rsidP="00FC0B19">
      <w:pPr>
        <w:numPr>
          <w:ilvl w:val="0"/>
          <w:numId w:val="12"/>
        </w:numPr>
        <w:ind w:left="0" w:firstLine="0"/>
        <w:rPr>
          <w:kern w:val="22"/>
        </w:rPr>
      </w:pPr>
      <w:r w:rsidRPr="0075563B">
        <w:t xml:space="preserve">Al determinar las prioridades y la programación, la Conferencia de las Partes que actúa como reunión de las Partes en el Protocolo de Cartagena tal vez desee tener en cuenta las novedades y los avances en la esfera de la biotecnología y su seguridad. En este sentido, </w:t>
      </w:r>
      <w:r w:rsidR="00CE7172" w:rsidRPr="0075563B">
        <w:t xml:space="preserve">el enfoque adoptado en </w:t>
      </w:r>
      <w:r w:rsidRPr="0075563B">
        <w:t xml:space="preserve">el Plan de </w:t>
      </w:r>
      <w:r w:rsidR="00E26149" w:rsidRPr="0075563B">
        <w:t xml:space="preserve">Aplicación </w:t>
      </w:r>
      <w:r w:rsidRPr="0075563B">
        <w:t xml:space="preserve">y el Plan de </w:t>
      </w:r>
      <w:r w:rsidR="00E26149" w:rsidRPr="0075563B">
        <w:t xml:space="preserve">Acción </w:t>
      </w:r>
      <w:r w:rsidRPr="0075563B">
        <w:t xml:space="preserve">para la </w:t>
      </w:r>
      <w:r w:rsidR="00E26149" w:rsidRPr="0075563B">
        <w:t xml:space="preserve">Creación </w:t>
      </w:r>
      <w:r w:rsidRPr="0075563B">
        <w:t xml:space="preserve">de </w:t>
      </w:r>
      <w:r w:rsidR="00E26149" w:rsidRPr="0075563B">
        <w:t xml:space="preserve">Capacidad </w:t>
      </w:r>
      <w:r w:rsidR="00A81C0A" w:rsidRPr="0075563B">
        <w:t>implica</w:t>
      </w:r>
      <w:r w:rsidRPr="0075563B">
        <w:t xml:space="preserve"> que cuando los organismos desarrollados mediante nuevas tecnologías constituyen “organismos vivos modificados”, tal como se definen en el Protocolo, estos organismos se abordan en los dos Planes.</w:t>
      </w:r>
    </w:p>
    <w:p w14:paraId="1E65D3A9" w14:textId="77777777" w:rsidR="00FC0B19" w:rsidRPr="0075563B" w:rsidRDefault="00FC0B19" w:rsidP="0061456E">
      <w:pPr>
        <w:pStyle w:val="Heading1"/>
        <w:numPr>
          <w:ilvl w:val="0"/>
          <w:numId w:val="5"/>
        </w:numPr>
        <w:tabs>
          <w:tab w:val="clear" w:pos="720"/>
        </w:tabs>
        <w:rPr>
          <w:kern w:val="22"/>
        </w:rPr>
      </w:pPr>
      <w:r w:rsidRPr="0075563B">
        <w:t>Recursos</w:t>
      </w:r>
    </w:p>
    <w:p w14:paraId="4375B67D" w14:textId="26109D36" w:rsidR="00FC0B19" w:rsidRPr="0075563B" w:rsidRDefault="00FC0B19" w:rsidP="001452C7">
      <w:pPr>
        <w:numPr>
          <w:ilvl w:val="0"/>
          <w:numId w:val="12"/>
        </w:numPr>
        <w:ind w:left="0" w:firstLine="0"/>
        <w:rPr>
          <w:kern w:val="22"/>
        </w:rPr>
      </w:pPr>
      <w:r w:rsidRPr="0075563B">
        <w:t>El éxito de la aplicación del Protocolo depende en gran medida de</w:t>
      </w:r>
      <w:r w:rsidR="00E26149" w:rsidRPr="0075563B">
        <w:t xml:space="preserve">l </w:t>
      </w:r>
      <w:r w:rsidRPr="0075563B">
        <w:t xml:space="preserve">acceso a recursos humanos, técnicos y financieros adecuados y una cooperación eficaz. El Plan de </w:t>
      </w:r>
      <w:r w:rsidR="00E26149" w:rsidRPr="0075563B">
        <w:t xml:space="preserve">Aplicación </w:t>
      </w:r>
      <w:r w:rsidRPr="0075563B">
        <w:t xml:space="preserve">y el Plan de </w:t>
      </w:r>
      <w:r w:rsidR="00E26149" w:rsidRPr="0075563B">
        <w:t xml:space="preserve">Acción </w:t>
      </w:r>
      <w:r w:rsidRPr="0075563B">
        <w:t xml:space="preserve">para la </w:t>
      </w:r>
      <w:r w:rsidR="00E26149" w:rsidRPr="0075563B">
        <w:t xml:space="preserve">Creación </w:t>
      </w:r>
      <w:r w:rsidRPr="0075563B">
        <w:t xml:space="preserve">de </w:t>
      </w:r>
      <w:r w:rsidR="00E26149" w:rsidRPr="0075563B">
        <w:t xml:space="preserve">Capacidad </w:t>
      </w:r>
      <w:r w:rsidRPr="0075563B">
        <w:t xml:space="preserve">tienen como objetivo apoyar a las Partes en este sentido, en particular en el marco de los objetivos relacionados con la creación de un entorno </w:t>
      </w:r>
      <w:r w:rsidR="00BB43EE" w:rsidRPr="0075563B">
        <w:t>propicio</w:t>
      </w:r>
      <w:r w:rsidRPr="0075563B">
        <w:t>.</w:t>
      </w:r>
    </w:p>
    <w:p w14:paraId="15E6A6D0" w14:textId="77777777" w:rsidR="00FC0B19" w:rsidRPr="0075563B" w:rsidRDefault="00FC0B19" w:rsidP="0061456E">
      <w:pPr>
        <w:pStyle w:val="Heading1"/>
        <w:numPr>
          <w:ilvl w:val="0"/>
          <w:numId w:val="5"/>
        </w:numPr>
        <w:tabs>
          <w:tab w:val="clear" w:pos="720"/>
        </w:tabs>
        <w:rPr>
          <w:kern w:val="22"/>
        </w:rPr>
      </w:pPr>
      <w:r w:rsidRPr="0075563B">
        <w:t>Función de la Secretaría</w:t>
      </w:r>
    </w:p>
    <w:p w14:paraId="4C9A4564" w14:textId="687303D1" w:rsidR="00FC0B19" w:rsidRPr="0075563B" w:rsidRDefault="00FC0B19" w:rsidP="001452C7">
      <w:pPr>
        <w:numPr>
          <w:ilvl w:val="0"/>
          <w:numId w:val="12"/>
        </w:numPr>
        <w:ind w:left="0" w:firstLine="0"/>
        <w:rPr>
          <w:kern w:val="22"/>
        </w:rPr>
      </w:pPr>
      <w:r w:rsidRPr="0075563B">
        <w:t xml:space="preserve">Si bien el Plan de </w:t>
      </w:r>
      <w:r w:rsidR="00B0613F" w:rsidRPr="0075563B">
        <w:t xml:space="preserve">Aplicación </w:t>
      </w:r>
      <w:r w:rsidRPr="0075563B">
        <w:t xml:space="preserve">y el Plan de </w:t>
      </w:r>
      <w:r w:rsidR="00B0613F" w:rsidRPr="0075563B">
        <w:t xml:space="preserve">Acción </w:t>
      </w:r>
      <w:r w:rsidRPr="0075563B">
        <w:t xml:space="preserve">para la </w:t>
      </w:r>
      <w:r w:rsidR="00B0613F" w:rsidRPr="0075563B">
        <w:t xml:space="preserve">Creación </w:t>
      </w:r>
      <w:r w:rsidRPr="0075563B">
        <w:t xml:space="preserve">de </w:t>
      </w:r>
      <w:r w:rsidR="00B0613F" w:rsidRPr="0075563B">
        <w:t xml:space="preserve">Capacidad </w:t>
      </w:r>
      <w:r w:rsidRPr="0075563B">
        <w:t xml:space="preserve">están dirigidos principalmente a las Partes, la Secretaría del Convenio sobre la Diversidad Biológica apoyará a las Partes en sus esfuerzos para aplicar el Protocolo, siguiendo la orientación de la Conferencia de las Partes que actúa como reunión de las Partes en el Protocolo de Cartagena y de conformidad con el artículo 31 del Protocolo de Cartagena y el artículo 24 del Convenio sobre la Diversidad Biológica. Este apoyo incluye la gestión y el mantenimiento del Centro de Intercambio de Información sobre Seguridad de la Biotecnología, así como la realización de actividades tales como actividades de creación de capacidad, según lo solicitado por la Conferencia de las Partes que actúa como reunión de las Partes en el Protocolo. </w:t>
      </w:r>
    </w:p>
    <w:p w14:paraId="5564E046" w14:textId="77777777" w:rsidR="00FC0B19" w:rsidRPr="0075563B" w:rsidRDefault="00FC0B19" w:rsidP="00FC0B19">
      <w:pPr>
        <w:rPr>
          <w:kern w:val="22"/>
        </w:rPr>
      </w:pPr>
    </w:p>
    <w:p w14:paraId="2DD564D7" w14:textId="77777777" w:rsidR="00FC0B19" w:rsidRPr="0075563B" w:rsidRDefault="00FC0B19" w:rsidP="00FC0B19">
      <w:pPr>
        <w:rPr>
          <w:kern w:val="22"/>
        </w:rPr>
        <w:sectPr w:rsidR="00FC0B19" w:rsidRPr="0075563B" w:rsidSect="0085638D">
          <w:headerReference w:type="first" r:id="rId22"/>
          <w:pgSz w:w="12240" w:h="15840"/>
          <w:pgMar w:top="567" w:right="1389" w:bottom="1134" w:left="1389" w:header="709" w:footer="709" w:gutter="0"/>
          <w:cols w:space="708"/>
          <w:titlePg/>
          <w:docGrid w:linePitch="360"/>
        </w:sectPr>
      </w:pPr>
    </w:p>
    <w:p w14:paraId="58A01C70" w14:textId="7E359185" w:rsidR="000E2816" w:rsidRPr="0075563B" w:rsidRDefault="00212305" w:rsidP="00253C3E">
      <w:pPr>
        <w:jc w:val="center"/>
        <w:rPr>
          <w:bCs/>
          <w:i/>
          <w:iCs/>
          <w:kern w:val="22"/>
        </w:rPr>
      </w:pPr>
      <w:r w:rsidRPr="0075563B">
        <w:rPr>
          <w:bCs/>
          <w:i/>
          <w:iCs/>
        </w:rPr>
        <w:lastRenderedPageBreak/>
        <w:t>Apéndice</w:t>
      </w:r>
    </w:p>
    <w:p w14:paraId="31095628" w14:textId="77777777" w:rsidR="000E2816" w:rsidRPr="0075563B" w:rsidRDefault="000E2816" w:rsidP="000E2816">
      <w:pPr>
        <w:pStyle w:val="Heading2"/>
        <w:spacing w:before="0" w:after="0" w:line="120" w:lineRule="auto"/>
        <w:rPr>
          <w:i/>
          <w:kern w:val="22"/>
        </w:rPr>
      </w:pPr>
    </w:p>
    <w:tbl>
      <w:tblPr>
        <w:tblW w:w="14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2250"/>
        <w:gridCol w:w="2970"/>
        <w:gridCol w:w="2183"/>
        <w:gridCol w:w="2317"/>
        <w:gridCol w:w="2903"/>
      </w:tblGrid>
      <w:tr w:rsidR="00FB7B1D" w:rsidRPr="0075563B" w14:paraId="2DACB706" w14:textId="77777777" w:rsidTr="00D37B69">
        <w:trPr>
          <w:trHeight w:val="503"/>
          <w:tblHeader/>
        </w:trPr>
        <w:tc>
          <w:tcPr>
            <w:tcW w:w="9198" w:type="dxa"/>
            <w:gridSpan w:val="4"/>
            <w:shd w:val="clear" w:color="auto" w:fill="auto"/>
          </w:tcPr>
          <w:p w14:paraId="5F8183C9" w14:textId="5555DC68" w:rsidR="00FB7B1D" w:rsidRPr="0075563B" w:rsidRDefault="00FB7B1D" w:rsidP="00AC4672">
            <w:pPr>
              <w:jc w:val="center"/>
              <w:rPr>
                <w:rFonts w:eastAsia="MS Mincho"/>
                <w:b/>
                <w:bCs/>
                <w:kern w:val="22"/>
                <w:szCs w:val="22"/>
              </w:rPr>
            </w:pPr>
            <w:r w:rsidRPr="0075563B">
              <w:rPr>
                <w:rFonts w:eastAsia="MS Mincho"/>
                <w:b/>
                <w:bCs/>
                <w:kern w:val="22"/>
                <w:szCs w:val="22"/>
              </w:rPr>
              <w:t>Plan de Aplicación</w:t>
            </w:r>
          </w:p>
        </w:tc>
        <w:tc>
          <w:tcPr>
            <w:tcW w:w="5220" w:type="dxa"/>
            <w:gridSpan w:val="2"/>
            <w:shd w:val="clear" w:color="auto" w:fill="auto"/>
          </w:tcPr>
          <w:p w14:paraId="34A15E55" w14:textId="388F28BB" w:rsidR="00FB7B1D" w:rsidRPr="0075563B" w:rsidRDefault="00FB7B1D" w:rsidP="00FB7B1D">
            <w:pPr>
              <w:jc w:val="center"/>
              <w:rPr>
                <w:rFonts w:eastAsia="MS Mincho"/>
                <w:b/>
                <w:iCs/>
                <w:kern w:val="22"/>
                <w:szCs w:val="22"/>
              </w:rPr>
            </w:pPr>
            <w:r w:rsidRPr="0075563B">
              <w:rPr>
                <w:b/>
                <w:iCs/>
                <w:szCs w:val="22"/>
              </w:rPr>
              <w:t>Plan de Acción para la Creación de Capacidad</w:t>
            </w:r>
          </w:p>
        </w:tc>
      </w:tr>
      <w:tr w:rsidR="008420A5" w:rsidRPr="0075563B" w14:paraId="6A05B7BD" w14:textId="77777777" w:rsidTr="00BD4F6D">
        <w:trPr>
          <w:trHeight w:val="887"/>
          <w:tblHeader/>
        </w:trPr>
        <w:tc>
          <w:tcPr>
            <w:tcW w:w="1795" w:type="dxa"/>
            <w:tcBorders>
              <w:bottom w:val="nil"/>
            </w:tcBorders>
            <w:shd w:val="clear" w:color="auto" w:fill="auto"/>
          </w:tcPr>
          <w:p w14:paraId="5D19BD7E" w14:textId="02626DA3" w:rsidR="008420A5" w:rsidRPr="0075563B" w:rsidRDefault="00905A0C" w:rsidP="00905A0C">
            <w:pPr>
              <w:spacing w:before="0" w:after="0"/>
              <w:jc w:val="center"/>
              <w:rPr>
                <w:rFonts w:eastAsia="MS Mincho"/>
                <w:b/>
                <w:bCs/>
                <w:kern w:val="22"/>
                <w:szCs w:val="22"/>
              </w:rPr>
            </w:pPr>
            <w:r w:rsidRPr="0075563B">
              <w:rPr>
                <w:b/>
                <w:bCs/>
                <w:sz w:val="16"/>
                <w:szCs w:val="16"/>
              </w:rPr>
              <w:br/>
            </w:r>
            <w:r w:rsidR="00B72DE7" w:rsidRPr="0075563B">
              <w:rPr>
                <w:b/>
                <w:bCs/>
                <w:szCs w:val="22"/>
              </w:rPr>
              <w:t>Metas</w:t>
            </w:r>
          </w:p>
        </w:tc>
        <w:tc>
          <w:tcPr>
            <w:tcW w:w="2250" w:type="dxa"/>
            <w:tcBorders>
              <w:bottom w:val="nil"/>
            </w:tcBorders>
            <w:shd w:val="clear" w:color="auto" w:fill="auto"/>
          </w:tcPr>
          <w:p w14:paraId="3F87643D" w14:textId="2CFA6116" w:rsidR="008420A5" w:rsidRPr="0075563B" w:rsidRDefault="00905A0C" w:rsidP="00905A0C">
            <w:pPr>
              <w:spacing w:before="0" w:after="0"/>
              <w:jc w:val="center"/>
              <w:rPr>
                <w:rFonts w:eastAsia="MS Mincho"/>
                <w:b/>
                <w:bCs/>
                <w:kern w:val="22"/>
                <w:szCs w:val="22"/>
              </w:rPr>
            </w:pPr>
            <w:r w:rsidRPr="0075563B">
              <w:rPr>
                <w:b/>
                <w:iCs/>
                <w:sz w:val="16"/>
                <w:szCs w:val="16"/>
              </w:rPr>
              <w:br/>
            </w:r>
            <w:r w:rsidR="00B72DE7" w:rsidRPr="0075563B">
              <w:rPr>
                <w:b/>
                <w:iCs/>
                <w:szCs w:val="22"/>
              </w:rPr>
              <w:t>Objetivos</w:t>
            </w:r>
          </w:p>
        </w:tc>
        <w:tc>
          <w:tcPr>
            <w:tcW w:w="2970" w:type="dxa"/>
            <w:tcBorders>
              <w:bottom w:val="nil"/>
            </w:tcBorders>
            <w:shd w:val="clear" w:color="auto" w:fill="auto"/>
          </w:tcPr>
          <w:p w14:paraId="481D4D5A" w14:textId="15DC8B4D" w:rsidR="008420A5" w:rsidRPr="0075563B" w:rsidRDefault="00905A0C" w:rsidP="00905A0C">
            <w:pPr>
              <w:spacing w:before="0" w:after="0"/>
              <w:jc w:val="center"/>
              <w:rPr>
                <w:rFonts w:eastAsia="MS Mincho"/>
                <w:b/>
                <w:bCs/>
                <w:kern w:val="22"/>
                <w:szCs w:val="22"/>
              </w:rPr>
            </w:pPr>
            <w:r w:rsidRPr="0075563B">
              <w:rPr>
                <w:b/>
                <w:iCs/>
                <w:sz w:val="16"/>
                <w:szCs w:val="16"/>
              </w:rPr>
              <w:br/>
            </w:r>
            <w:r w:rsidR="00B72DE7" w:rsidRPr="0075563B">
              <w:rPr>
                <w:b/>
                <w:iCs/>
                <w:szCs w:val="22"/>
              </w:rPr>
              <w:t>Indicadores</w:t>
            </w:r>
          </w:p>
        </w:tc>
        <w:tc>
          <w:tcPr>
            <w:tcW w:w="2183" w:type="dxa"/>
            <w:tcBorders>
              <w:bottom w:val="nil"/>
            </w:tcBorders>
            <w:shd w:val="clear" w:color="auto" w:fill="auto"/>
          </w:tcPr>
          <w:p w14:paraId="17EAEC9D" w14:textId="77777777" w:rsidR="002538FC" w:rsidRPr="002538FC" w:rsidRDefault="002538FC" w:rsidP="00905A0C">
            <w:pPr>
              <w:spacing w:before="0" w:after="0"/>
              <w:jc w:val="center"/>
              <w:rPr>
                <w:b/>
                <w:bCs/>
                <w:sz w:val="16"/>
                <w:szCs w:val="16"/>
              </w:rPr>
            </w:pPr>
          </w:p>
          <w:p w14:paraId="532ECAC9" w14:textId="748470DE" w:rsidR="008420A5" w:rsidRPr="0075563B" w:rsidRDefault="00B72DE7" w:rsidP="00905A0C">
            <w:pPr>
              <w:spacing w:before="0" w:after="0"/>
              <w:jc w:val="center"/>
              <w:rPr>
                <w:rFonts w:eastAsia="MS Mincho"/>
                <w:b/>
                <w:bCs/>
                <w:kern w:val="22"/>
                <w:szCs w:val="22"/>
              </w:rPr>
            </w:pPr>
            <w:r w:rsidRPr="0075563B">
              <w:rPr>
                <w:b/>
                <w:bCs/>
                <w:szCs w:val="22"/>
              </w:rPr>
              <w:t>Resultados</w:t>
            </w:r>
          </w:p>
        </w:tc>
        <w:tc>
          <w:tcPr>
            <w:tcW w:w="2317" w:type="dxa"/>
            <w:tcBorders>
              <w:bottom w:val="nil"/>
            </w:tcBorders>
            <w:shd w:val="clear" w:color="auto" w:fill="auto"/>
          </w:tcPr>
          <w:p w14:paraId="220A1657" w14:textId="5C02373B" w:rsidR="008420A5" w:rsidRPr="0075563B" w:rsidRDefault="00905A0C" w:rsidP="00905A0C">
            <w:pPr>
              <w:spacing w:before="0" w:after="0"/>
              <w:jc w:val="center"/>
              <w:rPr>
                <w:b/>
                <w:iCs/>
                <w:szCs w:val="22"/>
              </w:rPr>
            </w:pPr>
            <w:r w:rsidRPr="0075563B">
              <w:rPr>
                <w:b/>
                <w:iCs/>
                <w:sz w:val="16"/>
                <w:szCs w:val="16"/>
              </w:rPr>
              <w:br/>
            </w:r>
            <w:r w:rsidR="00B72DE7" w:rsidRPr="0075563B">
              <w:rPr>
                <w:b/>
                <w:iCs/>
                <w:szCs w:val="22"/>
              </w:rPr>
              <w:t>Áreas clave para la creación de capacidad</w:t>
            </w:r>
          </w:p>
        </w:tc>
        <w:tc>
          <w:tcPr>
            <w:tcW w:w="2903" w:type="dxa"/>
            <w:tcBorders>
              <w:bottom w:val="nil"/>
            </w:tcBorders>
            <w:shd w:val="clear" w:color="auto" w:fill="auto"/>
          </w:tcPr>
          <w:p w14:paraId="45265132" w14:textId="2EBBB6EF" w:rsidR="008420A5" w:rsidRPr="0075563B" w:rsidRDefault="00905A0C" w:rsidP="00905A0C">
            <w:pPr>
              <w:spacing w:before="0" w:after="0"/>
              <w:jc w:val="center"/>
              <w:rPr>
                <w:b/>
                <w:iCs/>
                <w:szCs w:val="22"/>
              </w:rPr>
            </w:pPr>
            <w:r w:rsidRPr="0075563B">
              <w:rPr>
                <w:b/>
                <w:iCs/>
                <w:sz w:val="16"/>
                <w:szCs w:val="16"/>
              </w:rPr>
              <w:br/>
            </w:r>
            <w:r w:rsidR="00B72DE7" w:rsidRPr="0075563B">
              <w:rPr>
                <w:b/>
                <w:iCs/>
                <w:szCs w:val="22"/>
              </w:rPr>
              <w:t>Actividades de creación de capacidad</w:t>
            </w:r>
          </w:p>
        </w:tc>
      </w:tr>
      <w:tr w:rsidR="000E2816" w:rsidRPr="0075563B" w14:paraId="72B11A6A" w14:textId="77777777" w:rsidTr="00BD4F6D">
        <w:trPr>
          <w:trHeight w:val="675"/>
        </w:trPr>
        <w:tc>
          <w:tcPr>
            <w:tcW w:w="1795" w:type="dxa"/>
            <w:tcBorders>
              <w:top w:val="nil"/>
            </w:tcBorders>
            <w:shd w:val="clear" w:color="auto" w:fill="auto"/>
          </w:tcPr>
          <w:p w14:paraId="55F63A58" w14:textId="60E38DFB" w:rsidR="000E2816" w:rsidRPr="0075563B" w:rsidRDefault="00FB7B1D" w:rsidP="00905A0C">
            <w:pPr>
              <w:spacing w:before="0"/>
              <w:jc w:val="left"/>
              <w:rPr>
                <w:rFonts w:eastAsia="MS Mincho"/>
                <w:b/>
                <w:bCs/>
                <w:kern w:val="22"/>
                <w:szCs w:val="22"/>
              </w:rPr>
            </w:pPr>
            <w:r w:rsidRPr="0075563B">
              <w:rPr>
                <w:i/>
                <w:iCs/>
                <w:szCs w:val="22"/>
              </w:rPr>
              <w:t xml:space="preserve"> </w:t>
            </w:r>
            <w:r w:rsidR="000E2816" w:rsidRPr="0075563B">
              <w:rPr>
                <w:i/>
                <w:iCs/>
                <w:szCs w:val="22"/>
              </w:rPr>
              <w:t>(Logros deseables)</w:t>
            </w:r>
          </w:p>
        </w:tc>
        <w:tc>
          <w:tcPr>
            <w:tcW w:w="2250" w:type="dxa"/>
            <w:tcBorders>
              <w:top w:val="nil"/>
            </w:tcBorders>
          </w:tcPr>
          <w:p w14:paraId="622921A7" w14:textId="28262249" w:rsidR="000E2816" w:rsidRPr="0075563B" w:rsidRDefault="000E2816" w:rsidP="00905A0C">
            <w:pPr>
              <w:spacing w:before="0"/>
              <w:jc w:val="left"/>
              <w:rPr>
                <w:rFonts w:eastAsia="MS Mincho"/>
                <w:b/>
                <w:iCs/>
                <w:kern w:val="22"/>
                <w:szCs w:val="22"/>
              </w:rPr>
            </w:pPr>
            <w:r w:rsidRPr="0075563B">
              <w:rPr>
                <w:i/>
                <w:iCs/>
                <w:szCs w:val="22"/>
              </w:rPr>
              <w:t xml:space="preserve">(Lo que debe lograrse para alcanzar </w:t>
            </w:r>
            <w:r w:rsidR="00111F81" w:rsidRPr="0075563B">
              <w:rPr>
                <w:i/>
                <w:iCs/>
                <w:szCs w:val="22"/>
              </w:rPr>
              <w:t>la meta</w:t>
            </w:r>
            <w:r w:rsidRPr="0075563B">
              <w:rPr>
                <w:i/>
                <w:iCs/>
                <w:szCs w:val="22"/>
              </w:rPr>
              <w:t>)</w:t>
            </w:r>
          </w:p>
        </w:tc>
        <w:tc>
          <w:tcPr>
            <w:tcW w:w="2970" w:type="dxa"/>
            <w:tcBorders>
              <w:top w:val="nil"/>
            </w:tcBorders>
            <w:shd w:val="clear" w:color="auto" w:fill="auto"/>
          </w:tcPr>
          <w:p w14:paraId="5EFCDBC8" w14:textId="44F52A2C" w:rsidR="000E2816" w:rsidRPr="0075563B" w:rsidRDefault="00FB7B1D" w:rsidP="00905A0C">
            <w:pPr>
              <w:spacing w:before="0"/>
              <w:jc w:val="left"/>
              <w:rPr>
                <w:rFonts w:eastAsia="MS Mincho"/>
                <w:b/>
                <w:iCs/>
                <w:kern w:val="22"/>
                <w:szCs w:val="22"/>
              </w:rPr>
            </w:pPr>
            <w:r w:rsidRPr="0075563B">
              <w:rPr>
                <w:i/>
                <w:iCs/>
                <w:szCs w:val="22"/>
              </w:rPr>
              <w:t xml:space="preserve"> </w:t>
            </w:r>
            <w:r w:rsidR="000E2816" w:rsidRPr="0075563B">
              <w:rPr>
                <w:i/>
                <w:iCs/>
                <w:szCs w:val="22"/>
              </w:rPr>
              <w:t>(Medición del progreso hacia los objetivos)</w:t>
            </w:r>
          </w:p>
        </w:tc>
        <w:tc>
          <w:tcPr>
            <w:tcW w:w="2183" w:type="dxa"/>
            <w:tcBorders>
              <w:top w:val="nil"/>
            </w:tcBorders>
            <w:shd w:val="clear" w:color="auto" w:fill="auto"/>
          </w:tcPr>
          <w:p w14:paraId="258878E0" w14:textId="0B3B9C5F" w:rsidR="000E2816" w:rsidRPr="0075563B" w:rsidRDefault="000E2816" w:rsidP="00905A0C">
            <w:pPr>
              <w:spacing w:before="0"/>
              <w:jc w:val="left"/>
              <w:rPr>
                <w:rFonts w:eastAsia="MS Mincho"/>
                <w:b/>
                <w:bCs/>
                <w:kern w:val="22"/>
                <w:szCs w:val="22"/>
              </w:rPr>
            </w:pPr>
            <w:r w:rsidRPr="0075563B">
              <w:rPr>
                <w:i/>
                <w:iCs/>
                <w:szCs w:val="22"/>
              </w:rPr>
              <w:t>(Efecto de lograr la meta)</w:t>
            </w:r>
          </w:p>
        </w:tc>
        <w:tc>
          <w:tcPr>
            <w:tcW w:w="2317" w:type="dxa"/>
            <w:tcBorders>
              <w:top w:val="nil"/>
            </w:tcBorders>
            <w:shd w:val="clear" w:color="auto" w:fill="auto"/>
          </w:tcPr>
          <w:p w14:paraId="7F91EE75" w14:textId="768056AB" w:rsidR="000E2816" w:rsidRPr="0075563B" w:rsidRDefault="000E2816" w:rsidP="00905A0C">
            <w:pPr>
              <w:spacing w:before="0"/>
              <w:jc w:val="left"/>
              <w:rPr>
                <w:b/>
                <w:iCs/>
                <w:szCs w:val="22"/>
              </w:rPr>
            </w:pPr>
            <w:r w:rsidRPr="0075563B">
              <w:rPr>
                <w:i/>
                <w:iCs/>
                <w:szCs w:val="22"/>
              </w:rPr>
              <w:t>(Áreas clave donde podrían necesitarse capacidades)</w:t>
            </w:r>
          </w:p>
        </w:tc>
        <w:tc>
          <w:tcPr>
            <w:tcW w:w="2903" w:type="dxa"/>
            <w:tcBorders>
              <w:top w:val="nil"/>
            </w:tcBorders>
            <w:shd w:val="clear" w:color="auto" w:fill="auto"/>
          </w:tcPr>
          <w:p w14:paraId="1C75EA7A" w14:textId="3F6FE623" w:rsidR="000E2816" w:rsidRPr="0075563B" w:rsidRDefault="00B72DE7" w:rsidP="00905A0C">
            <w:pPr>
              <w:spacing w:before="0"/>
              <w:jc w:val="left"/>
              <w:rPr>
                <w:rFonts w:eastAsia="MS Mincho"/>
                <w:b/>
                <w:iCs/>
                <w:kern w:val="22"/>
                <w:szCs w:val="22"/>
              </w:rPr>
            </w:pPr>
            <w:r w:rsidRPr="0075563B">
              <w:rPr>
                <w:i/>
                <w:iCs/>
                <w:szCs w:val="22"/>
              </w:rPr>
              <w:t xml:space="preserve"> </w:t>
            </w:r>
            <w:r w:rsidR="000E2816" w:rsidRPr="0075563B">
              <w:rPr>
                <w:i/>
                <w:iCs/>
                <w:szCs w:val="22"/>
              </w:rPr>
              <w:t>(Ejemplos de actividades de creación de capacidad sugeridas dentro de las áreas clave para la creación de capacidad)</w:t>
            </w:r>
          </w:p>
        </w:tc>
      </w:tr>
      <w:tr w:rsidR="000E2816" w:rsidRPr="0075563B" w14:paraId="1C71F55A" w14:textId="77777777" w:rsidTr="00D37B69">
        <w:tc>
          <w:tcPr>
            <w:tcW w:w="14418" w:type="dxa"/>
            <w:gridSpan w:val="6"/>
            <w:shd w:val="clear" w:color="auto" w:fill="auto"/>
          </w:tcPr>
          <w:p w14:paraId="04ED3E0C" w14:textId="0906B1EA" w:rsidR="000E2816" w:rsidRPr="0075563B" w:rsidRDefault="00964FC4" w:rsidP="006C1B83">
            <w:pPr>
              <w:numPr>
                <w:ilvl w:val="0"/>
                <w:numId w:val="15"/>
              </w:numPr>
              <w:ind w:left="714" w:hanging="357"/>
              <w:jc w:val="center"/>
              <w:rPr>
                <w:rFonts w:eastAsia="MS Mincho"/>
                <w:kern w:val="22"/>
                <w:szCs w:val="22"/>
              </w:rPr>
            </w:pPr>
            <w:r w:rsidRPr="0075563B">
              <w:rPr>
                <w:b/>
                <w:bCs/>
                <w:szCs w:val="22"/>
              </w:rPr>
              <w:t>Esferas</w:t>
            </w:r>
            <w:r w:rsidR="000E2816" w:rsidRPr="0075563B">
              <w:rPr>
                <w:b/>
                <w:bCs/>
                <w:szCs w:val="22"/>
              </w:rPr>
              <w:t xml:space="preserve"> de aplicación</w:t>
            </w:r>
          </w:p>
        </w:tc>
      </w:tr>
      <w:tr w:rsidR="000E2816" w:rsidRPr="0075563B" w14:paraId="6D032585" w14:textId="77777777" w:rsidTr="00D37B69">
        <w:tc>
          <w:tcPr>
            <w:tcW w:w="1795" w:type="dxa"/>
            <w:shd w:val="clear" w:color="auto" w:fill="auto"/>
          </w:tcPr>
          <w:p w14:paraId="5ADE50DD" w14:textId="77777777" w:rsidR="000E2816" w:rsidRPr="0075563B" w:rsidRDefault="000E2816" w:rsidP="006B322C">
            <w:pPr>
              <w:jc w:val="left"/>
              <w:rPr>
                <w:rFonts w:eastAsia="MS Mincho"/>
                <w:b/>
                <w:kern w:val="22"/>
                <w:szCs w:val="22"/>
              </w:rPr>
            </w:pPr>
            <w:r w:rsidRPr="0075563B">
              <w:rPr>
                <w:b/>
                <w:szCs w:val="22"/>
              </w:rPr>
              <w:t>A.1. Las Partes han establecido marcos nacionales funcionales de seguridad de la biotecnología</w:t>
            </w:r>
          </w:p>
          <w:p w14:paraId="1DD11FF4" w14:textId="77777777" w:rsidR="000E2816" w:rsidRPr="0075563B" w:rsidRDefault="000E2816" w:rsidP="006B322C">
            <w:pPr>
              <w:jc w:val="left"/>
              <w:rPr>
                <w:rFonts w:eastAsia="MS Mincho"/>
                <w:kern w:val="22"/>
                <w:szCs w:val="22"/>
              </w:rPr>
            </w:pPr>
          </w:p>
        </w:tc>
        <w:tc>
          <w:tcPr>
            <w:tcW w:w="2250" w:type="dxa"/>
            <w:shd w:val="clear" w:color="auto" w:fill="auto"/>
          </w:tcPr>
          <w:p w14:paraId="7AC39C2B" w14:textId="77777777" w:rsidR="000E2816" w:rsidRPr="0075563B" w:rsidRDefault="000E2816" w:rsidP="00C57AD4">
            <w:pPr>
              <w:spacing w:before="60" w:after="60"/>
              <w:jc w:val="left"/>
              <w:rPr>
                <w:rFonts w:eastAsia="MS Mincho"/>
                <w:kern w:val="22"/>
                <w:szCs w:val="22"/>
              </w:rPr>
            </w:pPr>
            <w:r w:rsidRPr="0075563B">
              <w:rPr>
                <w:szCs w:val="22"/>
              </w:rPr>
              <w:t>A.1.1. Las Partes han adoptado y aplicado medidas jurídicas, administrativas y de otra índole para cumplir sus obligaciones en el marco del Protocolo</w:t>
            </w:r>
          </w:p>
          <w:p w14:paraId="3D4B173B" w14:textId="77777777" w:rsidR="000E2816" w:rsidRPr="0075563B" w:rsidRDefault="000E2816" w:rsidP="006B322C">
            <w:pPr>
              <w:spacing w:before="60" w:after="60"/>
              <w:jc w:val="left"/>
              <w:rPr>
                <w:rFonts w:eastAsia="MS Mincho"/>
                <w:kern w:val="22"/>
                <w:szCs w:val="22"/>
              </w:rPr>
            </w:pPr>
            <w:r w:rsidRPr="0075563B">
              <w:rPr>
                <w:szCs w:val="22"/>
              </w:rPr>
              <w:t xml:space="preserve">A.1.2. Las Partes han designado autoridades nacionales competentes y puntos focales nacionales para el Protocolo, además de puntos de contacto para medidas de emergencia (art. 17) </w:t>
            </w:r>
          </w:p>
          <w:p w14:paraId="04C704C9" w14:textId="77777777" w:rsidR="000E2816" w:rsidRPr="0075563B" w:rsidRDefault="000E2816" w:rsidP="006B322C">
            <w:pPr>
              <w:spacing w:before="60" w:after="60"/>
              <w:jc w:val="left"/>
              <w:rPr>
                <w:rFonts w:eastAsia="MS Mincho"/>
                <w:kern w:val="22"/>
                <w:szCs w:val="22"/>
              </w:rPr>
            </w:pPr>
            <w:r w:rsidRPr="0075563B">
              <w:rPr>
                <w:szCs w:val="22"/>
              </w:rPr>
              <w:t xml:space="preserve">A.1.3. Las autoridades nacionales competentes tienen </w:t>
            </w:r>
            <w:r w:rsidRPr="0075563B">
              <w:rPr>
                <w:szCs w:val="22"/>
              </w:rPr>
              <w:lastRenderedPageBreak/>
              <w:t>personal debidamente capacitado para llevar a cabo sus tareas</w:t>
            </w:r>
          </w:p>
        </w:tc>
        <w:tc>
          <w:tcPr>
            <w:tcW w:w="2970" w:type="dxa"/>
            <w:shd w:val="clear" w:color="auto" w:fill="auto"/>
          </w:tcPr>
          <w:p w14:paraId="620F3808" w14:textId="4F102D74" w:rsidR="000E2816" w:rsidRPr="0075563B" w:rsidRDefault="000E2816" w:rsidP="00C57AD4">
            <w:pPr>
              <w:spacing w:before="60" w:after="60"/>
              <w:jc w:val="left"/>
              <w:rPr>
                <w:rFonts w:eastAsia="MS Mincho"/>
                <w:kern w:val="22"/>
                <w:szCs w:val="22"/>
              </w:rPr>
            </w:pPr>
            <w:r w:rsidRPr="0075563B">
              <w:rPr>
                <w:szCs w:val="22"/>
              </w:rPr>
              <w:lastRenderedPageBreak/>
              <w:t>a) Porcentaje de Partes que han establecido medidas para aplicar las disposiciones del Protocolo;</w:t>
            </w:r>
          </w:p>
          <w:p w14:paraId="7CE580C4" w14:textId="3AAC888B" w:rsidR="000E2816" w:rsidRPr="0075563B" w:rsidRDefault="000E2816" w:rsidP="006B322C">
            <w:pPr>
              <w:jc w:val="left"/>
              <w:rPr>
                <w:rFonts w:eastAsia="MS Mincho"/>
                <w:kern w:val="22"/>
                <w:szCs w:val="22"/>
              </w:rPr>
            </w:pPr>
            <w:r w:rsidRPr="0075563B">
              <w:rPr>
                <w:szCs w:val="22"/>
              </w:rPr>
              <w:t>b) Porcentaje de Partes que han designado un punto focal nacional y autoridades nacionales competentes para el Protocolo, así como un punto de contacto para medidas de emergencia (art. 17) y han notificado a la Secretaría en este sentido;</w:t>
            </w:r>
          </w:p>
          <w:p w14:paraId="0B89D4B2" w14:textId="07FF0854" w:rsidR="000E2816" w:rsidRPr="0075563B" w:rsidRDefault="000E2816" w:rsidP="006B322C">
            <w:pPr>
              <w:jc w:val="left"/>
              <w:rPr>
                <w:rFonts w:eastAsia="MS Mincho"/>
                <w:kern w:val="22"/>
                <w:szCs w:val="22"/>
              </w:rPr>
            </w:pPr>
            <w:r w:rsidRPr="0075563B">
              <w:rPr>
                <w:szCs w:val="22"/>
              </w:rPr>
              <w:t>c) Porcentaje de Partes que cuentan con personal para poner en práctica sus marcos nacionales de seguridad de la biotecnología.</w:t>
            </w:r>
          </w:p>
        </w:tc>
        <w:tc>
          <w:tcPr>
            <w:tcW w:w="2183" w:type="dxa"/>
            <w:shd w:val="clear" w:color="auto" w:fill="auto"/>
          </w:tcPr>
          <w:p w14:paraId="41B15CF2" w14:textId="5255F516" w:rsidR="000E2816" w:rsidRPr="0075563B" w:rsidRDefault="000E2816" w:rsidP="008F5193">
            <w:pPr>
              <w:spacing w:before="60" w:after="60"/>
              <w:jc w:val="left"/>
              <w:rPr>
                <w:rFonts w:eastAsia="MS Mincho"/>
                <w:kern w:val="22"/>
                <w:szCs w:val="22"/>
              </w:rPr>
            </w:pPr>
            <w:r w:rsidRPr="0075563B">
              <w:rPr>
                <w:szCs w:val="22"/>
              </w:rPr>
              <w:t xml:space="preserve">Los marcos nacionales </w:t>
            </w:r>
            <w:r w:rsidR="008F5193" w:rsidRPr="0075563B">
              <w:rPr>
                <w:szCs w:val="22"/>
              </w:rPr>
              <w:t xml:space="preserve">funcionales </w:t>
            </w:r>
            <w:r w:rsidRPr="0075563B">
              <w:rPr>
                <w:szCs w:val="22"/>
              </w:rPr>
              <w:t>de seguridad de la biotecnología permiten que las autoridades competentes, los puntos focales nacionales y los puntos de contacto para recibir notificaciones en virtud del artículo 17 de todas las Partes cumplan con sus obligaciones dimanantes del Protocolo de manera eficaz y eficiente</w:t>
            </w:r>
          </w:p>
        </w:tc>
        <w:tc>
          <w:tcPr>
            <w:tcW w:w="2317" w:type="dxa"/>
            <w:shd w:val="clear" w:color="auto" w:fill="auto"/>
          </w:tcPr>
          <w:p w14:paraId="4C47972A" w14:textId="77777777" w:rsidR="000E2816" w:rsidRPr="0075563B" w:rsidRDefault="000E2816" w:rsidP="006B322C">
            <w:pPr>
              <w:spacing w:before="60" w:after="60"/>
              <w:jc w:val="left"/>
              <w:rPr>
                <w:rFonts w:eastAsia="MS Mincho"/>
                <w:kern w:val="22"/>
                <w:szCs w:val="22"/>
              </w:rPr>
            </w:pPr>
            <w:r w:rsidRPr="0075563B">
              <w:rPr>
                <w:szCs w:val="22"/>
              </w:rPr>
              <w:t>1) Desarrollo y aplicación de medidas jurídicas, administrativas y de otra índole para aplicar el Protocolo;</w:t>
            </w:r>
          </w:p>
          <w:p w14:paraId="466F00EF" w14:textId="50A5BF21" w:rsidR="000E2816" w:rsidRPr="0075563B" w:rsidRDefault="000E2816" w:rsidP="006B322C">
            <w:pPr>
              <w:spacing w:before="60" w:after="60"/>
              <w:jc w:val="left"/>
              <w:rPr>
                <w:rFonts w:eastAsia="MS Mincho"/>
                <w:kern w:val="22"/>
                <w:szCs w:val="22"/>
              </w:rPr>
            </w:pPr>
            <w:r w:rsidRPr="0075563B">
              <w:rPr>
                <w:szCs w:val="22"/>
              </w:rPr>
              <w:t>2) Fortalecimiento de las capacidades de las autoridades nacionales competentes.</w:t>
            </w:r>
          </w:p>
        </w:tc>
        <w:tc>
          <w:tcPr>
            <w:tcW w:w="2903" w:type="dxa"/>
            <w:shd w:val="clear" w:color="auto" w:fill="auto"/>
          </w:tcPr>
          <w:p w14:paraId="74C70979" w14:textId="6BECF2CA" w:rsidR="000E2816" w:rsidRPr="0075563B" w:rsidRDefault="000E2816" w:rsidP="006B322C">
            <w:pPr>
              <w:spacing w:before="60" w:after="60"/>
              <w:jc w:val="left"/>
              <w:rPr>
                <w:rFonts w:eastAsia="MS Mincho"/>
                <w:kern w:val="22"/>
                <w:szCs w:val="22"/>
              </w:rPr>
            </w:pPr>
            <w:r w:rsidRPr="0075563B">
              <w:rPr>
                <w:szCs w:val="22"/>
              </w:rPr>
              <w:t>i) Proporcionar capacitación sobre el desarrollo y la aplicación de medidas jurídicas, administrativas y de otra índole para aplicar el Protocolo;</w:t>
            </w:r>
          </w:p>
          <w:p w14:paraId="12C364EA" w14:textId="4FBF455D" w:rsidR="000E2816" w:rsidRPr="0075563B" w:rsidRDefault="000E2816" w:rsidP="006B322C">
            <w:pPr>
              <w:spacing w:before="60" w:after="60"/>
              <w:jc w:val="left"/>
              <w:rPr>
                <w:rFonts w:eastAsia="MS Mincho"/>
                <w:kern w:val="22"/>
                <w:szCs w:val="22"/>
              </w:rPr>
            </w:pPr>
            <w:r w:rsidRPr="0075563B">
              <w:rPr>
                <w:szCs w:val="22"/>
              </w:rPr>
              <w:t>ii) Capacitar al personal de las autoridades nacionales competentes en la administración del sistema regulatorio de la seguridad de la biotecnología.</w:t>
            </w:r>
          </w:p>
        </w:tc>
      </w:tr>
      <w:tr w:rsidR="000E2816" w:rsidRPr="0075563B" w14:paraId="3AB3443F" w14:textId="77777777" w:rsidTr="00D37B69">
        <w:tc>
          <w:tcPr>
            <w:tcW w:w="1795" w:type="dxa"/>
            <w:shd w:val="clear" w:color="auto" w:fill="auto"/>
          </w:tcPr>
          <w:p w14:paraId="2CC34838" w14:textId="77777777" w:rsidR="000E2816" w:rsidRPr="0075563B" w:rsidRDefault="000E2816" w:rsidP="006B322C">
            <w:pPr>
              <w:spacing w:before="60" w:after="60"/>
              <w:jc w:val="left"/>
              <w:rPr>
                <w:rFonts w:eastAsia="MS Mincho"/>
                <w:b/>
                <w:kern w:val="22"/>
                <w:szCs w:val="22"/>
              </w:rPr>
            </w:pPr>
            <w:r w:rsidRPr="0075563B">
              <w:rPr>
                <w:b/>
                <w:szCs w:val="22"/>
              </w:rPr>
              <w:t>A.2. Las Partes han mejorado la disponibilidad e intercambio de información pertinente a través del Centro de Intercambio de Información sobre Seguridad de la Biotecnología (</w:t>
            </w:r>
            <w:proofErr w:type="spellStart"/>
            <w:r w:rsidRPr="0075563B">
              <w:rPr>
                <w:b/>
                <w:szCs w:val="22"/>
              </w:rPr>
              <w:t>CIISB</w:t>
            </w:r>
            <w:proofErr w:type="spellEnd"/>
            <w:r w:rsidRPr="0075563B">
              <w:rPr>
                <w:b/>
                <w:szCs w:val="22"/>
              </w:rPr>
              <w:t>)</w:t>
            </w:r>
          </w:p>
        </w:tc>
        <w:tc>
          <w:tcPr>
            <w:tcW w:w="2250" w:type="dxa"/>
          </w:tcPr>
          <w:p w14:paraId="5AB64B35" w14:textId="77777777" w:rsidR="000E2816" w:rsidRPr="0075563B" w:rsidRDefault="000E2816" w:rsidP="006B322C">
            <w:pPr>
              <w:spacing w:before="60" w:after="60"/>
              <w:jc w:val="left"/>
              <w:rPr>
                <w:rFonts w:eastAsia="MS Mincho"/>
                <w:kern w:val="22"/>
                <w:szCs w:val="22"/>
              </w:rPr>
            </w:pPr>
            <w:r w:rsidRPr="0075563B">
              <w:rPr>
                <w:szCs w:val="22"/>
              </w:rPr>
              <w:t xml:space="preserve">A.2.1. Las Partes proporcionan información obligatoria de forma precisa y completa en el </w:t>
            </w:r>
            <w:proofErr w:type="spellStart"/>
            <w:r w:rsidRPr="0075563B">
              <w:rPr>
                <w:szCs w:val="22"/>
              </w:rPr>
              <w:t>CIISB</w:t>
            </w:r>
            <w:proofErr w:type="spellEnd"/>
            <w:r w:rsidRPr="0075563B">
              <w:rPr>
                <w:szCs w:val="22"/>
              </w:rPr>
              <w:t xml:space="preserve"> de conformidad con sus obligaciones en virtud del Protocolo</w:t>
            </w:r>
          </w:p>
          <w:p w14:paraId="64FE2985" w14:textId="1B8DEE0A" w:rsidR="000E2816" w:rsidRPr="0075563B" w:rsidRDefault="000E2816" w:rsidP="00EF7F10">
            <w:pPr>
              <w:spacing w:before="60" w:after="60"/>
              <w:jc w:val="left"/>
              <w:rPr>
                <w:rFonts w:eastAsia="MS Mincho"/>
                <w:kern w:val="22"/>
                <w:szCs w:val="22"/>
              </w:rPr>
            </w:pPr>
            <w:r w:rsidRPr="0075563B">
              <w:rPr>
                <w:szCs w:val="22"/>
              </w:rPr>
              <w:t xml:space="preserve">A.2.2. Las Partes publican otros tipos de información relacionada con la seguridad de la biotecnología a través del </w:t>
            </w:r>
            <w:proofErr w:type="spellStart"/>
            <w:r w:rsidRPr="0075563B">
              <w:rPr>
                <w:szCs w:val="22"/>
              </w:rPr>
              <w:t>CIISB</w:t>
            </w:r>
            <w:proofErr w:type="spellEnd"/>
            <w:r w:rsidRPr="0075563B">
              <w:rPr>
                <w:szCs w:val="22"/>
              </w:rPr>
              <w:t xml:space="preserve"> </w:t>
            </w:r>
          </w:p>
        </w:tc>
        <w:tc>
          <w:tcPr>
            <w:tcW w:w="2970" w:type="dxa"/>
            <w:shd w:val="clear" w:color="auto" w:fill="auto"/>
          </w:tcPr>
          <w:p w14:paraId="058BC73C" w14:textId="6DAE02DC" w:rsidR="000E2816" w:rsidRPr="0075563B" w:rsidRDefault="000E2816" w:rsidP="00C57AD4">
            <w:pPr>
              <w:spacing w:before="60" w:after="60"/>
              <w:jc w:val="left"/>
              <w:rPr>
                <w:rFonts w:eastAsia="MS Mincho"/>
                <w:kern w:val="22"/>
                <w:szCs w:val="22"/>
              </w:rPr>
            </w:pPr>
            <w:r w:rsidRPr="0075563B">
              <w:rPr>
                <w:szCs w:val="22"/>
              </w:rPr>
              <w:t xml:space="preserve">a) Porcentaje de Partes que publican información obligatoria en el </w:t>
            </w:r>
            <w:proofErr w:type="spellStart"/>
            <w:r w:rsidRPr="0075563B">
              <w:rPr>
                <w:szCs w:val="22"/>
              </w:rPr>
              <w:t>CIISB</w:t>
            </w:r>
            <w:proofErr w:type="spellEnd"/>
            <w:r w:rsidR="00152820">
              <w:rPr>
                <w:szCs w:val="22"/>
              </w:rPr>
              <w:t>;</w:t>
            </w:r>
            <w:r w:rsidRPr="0075563B">
              <w:rPr>
                <w:szCs w:val="22"/>
              </w:rPr>
              <w:t xml:space="preserve"> </w:t>
            </w:r>
          </w:p>
          <w:p w14:paraId="5E66FC32" w14:textId="1AB70046" w:rsidR="000E2816" w:rsidRPr="0075563B" w:rsidRDefault="000E2816" w:rsidP="006B322C">
            <w:pPr>
              <w:jc w:val="left"/>
              <w:rPr>
                <w:rFonts w:eastAsia="MS Mincho"/>
                <w:kern w:val="22"/>
                <w:szCs w:val="22"/>
              </w:rPr>
            </w:pPr>
            <w:r w:rsidRPr="0075563B">
              <w:rPr>
                <w:szCs w:val="22"/>
              </w:rPr>
              <w:t xml:space="preserve">b) Porcentaje de Partes que publican otros tipos de información relacionada con la seguridad de la biotecnología a través del </w:t>
            </w:r>
            <w:proofErr w:type="spellStart"/>
            <w:r w:rsidRPr="0075563B">
              <w:rPr>
                <w:szCs w:val="22"/>
              </w:rPr>
              <w:t>CIISB</w:t>
            </w:r>
            <w:proofErr w:type="spellEnd"/>
            <w:r w:rsidR="00152820">
              <w:rPr>
                <w:szCs w:val="22"/>
              </w:rPr>
              <w:t>;</w:t>
            </w:r>
          </w:p>
          <w:p w14:paraId="2FE5FB3B" w14:textId="1A2F5DDD" w:rsidR="000E2816" w:rsidRPr="0075563B" w:rsidRDefault="000E2816" w:rsidP="006B322C">
            <w:pPr>
              <w:jc w:val="left"/>
              <w:rPr>
                <w:rFonts w:eastAsia="MS Mincho"/>
                <w:kern w:val="22"/>
                <w:szCs w:val="22"/>
              </w:rPr>
            </w:pPr>
            <w:r w:rsidRPr="0075563B">
              <w:rPr>
                <w:szCs w:val="22"/>
              </w:rPr>
              <w:t xml:space="preserve">c) Número de usuarios activos y visitas al </w:t>
            </w:r>
            <w:proofErr w:type="spellStart"/>
            <w:r w:rsidRPr="0075563B">
              <w:rPr>
                <w:szCs w:val="22"/>
              </w:rPr>
              <w:t>CIISB</w:t>
            </w:r>
            <w:proofErr w:type="spellEnd"/>
            <w:r w:rsidR="00152820">
              <w:rPr>
                <w:szCs w:val="22"/>
              </w:rPr>
              <w:t>.</w:t>
            </w:r>
            <w:bookmarkStart w:id="2" w:name="_GoBack"/>
            <w:bookmarkEnd w:id="2"/>
            <w:r w:rsidRPr="0075563B">
              <w:rPr>
                <w:szCs w:val="22"/>
              </w:rPr>
              <w:t xml:space="preserve"> </w:t>
            </w:r>
          </w:p>
        </w:tc>
        <w:tc>
          <w:tcPr>
            <w:tcW w:w="2183" w:type="dxa"/>
            <w:shd w:val="clear" w:color="auto" w:fill="auto"/>
          </w:tcPr>
          <w:p w14:paraId="24E3E3F2" w14:textId="77777777" w:rsidR="000E2816" w:rsidRPr="0075563B" w:rsidRDefault="000E2816" w:rsidP="00C57AD4">
            <w:pPr>
              <w:spacing w:before="60" w:after="60"/>
              <w:jc w:val="left"/>
              <w:rPr>
                <w:rFonts w:eastAsia="MS Mincho"/>
                <w:kern w:val="22"/>
                <w:szCs w:val="22"/>
              </w:rPr>
            </w:pPr>
            <w:r w:rsidRPr="0075563B">
              <w:rPr>
                <w:szCs w:val="22"/>
              </w:rPr>
              <w:t xml:space="preserve">El </w:t>
            </w:r>
            <w:proofErr w:type="spellStart"/>
            <w:r w:rsidRPr="0075563B">
              <w:rPr>
                <w:szCs w:val="22"/>
              </w:rPr>
              <w:t>CIISB</w:t>
            </w:r>
            <w:proofErr w:type="spellEnd"/>
            <w:r w:rsidRPr="0075563B">
              <w:rPr>
                <w:szCs w:val="22"/>
              </w:rPr>
              <w:t xml:space="preserve"> facilita la disponibilidad y el intercambio de información relacionada con la seguridad de la biotecnología y permite que las Partes adopten decisiones informadas</w:t>
            </w:r>
          </w:p>
        </w:tc>
        <w:tc>
          <w:tcPr>
            <w:tcW w:w="2317" w:type="dxa"/>
            <w:shd w:val="clear" w:color="auto" w:fill="auto"/>
          </w:tcPr>
          <w:p w14:paraId="55AC88C3" w14:textId="7067B9D5" w:rsidR="000E2816" w:rsidRPr="0075563B" w:rsidRDefault="000E2816" w:rsidP="00C57AD4">
            <w:pPr>
              <w:spacing w:before="60" w:after="60"/>
              <w:jc w:val="left"/>
              <w:rPr>
                <w:rFonts w:eastAsia="MS Mincho"/>
                <w:kern w:val="22"/>
                <w:szCs w:val="22"/>
              </w:rPr>
            </w:pPr>
            <w:r w:rsidRPr="0075563B">
              <w:rPr>
                <w:szCs w:val="22"/>
              </w:rPr>
              <w:t xml:space="preserve">1) Publicación de información en el </w:t>
            </w:r>
            <w:proofErr w:type="spellStart"/>
            <w:r w:rsidRPr="0075563B">
              <w:rPr>
                <w:szCs w:val="22"/>
              </w:rPr>
              <w:t>CIISB</w:t>
            </w:r>
            <w:proofErr w:type="spellEnd"/>
            <w:r w:rsidRPr="0075563B">
              <w:rPr>
                <w:szCs w:val="22"/>
              </w:rPr>
              <w:t>;</w:t>
            </w:r>
          </w:p>
          <w:p w14:paraId="6E2CCC39" w14:textId="1942355D" w:rsidR="000E2816" w:rsidRPr="0075563B" w:rsidRDefault="000E2816" w:rsidP="006B322C">
            <w:pPr>
              <w:jc w:val="left"/>
              <w:rPr>
                <w:rFonts w:eastAsia="MS Mincho"/>
                <w:strike/>
                <w:kern w:val="22"/>
                <w:szCs w:val="22"/>
              </w:rPr>
            </w:pPr>
            <w:r w:rsidRPr="0075563B">
              <w:rPr>
                <w:szCs w:val="22"/>
              </w:rPr>
              <w:t xml:space="preserve">2) Acceso y uso de la información en el </w:t>
            </w:r>
            <w:proofErr w:type="spellStart"/>
            <w:r w:rsidRPr="0075563B">
              <w:rPr>
                <w:szCs w:val="22"/>
              </w:rPr>
              <w:t>CIISB</w:t>
            </w:r>
            <w:proofErr w:type="spellEnd"/>
            <w:r w:rsidRPr="0075563B">
              <w:rPr>
                <w:szCs w:val="22"/>
              </w:rPr>
              <w:t>.</w:t>
            </w:r>
          </w:p>
        </w:tc>
        <w:tc>
          <w:tcPr>
            <w:tcW w:w="2903" w:type="dxa"/>
            <w:shd w:val="clear" w:color="auto" w:fill="auto"/>
          </w:tcPr>
          <w:p w14:paraId="47A396BA" w14:textId="77D4D2E7" w:rsidR="000E2816" w:rsidRPr="0075563B" w:rsidRDefault="000E2816" w:rsidP="00C57AD4">
            <w:pPr>
              <w:spacing w:before="60" w:after="60"/>
              <w:jc w:val="left"/>
              <w:rPr>
                <w:rFonts w:eastAsia="MS Mincho"/>
                <w:kern w:val="22"/>
                <w:szCs w:val="22"/>
              </w:rPr>
            </w:pPr>
            <w:r w:rsidRPr="0075563B">
              <w:rPr>
                <w:szCs w:val="22"/>
              </w:rPr>
              <w:t xml:space="preserve">i) Desarrollar, actualizar y mantener herramientas de apoyo interactivas, tras la migración del </w:t>
            </w:r>
            <w:proofErr w:type="spellStart"/>
            <w:r w:rsidRPr="0075563B">
              <w:rPr>
                <w:szCs w:val="22"/>
              </w:rPr>
              <w:t>CIISB</w:t>
            </w:r>
            <w:proofErr w:type="spellEnd"/>
            <w:r w:rsidRPr="0075563B">
              <w:rPr>
                <w:szCs w:val="22"/>
              </w:rPr>
              <w:t xml:space="preserve"> a la nueva plataforma; </w:t>
            </w:r>
          </w:p>
          <w:p w14:paraId="70FD264D" w14:textId="587FB1F8" w:rsidR="000E2816" w:rsidRPr="0075563B" w:rsidRDefault="000E2816" w:rsidP="006B322C">
            <w:pPr>
              <w:jc w:val="left"/>
              <w:rPr>
                <w:rFonts w:eastAsia="MS Mincho"/>
                <w:kern w:val="22"/>
                <w:szCs w:val="22"/>
              </w:rPr>
            </w:pPr>
            <w:r w:rsidRPr="0075563B">
              <w:rPr>
                <w:szCs w:val="22"/>
              </w:rPr>
              <w:t xml:space="preserve">ii) Proporcionar capacitación sobre el uso del </w:t>
            </w:r>
            <w:proofErr w:type="spellStart"/>
            <w:r w:rsidRPr="0075563B">
              <w:rPr>
                <w:szCs w:val="22"/>
              </w:rPr>
              <w:t>CIISB</w:t>
            </w:r>
            <w:proofErr w:type="spellEnd"/>
            <w:r w:rsidRPr="0075563B">
              <w:rPr>
                <w:szCs w:val="22"/>
              </w:rPr>
              <w:t xml:space="preserve">. </w:t>
            </w:r>
          </w:p>
        </w:tc>
      </w:tr>
      <w:tr w:rsidR="000E2816" w:rsidRPr="0075563B" w14:paraId="6FA75812" w14:textId="77777777" w:rsidTr="00D37B69">
        <w:tc>
          <w:tcPr>
            <w:tcW w:w="1795" w:type="dxa"/>
            <w:shd w:val="clear" w:color="auto" w:fill="auto"/>
          </w:tcPr>
          <w:p w14:paraId="6A29DA28" w14:textId="7F4CF1E7" w:rsidR="000E2816" w:rsidRPr="0075563B" w:rsidRDefault="000E2816" w:rsidP="006B322C">
            <w:pPr>
              <w:spacing w:before="60" w:after="60"/>
              <w:jc w:val="left"/>
              <w:rPr>
                <w:rFonts w:eastAsia="MS Mincho"/>
                <w:b/>
                <w:kern w:val="22"/>
                <w:szCs w:val="22"/>
              </w:rPr>
            </w:pPr>
            <w:r w:rsidRPr="0075563B">
              <w:rPr>
                <w:b/>
                <w:szCs w:val="22"/>
              </w:rPr>
              <w:t>A.3. Las Partes facilitan de manera oportuna información completa sobre la aplicación del Protocolo</w:t>
            </w:r>
          </w:p>
        </w:tc>
        <w:tc>
          <w:tcPr>
            <w:tcW w:w="2250" w:type="dxa"/>
          </w:tcPr>
          <w:p w14:paraId="62A3306F" w14:textId="77777777" w:rsidR="000E2816" w:rsidRPr="0075563B" w:rsidRDefault="000E2816" w:rsidP="00C57AD4">
            <w:pPr>
              <w:spacing w:before="60" w:after="60"/>
              <w:jc w:val="left"/>
              <w:rPr>
                <w:rFonts w:eastAsia="MS Mincho"/>
                <w:kern w:val="22"/>
                <w:szCs w:val="22"/>
              </w:rPr>
            </w:pPr>
            <w:r w:rsidRPr="0075563B">
              <w:rPr>
                <w:szCs w:val="22"/>
              </w:rPr>
              <w:t>A.3.1. Las Partes entregan los informes nacionales completos dentro del plazo establecido</w:t>
            </w:r>
          </w:p>
        </w:tc>
        <w:tc>
          <w:tcPr>
            <w:tcW w:w="2970" w:type="dxa"/>
            <w:shd w:val="clear" w:color="auto" w:fill="auto"/>
          </w:tcPr>
          <w:p w14:paraId="2985EE7D" w14:textId="412CB49C" w:rsidR="000E2816" w:rsidRPr="0075563B" w:rsidRDefault="000E2816" w:rsidP="00C57AD4">
            <w:pPr>
              <w:spacing w:before="60" w:after="60"/>
              <w:jc w:val="left"/>
              <w:rPr>
                <w:rFonts w:eastAsia="MS Mincho"/>
                <w:kern w:val="22"/>
                <w:szCs w:val="22"/>
              </w:rPr>
            </w:pPr>
            <w:r w:rsidRPr="0075563B">
              <w:rPr>
                <w:szCs w:val="22"/>
              </w:rPr>
              <w:t>a) Porcentaje de Partes que han entregado un informe nacional completo dentro del plazo establecido;</w:t>
            </w:r>
          </w:p>
          <w:p w14:paraId="2F32CE76" w14:textId="5D6E6608" w:rsidR="000E2816" w:rsidRPr="0075563B" w:rsidRDefault="000E2816" w:rsidP="006B322C">
            <w:pPr>
              <w:jc w:val="left"/>
              <w:rPr>
                <w:rFonts w:eastAsia="MS Mincho"/>
                <w:kern w:val="22"/>
                <w:szCs w:val="22"/>
              </w:rPr>
            </w:pPr>
            <w:r w:rsidRPr="0075563B">
              <w:rPr>
                <w:szCs w:val="22"/>
              </w:rPr>
              <w:t xml:space="preserve">b) Porcentaje de Partes que reúnen las condiciones y han recibido fondos del </w:t>
            </w:r>
            <w:proofErr w:type="spellStart"/>
            <w:r w:rsidRPr="0075563B">
              <w:rPr>
                <w:szCs w:val="22"/>
              </w:rPr>
              <w:t>FMAM</w:t>
            </w:r>
            <w:proofErr w:type="spellEnd"/>
            <w:r w:rsidRPr="0075563B">
              <w:rPr>
                <w:szCs w:val="22"/>
              </w:rPr>
              <w:t xml:space="preserve"> para preparar sus informes nacionales de manera oportuna.</w:t>
            </w:r>
          </w:p>
        </w:tc>
        <w:tc>
          <w:tcPr>
            <w:tcW w:w="2183" w:type="dxa"/>
            <w:shd w:val="clear" w:color="auto" w:fill="auto"/>
          </w:tcPr>
          <w:p w14:paraId="4B275EB5" w14:textId="6F4D2D2D" w:rsidR="000E2816" w:rsidRPr="0075563B" w:rsidRDefault="000E2816" w:rsidP="00C57AD4">
            <w:pPr>
              <w:spacing w:before="60" w:after="60"/>
              <w:jc w:val="left"/>
              <w:rPr>
                <w:rFonts w:eastAsia="MS Mincho"/>
                <w:kern w:val="22"/>
                <w:szCs w:val="22"/>
              </w:rPr>
            </w:pPr>
            <w:r w:rsidRPr="0075563B">
              <w:rPr>
                <w:szCs w:val="22"/>
              </w:rPr>
              <w:t xml:space="preserve">La información precisa y oportuna sobre la aplicación del Protocolo permite a la Conferencia de las Partes que actúa como reunión de las Partes en el Protocolo establecer prioridades </w:t>
            </w:r>
            <w:r w:rsidRPr="0075563B">
              <w:rPr>
                <w:szCs w:val="22"/>
              </w:rPr>
              <w:lastRenderedPageBreak/>
              <w:t>e identificar dónde se necesita el apoyo</w:t>
            </w:r>
          </w:p>
        </w:tc>
        <w:tc>
          <w:tcPr>
            <w:tcW w:w="2317" w:type="dxa"/>
            <w:shd w:val="clear" w:color="auto" w:fill="auto"/>
          </w:tcPr>
          <w:p w14:paraId="4069176D" w14:textId="0FEDE2CE" w:rsidR="000E2816" w:rsidRPr="0075563B" w:rsidRDefault="000E2816" w:rsidP="00C57AD4">
            <w:pPr>
              <w:spacing w:before="60" w:after="60"/>
              <w:jc w:val="left"/>
              <w:rPr>
                <w:rFonts w:eastAsia="MS Mincho"/>
                <w:kern w:val="22"/>
                <w:szCs w:val="22"/>
              </w:rPr>
            </w:pPr>
            <w:r w:rsidRPr="0075563B">
              <w:rPr>
                <w:szCs w:val="22"/>
              </w:rPr>
              <w:lastRenderedPageBreak/>
              <w:t>1) Creación y fortalecimiento de sistemas nacionales de coordinación para recopilar información sobre seguridad de la biotecnología;</w:t>
            </w:r>
          </w:p>
          <w:p w14:paraId="1B1E7D23" w14:textId="2C412CD2" w:rsidR="000E2816" w:rsidRPr="0075563B" w:rsidRDefault="000E2816" w:rsidP="006B322C">
            <w:pPr>
              <w:jc w:val="left"/>
              <w:rPr>
                <w:rFonts w:eastAsia="MS Mincho"/>
                <w:kern w:val="22"/>
                <w:szCs w:val="22"/>
              </w:rPr>
            </w:pPr>
            <w:r w:rsidRPr="0075563B">
              <w:rPr>
                <w:szCs w:val="22"/>
              </w:rPr>
              <w:t>2) Elaboración de informes</w:t>
            </w:r>
            <w:r w:rsidR="0089364B" w:rsidRPr="0075563B">
              <w:rPr>
                <w:szCs w:val="22"/>
              </w:rPr>
              <w:t xml:space="preserve"> </w:t>
            </w:r>
            <w:r w:rsidRPr="0075563B">
              <w:rPr>
                <w:szCs w:val="22"/>
              </w:rPr>
              <w:t>nacionales</w:t>
            </w:r>
          </w:p>
        </w:tc>
        <w:tc>
          <w:tcPr>
            <w:tcW w:w="2903" w:type="dxa"/>
            <w:shd w:val="clear" w:color="auto" w:fill="auto"/>
          </w:tcPr>
          <w:p w14:paraId="7BB37377" w14:textId="2FA6EB35" w:rsidR="000E2816" w:rsidRPr="0075563B" w:rsidRDefault="000E2816" w:rsidP="00C57AD4">
            <w:pPr>
              <w:spacing w:before="60" w:after="60"/>
              <w:jc w:val="left"/>
              <w:rPr>
                <w:rFonts w:eastAsia="MS Mincho"/>
                <w:kern w:val="22"/>
                <w:szCs w:val="22"/>
              </w:rPr>
            </w:pPr>
            <w:r w:rsidRPr="0075563B">
              <w:rPr>
                <w:szCs w:val="22"/>
              </w:rPr>
              <w:t xml:space="preserve">i) Proporcionar capacitación sobre recopilación de información y gestión de datos a las autoridades nacionales pertinentes para la presentación de informes nacionales; </w:t>
            </w:r>
          </w:p>
          <w:p w14:paraId="2E618E93" w14:textId="319A2E37" w:rsidR="000E2816" w:rsidRPr="0075563B" w:rsidRDefault="000E2816" w:rsidP="006B322C">
            <w:pPr>
              <w:jc w:val="left"/>
              <w:rPr>
                <w:rFonts w:eastAsia="MS Mincho"/>
                <w:kern w:val="22"/>
                <w:szCs w:val="22"/>
              </w:rPr>
            </w:pPr>
            <w:r w:rsidRPr="0075563B">
              <w:rPr>
                <w:szCs w:val="22"/>
              </w:rPr>
              <w:t xml:space="preserve">ii) Desarrollar herramientas para asistir a las Partes en la </w:t>
            </w:r>
            <w:r w:rsidRPr="0075563B">
              <w:rPr>
                <w:szCs w:val="22"/>
              </w:rPr>
              <w:lastRenderedPageBreak/>
              <w:t>elaboración y presentación de sus informes nacionales.</w:t>
            </w:r>
          </w:p>
        </w:tc>
      </w:tr>
      <w:tr w:rsidR="000E2816" w:rsidRPr="0075563B" w14:paraId="19A89DAD" w14:textId="77777777" w:rsidTr="00B72DE7">
        <w:tc>
          <w:tcPr>
            <w:tcW w:w="1795" w:type="dxa"/>
            <w:shd w:val="clear" w:color="auto" w:fill="auto"/>
          </w:tcPr>
          <w:p w14:paraId="01EA8D00" w14:textId="77777777" w:rsidR="000E2816" w:rsidRPr="0075563B" w:rsidRDefault="000E2816" w:rsidP="006B322C">
            <w:pPr>
              <w:spacing w:before="60" w:after="60"/>
              <w:jc w:val="left"/>
              <w:rPr>
                <w:rFonts w:eastAsia="MS Mincho"/>
                <w:b/>
                <w:bCs/>
                <w:kern w:val="22"/>
                <w:szCs w:val="22"/>
              </w:rPr>
            </w:pPr>
            <w:r w:rsidRPr="0075563B">
              <w:rPr>
                <w:b/>
                <w:szCs w:val="22"/>
              </w:rPr>
              <w:lastRenderedPageBreak/>
              <w:t>A.4. Las Partes cumplen totalmente con los requisitos del Protocolo</w:t>
            </w:r>
          </w:p>
        </w:tc>
        <w:tc>
          <w:tcPr>
            <w:tcW w:w="2250" w:type="dxa"/>
          </w:tcPr>
          <w:p w14:paraId="1E2FE031" w14:textId="77777777" w:rsidR="000E2816" w:rsidRPr="0075563B" w:rsidRDefault="000E2816" w:rsidP="006B322C">
            <w:pPr>
              <w:spacing w:before="60" w:after="60"/>
              <w:jc w:val="left"/>
              <w:rPr>
                <w:rFonts w:eastAsia="MS Mincho"/>
                <w:kern w:val="22"/>
                <w:szCs w:val="22"/>
              </w:rPr>
            </w:pPr>
            <w:r w:rsidRPr="0075563B">
              <w:rPr>
                <w:szCs w:val="22"/>
              </w:rPr>
              <w:t>A.4.1. Las Partes cumplen con sus obligaciones en virtud del Protocolo</w:t>
            </w:r>
          </w:p>
          <w:p w14:paraId="2DB86B35" w14:textId="77777777" w:rsidR="000E2816" w:rsidRPr="0075563B" w:rsidRDefault="000E2816" w:rsidP="006B322C">
            <w:pPr>
              <w:spacing w:before="60" w:after="60"/>
              <w:jc w:val="left"/>
              <w:rPr>
                <w:rFonts w:eastAsia="MS Mincho"/>
                <w:b/>
                <w:bCs/>
                <w:kern w:val="22"/>
                <w:szCs w:val="22"/>
              </w:rPr>
            </w:pPr>
            <w:r w:rsidRPr="0075563B">
              <w:rPr>
                <w:szCs w:val="22"/>
              </w:rPr>
              <w:t>A.4.2. Las Partes resuelven cuestiones de incumplimiento identificadas por el Comité de Cumplimiento</w:t>
            </w:r>
          </w:p>
        </w:tc>
        <w:tc>
          <w:tcPr>
            <w:tcW w:w="2970" w:type="dxa"/>
            <w:shd w:val="clear" w:color="auto" w:fill="auto"/>
          </w:tcPr>
          <w:p w14:paraId="16F58B9A" w14:textId="4DF49B04" w:rsidR="000E2816" w:rsidRPr="0075563B" w:rsidRDefault="000E2816" w:rsidP="006B322C">
            <w:pPr>
              <w:spacing w:before="60" w:after="60"/>
              <w:jc w:val="left"/>
              <w:rPr>
                <w:rFonts w:eastAsia="MS Mincho"/>
                <w:bCs/>
                <w:kern w:val="22"/>
                <w:szCs w:val="22"/>
              </w:rPr>
            </w:pPr>
            <w:r w:rsidRPr="0075563B">
              <w:rPr>
                <w:bCs/>
                <w:szCs w:val="22"/>
              </w:rPr>
              <w:t>a) Porcentaje de Partes que cumplen con sus obligaciones en virtud del Protocolo;</w:t>
            </w:r>
          </w:p>
          <w:p w14:paraId="64F94106" w14:textId="3BEBC357" w:rsidR="000E2816" w:rsidRPr="0075563B" w:rsidRDefault="000E2816" w:rsidP="006B322C">
            <w:pPr>
              <w:spacing w:before="60" w:after="60"/>
              <w:jc w:val="left"/>
              <w:rPr>
                <w:rFonts w:eastAsia="MS Mincho"/>
                <w:b/>
                <w:bCs/>
                <w:kern w:val="22"/>
                <w:szCs w:val="22"/>
              </w:rPr>
            </w:pPr>
            <w:r w:rsidRPr="0075563B">
              <w:rPr>
                <w:bCs/>
                <w:szCs w:val="22"/>
              </w:rPr>
              <w:t xml:space="preserve">b) Porcentaje de Partes que han resuelto cuestiones de incumplimiento identificadas por el Comité de Cumplimiento. </w:t>
            </w:r>
          </w:p>
        </w:tc>
        <w:tc>
          <w:tcPr>
            <w:tcW w:w="2183" w:type="dxa"/>
            <w:shd w:val="clear" w:color="auto" w:fill="auto"/>
          </w:tcPr>
          <w:p w14:paraId="49407838" w14:textId="77777777" w:rsidR="000E2816" w:rsidRPr="0075563B" w:rsidRDefault="000E2816" w:rsidP="006B322C">
            <w:pPr>
              <w:spacing w:before="60" w:after="60"/>
              <w:jc w:val="left"/>
              <w:rPr>
                <w:rFonts w:eastAsia="MS Mincho"/>
                <w:b/>
                <w:bCs/>
                <w:kern w:val="22"/>
                <w:szCs w:val="22"/>
              </w:rPr>
            </w:pPr>
            <w:r w:rsidRPr="0075563B">
              <w:rPr>
                <w:szCs w:val="22"/>
              </w:rPr>
              <w:t>Un mecanismo de cumplimiento eficaz facilita la aplicación del Protocolo</w:t>
            </w:r>
          </w:p>
        </w:tc>
        <w:tc>
          <w:tcPr>
            <w:tcW w:w="2317" w:type="dxa"/>
            <w:shd w:val="clear" w:color="auto" w:fill="auto"/>
          </w:tcPr>
          <w:p w14:paraId="3B9D6D1C" w14:textId="64B56987" w:rsidR="000E2816" w:rsidRPr="0075563B" w:rsidRDefault="000E2816" w:rsidP="006B322C">
            <w:pPr>
              <w:spacing w:before="60" w:after="60"/>
              <w:jc w:val="left"/>
              <w:rPr>
                <w:rFonts w:eastAsia="MS Mincho"/>
                <w:bCs/>
                <w:kern w:val="22"/>
                <w:szCs w:val="22"/>
              </w:rPr>
            </w:pPr>
            <w:r w:rsidRPr="0075563B">
              <w:rPr>
                <w:bCs/>
                <w:szCs w:val="22"/>
              </w:rPr>
              <w:t>1) Abordar cuestiones de incumplimiento identificadas por el Comité de Cumplimiento.</w:t>
            </w:r>
          </w:p>
        </w:tc>
        <w:tc>
          <w:tcPr>
            <w:tcW w:w="2903" w:type="dxa"/>
            <w:shd w:val="clear" w:color="auto" w:fill="auto"/>
          </w:tcPr>
          <w:p w14:paraId="547EA5B9" w14:textId="77E6BE15" w:rsidR="000E2816" w:rsidRPr="0075563B" w:rsidRDefault="000E2816" w:rsidP="006B322C">
            <w:pPr>
              <w:spacing w:before="60" w:after="60"/>
              <w:jc w:val="left"/>
              <w:rPr>
                <w:rFonts w:eastAsia="MS Mincho"/>
                <w:bCs/>
                <w:kern w:val="22"/>
                <w:szCs w:val="22"/>
              </w:rPr>
            </w:pPr>
            <w:r w:rsidRPr="0075563B">
              <w:rPr>
                <w:bCs/>
                <w:szCs w:val="22"/>
              </w:rPr>
              <w:t>i) Ayudar a las Partes involucradas a llevar a cabo las actividades indicadas en planes de acción para el cumplimiento, a fin de abordar cuestiones de incumplimiento identificadas.</w:t>
            </w:r>
          </w:p>
        </w:tc>
      </w:tr>
      <w:tr w:rsidR="000E2816" w:rsidRPr="0075563B" w14:paraId="631DC1CA" w14:textId="77777777" w:rsidTr="00B72DE7">
        <w:trPr>
          <w:trHeight w:val="1322"/>
        </w:trPr>
        <w:tc>
          <w:tcPr>
            <w:tcW w:w="1795" w:type="dxa"/>
            <w:shd w:val="clear" w:color="auto" w:fill="auto"/>
          </w:tcPr>
          <w:p w14:paraId="77A68CE6" w14:textId="3C58D491" w:rsidR="000E2816" w:rsidRPr="0075563B" w:rsidRDefault="000E2816" w:rsidP="006B322C">
            <w:pPr>
              <w:jc w:val="left"/>
              <w:rPr>
                <w:rFonts w:eastAsia="MS Mincho"/>
                <w:b/>
                <w:kern w:val="22"/>
                <w:szCs w:val="22"/>
              </w:rPr>
            </w:pPr>
            <w:bookmarkStart w:id="3" w:name="_Hlk25332189"/>
            <w:r w:rsidRPr="0075563B">
              <w:rPr>
                <w:b/>
                <w:szCs w:val="22"/>
              </w:rPr>
              <w:t xml:space="preserve">A.5. Las Partes llevan a cabo evaluaciones de riesgos de </w:t>
            </w:r>
            <w:proofErr w:type="spellStart"/>
            <w:r w:rsidRPr="0075563B">
              <w:rPr>
                <w:b/>
                <w:szCs w:val="22"/>
              </w:rPr>
              <w:t>OVM</w:t>
            </w:r>
            <w:proofErr w:type="spellEnd"/>
            <w:r w:rsidRPr="0075563B">
              <w:rPr>
                <w:b/>
                <w:szCs w:val="22"/>
              </w:rPr>
              <w:t xml:space="preserve"> científicamente sólidas, y gestionan y controlan los riesgos identificados para prevenir los efectos adversos de los </w:t>
            </w:r>
            <w:proofErr w:type="spellStart"/>
            <w:r w:rsidRPr="0075563B">
              <w:rPr>
                <w:b/>
                <w:szCs w:val="22"/>
              </w:rPr>
              <w:t>OVM</w:t>
            </w:r>
            <w:proofErr w:type="spellEnd"/>
            <w:r w:rsidRPr="0075563B">
              <w:rPr>
                <w:b/>
                <w:szCs w:val="22"/>
              </w:rPr>
              <w:t xml:space="preserve"> en la conservación y utilización sostenible de la </w:t>
            </w:r>
            <w:r w:rsidRPr="0075563B">
              <w:rPr>
                <w:b/>
                <w:szCs w:val="22"/>
              </w:rPr>
              <w:lastRenderedPageBreak/>
              <w:t>diversidad biológica</w:t>
            </w:r>
          </w:p>
        </w:tc>
        <w:tc>
          <w:tcPr>
            <w:tcW w:w="2250" w:type="dxa"/>
          </w:tcPr>
          <w:p w14:paraId="4B785541" w14:textId="77777777" w:rsidR="000E2816" w:rsidRPr="0075563B" w:rsidRDefault="000E2816" w:rsidP="006B322C">
            <w:pPr>
              <w:spacing w:before="60" w:after="60"/>
              <w:jc w:val="left"/>
              <w:rPr>
                <w:rFonts w:eastAsia="MS Mincho"/>
                <w:kern w:val="22"/>
                <w:szCs w:val="22"/>
              </w:rPr>
            </w:pPr>
            <w:r w:rsidRPr="0075563B">
              <w:rPr>
                <w:szCs w:val="22"/>
              </w:rPr>
              <w:lastRenderedPageBreak/>
              <w:t xml:space="preserve">A.5.1. Las Partes aplican procedimientos científicamente sólidos y apropiados para la evaluación y gestión de riesgos de los </w:t>
            </w:r>
            <w:proofErr w:type="spellStart"/>
            <w:r w:rsidRPr="0075563B">
              <w:rPr>
                <w:szCs w:val="22"/>
              </w:rPr>
              <w:t>OVM</w:t>
            </w:r>
            <w:proofErr w:type="spellEnd"/>
            <w:r w:rsidRPr="0075563B">
              <w:rPr>
                <w:szCs w:val="22"/>
              </w:rPr>
              <w:t>, de conformidad con el anexo III del Protocolo</w:t>
            </w:r>
          </w:p>
          <w:p w14:paraId="5265AFE1" w14:textId="385CEA72" w:rsidR="000E2816" w:rsidRPr="0075563B" w:rsidRDefault="000E2816" w:rsidP="006B322C">
            <w:pPr>
              <w:jc w:val="left"/>
              <w:rPr>
                <w:rFonts w:eastAsia="MS Mincho"/>
                <w:kern w:val="22"/>
                <w:szCs w:val="22"/>
              </w:rPr>
            </w:pPr>
            <w:r w:rsidRPr="0075563B">
              <w:rPr>
                <w:szCs w:val="22"/>
              </w:rPr>
              <w:t xml:space="preserve">A.5.2. Las Partes elaboran (según sea necesario), tienen disponibles y utilizan materiales de referencia apropiados </w:t>
            </w:r>
            <w:r w:rsidRPr="0075563B">
              <w:rPr>
                <w:szCs w:val="22"/>
              </w:rPr>
              <w:lastRenderedPageBreak/>
              <w:t>para realizar evaluaciones y gestión de riesgos científicamente sólidas</w:t>
            </w:r>
          </w:p>
        </w:tc>
        <w:tc>
          <w:tcPr>
            <w:tcW w:w="2970" w:type="dxa"/>
            <w:shd w:val="clear" w:color="auto" w:fill="auto"/>
          </w:tcPr>
          <w:p w14:paraId="22191C56" w14:textId="5F9AF4EC" w:rsidR="000E2816" w:rsidRPr="0075563B" w:rsidRDefault="000E2816" w:rsidP="006B322C">
            <w:pPr>
              <w:jc w:val="left"/>
              <w:rPr>
                <w:rFonts w:eastAsia="MS Mincho"/>
                <w:kern w:val="22"/>
                <w:szCs w:val="22"/>
              </w:rPr>
            </w:pPr>
            <w:r w:rsidRPr="0075563B">
              <w:rPr>
                <w:szCs w:val="22"/>
              </w:rPr>
              <w:lastRenderedPageBreak/>
              <w:t xml:space="preserve">a) Porcentaje de Partes que realizan evaluaciones de riesgos para la toma de decisiones sobre </w:t>
            </w:r>
            <w:proofErr w:type="spellStart"/>
            <w:r w:rsidRPr="0075563B">
              <w:rPr>
                <w:szCs w:val="22"/>
              </w:rPr>
              <w:t>OVM</w:t>
            </w:r>
            <w:proofErr w:type="spellEnd"/>
            <w:r w:rsidRPr="0075563B">
              <w:rPr>
                <w:szCs w:val="22"/>
              </w:rPr>
              <w:t xml:space="preserve">, cuando se requiera en virtud del Protocolo; </w:t>
            </w:r>
          </w:p>
          <w:p w14:paraId="3860E1AA" w14:textId="6530433A" w:rsidR="000E2816" w:rsidRPr="0075563B" w:rsidRDefault="000E2816" w:rsidP="006B322C">
            <w:pPr>
              <w:jc w:val="left"/>
              <w:rPr>
                <w:rFonts w:eastAsia="MS Mincho"/>
                <w:kern w:val="22"/>
                <w:szCs w:val="22"/>
              </w:rPr>
            </w:pPr>
            <w:r w:rsidRPr="0075563B">
              <w:rPr>
                <w:szCs w:val="22"/>
              </w:rPr>
              <w:t xml:space="preserve">b) Porcentaje de decisiones en el </w:t>
            </w:r>
            <w:proofErr w:type="spellStart"/>
            <w:r w:rsidRPr="0075563B">
              <w:rPr>
                <w:szCs w:val="22"/>
              </w:rPr>
              <w:t>CIISB</w:t>
            </w:r>
            <w:proofErr w:type="spellEnd"/>
            <w:r w:rsidRPr="0075563B">
              <w:rPr>
                <w:szCs w:val="22"/>
              </w:rPr>
              <w:t xml:space="preserve"> con los correspondientes informes resumidos de las evaluaciones de riesgos;</w:t>
            </w:r>
          </w:p>
          <w:p w14:paraId="77BE091A" w14:textId="079001E8" w:rsidR="000E2816" w:rsidRPr="0075563B" w:rsidRDefault="000E2816" w:rsidP="006B322C">
            <w:pPr>
              <w:jc w:val="left"/>
              <w:rPr>
                <w:rFonts w:eastAsia="MS Mincho"/>
                <w:kern w:val="22"/>
                <w:szCs w:val="22"/>
              </w:rPr>
            </w:pPr>
            <w:r w:rsidRPr="0075563B">
              <w:rPr>
                <w:szCs w:val="22"/>
              </w:rPr>
              <w:t>c) Porcentaje de Partes que tienen disponibles y utilizan materiales de referencia pertinentes sobre evaluación y gestión de riesgos;</w:t>
            </w:r>
          </w:p>
          <w:p w14:paraId="77F62D15" w14:textId="1375D1B3" w:rsidR="000E2816" w:rsidRPr="0075563B" w:rsidRDefault="000E2816" w:rsidP="00080D0E">
            <w:pPr>
              <w:jc w:val="left"/>
              <w:rPr>
                <w:rFonts w:eastAsia="MS Mincho"/>
                <w:kern w:val="22"/>
                <w:szCs w:val="22"/>
              </w:rPr>
            </w:pPr>
            <w:r w:rsidRPr="0075563B">
              <w:rPr>
                <w:szCs w:val="22"/>
              </w:rPr>
              <w:lastRenderedPageBreak/>
              <w:t>d) Porcentaje de Partes que llevan a cabo evaluaciones de riesgos, considerando otras pruebas científicas disponibles, que se mencionan en el artículo 15.</w:t>
            </w:r>
          </w:p>
        </w:tc>
        <w:tc>
          <w:tcPr>
            <w:tcW w:w="2183" w:type="dxa"/>
            <w:shd w:val="clear" w:color="auto" w:fill="auto"/>
          </w:tcPr>
          <w:p w14:paraId="3A2C820E" w14:textId="77777777" w:rsidR="000E2816" w:rsidRPr="0075563B" w:rsidRDefault="000E2816" w:rsidP="00C57AD4">
            <w:pPr>
              <w:spacing w:before="60" w:after="60"/>
              <w:jc w:val="left"/>
              <w:rPr>
                <w:rFonts w:eastAsia="MS Mincho"/>
                <w:kern w:val="22"/>
                <w:szCs w:val="22"/>
              </w:rPr>
            </w:pPr>
            <w:r w:rsidRPr="0075563B">
              <w:rPr>
                <w:szCs w:val="22"/>
              </w:rPr>
              <w:lastRenderedPageBreak/>
              <w:t xml:space="preserve">Las Partes identifican, evalúan, y utilizan y gestionan adecuadamente los riesgos de los </w:t>
            </w:r>
            <w:proofErr w:type="spellStart"/>
            <w:r w:rsidRPr="0075563B">
              <w:rPr>
                <w:szCs w:val="22"/>
              </w:rPr>
              <w:t>OVM</w:t>
            </w:r>
            <w:proofErr w:type="spellEnd"/>
            <w:r w:rsidRPr="0075563B">
              <w:rPr>
                <w:szCs w:val="22"/>
              </w:rPr>
              <w:t xml:space="preserve"> para la diversidad biológica, también teniendo en cuenta los riesgos para la salud humana </w:t>
            </w:r>
          </w:p>
        </w:tc>
        <w:tc>
          <w:tcPr>
            <w:tcW w:w="2317" w:type="dxa"/>
            <w:shd w:val="clear" w:color="auto" w:fill="auto"/>
          </w:tcPr>
          <w:p w14:paraId="58861DA3" w14:textId="7472E984" w:rsidR="000E2816" w:rsidRPr="0075563B" w:rsidRDefault="000E2816" w:rsidP="00C57AD4">
            <w:pPr>
              <w:spacing w:before="60" w:after="60"/>
              <w:jc w:val="left"/>
              <w:rPr>
                <w:rFonts w:eastAsia="MS Mincho"/>
                <w:kern w:val="22"/>
                <w:szCs w:val="22"/>
              </w:rPr>
            </w:pPr>
            <w:r w:rsidRPr="0075563B">
              <w:rPr>
                <w:szCs w:val="22"/>
              </w:rPr>
              <w:t>1) Realización y revisión de evaluaciones de riesgo científicamente sólidas;</w:t>
            </w:r>
          </w:p>
          <w:p w14:paraId="2C2BEC27" w14:textId="77755E64" w:rsidR="000E2816" w:rsidRPr="0075563B" w:rsidRDefault="000E2816" w:rsidP="006B322C">
            <w:pPr>
              <w:jc w:val="left"/>
              <w:rPr>
                <w:rFonts w:eastAsia="MS Mincho"/>
                <w:kern w:val="22"/>
                <w:szCs w:val="22"/>
              </w:rPr>
            </w:pPr>
            <w:r w:rsidRPr="0075563B">
              <w:rPr>
                <w:szCs w:val="22"/>
              </w:rPr>
              <w:t xml:space="preserve">2) Regulación, gestión y control de los riesgos identificados; </w:t>
            </w:r>
          </w:p>
          <w:p w14:paraId="2C0F6A43" w14:textId="7890AEB6" w:rsidR="000E2816" w:rsidRPr="0075563B" w:rsidRDefault="000E2816" w:rsidP="006B322C">
            <w:pPr>
              <w:jc w:val="left"/>
              <w:rPr>
                <w:rFonts w:eastAsia="MS Mincho"/>
                <w:kern w:val="22"/>
                <w:szCs w:val="22"/>
              </w:rPr>
            </w:pPr>
            <w:r w:rsidRPr="0075563B">
              <w:rPr>
                <w:szCs w:val="22"/>
              </w:rPr>
              <w:t>3) Acceso a infraestructura y conocimientos técnicos para la evaluación y gestión de riesgos;</w:t>
            </w:r>
          </w:p>
          <w:p w14:paraId="65E6B7E9" w14:textId="17B72F2A" w:rsidR="000E2816" w:rsidRPr="0075563B" w:rsidRDefault="000E2816" w:rsidP="006B322C">
            <w:pPr>
              <w:jc w:val="left"/>
              <w:rPr>
                <w:rFonts w:eastAsia="MS Mincho"/>
                <w:strike/>
                <w:kern w:val="22"/>
                <w:szCs w:val="22"/>
              </w:rPr>
            </w:pPr>
            <w:r w:rsidRPr="0075563B">
              <w:rPr>
                <w:szCs w:val="22"/>
              </w:rPr>
              <w:t>4)  Acceso a datos científicos pertinentes para la evaluación y gestión de los riesgos.</w:t>
            </w:r>
          </w:p>
        </w:tc>
        <w:tc>
          <w:tcPr>
            <w:tcW w:w="2903" w:type="dxa"/>
            <w:shd w:val="clear" w:color="auto" w:fill="auto"/>
          </w:tcPr>
          <w:p w14:paraId="5F2A4780" w14:textId="46400939" w:rsidR="000E2816" w:rsidRPr="0075563B" w:rsidRDefault="000E2816" w:rsidP="00C57AD4">
            <w:pPr>
              <w:spacing w:before="60" w:after="60"/>
              <w:jc w:val="left"/>
              <w:rPr>
                <w:rFonts w:eastAsia="MS Mincho"/>
                <w:kern w:val="22"/>
                <w:szCs w:val="22"/>
              </w:rPr>
            </w:pPr>
            <w:r w:rsidRPr="0075563B">
              <w:rPr>
                <w:szCs w:val="22"/>
              </w:rPr>
              <w:t xml:space="preserve">i) Elaborar o actualizar, según sea necesario, y difundir materiales de capacitación sobre evaluación y gestión de riesgos; </w:t>
            </w:r>
          </w:p>
          <w:p w14:paraId="7405DBE1" w14:textId="21AEB097" w:rsidR="000E2816" w:rsidRPr="0075563B" w:rsidRDefault="000E2816" w:rsidP="006B322C">
            <w:pPr>
              <w:jc w:val="left"/>
              <w:rPr>
                <w:rFonts w:eastAsia="MS Mincho"/>
                <w:kern w:val="22"/>
                <w:szCs w:val="22"/>
              </w:rPr>
            </w:pPr>
            <w:r w:rsidRPr="0075563B">
              <w:rPr>
                <w:szCs w:val="22"/>
              </w:rPr>
              <w:t>ii) Proporcionar capacitación sobre la realización y revisión de evaluaciones de riesgos, incluido el uso de documentos de referencia y la recopilación y análisis de información científica;</w:t>
            </w:r>
          </w:p>
          <w:p w14:paraId="1FD13389" w14:textId="45B96560" w:rsidR="000E2816" w:rsidRPr="0075563B" w:rsidRDefault="000E2816" w:rsidP="006B322C">
            <w:pPr>
              <w:jc w:val="left"/>
              <w:rPr>
                <w:rFonts w:eastAsia="MS Mincho"/>
                <w:kern w:val="22"/>
                <w:szCs w:val="22"/>
              </w:rPr>
            </w:pPr>
            <w:r w:rsidRPr="0075563B">
              <w:rPr>
                <w:szCs w:val="22"/>
              </w:rPr>
              <w:t xml:space="preserve">iii) Facilitar el acceso a infraestructura y conocimientos técnicos </w:t>
            </w:r>
            <w:r w:rsidRPr="0075563B">
              <w:rPr>
                <w:szCs w:val="22"/>
              </w:rPr>
              <w:lastRenderedPageBreak/>
              <w:t>adecuados para la evaluación y gestión de los riesgos;</w:t>
            </w:r>
          </w:p>
          <w:p w14:paraId="64170B6A" w14:textId="63359B34" w:rsidR="000E2816" w:rsidRPr="0075563B" w:rsidRDefault="000E2816" w:rsidP="006B322C">
            <w:pPr>
              <w:jc w:val="left"/>
              <w:rPr>
                <w:rFonts w:eastAsia="MS Mincho"/>
                <w:kern w:val="22"/>
                <w:szCs w:val="22"/>
              </w:rPr>
            </w:pPr>
            <w:r w:rsidRPr="0075563B">
              <w:rPr>
                <w:szCs w:val="22"/>
              </w:rPr>
              <w:t xml:space="preserve">iv) Proporcionar capacitación para realizar investigaciones científicas, revisar y reunir datos sobre la diversidad biológica para zonas ecológicas específicas que sean pertinentes para la evaluación y gestión de riesgos. </w:t>
            </w:r>
          </w:p>
        </w:tc>
      </w:tr>
      <w:bookmarkEnd w:id="3"/>
      <w:tr w:rsidR="000E2816" w:rsidRPr="0075563B" w14:paraId="46E103D7" w14:textId="77777777" w:rsidTr="00B72DE7">
        <w:tc>
          <w:tcPr>
            <w:tcW w:w="1795" w:type="dxa"/>
            <w:shd w:val="clear" w:color="auto" w:fill="auto"/>
          </w:tcPr>
          <w:p w14:paraId="07A04BE3" w14:textId="77777777" w:rsidR="000E2816" w:rsidRPr="0075563B" w:rsidRDefault="000E2816" w:rsidP="006B322C">
            <w:pPr>
              <w:jc w:val="left"/>
              <w:rPr>
                <w:rFonts w:eastAsia="MS Mincho"/>
                <w:b/>
                <w:kern w:val="22"/>
                <w:szCs w:val="22"/>
              </w:rPr>
            </w:pPr>
            <w:r w:rsidRPr="0075563B">
              <w:rPr>
                <w:b/>
                <w:szCs w:val="22"/>
              </w:rPr>
              <w:lastRenderedPageBreak/>
              <w:t xml:space="preserve">A.6. Las Partes impiden los movimientos transfronterizos ilícitos e involuntarios de </w:t>
            </w:r>
            <w:proofErr w:type="spellStart"/>
            <w:r w:rsidRPr="0075563B">
              <w:rPr>
                <w:b/>
                <w:szCs w:val="22"/>
              </w:rPr>
              <w:t>OVM</w:t>
            </w:r>
            <w:proofErr w:type="spellEnd"/>
          </w:p>
        </w:tc>
        <w:tc>
          <w:tcPr>
            <w:tcW w:w="2250" w:type="dxa"/>
          </w:tcPr>
          <w:p w14:paraId="2B8BED5A" w14:textId="77777777" w:rsidR="000E2816" w:rsidRPr="0075563B" w:rsidRDefault="000E2816" w:rsidP="006B322C">
            <w:pPr>
              <w:jc w:val="left"/>
              <w:rPr>
                <w:rFonts w:eastAsia="MS Mincho"/>
                <w:kern w:val="22"/>
                <w:szCs w:val="22"/>
              </w:rPr>
            </w:pPr>
            <w:r w:rsidRPr="0075563B">
              <w:rPr>
                <w:szCs w:val="22"/>
              </w:rPr>
              <w:t xml:space="preserve">A.6.1. Las Partes han adoptado medidas adecuadas para impedir los movimientos transfronterizos ilícitos e involuntarios de </w:t>
            </w:r>
            <w:proofErr w:type="spellStart"/>
            <w:r w:rsidRPr="0075563B">
              <w:rPr>
                <w:szCs w:val="22"/>
              </w:rPr>
              <w:t>OVM</w:t>
            </w:r>
            <w:proofErr w:type="spellEnd"/>
          </w:p>
        </w:tc>
        <w:tc>
          <w:tcPr>
            <w:tcW w:w="2970" w:type="dxa"/>
            <w:shd w:val="clear" w:color="auto" w:fill="auto"/>
          </w:tcPr>
          <w:p w14:paraId="321D5DC7" w14:textId="185E4824" w:rsidR="000E2816" w:rsidRPr="0075563B" w:rsidRDefault="000E2816" w:rsidP="00B877A7">
            <w:pPr>
              <w:spacing w:before="60" w:after="60"/>
              <w:jc w:val="left"/>
              <w:rPr>
                <w:rFonts w:eastAsia="MS Mincho"/>
                <w:kern w:val="22"/>
                <w:szCs w:val="22"/>
              </w:rPr>
            </w:pPr>
            <w:r w:rsidRPr="0075563B">
              <w:rPr>
                <w:szCs w:val="22"/>
              </w:rPr>
              <w:t xml:space="preserve">a) Porcentaje de Partes que han establecido medidas para impedir los movimientos transfronterizos ilícitos e involuntarios de </w:t>
            </w:r>
            <w:proofErr w:type="spellStart"/>
            <w:r w:rsidRPr="0075563B">
              <w:rPr>
                <w:szCs w:val="22"/>
              </w:rPr>
              <w:t>OVM</w:t>
            </w:r>
            <w:proofErr w:type="spellEnd"/>
            <w:r w:rsidR="00152820">
              <w:rPr>
                <w:szCs w:val="22"/>
              </w:rPr>
              <w:t>.</w:t>
            </w:r>
          </w:p>
        </w:tc>
        <w:tc>
          <w:tcPr>
            <w:tcW w:w="2183" w:type="dxa"/>
            <w:shd w:val="clear" w:color="auto" w:fill="auto"/>
          </w:tcPr>
          <w:p w14:paraId="37503C5B" w14:textId="560E3FF4" w:rsidR="000E2816" w:rsidRPr="0075563B" w:rsidRDefault="000E2816" w:rsidP="00C57AD4">
            <w:pPr>
              <w:spacing w:before="60" w:after="60"/>
              <w:jc w:val="left"/>
              <w:rPr>
                <w:rFonts w:eastAsia="MS Mincho"/>
                <w:kern w:val="22"/>
                <w:szCs w:val="22"/>
              </w:rPr>
            </w:pPr>
            <w:r w:rsidRPr="0075563B">
              <w:rPr>
                <w:szCs w:val="22"/>
              </w:rPr>
              <w:t xml:space="preserve">Los movimientos transfronterizos ilícitos e involuntarios de </w:t>
            </w:r>
            <w:proofErr w:type="spellStart"/>
            <w:r w:rsidRPr="0075563B">
              <w:rPr>
                <w:szCs w:val="22"/>
              </w:rPr>
              <w:t>OVM</w:t>
            </w:r>
            <w:proofErr w:type="spellEnd"/>
            <w:r w:rsidRPr="0075563B">
              <w:rPr>
                <w:szCs w:val="22"/>
              </w:rPr>
              <w:t xml:space="preserve"> se impiden o minimizan</w:t>
            </w:r>
          </w:p>
        </w:tc>
        <w:tc>
          <w:tcPr>
            <w:tcW w:w="2317" w:type="dxa"/>
            <w:vMerge w:val="restart"/>
            <w:shd w:val="clear" w:color="auto" w:fill="auto"/>
            <w:vAlign w:val="center"/>
          </w:tcPr>
          <w:p w14:paraId="27495805" w14:textId="2760BA4D" w:rsidR="000E2816" w:rsidRPr="0075563B" w:rsidRDefault="000E2816" w:rsidP="00C57AD4">
            <w:pPr>
              <w:spacing w:before="60" w:after="60"/>
              <w:jc w:val="left"/>
              <w:rPr>
                <w:rFonts w:eastAsia="MS Mincho"/>
                <w:kern w:val="22"/>
                <w:szCs w:val="22"/>
              </w:rPr>
            </w:pPr>
            <w:r w:rsidRPr="0075563B">
              <w:rPr>
                <w:szCs w:val="22"/>
              </w:rPr>
              <w:t>1) Establecimiento de sistemas nacionales funcionales de notificación y respuestas adecuadas a los movimientos transfronterizos involuntarios, de conformidad con el artículo 17 del Protocolo;</w:t>
            </w:r>
          </w:p>
          <w:p w14:paraId="43C283DE" w14:textId="0763AACD" w:rsidR="000E2816" w:rsidRPr="0075563B" w:rsidRDefault="000E2816" w:rsidP="006B322C">
            <w:pPr>
              <w:jc w:val="left"/>
              <w:rPr>
                <w:rFonts w:eastAsia="MS Mincho"/>
                <w:kern w:val="22"/>
                <w:szCs w:val="22"/>
              </w:rPr>
            </w:pPr>
            <w:r w:rsidRPr="0075563B">
              <w:rPr>
                <w:szCs w:val="22"/>
              </w:rPr>
              <w:t xml:space="preserve">2) Establecimiento de sistemas nacionales funcionales para la manipulación, transporte, envasado e identificación, incluso </w:t>
            </w:r>
            <w:r w:rsidRPr="0075563B">
              <w:rPr>
                <w:szCs w:val="22"/>
              </w:rPr>
              <w:lastRenderedPageBreak/>
              <w:t>con respecto a la documentación;</w:t>
            </w:r>
          </w:p>
          <w:p w14:paraId="1849C380" w14:textId="26ED9890" w:rsidR="000E2816" w:rsidRPr="0075563B" w:rsidRDefault="000E2816" w:rsidP="006B322C">
            <w:pPr>
              <w:jc w:val="left"/>
              <w:rPr>
                <w:rFonts w:eastAsia="MS Mincho"/>
                <w:kern w:val="22"/>
                <w:szCs w:val="22"/>
              </w:rPr>
            </w:pPr>
            <w:r w:rsidRPr="0075563B">
              <w:rPr>
                <w:szCs w:val="22"/>
              </w:rPr>
              <w:t xml:space="preserve">3) Desarrollo, según sea necesario, y acceso a materiales de referencia, procedimientos e información para el muestreo, detección e identificación de </w:t>
            </w:r>
            <w:proofErr w:type="spellStart"/>
            <w:r w:rsidRPr="0075563B">
              <w:rPr>
                <w:szCs w:val="22"/>
              </w:rPr>
              <w:t>OVM</w:t>
            </w:r>
            <w:proofErr w:type="spellEnd"/>
            <w:r w:rsidRPr="0075563B">
              <w:rPr>
                <w:szCs w:val="22"/>
              </w:rPr>
              <w:t xml:space="preserve">; </w:t>
            </w:r>
          </w:p>
          <w:p w14:paraId="60DDD5E5" w14:textId="04029080" w:rsidR="000E2816" w:rsidRPr="0075563B" w:rsidRDefault="000E2816" w:rsidP="006B322C">
            <w:pPr>
              <w:jc w:val="left"/>
              <w:rPr>
                <w:rFonts w:eastAsia="MS Mincho"/>
                <w:kern w:val="22"/>
                <w:szCs w:val="22"/>
              </w:rPr>
            </w:pPr>
            <w:r w:rsidRPr="0075563B">
              <w:rPr>
                <w:szCs w:val="22"/>
              </w:rPr>
              <w:t>4) Fortalecimiento de las capacidades de muestreo, detección e identificación de los funcionarios y el personal de los laboratorios;</w:t>
            </w:r>
          </w:p>
          <w:p w14:paraId="3963AE93" w14:textId="716E3D36" w:rsidR="000E2816" w:rsidRPr="0075563B" w:rsidRDefault="000E2816" w:rsidP="006B322C">
            <w:pPr>
              <w:jc w:val="left"/>
              <w:rPr>
                <w:rFonts w:eastAsia="MS Mincho"/>
                <w:kern w:val="22"/>
                <w:szCs w:val="22"/>
              </w:rPr>
            </w:pPr>
            <w:r w:rsidRPr="0075563B">
              <w:rPr>
                <w:szCs w:val="22"/>
              </w:rPr>
              <w:t>5) Acceso a infraestructura técnica para la detección e identificación, incluidos materiales de referencia certificados;</w:t>
            </w:r>
          </w:p>
          <w:p w14:paraId="3C94AE56" w14:textId="06E34496" w:rsidR="000E2816" w:rsidRPr="0075563B" w:rsidRDefault="000E2816" w:rsidP="006B322C">
            <w:pPr>
              <w:jc w:val="left"/>
              <w:rPr>
                <w:rFonts w:eastAsia="MS Mincho"/>
                <w:strike/>
                <w:kern w:val="22"/>
                <w:szCs w:val="22"/>
              </w:rPr>
            </w:pPr>
            <w:r w:rsidRPr="0075563B">
              <w:rPr>
                <w:szCs w:val="22"/>
              </w:rPr>
              <w:t>6) Fortalecimiento de la colaboración, por ejemplo mediante redes de laboratorios.</w:t>
            </w:r>
          </w:p>
        </w:tc>
        <w:tc>
          <w:tcPr>
            <w:tcW w:w="2903" w:type="dxa"/>
            <w:vMerge w:val="restart"/>
            <w:shd w:val="clear" w:color="auto" w:fill="auto"/>
            <w:vAlign w:val="center"/>
          </w:tcPr>
          <w:p w14:paraId="2EF0F448" w14:textId="66A11464" w:rsidR="000E2816" w:rsidRPr="0075563B" w:rsidRDefault="000E2816" w:rsidP="00C57AD4">
            <w:pPr>
              <w:spacing w:before="60" w:after="60"/>
              <w:jc w:val="left"/>
              <w:rPr>
                <w:rFonts w:eastAsia="MS Mincho"/>
                <w:kern w:val="22"/>
                <w:szCs w:val="22"/>
              </w:rPr>
            </w:pPr>
            <w:r w:rsidRPr="0075563B">
              <w:rPr>
                <w:szCs w:val="22"/>
              </w:rPr>
              <w:lastRenderedPageBreak/>
              <w:t xml:space="preserve">i) Proporcionar capacitación sobre documentación, muestreo, detección e identificación de </w:t>
            </w:r>
            <w:proofErr w:type="spellStart"/>
            <w:r w:rsidRPr="0075563B">
              <w:rPr>
                <w:szCs w:val="22"/>
              </w:rPr>
              <w:t>OVM</w:t>
            </w:r>
            <w:proofErr w:type="spellEnd"/>
            <w:r w:rsidRPr="0075563B">
              <w:rPr>
                <w:szCs w:val="22"/>
              </w:rPr>
              <w:t xml:space="preserve"> a los interesados pertinentes; </w:t>
            </w:r>
          </w:p>
          <w:p w14:paraId="6CD83C3B" w14:textId="4C983178" w:rsidR="000E2816" w:rsidRPr="0075563B" w:rsidRDefault="000E2816" w:rsidP="006B322C">
            <w:pPr>
              <w:jc w:val="left"/>
              <w:rPr>
                <w:rFonts w:eastAsia="MS Mincho"/>
                <w:kern w:val="22"/>
                <w:szCs w:val="22"/>
              </w:rPr>
            </w:pPr>
            <w:r w:rsidRPr="0075563B">
              <w:rPr>
                <w:szCs w:val="22"/>
              </w:rPr>
              <w:t xml:space="preserve">ii) Elaborar listas de verificación nacionales sobre los requisitos de identificación para facilitar la verificación de la documentación que acompaña los envíos de </w:t>
            </w:r>
            <w:proofErr w:type="spellStart"/>
            <w:r w:rsidRPr="0075563B">
              <w:rPr>
                <w:szCs w:val="22"/>
              </w:rPr>
              <w:t>OVM</w:t>
            </w:r>
            <w:proofErr w:type="spellEnd"/>
            <w:r w:rsidRPr="0075563B">
              <w:rPr>
                <w:szCs w:val="22"/>
              </w:rPr>
              <w:t>;</w:t>
            </w:r>
          </w:p>
          <w:p w14:paraId="3E8B879D" w14:textId="2B3512B4" w:rsidR="000E2816" w:rsidRPr="0075563B" w:rsidRDefault="000E2816" w:rsidP="006B322C">
            <w:pPr>
              <w:jc w:val="left"/>
              <w:rPr>
                <w:rFonts w:eastAsia="MS Mincho"/>
                <w:kern w:val="22"/>
                <w:szCs w:val="22"/>
              </w:rPr>
            </w:pPr>
            <w:r w:rsidRPr="0075563B">
              <w:rPr>
                <w:szCs w:val="22"/>
              </w:rPr>
              <w:t xml:space="preserve">iii) Difundir e impartir capacitación sobre metodologías y protocolos de muestreo, detección e identificación de </w:t>
            </w:r>
            <w:proofErr w:type="spellStart"/>
            <w:r w:rsidRPr="0075563B">
              <w:rPr>
                <w:szCs w:val="22"/>
              </w:rPr>
              <w:t>OVM</w:t>
            </w:r>
            <w:proofErr w:type="spellEnd"/>
            <w:r w:rsidRPr="0075563B">
              <w:rPr>
                <w:szCs w:val="22"/>
              </w:rPr>
              <w:t xml:space="preserve">; </w:t>
            </w:r>
          </w:p>
          <w:p w14:paraId="09DE6655" w14:textId="2E1B47CE" w:rsidR="000E2816" w:rsidRPr="0075563B" w:rsidRDefault="000E2816" w:rsidP="006B322C">
            <w:pPr>
              <w:jc w:val="left"/>
              <w:rPr>
                <w:rFonts w:eastAsia="MS Mincho"/>
                <w:kern w:val="22"/>
                <w:szCs w:val="22"/>
              </w:rPr>
            </w:pPr>
            <w:r w:rsidRPr="0075563B">
              <w:rPr>
                <w:szCs w:val="22"/>
              </w:rPr>
              <w:lastRenderedPageBreak/>
              <w:t xml:space="preserve">iv) Facilitar el acceso a infraestructura para la detección e identificación de </w:t>
            </w:r>
            <w:proofErr w:type="spellStart"/>
            <w:r w:rsidRPr="0075563B">
              <w:rPr>
                <w:szCs w:val="22"/>
              </w:rPr>
              <w:t>OVM</w:t>
            </w:r>
            <w:proofErr w:type="spellEnd"/>
            <w:r w:rsidRPr="0075563B">
              <w:rPr>
                <w:szCs w:val="22"/>
              </w:rPr>
              <w:t>, tales como laboratorios acreditados, materiales de referencia certificados e insumos;</w:t>
            </w:r>
          </w:p>
          <w:p w14:paraId="34088B9E" w14:textId="29240A04" w:rsidR="000E2816" w:rsidRPr="0075563B" w:rsidRDefault="000E2816" w:rsidP="006B322C">
            <w:pPr>
              <w:jc w:val="left"/>
              <w:rPr>
                <w:rFonts w:eastAsia="MS Mincho"/>
                <w:kern w:val="22"/>
                <w:szCs w:val="22"/>
              </w:rPr>
            </w:pPr>
            <w:r w:rsidRPr="0075563B">
              <w:rPr>
                <w:szCs w:val="22"/>
              </w:rPr>
              <w:t xml:space="preserve">v) Establecer, fortalecer y mantener redes de laboratorios para la detección e identificación de </w:t>
            </w:r>
            <w:proofErr w:type="spellStart"/>
            <w:r w:rsidRPr="0075563B">
              <w:rPr>
                <w:szCs w:val="22"/>
              </w:rPr>
              <w:t>OVM</w:t>
            </w:r>
            <w:proofErr w:type="spellEnd"/>
            <w:r w:rsidRPr="0075563B">
              <w:rPr>
                <w:szCs w:val="22"/>
              </w:rPr>
              <w:t>.</w:t>
            </w:r>
          </w:p>
        </w:tc>
      </w:tr>
      <w:tr w:rsidR="000E2816" w:rsidRPr="0075563B" w14:paraId="69CB4716" w14:textId="77777777" w:rsidTr="00B72DE7">
        <w:tc>
          <w:tcPr>
            <w:tcW w:w="1795" w:type="dxa"/>
            <w:shd w:val="clear" w:color="auto" w:fill="auto"/>
          </w:tcPr>
          <w:p w14:paraId="415D27F8" w14:textId="77777777" w:rsidR="000E2816" w:rsidRPr="0075563B" w:rsidRDefault="000E2816" w:rsidP="006B322C">
            <w:pPr>
              <w:jc w:val="left"/>
              <w:rPr>
                <w:rFonts w:eastAsia="MS Mincho"/>
                <w:b/>
                <w:kern w:val="22"/>
                <w:szCs w:val="22"/>
              </w:rPr>
            </w:pPr>
            <w:r w:rsidRPr="0075563B">
              <w:rPr>
                <w:b/>
                <w:szCs w:val="22"/>
              </w:rPr>
              <w:t xml:space="preserve">A.7. Las Partes han establecido medidas para cumplir con los requisitos de manipulación, transporte, envasado e identificación de </w:t>
            </w:r>
            <w:proofErr w:type="spellStart"/>
            <w:r w:rsidRPr="0075563B">
              <w:rPr>
                <w:b/>
                <w:szCs w:val="22"/>
              </w:rPr>
              <w:lastRenderedPageBreak/>
              <w:t>OVM</w:t>
            </w:r>
            <w:proofErr w:type="spellEnd"/>
            <w:r w:rsidRPr="0075563B">
              <w:rPr>
                <w:b/>
                <w:szCs w:val="22"/>
              </w:rPr>
              <w:t xml:space="preserve"> en virtud del Protocolo</w:t>
            </w:r>
          </w:p>
        </w:tc>
        <w:tc>
          <w:tcPr>
            <w:tcW w:w="2250" w:type="dxa"/>
          </w:tcPr>
          <w:p w14:paraId="2DD33F45" w14:textId="77777777" w:rsidR="000E2816" w:rsidRPr="0075563B" w:rsidRDefault="000E2816" w:rsidP="006B322C">
            <w:pPr>
              <w:spacing w:before="60" w:after="60"/>
              <w:jc w:val="left"/>
              <w:rPr>
                <w:rFonts w:eastAsia="MS Mincho"/>
                <w:kern w:val="22"/>
                <w:szCs w:val="22"/>
              </w:rPr>
            </w:pPr>
            <w:r w:rsidRPr="0075563B">
              <w:rPr>
                <w:szCs w:val="22"/>
              </w:rPr>
              <w:lastRenderedPageBreak/>
              <w:t xml:space="preserve">A.7.1. Las Partes han adoptado las medidas necesarias para exigir que los </w:t>
            </w:r>
            <w:proofErr w:type="spellStart"/>
            <w:r w:rsidRPr="0075563B">
              <w:rPr>
                <w:szCs w:val="22"/>
              </w:rPr>
              <w:t>OVM</w:t>
            </w:r>
            <w:proofErr w:type="spellEnd"/>
            <w:r w:rsidRPr="0075563B">
              <w:rPr>
                <w:szCs w:val="22"/>
              </w:rPr>
              <w:t xml:space="preserve"> objeto de movimientos transfronterizos sean manipulados, envasados y transportados en condiciones de </w:t>
            </w:r>
            <w:r w:rsidRPr="0075563B">
              <w:rPr>
                <w:szCs w:val="22"/>
              </w:rPr>
              <w:lastRenderedPageBreak/>
              <w:t>seguridad, teniendo en cuenta las normas y los estándares internacionales pertinentes</w:t>
            </w:r>
          </w:p>
          <w:p w14:paraId="1C2EFC4E" w14:textId="77777777" w:rsidR="000E2816" w:rsidRPr="0075563B" w:rsidRDefault="000E2816" w:rsidP="006B322C">
            <w:pPr>
              <w:spacing w:before="60" w:after="60"/>
              <w:jc w:val="left"/>
              <w:rPr>
                <w:rFonts w:eastAsia="MS Mincho"/>
                <w:kern w:val="22"/>
                <w:szCs w:val="22"/>
              </w:rPr>
            </w:pPr>
            <w:r w:rsidRPr="0075563B">
              <w:rPr>
                <w:szCs w:val="22"/>
              </w:rPr>
              <w:t xml:space="preserve">A.7.2. Las Partes han establecido medidas para cumplir con los requisitos de documentación para </w:t>
            </w:r>
            <w:proofErr w:type="spellStart"/>
            <w:r w:rsidRPr="0075563B">
              <w:rPr>
                <w:szCs w:val="22"/>
              </w:rPr>
              <w:t>OVM</w:t>
            </w:r>
            <w:proofErr w:type="spellEnd"/>
            <w:r w:rsidRPr="0075563B">
              <w:rPr>
                <w:szCs w:val="22"/>
              </w:rPr>
              <w:t xml:space="preserve"> destinados a uso directo como alimento humano o animal, o para procesamiento; </w:t>
            </w:r>
            <w:proofErr w:type="spellStart"/>
            <w:r w:rsidRPr="0075563B">
              <w:rPr>
                <w:szCs w:val="22"/>
              </w:rPr>
              <w:t>OVM</w:t>
            </w:r>
            <w:proofErr w:type="spellEnd"/>
            <w:r w:rsidRPr="0075563B">
              <w:rPr>
                <w:szCs w:val="22"/>
              </w:rPr>
              <w:t xml:space="preserve"> destinados para uso confinado; </w:t>
            </w:r>
            <w:proofErr w:type="spellStart"/>
            <w:r w:rsidRPr="0075563B">
              <w:rPr>
                <w:szCs w:val="22"/>
              </w:rPr>
              <w:t>OVM</w:t>
            </w:r>
            <w:proofErr w:type="spellEnd"/>
            <w:r w:rsidRPr="0075563B">
              <w:rPr>
                <w:szCs w:val="22"/>
              </w:rPr>
              <w:t xml:space="preserve"> destinados a su introducción intencional en el medio ambiente y otros </w:t>
            </w:r>
            <w:proofErr w:type="spellStart"/>
            <w:r w:rsidRPr="0075563B">
              <w:rPr>
                <w:szCs w:val="22"/>
              </w:rPr>
              <w:t>OVM</w:t>
            </w:r>
            <w:proofErr w:type="spellEnd"/>
          </w:p>
        </w:tc>
        <w:tc>
          <w:tcPr>
            <w:tcW w:w="2970" w:type="dxa"/>
            <w:shd w:val="clear" w:color="auto" w:fill="auto"/>
          </w:tcPr>
          <w:p w14:paraId="519205B1" w14:textId="090767C4" w:rsidR="000E2816" w:rsidRPr="0075563B" w:rsidRDefault="000E2816" w:rsidP="00C57AD4">
            <w:pPr>
              <w:spacing w:before="60" w:after="60"/>
              <w:jc w:val="left"/>
              <w:rPr>
                <w:rFonts w:eastAsia="MS Mincho"/>
                <w:kern w:val="22"/>
                <w:szCs w:val="22"/>
              </w:rPr>
            </w:pPr>
            <w:r w:rsidRPr="0075563B">
              <w:rPr>
                <w:szCs w:val="22"/>
              </w:rPr>
              <w:lastRenderedPageBreak/>
              <w:t xml:space="preserve">a) Porcentaje de Partes que han adoptado las medidas necesarias para requerir que los </w:t>
            </w:r>
            <w:proofErr w:type="spellStart"/>
            <w:r w:rsidRPr="0075563B">
              <w:rPr>
                <w:szCs w:val="22"/>
              </w:rPr>
              <w:t>OVM</w:t>
            </w:r>
            <w:proofErr w:type="spellEnd"/>
            <w:r w:rsidRPr="0075563B">
              <w:rPr>
                <w:szCs w:val="22"/>
              </w:rPr>
              <w:t xml:space="preserve"> objeto de movimientos transfronterizos sean manipulados, envasados y transportados en condiciones de seguridad, teniendo en cuenta las normas y los </w:t>
            </w:r>
            <w:r w:rsidRPr="0075563B">
              <w:rPr>
                <w:szCs w:val="22"/>
              </w:rPr>
              <w:lastRenderedPageBreak/>
              <w:t>estándares internacionales pertinentes;</w:t>
            </w:r>
          </w:p>
          <w:p w14:paraId="69F12A78" w14:textId="7C2483E5" w:rsidR="000E2816" w:rsidRPr="0075563B" w:rsidRDefault="000E2816" w:rsidP="006B322C">
            <w:pPr>
              <w:jc w:val="left"/>
              <w:rPr>
                <w:rFonts w:eastAsia="MS Mincho"/>
                <w:kern w:val="22"/>
                <w:szCs w:val="22"/>
              </w:rPr>
            </w:pPr>
            <w:r w:rsidRPr="0075563B">
              <w:rPr>
                <w:szCs w:val="22"/>
              </w:rPr>
              <w:t xml:space="preserve">b) Porcentaje de Partes que han establecido requisitos de documentación para </w:t>
            </w:r>
            <w:proofErr w:type="spellStart"/>
            <w:r w:rsidRPr="0075563B">
              <w:rPr>
                <w:szCs w:val="22"/>
              </w:rPr>
              <w:t>OVM</w:t>
            </w:r>
            <w:proofErr w:type="spellEnd"/>
            <w:r w:rsidRPr="0075563B">
              <w:rPr>
                <w:szCs w:val="22"/>
              </w:rPr>
              <w:t xml:space="preserve"> destinados a uso directo como alimento humano o animal, o para procesamiento;</w:t>
            </w:r>
          </w:p>
          <w:p w14:paraId="63F72F42" w14:textId="1FE4E327" w:rsidR="000E2816" w:rsidRPr="0075563B" w:rsidRDefault="000E2816" w:rsidP="006B322C">
            <w:pPr>
              <w:jc w:val="left"/>
              <w:rPr>
                <w:rFonts w:eastAsia="MS Mincho"/>
                <w:kern w:val="22"/>
                <w:szCs w:val="22"/>
              </w:rPr>
            </w:pPr>
            <w:r w:rsidRPr="0075563B">
              <w:rPr>
                <w:szCs w:val="22"/>
              </w:rPr>
              <w:t xml:space="preserve">c) Porcentaje de Partes que han establecido requisitos de documentación para </w:t>
            </w:r>
            <w:proofErr w:type="spellStart"/>
            <w:r w:rsidRPr="0075563B">
              <w:rPr>
                <w:szCs w:val="22"/>
              </w:rPr>
              <w:t>OVM</w:t>
            </w:r>
            <w:proofErr w:type="spellEnd"/>
            <w:r w:rsidRPr="0075563B">
              <w:rPr>
                <w:szCs w:val="22"/>
              </w:rPr>
              <w:t xml:space="preserve"> destinados para uso confinado;</w:t>
            </w:r>
          </w:p>
          <w:p w14:paraId="1CDCE5DF" w14:textId="57CAEBB5" w:rsidR="000E2816" w:rsidRPr="0075563B" w:rsidRDefault="000E2816" w:rsidP="006B322C">
            <w:pPr>
              <w:jc w:val="left"/>
              <w:rPr>
                <w:rFonts w:eastAsia="MS Mincho"/>
                <w:kern w:val="22"/>
                <w:szCs w:val="22"/>
              </w:rPr>
            </w:pPr>
            <w:r w:rsidRPr="0075563B">
              <w:rPr>
                <w:szCs w:val="22"/>
              </w:rPr>
              <w:t xml:space="preserve">d) Porcentaje de Partes que han establecido requisitos de documentación para </w:t>
            </w:r>
            <w:proofErr w:type="spellStart"/>
            <w:r w:rsidRPr="0075563B">
              <w:rPr>
                <w:szCs w:val="22"/>
              </w:rPr>
              <w:t>OVM</w:t>
            </w:r>
            <w:proofErr w:type="spellEnd"/>
            <w:r w:rsidRPr="0075563B">
              <w:rPr>
                <w:szCs w:val="22"/>
              </w:rPr>
              <w:t xml:space="preserve"> destinados a su introducción intencional en el medio ambiente y otros </w:t>
            </w:r>
            <w:proofErr w:type="spellStart"/>
            <w:r w:rsidRPr="0075563B">
              <w:rPr>
                <w:szCs w:val="22"/>
              </w:rPr>
              <w:t>OVM</w:t>
            </w:r>
            <w:proofErr w:type="spellEnd"/>
            <w:r w:rsidRPr="0075563B">
              <w:rPr>
                <w:szCs w:val="22"/>
              </w:rPr>
              <w:t>.</w:t>
            </w:r>
          </w:p>
        </w:tc>
        <w:tc>
          <w:tcPr>
            <w:tcW w:w="2183" w:type="dxa"/>
            <w:shd w:val="clear" w:color="auto" w:fill="auto"/>
          </w:tcPr>
          <w:p w14:paraId="616B6F41" w14:textId="77777777" w:rsidR="000E2816" w:rsidRPr="0075563B" w:rsidRDefault="000E2816" w:rsidP="00C57AD4">
            <w:pPr>
              <w:spacing w:before="60" w:after="60"/>
              <w:jc w:val="left"/>
              <w:rPr>
                <w:rFonts w:eastAsia="MS Mincho"/>
                <w:kern w:val="22"/>
                <w:szCs w:val="22"/>
              </w:rPr>
            </w:pPr>
            <w:r w:rsidRPr="0075563B">
              <w:rPr>
                <w:szCs w:val="22"/>
              </w:rPr>
              <w:lastRenderedPageBreak/>
              <w:t xml:space="preserve">Mediante la manipulación, transporte, envasado e identificación adecuada de </w:t>
            </w:r>
            <w:proofErr w:type="spellStart"/>
            <w:r w:rsidRPr="0075563B">
              <w:rPr>
                <w:szCs w:val="22"/>
              </w:rPr>
              <w:t>OVM</w:t>
            </w:r>
            <w:proofErr w:type="spellEnd"/>
            <w:r w:rsidRPr="0075563B">
              <w:rPr>
                <w:szCs w:val="22"/>
              </w:rPr>
              <w:t xml:space="preserve">, las Partes pueden gestionar con seguridad los movimientos transfronterizos </w:t>
            </w:r>
            <w:r w:rsidRPr="0075563B">
              <w:rPr>
                <w:szCs w:val="22"/>
              </w:rPr>
              <w:lastRenderedPageBreak/>
              <w:t xml:space="preserve">intencionales de </w:t>
            </w:r>
            <w:proofErr w:type="spellStart"/>
            <w:r w:rsidRPr="0075563B">
              <w:rPr>
                <w:szCs w:val="22"/>
              </w:rPr>
              <w:t>OVM</w:t>
            </w:r>
            <w:proofErr w:type="spellEnd"/>
            <w:r w:rsidRPr="0075563B">
              <w:rPr>
                <w:szCs w:val="22"/>
              </w:rPr>
              <w:t xml:space="preserve">  </w:t>
            </w:r>
          </w:p>
        </w:tc>
        <w:tc>
          <w:tcPr>
            <w:tcW w:w="2317" w:type="dxa"/>
            <w:vMerge/>
            <w:shd w:val="clear" w:color="auto" w:fill="auto"/>
            <w:vAlign w:val="center"/>
          </w:tcPr>
          <w:p w14:paraId="7198093F" w14:textId="77777777" w:rsidR="000E2816" w:rsidRPr="0075563B" w:rsidRDefault="000E2816" w:rsidP="006B322C">
            <w:pPr>
              <w:jc w:val="left"/>
              <w:rPr>
                <w:rFonts w:eastAsia="MS Mincho"/>
                <w:kern w:val="22"/>
                <w:szCs w:val="22"/>
              </w:rPr>
            </w:pPr>
          </w:p>
        </w:tc>
        <w:tc>
          <w:tcPr>
            <w:tcW w:w="2903" w:type="dxa"/>
            <w:vMerge/>
            <w:shd w:val="clear" w:color="auto" w:fill="auto"/>
            <w:vAlign w:val="center"/>
          </w:tcPr>
          <w:p w14:paraId="70A7A0A8" w14:textId="77777777" w:rsidR="000E2816" w:rsidRPr="0075563B" w:rsidRDefault="000E2816" w:rsidP="006B322C">
            <w:pPr>
              <w:jc w:val="left"/>
              <w:rPr>
                <w:rFonts w:eastAsia="MS Mincho"/>
                <w:kern w:val="22"/>
                <w:szCs w:val="22"/>
              </w:rPr>
            </w:pPr>
          </w:p>
        </w:tc>
      </w:tr>
      <w:tr w:rsidR="000E2816" w:rsidRPr="0075563B" w14:paraId="054EB98F" w14:textId="77777777" w:rsidTr="00B72DE7">
        <w:tc>
          <w:tcPr>
            <w:tcW w:w="1795" w:type="dxa"/>
            <w:shd w:val="clear" w:color="auto" w:fill="auto"/>
          </w:tcPr>
          <w:p w14:paraId="36731326" w14:textId="77777777" w:rsidR="000E2816" w:rsidRPr="0075563B" w:rsidRDefault="000E2816" w:rsidP="006B322C">
            <w:pPr>
              <w:jc w:val="left"/>
              <w:rPr>
                <w:rFonts w:eastAsia="MS Mincho"/>
                <w:b/>
                <w:kern w:val="22"/>
                <w:szCs w:val="22"/>
              </w:rPr>
            </w:pPr>
            <w:r w:rsidRPr="0075563B">
              <w:rPr>
                <w:b/>
                <w:szCs w:val="22"/>
              </w:rPr>
              <w:t xml:space="preserve">A.8. Las Partes son capaces de detectar e identificar </w:t>
            </w:r>
            <w:proofErr w:type="spellStart"/>
            <w:r w:rsidRPr="0075563B">
              <w:rPr>
                <w:b/>
                <w:szCs w:val="22"/>
              </w:rPr>
              <w:t>OVM</w:t>
            </w:r>
            <w:proofErr w:type="spellEnd"/>
          </w:p>
        </w:tc>
        <w:tc>
          <w:tcPr>
            <w:tcW w:w="2250" w:type="dxa"/>
          </w:tcPr>
          <w:p w14:paraId="77B271D1" w14:textId="77777777" w:rsidR="000E2816" w:rsidRPr="0075563B" w:rsidRDefault="000E2816" w:rsidP="006B322C">
            <w:pPr>
              <w:spacing w:before="60" w:after="60"/>
              <w:jc w:val="left"/>
              <w:rPr>
                <w:rFonts w:eastAsia="MS Mincho"/>
                <w:kern w:val="22"/>
                <w:szCs w:val="22"/>
              </w:rPr>
            </w:pPr>
            <w:r w:rsidRPr="0075563B">
              <w:rPr>
                <w:szCs w:val="22"/>
              </w:rPr>
              <w:t xml:space="preserve">A.8.1. Las Partes tienen acceso a la infraestructura técnica y a los conocimientos especializados necesarios para la detección e identificación de </w:t>
            </w:r>
            <w:proofErr w:type="spellStart"/>
            <w:r w:rsidRPr="0075563B">
              <w:rPr>
                <w:szCs w:val="22"/>
              </w:rPr>
              <w:t>OVM</w:t>
            </w:r>
            <w:proofErr w:type="spellEnd"/>
            <w:r w:rsidRPr="0075563B">
              <w:rPr>
                <w:szCs w:val="22"/>
              </w:rPr>
              <w:t xml:space="preserve"> </w:t>
            </w:r>
          </w:p>
          <w:p w14:paraId="13C5570A" w14:textId="77777777" w:rsidR="000E2816" w:rsidRPr="0075563B" w:rsidRDefault="000E2816" w:rsidP="006B322C">
            <w:pPr>
              <w:spacing w:before="60" w:after="60"/>
              <w:jc w:val="left"/>
              <w:rPr>
                <w:rFonts w:eastAsia="MS Mincho"/>
                <w:kern w:val="22"/>
                <w:szCs w:val="22"/>
              </w:rPr>
            </w:pPr>
            <w:r w:rsidRPr="0075563B">
              <w:rPr>
                <w:szCs w:val="22"/>
              </w:rPr>
              <w:lastRenderedPageBreak/>
              <w:t xml:space="preserve">A.8.2. Las Partes tienen acceso a materiales de referencia apropiados para la detección e identificación de </w:t>
            </w:r>
            <w:proofErr w:type="spellStart"/>
            <w:r w:rsidRPr="0075563B">
              <w:rPr>
                <w:szCs w:val="22"/>
              </w:rPr>
              <w:t>OVM</w:t>
            </w:r>
            <w:proofErr w:type="spellEnd"/>
            <w:r w:rsidRPr="0075563B">
              <w:rPr>
                <w:szCs w:val="22"/>
              </w:rPr>
              <w:t xml:space="preserve"> y los utilizan</w:t>
            </w:r>
          </w:p>
          <w:p w14:paraId="2BF4CE77" w14:textId="077F1971" w:rsidR="000E2816" w:rsidRPr="0075563B" w:rsidRDefault="000E2816" w:rsidP="005056BD">
            <w:pPr>
              <w:spacing w:before="60" w:after="60"/>
              <w:jc w:val="left"/>
              <w:rPr>
                <w:rFonts w:eastAsia="MS Mincho"/>
                <w:kern w:val="22"/>
                <w:szCs w:val="22"/>
              </w:rPr>
            </w:pPr>
            <w:r w:rsidRPr="0075563B">
              <w:rPr>
                <w:szCs w:val="22"/>
              </w:rPr>
              <w:t xml:space="preserve">A.8.3. Las Partes tienen disponible y utilizan la información necesaria para detectar e identificar </w:t>
            </w:r>
            <w:proofErr w:type="spellStart"/>
            <w:r w:rsidRPr="0075563B">
              <w:rPr>
                <w:szCs w:val="22"/>
              </w:rPr>
              <w:t>OVM</w:t>
            </w:r>
            <w:proofErr w:type="spellEnd"/>
            <w:r w:rsidRPr="0075563B">
              <w:rPr>
                <w:szCs w:val="22"/>
              </w:rPr>
              <w:t>, incluidos métodos de detección y materiales de referencia certificados</w:t>
            </w:r>
          </w:p>
        </w:tc>
        <w:tc>
          <w:tcPr>
            <w:tcW w:w="2970" w:type="dxa"/>
            <w:shd w:val="clear" w:color="auto" w:fill="auto"/>
          </w:tcPr>
          <w:p w14:paraId="69A1733C" w14:textId="153E80B4" w:rsidR="000E2816" w:rsidRPr="0075563B" w:rsidRDefault="000E2816" w:rsidP="00C57AD4">
            <w:pPr>
              <w:spacing w:before="60" w:after="60"/>
              <w:jc w:val="left"/>
              <w:rPr>
                <w:rFonts w:eastAsia="MS Mincho"/>
                <w:kern w:val="22"/>
                <w:szCs w:val="22"/>
              </w:rPr>
            </w:pPr>
            <w:r w:rsidRPr="0075563B">
              <w:rPr>
                <w:szCs w:val="22"/>
              </w:rPr>
              <w:lastRenderedPageBreak/>
              <w:t xml:space="preserve">a) Porcentaje de </w:t>
            </w:r>
            <w:proofErr w:type="spellStart"/>
            <w:r w:rsidRPr="0075563B">
              <w:rPr>
                <w:szCs w:val="22"/>
              </w:rPr>
              <w:t>OVM</w:t>
            </w:r>
            <w:proofErr w:type="spellEnd"/>
            <w:r w:rsidRPr="0075563B">
              <w:rPr>
                <w:szCs w:val="22"/>
              </w:rPr>
              <w:t xml:space="preserve"> en el </w:t>
            </w:r>
            <w:proofErr w:type="spellStart"/>
            <w:r w:rsidRPr="0075563B">
              <w:rPr>
                <w:szCs w:val="22"/>
              </w:rPr>
              <w:t>CIISB</w:t>
            </w:r>
            <w:proofErr w:type="spellEnd"/>
            <w:r w:rsidRPr="0075563B">
              <w:rPr>
                <w:szCs w:val="22"/>
              </w:rPr>
              <w:t xml:space="preserve"> para los que hay disponibles métodos de detección;</w:t>
            </w:r>
          </w:p>
          <w:p w14:paraId="71CEB3FD" w14:textId="19DC2946" w:rsidR="000E2816" w:rsidRPr="0075563B" w:rsidRDefault="000E2816" w:rsidP="006B322C">
            <w:pPr>
              <w:jc w:val="left"/>
              <w:rPr>
                <w:rFonts w:eastAsia="MS Mincho"/>
                <w:kern w:val="22"/>
                <w:szCs w:val="22"/>
              </w:rPr>
            </w:pPr>
            <w:r w:rsidRPr="0075563B">
              <w:rPr>
                <w:szCs w:val="22"/>
              </w:rPr>
              <w:t xml:space="preserve">b) Porcentaje de Partes que tienen disponibles y utilizan materiales de referencia y </w:t>
            </w:r>
            <w:r w:rsidRPr="0075563B">
              <w:rPr>
                <w:szCs w:val="22"/>
              </w:rPr>
              <w:lastRenderedPageBreak/>
              <w:t xml:space="preserve">métodos para detectar e identificar </w:t>
            </w:r>
            <w:proofErr w:type="spellStart"/>
            <w:r w:rsidRPr="0075563B">
              <w:rPr>
                <w:szCs w:val="22"/>
              </w:rPr>
              <w:t>OVM</w:t>
            </w:r>
            <w:proofErr w:type="spellEnd"/>
            <w:r w:rsidRPr="0075563B">
              <w:rPr>
                <w:szCs w:val="22"/>
              </w:rPr>
              <w:t>;</w:t>
            </w:r>
          </w:p>
          <w:p w14:paraId="21DBE008" w14:textId="2E281888" w:rsidR="000E2816" w:rsidRPr="0075563B" w:rsidRDefault="000E2816" w:rsidP="006B322C">
            <w:pPr>
              <w:jc w:val="left"/>
              <w:rPr>
                <w:rFonts w:eastAsia="MS Mincho"/>
                <w:kern w:val="22"/>
                <w:szCs w:val="22"/>
              </w:rPr>
            </w:pPr>
            <w:r w:rsidRPr="0075563B">
              <w:rPr>
                <w:szCs w:val="22"/>
              </w:rPr>
              <w:t xml:space="preserve">c) Porcentaje de Partes que tienen disponibles y utilizan materiales de referencia certificados que sean necesarios para detectar e identificar </w:t>
            </w:r>
            <w:proofErr w:type="spellStart"/>
            <w:r w:rsidRPr="0075563B">
              <w:rPr>
                <w:szCs w:val="22"/>
              </w:rPr>
              <w:t>OVM</w:t>
            </w:r>
            <w:proofErr w:type="spellEnd"/>
            <w:r w:rsidRPr="0075563B">
              <w:rPr>
                <w:szCs w:val="22"/>
              </w:rPr>
              <w:t>;</w:t>
            </w:r>
          </w:p>
          <w:p w14:paraId="0B2E54C6" w14:textId="5341D26D" w:rsidR="000E2816" w:rsidRPr="0075563B" w:rsidRDefault="000E2816" w:rsidP="006B322C">
            <w:pPr>
              <w:jc w:val="left"/>
              <w:rPr>
                <w:rFonts w:eastAsia="MS Mincho"/>
                <w:kern w:val="22"/>
                <w:szCs w:val="22"/>
              </w:rPr>
            </w:pPr>
            <w:r w:rsidRPr="0075563B">
              <w:rPr>
                <w:szCs w:val="22"/>
              </w:rPr>
              <w:t xml:space="preserve">d) Porcentaje de Partes que tienen acceso a la infraestructura técnica necesaria para detectar e identificar </w:t>
            </w:r>
            <w:proofErr w:type="spellStart"/>
            <w:r w:rsidRPr="0075563B">
              <w:rPr>
                <w:szCs w:val="22"/>
              </w:rPr>
              <w:t>OVM</w:t>
            </w:r>
            <w:proofErr w:type="spellEnd"/>
            <w:r w:rsidRPr="0075563B">
              <w:rPr>
                <w:szCs w:val="22"/>
              </w:rPr>
              <w:t>.</w:t>
            </w:r>
          </w:p>
        </w:tc>
        <w:tc>
          <w:tcPr>
            <w:tcW w:w="2183" w:type="dxa"/>
            <w:shd w:val="clear" w:color="auto" w:fill="auto"/>
          </w:tcPr>
          <w:p w14:paraId="0B76D672" w14:textId="77777777" w:rsidR="000E2816" w:rsidRPr="0075563B" w:rsidRDefault="000E2816" w:rsidP="00C57AD4">
            <w:pPr>
              <w:spacing w:before="60" w:after="60"/>
              <w:jc w:val="left"/>
              <w:rPr>
                <w:rFonts w:eastAsia="MS Mincho"/>
                <w:kern w:val="22"/>
                <w:szCs w:val="22"/>
              </w:rPr>
            </w:pPr>
            <w:r w:rsidRPr="0075563B">
              <w:rPr>
                <w:szCs w:val="22"/>
              </w:rPr>
              <w:lastRenderedPageBreak/>
              <w:t xml:space="preserve">Mediante la detección e identificación de </w:t>
            </w:r>
            <w:proofErr w:type="spellStart"/>
            <w:r w:rsidRPr="0075563B">
              <w:rPr>
                <w:szCs w:val="22"/>
              </w:rPr>
              <w:t>OVM</w:t>
            </w:r>
            <w:proofErr w:type="spellEnd"/>
            <w:r w:rsidRPr="0075563B">
              <w:rPr>
                <w:szCs w:val="22"/>
              </w:rPr>
              <w:t xml:space="preserve">, las Partes pueden responder a los movimientos transfronterizos involuntarios e ilícitos y aplicar los requisitos de </w:t>
            </w:r>
            <w:r w:rsidRPr="0075563B">
              <w:rPr>
                <w:szCs w:val="22"/>
              </w:rPr>
              <w:lastRenderedPageBreak/>
              <w:t>manipulación, transporte, envasado e identificación de conformidad con el Protocolo</w:t>
            </w:r>
          </w:p>
        </w:tc>
        <w:tc>
          <w:tcPr>
            <w:tcW w:w="2317" w:type="dxa"/>
            <w:vMerge/>
            <w:shd w:val="clear" w:color="auto" w:fill="auto"/>
            <w:vAlign w:val="center"/>
          </w:tcPr>
          <w:p w14:paraId="690D94D3" w14:textId="77777777" w:rsidR="000E2816" w:rsidRPr="0075563B" w:rsidRDefault="000E2816" w:rsidP="006B322C">
            <w:pPr>
              <w:jc w:val="left"/>
              <w:rPr>
                <w:rFonts w:eastAsia="MS Mincho"/>
                <w:kern w:val="22"/>
                <w:szCs w:val="22"/>
              </w:rPr>
            </w:pPr>
          </w:p>
        </w:tc>
        <w:tc>
          <w:tcPr>
            <w:tcW w:w="2903" w:type="dxa"/>
            <w:vMerge/>
            <w:shd w:val="clear" w:color="auto" w:fill="auto"/>
            <w:vAlign w:val="center"/>
          </w:tcPr>
          <w:p w14:paraId="49135272" w14:textId="77777777" w:rsidR="000E2816" w:rsidRPr="0075563B" w:rsidRDefault="000E2816" w:rsidP="006B322C">
            <w:pPr>
              <w:jc w:val="left"/>
              <w:rPr>
                <w:rFonts w:eastAsia="MS Mincho"/>
                <w:kern w:val="22"/>
                <w:szCs w:val="22"/>
              </w:rPr>
            </w:pPr>
          </w:p>
        </w:tc>
      </w:tr>
      <w:tr w:rsidR="000E2816" w:rsidRPr="0075563B" w14:paraId="21F5C7E5" w14:textId="77777777" w:rsidTr="00B72DE7">
        <w:trPr>
          <w:trHeight w:val="752"/>
        </w:trPr>
        <w:tc>
          <w:tcPr>
            <w:tcW w:w="1795" w:type="dxa"/>
            <w:shd w:val="clear" w:color="auto" w:fill="auto"/>
          </w:tcPr>
          <w:p w14:paraId="383143C5" w14:textId="56BC5EE1" w:rsidR="000E2816" w:rsidRPr="0075563B" w:rsidRDefault="000E2816" w:rsidP="00D7465A">
            <w:pPr>
              <w:jc w:val="left"/>
              <w:rPr>
                <w:rFonts w:eastAsia="MS Mincho"/>
                <w:b/>
                <w:kern w:val="22"/>
                <w:szCs w:val="22"/>
              </w:rPr>
            </w:pPr>
            <w:r w:rsidRPr="0075563B">
              <w:rPr>
                <w:b/>
                <w:szCs w:val="22"/>
              </w:rPr>
              <w:t xml:space="preserve">A.9. Las Partes que </w:t>
            </w:r>
            <w:r w:rsidR="007A0B11" w:rsidRPr="0075563B">
              <w:rPr>
                <w:b/>
                <w:szCs w:val="22"/>
              </w:rPr>
              <w:t xml:space="preserve">así lo </w:t>
            </w:r>
            <w:r w:rsidRPr="0075563B">
              <w:rPr>
                <w:b/>
                <w:szCs w:val="22"/>
              </w:rPr>
              <w:t>deciden, tienen en cuenta consideraciones socioeconómica</w:t>
            </w:r>
            <w:r w:rsidR="00D7465A" w:rsidRPr="0075563B">
              <w:rPr>
                <w:b/>
                <w:szCs w:val="22"/>
              </w:rPr>
              <w:t>s</w:t>
            </w:r>
            <w:r w:rsidRPr="0075563B">
              <w:rPr>
                <w:b/>
                <w:szCs w:val="22"/>
              </w:rPr>
              <w:t xml:space="preserve"> al tomar decisiones sobre la importación de </w:t>
            </w:r>
            <w:proofErr w:type="spellStart"/>
            <w:r w:rsidRPr="0075563B">
              <w:rPr>
                <w:b/>
                <w:szCs w:val="22"/>
              </w:rPr>
              <w:t>OVM</w:t>
            </w:r>
            <w:proofErr w:type="spellEnd"/>
            <w:r w:rsidRPr="0075563B">
              <w:rPr>
                <w:b/>
                <w:szCs w:val="22"/>
              </w:rPr>
              <w:t xml:space="preserve"> y cooperan en la investigación e intercambio de información de </w:t>
            </w:r>
            <w:r w:rsidRPr="0075563B">
              <w:rPr>
                <w:b/>
                <w:szCs w:val="22"/>
              </w:rPr>
              <w:lastRenderedPageBreak/>
              <w:t>conformidad con el artículo 26 del Protocolo</w:t>
            </w:r>
          </w:p>
        </w:tc>
        <w:tc>
          <w:tcPr>
            <w:tcW w:w="2250" w:type="dxa"/>
          </w:tcPr>
          <w:p w14:paraId="5501A578" w14:textId="792B0152" w:rsidR="000E2816" w:rsidRPr="0075563B" w:rsidRDefault="000E2816" w:rsidP="00C57AD4">
            <w:pPr>
              <w:spacing w:before="60" w:after="60"/>
              <w:jc w:val="left"/>
              <w:rPr>
                <w:rFonts w:eastAsia="MS Mincho"/>
                <w:kern w:val="22"/>
                <w:szCs w:val="22"/>
              </w:rPr>
            </w:pPr>
            <w:r w:rsidRPr="0075563B">
              <w:rPr>
                <w:szCs w:val="22"/>
              </w:rPr>
              <w:lastRenderedPageBreak/>
              <w:t>A.9.1. Las Partes que así lo deciden, tienen en cuenta consideraciones socioeconómicas al tomar decisiones de conformidad con el artículo 26</w:t>
            </w:r>
          </w:p>
          <w:p w14:paraId="3B35E2AE" w14:textId="01DEAF3D" w:rsidR="000E2816" w:rsidRPr="0075563B" w:rsidRDefault="000E2816" w:rsidP="006B322C">
            <w:pPr>
              <w:jc w:val="left"/>
              <w:rPr>
                <w:rFonts w:eastAsia="MS Mincho"/>
                <w:kern w:val="22"/>
                <w:szCs w:val="22"/>
              </w:rPr>
            </w:pPr>
            <w:r w:rsidRPr="0075563B">
              <w:rPr>
                <w:szCs w:val="22"/>
              </w:rPr>
              <w:t xml:space="preserve">A.9.2. Las Partes que deciden tener en cuenta consideraciones socioeconómicas de conformidad con el </w:t>
            </w:r>
            <w:r w:rsidRPr="0075563B">
              <w:rPr>
                <w:szCs w:val="22"/>
              </w:rPr>
              <w:lastRenderedPageBreak/>
              <w:t>artículo 26 tienen acceso a materiales de referencia y pueden utilizarlos</w:t>
            </w:r>
          </w:p>
          <w:p w14:paraId="1D46113E" w14:textId="56F561CB" w:rsidR="000E2816" w:rsidRPr="0075563B" w:rsidRDefault="000E2816" w:rsidP="006B322C">
            <w:pPr>
              <w:spacing w:after="60"/>
              <w:jc w:val="left"/>
              <w:rPr>
                <w:rFonts w:eastAsia="MS Mincho"/>
                <w:kern w:val="22"/>
                <w:szCs w:val="22"/>
              </w:rPr>
            </w:pPr>
            <w:r w:rsidRPr="0075563B">
              <w:rPr>
                <w:szCs w:val="22"/>
              </w:rPr>
              <w:t xml:space="preserve">A.9.3. Las Partes cooperan en la investigación y el intercambio de información sobre cualquier impacto socioeconómico de los </w:t>
            </w:r>
            <w:proofErr w:type="spellStart"/>
            <w:r w:rsidRPr="0075563B">
              <w:rPr>
                <w:szCs w:val="22"/>
              </w:rPr>
              <w:t>OVM</w:t>
            </w:r>
            <w:proofErr w:type="spellEnd"/>
            <w:r w:rsidRPr="0075563B">
              <w:rPr>
                <w:szCs w:val="22"/>
              </w:rPr>
              <w:t>, particularmente en los pueblos indígenas y comunidades locales</w:t>
            </w:r>
          </w:p>
        </w:tc>
        <w:tc>
          <w:tcPr>
            <w:tcW w:w="2970" w:type="dxa"/>
            <w:shd w:val="clear" w:color="auto" w:fill="auto"/>
          </w:tcPr>
          <w:p w14:paraId="24103DCF" w14:textId="1EB59027" w:rsidR="000E2816" w:rsidRPr="0075563B" w:rsidRDefault="000E2816" w:rsidP="00C57AD4">
            <w:pPr>
              <w:spacing w:before="60" w:after="60"/>
              <w:jc w:val="left"/>
              <w:rPr>
                <w:rFonts w:eastAsia="MS Mincho"/>
                <w:kern w:val="22"/>
                <w:szCs w:val="22"/>
              </w:rPr>
            </w:pPr>
            <w:r w:rsidRPr="0075563B">
              <w:rPr>
                <w:szCs w:val="22"/>
              </w:rPr>
              <w:lastRenderedPageBreak/>
              <w:t>a) Porcentaje de Partes que tienen en cuenta consideraciones socioeconómicas en la toma de decisiones de conformidad con el artículo 26 del Protocolo;</w:t>
            </w:r>
          </w:p>
          <w:p w14:paraId="1E1FF037" w14:textId="3667E5C3" w:rsidR="000E2816" w:rsidRPr="0075563B" w:rsidRDefault="000E2816" w:rsidP="006B322C">
            <w:pPr>
              <w:jc w:val="left"/>
              <w:rPr>
                <w:rFonts w:eastAsia="MS Mincho"/>
                <w:kern w:val="22"/>
                <w:szCs w:val="22"/>
              </w:rPr>
            </w:pPr>
            <w:r w:rsidRPr="0075563B">
              <w:rPr>
                <w:szCs w:val="22"/>
              </w:rPr>
              <w:t>b) De las Partes que tienen en cuenta consideraciones socioeconómicas, el porcentaje que utiliza materiales de referencia para este fin;</w:t>
            </w:r>
          </w:p>
          <w:p w14:paraId="4A4F226E" w14:textId="7AC5A9A9" w:rsidR="000E2816" w:rsidRPr="0075563B" w:rsidRDefault="000E2816" w:rsidP="006B322C">
            <w:pPr>
              <w:jc w:val="left"/>
              <w:rPr>
                <w:rFonts w:eastAsia="MS Mincho"/>
                <w:kern w:val="22"/>
                <w:szCs w:val="22"/>
              </w:rPr>
            </w:pPr>
            <w:r w:rsidRPr="0075563B">
              <w:rPr>
                <w:szCs w:val="22"/>
              </w:rPr>
              <w:t xml:space="preserve">c) Porcentaje de Partes que cooperan en la investigación e </w:t>
            </w:r>
            <w:r w:rsidRPr="0075563B">
              <w:rPr>
                <w:szCs w:val="22"/>
              </w:rPr>
              <w:lastRenderedPageBreak/>
              <w:t xml:space="preserve">intercambio de información sobre cualquier impacto socioeconómico de los </w:t>
            </w:r>
            <w:proofErr w:type="spellStart"/>
            <w:r w:rsidRPr="0075563B">
              <w:rPr>
                <w:szCs w:val="22"/>
              </w:rPr>
              <w:t>OVM</w:t>
            </w:r>
            <w:proofErr w:type="spellEnd"/>
            <w:r w:rsidRPr="0075563B">
              <w:rPr>
                <w:szCs w:val="22"/>
              </w:rPr>
              <w:t>, especialmente en los pueblos indígenas y comunidades locales.</w:t>
            </w:r>
          </w:p>
          <w:p w14:paraId="58E8B57E" w14:textId="77777777" w:rsidR="000E2816" w:rsidRPr="0075563B" w:rsidRDefault="000E2816" w:rsidP="006B322C">
            <w:pPr>
              <w:jc w:val="left"/>
              <w:rPr>
                <w:rFonts w:eastAsia="MS Mincho"/>
                <w:kern w:val="22"/>
                <w:szCs w:val="22"/>
              </w:rPr>
            </w:pPr>
          </w:p>
        </w:tc>
        <w:tc>
          <w:tcPr>
            <w:tcW w:w="2183" w:type="dxa"/>
            <w:shd w:val="clear" w:color="auto" w:fill="auto"/>
          </w:tcPr>
          <w:p w14:paraId="72879350" w14:textId="6268AD78" w:rsidR="000E2816" w:rsidRPr="0075563B" w:rsidRDefault="000E2816" w:rsidP="00C57AD4">
            <w:pPr>
              <w:spacing w:before="60" w:after="60"/>
              <w:jc w:val="left"/>
              <w:rPr>
                <w:rFonts w:eastAsia="MS Mincho"/>
                <w:kern w:val="22"/>
                <w:szCs w:val="22"/>
              </w:rPr>
            </w:pPr>
            <w:r w:rsidRPr="0075563B">
              <w:rPr>
                <w:szCs w:val="22"/>
              </w:rPr>
              <w:lastRenderedPageBreak/>
              <w:t xml:space="preserve">El hecho de tener en cuenta consideraciones socioeconómicas de conformidad con el artículo 26 permite a las Partes que así lo decidan considerar una serie de cuestiones en la adopción de decisiones sobre las importaciones de </w:t>
            </w:r>
            <w:proofErr w:type="spellStart"/>
            <w:r w:rsidRPr="0075563B">
              <w:rPr>
                <w:szCs w:val="22"/>
              </w:rPr>
              <w:t>OVM</w:t>
            </w:r>
            <w:proofErr w:type="spellEnd"/>
            <w:r w:rsidRPr="0075563B">
              <w:rPr>
                <w:szCs w:val="22"/>
              </w:rPr>
              <w:t xml:space="preserve"> </w:t>
            </w:r>
          </w:p>
          <w:p w14:paraId="562B5D85" w14:textId="77777777" w:rsidR="000E2816" w:rsidRPr="0075563B" w:rsidRDefault="000E2816" w:rsidP="006B322C">
            <w:pPr>
              <w:jc w:val="left"/>
              <w:rPr>
                <w:rFonts w:eastAsia="MS Mincho"/>
                <w:kern w:val="22"/>
                <w:szCs w:val="22"/>
              </w:rPr>
            </w:pPr>
          </w:p>
        </w:tc>
        <w:tc>
          <w:tcPr>
            <w:tcW w:w="2317" w:type="dxa"/>
            <w:shd w:val="clear" w:color="auto" w:fill="auto"/>
          </w:tcPr>
          <w:p w14:paraId="58AFA217" w14:textId="2A41AE31" w:rsidR="000E2816" w:rsidRPr="0075563B" w:rsidRDefault="000E2816" w:rsidP="00C57AD4">
            <w:pPr>
              <w:spacing w:before="60" w:after="60"/>
              <w:jc w:val="left"/>
              <w:rPr>
                <w:rFonts w:eastAsia="MS Mincho"/>
                <w:kern w:val="22"/>
                <w:szCs w:val="22"/>
              </w:rPr>
            </w:pPr>
            <w:r w:rsidRPr="0075563B">
              <w:rPr>
                <w:szCs w:val="22"/>
              </w:rPr>
              <w:lastRenderedPageBreak/>
              <w:t>1) Fortalecimiento de la capacidad para tener en cuenta consideraciones socioeconómicas de conformidad con el artículo 26;</w:t>
            </w:r>
          </w:p>
          <w:p w14:paraId="64EA1FF9" w14:textId="34C46385" w:rsidR="000E2816" w:rsidRPr="0075563B" w:rsidRDefault="000E2816" w:rsidP="006B322C">
            <w:pPr>
              <w:jc w:val="left"/>
              <w:rPr>
                <w:rFonts w:eastAsia="MS Mincho"/>
                <w:kern w:val="22"/>
                <w:szCs w:val="22"/>
              </w:rPr>
            </w:pPr>
            <w:r w:rsidRPr="0075563B">
              <w:rPr>
                <w:szCs w:val="22"/>
              </w:rPr>
              <w:t>2) Desarrollo y acceso a materiales de referencia sobre consideraciones socioeconómicas.</w:t>
            </w:r>
          </w:p>
        </w:tc>
        <w:tc>
          <w:tcPr>
            <w:tcW w:w="2903" w:type="dxa"/>
            <w:shd w:val="clear" w:color="auto" w:fill="auto"/>
          </w:tcPr>
          <w:p w14:paraId="04D98893" w14:textId="6D2AB75C" w:rsidR="000E2816" w:rsidRPr="0075563B" w:rsidRDefault="000E2816" w:rsidP="00C57AD4">
            <w:pPr>
              <w:spacing w:before="60" w:after="60"/>
              <w:jc w:val="left"/>
              <w:rPr>
                <w:rFonts w:eastAsia="MS Mincho"/>
                <w:kern w:val="22"/>
                <w:szCs w:val="22"/>
              </w:rPr>
            </w:pPr>
            <w:r w:rsidRPr="0075563B">
              <w:rPr>
                <w:szCs w:val="22"/>
              </w:rPr>
              <w:t>i) Proporcionar capacitación a las autoridades nacionales competentes sobre la forma de tener en cuenta consideraciones socioeconómicas;</w:t>
            </w:r>
          </w:p>
          <w:p w14:paraId="28591F35" w14:textId="41F475C2" w:rsidR="000E2816" w:rsidRPr="0075563B" w:rsidRDefault="000E2816" w:rsidP="006B322C">
            <w:pPr>
              <w:jc w:val="left"/>
              <w:rPr>
                <w:rFonts w:eastAsia="MS Mincho"/>
                <w:kern w:val="22"/>
                <w:szCs w:val="22"/>
              </w:rPr>
            </w:pPr>
            <w:r w:rsidRPr="0075563B">
              <w:rPr>
                <w:szCs w:val="22"/>
              </w:rPr>
              <w:t xml:space="preserve">ii) Elaborar, actualizar y difundir material de capacitación sobre consideraciones socioeconómicas; </w:t>
            </w:r>
          </w:p>
          <w:p w14:paraId="7E0F09BE" w14:textId="4047A29C" w:rsidR="000E2816" w:rsidRPr="0075563B" w:rsidRDefault="000E2816" w:rsidP="006B322C">
            <w:pPr>
              <w:jc w:val="left"/>
              <w:rPr>
                <w:rFonts w:eastAsia="MS Mincho"/>
                <w:kern w:val="22"/>
                <w:szCs w:val="22"/>
              </w:rPr>
            </w:pPr>
            <w:r w:rsidRPr="0075563B">
              <w:rPr>
                <w:szCs w:val="22"/>
              </w:rPr>
              <w:t xml:space="preserve">iii) Compartir experiencias y enfoques para tener en cuenta </w:t>
            </w:r>
            <w:r w:rsidRPr="0075563B">
              <w:rPr>
                <w:szCs w:val="22"/>
              </w:rPr>
              <w:lastRenderedPageBreak/>
              <w:t>consideraciones socioeconómicas</w:t>
            </w:r>
            <w:r w:rsidR="002A3028">
              <w:rPr>
                <w:szCs w:val="22"/>
              </w:rPr>
              <w:t>.</w:t>
            </w:r>
            <w:r w:rsidRPr="0075563B">
              <w:rPr>
                <w:szCs w:val="22"/>
              </w:rPr>
              <w:t xml:space="preserve"> </w:t>
            </w:r>
          </w:p>
        </w:tc>
      </w:tr>
      <w:tr w:rsidR="000E2816" w:rsidRPr="0075563B" w14:paraId="119C88A7" w14:textId="77777777" w:rsidTr="00FF50CA">
        <w:tc>
          <w:tcPr>
            <w:tcW w:w="1795" w:type="dxa"/>
            <w:tcBorders>
              <w:bottom w:val="single" w:sz="4" w:space="0" w:color="auto"/>
            </w:tcBorders>
            <w:shd w:val="clear" w:color="auto" w:fill="auto"/>
          </w:tcPr>
          <w:p w14:paraId="6D02580F" w14:textId="77777777" w:rsidR="000E2816" w:rsidRPr="0075563B" w:rsidRDefault="000E2816" w:rsidP="006B322C">
            <w:pPr>
              <w:jc w:val="left"/>
              <w:rPr>
                <w:rFonts w:eastAsia="MS Mincho"/>
                <w:b/>
                <w:kern w:val="22"/>
                <w:szCs w:val="22"/>
              </w:rPr>
            </w:pPr>
            <w:r w:rsidRPr="0075563B">
              <w:rPr>
                <w:b/>
                <w:szCs w:val="22"/>
              </w:rPr>
              <w:lastRenderedPageBreak/>
              <w:t xml:space="preserve">A.10. Las Partes en el Protocolo de Cartagena pasan a ser Partes en el Protocolo Suplementario de Nagoya - Kuala Lumpur sobre Responsabilidad y Compensación y han establecido medidas para </w:t>
            </w:r>
            <w:r w:rsidRPr="0075563B">
              <w:rPr>
                <w:b/>
                <w:szCs w:val="22"/>
              </w:rPr>
              <w:lastRenderedPageBreak/>
              <w:t>cumplir con sus obligaciones en virtud del Protocolo Suplementario</w:t>
            </w:r>
          </w:p>
        </w:tc>
        <w:tc>
          <w:tcPr>
            <w:tcW w:w="2250" w:type="dxa"/>
            <w:tcBorders>
              <w:bottom w:val="single" w:sz="4" w:space="0" w:color="auto"/>
            </w:tcBorders>
          </w:tcPr>
          <w:p w14:paraId="0DF91650" w14:textId="77777777" w:rsidR="000E2816" w:rsidRPr="0075563B" w:rsidRDefault="000E2816" w:rsidP="00C57AD4">
            <w:pPr>
              <w:spacing w:before="60" w:after="60"/>
              <w:jc w:val="left"/>
              <w:rPr>
                <w:rFonts w:eastAsia="MS Mincho"/>
                <w:kern w:val="22"/>
                <w:szCs w:val="22"/>
              </w:rPr>
            </w:pPr>
            <w:r w:rsidRPr="0075563B">
              <w:rPr>
                <w:szCs w:val="22"/>
              </w:rPr>
              <w:lastRenderedPageBreak/>
              <w:t>A.10.1. Aumento del número de Partes en el Protocolo Suplementario</w:t>
            </w:r>
          </w:p>
          <w:p w14:paraId="27D9AD0B" w14:textId="77777777" w:rsidR="000E2816" w:rsidRPr="0075563B" w:rsidRDefault="000E2816" w:rsidP="006B322C">
            <w:pPr>
              <w:spacing w:before="60" w:after="60"/>
              <w:jc w:val="left"/>
              <w:rPr>
                <w:rFonts w:eastAsia="MS Mincho"/>
                <w:kern w:val="22"/>
                <w:szCs w:val="22"/>
              </w:rPr>
            </w:pPr>
            <w:r w:rsidRPr="0075563B">
              <w:rPr>
                <w:szCs w:val="22"/>
              </w:rPr>
              <w:t>A.10.2. Las Partes en el Protocolo Suplementario han adoptado y aplicado medidas apropiadas para dar efecto a las disposiciones del Protocolo Suplementario</w:t>
            </w:r>
          </w:p>
          <w:p w14:paraId="64D03864" w14:textId="77777777" w:rsidR="000E2816" w:rsidRPr="0075563B" w:rsidRDefault="000E2816" w:rsidP="006B322C">
            <w:pPr>
              <w:spacing w:before="60" w:after="60"/>
              <w:jc w:val="left"/>
              <w:rPr>
                <w:rFonts w:eastAsia="MS Mincho"/>
                <w:kern w:val="22"/>
                <w:szCs w:val="22"/>
              </w:rPr>
            </w:pPr>
            <w:r w:rsidRPr="0075563B">
              <w:rPr>
                <w:szCs w:val="22"/>
              </w:rPr>
              <w:t xml:space="preserve">A.10.3 Las Partes en el Protocolo </w:t>
            </w:r>
            <w:r w:rsidRPr="0075563B">
              <w:rPr>
                <w:szCs w:val="22"/>
              </w:rPr>
              <w:lastRenderedPageBreak/>
              <w:t>Suplementario presentan informes sobre la aplicación de dicho Protocolo</w:t>
            </w:r>
          </w:p>
        </w:tc>
        <w:tc>
          <w:tcPr>
            <w:tcW w:w="2970" w:type="dxa"/>
            <w:tcBorders>
              <w:bottom w:val="single" w:sz="4" w:space="0" w:color="auto"/>
            </w:tcBorders>
            <w:shd w:val="clear" w:color="auto" w:fill="auto"/>
          </w:tcPr>
          <w:p w14:paraId="2310336A" w14:textId="1A991599" w:rsidR="000E2816" w:rsidRPr="0075563B" w:rsidRDefault="000E2816" w:rsidP="00C57AD4">
            <w:pPr>
              <w:spacing w:before="60" w:after="60"/>
              <w:jc w:val="left"/>
              <w:rPr>
                <w:rFonts w:eastAsia="MS Mincho"/>
                <w:kern w:val="22"/>
                <w:szCs w:val="22"/>
              </w:rPr>
            </w:pPr>
            <w:r w:rsidRPr="0075563B">
              <w:rPr>
                <w:szCs w:val="22"/>
              </w:rPr>
              <w:lastRenderedPageBreak/>
              <w:t>a) Porcentaje de Partes en el Protocolo de Cartagena que han pasado a ser Partes en el Protocolo Suplementario;</w:t>
            </w:r>
          </w:p>
          <w:p w14:paraId="3F91303E" w14:textId="4500CEB9" w:rsidR="000E2816" w:rsidRPr="0075563B" w:rsidRDefault="000E2816" w:rsidP="006B322C">
            <w:pPr>
              <w:jc w:val="left"/>
              <w:rPr>
                <w:rFonts w:eastAsia="MS Mincho"/>
                <w:kern w:val="22"/>
                <w:szCs w:val="22"/>
              </w:rPr>
            </w:pPr>
            <w:r w:rsidRPr="0075563B">
              <w:rPr>
                <w:szCs w:val="22"/>
              </w:rPr>
              <w:t>b) Porcentaje de Partes en el Protocolo Suplementario que han establecido las medidas necesarias para aplicar las disposiciones de dicho Protocolo;</w:t>
            </w:r>
          </w:p>
          <w:p w14:paraId="3FF47FFB" w14:textId="5492F45C" w:rsidR="000E2816" w:rsidRPr="0075563B" w:rsidRDefault="000E2816" w:rsidP="006B322C">
            <w:pPr>
              <w:jc w:val="left"/>
              <w:rPr>
                <w:rFonts w:eastAsia="MS Mincho"/>
                <w:kern w:val="22"/>
                <w:szCs w:val="22"/>
              </w:rPr>
            </w:pPr>
            <w:r w:rsidRPr="0075563B">
              <w:rPr>
                <w:szCs w:val="22"/>
              </w:rPr>
              <w:t xml:space="preserve">c) Porcentaje de Partes en el Protocolo Suplementario que presentan informes sobre la aplicación de dicho Protocolo.  </w:t>
            </w:r>
          </w:p>
        </w:tc>
        <w:tc>
          <w:tcPr>
            <w:tcW w:w="2183" w:type="dxa"/>
            <w:tcBorders>
              <w:bottom w:val="single" w:sz="4" w:space="0" w:color="auto"/>
            </w:tcBorders>
            <w:shd w:val="clear" w:color="auto" w:fill="auto"/>
          </w:tcPr>
          <w:p w14:paraId="21DEA8A3" w14:textId="77777777" w:rsidR="000E2816" w:rsidRPr="0075563B" w:rsidRDefault="000E2816" w:rsidP="00C57AD4">
            <w:pPr>
              <w:spacing w:before="60" w:after="60"/>
              <w:jc w:val="left"/>
              <w:rPr>
                <w:rFonts w:eastAsia="MS Mincho"/>
                <w:kern w:val="22"/>
                <w:szCs w:val="22"/>
              </w:rPr>
            </w:pPr>
            <w:r w:rsidRPr="0075563B">
              <w:rPr>
                <w:szCs w:val="22"/>
              </w:rPr>
              <w:t xml:space="preserve">El aumento del número de ratificaciones del Protocolo Suplementario de Nagoya - Kuala Lumpur sobre Responsabilidad y Compensación favorece el desarrollo de normas y procedimientos nacionales sobre responsabilidad y compensación por </w:t>
            </w:r>
            <w:r w:rsidRPr="0075563B">
              <w:rPr>
                <w:szCs w:val="22"/>
              </w:rPr>
              <w:lastRenderedPageBreak/>
              <w:t xml:space="preserve">daños resultantes de movimientos transfronterizos de </w:t>
            </w:r>
            <w:proofErr w:type="spellStart"/>
            <w:r w:rsidRPr="0075563B">
              <w:rPr>
                <w:szCs w:val="22"/>
              </w:rPr>
              <w:t>OVM</w:t>
            </w:r>
            <w:proofErr w:type="spellEnd"/>
          </w:p>
          <w:p w14:paraId="75F830A1" w14:textId="77777777" w:rsidR="000E2816" w:rsidRPr="0075563B" w:rsidRDefault="000E2816" w:rsidP="006B322C">
            <w:pPr>
              <w:jc w:val="left"/>
              <w:rPr>
                <w:rFonts w:eastAsia="MS Mincho"/>
                <w:kern w:val="22"/>
                <w:szCs w:val="22"/>
              </w:rPr>
            </w:pPr>
          </w:p>
        </w:tc>
        <w:tc>
          <w:tcPr>
            <w:tcW w:w="2317" w:type="dxa"/>
            <w:tcBorders>
              <w:bottom w:val="single" w:sz="4" w:space="0" w:color="auto"/>
            </w:tcBorders>
            <w:shd w:val="clear" w:color="auto" w:fill="auto"/>
          </w:tcPr>
          <w:p w14:paraId="4D6E9243" w14:textId="2F45C7CB" w:rsidR="000E2816" w:rsidRPr="0075563B" w:rsidRDefault="000E2816" w:rsidP="006B322C">
            <w:pPr>
              <w:spacing w:before="60" w:after="60"/>
              <w:jc w:val="left"/>
              <w:rPr>
                <w:rFonts w:eastAsia="MS Mincho"/>
                <w:kern w:val="22"/>
                <w:szCs w:val="22"/>
              </w:rPr>
            </w:pPr>
            <w:r w:rsidRPr="0075563B">
              <w:rPr>
                <w:szCs w:val="22"/>
              </w:rPr>
              <w:lastRenderedPageBreak/>
              <w:t xml:space="preserve">1) Apoyo a las Partes en el Protocolo de Cartagena para ratificar el Protocolo Suplementario; </w:t>
            </w:r>
          </w:p>
          <w:p w14:paraId="25EE0542" w14:textId="230E7623" w:rsidR="000E2816" w:rsidRPr="0075563B" w:rsidRDefault="000E2816" w:rsidP="006B322C">
            <w:pPr>
              <w:spacing w:before="60" w:after="60"/>
              <w:jc w:val="left"/>
              <w:rPr>
                <w:rFonts w:eastAsia="MS Mincho"/>
                <w:kern w:val="22"/>
                <w:szCs w:val="22"/>
              </w:rPr>
            </w:pPr>
            <w:r w:rsidRPr="0075563B">
              <w:rPr>
                <w:szCs w:val="22"/>
              </w:rPr>
              <w:t xml:space="preserve">2) Desarrollo de medidas nacionales jurídicas, administrativas y de otra índole para aplicar el Protocolo Suplementario; </w:t>
            </w:r>
          </w:p>
          <w:p w14:paraId="374C848D" w14:textId="7CD6E9D0" w:rsidR="000E2816" w:rsidRPr="0075563B" w:rsidRDefault="000E2816" w:rsidP="006B322C">
            <w:pPr>
              <w:spacing w:before="60" w:after="60"/>
              <w:jc w:val="left"/>
              <w:rPr>
                <w:rFonts w:eastAsia="MS Mincho"/>
                <w:kern w:val="22"/>
                <w:szCs w:val="22"/>
              </w:rPr>
            </w:pPr>
            <w:r w:rsidRPr="0075563B">
              <w:rPr>
                <w:szCs w:val="22"/>
              </w:rPr>
              <w:t xml:space="preserve">3) Elaboración y acceso a materiales de referencia, experiencias </w:t>
            </w:r>
            <w:r w:rsidRPr="0075563B">
              <w:rPr>
                <w:szCs w:val="22"/>
              </w:rPr>
              <w:lastRenderedPageBreak/>
              <w:t>y lecciones aprendidas en relación con la aplicación del Protocolo Suplementario;</w:t>
            </w:r>
          </w:p>
          <w:p w14:paraId="0D85EB52" w14:textId="5BD4CD3E" w:rsidR="000E2816" w:rsidRPr="0075563B" w:rsidRDefault="000E2816" w:rsidP="006B322C">
            <w:pPr>
              <w:spacing w:before="60" w:after="60"/>
              <w:jc w:val="left"/>
              <w:rPr>
                <w:rFonts w:eastAsia="MS Mincho"/>
                <w:kern w:val="22"/>
                <w:szCs w:val="22"/>
              </w:rPr>
            </w:pPr>
            <w:r w:rsidRPr="0075563B">
              <w:rPr>
                <w:szCs w:val="22"/>
              </w:rPr>
              <w:t>4) Fortalecimiento de las capacidades de las autoridades competentes de las Partes en el Protocolo Suplementario para cumplir sus funciones;</w:t>
            </w:r>
          </w:p>
          <w:p w14:paraId="65A150F3" w14:textId="5E1D06C1" w:rsidR="000E2816" w:rsidRPr="0075563B" w:rsidRDefault="000E2816" w:rsidP="006B322C">
            <w:pPr>
              <w:spacing w:before="60" w:after="60"/>
              <w:jc w:val="left"/>
              <w:rPr>
                <w:rFonts w:eastAsia="MS Mincho"/>
                <w:kern w:val="22"/>
                <w:szCs w:val="22"/>
              </w:rPr>
            </w:pPr>
            <w:r w:rsidRPr="0075563B">
              <w:rPr>
                <w:szCs w:val="22"/>
              </w:rPr>
              <w:t xml:space="preserve">5) Desarrollo o identificación de valores de referencia sobre la situación de la diversidad biológica. </w:t>
            </w:r>
          </w:p>
          <w:p w14:paraId="78AB61E6" w14:textId="77777777" w:rsidR="000E2816" w:rsidRPr="0075563B" w:rsidRDefault="000E2816" w:rsidP="006B322C">
            <w:pPr>
              <w:spacing w:before="60" w:after="60"/>
              <w:jc w:val="left"/>
              <w:rPr>
                <w:rFonts w:eastAsia="MS Mincho"/>
                <w:strike/>
                <w:kern w:val="22"/>
                <w:szCs w:val="22"/>
              </w:rPr>
            </w:pPr>
          </w:p>
        </w:tc>
        <w:tc>
          <w:tcPr>
            <w:tcW w:w="2903" w:type="dxa"/>
            <w:tcBorders>
              <w:bottom w:val="single" w:sz="4" w:space="0" w:color="auto"/>
            </w:tcBorders>
            <w:shd w:val="clear" w:color="auto" w:fill="auto"/>
          </w:tcPr>
          <w:p w14:paraId="61D7BCC6" w14:textId="0DD2A6F5" w:rsidR="000E2816" w:rsidRPr="0075563B" w:rsidRDefault="000E2816" w:rsidP="006B322C">
            <w:pPr>
              <w:spacing w:before="60" w:after="60"/>
              <w:jc w:val="left"/>
              <w:rPr>
                <w:rFonts w:eastAsia="MS Mincho"/>
                <w:kern w:val="22"/>
                <w:szCs w:val="22"/>
              </w:rPr>
            </w:pPr>
            <w:r w:rsidRPr="0075563B">
              <w:rPr>
                <w:szCs w:val="22"/>
              </w:rPr>
              <w:lastRenderedPageBreak/>
              <w:t>i) Aumentar la concienciación sobre el Protocolo Suplementario para apoyar su ratificación y aplicación;</w:t>
            </w:r>
          </w:p>
          <w:p w14:paraId="2C71DA76" w14:textId="655BB9E7" w:rsidR="000E2816" w:rsidRPr="0075563B" w:rsidRDefault="000E2816" w:rsidP="006B322C">
            <w:pPr>
              <w:spacing w:before="60" w:after="60"/>
              <w:jc w:val="left"/>
              <w:rPr>
                <w:rFonts w:eastAsia="MS Mincho"/>
                <w:kern w:val="22"/>
                <w:szCs w:val="22"/>
              </w:rPr>
            </w:pPr>
            <w:r w:rsidRPr="0075563B">
              <w:rPr>
                <w:szCs w:val="22"/>
              </w:rPr>
              <w:t>ii) Proporcionar capacitación sobre el análisis de leyes, políticas y marcos institucionales para determinar cómo abordan los requisitos del Protocolo Suplementario;</w:t>
            </w:r>
          </w:p>
          <w:p w14:paraId="26D6B53D" w14:textId="0AF7B5E7" w:rsidR="000E2816" w:rsidRPr="0075563B" w:rsidRDefault="000E2816" w:rsidP="006B322C">
            <w:pPr>
              <w:spacing w:before="60" w:after="60"/>
              <w:jc w:val="left"/>
              <w:rPr>
                <w:rFonts w:eastAsia="MS Mincho"/>
                <w:kern w:val="22"/>
                <w:szCs w:val="22"/>
              </w:rPr>
            </w:pPr>
            <w:r w:rsidRPr="0075563B">
              <w:rPr>
                <w:szCs w:val="22"/>
              </w:rPr>
              <w:t xml:space="preserve">iii) Proporcionar capacitación sobre la elaboración o enmienda de los marcos jurídicos y administrativos </w:t>
            </w:r>
            <w:r w:rsidRPr="0075563B">
              <w:rPr>
                <w:szCs w:val="22"/>
              </w:rPr>
              <w:lastRenderedPageBreak/>
              <w:t>nacionales para aplicar el Protocolo Suplementario;</w:t>
            </w:r>
          </w:p>
          <w:p w14:paraId="15F3ACDF" w14:textId="5C0A105F" w:rsidR="000E2816" w:rsidRPr="0075563B" w:rsidRDefault="000E2816" w:rsidP="006B322C">
            <w:pPr>
              <w:spacing w:before="60" w:after="60"/>
              <w:jc w:val="left"/>
              <w:rPr>
                <w:rFonts w:eastAsia="MS Mincho"/>
                <w:kern w:val="22"/>
                <w:szCs w:val="22"/>
              </w:rPr>
            </w:pPr>
            <w:r w:rsidRPr="0075563B">
              <w:rPr>
                <w:szCs w:val="22"/>
              </w:rPr>
              <w:t>iv) Elaborar materiales de referencia para ayudar a las autoridades competentes a cumplir con sus obligaciones en virtud del Protocolo Suplementario;</w:t>
            </w:r>
          </w:p>
          <w:p w14:paraId="403B93F8" w14:textId="79B241ED" w:rsidR="000E2816" w:rsidRPr="0075563B" w:rsidRDefault="000E2816" w:rsidP="006B322C">
            <w:pPr>
              <w:spacing w:before="60" w:after="60"/>
              <w:jc w:val="left"/>
              <w:rPr>
                <w:rFonts w:eastAsia="MS Mincho"/>
                <w:kern w:val="22"/>
                <w:szCs w:val="22"/>
              </w:rPr>
            </w:pPr>
            <w:r w:rsidRPr="0075563B">
              <w:rPr>
                <w:szCs w:val="22"/>
              </w:rPr>
              <w:t>v) Proporcionar capacitación a las autoridades competentes a fin de fortalecer la capacidad científica y técnica para evaluar los daños, establecer vínculos causales y determinar las respuestas apropiadas;</w:t>
            </w:r>
          </w:p>
          <w:p w14:paraId="48A86A55" w14:textId="4698111E" w:rsidR="000E2816" w:rsidRPr="0075563B" w:rsidRDefault="000E2816" w:rsidP="006B322C">
            <w:pPr>
              <w:spacing w:before="60" w:after="60"/>
              <w:jc w:val="left"/>
              <w:rPr>
                <w:rFonts w:eastAsia="MS Mincho"/>
                <w:kern w:val="22"/>
                <w:szCs w:val="22"/>
              </w:rPr>
            </w:pPr>
            <w:r w:rsidRPr="0075563B">
              <w:rPr>
                <w:szCs w:val="22"/>
              </w:rPr>
              <w:t xml:space="preserve">vi) Identificar las bases de datos y los sistemas de gestión de conocimientos pertinentes para determinar los valores de referencia y hacer un seguimiento de la situación de la diversidad biológica; </w:t>
            </w:r>
          </w:p>
          <w:p w14:paraId="3A20A667" w14:textId="5758CBC2" w:rsidR="000E2816" w:rsidRPr="0075563B" w:rsidRDefault="000E2816" w:rsidP="006B322C">
            <w:pPr>
              <w:spacing w:before="60" w:after="60"/>
              <w:jc w:val="left"/>
              <w:rPr>
                <w:rFonts w:eastAsia="MS Mincho"/>
                <w:kern w:val="22"/>
                <w:szCs w:val="22"/>
              </w:rPr>
            </w:pPr>
            <w:r w:rsidRPr="0075563B">
              <w:rPr>
                <w:szCs w:val="22"/>
              </w:rPr>
              <w:t>vii) Recopilar y compartir información sobre experiencias y lecciones aprendidas en la aplicación del Protocolo Suplementario.</w:t>
            </w:r>
          </w:p>
        </w:tc>
      </w:tr>
      <w:tr w:rsidR="000E2816" w:rsidRPr="0075563B" w14:paraId="10E9424B" w14:textId="77777777" w:rsidTr="00FF50CA">
        <w:trPr>
          <w:trHeight w:val="581"/>
        </w:trPr>
        <w:tc>
          <w:tcPr>
            <w:tcW w:w="14418" w:type="dxa"/>
            <w:gridSpan w:val="6"/>
            <w:tcBorders>
              <w:left w:val="nil"/>
              <w:right w:val="nil"/>
            </w:tcBorders>
            <w:shd w:val="clear" w:color="auto" w:fill="auto"/>
          </w:tcPr>
          <w:p w14:paraId="758F2E1F" w14:textId="1CB326D9" w:rsidR="000E2816" w:rsidRPr="0075563B" w:rsidRDefault="000E2816" w:rsidP="00FF50CA">
            <w:pPr>
              <w:spacing w:after="0"/>
              <w:jc w:val="center"/>
              <w:rPr>
                <w:rFonts w:eastAsia="MS Mincho"/>
                <w:kern w:val="22"/>
                <w:szCs w:val="22"/>
              </w:rPr>
            </w:pPr>
            <w:r w:rsidRPr="0075563B">
              <w:rPr>
                <w:b/>
                <w:bCs/>
                <w:szCs w:val="22"/>
              </w:rPr>
              <w:lastRenderedPageBreak/>
              <w:t xml:space="preserve">B. Entorno </w:t>
            </w:r>
            <w:r w:rsidR="00D7465A" w:rsidRPr="0075563B">
              <w:rPr>
                <w:b/>
                <w:bCs/>
                <w:szCs w:val="22"/>
              </w:rPr>
              <w:t>propicio</w:t>
            </w:r>
          </w:p>
        </w:tc>
      </w:tr>
      <w:tr w:rsidR="000E2816" w:rsidRPr="0075563B" w14:paraId="316C9934" w14:textId="77777777" w:rsidTr="00B72DE7">
        <w:tc>
          <w:tcPr>
            <w:tcW w:w="1795" w:type="dxa"/>
            <w:shd w:val="clear" w:color="auto" w:fill="auto"/>
          </w:tcPr>
          <w:p w14:paraId="5FA0E16E" w14:textId="77777777" w:rsidR="000E2816" w:rsidRPr="0075563B" w:rsidRDefault="000E2816" w:rsidP="00CE747E">
            <w:pPr>
              <w:jc w:val="left"/>
              <w:rPr>
                <w:rFonts w:eastAsia="MS Mincho"/>
                <w:b/>
                <w:kern w:val="22"/>
                <w:szCs w:val="22"/>
              </w:rPr>
            </w:pPr>
            <w:r w:rsidRPr="0075563B">
              <w:rPr>
                <w:b/>
                <w:szCs w:val="22"/>
              </w:rPr>
              <w:t xml:space="preserve">B.1. Las Partes participan en actividades de creación de capacidad </w:t>
            </w:r>
          </w:p>
        </w:tc>
        <w:tc>
          <w:tcPr>
            <w:tcW w:w="2250" w:type="dxa"/>
          </w:tcPr>
          <w:p w14:paraId="39F51CEA" w14:textId="77777777" w:rsidR="000E2816" w:rsidRPr="0075563B" w:rsidRDefault="000E2816" w:rsidP="00C57AD4">
            <w:pPr>
              <w:spacing w:before="60" w:after="60"/>
              <w:jc w:val="left"/>
              <w:rPr>
                <w:rFonts w:eastAsia="MS Mincho"/>
                <w:kern w:val="22"/>
                <w:szCs w:val="22"/>
              </w:rPr>
            </w:pPr>
            <w:r w:rsidRPr="0075563B">
              <w:rPr>
                <w:szCs w:val="22"/>
              </w:rPr>
              <w:t>B.1.1. Las Partes han determinado y establecido el orden de prioridad de sus necesidades de creación de capacidad</w:t>
            </w:r>
          </w:p>
          <w:p w14:paraId="0B6322B0" w14:textId="77777777" w:rsidR="000E2816" w:rsidRPr="0075563B" w:rsidRDefault="000E2816" w:rsidP="006B322C">
            <w:pPr>
              <w:spacing w:before="60" w:after="60"/>
              <w:jc w:val="left"/>
              <w:rPr>
                <w:rFonts w:eastAsia="MS Mincho"/>
                <w:kern w:val="22"/>
                <w:szCs w:val="22"/>
              </w:rPr>
            </w:pPr>
            <w:r w:rsidRPr="0075563B">
              <w:rPr>
                <w:szCs w:val="22"/>
              </w:rPr>
              <w:t xml:space="preserve">B.1.2. Las Partes llevan a cabo actividades para la creación de capacidad, según se indica en el Plan de acción para la creación de capacidad </w:t>
            </w:r>
          </w:p>
          <w:p w14:paraId="75368011" w14:textId="77777777" w:rsidR="000E2816" w:rsidRPr="0075563B" w:rsidRDefault="000E2816" w:rsidP="006B322C">
            <w:pPr>
              <w:spacing w:before="60" w:after="60"/>
              <w:jc w:val="left"/>
              <w:rPr>
                <w:rFonts w:eastAsia="MS Mincho"/>
                <w:kern w:val="22"/>
                <w:szCs w:val="22"/>
              </w:rPr>
            </w:pPr>
            <w:r w:rsidRPr="0075563B">
              <w:rPr>
                <w:szCs w:val="22"/>
              </w:rPr>
              <w:t>B.1.3. Las Partes utilizan materiales de creación de capacidad, incluidos recursos en línea</w:t>
            </w:r>
          </w:p>
          <w:p w14:paraId="46DC0CFA" w14:textId="77777777" w:rsidR="000E2816" w:rsidRPr="0075563B" w:rsidRDefault="000E2816" w:rsidP="006B322C">
            <w:pPr>
              <w:spacing w:before="60" w:after="60"/>
              <w:jc w:val="left"/>
              <w:rPr>
                <w:rFonts w:eastAsia="MS Mincho"/>
                <w:kern w:val="22"/>
                <w:szCs w:val="22"/>
              </w:rPr>
            </w:pPr>
            <w:r w:rsidRPr="0075563B">
              <w:rPr>
                <w:szCs w:val="22"/>
              </w:rPr>
              <w:t>B.1.4. Las Partes cooperan para fortalecer las capacidades para la aplicación del Protocolo</w:t>
            </w:r>
          </w:p>
        </w:tc>
        <w:tc>
          <w:tcPr>
            <w:tcW w:w="2970" w:type="dxa"/>
            <w:shd w:val="clear" w:color="auto" w:fill="auto"/>
          </w:tcPr>
          <w:p w14:paraId="02EAB5F4" w14:textId="10DFB9DF" w:rsidR="000E2816" w:rsidRPr="0075563B" w:rsidRDefault="000E2816" w:rsidP="00C57AD4">
            <w:pPr>
              <w:spacing w:before="60" w:after="60"/>
              <w:jc w:val="left"/>
              <w:rPr>
                <w:kern w:val="22"/>
                <w:szCs w:val="22"/>
              </w:rPr>
            </w:pPr>
            <w:r w:rsidRPr="0075563B">
              <w:rPr>
                <w:szCs w:val="22"/>
              </w:rPr>
              <w:t>a) Porcentaje de Partes que han determinado y establecido el orden de prioridad de sus necesidades de creación de capacidad;</w:t>
            </w:r>
          </w:p>
          <w:p w14:paraId="01531109" w14:textId="71EA53A2" w:rsidR="000E2816" w:rsidRPr="0075563B" w:rsidRDefault="000E2816" w:rsidP="006B322C">
            <w:pPr>
              <w:spacing w:before="60" w:after="60"/>
              <w:jc w:val="left"/>
              <w:rPr>
                <w:kern w:val="22"/>
                <w:szCs w:val="22"/>
              </w:rPr>
            </w:pPr>
            <w:r w:rsidRPr="0075563B">
              <w:rPr>
                <w:szCs w:val="22"/>
              </w:rPr>
              <w:t>b) Porcentaje de Partes que llevan a cabo actividades de creación de capacidad;</w:t>
            </w:r>
          </w:p>
          <w:p w14:paraId="6AC12D02" w14:textId="274241A9" w:rsidR="000E2816" w:rsidRPr="0075563B" w:rsidRDefault="000E2816" w:rsidP="006B322C">
            <w:pPr>
              <w:spacing w:before="60" w:after="60"/>
              <w:jc w:val="left"/>
              <w:rPr>
                <w:kern w:val="22"/>
                <w:szCs w:val="22"/>
              </w:rPr>
            </w:pPr>
            <w:r w:rsidRPr="0075563B">
              <w:rPr>
                <w:szCs w:val="22"/>
              </w:rPr>
              <w:t>c) Porcentaje de Partes con necesidades de creación de capacidad que utilizan los materiales de creación de capacidad, incluidos los recursos en línea;</w:t>
            </w:r>
          </w:p>
          <w:p w14:paraId="0FE8930B" w14:textId="59AAC9A7" w:rsidR="000E2816" w:rsidRPr="0075563B" w:rsidRDefault="000E2816" w:rsidP="006B322C">
            <w:pPr>
              <w:jc w:val="left"/>
              <w:rPr>
                <w:rFonts w:eastAsia="MS Mincho"/>
                <w:kern w:val="22"/>
                <w:szCs w:val="22"/>
              </w:rPr>
            </w:pPr>
            <w:r w:rsidRPr="0075563B">
              <w:rPr>
                <w:szCs w:val="22"/>
              </w:rPr>
              <w:t>d) Porcentaje de Partes que cooperan para fortalecer las capacidades para la aplicación del Protocolo.</w:t>
            </w:r>
          </w:p>
        </w:tc>
        <w:tc>
          <w:tcPr>
            <w:tcW w:w="2183" w:type="dxa"/>
            <w:shd w:val="clear" w:color="auto" w:fill="auto"/>
          </w:tcPr>
          <w:p w14:paraId="685DD440" w14:textId="77777777" w:rsidR="000E2816" w:rsidRPr="0075563B" w:rsidRDefault="000E2816" w:rsidP="00C57AD4">
            <w:pPr>
              <w:spacing w:before="60" w:after="60"/>
              <w:jc w:val="left"/>
              <w:rPr>
                <w:rFonts w:eastAsia="MS Mincho"/>
                <w:kern w:val="22"/>
                <w:szCs w:val="22"/>
              </w:rPr>
            </w:pPr>
            <w:r w:rsidRPr="0075563B">
              <w:rPr>
                <w:szCs w:val="22"/>
              </w:rPr>
              <w:t>Las Partes tienen la capacidad necesaria para aplicar el Protocolo</w:t>
            </w:r>
          </w:p>
        </w:tc>
        <w:tc>
          <w:tcPr>
            <w:tcW w:w="2317" w:type="dxa"/>
            <w:shd w:val="clear" w:color="auto" w:fill="auto"/>
          </w:tcPr>
          <w:p w14:paraId="72A4917C" w14:textId="5AA84FD9" w:rsidR="000E2816" w:rsidRPr="0075563B" w:rsidRDefault="000E2816" w:rsidP="006B322C">
            <w:pPr>
              <w:spacing w:before="60" w:after="60"/>
              <w:jc w:val="left"/>
              <w:rPr>
                <w:rFonts w:eastAsia="MS Mincho"/>
                <w:kern w:val="22"/>
                <w:szCs w:val="22"/>
              </w:rPr>
            </w:pPr>
            <w:r w:rsidRPr="0075563B">
              <w:rPr>
                <w:szCs w:val="22"/>
              </w:rPr>
              <w:t>1) Autoevaluación de las necesidades y prioridades de creación de capacidad;</w:t>
            </w:r>
          </w:p>
          <w:p w14:paraId="2E6E3404" w14:textId="6BE1E1C8" w:rsidR="000E2816" w:rsidRPr="0075563B" w:rsidRDefault="000E2816" w:rsidP="006B322C">
            <w:pPr>
              <w:spacing w:before="60" w:after="60"/>
              <w:jc w:val="left"/>
              <w:rPr>
                <w:rFonts w:eastAsia="MS Mincho"/>
                <w:kern w:val="22"/>
                <w:szCs w:val="22"/>
              </w:rPr>
            </w:pPr>
            <w:r w:rsidRPr="0075563B">
              <w:rPr>
                <w:szCs w:val="22"/>
              </w:rPr>
              <w:t>2) Prestación de apoyo para actividades de creación de capacidad;</w:t>
            </w:r>
          </w:p>
          <w:p w14:paraId="54CE3B91" w14:textId="539FB81B" w:rsidR="000E2816" w:rsidRPr="0075563B" w:rsidRDefault="000E2816" w:rsidP="006B322C">
            <w:pPr>
              <w:spacing w:before="60" w:after="60"/>
              <w:jc w:val="left"/>
              <w:rPr>
                <w:rFonts w:eastAsia="MS Mincho"/>
                <w:kern w:val="22"/>
                <w:szCs w:val="22"/>
              </w:rPr>
            </w:pPr>
            <w:r w:rsidRPr="0075563B">
              <w:rPr>
                <w:szCs w:val="22"/>
              </w:rPr>
              <w:t>3) Acceso a materiales de creación de capacidad;</w:t>
            </w:r>
          </w:p>
          <w:p w14:paraId="06D019C6" w14:textId="3166C6CA" w:rsidR="000E2816" w:rsidRPr="0075563B" w:rsidRDefault="000E2816" w:rsidP="006B322C">
            <w:pPr>
              <w:spacing w:before="60" w:after="60"/>
              <w:jc w:val="left"/>
              <w:rPr>
                <w:rFonts w:eastAsia="MS Mincho"/>
                <w:kern w:val="22"/>
                <w:szCs w:val="22"/>
              </w:rPr>
            </w:pPr>
            <w:r w:rsidRPr="0075563B">
              <w:rPr>
                <w:szCs w:val="22"/>
              </w:rPr>
              <w:t>4) Cooperación en actividades de creación de capacidad.</w:t>
            </w:r>
          </w:p>
        </w:tc>
        <w:tc>
          <w:tcPr>
            <w:tcW w:w="2903" w:type="dxa"/>
            <w:shd w:val="clear" w:color="auto" w:fill="auto"/>
          </w:tcPr>
          <w:p w14:paraId="78796A36" w14:textId="3DB32810" w:rsidR="000E2816" w:rsidRPr="0075563B" w:rsidRDefault="000E2816" w:rsidP="006B322C">
            <w:pPr>
              <w:spacing w:before="60" w:after="60"/>
              <w:jc w:val="left"/>
              <w:rPr>
                <w:rFonts w:eastAsia="MS Mincho"/>
                <w:kern w:val="22"/>
                <w:szCs w:val="22"/>
              </w:rPr>
            </w:pPr>
            <w:r w:rsidRPr="0075563B">
              <w:rPr>
                <w:szCs w:val="22"/>
              </w:rPr>
              <w:t>i) Realizar una autoevaluación de las necesidades y prioridades de creación de capacidad;</w:t>
            </w:r>
          </w:p>
          <w:p w14:paraId="64EC9D0A" w14:textId="060C1007" w:rsidR="000E2816" w:rsidRPr="0075563B" w:rsidRDefault="000E2816" w:rsidP="006B322C">
            <w:pPr>
              <w:spacing w:before="60" w:after="60"/>
              <w:jc w:val="left"/>
              <w:rPr>
                <w:rFonts w:eastAsia="MS Mincho"/>
                <w:kern w:val="22"/>
                <w:szCs w:val="22"/>
              </w:rPr>
            </w:pPr>
            <w:r w:rsidRPr="0075563B">
              <w:rPr>
                <w:szCs w:val="22"/>
              </w:rPr>
              <w:t xml:space="preserve">ii) Proporcionar apoyo técnico, financiero o de otro tipo para actividades de creación de capacidad, incluidas las que se esbozan en este Plan de acción para la creación de capacidad; </w:t>
            </w:r>
          </w:p>
          <w:p w14:paraId="6451798C" w14:textId="772543D1" w:rsidR="000E2816" w:rsidRPr="0075563B" w:rsidRDefault="000E2816" w:rsidP="006B322C">
            <w:pPr>
              <w:spacing w:before="60" w:after="60"/>
              <w:jc w:val="left"/>
              <w:rPr>
                <w:rFonts w:eastAsia="MS Mincho"/>
                <w:kern w:val="22"/>
                <w:szCs w:val="22"/>
              </w:rPr>
            </w:pPr>
            <w:r w:rsidRPr="0075563B">
              <w:rPr>
                <w:szCs w:val="22"/>
              </w:rPr>
              <w:t xml:space="preserve">iii) Elaborar y difundir materiales de creación de capacidad y los resultados de las actividades, también en los idiomas locales; </w:t>
            </w:r>
          </w:p>
          <w:p w14:paraId="24B0E5CC" w14:textId="1C00C52D" w:rsidR="000E2816" w:rsidRPr="0075563B" w:rsidRDefault="000E2816" w:rsidP="006B322C">
            <w:pPr>
              <w:spacing w:before="60" w:after="60"/>
              <w:jc w:val="left"/>
              <w:rPr>
                <w:rFonts w:eastAsia="MS Mincho"/>
                <w:kern w:val="22"/>
                <w:szCs w:val="22"/>
              </w:rPr>
            </w:pPr>
            <w:r w:rsidRPr="0075563B">
              <w:rPr>
                <w:szCs w:val="22"/>
              </w:rPr>
              <w:t>iv) Cooperar en los planos nacional, bilateral, regional y multilateral con los socios de los sectores pertinentes y las partes interesadas en la realización de actividades de creación de capacidad</w:t>
            </w:r>
            <w:r w:rsidR="0056693C">
              <w:rPr>
                <w:szCs w:val="22"/>
              </w:rPr>
              <w:t>.</w:t>
            </w:r>
          </w:p>
        </w:tc>
      </w:tr>
      <w:tr w:rsidR="000E2816" w:rsidRPr="0075563B" w14:paraId="061125B6" w14:textId="77777777" w:rsidTr="00B72DE7">
        <w:tc>
          <w:tcPr>
            <w:tcW w:w="1795" w:type="dxa"/>
            <w:shd w:val="clear" w:color="auto" w:fill="auto"/>
          </w:tcPr>
          <w:p w14:paraId="2E3E2E6B" w14:textId="77777777" w:rsidR="000E2816" w:rsidRPr="0075563B" w:rsidRDefault="000E2816" w:rsidP="00F75A1D">
            <w:pPr>
              <w:jc w:val="left"/>
              <w:rPr>
                <w:rFonts w:eastAsia="MS Mincho"/>
                <w:b/>
                <w:kern w:val="22"/>
                <w:szCs w:val="22"/>
              </w:rPr>
            </w:pPr>
            <w:r w:rsidRPr="0075563B">
              <w:rPr>
                <w:b/>
                <w:szCs w:val="22"/>
              </w:rPr>
              <w:t xml:space="preserve">B.2. Las Partes han movilizado recursos </w:t>
            </w:r>
            <w:r w:rsidRPr="0075563B">
              <w:rPr>
                <w:b/>
                <w:szCs w:val="22"/>
              </w:rPr>
              <w:lastRenderedPageBreak/>
              <w:t>adecuados para apoyar la aplicación del Protocolo</w:t>
            </w:r>
          </w:p>
        </w:tc>
        <w:tc>
          <w:tcPr>
            <w:tcW w:w="2250" w:type="dxa"/>
          </w:tcPr>
          <w:p w14:paraId="22878023" w14:textId="77777777" w:rsidR="000E2816" w:rsidRPr="0075563B" w:rsidRDefault="000E2816" w:rsidP="00C57AD4">
            <w:pPr>
              <w:spacing w:before="60" w:after="60"/>
              <w:jc w:val="left"/>
              <w:rPr>
                <w:rFonts w:eastAsia="MS Mincho"/>
                <w:kern w:val="22"/>
                <w:szCs w:val="22"/>
              </w:rPr>
            </w:pPr>
            <w:r w:rsidRPr="0075563B">
              <w:rPr>
                <w:szCs w:val="22"/>
              </w:rPr>
              <w:lastRenderedPageBreak/>
              <w:t xml:space="preserve">B.2.1. Se asignan recursos adecuados a la seguridad de la </w:t>
            </w:r>
            <w:r w:rsidRPr="0075563B">
              <w:rPr>
                <w:szCs w:val="22"/>
              </w:rPr>
              <w:lastRenderedPageBreak/>
              <w:t>biotecnología a través de los presupuestos nacionales</w:t>
            </w:r>
          </w:p>
          <w:p w14:paraId="434B7A35" w14:textId="77777777" w:rsidR="000E2816" w:rsidRPr="0075563B" w:rsidRDefault="000E2816" w:rsidP="006B322C">
            <w:pPr>
              <w:jc w:val="left"/>
              <w:rPr>
                <w:rFonts w:eastAsia="MS Mincho"/>
                <w:kern w:val="22"/>
                <w:szCs w:val="22"/>
              </w:rPr>
            </w:pPr>
            <w:r w:rsidRPr="0075563B">
              <w:rPr>
                <w:szCs w:val="22"/>
              </w:rPr>
              <w:t xml:space="preserve">B.2.2. Las Partes destinan parte de los recursos para la diversidad biológica asignados a los países mediante el Sistema </w:t>
            </w:r>
            <w:proofErr w:type="spellStart"/>
            <w:r w:rsidRPr="0075563B">
              <w:rPr>
                <w:szCs w:val="22"/>
              </w:rPr>
              <w:t>STAR</w:t>
            </w:r>
            <w:proofErr w:type="spellEnd"/>
            <w:r w:rsidRPr="0075563B">
              <w:rPr>
                <w:szCs w:val="22"/>
              </w:rPr>
              <w:t xml:space="preserve"> a la realización de actividades sobre seguridad de la biotecnología</w:t>
            </w:r>
          </w:p>
          <w:p w14:paraId="419C25A3" w14:textId="77777777" w:rsidR="000E2816" w:rsidRPr="0075563B" w:rsidRDefault="000E2816" w:rsidP="006B322C">
            <w:pPr>
              <w:spacing w:before="60" w:after="60"/>
              <w:jc w:val="left"/>
              <w:rPr>
                <w:rFonts w:eastAsia="MS Mincho"/>
                <w:kern w:val="22"/>
                <w:szCs w:val="22"/>
              </w:rPr>
            </w:pPr>
            <w:r w:rsidRPr="0075563B">
              <w:rPr>
                <w:szCs w:val="22"/>
              </w:rPr>
              <w:t>B.2.3. Las Partes acceden a recursos adicionales destinados a fortalecer la capacidad para aplicar el Protocolo</w:t>
            </w:r>
          </w:p>
        </w:tc>
        <w:tc>
          <w:tcPr>
            <w:tcW w:w="2970" w:type="dxa"/>
            <w:shd w:val="clear" w:color="auto" w:fill="auto"/>
          </w:tcPr>
          <w:p w14:paraId="1E5CA4A6" w14:textId="6EF96B08" w:rsidR="000E2816" w:rsidRPr="0075563B" w:rsidRDefault="000E2816" w:rsidP="00C57AD4">
            <w:pPr>
              <w:spacing w:before="60" w:after="60"/>
              <w:jc w:val="left"/>
              <w:rPr>
                <w:rFonts w:eastAsia="MS Mincho"/>
                <w:kern w:val="22"/>
                <w:szCs w:val="22"/>
              </w:rPr>
            </w:pPr>
            <w:r w:rsidRPr="0075563B">
              <w:rPr>
                <w:szCs w:val="22"/>
              </w:rPr>
              <w:lastRenderedPageBreak/>
              <w:t xml:space="preserve">a) Porcentaje de las Partes que cuentan con recursos adecuados para la seguridad de </w:t>
            </w:r>
            <w:r w:rsidRPr="0075563B">
              <w:rPr>
                <w:szCs w:val="22"/>
              </w:rPr>
              <w:lastRenderedPageBreak/>
              <w:t>la biotecnología en los presupuestos nacionales</w:t>
            </w:r>
            <w:r w:rsidR="00152820">
              <w:rPr>
                <w:szCs w:val="22"/>
              </w:rPr>
              <w:t>;</w:t>
            </w:r>
          </w:p>
          <w:p w14:paraId="63254440" w14:textId="6FE32276" w:rsidR="000E2816" w:rsidRPr="0075563B" w:rsidRDefault="000E2816" w:rsidP="006B322C">
            <w:pPr>
              <w:jc w:val="left"/>
              <w:rPr>
                <w:rFonts w:eastAsia="MS Mincho"/>
                <w:kern w:val="22"/>
                <w:szCs w:val="22"/>
              </w:rPr>
            </w:pPr>
            <w:r w:rsidRPr="0075563B">
              <w:rPr>
                <w:szCs w:val="22"/>
              </w:rPr>
              <w:t xml:space="preserve">b) Porcentaje de Partes que reúnen los requisitos que utilizan recursos asignados a través del sistema </w:t>
            </w:r>
            <w:proofErr w:type="spellStart"/>
            <w:r w:rsidRPr="0075563B">
              <w:rPr>
                <w:szCs w:val="22"/>
              </w:rPr>
              <w:t>STAR</w:t>
            </w:r>
            <w:proofErr w:type="spellEnd"/>
            <w:r w:rsidRPr="0075563B">
              <w:rPr>
                <w:szCs w:val="22"/>
              </w:rPr>
              <w:t xml:space="preserve"> para actividades de seguridad de la biotecnología</w:t>
            </w:r>
            <w:r w:rsidR="00152820">
              <w:rPr>
                <w:szCs w:val="22"/>
              </w:rPr>
              <w:t>;</w:t>
            </w:r>
          </w:p>
          <w:p w14:paraId="27B84430" w14:textId="7E1DEB87" w:rsidR="000E2816" w:rsidRPr="0075563B" w:rsidRDefault="000E2816" w:rsidP="006B322C">
            <w:pPr>
              <w:jc w:val="left"/>
              <w:rPr>
                <w:rFonts w:eastAsia="MS Mincho"/>
                <w:kern w:val="22"/>
                <w:szCs w:val="22"/>
              </w:rPr>
            </w:pPr>
            <w:r w:rsidRPr="0075563B">
              <w:rPr>
                <w:szCs w:val="22"/>
              </w:rPr>
              <w:t>c) Porcentaje de Partes que han accedido a recursos adicionales</w:t>
            </w:r>
            <w:r w:rsidR="00152820">
              <w:rPr>
                <w:szCs w:val="22"/>
              </w:rPr>
              <w:t>;</w:t>
            </w:r>
          </w:p>
          <w:p w14:paraId="631C9F5B" w14:textId="1945EE45" w:rsidR="000E2816" w:rsidRPr="0075563B" w:rsidRDefault="000E2816" w:rsidP="006B322C">
            <w:pPr>
              <w:jc w:val="left"/>
              <w:rPr>
                <w:rFonts w:eastAsia="MS Mincho"/>
                <w:kern w:val="22"/>
                <w:szCs w:val="22"/>
              </w:rPr>
            </w:pPr>
            <w:r w:rsidRPr="0075563B">
              <w:rPr>
                <w:szCs w:val="22"/>
              </w:rPr>
              <w:t>d) Porcentaje de Partes que han aportado recursos a otras Partes para fortalecer su capacidad para aplicar el Protocolo</w:t>
            </w:r>
            <w:r w:rsidR="00152820">
              <w:rPr>
                <w:szCs w:val="22"/>
              </w:rPr>
              <w:t>.</w:t>
            </w:r>
          </w:p>
        </w:tc>
        <w:tc>
          <w:tcPr>
            <w:tcW w:w="2183" w:type="dxa"/>
            <w:shd w:val="clear" w:color="auto" w:fill="auto"/>
          </w:tcPr>
          <w:p w14:paraId="5C1A4F8E" w14:textId="35F0B733" w:rsidR="000E2816" w:rsidRPr="0075563B" w:rsidRDefault="000E2816" w:rsidP="00C57AD4">
            <w:pPr>
              <w:spacing w:before="60" w:after="60"/>
              <w:jc w:val="left"/>
              <w:rPr>
                <w:rFonts w:eastAsia="MS Mincho"/>
                <w:kern w:val="22"/>
                <w:szCs w:val="22"/>
              </w:rPr>
            </w:pPr>
            <w:r w:rsidRPr="0075563B">
              <w:rPr>
                <w:szCs w:val="22"/>
              </w:rPr>
              <w:lastRenderedPageBreak/>
              <w:t xml:space="preserve">Los recursos adecuados permiten la </w:t>
            </w:r>
            <w:r w:rsidRPr="0075563B">
              <w:rPr>
                <w:szCs w:val="22"/>
              </w:rPr>
              <w:lastRenderedPageBreak/>
              <w:t>plena aplicación del Protocolo</w:t>
            </w:r>
          </w:p>
          <w:p w14:paraId="786AF132" w14:textId="77777777" w:rsidR="000E2816" w:rsidRPr="0075563B" w:rsidRDefault="000E2816" w:rsidP="006B322C">
            <w:pPr>
              <w:jc w:val="left"/>
              <w:rPr>
                <w:rFonts w:eastAsia="MS Mincho"/>
                <w:kern w:val="22"/>
                <w:szCs w:val="22"/>
              </w:rPr>
            </w:pPr>
          </w:p>
        </w:tc>
        <w:tc>
          <w:tcPr>
            <w:tcW w:w="2317" w:type="dxa"/>
            <w:shd w:val="clear" w:color="auto" w:fill="auto"/>
          </w:tcPr>
          <w:p w14:paraId="39B3F99C" w14:textId="002E8831" w:rsidR="000E2816" w:rsidRPr="0075563B" w:rsidRDefault="000E2816" w:rsidP="00C57AD4">
            <w:pPr>
              <w:spacing w:before="60" w:after="60"/>
              <w:jc w:val="left"/>
              <w:rPr>
                <w:rFonts w:eastAsia="MS Mincho"/>
                <w:kern w:val="22"/>
                <w:szCs w:val="22"/>
              </w:rPr>
            </w:pPr>
            <w:r w:rsidRPr="0075563B">
              <w:rPr>
                <w:szCs w:val="22"/>
              </w:rPr>
              <w:lastRenderedPageBreak/>
              <w:t xml:space="preserve">1) Establecimiento de un mecanismo nacional de asignación de </w:t>
            </w:r>
            <w:r w:rsidRPr="0075563B">
              <w:rPr>
                <w:szCs w:val="22"/>
              </w:rPr>
              <w:lastRenderedPageBreak/>
              <w:t>presupuesto para la seguridad de la biotecnología</w:t>
            </w:r>
            <w:r w:rsidR="00C71225">
              <w:rPr>
                <w:szCs w:val="22"/>
              </w:rPr>
              <w:t>;</w:t>
            </w:r>
          </w:p>
          <w:p w14:paraId="487BA59F" w14:textId="713142B7" w:rsidR="000E2816" w:rsidRPr="0075563B" w:rsidRDefault="000E2816" w:rsidP="006B322C">
            <w:pPr>
              <w:jc w:val="left"/>
              <w:rPr>
                <w:rFonts w:eastAsia="MS Mincho"/>
                <w:kern w:val="22"/>
                <w:szCs w:val="22"/>
              </w:rPr>
            </w:pPr>
            <w:r w:rsidRPr="0075563B">
              <w:rPr>
                <w:szCs w:val="22"/>
              </w:rPr>
              <w:t>2) Coordinación con autoridades, organismos de financiación y donantes a nivel nacional</w:t>
            </w:r>
            <w:r w:rsidR="00C71225">
              <w:rPr>
                <w:szCs w:val="22"/>
              </w:rPr>
              <w:t>;</w:t>
            </w:r>
          </w:p>
          <w:p w14:paraId="4A8D9755" w14:textId="1AE8B3DA" w:rsidR="000E2816" w:rsidRPr="0075563B" w:rsidRDefault="000E2816" w:rsidP="006B322C">
            <w:pPr>
              <w:jc w:val="left"/>
              <w:rPr>
                <w:rFonts w:eastAsia="MS Mincho"/>
                <w:kern w:val="22"/>
                <w:szCs w:val="22"/>
              </w:rPr>
            </w:pPr>
            <w:r w:rsidRPr="0075563B">
              <w:rPr>
                <w:szCs w:val="22"/>
              </w:rPr>
              <w:t>3) Cooperación con otras Partes y donantes</w:t>
            </w:r>
            <w:r w:rsidR="00C71225">
              <w:rPr>
                <w:szCs w:val="22"/>
              </w:rPr>
              <w:t>.</w:t>
            </w:r>
            <w:r w:rsidRPr="0075563B">
              <w:rPr>
                <w:szCs w:val="22"/>
              </w:rPr>
              <w:t xml:space="preserve"> </w:t>
            </w:r>
          </w:p>
        </w:tc>
        <w:tc>
          <w:tcPr>
            <w:tcW w:w="2903" w:type="dxa"/>
            <w:shd w:val="clear" w:color="auto" w:fill="auto"/>
          </w:tcPr>
          <w:p w14:paraId="34F3782A" w14:textId="396B1413" w:rsidR="000E2816" w:rsidRPr="0075563B" w:rsidRDefault="000E2816" w:rsidP="00C57AD4">
            <w:pPr>
              <w:spacing w:before="60" w:after="60"/>
              <w:jc w:val="left"/>
              <w:rPr>
                <w:rFonts w:eastAsia="MS Mincho"/>
                <w:kern w:val="22"/>
                <w:szCs w:val="22"/>
              </w:rPr>
            </w:pPr>
            <w:r w:rsidRPr="0075563B">
              <w:rPr>
                <w:szCs w:val="22"/>
              </w:rPr>
              <w:lastRenderedPageBreak/>
              <w:t xml:space="preserve">i) Aumentar la concienciación a nivel nacional sobre la necesidad de recursos </w:t>
            </w:r>
            <w:r w:rsidRPr="0075563B">
              <w:rPr>
                <w:szCs w:val="22"/>
              </w:rPr>
              <w:lastRenderedPageBreak/>
              <w:t xml:space="preserve">adecuados en los presupuestos nacionales para llevar a cabo actividades </w:t>
            </w:r>
            <w:r w:rsidR="00B43991" w:rsidRPr="0075563B">
              <w:rPr>
                <w:szCs w:val="22"/>
              </w:rPr>
              <w:t>necesarias</w:t>
            </w:r>
            <w:r w:rsidRPr="0075563B">
              <w:rPr>
                <w:szCs w:val="22"/>
              </w:rPr>
              <w:t xml:space="preserve"> para la aplicación del Protocolo</w:t>
            </w:r>
            <w:r w:rsidR="00C71225">
              <w:rPr>
                <w:szCs w:val="22"/>
              </w:rPr>
              <w:t>;</w:t>
            </w:r>
          </w:p>
          <w:p w14:paraId="7B55A664" w14:textId="3FEF91AD" w:rsidR="000E2816" w:rsidRPr="0075563B" w:rsidRDefault="000E2816" w:rsidP="006B322C">
            <w:pPr>
              <w:jc w:val="left"/>
              <w:rPr>
                <w:rFonts w:eastAsia="MS Mincho"/>
                <w:kern w:val="22"/>
                <w:szCs w:val="22"/>
              </w:rPr>
            </w:pPr>
            <w:r w:rsidRPr="0075563B">
              <w:rPr>
                <w:szCs w:val="22"/>
              </w:rPr>
              <w:t>ii) Aumentar la concienciación para fortalecer la coordinación a nivel nacional entre las autoridades competentes, organismos de financiación y otros donantes</w:t>
            </w:r>
            <w:r w:rsidR="0005349E">
              <w:rPr>
                <w:szCs w:val="22"/>
              </w:rPr>
              <w:t>;</w:t>
            </w:r>
            <w:r w:rsidRPr="0075563B">
              <w:rPr>
                <w:szCs w:val="22"/>
              </w:rPr>
              <w:t xml:space="preserve"> </w:t>
            </w:r>
          </w:p>
          <w:p w14:paraId="1FDD40F1" w14:textId="7F08BC2B" w:rsidR="000E2816" w:rsidRPr="0075563B" w:rsidRDefault="000E2816" w:rsidP="006B322C">
            <w:pPr>
              <w:jc w:val="left"/>
              <w:rPr>
                <w:rFonts w:eastAsia="MS Mincho"/>
                <w:kern w:val="22"/>
                <w:szCs w:val="22"/>
              </w:rPr>
            </w:pPr>
            <w:r w:rsidRPr="0075563B">
              <w:rPr>
                <w:szCs w:val="22"/>
              </w:rPr>
              <w:t>iii) Aumentar la concienciación para fortalecer la cooperación entre las Partes donantes, Partes que son países en desarrollo, Partes con economías en transición y otros donantes para garantizar la aplicación plena del Protocolo</w:t>
            </w:r>
            <w:r w:rsidR="0005349E">
              <w:rPr>
                <w:szCs w:val="22"/>
              </w:rPr>
              <w:t>.</w:t>
            </w:r>
          </w:p>
        </w:tc>
      </w:tr>
      <w:tr w:rsidR="000E2816" w:rsidRPr="0075563B" w14:paraId="651695FB" w14:textId="77777777" w:rsidTr="00B72DE7">
        <w:trPr>
          <w:trHeight w:val="842"/>
        </w:trPr>
        <w:tc>
          <w:tcPr>
            <w:tcW w:w="1795" w:type="dxa"/>
            <w:shd w:val="clear" w:color="auto" w:fill="auto"/>
          </w:tcPr>
          <w:p w14:paraId="5AE06785" w14:textId="0499CC3D" w:rsidR="000E2816" w:rsidRPr="0075563B" w:rsidRDefault="000E2816" w:rsidP="00085059">
            <w:pPr>
              <w:jc w:val="left"/>
              <w:rPr>
                <w:rFonts w:eastAsia="MS Mincho"/>
                <w:b/>
                <w:kern w:val="22"/>
                <w:szCs w:val="22"/>
              </w:rPr>
            </w:pPr>
            <w:r w:rsidRPr="0075563B">
              <w:rPr>
                <w:b/>
                <w:szCs w:val="22"/>
              </w:rPr>
              <w:lastRenderedPageBreak/>
              <w:t>B.3. Las Partes promueven y facilitan la concienc</w:t>
            </w:r>
            <w:r w:rsidR="006928ED" w:rsidRPr="0075563B">
              <w:rPr>
                <w:b/>
                <w:szCs w:val="22"/>
              </w:rPr>
              <w:t>iac</w:t>
            </w:r>
            <w:r w:rsidRPr="0075563B">
              <w:rPr>
                <w:b/>
                <w:szCs w:val="22"/>
              </w:rPr>
              <w:t xml:space="preserve">ión, educación y participación del público sobre la transferencia, manipulación y </w:t>
            </w:r>
            <w:r w:rsidRPr="0075563B">
              <w:rPr>
                <w:b/>
                <w:szCs w:val="22"/>
              </w:rPr>
              <w:lastRenderedPageBreak/>
              <w:t xml:space="preserve">utilización seguras de </w:t>
            </w:r>
            <w:proofErr w:type="spellStart"/>
            <w:r w:rsidRPr="0075563B">
              <w:rPr>
                <w:b/>
                <w:szCs w:val="22"/>
              </w:rPr>
              <w:t>OVM</w:t>
            </w:r>
            <w:proofErr w:type="spellEnd"/>
          </w:p>
        </w:tc>
        <w:tc>
          <w:tcPr>
            <w:tcW w:w="2250" w:type="dxa"/>
          </w:tcPr>
          <w:p w14:paraId="6DF04031" w14:textId="2361150C" w:rsidR="000E2816" w:rsidRPr="0075563B" w:rsidRDefault="000E2816" w:rsidP="00C57AD4">
            <w:pPr>
              <w:spacing w:before="60" w:after="60"/>
              <w:jc w:val="left"/>
              <w:rPr>
                <w:rFonts w:eastAsia="MS Mincho"/>
                <w:kern w:val="22"/>
                <w:szCs w:val="22"/>
              </w:rPr>
            </w:pPr>
            <w:r w:rsidRPr="0075563B">
              <w:rPr>
                <w:szCs w:val="22"/>
              </w:rPr>
              <w:lastRenderedPageBreak/>
              <w:t>B.3.1. Las Partes han desarrollado mecanismos para promover y facilitar la concienciación, educación y participación del público respecto a la seguridad de la biotecnología;</w:t>
            </w:r>
          </w:p>
          <w:p w14:paraId="34DB80B4" w14:textId="77777777" w:rsidR="000E2816" w:rsidRPr="0075563B" w:rsidRDefault="000E2816" w:rsidP="006B322C">
            <w:pPr>
              <w:jc w:val="left"/>
              <w:rPr>
                <w:rFonts w:eastAsia="MS Mincho"/>
                <w:kern w:val="22"/>
                <w:szCs w:val="22"/>
              </w:rPr>
            </w:pPr>
            <w:r w:rsidRPr="0075563B">
              <w:rPr>
                <w:szCs w:val="22"/>
              </w:rPr>
              <w:lastRenderedPageBreak/>
              <w:t>B.3.2. Las Partes tienen acceso a materiales de referencia para promover y facilitar la concienciación, educación y participación del público respecto a la seguridad de la biotecnología</w:t>
            </w:r>
          </w:p>
          <w:p w14:paraId="63E53841" w14:textId="77777777" w:rsidR="000E2816" w:rsidRPr="0075563B" w:rsidRDefault="000E2816" w:rsidP="006B322C">
            <w:pPr>
              <w:jc w:val="left"/>
              <w:rPr>
                <w:rFonts w:eastAsia="MS Mincho"/>
                <w:kern w:val="22"/>
                <w:szCs w:val="22"/>
              </w:rPr>
            </w:pPr>
            <w:r w:rsidRPr="0075563B">
              <w:rPr>
                <w:szCs w:val="22"/>
              </w:rPr>
              <w:t xml:space="preserve">B.3.3. Las Partes consultan al público en la toma de decisiones sobre </w:t>
            </w:r>
            <w:proofErr w:type="spellStart"/>
            <w:r w:rsidRPr="0075563B">
              <w:rPr>
                <w:szCs w:val="22"/>
              </w:rPr>
              <w:t>OVM</w:t>
            </w:r>
            <w:proofErr w:type="spellEnd"/>
            <w:r w:rsidRPr="0075563B">
              <w:rPr>
                <w:szCs w:val="22"/>
              </w:rPr>
              <w:t xml:space="preserve"> de conformidad con su legislación y ponen a disposición del público los resultados de las decisiones</w:t>
            </w:r>
          </w:p>
          <w:p w14:paraId="6BABFEA9" w14:textId="77777777" w:rsidR="000E2816" w:rsidRPr="0075563B" w:rsidRDefault="000E2816" w:rsidP="006B322C">
            <w:pPr>
              <w:jc w:val="left"/>
              <w:rPr>
                <w:rFonts w:eastAsia="MS Mincho"/>
                <w:kern w:val="22"/>
                <w:szCs w:val="22"/>
              </w:rPr>
            </w:pPr>
            <w:r w:rsidRPr="0075563B">
              <w:rPr>
                <w:szCs w:val="22"/>
              </w:rPr>
              <w:t xml:space="preserve">B.3.4. Las Partes informan al público acerca de los medios de acceso público al </w:t>
            </w:r>
            <w:proofErr w:type="spellStart"/>
            <w:r w:rsidRPr="0075563B">
              <w:rPr>
                <w:szCs w:val="22"/>
              </w:rPr>
              <w:t>CIISB</w:t>
            </w:r>
            <w:proofErr w:type="spellEnd"/>
          </w:p>
        </w:tc>
        <w:tc>
          <w:tcPr>
            <w:tcW w:w="2970" w:type="dxa"/>
            <w:shd w:val="clear" w:color="auto" w:fill="auto"/>
          </w:tcPr>
          <w:p w14:paraId="40558C8F" w14:textId="5E714240" w:rsidR="000E2816" w:rsidRPr="0075563B" w:rsidRDefault="000E2816" w:rsidP="00C57AD4">
            <w:pPr>
              <w:spacing w:before="60" w:after="60"/>
              <w:jc w:val="left"/>
              <w:rPr>
                <w:rFonts w:eastAsia="MS Mincho"/>
                <w:kern w:val="22"/>
                <w:szCs w:val="22"/>
              </w:rPr>
            </w:pPr>
            <w:r w:rsidRPr="0075563B">
              <w:rPr>
                <w:szCs w:val="22"/>
              </w:rPr>
              <w:lastRenderedPageBreak/>
              <w:t>a) Porcentaje de Partes que acceden a materiales de referencia a fin de facilitar y promover la concienciación, educación y participación del público respecto a la seguridad de la biotecnología;</w:t>
            </w:r>
          </w:p>
          <w:p w14:paraId="2CFE2AD5" w14:textId="3A0789BC" w:rsidR="000E2816" w:rsidRPr="0075563B" w:rsidRDefault="000E2816" w:rsidP="006B322C">
            <w:pPr>
              <w:jc w:val="left"/>
              <w:rPr>
                <w:rFonts w:eastAsia="MS Mincho"/>
                <w:kern w:val="22"/>
                <w:szCs w:val="22"/>
              </w:rPr>
            </w:pPr>
            <w:r w:rsidRPr="0075563B">
              <w:rPr>
                <w:szCs w:val="22"/>
              </w:rPr>
              <w:t xml:space="preserve">b) Porcentaje de Partes que integran la seguridad de la biotecnología en programas de </w:t>
            </w:r>
            <w:r w:rsidRPr="0075563B">
              <w:rPr>
                <w:szCs w:val="22"/>
              </w:rPr>
              <w:lastRenderedPageBreak/>
              <w:t xml:space="preserve">educación y capacitación pertinentes;   </w:t>
            </w:r>
          </w:p>
          <w:p w14:paraId="2DBE01E6" w14:textId="0FA14F54" w:rsidR="000E2816" w:rsidRPr="0075563B" w:rsidRDefault="000E2816" w:rsidP="006B322C">
            <w:pPr>
              <w:jc w:val="left"/>
              <w:rPr>
                <w:rFonts w:eastAsia="MS Mincho"/>
                <w:kern w:val="22"/>
                <w:szCs w:val="22"/>
              </w:rPr>
            </w:pPr>
            <w:r w:rsidRPr="0075563B">
              <w:rPr>
                <w:szCs w:val="22"/>
              </w:rPr>
              <w:t xml:space="preserve">c) Porcentaje de Partes que han establecido un mecanismo para facilitar y promover la participación del público en la adopción de decisiones relativas a los </w:t>
            </w:r>
            <w:proofErr w:type="spellStart"/>
            <w:r w:rsidRPr="0075563B">
              <w:rPr>
                <w:szCs w:val="22"/>
              </w:rPr>
              <w:t>OVM</w:t>
            </w:r>
            <w:proofErr w:type="spellEnd"/>
            <w:r w:rsidRPr="0075563B">
              <w:rPr>
                <w:szCs w:val="22"/>
              </w:rPr>
              <w:t xml:space="preserve">;  </w:t>
            </w:r>
          </w:p>
          <w:p w14:paraId="6D5BAA32" w14:textId="675FCA36" w:rsidR="000E2816" w:rsidRPr="0075563B" w:rsidRDefault="000E2816" w:rsidP="006B322C">
            <w:pPr>
              <w:jc w:val="left"/>
              <w:rPr>
                <w:rFonts w:eastAsia="MS Mincho"/>
                <w:kern w:val="22"/>
                <w:szCs w:val="22"/>
              </w:rPr>
            </w:pPr>
            <w:r w:rsidRPr="0075563B">
              <w:rPr>
                <w:szCs w:val="22"/>
              </w:rPr>
              <w:t>d) Porcentaje de Partes que informan al público sobre los medios de participación en la adopción de decisiones;</w:t>
            </w:r>
          </w:p>
          <w:p w14:paraId="709D319A" w14:textId="60DD6DFB" w:rsidR="000E2816" w:rsidRPr="0075563B" w:rsidRDefault="000E2816" w:rsidP="006B322C">
            <w:pPr>
              <w:jc w:val="left"/>
              <w:rPr>
                <w:rFonts w:eastAsia="MS Mincho"/>
                <w:kern w:val="22"/>
                <w:szCs w:val="22"/>
              </w:rPr>
            </w:pPr>
            <w:r w:rsidRPr="0075563B">
              <w:rPr>
                <w:szCs w:val="22"/>
              </w:rPr>
              <w:t>e) Porcentaje de Partes que han consultado al público en el proceso de adopción de decisiones;</w:t>
            </w:r>
          </w:p>
          <w:p w14:paraId="5984E172" w14:textId="29D11365" w:rsidR="000E2816" w:rsidRPr="0075563B" w:rsidRDefault="000E2816" w:rsidP="006B322C">
            <w:pPr>
              <w:jc w:val="left"/>
              <w:rPr>
                <w:rFonts w:eastAsia="MS Mincho"/>
                <w:kern w:val="22"/>
                <w:szCs w:val="22"/>
              </w:rPr>
            </w:pPr>
            <w:r w:rsidRPr="0075563B">
              <w:rPr>
                <w:szCs w:val="22"/>
              </w:rPr>
              <w:t>f) Porcentaje de Partes que ponen a disposición del público los resultados de las decisiones;</w:t>
            </w:r>
          </w:p>
          <w:p w14:paraId="59C9C008" w14:textId="608688D9" w:rsidR="000E2816" w:rsidRPr="0075563B" w:rsidRDefault="000E2816" w:rsidP="006B322C">
            <w:pPr>
              <w:jc w:val="left"/>
              <w:rPr>
                <w:rFonts w:eastAsia="MS Mincho"/>
                <w:kern w:val="22"/>
                <w:szCs w:val="22"/>
              </w:rPr>
            </w:pPr>
            <w:r w:rsidRPr="0075563B">
              <w:rPr>
                <w:szCs w:val="22"/>
              </w:rPr>
              <w:t xml:space="preserve">g) Porcentaje de Partes que han informado al público sobre los medios de acceso público al </w:t>
            </w:r>
            <w:proofErr w:type="spellStart"/>
            <w:r w:rsidRPr="0075563B">
              <w:rPr>
                <w:szCs w:val="22"/>
              </w:rPr>
              <w:t>CIISB</w:t>
            </w:r>
            <w:proofErr w:type="spellEnd"/>
            <w:r w:rsidRPr="0075563B">
              <w:rPr>
                <w:szCs w:val="22"/>
              </w:rPr>
              <w:t>.</w:t>
            </w:r>
          </w:p>
        </w:tc>
        <w:tc>
          <w:tcPr>
            <w:tcW w:w="2183" w:type="dxa"/>
            <w:shd w:val="clear" w:color="auto" w:fill="auto"/>
          </w:tcPr>
          <w:p w14:paraId="2BD8E925" w14:textId="77777777" w:rsidR="000E2816" w:rsidRPr="0075563B" w:rsidRDefault="000E2816" w:rsidP="00C57AD4">
            <w:pPr>
              <w:spacing w:before="60" w:after="60"/>
              <w:jc w:val="left"/>
              <w:rPr>
                <w:rFonts w:eastAsia="MS Mincho"/>
                <w:kern w:val="22"/>
                <w:szCs w:val="22"/>
              </w:rPr>
            </w:pPr>
            <w:r w:rsidRPr="0075563B">
              <w:rPr>
                <w:szCs w:val="22"/>
              </w:rPr>
              <w:lastRenderedPageBreak/>
              <w:t xml:space="preserve">A través de la concienciación, educación y participación del público, las Partes garantizan que el público esté adecuadamente informado sobre la transferencia, </w:t>
            </w:r>
            <w:r w:rsidRPr="0075563B">
              <w:rPr>
                <w:szCs w:val="22"/>
              </w:rPr>
              <w:lastRenderedPageBreak/>
              <w:t xml:space="preserve">manipulación y utilización seguras de </w:t>
            </w:r>
            <w:proofErr w:type="spellStart"/>
            <w:r w:rsidRPr="0075563B">
              <w:rPr>
                <w:szCs w:val="22"/>
              </w:rPr>
              <w:t>OVM</w:t>
            </w:r>
            <w:proofErr w:type="spellEnd"/>
            <w:r w:rsidRPr="0075563B">
              <w:rPr>
                <w:szCs w:val="22"/>
              </w:rPr>
              <w:t xml:space="preserve"> y participen de la adopción de decisiones relativas a la transferencia, manipulación y utilización seguras de </w:t>
            </w:r>
            <w:proofErr w:type="spellStart"/>
            <w:r w:rsidRPr="0075563B">
              <w:rPr>
                <w:szCs w:val="22"/>
              </w:rPr>
              <w:t>OVM</w:t>
            </w:r>
            <w:proofErr w:type="spellEnd"/>
          </w:p>
        </w:tc>
        <w:tc>
          <w:tcPr>
            <w:tcW w:w="2317" w:type="dxa"/>
            <w:shd w:val="clear" w:color="auto" w:fill="auto"/>
          </w:tcPr>
          <w:p w14:paraId="3B74FC0B" w14:textId="243CE16D" w:rsidR="000E2816" w:rsidRPr="0075563B" w:rsidRDefault="000E2816" w:rsidP="006B322C">
            <w:pPr>
              <w:spacing w:before="60" w:after="60"/>
              <w:jc w:val="left"/>
              <w:rPr>
                <w:rFonts w:eastAsia="MS Mincho"/>
                <w:kern w:val="22"/>
                <w:szCs w:val="22"/>
              </w:rPr>
            </w:pPr>
            <w:r w:rsidRPr="0075563B">
              <w:rPr>
                <w:szCs w:val="22"/>
              </w:rPr>
              <w:lastRenderedPageBreak/>
              <w:t>1) Establecimiento de sistemas nacionales para promover la concienciación, educación y participación del público;</w:t>
            </w:r>
          </w:p>
          <w:p w14:paraId="11F61667" w14:textId="681EF01F" w:rsidR="000E2816" w:rsidRPr="0075563B" w:rsidRDefault="000E2816" w:rsidP="006B322C">
            <w:pPr>
              <w:spacing w:before="60" w:after="60"/>
              <w:jc w:val="left"/>
              <w:rPr>
                <w:rFonts w:eastAsia="MS Mincho"/>
                <w:kern w:val="22"/>
                <w:szCs w:val="22"/>
              </w:rPr>
            </w:pPr>
            <w:r w:rsidRPr="0075563B">
              <w:rPr>
                <w:szCs w:val="22"/>
              </w:rPr>
              <w:t xml:space="preserve">2) Elaboración y </w:t>
            </w:r>
            <w:r w:rsidR="0089364B" w:rsidRPr="0075563B">
              <w:rPr>
                <w:szCs w:val="22"/>
              </w:rPr>
              <w:t>difusión</w:t>
            </w:r>
            <w:r w:rsidRPr="0075563B">
              <w:rPr>
                <w:szCs w:val="22"/>
              </w:rPr>
              <w:t xml:space="preserve"> de materiales de referencia y </w:t>
            </w:r>
            <w:r w:rsidRPr="0075563B">
              <w:rPr>
                <w:szCs w:val="22"/>
              </w:rPr>
              <w:lastRenderedPageBreak/>
              <w:t>capacitación sobre concienciación, educación y participación del público;</w:t>
            </w:r>
          </w:p>
          <w:p w14:paraId="28C6302E" w14:textId="65F52A03" w:rsidR="000E2816" w:rsidRPr="0075563B" w:rsidRDefault="000E2816" w:rsidP="006B322C">
            <w:pPr>
              <w:spacing w:before="60" w:after="60"/>
              <w:jc w:val="left"/>
              <w:rPr>
                <w:rFonts w:eastAsia="MS Mincho"/>
                <w:b/>
                <w:kern w:val="22"/>
                <w:szCs w:val="22"/>
              </w:rPr>
            </w:pPr>
            <w:r w:rsidRPr="0075563B">
              <w:rPr>
                <w:szCs w:val="22"/>
              </w:rPr>
              <w:t>3) Enseñanza en materia de seguridad de la biotecnología;</w:t>
            </w:r>
          </w:p>
          <w:p w14:paraId="5633287B" w14:textId="0959953A" w:rsidR="000E2816" w:rsidRPr="0075563B" w:rsidRDefault="000E2816" w:rsidP="006B322C">
            <w:pPr>
              <w:spacing w:before="60" w:after="60"/>
              <w:jc w:val="left"/>
              <w:rPr>
                <w:rFonts w:eastAsia="MS Mincho"/>
                <w:kern w:val="22"/>
                <w:szCs w:val="22"/>
              </w:rPr>
            </w:pPr>
            <w:r w:rsidRPr="0075563B">
              <w:rPr>
                <w:szCs w:val="22"/>
              </w:rPr>
              <w:t>4) Fortalecimiento de mecanismos de participación en la adopción de decisiones;</w:t>
            </w:r>
          </w:p>
          <w:p w14:paraId="03A4D360" w14:textId="4CBE8745" w:rsidR="000E2816" w:rsidRPr="0075563B" w:rsidRDefault="000E2816" w:rsidP="006B322C">
            <w:pPr>
              <w:spacing w:before="60" w:after="60"/>
              <w:jc w:val="left"/>
              <w:rPr>
                <w:rFonts w:eastAsia="MS Mincho"/>
                <w:kern w:val="22"/>
                <w:szCs w:val="22"/>
              </w:rPr>
            </w:pPr>
            <w:r w:rsidRPr="0075563B">
              <w:rPr>
                <w:szCs w:val="22"/>
              </w:rPr>
              <w:t>5) Desarrollo de programas de concienciación del público.</w:t>
            </w:r>
          </w:p>
          <w:p w14:paraId="654DB16F" w14:textId="77777777" w:rsidR="000E2816" w:rsidRPr="0075563B" w:rsidRDefault="000E2816" w:rsidP="006B322C">
            <w:pPr>
              <w:spacing w:before="60" w:after="60"/>
              <w:jc w:val="left"/>
              <w:rPr>
                <w:rFonts w:eastAsia="MS Mincho"/>
                <w:kern w:val="22"/>
                <w:szCs w:val="22"/>
              </w:rPr>
            </w:pPr>
          </w:p>
        </w:tc>
        <w:tc>
          <w:tcPr>
            <w:tcW w:w="2903" w:type="dxa"/>
            <w:shd w:val="clear" w:color="auto" w:fill="auto"/>
          </w:tcPr>
          <w:p w14:paraId="709CEBED" w14:textId="4EA0CEFD" w:rsidR="000E2816" w:rsidRPr="0075563B" w:rsidRDefault="000E2816" w:rsidP="00C57AD4">
            <w:pPr>
              <w:spacing w:before="60" w:after="60"/>
              <w:jc w:val="left"/>
              <w:rPr>
                <w:rFonts w:eastAsia="MS Mincho"/>
                <w:kern w:val="22"/>
                <w:szCs w:val="22"/>
              </w:rPr>
            </w:pPr>
            <w:r w:rsidRPr="0075563B">
              <w:rPr>
                <w:szCs w:val="22"/>
              </w:rPr>
              <w:lastRenderedPageBreak/>
              <w:t xml:space="preserve">i) Elaborar y difundir material de creación de capacidad en materia de concienciación, educación y participación del público; </w:t>
            </w:r>
          </w:p>
          <w:p w14:paraId="4F13E5EC" w14:textId="0A31A930" w:rsidR="000E2816" w:rsidRPr="0075563B" w:rsidRDefault="000E2816" w:rsidP="006B322C">
            <w:pPr>
              <w:spacing w:before="60" w:after="60"/>
              <w:jc w:val="left"/>
              <w:rPr>
                <w:rFonts w:eastAsia="MS Mincho"/>
                <w:kern w:val="22"/>
                <w:szCs w:val="22"/>
              </w:rPr>
            </w:pPr>
            <w:r w:rsidRPr="0075563B">
              <w:rPr>
                <w:szCs w:val="22"/>
              </w:rPr>
              <w:t>ii) Elaborar o actualizar programas de educación en materia de seguridad de la biotecnología y fortalecer la capacidad institucional;</w:t>
            </w:r>
          </w:p>
          <w:p w14:paraId="49686E45" w14:textId="2E3451C8" w:rsidR="000E2816" w:rsidRPr="0075563B" w:rsidRDefault="000E2816" w:rsidP="006B322C">
            <w:pPr>
              <w:spacing w:before="60" w:after="60"/>
              <w:jc w:val="left"/>
              <w:rPr>
                <w:rFonts w:eastAsia="MS Mincho"/>
                <w:kern w:val="22"/>
                <w:szCs w:val="22"/>
              </w:rPr>
            </w:pPr>
            <w:r w:rsidRPr="0075563B">
              <w:rPr>
                <w:szCs w:val="22"/>
              </w:rPr>
              <w:lastRenderedPageBreak/>
              <w:t>iii) Integrar la seguridad de la biotecnología en programas educativos pertinentes;</w:t>
            </w:r>
          </w:p>
          <w:p w14:paraId="465B173F" w14:textId="28323A1A" w:rsidR="000E2816" w:rsidRPr="0075563B" w:rsidRDefault="000E2816" w:rsidP="006B322C">
            <w:pPr>
              <w:spacing w:before="60" w:after="60"/>
              <w:jc w:val="left"/>
              <w:rPr>
                <w:rFonts w:eastAsia="MS Mincho"/>
                <w:kern w:val="22"/>
                <w:szCs w:val="22"/>
              </w:rPr>
            </w:pPr>
            <w:r w:rsidRPr="0075563B">
              <w:rPr>
                <w:szCs w:val="22"/>
              </w:rPr>
              <w:t>iv) Establecer programas de intercambio académico y de becas;</w:t>
            </w:r>
          </w:p>
          <w:p w14:paraId="2F979EFC" w14:textId="29EBC61F" w:rsidR="000E2816" w:rsidRPr="0075563B" w:rsidRDefault="000E2816" w:rsidP="006B322C">
            <w:pPr>
              <w:spacing w:before="60" w:after="60"/>
              <w:jc w:val="left"/>
              <w:rPr>
                <w:rFonts w:eastAsia="MS Mincho"/>
                <w:kern w:val="22"/>
                <w:szCs w:val="22"/>
              </w:rPr>
            </w:pPr>
            <w:r w:rsidRPr="0075563B">
              <w:rPr>
                <w:szCs w:val="22"/>
              </w:rPr>
              <w:t>v) Ofrecer capacitación sobre la participación en la adopción de decisiones, de conformidad con las leyes y reglamentos nacionales, incluido el establecimiento de mecanismos para informar al público sobre las modalidades de participación;</w:t>
            </w:r>
          </w:p>
          <w:p w14:paraId="66BAEDE1" w14:textId="551C6276" w:rsidR="000E2816" w:rsidRPr="0075563B" w:rsidRDefault="000E2816" w:rsidP="006B322C">
            <w:pPr>
              <w:spacing w:before="60" w:after="60"/>
              <w:jc w:val="left"/>
              <w:rPr>
                <w:rFonts w:eastAsia="MS Mincho"/>
                <w:kern w:val="22"/>
                <w:szCs w:val="22"/>
              </w:rPr>
            </w:pPr>
            <w:r w:rsidRPr="0075563B">
              <w:rPr>
                <w:szCs w:val="22"/>
              </w:rPr>
              <w:t xml:space="preserve">vi) Ofrecer capacitación sobre la elaboración y aplicación de programas de concienciación del público en materia de seguridad de la biotecnología; </w:t>
            </w:r>
          </w:p>
          <w:p w14:paraId="2C44C3C1" w14:textId="3CFA227B" w:rsidR="000E2816" w:rsidRPr="0075563B" w:rsidRDefault="000E2816" w:rsidP="006B322C">
            <w:pPr>
              <w:spacing w:before="60" w:after="60"/>
              <w:jc w:val="left"/>
              <w:rPr>
                <w:rFonts w:eastAsia="MS Mincho"/>
                <w:kern w:val="22"/>
                <w:szCs w:val="22"/>
              </w:rPr>
            </w:pPr>
            <w:r w:rsidRPr="0075563B">
              <w:rPr>
                <w:szCs w:val="22"/>
              </w:rPr>
              <w:t xml:space="preserve">vii) Ofrecer capacitación sobre comunicación en materia de seguridad de la biotecnología. </w:t>
            </w:r>
          </w:p>
        </w:tc>
      </w:tr>
      <w:tr w:rsidR="000E2816" w:rsidRPr="0075563B" w14:paraId="35C2EAB3" w14:textId="77777777" w:rsidTr="00B72DE7">
        <w:tc>
          <w:tcPr>
            <w:tcW w:w="1795" w:type="dxa"/>
            <w:shd w:val="clear" w:color="auto" w:fill="auto"/>
          </w:tcPr>
          <w:p w14:paraId="2E84BA57" w14:textId="77777777" w:rsidR="000E2816" w:rsidRPr="0075563B" w:rsidRDefault="000E2816" w:rsidP="00085059">
            <w:pPr>
              <w:jc w:val="left"/>
              <w:rPr>
                <w:rFonts w:eastAsia="MS Mincho"/>
                <w:b/>
                <w:strike/>
                <w:kern w:val="22"/>
                <w:szCs w:val="22"/>
              </w:rPr>
            </w:pPr>
            <w:r w:rsidRPr="0075563B">
              <w:rPr>
                <w:b/>
                <w:szCs w:val="22"/>
              </w:rPr>
              <w:lastRenderedPageBreak/>
              <w:t xml:space="preserve">B.4. Las Partes intensifican la cooperación y la coordinación en </w:t>
            </w:r>
            <w:r w:rsidRPr="0075563B">
              <w:rPr>
                <w:b/>
                <w:szCs w:val="22"/>
              </w:rPr>
              <w:lastRenderedPageBreak/>
              <w:t xml:space="preserve">materia de seguridad de la biotecnología en los planos nacional, regional e internacional </w:t>
            </w:r>
          </w:p>
        </w:tc>
        <w:tc>
          <w:tcPr>
            <w:tcW w:w="2250" w:type="dxa"/>
          </w:tcPr>
          <w:p w14:paraId="34ED749F" w14:textId="049F5ACB" w:rsidR="000E2816" w:rsidRPr="0075563B" w:rsidRDefault="000E2816" w:rsidP="00CE747E">
            <w:pPr>
              <w:spacing w:before="60" w:after="60"/>
              <w:jc w:val="left"/>
              <w:rPr>
                <w:rFonts w:eastAsia="MS Mincho"/>
                <w:kern w:val="22"/>
                <w:szCs w:val="22"/>
              </w:rPr>
            </w:pPr>
            <w:r w:rsidRPr="0075563B">
              <w:rPr>
                <w:szCs w:val="22"/>
              </w:rPr>
              <w:lastRenderedPageBreak/>
              <w:t xml:space="preserve">B.4.1. Las Partes cooperan para apoyar la aplicación del Protocolo, por </w:t>
            </w:r>
            <w:r w:rsidR="00C21FD0" w:rsidRPr="0075563B">
              <w:rPr>
                <w:szCs w:val="22"/>
              </w:rPr>
              <w:lastRenderedPageBreak/>
              <w:t>ejemplo,</w:t>
            </w:r>
            <w:r w:rsidRPr="0075563B">
              <w:rPr>
                <w:szCs w:val="22"/>
              </w:rPr>
              <w:t xml:space="preserve"> mediante el intercambio de conocimientos científicos, técnicos e institucionales</w:t>
            </w:r>
          </w:p>
          <w:p w14:paraId="149FC983" w14:textId="77777777" w:rsidR="000E2816" w:rsidRPr="0075563B" w:rsidRDefault="000E2816" w:rsidP="006B322C">
            <w:pPr>
              <w:jc w:val="left"/>
              <w:rPr>
                <w:rFonts w:eastAsia="MS Mincho"/>
                <w:kern w:val="22"/>
                <w:szCs w:val="22"/>
              </w:rPr>
            </w:pPr>
            <w:r w:rsidRPr="0075563B">
              <w:rPr>
                <w:szCs w:val="22"/>
              </w:rPr>
              <w:t>B.4.2. Las Partes han establecido mecanismos eficaces que involucran a los pueblos indígenas y comunidades locales e interesados pertinentes de distintos sectores en la aplicación del Protocolo</w:t>
            </w:r>
          </w:p>
          <w:p w14:paraId="51026095" w14:textId="6A7C3B6F" w:rsidR="000E2816" w:rsidRPr="0075563B" w:rsidRDefault="000E2816" w:rsidP="006B322C">
            <w:pPr>
              <w:jc w:val="left"/>
              <w:rPr>
                <w:rFonts w:eastAsia="MS Mincho"/>
                <w:kern w:val="22"/>
                <w:szCs w:val="22"/>
              </w:rPr>
            </w:pPr>
            <w:r w:rsidRPr="0075563B">
              <w:rPr>
                <w:szCs w:val="22"/>
              </w:rPr>
              <w:t>B.4.3. Las Partes facilitan la coordinación y la cooperación sectorial e intersectorial a nivel nacional para integrar la seguridad de la biotecnología</w:t>
            </w:r>
            <w:r w:rsidR="0005349E">
              <w:rPr>
                <w:szCs w:val="22"/>
              </w:rPr>
              <w:t>.</w:t>
            </w:r>
            <w:r w:rsidRPr="0075563B">
              <w:rPr>
                <w:szCs w:val="22"/>
              </w:rPr>
              <w:t xml:space="preserve"> </w:t>
            </w:r>
          </w:p>
        </w:tc>
        <w:tc>
          <w:tcPr>
            <w:tcW w:w="2970" w:type="dxa"/>
            <w:shd w:val="clear" w:color="auto" w:fill="auto"/>
          </w:tcPr>
          <w:p w14:paraId="63402498" w14:textId="543FBF0E" w:rsidR="000E2816" w:rsidRPr="0075563B" w:rsidRDefault="000E2816" w:rsidP="00CE747E">
            <w:pPr>
              <w:spacing w:before="60" w:after="60"/>
              <w:jc w:val="left"/>
              <w:rPr>
                <w:rFonts w:eastAsia="MS Mincho"/>
                <w:kern w:val="22"/>
                <w:szCs w:val="22"/>
              </w:rPr>
            </w:pPr>
            <w:r w:rsidRPr="0075563B">
              <w:rPr>
                <w:szCs w:val="22"/>
              </w:rPr>
              <w:lastRenderedPageBreak/>
              <w:t>a) Porcentaje de Partes que cooperan en el intercambio de conocimientos científicos, técnicos e institucionales;</w:t>
            </w:r>
          </w:p>
          <w:p w14:paraId="2EC8CDB6" w14:textId="2C9151BB" w:rsidR="000E2816" w:rsidRPr="0075563B" w:rsidRDefault="000E2816" w:rsidP="006B322C">
            <w:pPr>
              <w:jc w:val="left"/>
              <w:rPr>
                <w:rFonts w:eastAsia="MS Mincho"/>
                <w:kern w:val="22"/>
                <w:szCs w:val="22"/>
              </w:rPr>
            </w:pPr>
            <w:r w:rsidRPr="0075563B">
              <w:rPr>
                <w:szCs w:val="22"/>
              </w:rPr>
              <w:lastRenderedPageBreak/>
              <w:t>b) Porcentaje de Partes que participan en actividades bilaterales, regionales o multilaterales para la aplicación del Protocolo;</w:t>
            </w:r>
          </w:p>
          <w:p w14:paraId="68888792" w14:textId="3A6D0F80" w:rsidR="000E2816" w:rsidRPr="0075563B" w:rsidRDefault="000E2816" w:rsidP="006B322C">
            <w:pPr>
              <w:jc w:val="left"/>
              <w:rPr>
                <w:rFonts w:eastAsia="MS Mincho"/>
                <w:kern w:val="22"/>
                <w:szCs w:val="22"/>
              </w:rPr>
            </w:pPr>
            <w:r w:rsidRPr="0075563B">
              <w:rPr>
                <w:szCs w:val="22"/>
              </w:rPr>
              <w:t>c) Porcentaje de Partes que cuentan con mecanismos para hacer participar a los pueblos indígenas y las comunidades locales y a los interesados pertinentes de diferentes sectores en la aplicación del Protocolo;</w:t>
            </w:r>
          </w:p>
          <w:p w14:paraId="58C5DEAE" w14:textId="0448E8D0" w:rsidR="000E2816" w:rsidRPr="0075563B" w:rsidRDefault="004269C5" w:rsidP="006B322C">
            <w:pPr>
              <w:jc w:val="left"/>
              <w:rPr>
                <w:rFonts w:eastAsia="MS Mincho"/>
                <w:kern w:val="22"/>
                <w:szCs w:val="22"/>
              </w:rPr>
            </w:pPr>
            <w:r w:rsidRPr="0075563B">
              <w:rPr>
                <w:szCs w:val="22"/>
              </w:rPr>
              <w:t>d</w:t>
            </w:r>
            <w:r w:rsidR="000E2816" w:rsidRPr="0075563B">
              <w:rPr>
                <w:szCs w:val="22"/>
              </w:rPr>
              <w:t>) Porcentaje de Partes que han integrado la seguridad de la biotecnología en las estrategias, los planes de acción, los programas, las políticas o la legislación nacional a nivel sectorial e intersectorial.</w:t>
            </w:r>
          </w:p>
        </w:tc>
        <w:tc>
          <w:tcPr>
            <w:tcW w:w="2183" w:type="dxa"/>
            <w:shd w:val="clear" w:color="auto" w:fill="auto"/>
          </w:tcPr>
          <w:p w14:paraId="39FC8F9B" w14:textId="77777777" w:rsidR="000E2816" w:rsidRPr="0075563B" w:rsidRDefault="000E2816" w:rsidP="00C57AD4">
            <w:pPr>
              <w:spacing w:before="60" w:after="60"/>
              <w:jc w:val="left"/>
              <w:rPr>
                <w:rFonts w:eastAsia="MS Mincho"/>
                <w:kern w:val="22"/>
                <w:szCs w:val="22"/>
              </w:rPr>
            </w:pPr>
            <w:r w:rsidRPr="0075563B">
              <w:rPr>
                <w:szCs w:val="22"/>
              </w:rPr>
              <w:lastRenderedPageBreak/>
              <w:t xml:space="preserve">Mediante la cooperación en los planos nacional, regional e </w:t>
            </w:r>
            <w:r w:rsidRPr="0075563B">
              <w:rPr>
                <w:szCs w:val="22"/>
              </w:rPr>
              <w:lastRenderedPageBreak/>
              <w:t>internacional, y la participación de los interesados, la aplicación del Protocolo por las Partes es más eficaz</w:t>
            </w:r>
          </w:p>
        </w:tc>
        <w:tc>
          <w:tcPr>
            <w:tcW w:w="2317" w:type="dxa"/>
            <w:shd w:val="clear" w:color="auto" w:fill="auto"/>
          </w:tcPr>
          <w:p w14:paraId="291DF158" w14:textId="38D77215" w:rsidR="000E2816" w:rsidRPr="0075563B" w:rsidRDefault="000E2816" w:rsidP="006B322C">
            <w:pPr>
              <w:spacing w:before="60" w:after="60"/>
              <w:jc w:val="left"/>
              <w:rPr>
                <w:rFonts w:eastAsia="MS Mincho"/>
                <w:kern w:val="22"/>
                <w:szCs w:val="22"/>
              </w:rPr>
            </w:pPr>
            <w:r w:rsidRPr="0075563B">
              <w:rPr>
                <w:szCs w:val="22"/>
              </w:rPr>
              <w:lastRenderedPageBreak/>
              <w:t xml:space="preserve">1) Cooperación entre las Partes y dentro de ellas; </w:t>
            </w:r>
          </w:p>
          <w:p w14:paraId="7CC0941B" w14:textId="3C407169" w:rsidR="000E2816" w:rsidRPr="0075563B" w:rsidRDefault="000E2816" w:rsidP="006B322C">
            <w:pPr>
              <w:spacing w:before="60" w:after="60"/>
              <w:jc w:val="left"/>
              <w:rPr>
                <w:rFonts w:eastAsia="MS Mincho"/>
                <w:kern w:val="22"/>
                <w:szCs w:val="22"/>
              </w:rPr>
            </w:pPr>
            <w:r w:rsidRPr="0075563B">
              <w:rPr>
                <w:szCs w:val="22"/>
              </w:rPr>
              <w:lastRenderedPageBreak/>
              <w:t>2) Participación de los pueblos indígenas y comunidades locales e interesados de sectores pertinentes;</w:t>
            </w:r>
          </w:p>
          <w:p w14:paraId="02FED988" w14:textId="04F86E01" w:rsidR="000E2816" w:rsidRPr="0075563B" w:rsidRDefault="000E2816" w:rsidP="006B322C">
            <w:pPr>
              <w:spacing w:before="60" w:after="60"/>
              <w:jc w:val="left"/>
              <w:rPr>
                <w:rFonts w:eastAsia="MS Mincho"/>
                <w:kern w:val="22"/>
                <w:szCs w:val="22"/>
              </w:rPr>
            </w:pPr>
            <w:r w:rsidRPr="0075563B">
              <w:rPr>
                <w:szCs w:val="22"/>
              </w:rPr>
              <w:t>3) Integración de la seguridad de la biotecnología en la legislación, las políticas y los planes sectoriales e intersectoriales.</w:t>
            </w:r>
          </w:p>
          <w:p w14:paraId="05EBE47E" w14:textId="77777777" w:rsidR="000E2816" w:rsidRPr="0075563B" w:rsidRDefault="000E2816" w:rsidP="006B322C">
            <w:pPr>
              <w:spacing w:before="60" w:after="60"/>
              <w:jc w:val="left"/>
              <w:rPr>
                <w:rFonts w:eastAsia="MS Mincho"/>
                <w:kern w:val="22"/>
                <w:szCs w:val="22"/>
              </w:rPr>
            </w:pPr>
          </w:p>
        </w:tc>
        <w:tc>
          <w:tcPr>
            <w:tcW w:w="2903" w:type="dxa"/>
            <w:shd w:val="clear" w:color="auto" w:fill="auto"/>
          </w:tcPr>
          <w:p w14:paraId="45A95E16" w14:textId="3BEFFEA5" w:rsidR="000E2816" w:rsidRPr="0075563B" w:rsidRDefault="000E2816" w:rsidP="006B322C">
            <w:pPr>
              <w:spacing w:before="60" w:after="60"/>
              <w:jc w:val="left"/>
              <w:rPr>
                <w:rFonts w:eastAsia="MS Mincho"/>
                <w:kern w:val="22"/>
                <w:szCs w:val="22"/>
              </w:rPr>
            </w:pPr>
            <w:r w:rsidRPr="0075563B">
              <w:rPr>
                <w:szCs w:val="22"/>
              </w:rPr>
              <w:lastRenderedPageBreak/>
              <w:t xml:space="preserve">i) Organizar actividades para facilitar la cooperación técnica y el intercambio de </w:t>
            </w:r>
            <w:r w:rsidRPr="0075563B">
              <w:rPr>
                <w:szCs w:val="22"/>
              </w:rPr>
              <w:lastRenderedPageBreak/>
              <w:t>información a nivel bilateral, subregional y regional;</w:t>
            </w:r>
          </w:p>
          <w:p w14:paraId="0D8B5830" w14:textId="0108D836" w:rsidR="000E2816" w:rsidRPr="0075563B" w:rsidRDefault="000E2816" w:rsidP="006B322C">
            <w:pPr>
              <w:spacing w:before="60" w:after="60"/>
              <w:jc w:val="left"/>
              <w:rPr>
                <w:rFonts w:eastAsia="MS Mincho"/>
                <w:kern w:val="22"/>
                <w:szCs w:val="22"/>
              </w:rPr>
            </w:pPr>
            <w:r w:rsidRPr="0075563B">
              <w:rPr>
                <w:szCs w:val="22"/>
              </w:rPr>
              <w:t xml:space="preserve">ii) Organizar actividades conjuntas con los pueblos indígenas y comunidades locales e interesados pertinentes de distintos sectores. </w:t>
            </w:r>
          </w:p>
        </w:tc>
      </w:tr>
    </w:tbl>
    <w:p w14:paraId="101EDE7C" w14:textId="77777777" w:rsidR="000E2816" w:rsidRPr="0075563B" w:rsidRDefault="000E2816" w:rsidP="000E2816">
      <w:pPr>
        <w:rPr>
          <w:kern w:val="22"/>
          <w:szCs w:val="22"/>
        </w:rPr>
      </w:pPr>
    </w:p>
    <w:p w14:paraId="40F8A6F6" w14:textId="4EB810A9" w:rsidR="0085638D" w:rsidRPr="0075563B" w:rsidRDefault="001452C7" w:rsidP="00F83603">
      <w:pPr>
        <w:jc w:val="center"/>
        <w:rPr>
          <w:shd w:val="clear" w:color="auto" w:fill="FFFFFF"/>
        </w:rPr>
      </w:pPr>
      <w:r w:rsidRPr="0075563B">
        <w:t>__________</w:t>
      </w:r>
    </w:p>
    <w:sectPr w:rsidR="0085638D" w:rsidRPr="0075563B" w:rsidSect="00FC0B19">
      <w:pgSz w:w="15840" w:h="12240" w:orient="landscape"/>
      <w:pgMar w:top="1389" w:right="567" w:bottom="138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6FC90" w14:textId="77777777" w:rsidR="00665EA5" w:rsidRDefault="00665EA5" w:rsidP="00CF1848">
      <w:r>
        <w:separator/>
      </w:r>
    </w:p>
  </w:endnote>
  <w:endnote w:type="continuationSeparator" w:id="0">
    <w:p w14:paraId="0E89B2CA" w14:textId="77777777" w:rsidR="00665EA5" w:rsidRDefault="00665EA5"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3ACDC7" w14:textId="77777777" w:rsidR="00665EA5" w:rsidRDefault="00665EA5" w:rsidP="00CF1848">
      <w:r>
        <w:separator/>
      </w:r>
    </w:p>
  </w:footnote>
  <w:footnote w:type="continuationSeparator" w:id="0">
    <w:p w14:paraId="607C5F1B" w14:textId="77777777" w:rsidR="00665EA5" w:rsidRDefault="00665EA5" w:rsidP="00CF1848">
      <w:r>
        <w:continuationSeparator/>
      </w:r>
    </w:p>
  </w:footnote>
  <w:footnote w:id="1">
    <w:p w14:paraId="29239E6F" w14:textId="75EAB20F" w:rsidR="008D1EDB" w:rsidRPr="00AE0D44" w:rsidRDefault="008D1EDB" w:rsidP="008D1EDB">
      <w:pPr>
        <w:pStyle w:val="FootnoteText"/>
        <w:suppressLineNumbers/>
        <w:suppressAutoHyphens/>
        <w:spacing w:before="0"/>
        <w:ind w:firstLine="0"/>
        <w:jc w:val="left"/>
        <w:rPr>
          <w:kern w:val="18"/>
          <w:szCs w:val="18"/>
        </w:rPr>
      </w:pPr>
      <w:r w:rsidRPr="00AE0D44">
        <w:rPr>
          <w:rStyle w:val="FootnoteReference"/>
          <w:kern w:val="18"/>
          <w:szCs w:val="18"/>
          <w:u w:val="none"/>
        </w:rPr>
        <w:t>*</w:t>
      </w:r>
      <w:r w:rsidRPr="00AE0D44">
        <w:rPr>
          <w:kern w:val="18"/>
          <w:szCs w:val="18"/>
        </w:rPr>
        <w:t xml:space="preserve"> </w:t>
      </w:r>
      <w:hyperlink r:id="rId1" w:history="1">
        <w:proofErr w:type="spellStart"/>
        <w:r w:rsidRPr="00AE0D44">
          <w:rPr>
            <w:rStyle w:val="Hyperlink"/>
            <w:kern w:val="18"/>
            <w:szCs w:val="18"/>
          </w:rPr>
          <w:t>CBD</w:t>
        </w:r>
        <w:proofErr w:type="spellEnd"/>
        <w:r w:rsidRPr="00AE0D44">
          <w:rPr>
            <w:rStyle w:val="Hyperlink"/>
            <w:kern w:val="18"/>
            <w:szCs w:val="18"/>
          </w:rPr>
          <w:t>/</w:t>
        </w:r>
        <w:proofErr w:type="spellStart"/>
        <w:r w:rsidRPr="00AE0D44">
          <w:rPr>
            <w:rStyle w:val="Hyperlink"/>
            <w:kern w:val="18"/>
            <w:szCs w:val="18"/>
          </w:rPr>
          <w:t>SBI</w:t>
        </w:r>
        <w:proofErr w:type="spellEnd"/>
        <w:r w:rsidRPr="00AE0D44">
          <w:rPr>
            <w:rStyle w:val="Hyperlink"/>
            <w:kern w:val="18"/>
            <w:szCs w:val="18"/>
          </w:rPr>
          <w:t>/3/1</w:t>
        </w:r>
      </w:hyperlink>
      <w:r w:rsidRPr="00AE0D44">
        <w:rPr>
          <w:kern w:val="18"/>
          <w:szCs w:val="18"/>
        </w:rPr>
        <w:t>.</w:t>
      </w:r>
    </w:p>
  </w:footnote>
  <w:footnote w:id="2">
    <w:p w14:paraId="4BF75502" w14:textId="236651DE" w:rsidR="003222E7" w:rsidRPr="00B026D8" w:rsidRDefault="003222E7" w:rsidP="00C67D94">
      <w:pPr>
        <w:pStyle w:val="FootnoteText"/>
        <w:ind w:firstLine="0"/>
      </w:pPr>
      <w:r>
        <w:rPr>
          <w:rStyle w:val="FootnoteReference"/>
          <w:u w:val="none"/>
          <w:vertAlign w:val="superscript"/>
        </w:rPr>
        <w:footnoteRef/>
      </w:r>
      <w:r>
        <w:t xml:space="preserve"> </w:t>
      </w:r>
      <w:r w:rsidRPr="00413E72">
        <w:t>Notificación 2019-027</w:t>
      </w:r>
      <w:r>
        <w:t xml:space="preserve"> con fecha 28 de febrero de 2019.</w:t>
      </w:r>
    </w:p>
  </w:footnote>
  <w:footnote w:id="3">
    <w:p w14:paraId="5C43815B" w14:textId="6079FADC" w:rsidR="003222E7" w:rsidRPr="00531B27" w:rsidRDefault="003222E7" w:rsidP="00E752A5">
      <w:pPr>
        <w:pStyle w:val="FootnoteText"/>
        <w:ind w:firstLine="0"/>
        <w:jc w:val="left"/>
        <w:rPr>
          <w:szCs w:val="18"/>
        </w:rPr>
      </w:pPr>
      <w:r>
        <w:rPr>
          <w:rStyle w:val="FootnoteReference"/>
          <w:u w:val="none"/>
          <w:vertAlign w:val="superscript"/>
        </w:rPr>
        <w:footnoteRef/>
      </w:r>
      <w:r>
        <w:rPr>
          <w:sz w:val="20"/>
          <w:szCs w:val="20"/>
        </w:rPr>
        <w:t xml:space="preserve"> </w:t>
      </w:r>
      <w:r>
        <w:t xml:space="preserve">Las presentaciones se encuentran disponibles en </w:t>
      </w:r>
      <w:r w:rsidRPr="00413E72">
        <w:rPr>
          <w:szCs w:val="18"/>
        </w:rPr>
        <w:t>http://bch.cbd.int/protocol/post2020/submissions.shtml</w:t>
      </w:r>
      <w:r>
        <w:t xml:space="preserve"> </w:t>
      </w:r>
    </w:p>
  </w:footnote>
  <w:footnote w:id="4">
    <w:p w14:paraId="382FB37D" w14:textId="51D7AE53" w:rsidR="003222E7" w:rsidRPr="00EF56F4" w:rsidRDefault="003222E7" w:rsidP="0012763B">
      <w:pPr>
        <w:pStyle w:val="FootnoteText"/>
        <w:ind w:firstLine="0"/>
      </w:pPr>
      <w:r>
        <w:rPr>
          <w:rStyle w:val="FootnoteReference"/>
          <w:u w:val="none"/>
          <w:vertAlign w:val="superscript"/>
        </w:rPr>
        <w:footnoteRef/>
      </w:r>
      <w:r>
        <w:t xml:space="preserve"> El proyecto de </w:t>
      </w:r>
      <w:r w:rsidR="00840CA7">
        <w:t>p</w:t>
      </w:r>
      <w:r>
        <w:t xml:space="preserve">lan de </w:t>
      </w:r>
      <w:r w:rsidR="00840CA7">
        <w:t>a</w:t>
      </w:r>
      <w:r>
        <w:t xml:space="preserve">plicación para el Protocolo de Cartagena se puso a disposición para su consideración durante los debates abiertos en línea y se encuentra disponible aquí: </w:t>
      </w:r>
      <w:r w:rsidRPr="00413E72">
        <w:t>https://bch.cbd.int/post%202020/implementationplan.pdf?download</w:t>
      </w:r>
      <w:r>
        <w:t xml:space="preserve"> </w:t>
      </w:r>
    </w:p>
  </w:footnote>
  <w:footnote w:id="5">
    <w:p w14:paraId="7E09C32B" w14:textId="72F0E721" w:rsidR="003222E7" w:rsidRPr="00DF745A" w:rsidRDefault="003222E7" w:rsidP="001074FB">
      <w:pPr>
        <w:pStyle w:val="FootnoteText"/>
        <w:ind w:firstLine="0"/>
        <w:rPr>
          <w:sz w:val="20"/>
          <w:szCs w:val="20"/>
        </w:rPr>
      </w:pPr>
      <w:r>
        <w:rPr>
          <w:rStyle w:val="FootnoteReference"/>
          <w:u w:val="none"/>
          <w:vertAlign w:val="superscript"/>
        </w:rPr>
        <w:footnoteRef/>
      </w:r>
      <w:r>
        <w:rPr>
          <w:sz w:val="20"/>
          <w:szCs w:val="20"/>
        </w:rPr>
        <w:t xml:space="preserve"> </w:t>
      </w:r>
      <w:r>
        <w:t>El texto completo de todas las intervenciones y propuestas formuladas por los participantes durante los debates en línea puede consultarse en</w:t>
      </w:r>
      <w:r w:rsidR="00EF1381">
        <w:t>:</w:t>
      </w:r>
      <w:r>
        <w:t xml:space="preserve"> </w:t>
      </w:r>
      <w:r w:rsidRPr="00EF1381">
        <w:rPr>
          <w:szCs w:val="18"/>
        </w:rPr>
        <w:t>http://bch.cbd.int/protocol/post2020/ForumImplementationPlan.shtml</w:t>
      </w:r>
      <w:r>
        <w:rPr>
          <w:sz w:val="20"/>
          <w:szCs w:val="20"/>
        </w:rPr>
        <w:t xml:space="preserve"> </w:t>
      </w:r>
    </w:p>
  </w:footnote>
  <w:footnote w:id="6">
    <w:p w14:paraId="2FF321D2" w14:textId="2265905E" w:rsidR="003222E7" w:rsidRPr="00DF745A" w:rsidRDefault="003222E7" w:rsidP="00FA248A">
      <w:pPr>
        <w:pStyle w:val="FootnoteText"/>
        <w:ind w:firstLine="0"/>
        <w:rPr>
          <w:sz w:val="20"/>
          <w:szCs w:val="20"/>
        </w:rPr>
      </w:pPr>
      <w:r>
        <w:rPr>
          <w:rStyle w:val="FootnoteReference"/>
          <w:u w:val="none"/>
          <w:vertAlign w:val="superscript"/>
        </w:rPr>
        <w:footnoteRef/>
      </w:r>
      <w:r>
        <w:rPr>
          <w:sz w:val="20"/>
          <w:szCs w:val="20"/>
        </w:rPr>
        <w:t xml:space="preserve"> </w:t>
      </w:r>
      <w:r>
        <w:t xml:space="preserve">La lista de participantes se encuentra disponible en: </w:t>
      </w:r>
      <w:hyperlink r:id="rId2" w:history="1">
        <w:r>
          <w:rPr>
            <w:rStyle w:val="Hyperlink"/>
            <w:szCs w:val="18"/>
            <w:u w:val="none"/>
          </w:rPr>
          <w:t>http://bch.cbd.int/protocol/post2020/0002.shtml</w:t>
        </w:r>
      </w:hyperlink>
      <w:r>
        <w:t xml:space="preserve">   </w:t>
      </w:r>
    </w:p>
  </w:footnote>
  <w:footnote w:id="7">
    <w:p w14:paraId="64701E7B" w14:textId="64D17FDA" w:rsidR="003222E7" w:rsidRPr="00A21C50" w:rsidRDefault="003222E7" w:rsidP="008F1842">
      <w:pPr>
        <w:pStyle w:val="FootnoteText"/>
        <w:ind w:firstLine="0"/>
      </w:pPr>
      <w:r>
        <w:rPr>
          <w:rStyle w:val="FootnoteReference"/>
          <w:u w:val="none"/>
          <w:vertAlign w:val="superscript"/>
        </w:rPr>
        <w:footnoteRef/>
      </w:r>
      <w:r>
        <w:t xml:space="preserve"> El programa de trabajo sobre concienciación, educación y participación del público fue adoptado en la decisión BS-V/13 y extendido hasta 2020 mediante la decisión CP-VIII/18.</w:t>
      </w:r>
    </w:p>
  </w:footnote>
  <w:footnote w:id="8">
    <w:p w14:paraId="3FAB9773" w14:textId="77777777" w:rsidR="001F58A9" w:rsidRPr="0060241C" w:rsidRDefault="001F58A9" w:rsidP="008F336C">
      <w:pPr>
        <w:pStyle w:val="FootnoteText"/>
        <w:ind w:firstLine="0"/>
      </w:pPr>
      <w:r>
        <w:rPr>
          <w:rStyle w:val="FootnoteReference"/>
          <w:u w:val="none"/>
          <w:vertAlign w:val="superscript"/>
        </w:rPr>
        <w:footnoteRef/>
      </w:r>
      <w:r>
        <w:t xml:space="preserve"> Véase el informe de la 13</w:t>
      </w:r>
      <w:r>
        <w:rPr>
          <w:vertAlign w:val="superscript"/>
        </w:rPr>
        <w:t>a</w:t>
      </w:r>
      <w:r>
        <w:t xml:space="preserve"> reunión del Grupo de Enlace, CBD/CP/LG/2020/1/6.</w:t>
      </w:r>
    </w:p>
  </w:footnote>
  <w:footnote w:id="9">
    <w:p w14:paraId="66423C6A" w14:textId="6AEAFF0E" w:rsidR="003222E7" w:rsidRPr="002F4C32" w:rsidRDefault="003222E7" w:rsidP="00D97B18">
      <w:pPr>
        <w:rPr>
          <w:sz w:val="18"/>
          <w:szCs w:val="18"/>
        </w:rPr>
      </w:pPr>
      <w:r>
        <w:rPr>
          <w:rStyle w:val="FootnoteReference"/>
          <w:u w:val="none"/>
          <w:vertAlign w:val="superscript"/>
        </w:rPr>
        <w:footnoteRef/>
      </w:r>
      <w:r>
        <w:t xml:space="preserve"> </w:t>
      </w:r>
      <w:r>
        <w:rPr>
          <w:sz w:val="18"/>
          <w:szCs w:val="18"/>
        </w:rPr>
        <w:t xml:space="preserve">Véase la notificación 2019-110 con fecha 5 de diciembre de 2019. Los proyectos de plan de aplicación y plan de acción para la creación de capacidad que se publicaron para su revisión en diciembre de 2019 pueden consultarse aquí: </w:t>
      </w:r>
      <w:r w:rsidRPr="00EF1381">
        <w:rPr>
          <w:sz w:val="18"/>
        </w:rPr>
        <w:t>https://bch.cbd.int/post%202020/plans_review.pdf</w:t>
      </w:r>
      <w:r>
        <w:rPr>
          <w:sz w:val="18"/>
          <w:szCs w:val="18"/>
        </w:rPr>
        <w:t xml:space="preserve">. </w:t>
      </w:r>
    </w:p>
  </w:footnote>
  <w:footnote w:id="10">
    <w:p w14:paraId="13557A1B" w14:textId="6EF1D3A7" w:rsidR="003222E7" w:rsidRPr="001C3478" w:rsidRDefault="003222E7" w:rsidP="001C3478">
      <w:pPr>
        <w:pStyle w:val="FootnoteText"/>
        <w:ind w:firstLine="0"/>
      </w:pPr>
      <w:r>
        <w:rPr>
          <w:rStyle w:val="FootnoteReference"/>
          <w:u w:val="none"/>
          <w:vertAlign w:val="superscript"/>
        </w:rPr>
        <w:footnoteRef/>
      </w:r>
      <w:r>
        <w:t xml:space="preserve"> Las presentaciones pueden consultarse en</w:t>
      </w:r>
      <w:r w:rsidR="00EF1381">
        <w:t>:</w:t>
      </w:r>
      <w:r>
        <w:t xml:space="preserve"> </w:t>
      </w:r>
      <w:r w:rsidRPr="00EF1381">
        <w:t>https://bch.cbd.int/protocol/post2020/portal/SubmissionsReview.shtml</w:t>
      </w:r>
    </w:p>
  </w:footnote>
  <w:footnote w:id="11">
    <w:p w14:paraId="761BFB3C" w14:textId="12B5C7DF" w:rsidR="003222E7" w:rsidRPr="0060241C" w:rsidRDefault="003222E7" w:rsidP="008F336C">
      <w:pPr>
        <w:pStyle w:val="FootnoteText"/>
        <w:ind w:firstLine="0"/>
      </w:pPr>
      <w:r>
        <w:rPr>
          <w:rStyle w:val="FootnoteReference"/>
          <w:u w:val="none"/>
          <w:vertAlign w:val="superscript"/>
        </w:rPr>
        <w:footnoteRef/>
      </w:r>
      <w:r>
        <w:t xml:space="preserve"> Véase el informe de la 14</w:t>
      </w:r>
      <w:r>
        <w:rPr>
          <w:vertAlign w:val="superscript"/>
        </w:rPr>
        <w:t>a</w:t>
      </w:r>
      <w:r>
        <w:t xml:space="preserve"> reunión del Grupo de Enlace, </w:t>
      </w:r>
      <w:proofErr w:type="spellStart"/>
      <w:r>
        <w:t>CBD</w:t>
      </w:r>
      <w:proofErr w:type="spellEnd"/>
      <w:r>
        <w:t>/</w:t>
      </w:r>
      <w:proofErr w:type="spellStart"/>
      <w:r>
        <w:t>CP</w:t>
      </w:r>
      <w:proofErr w:type="spellEnd"/>
      <w:r>
        <w:t>/</w:t>
      </w:r>
      <w:proofErr w:type="spellStart"/>
      <w:r>
        <w:t>LG</w:t>
      </w:r>
      <w:proofErr w:type="spellEnd"/>
      <w:r>
        <w:t>/2020/4.</w:t>
      </w:r>
    </w:p>
  </w:footnote>
  <w:footnote w:id="12">
    <w:p w14:paraId="3EC4E75E" w14:textId="7500399E" w:rsidR="003222E7" w:rsidRPr="00B46CB6" w:rsidRDefault="003222E7" w:rsidP="00682918">
      <w:pPr>
        <w:pStyle w:val="FootnoteText"/>
        <w:ind w:firstLine="0"/>
      </w:pPr>
      <w:r>
        <w:rPr>
          <w:rStyle w:val="FootnoteReference"/>
          <w:u w:val="none"/>
          <w:vertAlign w:val="superscript"/>
        </w:rPr>
        <w:footnoteRef/>
      </w:r>
      <w:r>
        <w:t xml:space="preserve"> Tales como el Marco de Cooperación de las Naciones Unidas para el Desarrollo Sostenible y los Marcos Nacionales de Asistencia para el Desarrollo. Véase también el documento sobre los vínculos entre el marco mundial de la diversidad biológica posterior a 2020 y la Agenda 2030 para el Desarrollo Sostenible elaborado para la 24</w:t>
      </w:r>
      <w:r>
        <w:rPr>
          <w:vertAlign w:val="superscript"/>
        </w:rPr>
        <w:t xml:space="preserve">a </w:t>
      </w:r>
      <w:r>
        <w:t>reunión del Órgano Subsidiario de Asesoramiento Científico, Técnico y Tecnológico</w:t>
      </w:r>
      <w:r w:rsidR="00FB7DB9">
        <w:t xml:space="preserve"> </w:t>
      </w:r>
      <w:r w:rsidR="00FB7DB9" w:rsidRPr="00AE0D44">
        <w:rPr>
          <w:kern w:val="18"/>
          <w:szCs w:val="18"/>
        </w:rPr>
        <w:t>(</w:t>
      </w:r>
      <w:proofErr w:type="spellStart"/>
      <w:r w:rsidR="00FB7DB9" w:rsidRPr="00AE0D44">
        <w:rPr>
          <w:kern w:val="18"/>
          <w:szCs w:val="18"/>
        </w:rPr>
        <w:t>CBD</w:t>
      </w:r>
      <w:proofErr w:type="spellEnd"/>
      <w:r w:rsidR="00FB7DB9" w:rsidRPr="00AE0D44">
        <w:rPr>
          <w:kern w:val="18"/>
          <w:szCs w:val="18"/>
        </w:rPr>
        <w:t>/</w:t>
      </w:r>
      <w:proofErr w:type="spellStart"/>
      <w:r w:rsidR="00FB7DB9" w:rsidRPr="00AE0D44">
        <w:rPr>
          <w:kern w:val="18"/>
          <w:szCs w:val="18"/>
        </w:rPr>
        <w:t>SBSTTA</w:t>
      </w:r>
      <w:proofErr w:type="spellEnd"/>
      <w:r w:rsidR="00FB7DB9" w:rsidRPr="00AE0D44">
        <w:rPr>
          <w:kern w:val="18"/>
          <w:szCs w:val="18"/>
        </w:rPr>
        <w:t xml:space="preserve">/24/3 </w:t>
      </w:r>
      <w:r w:rsidR="00994B90">
        <w:rPr>
          <w:kern w:val="18"/>
          <w:szCs w:val="18"/>
        </w:rPr>
        <w:t xml:space="preserve">y </w:t>
      </w:r>
      <w:r w:rsidR="00FB7DB9" w:rsidRPr="00AE0D44">
        <w:rPr>
          <w:kern w:val="18"/>
          <w:szCs w:val="18"/>
        </w:rPr>
        <w:t>Add.1).</w:t>
      </w:r>
      <w:r>
        <w:t xml:space="preserve"> </w:t>
      </w:r>
    </w:p>
  </w:footnote>
  <w:footnote w:id="13">
    <w:p w14:paraId="18BC24E5" w14:textId="1D893CED" w:rsidR="003222E7" w:rsidRPr="00301B84" w:rsidRDefault="003222E7" w:rsidP="00684DF8">
      <w:pPr>
        <w:pStyle w:val="FootnoteText"/>
        <w:ind w:firstLine="0"/>
      </w:pPr>
      <w:r>
        <w:rPr>
          <w:rStyle w:val="FootnoteReference"/>
          <w:u w:val="none"/>
          <w:vertAlign w:val="superscript"/>
        </w:rPr>
        <w:footnoteRef/>
      </w:r>
      <w:r>
        <w:t xml:space="preserve"> </w:t>
      </w:r>
      <w:r w:rsidR="006A0D52">
        <w:t xml:space="preserve">Véase </w:t>
      </w:r>
      <w:proofErr w:type="spellStart"/>
      <w:r>
        <w:t>CBD</w:t>
      </w:r>
      <w:proofErr w:type="spellEnd"/>
      <w:r>
        <w:t>/</w:t>
      </w:r>
      <w:proofErr w:type="spellStart"/>
      <w:r>
        <w:t>SBI</w:t>
      </w:r>
      <w:proofErr w:type="spellEnd"/>
      <w:r>
        <w:t>/3/3/Add.1</w:t>
      </w:r>
      <w:r w:rsidR="006A0D52">
        <w:t>.</w:t>
      </w:r>
    </w:p>
  </w:footnote>
  <w:footnote w:id="14">
    <w:p w14:paraId="32C384C9" w14:textId="77777777" w:rsidR="003222E7" w:rsidRPr="00B04A51" w:rsidRDefault="003222E7" w:rsidP="001452C7">
      <w:pPr>
        <w:pStyle w:val="FootnoteText"/>
        <w:ind w:firstLine="0"/>
      </w:pPr>
      <w:r>
        <w:rPr>
          <w:rStyle w:val="FootnoteReference"/>
          <w:u w:val="none"/>
          <w:vertAlign w:val="superscript"/>
        </w:rPr>
        <w:footnoteRef/>
      </w:r>
      <w:r>
        <w:t xml:space="preserve"> BS-V/13, anexo y BS-VI/3, respectivamente.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22A3FEC" w14:textId="2E1EF9A6" w:rsidR="003222E7" w:rsidRPr="004C106A" w:rsidRDefault="003222E7" w:rsidP="004C5BCC">
        <w:pPr>
          <w:pStyle w:val="Header"/>
          <w:keepLines/>
          <w:suppressLineNumbers/>
          <w:tabs>
            <w:tab w:val="clear" w:pos="4320"/>
            <w:tab w:val="clear" w:pos="8640"/>
          </w:tabs>
          <w:suppressAutoHyphens/>
          <w:spacing w:before="0" w:after="0"/>
          <w:jc w:val="left"/>
          <w:rPr>
            <w:noProof/>
            <w:kern w:val="22"/>
            <w:lang w:val="fr-CA"/>
          </w:rPr>
        </w:pPr>
        <w:r>
          <w:rPr>
            <w:noProof/>
            <w:kern w:val="22"/>
            <w:lang w:val="fr-CA"/>
          </w:rPr>
          <w:t>CBD/SBI/3/18</w:t>
        </w:r>
      </w:p>
    </w:sdtContent>
  </w:sdt>
  <w:p w14:paraId="38BE883B" w14:textId="5E95344C" w:rsidR="003222E7" w:rsidRPr="004C106A" w:rsidRDefault="003222E7" w:rsidP="004C5BCC">
    <w:pPr>
      <w:pStyle w:val="Header"/>
      <w:keepLines/>
      <w:suppressLineNumbers/>
      <w:tabs>
        <w:tab w:val="clear" w:pos="4320"/>
        <w:tab w:val="clear" w:pos="8640"/>
      </w:tabs>
      <w:suppressAutoHyphens/>
      <w:spacing w:before="0" w:after="240"/>
      <w:jc w:val="left"/>
      <w:rPr>
        <w:noProof/>
        <w:kern w:val="22"/>
      </w:rPr>
    </w:pPr>
    <w:r>
      <w:t xml:space="preserve">Página </w:t>
    </w:r>
    <w:r w:rsidRPr="004B200B">
      <w:fldChar w:fldCharType="begin"/>
    </w:r>
    <w:r w:rsidRPr="004C106A">
      <w:instrText xml:space="preserve"> PAGE   \* MERGEFORMAT </w:instrText>
    </w:r>
    <w:r w:rsidRPr="004B200B">
      <w:fldChar w:fldCharType="separate"/>
    </w:r>
    <w:r w:rsidR="00152820">
      <w:rPr>
        <w:noProof/>
      </w:rPr>
      <w:t>22</w:t>
    </w:r>
    <w:r w:rsidRPr="004B200B">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kern w:val="22"/>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58177CEE" w14:textId="755C276C" w:rsidR="003222E7" w:rsidRPr="004C106A" w:rsidRDefault="003222E7" w:rsidP="005629B6">
        <w:pPr>
          <w:pStyle w:val="Header"/>
          <w:keepLines/>
          <w:suppressLineNumbers/>
          <w:tabs>
            <w:tab w:val="clear" w:pos="4320"/>
            <w:tab w:val="clear" w:pos="8640"/>
          </w:tabs>
          <w:suppressAutoHyphens/>
          <w:spacing w:before="0" w:after="0"/>
          <w:jc w:val="right"/>
          <w:rPr>
            <w:noProof/>
            <w:kern w:val="22"/>
            <w:lang w:val="fr-CA"/>
          </w:rPr>
        </w:pPr>
        <w:r>
          <w:rPr>
            <w:noProof/>
            <w:kern w:val="22"/>
            <w:lang w:val="fr-CA"/>
          </w:rPr>
          <w:t>CBD/SBI/3/18</w:t>
        </w:r>
      </w:p>
    </w:sdtContent>
  </w:sdt>
  <w:p w14:paraId="37D34E80" w14:textId="09CFAEE8" w:rsidR="003222E7" w:rsidRPr="004C106A" w:rsidRDefault="003222E7" w:rsidP="005629B6">
    <w:pPr>
      <w:pStyle w:val="Header"/>
      <w:keepLines/>
      <w:suppressLineNumbers/>
      <w:tabs>
        <w:tab w:val="clear" w:pos="4320"/>
        <w:tab w:val="clear" w:pos="8640"/>
      </w:tabs>
      <w:suppressAutoHyphens/>
      <w:spacing w:before="0" w:after="240"/>
      <w:jc w:val="right"/>
      <w:rPr>
        <w:noProof/>
        <w:kern w:val="22"/>
      </w:rPr>
    </w:pPr>
    <w:r>
      <w:t xml:space="preserve">Página </w:t>
    </w:r>
    <w:r w:rsidRPr="004B200B">
      <w:fldChar w:fldCharType="begin"/>
    </w:r>
    <w:r w:rsidRPr="004C106A">
      <w:instrText xml:space="preserve"> PAGE   \* MERGEFORMAT </w:instrText>
    </w:r>
    <w:r w:rsidRPr="004B200B">
      <w:fldChar w:fldCharType="separate"/>
    </w:r>
    <w:r w:rsidR="00152820">
      <w:rPr>
        <w:noProof/>
      </w:rPr>
      <w:t>21</w:t>
    </w:r>
    <w:r w:rsidRPr="004B200B">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kern w:val="22"/>
      </w:rPr>
      <w:alias w:val="Subject"/>
      <w:tag w:val=""/>
      <w:id w:val="75872970"/>
      <w:dataBinding w:prefixMappings="xmlns:ns0='http://purl.org/dc/elements/1.1/' xmlns:ns1='http://schemas.openxmlformats.org/package/2006/metadata/core-properties' " w:xpath="/ns1:coreProperties[1]/ns0:subject[1]" w:storeItemID="{6C3C8BC8-F283-45AE-878A-BAB7291924A1}"/>
      <w:text/>
    </w:sdtPr>
    <w:sdtEndPr/>
    <w:sdtContent>
      <w:p w14:paraId="16D65F56" w14:textId="77777777" w:rsidR="00DD3653" w:rsidRPr="004C106A" w:rsidRDefault="00DD3653" w:rsidP="00932237">
        <w:pPr>
          <w:pStyle w:val="Header"/>
          <w:keepLines/>
          <w:suppressLineNumbers/>
          <w:tabs>
            <w:tab w:val="clear" w:pos="4320"/>
            <w:tab w:val="clear" w:pos="8640"/>
          </w:tabs>
          <w:suppressAutoHyphens/>
          <w:spacing w:before="0" w:after="0"/>
          <w:jc w:val="right"/>
          <w:rPr>
            <w:noProof/>
            <w:kern w:val="22"/>
            <w:lang w:val="fr-CA"/>
          </w:rPr>
        </w:pPr>
        <w:r>
          <w:rPr>
            <w:noProof/>
            <w:kern w:val="22"/>
            <w:lang w:val="fr-CA"/>
          </w:rPr>
          <w:t>CBD/SBI/3/18</w:t>
        </w:r>
      </w:p>
    </w:sdtContent>
  </w:sdt>
  <w:p w14:paraId="39141599" w14:textId="02F9FA2E" w:rsidR="00DD3653" w:rsidRPr="004C106A" w:rsidRDefault="00DD3653" w:rsidP="00932237">
    <w:pPr>
      <w:pStyle w:val="Header"/>
      <w:keepLines/>
      <w:suppressLineNumbers/>
      <w:tabs>
        <w:tab w:val="clear" w:pos="4320"/>
        <w:tab w:val="clear" w:pos="8640"/>
      </w:tabs>
      <w:suppressAutoHyphens/>
      <w:spacing w:before="0" w:after="240"/>
      <w:jc w:val="right"/>
      <w:rPr>
        <w:noProof/>
        <w:kern w:val="22"/>
      </w:rPr>
    </w:pPr>
    <w:r>
      <w:t xml:space="preserve">Página </w:t>
    </w:r>
    <w:r w:rsidRPr="004B200B">
      <w:fldChar w:fldCharType="begin"/>
    </w:r>
    <w:r w:rsidRPr="004C106A">
      <w:instrText xml:space="preserve"> PAGE   \* MERGEFORMAT </w:instrText>
    </w:r>
    <w:r w:rsidRPr="004B200B">
      <w:fldChar w:fldCharType="separate"/>
    </w:r>
    <w:r w:rsidR="00152820">
      <w:rPr>
        <w:noProof/>
      </w:rPr>
      <w:t>11</w:t>
    </w:r>
    <w:r w:rsidRPr="004B200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B51CF"/>
    <w:multiLevelType w:val="hybridMultilevel"/>
    <w:tmpl w:val="42482322"/>
    <w:lvl w:ilvl="0" w:tplc="4FDC302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E07C40"/>
    <w:multiLevelType w:val="hybridMultilevel"/>
    <w:tmpl w:val="F8D0C4E6"/>
    <w:lvl w:ilvl="0" w:tplc="E25214E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433356"/>
    <w:multiLevelType w:val="hybridMultilevel"/>
    <w:tmpl w:val="2F680F2E"/>
    <w:lvl w:ilvl="0" w:tplc="9D60E7C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310A154C"/>
    <w:multiLevelType w:val="hybridMultilevel"/>
    <w:tmpl w:val="6762B1B0"/>
    <w:lvl w:ilvl="0" w:tplc="E25214E2">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DDE2ED4"/>
    <w:multiLevelType w:val="hybridMultilevel"/>
    <w:tmpl w:val="852ECF1A"/>
    <w:lvl w:ilvl="0" w:tplc="65107A26">
      <w:start w:val="2"/>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E20042E"/>
    <w:multiLevelType w:val="hybridMultilevel"/>
    <w:tmpl w:val="CA9A1CE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42A4764"/>
    <w:multiLevelType w:val="hybridMultilevel"/>
    <w:tmpl w:val="7A300D02"/>
    <w:lvl w:ilvl="0" w:tplc="10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082E0C"/>
    <w:multiLevelType w:val="hybridMultilevel"/>
    <w:tmpl w:val="9C2CB22C"/>
    <w:lvl w:ilvl="0" w:tplc="10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607C49F2"/>
    <w:multiLevelType w:val="hybridMultilevel"/>
    <w:tmpl w:val="1EF88A7C"/>
    <w:lvl w:ilvl="0" w:tplc="1009000F">
      <w:start w:val="1"/>
      <w:numFmt w:val="decimal"/>
      <w:lvlText w:val="%1."/>
      <w:lvlJc w:val="left"/>
      <w:pPr>
        <w:ind w:left="2574" w:hanging="360"/>
      </w:pPr>
    </w:lvl>
    <w:lvl w:ilvl="1" w:tplc="10090019" w:tentative="1">
      <w:start w:val="1"/>
      <w:numFmt w:val="lowerLetter"/>
      <w:lvlText w:val="%2."/>
      <w:lvlJc w:val="left"/>
      <w:pPr>
        <w:ind w:left="3294" w:hanging="360"/>
      </w:pPr>
    </w:lvl>
    <w:lvl w:ilvl="2" w:tplc="1009001B" w:tentative="1">
      <w:start w:val="1"/>
      <w:numFmt w:val="lowerRoman"/>
      <w:lvlText w:val="%3."/>
      <w:lvlJc w:val="right"/>
      <w:pPr>
        <w:ind w:left="4014" w:hanging="180"/>
      </w:pPr>
    </w:lvl>
    <w:lvl w:ilvl="3" w:tplc="1009000F" w:tentative="1">
      <w:start w:val="1"/>
      <w:numFmt w:val="decimal"/>
      <w:lvlText w:val="%4."/>
      <w:lvlJc w:val="left"/>
      <w:pPr>
        <w:ind w:left="4734" w:hanging="360"/>
      </w:pPr>
    </w:lvl>
    <w:lvl w:ilvl="4" w:tplc="10090019" w:tentative="1">
      <w:start w:val="1"/>
      <w:numFmt w:val="lowerLetter"/>
      <w:lvlText w:val="%5."/>
      <w:lvlJc w:val="left"/>
      <w:pPr>
        <w:ind w:left="5454" w:hanging="360"/>
      </w:pPr>
    </w:lvl>
    <w:lvl w:ilvl="5" w:tplc="1009001B" w:tentative="1">
      <w:start w:val="1"/>
      <w:numFmt w:val="lowerRoman"/>
      <w:lvlText w:val="%6."/>
      <w:lvlJc w:val="right"/>
      <w:pPr>
        <w:ind w:left="6174" w:hanging="180"/>
      </w:pPr>
    </w:lvl>
    <w:lvl w:ilvl="6" w:tplc="1009000F" w:tentative="1">
      <w:start w:val="1"/>
      <w:numFmt w:val="decimal"/>
      <w:lvlText w:val="%7."/>
      <w:lvlJc w:val="left"/>
      <w:pPr>
        <w:ind w:left="6894" w:hanging="360"/>
      </w:pPr>
    </w:lvl>
    <w:lvl w:ilvl="7" w:tplc="10090019" w:tentative="1">
      <w:start w:val="1"/>
      <w:numFmt w:val="lowerLetter"/>
      <w:lvlText w:val="%8."/>
      <w:lvlJc w:val="left"/>
      <w:pPr>
        <w:ind w:left="7614" w:hanging="360"/>
      </w:pPr>
    </w:lvl>
    <w:lvl w:ilvl="8" w:tplc="1009001B" w:tentative="1">
      <w:start w:val="1"/>
      <w:numFmt w:val="lowerRoman"/>
      <w:lvlText w:val="%9."/>
      <w:lvlJc w:val="right"/>
      <w:pPr>
        <w:ind w:left="8334" w:hanging="180"/>
      </w:pPr>
    </w:lvl>
  </w:abstractNum>
  <w:abstractNum w:abstractNumId="11"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E23244"/>
    <w:multiLevelType w:val="multilevel"/>
    <w:tmpl w:val="1D407A24"/>
    <w:lvl w:ilvl="0">
      <w:start w:val="1"/>
      <w:numFmt w:val="decimal"/>
      <w:lvlText w:val="%1."/>
      <w:lvlJc w:val="left"/>
      <w:pPr>
        <w:tabs>
          <w:tab w:val="num" w:pos="360"/>
        </w:tabs>
        <w:ind w:left="0" w:firstLine="0"/>
      </w:pPr>
      <w:rPr>
        <w:rFonts w:ascii="Times New Roman" w:hAnsi="Times New Roman" w:hint="default"/>
        <w:b w:val="0"/>
        <w:i w:val="0"/>
        <w:sz w:val="22"/>
        <w:vertAlign w:val="baseline"/>
      </w:rPr>
    </w:lvl>
    <w:lvl w:ilvl="1">
      <w:start w:val="1"/>
      <w:numFmt w:val="lowerLetter"/>
      <w:lvlText w:val="(%2)"/>
      <w:lvlJc w:val="left"/>
      <w:pPr>
        <w:tabs>
          <w:tab w:val="num" w:pos="1080"/>
        </w:tabs>
        <w:ind w:left="0" w:firstLine="720"/>
      </w:pPr>
      <w:rPr>
        <w:rFonts w:hint="default"/>
        <w:b w:val="0"/>
        <w:i w:val="0"/>
        <w:sz w:val="22"/>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74F06E2B"/>
    <w:multiLevelType w:val="hybridMultilevel"/>
    <w:tmpl w:val="8A38FDBC"/>
    <w:lvl w:ilvl="0" w:tplc="CA2C85D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AE5095"/>
    <w:multiLevelType w:val="hybridMultilevel"/>
    <w:tmpl w:val="4118BB80"/>
    <w:lvl w:ilvl="0" w:tplc="D5CA5002">
      <w:start w:val="1"/>
      <w:numFmt w:val="upperLetter"/>
      <w:lvlText w:val="%1."/>
      <w:lvlJc w:val="left"/>
      <w:pPr>
        <w:ind w:left="720" w:hanging="360"/>
      </w:pPr>
      <w:rPr>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11"/>
  </w:num>
  <w:num w:numId="4">
    <w:abstractNumId w:val="12"/>
  </w:num>
  <w:num w:numId="5">
    <w:abstractNumId w:val="7"/>
  </w:num>
  <w:num w:numId="6">
    <w:abstractNumId w:val="8"/>
  </w:num>
  <w:num w:numId="7">
    <w:abstractNumId w:val="14"/>
  </w:num>
  <w:num w:numId="8">
    <w:abstractNumId w:val="6"/>
  </w:num>
  <w:num w:numId="9">
    <w:abstractNumId w:val="4"/>
  </w:num>
  <w:num w:numId="10">
    <w:abstractNumId w:val="1"/>
  </w:num>
  <w:num w:numId="11">
    <w:abstractNumId w:val="10"/>
  </w:num>
  <w:num w:numId="12">
    <w:abstractNumId w:val="2"/>
  </w:num>
  <w:num w:numId="13">
    <w:abstractNumId w:val="13"/>
  </w:num>
  <w:num w:numId="14">
    <w:abstractNumId w:val="5"/>
  </w:num>
  <w:num w:numId="15">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oNotTrackFormatting/>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61D"/>
    <w:rsid w:val="0000034D"/>
    <w:rsid w:val="0000085C"/>
    <w:rsid w:val="00000B72"/>
    <w:rsid w:val="00000D01"/>
    <w:rsid w:val="0000137E"/>
    <w:rsid w:val="000017EA"/>
    <w:rsid w:val="00001B4A"/>
    <w:rsid w:val="00001DAB"/>
    <w:rsid w:val="00002750"/>
    <w:rsid w:val="00002B69"/>
    <w:rsid w:val="00002B93"/>
    <w:rsid w:val="00002F65"/>
    <w:rsid w:val="0000342C"/>
    <w:rsid w:val="0000392A"/>
    <w:rsid w:val="00003E77"/>
    <w:rsid w:val="000040B6"/>
    <w:rsid w:val="00004195"/>
    <w:rsid w:val="00004290"/>
    <w:rsid w:val="000043B6"/>
    <w:rsid w:val="00004B39"/>
    <w:rsid w:val="00006737"/>
    <w:rsid w:val="00006DFC"/>
    <w:rsid w:val="000073E0"/>
    <w:rsid w:val="0000764F"/>
    <w:rsid w:val="00010070"/>
    <w:rsid w:val="000102EC"/>
    <w:rsid w:val="0001039B"/>
    <w:rsid w:val="0001097C"/>
    <w:rsid w:val="000109EB"/>
    <w:rsid w:val="00011323"/>
    <w:rsid w:val="0001158C"/>
    <w:rsid w:val="00011A94"/>
    <w:rsid w:val="00012053"/>
    <w:rsid w:val="0001248E"/>
    <w:rsid w:val="0001288F"/>
    <w:rsid w:val="00012E13"/>
    <w:rsid w:val="0001318B"/>
    <w:rsid w:val="000134B5"/>
    <w:rsid w:val="00013C2C"/>
    <w:rsid w:val="00013E76"/>
    <w:rsid w:val="00014112"/>
    <w:rsid w:val="0001495A"/>
    <w:rsid w:val="000151E6"/>
    <w:rsid w:val="00015618"/>
    <w:rsid w:val="000156C3"/>
    <w:rsid w:val="00015DA2"/>
    <w:rsid w:val="0001644E"/>
    <w:rsid w:val="00016985"/>
    <w:rsid w:val="00016A59"/>
    <w:rsid w:val="00016CDB"/>
    <w:rsid w:val="0001747B"/>
    <w:rsid w:val="00017794"/>
    <w:rsid w:val="00017A45"/>
    <w:rsid w:val="00017B55"/>
    <w:rsid w:val="00020D58"/>
    <w:rsid w:val="000210D7"/>
    <w:rsid w:val="000212E2"/>
    <w:rsid w:val="00021EB2"/>
    <w:rsid w:val="000222FE"/>
    <w:rsid w:val="00022309"/>
    <w:rsid w:val="00022EBA"/>
    <w:rsid w:val="00022F0D"/>
    <w:rsid w:val="000236CB"/>
    <w:rsid w:val="00023D0C"/>
    <w:rsid w:val="00024623"/>
    <w:rsid w:val="000246D6"/>
    <w:rsid w:val="00025997"/>
    <w:rsid w:val="00025CE8"/>
    <w:rsid w:val="00025E78"/>
    <w:rsid w:val="00025FAD"/>
    <w:rsid w:val="00026E41"/>
    <w:rsid w:val="000271E8"/>
    <w:rsid w:val="000273E3"/>
    <w:rsid w:val="000274B7"/>
    <w:rsid w:val="00027BFC"/>
    <w:rsid w:val="00027D21"/>
    <w:rsid w:val="0003020B"/>
    <w:rsid w:val="000302DB"/>
    <w:rsid w:val="00030517"/>
    <w:rsid w:val="0003065F"/>
    <w:rsid w:val="000313F0"/>
    <w:rsid w:val="000321FE"/>
    <w:rsid w:val="000323DD"/>
    <w:rsid w:val="00032557"/>
    <w:rsid w:val="00032CD8"/>
    <w:rsid w:val="00032D34"/>
    <w:rsid w:val="00033158"/>
    <w:rsid w:val="0003387B"/>
    <w:rsid w:val="00033D10"/>
    <w:rsid w:val="00034ABC"/>
    <w:rsid w:val="0003538F"/>
    <w:rsid w:val="0003565A"/>
    <w:rsid w:val="00035686"/>
    <w:rsid w:val="00035A30"/>
    <w:rsid w:val="0003623C"/>
    <w:rsid w:val="00036423"/>
    <w:rsid w:val="00036ABF"/>
    <w:rsid w:val="00036E34"/>
    <w:rsid w:val="00036EF2"/>
    <w:rsid w:val="00037A62"/>
    <w:rsid w:val="000400D6"/>
    <w:rsid w:val="0004051F"/>
    <w:rsid w:val="00040531"/>
    <w:rsid w:val="00040AA1"/>
    <w:rsid w:val="0004157A"/>
    <w:rsid w:val="0004177D"/>
    <w:rsid w:val="00041FEE"/>
    <w:rsid w:val="000427FA"/>
    <w:rsid w:val="000456FB"/>
    <w:rsid w:val="000459E5"/>
    <w:rsid w:val="00046378"/>
    <w:rsid w:val="000463F7"/>
    <w:rsid w:val="00046ABD"/>
    <w:rsid w:val="00047772"/>
    <w:rsid w:val="00047A4B"/>
    <w:rsid w:val="00047F34"/>
    <w:rsid w:val="00047F7B"/>
    <w:rsid w:val="0005053E"/>
    <w:rsid w:val="000508EB"/>
    <w:rsid w:val="00050E62"/>
    <w:rsid w:val="00051250"/>
    <w:rsid w:val="00051E58"/>
    <w:rsid w:val="00051ED1"/>
    <w:rsid w:val="0005205F"/>
    <w:rsid w:val="0005215E"/>
    <w:rsid w:val="000531DF"/>
    <w:rsid w:val="0005349E"/>
    <w:rsid w:val="0005423A"/>
    <w:rsid w:val="000547FE"/>
    <w:rsid w:val="00054FD0"/>
    <w:rsid w:val="0005502B"/>
    <w:rsid w:val="000551E8"/>
    <w:rsid w:val="00055B0E"/>
    <w:rsid w:val="00055E6B"/>
    <w:rsid w:val="00055F1A"/>
    <w:rsid w:val="000567D3"/>
    <w:rsid w:val="00056E9E"/>
    <w:rsid w:val="000573F2"/>
    <w:rsid w:val="00057422"/>
    <w:rsid w:val="00057FC0"/>
    <w:rsid w:val="00060131"/>
    <w:rsid w:val="000605BD"/>
    <w:rsid w:val="00060930"/>
    <w:rsid w:val="00060A15"/>
    <w:rsid w:val="00060B31"/>
    <w:rsid w:val="000623D9"/>
    <w:rsid w:val="00062716"/>
    <w:rsid w:val="00063526"/>
    <w:rsid w:val="0006358F"/>
    <w:rsid w:val="0006359D"/>
    <w:rsid w:val="00063700"/>
    <w:rsid w:val="00063947"/>
    <w:rsid w:val="00063AF9"/>
    <w:rsid w:val="000642BA"/>
    <w:rsid w:val="00064856"/>
    <w:rsid w:val="000656B3"/>
    <w:rsid w:val="00065E42"/>
    <w:rsid w:val="000665C7"/>
    <w:rsid w:val="000666E0"/>
    <w:rsid w:val="000672EE"/>
    <w:rsid w:val="00067B3A"/>
    <w:rsid w:val="00070446"/>
    <w:rsid w:val="00071073"/>
    <w:rsid w:val="00071A1D"/>
    <w:rsid w:val="00071A6F"/>
    <w:rsid w:val="00071CB0"/>
    <w:rsid w:val="000725EA"/>
    <w:rsid w:val="000735D6"/>
    <w:rsid w:val="0007388A"/>
    <w:rsid w:val="00074900"/>
    <w:rsid w:val="00074A63"/>
    <w:rsid w:val="00074BEF"/>
    <w:rsid w:val="00074D3A"/>
    <w:rsid w:val="00074FF4"/>
    <w:rsid w:val="00075CD8"/>
    <w:rsid w:val="00076A77"/>
    <w:rsid w:val="00076BC1"/>
    <w:rsid w:val="00076D7C"/>
    <w:rsid w:val="00077373"/>
    <w:rsid w:val="000779F7"/>
    <w:rsid w:val="00080208"/>
    <w:rsid w:val="00080669"/>
    <w:rsid w:val="00080D0E"/>
    <w:rsid w:val="00081074"/>
    <w:rsid w:val="0008182E"/>
    <w:rsid w:val="0008206E"/>
    <w:rsid w:val="000830E5"/>
    <w:rsid w:val="00083CC7"/>
    <w:rsid w:val="00083D9D"/>
    <w:rsid w:val="00083FC8"/>
    <w:rsid w:val="0008405A"/>
    <w:rsid w:val="00084323"/>
    <w:rsid w:val="00084692"/>
    <w:rsid w:val="00084F29"/>
    <w:rsid w:val="00085059"/>
    <w:rsid w:val="00085169"/>
    <w:rsid w:val="00085801"/>
    <w:rsid w:val="00085839"/>
    <w:rsid w:val="00085C09"/>
    <w:rsid w:val="000865BA"/>
    <w:rsid w:val="00086C4F"/>
    <w:rsid w:val="00086C8C"/>
    <w:rsid w:val="00086E47"/>
    <w:rsid w:val="00087A3F"/>
    <w:rsid w:val="00087C87"/>
    <w:rsid w:val="00090DA4"/>
    <w:rsid w:val="0009122D"/>
    <w:rsid w:val="00091FC5"/>
    <w:rsid w:val="0009247F"/>
    <w:rsid w:val="000924B2"/>
    <w:rsid w:val="0009255C"/>
    <w:rsid w:val="0009264A"/>
    <w:rsid w:val="00092653"/>
    <w:rsid w:val="0009291D"/>
    <w:rsid w:val="00092D48"/>
    <w:rsid w:val="00092E37"/>
    <w:rsid w:val="0009319B"/>
    <w:rsid w:val="000938BD"/>
    <w:rsid w:val="0009419D"/>
    <w:rsid w:val="000942F9"/>
    <w:rsid w:val="00094386"/>
    <w:rsid w:val="00094476"/>
    <w:rsid w:val="00094532"/>
    <w:rsid w:val="0009463F"/>
    <w:rsid w:val="000947C4"/>
    <w:rsid w:val="00094979"/>
    <w:rsid w:val="00094D98"/>
    <w:rsid w:val="00094E96"/>
    <w:rsid w:val="00095891"/>
    <w:rsid w:val="00095A8F"/>
    <w:rsid w:val="00096A62"/>
    <w:rsid w:val="00096FF0"/>
    <w:rsid w:val="000973AB"/>
    <w:rsid w:val="000979CF"/>
    <w:rsid w:val="00097A7C"/>
    <w:rsid w:val="00097AF6"/>
    <w:rsid w:val="000A0285"/>
    <w:rsid w:val="000A02A4"/>
    <w:rsid w:val="000A04CC"/>
    <w:rsid w:val="000A078F"/>
    <w:rsid w:val="000A0AC1"/>
    <w:rsid w:val="000A0CB7"/>
    <w:rsid w:val="000A16AE"/>
    <w:rsid w:val="000A16B2"/>
    <w:rsid w:val="000A1714"/>
    <w:rsid w:val="000A1B92"/>
    <w:rsid w:val="000A1CB0"/>
    <w:rsid w:val="000A1CF8"/>
    <w:rsid w:val="000A1FCA"/>
    <w:rsid w:val="000A21EA"/>
    <w:rsid w:val="000A3007"/>
    <w:rsid w:val="000A3048"/>
    <w:rsid w:val="000A30C5"/>
    <w:rsid w:val="000A316D"/>
    <w:rsid w:val="000A38E9"/>
    <w:rsid w:val="000A52EB"/>
    <w:rsid w:val="000A5486"/>
    <w:rsid w:val="000A567C"/>
    <w:rsid w:val="000A5ACB"/>
    <w:rsid w:val="000A64B7"/>
    <w:rsid w:val="000A690B"/>
    <w:rsid w:val="000A6D6E"/>
    <w:rsid w:val="000A751F"/>
    <w:rsid w:val="000A7872"/>
    <w:rsid w:val="000A7CC4"/>
    <w:rsid w:val="000A7DA5"/>
    <w:rsid w:val="000B02F8"/>
    <w:rsid w:val="000B0730"/>
    <w:rsid w:val="000B1174"/>
    <w:rsid w:val="000B216B"/>
    <w:rsid w:val="000B2DF6"/>
    <w:rsid w:val="000B3558"/>
    <w:rsid w:val="000B3973"/>
    <w:rsid w:val="000B3E26"/>
    <w:rsid w:val="000B41B7"/>
    <w:rsid w:val="000B42B0"/>
    <w:rsid w:val="000B45FE"/>
    <w:rsid w:val="000B531E"/>
    <w:rsid w:val="000B57B2"/>
    <w:rsid w:val="000B5CF8"/>
    <w:rsid w:val="000B6038"/>
    <w:rsid w:val="000B630F"/>
    <w:rsid w:val="000B66A3"/>
    <w:rsid w:val="000B69C5"/>
    <w:rsid w:val="000B69CB"/>
    <w:rsid w:val="000B705F"/>
    <w:rsid w:val="000B721B"/>
    <w:rsid w:val="000B7262"/>
    <w:rsid w:val="000B77F2"/>
    <w:rsid w:val="000B78E2"/>
    <w:rsid w:val="000C0306"/>
    <w:rsid w:val="000C1992"/>
    <w:rsid w:val="000C23E5"/>
    <w:rsid w:val="000C2955"/>
    <w:rsid w:val="000C2AC9"/>
    <w:rsid w:val="000C3056"/>
    <w:rsid w:val="000C314A"/>
    <w:rsid w:val="000C35EE"/>
    <w:rsid w:val="000C4176"/>
    <w:rsid w:val="000C4352"/>
    <w:rsid w:val="000C43A3"/>
    <w:rsid w:val="000C4429"/>
    <w:rsid w:val="000C4626"/>
    <w:rsid w:val="000C4D27"/>
    <w:rsid w:val="000C5340"/>
    <w:rsid w:val="000C5457"/>
    <w:rsid w:val="000C5519"/>
    <w:rsid w:val="000C5595"/>
    <w:rsid w:val="000C58DC"/>
    <w:rsid w:val="000C6699"/>
    <w:rsid w:val="000C680A"/>
    <w:rsid w:val="000C6851"/>
    <w:rsid w:val="000C6923"/>
    <w:rsid w:val="000C6B2E"/>
    <w:rsid w:val="000C73CC"/>
    <w:rsid w:val="000C7450"/>
    <w:rsid w:val="000C748E"/>
    <w:rsid w:val="000D06C7"/>
    <w:rsid w:val="000D13B8"/>
    <w:rsid w:val="000D169C"/>
    <w:rsid w:val="000D1EAF"/>
    <w:rsid w:val="000D234B"/>
    <w:rsid w:val="000D29F5"/>
    <w:rsid w:val="000D2BDE"/>
    <w:rsid w:val="000D2C92"/>
    <w:rsid w:val="000D2CA8"/>
    <w:rsid w:val="000D3AD1"/>
    <w:rsid w:val="000D3DB0"/>
    <w:rsid w:val="000D4B32"/>
    <w:rsid w:val="000D4CD6"/>
    <w:rsid w:val="000D5221"/>
    <w:rsid w:val="000D5256"/>
    <w:rsid w:val="000D528D"/>
    <w:rsid w:val="000D54B6"/>
    <w:rsid w:val="000D5823"/>
    <w:rsid w:val="000D5FF8"/>
    <w:rsid w:val="000D60F1"/>
    <w:rsid w:val="000D6CA7"/>
    <w:rsid w:val="000D7226"/>
    <w:rsid w:val="000D74E4"/>
    <w:rsid w:val="000D773C"/>
    <w:rsid w:val="000D7C9E"/>
    <w:rsid w:val="000D7C9F"/>
    <w:rsid w:val="000E01BE"/>
    <w:rsid w:val="000E0BBE"/>
    <w:rsid w:val="000E17BF"/>
    <w:rsid w:val="000E1BD1"/>
    <w:rsid w:val="000E1DBF"/>
    <w:rsid w:val="000E2221"/>
    <w:rsid w:val="000E2713"/>
    <w:rsid w:val="000E2816"/>
    <w:rsid w:val="000E2958"/>
    <w:rsid w:val="000E3249"/>
    <w:rsid w:val="000E32FE"/>
    <w:rsid w:val="000E370D"/>
    <w:rsid w:val="000E376E"/>
    <w:rsid w:val="000E457F"/>
    <w:rsid w:val="000E4999"/>
    <w:rsid w:val="000E4E29"/>
    <w:rsid w:val="000E4FAC"/>
    <w:rsid w:val="000E5080"/>
    <w:rsid w:val="000E5330"/>
    <w:rsid w:val="000E6128"/>
    <w:rsid w:val="000E6528"/>
    <w:rsid w:val="000E673A"/>
    <w:rsid w:val="000E6773"/>
    <w:rsid w:val="000E6A3D"/>
    <w:rsid w:val="000E6B82"/>
    <w:rsid w:val="000F01F8"/>
    <w:rsid w:val="000F0539"/>
    <w:rsid w:val="000F068C"/>
    <w:rsid w:val="000F1BBD"/>
    <w:rsid w:val="000F1FFC"/>
    <w:rsid w:val="000F228E"/>
    <w:rsid w:val="000F246B"/>
    <w:rsid w:val="000F2860"/>
    <w:rsid w:val="000F2887"/>
    <w:rsid w:val="000F2AA3"/>
    <w:rsid w:val="000F32AF"/>
    <w:rsid w:val="000F352D"/>
    <w:rsid w:val="000F46DD"/>
    <w:rsid w:val="000F4812"/>
    <w:rsid w:val="000F4906"/>
    <w:rsid w:val="000F4C91"/>
    <w:rsid w:val="000F4E47"/>
    <w:rsid w:val="000F512E"/>
    <w:rsid w:val="000F561A"/>
    <w:rsid w:val="000F56D2"/>
    <w:rsid w:val="000F5950"/>
    <w:rsid w:val="000F59C3"/>
    <w:rsid w:val="000F5E32"/>
    <w:rsid w:val="000F64E8"/>
    <w:rsid w:val="000F6AA5"/>
    <w:rsid w:val="000F6D76"/>
    <w:rsid w:val="000F74F5"/>
    <w:rsid w:val="0010066B"/>
    <w:rsid w:val="00100726"/>
    <w:rsid w:val="0010083C"/>
    <w:rsid w:val="001020B2"/>
    <w:rsid w:val="00102268"/>
    <w:rsid w:val="00102C75"/>
    <w:rsid w:val="00102EB9"/>
    <w:rsid w:val="00102ED6"/>
    <w:rsid w:val="00103069"/>
    <w:rsid w:val="001036A8"/>
    <w:rsid w:val="001045DA"/>
    <w:rsid w:val="00104F05"/>
    <w:rsid w:val="00104FD9"/>
    <w:rsid w:val="0010512F"/>
    <w:rsid w:val="00105372"/>
    <w:rsid w:val="00105A20"/>
    <w:rsid w:val="001063AE"/>
    <w:rsid w:val="00106643"/>
    <w:rsid w:val="00106708"/>
    <w:rsid w:val="00106945"/>
    <w:rsid w:val="001074FB"/>
    <w:rsid w:val="001100F8"/>
    <w:rsid w:val="0011073C"/>
    <w:rsid w:val="00110C54"/>
    <w:rsid w:val="00110EE5"/>
    <w:rsid w:val="001115C8"/>
    <w:rsid w:val="00111EA8"/>
    <w:rsid w:val="00111F81"/>
    <w:rsid w:val="00112442"/>
    <w:rsid w:val="00112A11"/>
    <w:rsid w:val="00112CFB"/>
    <w:rsid w:val="0011312F"/>
    <w:rsid w:val="00114CCC"/>
    <w:rsid w:val="00114F64"/>
    <w:rsid w:val="001153F2"/>
    <w:rsid w:val="00115463"/>
    <w:rsid w:val="00115A30"/>
    <w:rsid w:val="00115E60"/>
    <w:rsid w:val="00116287"/>
    <w:rsid w:val="0011658E"/>
    <w:rsid w:val="001166EA"/>
    <w:rsid w:val="00116CA4"/>
    <w:rsid w:val="001173F8"/>
    <w:rsid w:val="00117CEE"/>
    <w:rsid w:val="001202C7"/>
    <w:rsid w:val="00120339"/>
    <w:rsid w:val="001203FE"/>
    <w:rsid w:val="001215CE"/>
    <w:rsid w:val="00121840"/>
    <w:rsid w:val="00121F90"/>
    <w:rsid w:val="00122FE5"/>
    <w:rsid w:val="001233DB"/>
    <w:rsid w:val="0012360B"/>
    <w:rsid w:val="001236E2"/>
    <w:rsid w:val="0012406C"/>
    <w:rsid w:val="001240C1"/>
    <w:rsid w:val="00124A10"/>
    <w:rsid w:val="001250CA"/>
    <w:rsid w:val="0012533F"/>
    <w:rsid w:val="0012568B"/>
    <w:rsid w:val="0012597D"/>
    <w:rsid w:val="00126324"/>
    <w:rsid w:val="00126463"/>
    <w:rsid w:val="00126465"/>
    <w:rsid w:val="00126993"/>
    <w:rsid w:val="001270B9"/>
    <w:rsid w:val="001271C8"/>
    <w:rsid w:val="0012763B"/>
    <w:rsid w:val="00127720"/>
    <w:rsid w:val="00127934"/>
    <w:rsid w:val="00127B8E"/>
    <w:rsid w:val="00127BE5"/>
    <w:rsid w:val="00127E42"/>
    <w:rsid w:val="0013068A"/>
    <w:rsid w:val="00130BB2"/>
    <w:rsid w:val="00130DDD"/>
    <w:rsid w:val="00130F6C"/>
    <w:rsid w:val="00130FB6"/>
    <w:rsid w:val="001311AA"/>
    <w:rsid w:val="00131E7A"/>
    <w:rsid w:val="00132EC7"/>
    <w:rsid w:val="00132ED4"/>
    <w:rsid w:val="001331B8"/>
    <w:rsid w:val="00133251"/>
    <w:rsid w:val="00133CF4"/>
    <w:rsid w:val="00134442"/>
    <w:rsid w:val="001344F8"/>
    <w:rsid w:val="00134682"/>
    <w:rsid w:val="0013478F"/>
    <w:rsid w:val="0013577C"/>
    <w:rsid w:val="001377A6"/>
    <w:rsid w:val="00140238"/>
    <w:rsid w:val="001404A2"/>
    <w:rsid w:val="00140D08"/>
    <w:rsid w:val="001412D3"/>
    <w:rsid w:val="00141B93"/>
    <w:rsid w:val="00141D4E"/>
    <w:rsid w:val="00141E00"/>
    <w:rsid w:val="0014227B"/>
    <w:rsid w:val="00142339"/>
    <w:rsid w:val="00142793"/>
    <w:rsid w:val="0014279A"/>
    <w:rsid w:val="00142B29"/>
    <w:rsid w:val="00142CD8"/>
    <w:rsid w:val="00143174"/>
    <w:rsid w:val="001434E3"/>
    <w:rsid w:val="00143BAD"/>
    <w:rsid w:val="00143DF1"/>
    <w:rsid w:val="00143FEB"/>
    <w:rsid w:val="001445DE"/>
    <w:rsid w:val="0014466A"/>
    <w:rsid w:val="0014480B"/>
    <w:rsid w:val="00144893"/>
    <w:rsid w:val="00144AA8"/>
    <w:rsid w:val="00144EA5"/>
    <w:rsid w:val="001452C7"/>
    <w:rsid w:val="0014562A"/>
    <w:rsid w:val="0014564E"/>
    <w:rsid w:val="00145892"/>
    <w:rsid w:val="001467C1"/>
    <w:rsid w:val="00146BAB"/>
    <w:rsid w:val="00146DA4"/>
    <w:rsid w:val="00146F4D"/>
    <w:rsid w:val="001470C8"/>
    <w:rsid w:val="00147922"/>
    <w:rsid w:val="00147945"/>
    <w:rsid w:val="00147D5A"/>
    <w:rsid w:val="00147DB6"/>
    <w:rsid w:val="00147EB7"/>
    <w:rsid w:val="001505DD"/>
    <w:rsid w:val="00150601"/>
    <w:rsid w:val="00150B86"/>
    <w:rsid w:val="00150E19"/>
    <w:rsid w:val="00150EE0"/>
    <w:rsid w:val="00150FBF"/>
    <w:rsid w:val="001512E3"/>
    <w:rsid w:val="0015140E"/>
    <w:rsid w:val="00152601"/>
    <w:rsid w:val="0015263A"/>
    <w:rsid w:val="00152661"/>
    <w:rsid w:val="001527E0"/>
    <w:rsid w:val="00152820"/>
    <w:rsid w:val="0015282F"/>
    <w:rsid w:val="001531EA"/>
    <w:rsid w:val="00153312"/>
    <w:rsid w:val="00153E5E"/>
    <w:rsid w:val="00153F32"/>
    <w:rsid w:val="0015491D"/>
    <w:rsid w:val="001553F7"/>
    <w:rsid w:val="00155575"/>
    <w:rsid w:val="00155697"/>
    <w:rsid w:val="001561EA"/>
    <w:rsid w:val="001562A0"/>
    <w:rsid w:val="0015646E"/>
    <w:rsid w:val="001565FA"/>
    <w:rsid w:val="00156692"/>
    <w:rsid w:val="00156BD6"/>
    <w:rsid w:val="00156C00"/>
    <w:rsid w:val="00157217"/>
    <w:rsid w:val="001577C4"/>
    <w:rsid w:val="001577D2"/>
    <w:rsid w:val="001577E0"/>
    <w:rsid w:val="00157BE0"/>
    <w:rsid w:val="00157CA3"/>
    <w:rsid w:val="00157DE4"/>
    <w:rsid w:val="0016003B"/>
    <w:rsid w:val="001601DA"/>
    <w:rsid w:val="001607C6"/>
    <w:rsid w:val="001622AE"/>
    <w:rsid w:val="001625DA"/>
    <w:rsid w:val="00163453"/>
    <w:rsid w:val="001634F5"/>
    <w:rsid w:val="00163B54"/>
    <w:rsid w:val="0016524A"/>
    <w:rsid w:val="001652D9"/>
    <w:rsid w:val="001654C5"/>
    <w:rsid w:val="001659C5"/>
    <w:rsid w:val="00165ED4"/>
    <w:rsid w:val="001665AC"/>
    <w:rsid w:val="00167237"/>
    <w:rsid w:val="0016745E"/>
    <w:rsid w:val="0016793C"/>
    <w:rsid w:val="001679D9"/>
    <w:rsid w:val="00167A6D"/>
    <w:rsid w:val="00167BAD"/>
    <w:rsid w:val="00167C0A"/>
    <w:rsid w:val="00167E06"/>
    <w:rsid w:val="00167FA4"/>
    <w:rsid w:val="001708A1"/>
    <w:rsid w:val="00170DFE"/>
    <w:rsid w:val="0017126C"/>
    <w:rsid w:val="001717BC"/>
    <w:rsid w:val="00172693"/>
    <w:rsid w:val="00172AF6"/>
    <w:rsid w:val="00172F6F"/>
    <w:rsid w:val="001735A1"/>
    <w:rsid w:val="001737C8"/>
    <w:rsid w:val="001743DC"/>
    <w:rsid w:val="001744B9"/>
    <w:rsid w:val="001744DE"/>
    <w:rsid w:val="001749D4"/>
    <w:rsid w:val="00174BF1"/>
    <w:rsid w:val="0017532E"/>
    <w:rsid w:val="00175375"/>
    <w:rsid w:val="00175C5F"/>
    <w:rsid w:val="00176069"/>
    <w:rsid w:val="001760A2"/>
    <w:rsid w:val="001765DD"/>
    <w:rsid w:val="001767D9"/>
    <w:rsid w:val="00176CEE"/>
    <w:rsid w:val="0017770D"/>
    <w:rsid w:val="00177F46"/>
    <w:rsid w:val="00180430"/>
    <w:rsid w:val="001808A0"/>
    <w:rsid w:val="00181096"/>
    <w:rsid w:val="0018197F"/>
    <w:rsid w:val="0018263C"/>
    <w:rsid w:val="00182656"/>
    <w:rsid w:val="00182748"/>
    <w:rsid w:val="0018325C"/>
    <w:rsid w:val="0018328A"/>
    <w:rsid w:val="00183ECA"/>
    <w:rsid w:val="00183F9B"/>
    <w:rsid w:val="00184F4D"/>
    <w:rsid w:val="00185003"/>
    <w:rsid w:val="001850C2"/>
    <w:rsid w:val="001863DD"/>
    <w:rsid w:val="001864DE"/>
    <w:rsid w:val="001868F3"/>
    <w:rsid w:val="0018693E"/>
    <w:rsid w:val="00186C6D"/>
    <w:rsid w:val="001871C7"/>
    <w:rsid w:val="00187407"/>
    <w:rsid w:val="00187452"/>
    <w:rsid w:val="00187477"/>
    <w:rsid w:val="001874ED"/>
    <w:rsid w:val="001900F5"/>
    <w:rsid w:val="00190CAF"/>
    <w:rsid w:val="00190DE8"/>
    <w:rsid w:val="00190FD2"/>
    <w:rsid w:val="0019115C"/>
    <w:rsid w:val="00192D31"/>
    <w:rsid w:val="00193D38"/>
    <w:rsid w:val="001946CD"/>
    <w:rsid w:val="00194C24"/>
    <w:rsid w:val="00195127"/>
    <w:rsid w:val="0019560B"/>
    <w:rsid w:val="0019578F"/>
    <w:rsid w:val="00195BE5"/>
    <w:rsid w:val="00196282"/>
    <w:rsid w:val="00196915"/>
    <w:rsid w:val="00197EB3"/>
    <w:rsid w:val="00197ED6"/>
    <w:rsid w:val="001A0342"/>
    <w:rsid w:val="001A06AE"/>
    <w:rsid w:val="001A0DC5"/>
    <w:rsid w:val="001A11B6"/>
    <w:rsid w:val="001A1432"/>
    <w:rsid w:val="001A201C"/>
    <w:rsid w:val="001A2394"/>
    <w:rsid w:val="001A2712"/>
    <w:rsid w:val="001A2AC8"/>
    <w:rsid w:val="001A2DFD"/>
    <w:rsid w:val="001A3E92"/>
    <w:rsid w:val="001A4A82"/>
    <w:rsid w:val="001A4DE1"/>
    <w:rsid w:val="001A4F63"/>
    <w:rsid w:val="001A5415"/>
    <w:rsid w:val="001A55D3"/>
    <w:rsid w:val="001A563E"/>
    <w:rsid w:val="001A584B"/>
    <w:rsid w:val="001A5C62"/>
    <w:rsid w:val="001A670A"/>
    <w:rsid w:val="001A6D83"/>
    <w:rsid w:val="001B054D"/>
    <w:rsid w:val="001B07E7"/>
    <w:rsid w:val="001B147E"/>
    <w:rsid w:val="001B150F"/>
    <w:rsid w:val="001B15B7"/>
    <w:rsid w:val="001B1A3E"/>
    <w:rsid w:val="001B1F19"/>
    <w:rsid w:val="001B1F5F"/>
    <w:rsid w:val="001B2E3F"/>
    <w:rsid w:val="001B384C"/>
    <w:rsid w:val="001B3D79"/>
    <w:rsid w:val="001B3F34"/>
    <w:rsid w:val="001B49AB"/>
    <w:rsid w:val="001B4A38"/>
    <w:rsid w:val="001B5865"/>
    <w:rsid w:val="001B5941"/>
    <w:rsid w:val="001B602E"/>
    <w:rsid w:val="001B6090"/>
    <w:rsid w:val="001B641B"/>
    <w:rsid w:val="001B71D9"/>
    <w:rsid w:val="001B7398"/>
    <w:rsid w:val="001B7C77"/>
    <w:rsid w:val="001B7D89"/>
    <w:rsid w:val="001B7DFB"/>
    <w:rsid w:val="001C0825"/>
    <w:rsid w:val="001C083C"/>
    <w:rsid w:val="001C0909"/>
    <w:rsid w:val="001C1417"/>
    <w:rsid w:val="001C1D76"/>
    <w:rsid w:val="001C1E8F"/>
    <w:rsid w:val="001C2609"/>
    <w:rsid w:val="001C2960"/>
    <w:rsid w:val="001C3478"/>
    <w:rsid w:val="001C38C2"/>
    <w:rsid w:val="001C46BE"/>
    <w:rsid w:val="001C4BA7"/>
    <w:rsid w:val="001C5810"/>
    <w:rsid w:val="001C5EB7"/>
    <w:rsid w:val="001C63BD"/>
    <w:rsid w:val="001C6609"/>
    <w:rsid w:val="001C67E9"/>
    <w:rsid w:val="001C6DB5"/>
    <w:rsid w:val="001C75B7"/>
    <w:rsid w:val="001C7688"/>
    <w:rsid w:val="001C78C3"/>
    <w:rsid w:val="001C7A6D"/>
    <w:rsid w:val="001D0241"/>
    <w:rsid w:val="001D04ED"/>
    <w:rsid w:val="001D07E2"/>
    <w:rsid w:val="001D1194"/>
    <w:rsid w:val="001D1418"/>
    <w:rsid w:val="001D1793"/>
    <w:rsid w:val="001D2024"/>
    <w:rsid w:val="001D21D1"/>
    <w:rsid w:val="001D2B2B"/>
    <w:rsid w:val="001D2EAB"/>
    <w:rsid w:val="001D3075"/>
    <w:rsid w:val="001D3614"/>
    <w:rsid w:val="001D374F"/>
    <w:rsid w:val="001D3D40"/>
    <w:rsid w:val="001D3DFA"/>
    <w:rsid w:val="001D3E5C"/>
    <w:rsid w:val="001D4114"/>
    <w:rsid w:val="001D437B"/>
    <w:rsid w:val="001D4512"/>
    <w:rsid w:val="001D46A2"/>
    <w:rsid w:val="001D55F1"/>
    <w:rsid w:val="001D5876"/>
    <w:rsid w:val="001D663F"/>
    <w:rsid w:val="001D6B7B"/>
    <w:rsid w:val="001D7001"/>
    <w:rsid w:val="001D7B49"/>
    <w:rsid w:val="001D7DE1"/>
    <w:rsid w:val="001E0223"/>
    <w:rsid w:val="001E0653"/>
    <w:rsid w:val="001E0768"/>
    <w:rsid w:val="001E0911"/>
    <w:rsid w:val="001E0A52"/>
    <w:rsid w:val="001E0B6A"/>
    <w:rsid w:val="001E0EC9"/>
    <w:rsid w:val="001E2C9C"/>
    <w:rsid w:val="001E2F97"/>
    <w:rsid w:val="001E4362"/>
    <w:rsid w:val="001E505B"/>
    <w:rsid w:val="001E5060"/>
    <w:rsid w:val="001E51C4"/>
    <w:rsid w:val="001E5E61"/>
    <w:rsid w:val="001E60F5"/>
    <w:rsid w:val="001E618B"/>
    <w:rsid w:val="001E61E4"/>
    <w:rsid w:val="001E66BA"/>
    <w:rsid w:val="001E66BC"/>
    <w:rsid w:val="001E68B5"/>
    <w:rsid w:val="001E7855"/>
    <w:rsid w:val="001E7C00"/>
    <w:rsid w:val="001F12BE"/>
    <w:rsid w:val="001F1366"/>
    <w:rsid w:val="001F17AC"/>
    <w:rsid w:val="001F195B"/>
    <w:rsid w:val="001F1FB2"/>
    <w:rsid w:val="001F20DC"/>
    <w:rsid w:val="001F22C9"/>
    <w:rsid w:val="001F23AD"/>
    <w:rsid w:val="001F2826"/>
    <w:rsid w:val="001F2843"/>
    <w:rsid w:val="001F3166"/>
    <w:rsid w:val="001F32FF"/>
    <w:rsid w:val="001F3958"/>
    <w:rsid w:val="001F397D"/>
    <w:rsid w:val="001F3C7E"/>
    <w:rsid w:val="001F3F36"/>
    <w:rsid w:val="001F47E4"/>
    <w:rsid w:val="001F49D4"/>
    <w:rsid w:val="001F58A9"/>
    <w:rsid w:val="001F5AC3"/>
    <w:rsid w:val="001F5BEE"/>
    <w:rsid w:val="001F72DF"/>
    <w:rsid w:val="002000ED"/>
    <w:rsid w:val="002002C0"/>
    <w:rsid w:val="0020095E"/>
    <w:rsid w:val="00200A04"/>
    <w:rsid w:val="00200D15"/>
    <w:rsid w:val="00200E17"/>
    <w:rsid w:val="00201519"/>
    <w:rsid w:val="00201638"/>
    <w:rsid w:val="00201942"/>
    <w:rsid w:val="002019EA"/>
    <w:rsid w:val="00201A40"/>
    <w:rsid w:val="002026A2"/>
    <w:rsid w:val="0020319A"/>
    <w:rsid w:val="00203A82"/>
    <w:rsid w:val="00203FF2"/>
    <w:rsid w:val="002045AC"/>
    <w:rsid w:val="002045C6"/>
    <w:rsid w:val="002046DC"/>
    <w:rsid w:val="00204D24"/>
    <w:rsid w:val="00205C68"/>
    <w:rsid w:val="00205EDC"/>
    <w:rsid w:val="002064A2"/>
    <w:rsid w:val="00206A6D"/>
    <w:rsid w:val="002076EA"/>
    <w:rsid w:val="002077EC"/>
    <w:rsid w:val="0020786E"/>
    <w:rsid w:val="00210D05"/>
    <w:rsid w:val="00211289"/>
    <w:rsid w:val="00211450"/>
    <w:rsid w:val="002117D0"/>
    <w:rsid w:val="00211EEA"/>
    <w:rsid w:val="00212287"/>
    <w:rsid w:val="002122DD"/>
    <w:rsid w:val="00212305"/>
    <w:rsid w:val="00212485"/>
    <w:rsid w:val="0021277B"/>
    <w:rsid w:val="00213BBB"/>
    <w:rsid w:val="00213EA7"/>
    <w:rsid w:val="00213EC0"/>
    <w:rsid w:val="0021401F"/>
    <w:rsid w:val="002141B8"/>
    <w:rsid w:val="00214A06"/>
    <w:rsid w:val="002151E3"/>
    <w:rsid w:val="00215230"/>
    <w:rsid w:val="002165EA"/>
    <w:rsid w:val="00216854"/>
    <w:rsid w:val="002168D7"/>
    <w:rsid w:val="002169B1"/>
    <w:rsid w:val="00216FCC"/>
    <w:rsid w:val="0021713C"/>
    <w:rsid w:val="00217251"/>
    <w:rsid w:val="002173DB"/>
    <w:rsid w:val="002178C5"/>
    <w:rsid w:val="00217AAB"/>
    <w:rsid w:val="002201EF"/>
    <w:rsid w:val="00221585"/>
    <w:rsid w:val="00221CB5"/>
    <w:rsid w:val="002222DE"/>
    <w:rsid w:val="00222567"/>
    <w:rsid w:val="00222711"/>
    <w:rsid w:val="002237B1"/>
    <w:rsid w:val="00223C94"/>
    <w:rsid w:val="00223E0D"/>
    <w:rsid w:val="0022406B"/>
    <w:rsid w:val="002242A5"/>
    <w:rsid w:val="00224590"/>
    <w:rsid w:val="002269FE"/>
    <w:rsid w:val="00226E47"/>
    <w:rsid w:val="002270F2"/>
    <w:rsid w:val="002277EC"/>
    <w:rsid w:val="002278BA"/>
    <w:rsid w:val="002279CC"/>
    <w:rsid w:val="00227B0A"/>
    <w:rsid w:val="0023107E"/>
    <w:rsid w:val="00231AC3"/>
    <w:rsid w:val="00232974"/>
    <w:rsid w:val="00233AB0"/>
    <w:rsid w:val="002344BB"/>
    <w:rsid w:val="00234ABB"/>
    <w:rsid w:val="00234B70"/>
    <w:rsid w:val="00234F34"/>
    <w:rsid w:val="002353BF"/>
    <w:rsid w:val="00235731"/>
    <w:rsid w:val="0023591E"/>
    <w:rsid w:val="00235AFA"/>
    <w:rsid w:val="00235F25"/>
    <w:rsid w:val="00236437"/>
    <w:rsid w:val="00236840"/>
    <w:rsid w:val="002369DC"/>
    <w:rsid w:val="00236AAC"/>
    <w:rsid w:val="00236C53"/>
    <w:rsid w:val="00237136"/>
    <w:rsid w:val="002400FF"/>
    <w:rsid w:val="0024039A"/>
    <w:rsid w:val="00240EC5"/>
    <w:rsid w:val="00241495"/>
    <w:rsid w:val="002417F0"/>
    <w:rsid w:val="00241B9E"/>
    <w:rsid w:val="00241C6B"/>
    <w:rsid w:val="0024266D"/>
    <w:rsid w:val="00243B72"/>
    <w:rsid w:val="00243E37"/>
    <w:rsid w:val="002440DE"/>
    <w:rsid w:val="00244FDE"/>
    <w:rsid w:val="002453F6"/>
    <w:rsid w:val="002454D2"/>
    <w:rsid w:val="00246AC0"/>
    <w:rsid w:val="0024731B"/>
    <w:rsid w:val="00247464"/>
    <w:rsid w:val="002476E9"/>
    <w:rsid w:val="00247A52"/>
    <w:rsid w:val="00247AAF"/>
    <w:rsid w:val="002503FE"/>
    <w:rsid w:val="00250533"/>
    <w:rsid w:val="002510B1"/>
    <w:rsid w:val="00251365"/>
    <w:rsid w:val="002515F2"/>
    <w:rsid w:val="00251B30"/>
    <w:rsid w:val="00251F6C"/>
    <w:rsid w:val="00252050"/>
    <w:rsid w:val="00252799"/>
    <w:rsid w:val="00252861"/>
    <w:rsid w:val="00252A41"/>
    <w:rsid w:val="00252B91"/>
    <w:rsid w:val="002532FE"/>
    <w:rsid w:val="002533E8"/>
    <w:rsid w:val="002538FC"/>
    <w:rsid w:val="002539F8"/>
    <w:rsid w:val="00253C3E"/>
    <w:rsid w:val="0025417A"/>
    <w:rsid w:val="002541F0"/>
    <w:rsid w:val="0025444C"/>
    <w:rsid w:val="002544E4"/>
    <w:rsid w:val="00254562"/>
    <w:rsid w:val="00254A2B"/>
    <w:rsid w:val="00255DE9"/>
    <w:rsid w:val="00255ECB"/>
    <w:rsid w:val="00256AAE"/>
    <w:rsid w:val="002570F8"/>
    <w:rsid w:val="00257216"/>
    <w:rsid w:val="00257251"/>
    <w:rsid w:val="002574F9"/>
    <w:rsid w:val="00257600"/>
    <w:rsid w:val="00257947"/>
    <w:rsid w:val="00257964"/>
    <w:rsid w:val="00257D1F"/>
    <w:rsid w:val="00257F54"/>
    <w:rsid w:val="0026032E"/>
    <w:rsid w:val="00260AE4"/>
    <w:rsid w:val="00260B32"/>
    <w:rsid w:val="00260C92"/>
    <w:rsid w:val="00260E4E"/>
    <w:rsid w:val="00261115"/>
    <w:rsid w:val="00261534"/>
    <w:rsid w:val="00261FDB"/>
    <w:rsid w:val="00262D0E"/>
    <w:rsid w:val="00262F1F"/>
    <w:rsid w:val="00263382"/>
    <w:rsid w:val="0026378F"/>
    <w:rsid w:val="00263C7B"/>
    <w:rsid w:val="00263E7A"/>
    <w:rsid w:val="002645E7"/>
    <w:rsid w:val="00264979"/>
    <w:rsid w:val="00264F2A"/>
    <w:rsid w:val="002657EB"/>
    <w:rsid w:val="00265B73"/>
    <w:rsid w:val="00266379"/>
    <w:rsid w:val="002665D2"/>
    <w:rsid w:val="00266EC6"/>
    <w:rsid w:val="00266F55"/>
    <w:rsid w:val="002672E0"/>
    <w:rsid w:val="00267623"/>
    <w:rsid w:val="0027058C"/>
    <w:rsid w:val="00270990"/>
    <w:rsid w:val="00270E0C"/>
    <w:rsid w:val="00271942"/>
    <w:rsid w:val="00271A0A"/>
    <w:rsid w:val="00271B84"/>
    <w:rsid w:val="00271BDF"/>
    <w:rsid w:val="00271D9E"/>
    <w:rsid w:val="002726FF"/>
    <w:rsid w:val="00272B0E"/>
    <w:rsid w:val="00272FC9"/>
    <w:rsid w:val="002733EB"/>
    <w:rsid w:val="00273BF5"/>
    <w:rsid w:val="00273C4B"/>
    <w:rsid w:val="00273F08"/>
    <w:rsid w:val="00274130"/>
    <w:rsid w:val="0027491F"/>
    <w:rsid w:val="00274B90"/>
    <w:rsid w:val="002751D9"/>
    <w:rsid w:val="0027551A"/>
    <w:rsid w:val="0027575A"/>
    <w:rsid w:val="00275769"/>
    <w:rsid w:val="00275D96"/>
    <w:rsid w:val="00275FAA"/>
    <w:rsid w:val="00276264"/>
    <w:rsid w:val="002765AC"/>
    <w:rsid w:val="00276E0C"/>
    <w:rsid w:val="00276FCE"/>
    <w:rsid w:val="0027787F"/>
    <w:rsid w:val="002779EF"/>
    <w:rsid w:val="00277D4C"/>
    <w:rsid w:val="002800D3"/>
    <w:rsid w:val="00280612"/>
    <w:rsid w:val="0028086B"/>
    <w:rsid w:val="0028178C"/>
    <w:rsid w:val="002820C7"/>
    <w:rsid w:val="002822FC"/>
    <w:rsid w:val="00282AAC"/>
    <w:rsid w:val="00283D4D"/>
    <w:rsid w:val="00283E95"/>
    <w:rsid w:val="00284697"/>
    <w:rsid w:val="00284877"/>
    <w:rsid w:val="0028559D"/>
    <w:rsid w:val="00285833"/>
    <w:rsid w:val="002862EC"/>
    <w:rsid w:val="00286797"/>
    <w:rsid w:val="002867B1"/>
    <w:rsid w:val="0028723B"/>
    <w:rsid w:val="002875C8"/>
    <w:rsid w:val="0028781E"/>
    <w:rsid w:val="0028785E"/>
    <w:rsid w:val="00287937"/>
    <w:rsid w:val="00287D6A"/>
    <w:rsid w:val="00290FE9"/>
    <w:rsid w:val="002913C7"/>
    <w:rsid w:val="00291693"/>
    <w:rsid w:val="002918AD"/>
    <w:rsid w:val="00291BFD"/>
    <w:rsid w:val="00291FBF"/>
    <w:rsid w:val="002932BD"/>
    <w:rsid w:val="00293CC5"/>
    <w:rsid w:val="0029432C"/>
    <w:rsid w:val="002943CF"/>
    <w:rsid w:val="002946AD"/>
    <w:rsid w:val="0029519B"/>
    <w:rsid w:val="00295528"/>
    <w:rsid w:val="0029574F"/>
    <w:rsid w:val="00296743"/>
    <w:rsid w:val="00296F82"/>
    <w:rsid w:val="00297480"/>
    <w:rsid w:val="0029761A"/>
    <w:rsid w:val="00297647"/>
    <w:rsid w:val="002978CF"/>
    <w:rsid w:val="00297BF2"/>
    <w:rsid w:val="00297CA2"/>
    <w:rsid w:val="002A0A6B"/>
    <w:rsid w:val="002A0A8D"/>
    <w:rsid w:val="002A0D17"/>
    <w:rsid w:val="002A1F4B"/>
    <w:rsid w:val="002A249A"/>
    <w:rsid w:val="002A2623"/>
    <w:rsid w:val="002A2BBC"/>
    <w:rsid w:val="002A3028"/>
    <w:rsid w:val="002A34FA"/>
    <w:rsid w:val="002A37BF"/>
    <w:rsid w:val="002A3859"/>
    <w:rsid w:val="002A3866"/>
    <w:rsid w:val="002A38E6"/>
    <w:rsid w:val="002A4895"/>
    <w:rsid w:val="002A502A"/>
    <w:rsid w:val="002A50DE"/>
    <w:rsid w:val="002A52AB"/>
    <w:rsid w:val="002A5684"/>
    <w:rsid w:val="002A5D1C"/>
    <w:rsid w:val="002A611C"/>
    <w:rsid w:val="002A62D5"/>
    <w:rsid w:val="002A65BD"/>
    <w:rsid w:val="002A6912"/>
    <w:rsid w:val="002A712F"/>
    <w:rsid w:val="002A76B6"/>
    <w:rsid w:val="002B03CA"/>
    <w:rsid w:val="002B0495"/>
    <w:rsid w:val="002B259E"/>
    <w:rsid w:val="002B2A46"/>
    <w:rsid w:val="002B2B3D"/>
    <w:rsid w:val="002B3995"/>
    <w:rsid w:val="002B3FC9"/>
    <w:rsid w:val="002B4839"/>
    <w:rsid w:val="002B4841"/>
    <w:rsid w:val="002B4C9A"/>
    <w:rsid w:val="002B56DF"/>
    <w:rsid w:val="002B5872"/>
    <w:rsid w:val="002B59C0"/>
    <w:rsid w:val="002B7EBA"/>
    <w:rsid w:val="002C0524"/>
    <w:rsid w:val="002C10D6"/>
    <w:rsid w:val="002C19DB"/>
    <w:rsid w:val="002C1AB3"/>
    <w:rsid w:val="002C2EA3"/>
    <w:rsid w:val="002C30EE"/>
    <w:rsid w:val="002C336E"/>
    <w:rsid w:val="002C34C7"/>
    <w:rsid w:val="002C369C"/>
    <w:rsid w:val="002C38D1"/>
    <w:rsid w:val="002C3CA8"/>
    <w:rsid w:val="002C3D81"/>
    <w:rsid w:val="002C4548"/>
    <w:rsid w:val="002C4D7F"/>
    <w:rsid w:val="002C532D"/>
    <w:rsid w:val="002C5C23"/>
    <w:rsid w:val="002C66DA"/>
    <w:rsid w:val="002C6A0B"/>
    <w:rsid w:val="002C747E"/>
    <w:rsid w:val="002C7773"/>
    <w:rsid w:val="002C7CE9"/>
    <w:rsid w:val="002D02CE"/>
    <w:rsid w:val="002D0A57"/>
    <w:rsid w:val="002D0C67"/>
    <w:rsid w:val="002D145B"/>
    <w:rsid w:val="002D1D65"/>
    <w:rsid w:val="002D2150"/>
    <w:rsid w:val="002D2DDF"/>
    <w:rsid w:val="002D30E5"/>
    <w:rsid w:val="002D3709"/>
    <w:rsid w:val="002D37FE"/>
    <w:rsid w:val="002D3DF7"/>
    <w:rsid w:val="002D447D"/>
    <w:rsid w:val="002D47C3"/>
    <w:rsid w:val="002D4958"/>
    <w:rsid w:val="002D4BB0"/>
    <w:rsid w:val="002D4DCB"/>
    <w:rsid w:val="002D53BE"/>
    <w:rsid w:val="002D6002"/>
    <w:rsid w:val="002D608C"/>
    <w:rsid w:val="002D6093"/>
    <w:rsid w:val="002D6C64"/>
    <w:rsid w:val="002D6C86"/>
    <w:rsid w:val="002D6E3B"/>
    <w:rsid w:val="002D7242"/>
    <w:rsid w:val="002E0B49"/>
    <w:rsid w:val="002E1318"/>
    <w:rsid w:val="002E1664"/>
    <w:rsid w:val="002E186C"/>
    <w:rsid w:val="002E1AB9"/>
    <w:rsid w:val="002E25E0"/>
    <w:rsid w:val="002E2E63"/>
    <w:rsid w:val="002E30CB"/>
    <w:rsid w:val="002E39B0"/>
    <w:rsid w:val="002E3B70"/>
    <w:rsid w:val="002E4152"/>
    <w:rsid w:val="002E4192"/>
    <w:rsid w:val="002E44C8"/>
    <w:rsid w:val="002E4B17"/>
    <w:rsid w:val="002E502B"/>
    <w:rsid w:val="002E526A"/>
    <w:rsid w:val="002E6067"/>
    <w:rsid w:val="002E6872"/>
    <w:rsid w:val="002E6965"/>
    <w:rsid w:val="002E6AF2"/>
    <w:rsid w:val="002E7267"/>
    <w:rsid w:val="002E7578"/>
    <w:rsid w:val="002E764E"/>
    <w:rsid w:val="002E7BB4"/>
    <w:rsid w:val="002F00CC"/>
    <w:rsid w:val="002F0269"/>
    <w:rsid w:val="002F0BDC"/>
    <w:rsid w:val="002F0C22"/>
    <w:rsid w:val="002F0F96"/>
    <w:rsid w:val="002F129F"/>
    <w:rsid w:val="002F173A"/>
    <w:rsid w:val="002F18DA"/>
    <w:rsid w:val="002F1DC9"/>
    <w:rsid w:val="002F1E6A"/>
    <w:rsid w:val="002F2293"/>
    <w:rsid w:val="002F22A8"/>
    <w:rsid w:val="002F2617"/>
    <w:rsid w:val="002F271D"/>
    <w:rsid w:val="002F2B1C"/>
    <w:rsid w:val="002F2C00"/>
    <w:rsid w:val="002F397B"/>
    <w:rsid w:val="002F3B8E"/>
    <w:rsid w:val="002F3E3B"/>
    <w:rsid w:val="002F3E9C"/>
    <w:rsid w:val="002F3F0E"/>
    <w:rsid w:val="002F4013"/>
    <w:rsid w:val="002F447F"/>
    <w:rsid w:val="002F4780"/>
    <w:rsid w:val="002F483E"/>
    <w:rsid w:val="002F4943"/>
    <w:rsid w:val="002F49B0"/>
    <w:rsid w:val="002F4C1C"/>
    <w:rsid w:val="002F4C32"/>
    <w:rsid w:val="002F4E9A"/>
    <w:rsid w:val="002F5092"/>
    <w:rsid w:val="002F5B7E"/>
    <w:rsid w:val="002F5BFD"/>
    <w:rsid w:val="002F5C30"/>
    <w:rsid w:val="002F5F00"/>
    <w:rsid w:val="002F688F"/>
    <w:rsid w:val="002F72BD"/>
    <w:rsid w:val="002F76BB"/>
    <w:rsid w:val="00300179"/>
    <w:rsid w:val="003009C0"/>
    <w:rsid w:val="00300B59"/>
    <w:rsid w:val="00300FB6"/>
    <w:rsid w:val="00301B84"/>
    <w:rsid w:val="0030238A"/>
    <w:rsid w:val="003025F0"/>
    <w:rsid w:val="00303FF1"/>
    <w:rsid w:val="00304AF8"/>
    <w:rsid w:val="00304E02"/>
    <w:rsid w:val="00305523"/>
    <w:rsid w:val="003057E5"/>
    <w:rsid w:val="00305F5D"/>
    <w:rsid w:val="00306033"/>
    <w:rsid w:val="003065E6"/>
    <w:rsid w:val="00307856"/>
    <w:rsid w:val="00307F28"/>
    <w:rsid w:val="00310F0C"/>
    <w:rsid w:val="003112FC"/>
    <w:rsid w:val="003113CC"/>
    <w:rsid w:val="00311A74"/>
    <w:rsid w:val="00312051"/>
    <w:rsid w:val="003126B0"/>
    <w:rsid w:val="003127C6"/>
    <w:rsid w:val="003129DF"/>
    <w:rsid w:val="00312B73"/>
    <w:rsid w:val="00312B7F"/>
    <w:rsid w:val="00312C34"/>
    <w:rsid w:val="00312EA9"/>
    <w:rsid w:val="003133E9"/>
    <w:rsid w:val="0031363D"/>
    <w:rsid w:val="00313E64"/>
    <w:rsid w:val="00314112"/>
    <w:rsid w:val="00314B38"/>
    <w:rsid w:val="00314BF5"/>
    <w:rsid w:val="00314E0D"/>
    <w:rsid w:val="00315337"/>
    <w:rsid w:val="00315996"/>
    <w:rsid w:val="00315C6C"/>
    <w:rsid w:val="00315CCE"/>
    <w:rsid w:val="00315DD8"/>
    <w:rsid w:val="00316490"/>
    <w:rsid w:val="0031656B"/>
    <w:rsid w:val="00316D45"/>
    <w:rsid w:val="00317400"/>
    <w:rsid w:val="003176D1"/>
    <w:rsid w:val="00317A4D"/>
    <w:rsid w:val="003205B3"/>
    <w:rsid w:val="00320A2D"/>
    <w:rsid w:val="00321A60"/>
    <w:rsid w:val="00321BB0"/>
    <w:rsid w:val="00321EAF"/>
    <w:rsid w:val="003222E7"/>
    <w:rsid w:val="00322622"/>
    <w:rsid w:val="003226A3"/>
    <w:rsid w:val="00322D98"/>
    <w:rsid w:val="00323093"/>
    <w:rsid w:val="0032344D"/>
    <w:rsid w:val="003238C8"/>
    <w:rsid w:val="00323A0B"/>
    <w:rsid w:val="00323BEB"/>
    <w:rsid w:val="00323EA4"/>
    <w:rsid w:val="00324147"/>
    <w:rsid w:val="0032462A"/>
    <w:rsid w:val="00324A7D"/>
    <w:rsid w:val="00324C97"/>
    <w:rsid w:val="00324F82"/>
    <w:rsid w:val="00325DA2"/>
    <w:rsid w:val="00326ED2"/>
    <w:rsid w:val="00326F8C"/>
    <w:rsid w:val="0033004C"/>
    <w:rsid w:val="0033089F"/>
    <w:rsid w:val="00330A25"/>
    <w:rsid w:val="00330BAE"/>
    <w:rsid w:val="00330D6E"/>
    <w:rsid w:val="003310F0"/>
    <w:rsid w:val="00331112"/>
    <w:rsid w:val="003313D5"/>
    <w:rsid w:val="0033163D"/>
    <w:rsid w:val="00332720"/>
    <w:rsid w:val="00332AF9"/>
    <w:rsid w:val="003331DD"/>
    <w:rsid w:val="003333C2"/>
    <w:rsid w:val="003337A6"/>
    <w:rsid w:val="00333F24"/>
    <w:rsid w:val="0033468B"/>
    <w:rsid w:val="003346F4"/>
    <w:rsid w:val="00334868"/>
    <w:rsid w:val="00334B0A"/>
    <w:rsid w:val="00335727"/>
    <w:rsid w:val="00335F3F"/>
    <w:rsid w:val="00336583"/>
    <w:rsid w:val="00336E80"/>
    <w:rsid w:val="00336EA0"/>
    <w:rsid w:val="0033725A"/>
    <w:rsid w:val="00337757"/>
    <w:rsid w:val="003379AA"/>
    <w:rsid w:val="00337D8C"/>
    <w:rsid w:val="00340390"/>
    <w:rsid w:val="003404E4"/>
    <w:rsid w:val="0034113F"/>
    <w:rsid w:val="003411E9"/>
    <w:rsid w:val="003417AB"/>
    <w:rsid w:val="00342EDC"/>
    <w:rsid w:val="003435B6"/>
    <w:rsid w:val="00343A09"/>
    <w:rsid w:val="00343A0E"/>
    <w:rsid w:val="00343DBE"/>
    <w:rsid w:val="00343E56"/>
    <w:rsid w:val="00344346"/>
    <w:rsid w:val="00344513"/>
    <w:rsid w:val="00344C6A"/>
    <w:rsid w:val="00344D28"/>
    <w:rsid w:val="00345015"/>
    <w:rsid w:val="00345219"/>
    <w:rsid w:val="003454DD"/>
    <w:rsid w:val="00345891"/>
    <w:rsid w:val="0034595A"/>
    <w:rsid w:val="00345A10"/>
    <w:rsid w:val="00345C37"/>
    <w:rsid w:val="00345EE0"/>
    <w:rsid w:val="0034621A"/>
    <w:rsid w:val="0034655B"/>
    <w:rsid w:val="003467DC"/>
    <w:rsid w:val="00346904"/>
    <w:rsid w:val="00346921"/>
    <w:rsid w:val="00346BA8"/>
    <w:rsid w:val="00346E1A"/>
    <w:rsid w:val="003472EC"/>
    <w:rsid w:val="003478DF"/>
    <w:rsid w:val="003500AD"/>
    <w:rsid w:val="00350183"/>
    <w:rsid w:val="00350247"/>
    <w:rsid w:val="003506E6"/>
    <w:rsid w:val="00350A95"/>
    <w:rsid w:val="00350B66"/>
    <w:rsid w:val="00351042"/>
    <w:rsid w:val="00351277"/>
    <w:rsid w:val="00351434"/>
    <w:rsid w:val="0035149A"/>
    <w:rsid w:val="00352297"/>
    <w:rsid w:val="0035264E"/>
    <w:rsid w:val="003526F8"/>
    <w:rsid w:val="00352C64"/>
    <w:rsid w:val="003530BA"/>
    <w:rsid w:val="0035314E"/>
    <w:rsid w:val="003533EB"/>
    <w:rsid w:val="00353EFA"/>
    <w:rsid w:val="003541B0"/>
    <w:rsid w:val="00354BCC"/>
    <w:rsid w:val="0035521C"/>
    <w:rsid w:val="00356200"/>
    <w:rsid w:val="003566D9"/>
    <w:rsid w:val="00356746"/>
    <w:rsid w:val="003569FF"/>
    <w:rsid w:val="00356B2A"/>
    <w:rsid w:val="00357072"/>
    <w:rsid w:val="00357373"/>
    <w:rsid w:val="003575B7"/>
    <w:rsid w:val="00357B3A"/>
    <w:rsid w:val="00357E00"/>
    <w:rsid w:val="003600AA"/>
    <w:rsid w:val="00360139"/>
    <w:rsid w:val="00360435"/>
    <w:rsid w:val="00362642"/>
    <w:rsid w:val="00362941"/>
    <w:rsid w:val="00362DDD"/>
    <w:rsid w:val="003630B3"/>
    <w:rsid w:val="00363421"/>
    <w:rsid w:val="0036368D"/>
    <w:rsid w:val="003640D6"/>
    <w:rsid w:val="00365A61"/>
    <w:rsid w:val="00365B82"/>
    <w:rsid w:val="00366153"/>
    <w:rsid w:val="003662CA"/>
    <w:rsid w:val="003668E5"/>
    <w:rsid w:val="003669CE"/>
    <w:rsid w:val="00366C15"/>
    <w:rsid w:val="00366F18"/>
    <w:rsid w:val="00367013"/>
    <w:rsid w:val="0036713E"/>
    <w:rsid w:val="003672EC"/>
    <w:rsid w:val="00367EEF"/>
    <w:rsid w:val="00370D68"/>
    <w:rsid w:val="00371416"/>
    <w:rsid w:val="00371C34"/>
    <w:rsid w:val="00371D65"/>
    <w:rsid w:val="003720D3"/>
    <w:rsid w:val="0037279E"/>
    <w:rsid w:val="00372F74"/>
    <w:rsid w:val="0037303B"/>
    <w:rsid w:val="00373C5E"/>
    <w:rsid w:val="00374292"/>
    <w:rsid w:val="00374309"/>
    <w:rsid w:val="003747D2"/>
    <w:rsid w:val="00374E39"/>
    <w:rsid w:val="0037502A"/>
    <w:rsid w:val="00375444"/>
    <w:rsid w:val="00375458"/>
    <w:rsid w:val="00375545"/>
    <w:rsid w:val="00375711"/>
    <w:rsid w:val="00375AB4"/>
    <w:rsid w:val="00375C5C"/>
    <w:rsid w:val="003763ED"/>
    <w:rsid w:val="0037649D"/>
    <w:rsid w:val="00376BF1"/>
    <w:rsid w:val="003771DA"/>
    <w:rsid w:val="003772B2"/>
    <w:rsid w:val="003774F3"/>
    <w:rsid w:val="003779FB"/>
    <w:rsid w:val="00377F83"/>
    <w:rsid w:val="003803E8"/>
    <w:rsid w:val="00381F18"/>
    <w:rsid w:val="00382210"/>
    <w:rsid w:val="003835A5"/>
    <w:rsid w:val="00384748"/>
    <w:rsid w:val="00384DB9"/>
    <w:rsid w:val="00384E10"/>
    <w:rsid w:val="00384EAE"/>
    <w:rsid w:val="003851A5"/>
    <w:rsid w:val="0038548A"/>
    <w:rsid w:val="00385655"/>
    <w:rsid w:val="003856A9"/>
    <w:rsid w:val="00385AA3"/>
    <w:rsid w:val="00385F69"/>
    <w:rsid w:val="003864A4"/>
    <w:rsid w:val="00386851"/>
    <w:rsid w:val="00386BCE"/>
    <w:rsid w:val="00386D59"/>
    <w:rsid w:val="00386D76"/>
    <w:rsid w:val="00386FC5"/>
    <w:rsid w:val="00387CDE"/>
    <w:rsid w:val="00390A50"/>
    <w:rsid w:val="00391134"/>
    <w:rsid w:val="00391AA0"/>
    <w:rsid w:val="0039229C"/>
    <w:rsid w:val="00392440"/>
    <w:rsid w:val="00393224"/>
    <w:rsid w:val="00393EA7"/>
    <w:rsid w:val="00393F30"/>
    <w:rsid w:val="003948C7"/>
    <w:rsid w:val="00395A13"/>
    <w:rsid w:val="0039625A"/>
    <w:rsid w:val="00396261"/>
    <w:rsid w:val="00396A5A"/>
    <w:rsid w:val="00397219"/>
    <w:rsid w:val="00397BDC"/>
    <w:rsid w:val="00397E31"/>
    <w:rsid w:val="003A00D0"/>
    <w:rsid w:val="003A01DE"/>
    <w:rsid w:val="003A093C"/>
    <w:rsid w:val="003A0A16"/>
    <w:rsid w:val="003A185B"/>
    <w:rsid w:val="003A18C4"/>
    <w:rsid w:val="003A18CF"/>
    <w:rsid w:val="003A1CF3"/>
    <w:rsid w:val="003A27E2"/>
    <w:rsid w:val="003A2F00"/>
    <w:rsid w:val="003A3046"/>
    <w:rsid w:val="003A33E6"/>
    <w:rsid w:val="003A4B4E"/>
    <w:rsid w:val="003A6813"/>
    <w:rsid w:val="003A7000"/>
    <w:rsid w:val="003A74C3"/>
    <w:rsid w:val="003A7619"/>
    <w:rsid w:val="003B15EA"/>
    <w:rsid w:val="003B16BA"/>
    <w:rsid w:val="003B18DF"/>
    <w:rsid w:val="003B1EE9"/>
    <w:rsid w:val="003B2589"/>
    <w:rsid w:val="003B2A31"/>
    <w:rsid w:val="003B2EE4"/>
    <w:rsid w:val="003B3D0B"/>
    <w:rsid w:val="003B4821"/>
    <w:rsid w:val="003B4834"/>
    <w:rsid w:val="003B4BEB"/>
    <w:rsid w:val="003B4C4D"/>
    <w:rsid w:val="003B4D5F"/>
    <w:rsid w:val="003B58A0"/>
    <w:rsid w:val="003B5C1E"/>
    <w:rsid w:val="003B5E57"/>
    <w:rsid w:val="003B66D8"/>
    <w:rsid w:val="003B6A46"/>
    <w:rsid w:val="003B75B6"/>
    <w:rsid w:val="003B7993"/>
    <w:rsid w:val="003B7D76"/>
    <w:rsid w:val="003C0608"/>
    <w:rsid w:val="003C1B83"/>
    <w:rsid w:val="003C1BEB"/>
    <w:rsid w:val="003C2117"/>
    <w:rsid w:val="003C240B"/>
    <w:rsid w:val="003C3743"/>
    <w:rsid w:val="003C37DD"/>
    <w:rsid w:val="003C3AA1"/>
    <w:rsid w:val="003C3B7C"/>
    <w:rsid w:val="003C41A6"/>
    <w:rsid w:val="003C4221"/>
    <w:rsid w:val="003C48B9"/>
    <w:rsid w:val="003C4BCC"/>
    <w:rsid w:val="003C4CE9"/>
    <w:rsid w:val="003C4D5C"/>
    <w:rsid w:val="003C518B"/>
    <w:rsid w:val="003C5468"/>
    <w:rsid w:val="003C5558"/>
    <w:rsid w:val="003C55DF"/>
    <w:rsid w:val="003C566E"/>
    <w:rsid w:val="003C568F"/>
    <w:rsid w:val="003C58B8"/>
    <w:rsid w:val="003C59B3"/>
    <w:rsid w:val="003C5E0B"/>
    <w:rsid w:val="003C5F18"/>
    <w:rsid w:val="003C6D8C"/>
    <w:rsid w:val="003C71D9"/>
    <w:rsid w:val="003C752F"/>
    <w:rsid w:val="003C77D9"/>
    <w:rsid w:val="003D01EE"/>
    <w:rsid w:val="003D040A"/>
    <w:rsid w:val="003D0597"/>
    <w:rsid w:val="003D0681"/>
    <w:rsid w:val="003D239B"/>
    <w:rsid w:val="003D27EB"/>
    <w:rsid w:val="003D2826"/>
    <w:rsid w:val="003D2F51"/>
    <w:rsid w:val="003D3130"/>
    <w:rsid w:val="003D3C9B"/>
    <w:rsid w:val="003D42D3"/>
    <w:rsid w:val="003D47AC"/>
    <w:rsid w:val="003D4A98"/>
    <w:rsid w:val="003D4AEA"/>
    <w:rsid w:val="003D4CFE"/>
    <w:rsid w:val="003D4D99"/>
    <w:rsid w:val="003D4F1A"/>
    <w:rsid w:val="003D56F2"/>
    <w:rsid w:val="003D5C21"/>
    <w:rsid w:val="003D690C"/>
    <w:rsid w:val="003D6921"/>
    <w:rsid w:val="003D6ACE"/>
    <w:rsid w:val="003D6CDE"/>
    <w:rsid w:val="003D6DA9"/>
    <w:rsid w:val="003D6FF4"/>
    <w:rsid w:val="003D772D"/>
    <w:rsid w:val="003D7A86"/>
    <w:rsid w:val="003D7AD3"/>
    <w:rsid w:val="003E01D9"/>
    <w:rsid w:val="003E0994"/>
    <w:rsid w:val="003E1692"/>
    <w:rsid w:val="003E1809"/>
    <w:rsid w:val="003E216F"/>
    <w:rsid w:val="003E28F8"/>
    <w:rsid w:val="003E2ED9"/>
    <w:rsid w:val="003E3319"/>
    <w:rsid w:val="003E337D"/>
    <w:rsid w:val="003E354C"/>
    <w:rsid w:val="003E3A9F"/>
    <w:rsid w:val="003E3ADA"/>
    <w:rsid w:val="003E411F"/>
    <w:rsid w:val="003E44F5"/>
    <w:rsid w:val="003E45A6"/>
    <w:rsid w:val="003E45CB"/>
    <w:rsid w:val="003E483F"/>
    <w:rsid w:val="003E488B"/>
    <w:rsid w:val="003E51CA"/>
    <w:rsid w:val="003E589D"/>
    <w:rsid w:val="003E5AAA"/>
    <w:rsid w:val="003E5E0E"/>
    <w:rsid w:val="003E6048"/>
    <w:rsid w:val="003E687C"/>
    <w:rsid w:val="003E70AE"/>
    <w:rsid w:val="003E7AB6"/>
    <w:rsid w:val="003E7F07"/>
    <w:rsid w:val="003F0225"/>
    <w:rsid w:val="003F0347"/>
    <w:rsid w:val="003F0BC1"/>
    <w:rsid w:val="003F13B9"/>
    <w:rsid w:val="003F1803"/>
    <w:rsid w:val="003F34BA"/>
    <w:rsid w:val="003F38DB"/>
    <w:rsid w:val="003F44F7"/>
    <w:rsid w:val="003F4EFC"/>
    <w:rsid w:val="003F501F"/>
    <w:rsid w:val="003F51E3"/>
    <w:rsid w:val="003F5813"/>
    <w:rsid w:val="003F5895"/>
    <w:rsid w:val="003F60CA"/>
    <w:rsid w:val="003F625D"/>
    <w:rsid w:val="003F680B"/>
    <w:rsid w:val="003F7589"/>
    <w:rsid w:val="003F775B"/>
    <w:rsid w:val="003F78F2"/>
    <w:rsid w:val="003F79F8"/>
    <w:rsid w:val="004000B9"/>
    <w:rsid w:val="004004A0"/>
    <w:rsid w:val="00400A2F"/>
    <w:rsid w:val="00400C31"/>
    <w:rsid w:val="00401D88"/>
    <w:rsid w:val="004026DD"/>
    <w:rsid w:val="004028AB"/>
    <w:rsid w:val="004031BE"/>
    <w:rsid w:val="00403341"/>
    <w:rsid w:val="00403937"/>
    <w:rsid w:val="004043E8"/>
    <w:rsid w:val="00404BAA"/>
    <w:rsid w:val="00404FE8"/>
    <w:rsid w:val="0040543F"/>
    <w:rsid w:val="0040549E"/>
    <w:rsid w:val="004055A2"/>
    <w:rsid w:val="00406A5A"/>
    <w:rsid w:val="00406FEE"/>
    <w:rsid w:val="0040717C"/>
    <w:rsid w:val="0040792A"/>
    <w:rsid w:val="00407BE5"/>
    <w:rsid w:val="00407E1C"/>
    <w:rsid w:val="0041031B"/>
    <w:rsid w:val="00410806"/>
    <w:rsid w:val="00410B15"/>
    <w:rsid w:val="00410BBC"/>
    <w:rsid w:val="004110B0"/>
    <w:rsid w:val="004112B5"/>
    <w:rsid w:val="0041140E"/>
    <w:rsid w:val="00411A66"/>
    <w:rsid w:val="00411B2E"/>
    <w:rsid w:val="00411BD4"/>
    <w:rsid w:val="00411D44"/>
    <w:rsid w:val="00412428"/>
    <w:rsid w:val="00412568"/>
    <w:rsid w:val="0041267E"/>
    <w:rsid w:val="00412CEB"/>
    <w:rsid w:val="0041309F"/>
    <w:rsid w:val="004133EB"/>
    <w:rsid w:val="00413B67"/>
    <w:rsid w:val="00413E72"/>
    <w:rsid w:val="004145E2"/>
    <w:rsid w:val="00414614"/>
    <w:rsid w:val="004149FB"/>
    <w:rsid w:val="00415390"/>
    <w:rsid w:val="0041568C"/>
    <w:rsid w:val="00415C71"/>
    <w:rsid w:val="00415D08"/>
    <w:rsid w:val="00416342"/>
    <w:rsid w:val="00417141"/>
    <w:rsid w:val="0041730F"/>
    <w:rsid w:val="00417513"/>
    <w:rsid w:val="0041756F"/>
    <w:rsid w:val="004205BE"/>
    <w:rsid w:val="00421009"/>
    <w:rsid w:val="004213DE"/>
    <w:rsid w:val="00421E06"/>
    <w:rsid w:val="0042210F"/>
    <w:rsid w:val="004222CB"/>
    <w:rsid w:val="00422879"/>
    <w:rsid w:val="00422AAE"/>
    <w:rsid w:val="00422C7C"/>
    <w:rsid w:val="004236C9"/>
    <w:rsid w:val="00423D29"/>
    <w:rsid w:val="00423F65"/>
    <w:rsid w:val="00424051"/>
    <w:rsid w:val="00424983"/>
    <w:rsid w:val="00424BA7"/>
    <w:rsid w:val="00424D3B"/>
    <w:rsid w:val="00425434"/>
    <w:rsid w:val="004254E1"/>
    <w:rsid w:val="0042598D"/>
    <w:rsid w:val="00425C8C"/>
    <w:rsid w:val="004262DE"/>
    <w:rsid w:val="004265AB"/>
    <w:rsid w:val="004266C6"/>
    <w:rsid w:val="004269C5"/>
    <w:rsid w:val="00426D8C"/>
    <w:rsid w:val="00426F25"/>
    <w:rsid w:val="004273C9"/>
    <w:rsid w:val="00427863"/>
    <w:rsid w:val="00427EF3"/>
    <w:rsid w:val="0043081D"/>
    <w:rsid w:val="00430E01"/>
    <w:rsid w:val="00430FB6"/>
    <w:rsid w:val="00431833"/>
    <w:rsid w:val="00431957"/>
    <w:rsid w:val="004319A1"/>
    <w:rsid w:val="00431FBE"/>
    <w:rsid w:val="00432758"/>
    <w:rsid w:val="00432884"/>
    <w:rsid w:val="004328B2"/>
    <w:rsid w:val="00432C06"/>
    <w:rsid w:val="00433210"/>
    <w:rsid w:val="00433B96"/>
    <w:rsid w:val="00433E0F"/>
    <w:rsid w:val="00433E44"/>
    <w:rsid w:val="00434079"/>
    <w:rsid w:val="0043488C"/>
    <w:rsid w:val="00434C02"/>
    <w:rsid w:val="00435F37"/>
    <w:rsid w:val="004361E8"/>
    <w:rsid w:val="00436EEF"/>
    <w:rsid w:val="004374F9"/>
    <w:rsid w:val="00437684"/>
    <w:rsid w:val="00437687"/>
    <w:rsid w:val="00440075"/>
    <w:rsid w:val="0044061C"/>
    <w:rsid w:val="00440F69"/>
    <w:rsid w:val="004414A2"/>
    <w:rsid w:val="00441FED"/>
    <w:rsid w:val="00442163"/>
    <w:rsid w:val="004424E0"/>
    <w:rsid w:val="00443471"/>
    <w:rsid w:val="0044360A"/>
    <w:rsid w:val="00443B94"/>
    <w:rsid w:val="00443F9B"/>
    <w:rsid w:val="004441DF"/>
    <w:rsid w:val="00444A21"/>
    <w:rsid w:val="00444E73"/>
    <w:rsid w:val="004450D8"/>
    <w:rsid w:val="004452A2"/>
    <w:rsid w:val="00445345"/>
    <w:rsid w:val="00446792"/>
    <w:rsid w:val="00446DB2"/>
    <w:rsid w:val="00447315"/>
    <w:rsid w:val="004473FA"/>
    <w:rsid w:val="0044745E"/>
    <w:rsid w:val="0044754D"/>
    <w:rsid w:val="0044772C"/>
    <w:rsid w:val="00447B88"/>
    <w:rsid w:val="00447CBE"/>
    <w:rsid w:val="00450130"/>
    <w:rsid w:val="004508B4"/>
    <w:rsid w:val="00450C61"/>
    <w:rsid w:val="00450DED"/>
    <w:rsid w:val="0045128A"/>
    <w:rsid w:val="0045170B"/>
    <w:rsid w:val="0045217C"/>
    <w:rsid w:val="0045238A"/>
    <w:rsid w:val="004533CA"/>
    <w:rsid w:val="00454B89"/>
    <w:rsid w:val="004552FA"/>
    <w:rsid w:val="004555DA"/>
    <w:rsid w:val="00455755"/>
    <w:rsid w:val="004559EF"/>
    <w:rsid w:val="00455D2B"/>
    <w:rsid w:val="00455EAD"/>
    <w:rsid w:val="004565AE"/>
    <w:rsid w:val="00456D80"/>
    <w:rsid w:val="00456E54"/>
    <w:rsid w:val="00457088"/>
    <w:rsid w:val="00457517"/>
    <w:rsid w:val="004601E9"/>
    <w:rsid w:val="00460495"/>
    <w:rsid w:val="0046077A"/>
    <w:rsid w:val="00460A57"/>
    <w:rsid w:val="00461303"/>
    <w:rsid w:val="00461423"/>
    <w:rsid w:val="004615BD"/>
    <w:rsid w:val="004621E4"/>
    <w:rsid w:val="00462231"/>
    <w:rsid w:val="00462742"/>
    <w:rsid w:val="00462D0D"/>
    <w:rsid w:val="00463720"/>
    <w:rsid w:val="00463C55"/>
    <w:rsid w:val="004644C2"/>
    <w:rsid w:val="00465159"/>
    <w:rsid w:val="00465464"/>
    <w:rsid w:val="00465A0A"/>
    <w:rsid w:val="00466B52"/>
    <w:rsid w:val="004671A7"/>
    <w:rsid w:val="00470E05"/>
    <w:rsid w:val="00471FF0"/>
    <w:rsid w:val="0047201E"/>
    <w:rsid w:val="00472340"/>
    <w:rsid w:val="00472384"/>
    <w:rsid w:val="0047293C"/>
    <w:rsid w:val="00473925"/>
    <w:rsid w:val="0047392D"/>
    <w:rsid w:val="004739EC"/>
    <w:rsid w:val="00474B8A"/>
    <w:rsid w:val="00474FF2"/>
    <w:rsid w:val="004751A4"/>
    <w:rsid w:val="0047568A"/>
    <w:rsid w:val="00475A5E"/>
    <w:rsid w:val="00475F1A"/>
    <w:rsid w:val="004762DB"/>
    <w:rsid w:val="0047650A"/>
    <w:rsid w:val="004770CC"/>
    <w:rsid w:val="00477164"/>
    <w:rsid w:val="00477511"/>
    <w:rsid w:val="00477BC0"/>
    <w:rsid w:val="00477CB5"/>
    <w:rsid w:val="00480D9F"/>
    <w:rsid w:val="00480DF4"/>
    <w:rsid w:val="00480F7F"/>
    <w:rsid w:val="004824BC"/>
    <w:rsid w:val="004827D3"/>
    <w:rsid w:val="00482922"/>
    <w:rsid w:val="00482AC8"/>
    <w:rsid w:val="00482B3E"/>
    <w:rsid w:val="0048311F"/>
    <w:rsid w:val="0048430A"/>
    <w:rsid w:val="004843BB"/>
    <w:rsid w:val="004843FE"/>
    <w:rsid w:val="00485F24"/>
    <w:rsid w:val="00486155"/>
    <w:rsid w:val="004861D2"/>
    <w:rsid w:val="00486784"/>
    <w:rsid w:val="00486913"/>
    <w:rsid w:val="00486C85"/>
    <w:rsid w:val="00486F2A"/>
    <w:rsid w:val="00487761"/>
    <w:rsid w:val="00487B36"/>
    <w:rsid w:val="00487C0E"/>
    <w:rsid w:val="00490B15"/>
    <w:rsid w:val="00491082"/>
    <w:rsid w:val="004929E7"/>
    <w:rsid w:val="00492B6F"/>
    <w:rsid w:val="0049347A"/>
    <w:rsid w:val="00493901"/>
    <w:rsid w:val="00493A80"/>
    <w:rsid w:val="00493E3C"/>
    <w:rsid w:val="004940E3"/>
    <w:rsid w:val="004943F8"/>
    <w:rsid w:val="004949A7"/>
    <w:rsid w:val="004949F9"/>
    <w:rsid w:val="004952F8"/>
    <w:rsid w:val="00495992"/>
    <w:rsid w:val="00495B1E"/>
    <w:rsid w:val="00495C18"/>
    <w:rsid w:val="004960F8"/>
    <w:rsid w:val="004966AC"/>
    <w:rsid w:val="00496B6D"/>
    <w:rsid w:val="004971AF"/>
    <w:rsid w:val="00497DD3"/>
    <w:rsid w:val="00497EFB"/>
    <w:rsid w:val="004A01BA"/>
    <w:rsid w:val="004A03FD"/>
    <w:rsid w:val="004A0856"/>
    <w:rsid w:val="004A106C"/>
    <w:rsid w:val="004A11E9"/>
    <w:rsid w:val="004A167D"/>
    <w:rsid w:val="004A19F8"/>
    <w:rsid w:val="004A1C44"/>
    <w:rsid w:val="004A1FE4"/>
    <w:rsid w:val="004A313B"/>
    <w:rsid w:val="004A35CB"/>
    <w:rsid w:val="004A3CE3"/>
    <w:rsid w:val="004A3CF0"/>
    <w:rsid w:val="004A4611"/>
    <w:rsid w:val="004A5008"/>
    <w:rsid w:val="004A51FC"/>
    <w:rsid w:val="004A5733"/>
    <w:rsid w:val="004A58F4"/>
    <w:rsid w:val="004A5BC8"/>
    <w:rsid w:val="004A62AE"/>
    <w:rsid w:val="004A6411"/>
    <w:rsid w:val="004A732D"/>
    <w:rsid w:val="004A78E0"/>
    <w:rsid w:val="004B0BCF"/>
    <w:rsid w:val="004B1051"/>
    <w:rsid w:val="004B1989"/>
    <w:rsid w:val="004B1FD3"/>
    <w:rsid w:val="004B200B"/>
    <w:rsid w:val="004B22E4"/>
    <w:rsid w:val="004B2EA4"/>
    <w:rsid w:val="004B2FB2"/>
    <w:rsid w:val="004B3F3C"/>
    <w:rsid w:val="004B414D"/>
    <w:rsid w:val="004B4C3F"/>
    <w:rsid w:val="004B4F63"/>
    <w:rsid w:val="004B54BF"/>
    <w:rsid w:val="004B581F"/>
    <w:rsid w:val="004B69F9"/>
    <w:rsid w:val="004B7156"/>
    <w:rsid w:val="004B79C8"/>
    <w:rsid w:val="004C0817"/>
    <w:rsid w:val="004C0F12"/>
    <w:rsid w:val="004C106A"/>
    <w:rsid w:val="004C1BAA"/>
    <w:rsid w:val="004C22B6"/>
    <w:rsid w:val="004C2A4B"/>
    <w:rsid w:val="004C2AFD"/>
    <w:rsid w:val="004C3AD5"/>
    <w:rsid w:val="004C3BB4"/>
    <w:rsid w:val="004C4FDB"/>
    <w:rsid w:val="004C55B9"/>
    <w:rsid w:val="004C56D6"/>
    <w:rsid w:val="004C58BC"/>
    <w:rsid w:val="004C5BCC"/>
    <w:rsid w:val="004C5EB1"/>
    <w:rsid w:val="004C6156"/>
    <w:rsid w:val="004C6586"/>
    <w:rsid w:val="004C67DC"/>
    <w:rsid w:val="004C689A"/>
    <w:rsid w:val="004C7318"/>
    <w:rsid w:val="004C79CB"/>
    <w:rsid w:val="004C7F96"/>
    <w:rsid w:val="004C7FEA"/>
    <w:rsid w:val="004D03F8"/>
    <w:rsid w:val="004D053D"/>
    <w:rsid w:val="004D0835"/>
    <w:rsid w:val="004D0929"/>
    <w:rsid w:val="004D0EC6"/>
    <w:rsid w:val="004D1015"/>
    <w:rsid w:val="004D1BB6"/>
    <w:rsid w:val="004D2B97"/>
    <w:rsid w:val="004D2F08"/>
    <w:rsid w:val="004D37D9"/>
    <w:rsid w:val="004D3B81"/>
    <w:rsid w:val="004D3BFC"/>
    <w:rsid w:val="004D47CA"/>
    <w:rsid w:val="004D4A60"/>
    <w:rsid w:val="004D5291"/>
    <w:rsid w:val="004D5720"/>
    <w:rsid w:val="004D5E6A"/>
    <w:rsid w:val="004D5F36"/>
    <w:rsid w:val="004D6D3F"/>
    <w:rsid w:val="004D6DB6"/>
    <w:rsid w:val="004D7091"/>
    <w:rsid w:val="004D710D"/>
    <w:rsid w:val="004E03BF"/>
    <w:rsid w:val="004E067C"/>
    <w:rsid w:val="004E082B"/>
    <w:rsid w:val="004E0D13"/>
    <w:rsid w:val="004E1391"/>
    <w:rsid w:val="004E149A"/>
    <w:rsid w:val="004E16F6"/>
    <w:rsid w:val="004E188C"/>
    <w:rsid w:val="004E1998"/>
    <w:rsid w:val="004E1D11"/>
    <w:rsid w:val="004E1F08"/>
    <w:rsid w:val="004E223C"/>
    <w:rsid w:val="004E27CD"/>
    <w:rsid w:val="004E28C9"/>
    <w:rsid w:val="004E354B"/>
    <w:rsid w:val="004E37B3"/>
    <w:rsid w:val="004E3954"/>
    <w:rsid w:val="004E3A08"/>
    <w:rsid w:val="004E418C"/>
    <w:rsid w:val="004E41F9"/>
    <w:rsid w:val="004E5077"/>
    <w:rsid w:val="004E62EA"/>
    <w:rsid w:val="004E6764"/>
    <w:rsid w:val="004E6E54"/>
    <w:rsid w:val="004E6EB1"/>
    <w:rsid w:val="004E7404"/>
    <w:rsid w:val="004E7618"/>
    <w:rsid w:val="004E7C05"/>
    <w:rsid w:val="004E7D8C"/>
    <w:rsid w:val="004F02D5"/>
    <w:rsid w:val="004F03EF"/>
    <w:rsid w:val="004F05A8"/>
    <w:rsid w:val="004F0D10"/>
    <w:rsid w:val="004F0D25"/>
    <w:rsid w:val="004F0D6B"/>
    <w:rsid w:val="004F1232"/>
    <w:rsid w:val="004F18B0"/>
    <w:rsid w:val="004F19B7"/>
    <w:rsid w:val="004F1DCA"/>
    <w:rsid w:val="004F1F7F"/>
    <w:rsid w:val="004F2093"/>
    <w:rsid w:val="004F21C9"/>
    <w:rsid w:val="004F2DED"/>
    <w:rsid w:val="004F2EC5"/>
    <w:rsid w:val="004F2FD4"/>
    <w:rsid w:val="004F35DF"/>
    <w:rsid w:val="004F37B6"/>
    <w:rsid w:val="004F41B6"/>
    <w:rsid w:val="004F422B"/>
    <w:rsid w:val="004F42B4"/>
    <w:rsid w:val="004F440C"/>
    <w:rsid w:val="004F46B5"/>
    <w:rsid w:val="004F476D"/>
    <w:rsid w:val="004F4B4C"/>
    <w:rsid w:val="004F4C2D"/>
    <w:rsid w:val="004F4E53"/>
    <w:rsid w:val="004F51A8"/>
    <w:rsid w:val="004F5B0B"/>
    <w:rsid w:val="004F76AF"/>
    <w:rsid w:val="0050007E"/>
    <w:rsid w:val="005004AB"/>
    <w:rsid w:val="0050064D"/>
    <w:rsid w:val="00501203"/>
    <w:rsid w:val="0050166C"/>
    <w:rsid w:val="00502503"/>
    <w:rsid w:val="00503146"/>
    <w:rsid w:val="005037D3"/>
    <w:rsid w:val="0050402B"/>
    <w:rsid w:val="00504DE7"/>
    <w:rsid w:val="00505416"/>
    <w:rsid w:val="005056BD"/>
    <w:rsid w:val="00505EE8"/>
    <w:rsid w:val="00506628"/>
    <w:rsid w:val="0050667E"/>
    <w:rsid w:val="0050686C"/>
    <w:rsid w:val="00510042"/>
    <w:rsid w:val="0051034E"/>
    <w:rsid w:val="005106AE"/>
    <w:rsid w:val="005108DB"/>
    <w:rsid w:val="00511052"/>
    <w:rsid w:val="00512398"/>
    <w:rsid w:val="00512761"/>
    <w:rsid w:val="00512F79"/>
    <w:rsid w:val="005133F0"/>
    <w:rsid w:val="00513490"/>
    <w:rsid w:val="0051385E"/>
    <w:rsid w:val="00513AA6"/>
    <w:rsid w:val="00513DDE"/>
    <w:rsid w:val="00513EEF"/>
    <w:rsid w:val="0051417A"/>
    <w:rsid w:val="0051498D"/>
    <w:rsid w:val="00514B6B"/>
    <w:rsid w:val="005157A3"/>
    <w:rsid w:val="00515CF0"/>
    <w:rsid w:val="00516058"/>
    <w:rsid w:val="00516CEC"/>
    <w:rsid w:val="00516E19"/>
    <w:rsid w:val="00516F78"/>
    <w:rsid w:val="0051725B"/>
    <w:rsid w:val="005176DA"/>
    <w:rsid w:val="00517C4E"/>
    <w:rsid w:val="00517F83"/>
    <w:rsid w:val="0052085C"/>
    <w:rsid w:val="005211D1"/>
    <w:rsid w:val="00521285"/>
    <w:rsid w:val="00521974"/>
    <w:rsid w:val="00521BB2"/>
    <w:rsid w:val="005226E7"/>
    <w:rsid w:val="00522C35"/>
    <w:rsid w:val="005230CF"/>
    <w:rsid w:val="005237BF"/>
    <w:rsid w:val="00523872"/>
    <w:rsid w:val="00523B79"/>
    <w:rsid w:val="00523F4F"/>
    <w:rsid w:val="00524222"/>
    <w:rsid w:val="0052426B"/>
    <w:rsid w:val="0052466F"/>
    <w:rsid w:val="005251AF"/>
    <w:rsid w:val="00525625"/>
    <w:rsid w:val="0052565F"/>
    <w:rsid w:val="005257FA"/>
    <w:rsid w:val="00525FD8"/>
    <w:rsid w:val="00526066"/>
    <w:rsid w:val="0052676F"/>
    <w:rsid w:val="00527C5E"/>
    <w:rsid w:val="00530636"/>
    <w:rsid w:val="00531097"/>
    <w:rsid w:val="005312C4"/>
    <w:rsid w:val="00531B27"/>
    <w:rsid w:val="00531B61"/>
    <w:rsid w:val="005321C7"/>
    <w:rsid w:val="00532D50"/>
    <w:rsid w:val="00533173"/>
    <w:rsid w:val="00533667"/>
    <w:rsid w:val="00533B29"/>
    <w:rsid w:val="00533EE3"/>
    <w:rsid w:val="00533F51"/>
    <w:rsid w:val="005340A8"/>
    <w:rsid w:val="00534681"/>
    <w:rsid w:val="00534C70"/>
    <w:rsid w:val="00534F0A"/>
    <w:rsid w:val="0053507E"/>
    <w:rsid w:val="00535644"/>
    <w:rsid w:val="00535724"/>
    <w:rsid w:val="00536119"/>
    <w:rsid w:val="005366B7"/>
    <w:rsid w:val="005366C2"/>
    <w:rsid w:val="00536A19"/>
    <w:rsid w:val="00537268"/>
    <w:rsid w:val="0053737F"/>
    <w:rsid w:val="0053741D"/>
    <w:rsid w:val="00537633"/>
    <w:rsid w:val="00537A7E"/>
    <w:rsid w:val="00537A8F"/>
    <w:rsid w:val="0054030C"/>
    <w:rsid w:val="00540E7A"/>
    <w:rsid w:val="005418CB"/>
    <w:rsid w:val="00541AA0"/>
    <w:rsid w:val="00541B86"/>
    <w:rsid w:val="005420F0"/>
    <w:rsid w:val="0054225C"/>
    <w:rsid w:val="005424B9"/>
    <w:rsid w:val="00542A53"/>
    <w:rsid w:val="00542A94"/>
    <w:rsid w:val="00542C1F"/>
    <w:rsid w:val="00542FEA"/>
    <w:rsid w:val="0054480E"/>
    <w:rsid w:val="00544D32"/>
    <w:rsid w:val="005458B0"/>
    <w:rsid w:val="00545DEA"/>
    <w:rsid w:val="00546396"/>
    <w:rsid w:val="00546581"/>
    <w:rsid w:val="00546D99"/>
    <w:rsid w:val="00546E61"/>
    <w:rsid w:val="00547020"/>
    <w:rsid w:val="00547816"/>
    <w:rsid w:val="00550A58"/>
    <w:rsid w:val="00550B33"/>
    <w:rsid w:val="00550DF6"/>
    <w:rsid w:val="005514E5"/>
    <w:rsid w:val="00551800"/>
    <w:rsid w:val="00551C5F"/>
    <w:rsid w:val="00551F75"/>
    <w:rsid w:val="005527B1"/>
    <w:rsid w:val="00552E7C"/>
    <w:rsid w:val="00552ED2"/>
    <w:rsid w:val="00552FC0"/>
    <w:rsid w:val="00553114"/>
    <w:rsid w:val="00553BFF"/>
    <w:rsid w:val="00553C9B"/>
    <w:rsid w:val="00553F6A"/>
    <w:rsid w:val="00554A00"/>
    <w:rsid w:val="00554D44"/>
    <w:rsid w:val="0055523C"/>
    <w:rsid w:val="00555507"/>
    <w:rsid w:val="00555B2B"/>
    <w:rsid w:val="00555DA2"/>
    <w:rsid w:val="005566C3"/>
    <w:rsid w:val="00556D9D"/>
    <w:rsid w:val="0055742C"/>
    <w:rsid w:val="005575B6"/>
    <w:rsid w:val="00557AFD"/>
    <w:rsid w:val="00557E6B"/>
    <w:rsid w:val="00557EFC"/>
    <w:rsid w:val="005612E0"/>
    <w:rsid w:val="0056147D"/>
    <w:rsid w:val="00561D8D"/>
    <w:rsid w:val="0056231A"/>
    <w:rsid w:val="005629B6"/>
    <w:rsid w:val="00562F76"/>
    <w:rsid w:val="0056319F"/>
    <w:rsid w:val="00563753"/>
    <w:rsid w:val="005637ED"/>
    <w:rsid w:val="00563B31"/>
    <w:rsid w:val="00563F3E"/>
    <w:rsid w:val="00564588"/>
    <w:rsid w:val="00564597"/>
    <w:rsid w:val="005658E3"/>
    <w:rsid w:val="00565933"/>
    <w:rsid w:val="00565C2C"/>
    <w:rsid w:val="005665D3"/>
    <w:rsid w:val="0056693C"/>
    <w:rsid w:val="00566E11"/>
    <w:rsid w:val="0056770F"/>
    <w:rsid w:val="00567C32"/>
    <w:rsid w:val="00570777"/>
    <w:rsid w:val="00571AF9"/>
    <w:rsid w:val="00571B74"/>
    <w:rsid w:val="00572565"/>
    <w:rsid w:val="00573059"/>
    <w:rsid w:val="005734DD"/>
    <w:rsid w:val="005735D8"/>
    <w:rsid w:val="00573B3E"/>
    <w:rsid w:val="00573EC5"/>
    <w:rsid w:val="005740D6"/>
    <w:rsid w:val="005741C3"/>
    <w:rsid w:val="0057433C"/>
    <w:rsid w:val="00574437"/>
    <w:rsid w:val="0057499B"/>
    <w:rsid w:val="00574BD6"/>
    <w:rsid w:val="00574C73"/>
    <w:rsid w:val="00576CC0"/>
    <w:rsid w:val="00576F1A"/>
    <w:rsid w:val="00576F3F"/>
    <w:rsid w:val="00577B9F"/>
    <w:rsid w:val="005809AD"/>
    <w:rsid w:val="00580EFF"/>
    <w:rsid w:val="00581595"/>
    <w:rsid w:val="00581691"/>
    <w:rsid w:val="00581969"/>
    <w:rsid w:val="00582255"/>
    <w:rsid w:val="005823F5"/>
    <w:rsid w:val="00582553"/>
    <w:rsid w:val="00582AFE"/>
    <w:rsid w:val="00582BB2"/>
    <w:rsid w:val="00583717"/>
    <w:rsid w:val="00585676"/>
    <w:rsid w:val="0058596F"/>
    <w:rsid w:val="00585B9D"/>
    <w:rsid w:val="005868C4"/>
    <w:rsid w:val="00586E1E"/>
    <w:rsid w:val="00587317"/>
    <w:rsid w:val="00591188"/>
    <w:rsid w:val="00591615"/>
    <w:rsid w:val="00591682"/>
    <w:rsid w:val="00591BF6"/>
    <w:rsid w:val="005924CA"/>
    <w:rsid w:val="00593436"/>
    <w:rsid w:val="005935EC"/>
    <w:rsid w:val="005939BC"/>
    <w:rsid w:val="00593CCB"/>
    <w:rsid w:val="005940A0"/>
    <w:rsid w:val="00594485"/>
    <w:rsid w:val="00594A6E"/>
    <w:rsid w:val="00594D06"/>
    <w:rsid w:val="00595312"/>
    <w:rsid w:val="00595399"/>
    <w:rsid w:val="0059571C"/>
    <w:rsid w:val="00595F85"/>
    <w:rsid w:val="00596A37"/>
    <w:rsid w:val="005972E9"/>
    <w:rsid w:val="00597BC6"/>
    <w:rsid w:val="005A066D"/>
    <w:rsid w:val="005A07D5"/>
    <w:rsid w:val="005A0CA4"/>
    <w:rsid w:val="005A0FF0"/>
    <w:rsid w:val="005A1689"/>
    <w:rsid w:val="005A16E1"/>
    <w:rsid w:val="005A20D8"/>
    <w:rsid w:val="005A2854"/>
    <w:rsid w:val="005A3C63"/>
    <w:rsid w:val="005A3D01"/>
    <w:rsid w:val="005A3E28"/>
    <w:rsid w:val="005A43CF"/>
    <w:rsid w:val="005A470B"/>
    <w:rsid w:val="005A511F"/>
    <w:rsid w:val="005A6444"/>
    <w:rsid w:val="005A6507"/>
    <w:rsid w:val="005A68B5"/>
    <w:rsid w:val="005A6A30"/>
    <w:rsid w:val="005A6AA4"/>
    <w:rsid w:val="005A6FA4"/>
    <w:rsid w:val="005A7078"/>
    <w:rsid w:val="005A7084"/>
    <w:rsid w:val="005A7746"/>
    <w:rsid w:val="005A7CAD"/>
    <w:rsid w:val="005B04B9"/>
    <w:rsid w:val="005B0571"/>
    <w:rsid w:val="005B0C84"/>
    <w:rsid w:val="005B0E94"/>
    <w:rsid w:val="005B213A"/>
    <w:rsid w:val="005B31C3"/>
    <w:rsid w:val="005B3569"/>
    <w:rsid w:val="005B3C1A"/>
    <w:rsid w:val="005B401E"/>
    <w:rsid w:val="005B4257"/>
    <w:rsid w:val="005B47B0"/>
    <w:rsid w:val="005B4BF1"/>
    <w:rsid w:val="005B4C73"/>
    <w:rsid w:val="005B4E28"/>
    <w:rsid w:val="005B54F7"/>
    <w:rsid w:val="005B6393"/>
    <w:rsid w:val="005B72A2"/>
    <w:rsid w:val="005B73EC"/>
    <w:rsid w:val="005B7AD9"/>
    <w:rsid w:val="005C043F"/>
    <w:rsid w:val="005C05B8"/>
    <w:rsid w:val="005C0D84"/>
    <w:rsid w:val="005C0E8B"/>
    <w:rsid w:val="005C16A4"/>
    <w:rsid w:val="005C1DA1"/>
    <w:rsid w:val="005C296F"/>
    <w:rsid w:val="005C2D3A"/>
    <w:rsid w:val="005C2E93"/>
    <w:rsid w:val="005C38DF"/>
    <w:rsid w:val="005C3C01"/>
    <w:rsid w:val="005C3C0B"/>
    <w:rsid w:val="005C4819"/>
    <w:rsid w:val="005C486A"/>
    <w:rsid w:val="005C590F"/>
    <w:rsid w:val="005C5A7E"/>
    <w:rsid w:val="005C60CD"/>
    <w:rsid w:val="005C623F"/>
    <w:rsid w:val="005C6ED1"/>
    <w:rsid w:val="005C7367"/>
    <w:rsid w:val="005D00ED"/>
    <w:rsid w:val="005D0380"/>
    <w:rsid w:val="005D078D"/>
    <w:rsid w:val="005D0840"/>
    <w:rsid w:val="005D0859"/>
    <w:rsid w:val="005D0B56"/>
    <w:rsid w:val="005D0DC6"/>
    <w:rsid w:val="005D1043"/>
    <w:rsid w:val="005D1082"/>
    <w:rsid w:val="005D263B"/>
    <w:rsid w:val="005D28F6"/>
    <w:rsid w:val="005D2BCD"/>
    <w:rsid w:val="005D308A"/>
    <w:rsid w:val="005D35F5"/>
    <w:rsid w:val="005D37E5"/>
    <w:rsid w:val="005D3E9C"/>
    <w:rsid w:val="005D429D"/>
    <w:rsid w:val="005D4B4E"/>
    <w:rsid w:val="005D51EF"/>
    <w:rsid w:val="005D5D05"/>
    <w:rsid w:val="005D6141"/>
    <w:rsid w:val="005D622A"/>
    <w:rsid w:val="005D640E"/>
    <w:rsid w:val="005D733D"/>
    <w:rsid w:val="005D7607"/>
    <w:rsid w:val="005D7D41"/>
    <w:rsid w:val="005E01ED"/>
    <w:rsid w:val="005E0294"/>
    <w:rsid w:val="005E033C"/>
    <w:rsid w:val="005E03AA"/>
    <w:rsid w:val="005E049C"/>
    <w:rsid w:val="005E091A"/>
    <w:rsid w:val="005E16C7"/>
    <w:rsid w:val="005E1E52"/>
    <w:rsid w:val="005E22F6"/>
    <w:rsid w:val="005E2345"/>
    <w:rsid w:val="005E2B0A"/>
    <w:rsid w:val="005E2C0D"/>
    <w:rsid w:val="005E2ECB"/>
    <w:rsid w:val="005E32A7"/>
    <w:rsid w:val="005E3756"/>
    <w:rsid w:val="005E3DA1"/>
    <w:rsid w:val="005E44E3"/>
    <w:rsid w:val="005E48E4"/>
    <w:rsid w:val="005E4B00"/>
    <w:rsid w:val="005E4DB0"/>
    <w:rsid w:val="005E5824"/>
    <w:rsid w:val="005E600B"/>
    <w:rsid w:val="005E6277"/>
    <w:rsid w:val="005E644D"/>
    <w:rsid w:val="005E6525"/>
    <w:rsid w:val="005E656A"/>
    <w:rsid w:val="005E6931"/>
    <w:rsid w:val="005E6F8A"/>
    <w:rsid w:val="005E7040"/>
    <w:rsid w:val="005E7E4B"/>
    <w:rsid w:val="005F07F1"/>
    <w:rsid w:val="005F0CE2"/>
    <w:rsid w:val="005F16CF"/>
    <w:rsid w:val="005F1BFF"/>
    <w:rsid w:val="005F1D37"/>
    <w:rsid w:val="005F25B4"/>
    <w:rsid w:val="005F2922"/>
    <w:rsid w:val="005F2E59"/>
    <w:rsid w:val="005F3017"/>
    <w:rsid w:val="005F36CB"/>
    <w:rsid w:val="005F392C"/>
    <w:rsid w:val="005F39D0"/>
    <w:rsid w:val="005F3EC2"/>
    <w:rsid w:val="005F418D"/>
    <w:rsid w:val="005F4347"/>
    <w:rsid w:val="005F4852"/>
    <w:rsid w:val="005F4A3A"/>
    <w:rsid w:val="005F4ECE"/>
    <w:rsid w:val="005F4FE1"/>
    <w:rsid w:val="005F564C"/>
    <w:rsid w:val="005F6653"/>
    <w:rsid w:val="005F683E"/>
    <w:rsid w:val="005F703F"/>
    <w:rsid w:val="005F717F"/>
    <w:rsid w:val="005F7598"/>
    <w:rsid w:val="005F75B1"/>
    <w:rsid w:val="005F7608"/>
    <w:rsid w:val="005F7966"/>
    <w:rsid w:val="006002D5"/>
    <w:rsid w:val="00600A6A"/>
    <w:rsid w:val="00600BA6"/>
    <w:rsid w:val="006015D8"/>
    <w:rsid w:val="0060193D"/>
    <w:rsid w:val="00601B74"/>
    <w:rsid w:val="00602222"/>
    <w:rsid w:val="0060241C"/>
    <w:rsid w:val="00602BA7"/>
    <w:rsid w:val="00602DE0"/>
    <w:rsid w:val="00603177"/>
    <w:rsid w:val="00604FCD"/>
    <w:rsid w:val="00605206"/>
    <w:rsid w:val="00606B46"/>
    <w:rsid w:val="0060772D"/>
    <w:rsid w:val="006078DD"/>
    <w:rsid w:val="006101DE"/>
    <w:rsid w:val="00610FCF"/>
    <w:rsid w:val="006116FF"/>
    <w:rsid w:val="00611966"/>
    <w:rsid w:val="0061235A"/>
    <w:rsid w:val="0061235C"/>
    <w:rsid w:val="006127A5"/>
    <w:rsid w:val="0061456E"/>
    <w:rsid w:val="006153FE"/>
    <w:rsid w:val="00615AD8"/>
    <w:rsid w:val="00615FB6"/>
    <w:rsid w:val="00616B08"/>
    <w:rsid w:val="00616DC0"/>
    <w:rsid w:val="00616F1A"/>
    <w:rsid w:val="00617049"/>
    <w:rsid w:val="0061716A"/>
    <w:rsid w:val="00617732"/>
    <w:rsid w:val="00617FD2"/>
    <w:rsid w:val="00620455"/>
    <w:rsid w:val="0062051B"/>
    <w:rsid w:val="00620737"/>
    <w:rsid w:val="006215C3"/>
    <w:rsid w:val="00622124"/>
    <w:rsid w:val="006228D8"/>
    <w:rsid w:val="00622F0D"/>
    <w:rsid w:val="00623C50"/>
    <w:rsid w:val="00624283"/>
    <w:rsid w:val="006246F4"/>
    <w:rsid w:val="006246FD"/>
    <w:rsid w:val="00624C69"/>
    <w:rsid w:val="006251A4"/>
    <w:rsid w:val="00626048"/>
    <w:rsid w:val="00626930"/>
    <w:rsid w:val="00626CC6"/>
    <w:rsid w:val="00627AA4"/>
    <w:rsid w:val="00627E30"/>
    <w:rsid w:val="00630079"/>
    <w:rsid w:val="006303A2"/>
    <w:rsid w:val="00630485"/>
    <w:rsid w:val="00630B1F"/>
    <w:rsid w:val="00631353"/>
    <w:rsid w:val="0063140A"/>
    <w:rsid w:val="00631F43"/>
    <w:rsid w:val="0063245F"/>
    <w:rsid w:val="00632ADC"/>
    <w:rsid w:val="00632AF2"/>
    <w:rsid w:val="00632BD2"/>
    <w:rsid w:val="00632C44"/>
    <w:rsid w:val="00632DC3"/>
    <w:rsid w:val="00633166"/>
    <w:rsid w:val="00633436"/>
    <w:rsid w:val="006339F9"/>
    <w:rsid w:val="00633C15"/>
    <w:rsid w:val="006340EC"/>
    <w:rsid w:val="00635241"/>
    <w:rsid w:val="006354DE"/>
    <w:rsid w:val="0063552B"/>
    <w:rsid w:val="0063589D"/>
    <w:rsid w:val="00636270"/>
    <w:rsid w:val="00636809"/>
    <w:rsid w:val="00636977"/>
    <w:rsid w:val="006376DB"/>
    <w:rsid w:val="00637B55"/>
    <w:rsid w:val="006402B3"/>
    <w:rsid w:val="006405B2"/>
    <w:rsid w:val="006405F4"/>
    <w:rsid w:val="006408EF"/>
    <w:rsid w:val="00640C0C"/>
    <w:rsid w:val="00640E19"/>
    <w:rsid w:val="00640EF9"/>
    <w:rsid w:val="00640FE9"/>
    <w:rsid w:val="00641FD4"/>
    <w:rsid w:val="0064236F"/>
    <w:rsid w:val="00642BFF"/>
    <w:rsid w:val="00642C5C"/>
    <w:rsid w:val="00643AEA"/>
    <w:rsid w:val="00643C0E"/>
    <w:rsid w:val="00643C29"/>
    <w:rsid w:val="00644185"/>
    <w:rsid w:val="006441D4"/>
    <w:rsid w:val="006442F1"/>
    <w:rsid w:val="006454CB"/>
    <w:rsid w:val="00645CB6"/>
    <w:rsid w:val="00646F66"/>
    <w:rsid w:val="006475FC"/>
    <w:rsid w:val="00647A3D"/>
    <w:rsid w:val="00647B37"/>
    <w:rsid w:val="00647B4D"/>
    <w:rsid w:val="00647F11"/>
    <w:rsid w:val="00650129"/>
    <w:rsid w:val="00651A21"/>
    <w:rsid w:val="00651D65"/>
    <w:rsid w:val="006520EA"/>
    <w:rsid w:val="00652195"/>
    <w:rsid w:val="00652A02"/>
    <w:rsid w:val="006537CF"/>
    <w:rsid w:val="00654F08"/>
    <w:rsid w:val="00655023"/>
    <w:rsid w:val="006551C6"/>
    <w:rsid w:val="006552A3"/>
    <w:rsid w:val="00655556"/>
    <w:rsid w:val="006555B3"/>
    <w:rsid w:val="00655824"/>
    <w:rsid w:val="00655886"/>
    <w:rsid w:val="00655B11"/>
    <w:rsid w:val="00655F38"/>
    <w:rsid w:val="006564C0"/>
    <w:rsid w:val="006568B7"/>
    <w:rsid w:val="0065692F"/>
    <w:rsid w:val="00656D39"/>
    <w:rsid w:val="00656E56"/>
    <w:rsid w:val="00657704"/>
    <w:rsid w:val="00657746"/>
    <w:rsid w:val="00657E8E"/>
    <w:rsid w:val="00657F8F"/>
    <w:rsid w:val="00660370"/>
    <w:rsid w:val="00660D28"/>
    <w:rsid w:val="00661309"/>
    <w:rsid w:val="00661B5F"/>
    <w:rsid w:val="00661BEA"/>
    <w:rsid w:val="00661F24"/>
    <w:rsid w:val="006629D2"/>
    <w:rsid w:val="00662BC9"/>
    <w:rsid w:val="00663738"/>
    <w:rsid w:val="00663940"/>
    <w:rsid w:val="00664A27"/>
    <w:rsid w:val="00665032"/>
    <w:rsid w:val="006655B5"/>
    <w:rsid w:val="0066562A"/>
    <w:rsid w:val="00665B4B"/>
    <w:rsid w:val="00665EA5"/>
    <w:rsid w:val="00666109"/>
    <w:rsid w:val="006664E9"/>
    <w:rsid w:val="00666774"/>
    <w:rsid w:val="00666C75"/>
    <w:rsid w:val="0066735C"/>
    <w:rsid w:val="006675CA"/>
    <w:rsid w:val="00667624"/>
    <w:rsid w:val="00667883"/>
    <w:rsid w:val="00667915"/>
    <w:rsid w:val="0067104D"/>
    <w:rsid w:val="00671756"/>
    <w:rsid w:val="00671E1A"/>
    <w:rsid w:val="00671F10"/>
    <w:rsid w:val="00671F36"/>
    <w:rsid w:val="00673A1C"/>
    <w:rsid w:val="00673A60"/>
    <w:rsid w:val="00673C2F"/>
    <w:rsid w:val="00674712"/>
    <w:rsid w:val="00674AE5"/>
    <w:rsid w:val="00674C1E"/>
    <w:rsid w:val="00675033"/>
    <w:rsid w:val="00675108"/>
    <w:rsid w:val="006752F7"/>
    <w:rsid w:val="006755D7"/>
    <w:rsid w:val="00675AC8"/>
    <w:rsid w:val="00676687"/>
    <w:rsid w:val="00676C4D"/>
    <w:rsid w:val="00677048"/>
    <w:rsid w:val="006770B7"/>
    <w:rsid w:val="00677319"/>
    <w:rsid w:val="00677D09"/>
    <w:rsid w:val="00680706"/>
    <w:rsid w:val="0068081A"/>
    <w:rsid w:val="00680830"/>
    <w:rsid w:val="00681450"/>
    <w:rsid w:val="006816EC"/>
    <w:rsid w:val="00681E39"/>
    <w:rsid w:val="00682262"/>
    <w:rsid w:val="00682918"/>
    <w:rsid w:val="00682AAD"/>
    <w:rsid w:val="00682B0C"/>
    <w:rsid w:val="00683A27"/>
    <w:rsid w:val="00683DEA"/>
    <w:rsid w:val="006849BA"/>
    <w:rsid w:val="00684C4B"/>
    <w:rsid w:val="00684D06"/>
    <w:rsid w:val="00684DF8"/>
    <w:rsid w:val="006858D7"/>
    <w:rsid w:val="00685A0E"/>
    <w:rsid w:val="00685BC0"/>
    <w:rsid w:val="00685FF2"/>
    <w:rsid w:val="0068610C"/>
    <w:rsid w:val="00686164"/>
    <w:rsid w:val="006862A7"/>
    <w:rsid w:val="0068649E"/>
    <w:rsid w:val="00686AB4"/>
    <w:rsid w:val="00686B63"/>
    <w:rsid w:val="00686C6E"/>
    <w:rsid w:val="00687BC0"/>
    <w:rsid w:val="00687FBD"/>
    <w:rsid w:val="00690091"/>
    <w:rsid w:val="00690210"/>
    <w:rsid w:val="006902F3"/>
    <w:rsid w:val="006904A3"/>
    <w:rsid w:val="00690701"/>
    <w:rsid w:val="00690BD2"/>
    <w:rsid w:val="00690F83"/>
    <w:rsid w:val="00690FDF"/>
    <w:rsid w:val="0069187B"/>
    <w:rsid w:val="006918D9"/>
    <w:rsid w:val="006919FA"/>
    <w:rsid w:val="00691D17"/>
    <w:rsid w:val="006928ED"/>
    <w:rsid w:val="00692EB0"/>
    <w:rsid w:val="00692EC4"/>
    <w:rsid w:val="0069320E"/>
    <w:rsid w:val="00694158"/>
    <w:rsid w:val="00694202"/>
    <w:rsid w:val="00694310"/>
    <w:rsid w:val="00694421"/>
    <w:rsid w:val="006959E5"/>
    <w:rsid w:val="00696091"/>
    <w:rsid w:val="006960D4"/>
    <w:rsid w:val="00696307"/>
    <w:rsid w:val="0069667E"/>
    <w:rsid w:val="006972A1"/>
    <w:rsid w:val="006A02F7"/>
    <w:rsid w:val="006A08F1"/>
    <w:rsid w:val="006A0D52"/>
    <w:rsid w:val="006A11CD"/>
    <w:rsid w:val="006A1C43"/>
    <w:rsid w:val="006A2030"/>
    <w:rsid w:val="006A22C9"/>
    <w:rsid w:val="006A2407"/>
    <w:rsid w:val="006A2D7B"/>
    <w:rsid w:val="006A2D9A"/>
    <w:rsid w:val="006A2DF4"/>
    <w:rsid w:val="006A2E37"/>
    <w:rsid w:val="006A30D3"/>
    <w:rsid w:val="006A3326"/>
    <w:rsid w:val="006A3434"/>
    <w:rsid w:val="006A38E5"/>
    <w:rsid w:val="006A4223"/>
    <w:rsid w:val="006A43E5"/>
    <w:rsid w:val="006A5198"/>
    <w:rsid w:val="006A546C"/>
    <w:rsid w:val="006A5B46"/>
    <w:rsid w:val="006A6D99"/>
    <w:rsid w:val="006A6E62"/>
    <w:rsid w:val="006A7281"/>
    <w:rsid w:val="006A75C1"/>
    <w:rsid w:val="006A7947"/>
    <w:rsid w:val="006A7962"/>
    <w:rsid w:val="006A7A39"/>
    <w:rsid w:val="006A7A82"/>
    <w:rsid w:val="006A7F82"/>
    <w:rsid w:val="006B0151"/>
    <w:rsid w:val="006B03F2"/>
    <w:rsid w:val="006B044D"/>
    <w:rsid w:val="006B060A"/>
    <w:rsid w:val="006B0BFE"/>
    <w:rsid w:val="006B1320"/>
    <w:rsid w:val="006B1BB4"/>
    <w:rsid w:val="006B1C10"/>
    <w:rsid w:val="006B1FB8"/>
    <w:rsid w:val="006B26F8"/>
    <w:rsid w:val="006B29F1"/>
    <w:rsid w:val="006B2B29"/>
    <w:rsid w:val="006B2B5D"/>
    <w:rsid w:val="006B2FF2"/>
    <w:rsid w:val="006B322C"/>
    <w:rsid w:val="006B35CF"/>
    <w:rsid w:val="006B35D3"/>
    <w:rsid w:val="006B3C10"/>
    <w:rsid w:val="006B4341"/>
    <w:rsid w:val="006B529C"/>
    <w:rsid w:val="006B5A61"/>
    <w:rsid w:val="006B6808"/>
    <w:rsid w:val="006B711D"/>
    <w:rsid w:val="006B7483"/>
    <w:rsid w:val="006B7C22"/>
    <w:rsid w:val="006B7D08"/>
    <w:rsid w:val="006B7E45"/>
    <w:rsid w:val="006C0971"/>
    <w:rsid w:val="006C0A3B"/>
    <w:rsid w:val="006C0E01"/>
    <w:rsid w:val="006C0E1A"/>
    <w:rsid w:val="006C1411"/>
    <w:rsid w:val="006C1807"/>
    <w:rsid w:val="006C1B26"/>
    <w:rsid w:val="006C1B83"/>
    <w:rsid w:val="006C26F1"/>
    <w:rsid w:val="006C3659"/>
    <w:rsid w:val="006C4115"/>
    <w:rsid w:val="006C5DAB"/>
    <w:rsid w:val="006C6116"/>
    <w:rsid w:val="006C628F"/>
    <w:rsid w:val="006C6C8E"/>
    <w:rsid w:val="006C6FBD"/>
    <w:rsid w:val="006D0A3E"/>
    <w:rsid w:val="006D1854"/>
    <w:rsid w:val="006D221E"/>
    <w:rsid w:val="006D2464"/>
    <w:rsid w:val="006D2DFE"/>
    <w:rsid w:val="006D2ECD"/>
    <w:rsid w:val="006D31F5"/>
    <w:rsid w:val="006D339F"/>
    <w:rsid w:val="006D377A"/>
    <w:rsid w:val="006D3E92"/>
    <w:rsid w:val="006D3F73"/>
    <w:rsid w:val="006D4356"/>
    <w:rsid w:val="006D44BE"/>
    <w:rsid w:val="006D460A"/>
    <w:rsid w:val="006D474C"/>
    <w:rsid w:val="006D4DFA"/>
    <w:rsid w:val="006D51C6"/>
    <w:rsid w:val="006D53C7"/>
    <w:rsid w:val="006D601A"/>
    <w:rsid w:val="006D6C3D"/>
    <w:rsid w:val="006D71D6"/>
    <w:rsid w:val="006D7A2D"/>
    <w:rsid w:val="006D7EEF"/>
    <w:rsid w:val="006E0416"/>
    <w:rsid w:val="006E0506"/>
    <w:rsid w:val="006E0A23"/>
    <w:rsid w:val="006E0C6E"/>
    <w:rsid w:val="006E0D98"/>
    <w:rsid w:val="006E1432"/>
    <w:rsid w:val="006E2546"/>
    <w:rsid w:val="006E27C4"/>
    <w:rsid w:val="006E3841"/>
    <w:rsid w:val="006E41E4"/>
    <w:rsid w:val="006E59A5"/>
    <w:rsid w:val="006E5A3A"/>
    <w:rsid w:val="006E5A48"/>
    <w:rsid w:val="006E64DC"/>
    <w:rsid w:val="006E68AE"/>
    <w:rsid w:val="006E6CBB"/>
    <w:rsid w:val="006E756D"/>
    <w:rsid w:val="006E78A4"/>
    <w:rsid w:val="006E7E40"/>
    <w:rsid w:val="006F0224"/>
    <w:rsid w:val="006F06EC"/>
    <w:rsid w:val="006F0A72"/>
    <w:rsid w:val="006F137B"/>
    <w:rsid w:val="006F1597"/>
    <w:rsid w:val="006F1961"/>
    <w:rsid w:val="006F19E9"/>
    <w:rsid w:val="006F1C0C"/>
    <w:rsid w:val="006F1E79"/>
    <w:rsid w:val="006F2284"/>
    <w:rsid w:val="006F2881"/>
    <w:rsid w:val="006F2B2E"/>
    <w:rsid w:val="006F3735"/>
    <w:rsid w:val="006F3A47"/>
    <w:rsid w:val="006F3B4E"/>
    <w:rsid w:val="006F43CC"/>
    <w:rsid w:val="006F59CC"/>
    <w:rsid w:val="006F5C60"/>
    <w:rsid w:val="006F6D2C"/>
    <w:rsid w:val="006F7230"/>
    <w:rsid w:val="006F7A31"/>
    <w:rsid w:val="006F7BB7"/>
    <w:rsid w:val="006F7CCC"/>
    <w:rsid w:val="006F7EFD"/>
    <w:rsid w:val="00700522"/>
    <w:rsid w:val="00700BB7"/>
    <w:rsid w:val="00700BF1"/>
    <w:rsid w:val="007017B7"/>
    <w:rsid w:val="00701B32"/>
    <w:rsid w:val="00701EBA"/>
    <w:rsid w:val="007024C3"/>
    <w:rsid w:val="00702E15"/>
    <w:rsid w:val="00702EDF"/>
    <w:rsid w:val="007032CA"/>
    <w:rsid w:val="00703376"/>
    <w:rsid w:val="007034CC"/>
    <w:rsid w:val="00703549"/>
    <w:rsid w:val="00703608"/>
    <w:rsid w:val="00703873"/>
    <w:rsid w:val="007043E9"/>
    <w:rsid w:val="00704DAA"/>
    <w:rsid w:val="007056B4"/>
    <w:rsid w:val="00705DF4"/>
    <w:rsid w:val="0070631D"/>
    <w:rsid w:val="00706378"/>
    <w:rsid w:val="00706D9F"/>
    <w:rsid w:val="007071DA"/>
    <w:rsid w:val="00707F6C"/>
    <w:rsid w:val="00707F8F"/>
    <w:rsid w:val="007113A8"/>
    <w:rsid w:val="00711992"/>
    <w:rsid w:val="00711B0E"/>
    <w:rsid w:val="00711C6D"/>
    <w:rsid w:val="00711F3A"/>
    <w:rsid w:val="007124B2"/>
    <w:rsid w:val="00712E42"/>
    <w:rsid w:val="00713057"/>
    <w:rsid w:val="007133CF"/>
    <w:rsid w:val="00713C88"/>
    <w:rsid w:val="00713E5F"/>
    <w:rsid w:val="00715100"/>
    <w:rsid w:val="00715109"/>
    <w:rsid w:val="00715614"/>
    <w:rsid w:val="00715A52"/>
    <w:rsid w:val="00715B18"/>
    <w:rsid w:val="0071694E"/>
    <w:rsid w:val="00716A0E"/>
    <w:rsid w:val="00716C04"/>
    <w:rsid w:val="00716EB8"/>
    <w:rsid w:val="00717260"/>
    <w:rsid w:val="00717619"/>
    <w:rsid w:val="00717A37"/>
    <w:rsid w:val="00717C23"/>
    <w:rsid w:val="00717D88"/>
    <w:rsid w:val="00717F10"/>
    <w:rsid w:val="007204BD"/>
    <w:rsid w:val="0072059E"/>
    <w:rsid w:val="00720C51"/>
    <w:rsid w:val="007215E1"/>
    <w:rsid w:val="00721660"/>
    <w:rsid w:val="00723C24"/>
    <w:rsid w:val="00723EEC"/>
    <w:rsid w:val="007242F0"/>
    <w:rsid w:val="007242F2"/>
    <w:rsid w:val="00724B80"/>
    <w:rsid w:val="007250B8"/>
    <w:rsid w:val="00725826"/>
    <w:rsid w:val="00725F27"/>
    <w:rsid w:val="00726242"/>
    <w:rsid w:val="00727B14"/>
    <w:rsid w:val="00727C11"/>
    <w:rsid w:val="00730246"/>
    <w:rsid w:val="00730D2E"/>
    <w:rsid w:val="00730E6C"/>
    <w:rsid w:val="00731705"/>
    <w:rsid w:val="00731877"/>
    <w:rsid w:val="00732E65"/>
    <w:rsid w:val="007331F7"/>
    <w:rsid w:val="0073338B"/>
    <w:rsid w:val="0073401F"/>
    <w:rsid w:val="007341EF"/>
    <w:rsid w:val="007346F4"/>
    <w:rsid w:val="007354CC"/>
    <w:rsid w:val="0073572A"/>
    <w:rsid w:val="00735E7D"/>
    <w:rsid w:val="0073643D"/>
    <w:rsid w:val="007365BE"/>
    <w:rsid w:val="00736967"/>
    <w:rsid w:val="00736ADA"/>
    <w:rsid w:val="00736ECA"/>
    <w:rsid w:val="0073730E"/>
    <w:rsid w:val="00737574"/>
    <w:rsid w:val="00737839"/>
    <w:rsid w:val="00737E0B"/>
    <w:rsid w:val="00740113"/>
    <w:rsid w:val="00740542"/>
    <w:rsid w:val="00740829"/>
    <w:rsid w:val="0074083B"/>
    <w:rsid w:val="0074098E"/>
    <w:rsid w:val="007419B9"/>
    <w:rsid w:val="00741D2E"/>
    <w:rsid w:val="00741F22"/>
    <w:rsid w:val="0074257C"/>
    <w:rsid w:val="00742A43"/>
    <w:rsid w:val="007430C7"/>
    <w:rsid w:val="00743748"/>
    <w:rsid w:val="00743A24"/>
    <w:rsid w:val="00743E63"/>
    <w:rsid w:val="00743F0F"/>
    <w:rsid w:val="007440EB"/>
    <w:rsid w:val="0074508B"/>
    <w:rsid w:val="00745892"/>
    <w:rsid w:val="00745B44"/>
    <w:rsid w:val="00745BFD"/>
    <w:rsid w:val="00745E6F"/>
    <w:rsid w:val="007462C8"/>
    <w:rsid w:val="00746D89"/>
    <w:rsid w:val="00746F22"/>
    <w:rsid w:val="00750208"/>
    <w:rsid w:val="00750AEB"/>
    <w:rsid w:val="00750E5E"/>
    <w:rsid w:val="007517DB"/>
    <w:rsid w:val="00751FEB"/>
    <w:rsid w:val="0075223E"/>
    <w:rsid w:val="007527CC"/>
    <w:rsid w:val="00752D85"/>
    <w:rsid w:val="0075303A"/>
    <w:rsid w:val="00753158"/>
    <w:rsid w:val="00753654"/>
    <w:rsid w:val="00753FA7"/>
    <w:rsid w:val="0075425E"/>
    <w:rsid w:val="007543D0"/>
    <w:rsid w:val="00754601"/>
    <w:rsid w:val="0075478F"/>
    <w:rsid w:val="00754A5E"/>
    <w:rsid w:val="00754CAC"/>
    <w:rsid w:val="00754FF5"/>
    <w:rsid w:val="00755246"/>
    <w:rsid w:val="007553D5"/>
    <w:rsid w:val="0075563B"/>
    <w:rsid w:val="007556C8"/>
    <w:rsid w:val="00755937"/>
    <w:rsid w:val="007559B4"/>
    <w:rsid w:val="00755FE3"/>
    <w:rsid w:val="007567E5"/>
    <w:rsid w:val="00756C1E"/>
    <w:rsid w:val="0075716D"/>
    <w:rsid w:val="00757458"/>
    <w:rsid w:val="00757494"/>
    <w:rsid w:val="00757B67"/>
    <w:rsid w:val="00757E60"/>
    <w:rsid w:val="007601CE"/>
    <w:rsid w:val="00760351"/>
    <w:rsid w:val="00760586"/>
    <w:rsid w:val="00760730"/>
    <w:rsid w:val="00760F0B"/>
    <w:rsid w:val="00760FAB"/>
    <w:rsid w:val="00761DD8"/>
    <w:rsid w:val="007623C4"/>
    <w:rsid w:val="007624C1"/>
    <w:rsid w:val="0076292D"/>
    <w:rsid w:val="00762FDF"/>
    <w:rsid w:val="00763681"/>
    <w:rsid w:val="00763684"/>
    <w:rsid w:val="007636C3"/>
    <w:rsid w:val="00763CE6"/>
    <w:rsid w:val="007642AD"/>
    <w:rsid w:val="00764A43"/>
    <w:rsid w:val="00764F1A"/>
    <w:rsid w:val="00764FF4"/>
    <w:rsid w:val="00765396"/>
    <w:rsid w:val="00765DC3"/>
    <w:rsid w:val="00766197"/>
    <w:rsid w:val="007664E7"/>
    <w:rsid w:val="00767328"/>
    <w:rsid w:val="0076798D"/>
    <w:rsid w:val="00767CA3"/>
    <w:rsid w:val="0077045B"/>
    <w:rsid w:val="00770B76"/>
    <w:rsid w:val="00771020"/>
    <w:rsid w:val="00771822"/>
    <w:rsid w:val="00772C08"/>
    <w:rsid w:val="00772EEC"/>
    <w:rsid w:val="00773443"/>
    <w:rsid w:val="00773871"/>
    <w:rsid w:val="00773F19"/>
    <w:rsid w:val="00773F92"/>
    <w:rsid w:val="0077409D"/>
    <w:rsid w:val="0077479F"/>
    <w:rsid w:val="007748E3"/>
    <w:rsid w:val="0077551B"/>
    <w:rsid w:val="00775741"/>
    <w:rsid w:val="00775DE7"/>
    <w:rsid w:val="00776120"/>
    <w:rsid w:val="007765A3"/>
    <w:rsid w:val="00776A33"/>
    <w:rsid w:val="00776AA8"/>
    <w:rsid w:val="00780288"/>
    <w:rsid w:val="00780E86"/>
    <w:rsid w:val="007815E7"/>
    <w:rsid w:val="00781C15"/>
    <w:rsid w:val="00781DBE"/>
    <w:rsid w:val="00782599"/>
    <w:rsid w:val="007832A6"/>
    <w:rsid w:val="00783DF8"/>
    <w:rsid w:val="007846C7"/>
    <w:rsid w:val="00784EBB"/>
    <w:rsid w:val="007852E5"/>
    <w:rsid w:val="007856F3"/>
    <w:rsid w:val="00786610"/>
    <w:rsid w:val="007866EC"/>
    <w:rsid w:val="00786CF5"/>
    <w:rsid w:val="00786F4C"/>
    <w:rsid w:val="00787817"/>
    <w:rsid w:val="00787908"/>
    <w:rsid w:val="007906F8"/>
    <w:rsid w:val="00790C8D"/>
    <w:rsid w:val="00790DA1"/>
    <w:rsid w:val="00791986"/>
    <w:rsid w:val="00791A52"/>
    <w:rsid w:val="00792294"/>
    <w:rsid w:val="007934AE"/>
    <w:rsid w:val="00793D0D"/>
    <w:rsid w:val="007940DA"/>
    <w:rsid w:val="007942D3"/>
    <w:rsid w:val="00795494"/>
    <w:rsid w:val="00795751"/>
    <w:rsid w:val="007968FC"/>
    <w:rsid w:val="00796CA8"/>
    <w:rsid w:val="007972A8"/>
    <w:rsid w:val="0079732B"/>
    <w:rsid w:val="0079758D"/>
    <w:rsid w:val="007976AA"/>
    <w:rsid w:val="0079788E"/>
    <w:rsid w:val="007A056C"/>
    <w:rsid w:val="007A0AB3"/>
    <w:rsid w:val="007A0B11"/>
    <w:rsid w:val="007A15C9"/>
    <w:rsid w:val="007A220B"/>
    <w:rsid w:val="007A2347"/>
    <w:rsid w:val="007A2A55"/>
    <w:rsid w:val="007A3152"/>
    <w:rsid w:val="007A32CB"/>
    <w:rsid w:val="007A3768"/>
    <w:rsid w:val="007A38FA"/>
    <w:rsid w:val="007A3EA7"/>
    <w:rsid w:val="007A462F"/>
    <w:rsid w:val="007A4FCE"/>
    <w:rsid w:val="007A4FF7"/>
    <w:rsid w:val="007A53A0"/>
    <w:rsid w:val="007A5618"/>
    <w:rsid w:val="007A5AC9"/>
    <w:rsid w:val="007A6269"/>
    <w:rsid w:val="007A648C"/>
    <w:rsid w:val="007A6A21"/>
    <w:rsid w:val="007A6B73"/>
    <w:rsid w:val="007A6BFC"/>
    <w:rsid w:val="007A71FA"/>
    <w:rsid w:val="007A720D"/>
    <w:rsid w:val="007A727C"/>
    <w:rsid w:val="007B01B8"/>
    <w:rsid w:val="007B0955"/>
    <w:rsid w:val="007B0A76"/>
    <w:rsid w:val="007B0B39"/>
    <w:rsid w:val="007B0C46"/>
    <w:rsid w:val="007B0E21"/>
    <w:rsid w:val="007B190F"/>
    <w:rsid w:val="007B1D4D"/>
    <w:rsid w:val="007B1D86"/>
    <w:rsid w:val="007B2622"/>
    <w:rsid w:val="007B29AD"/>
    <w:rsid w:val="007B29B8"/>
    <w:rsid w:val="007B3A9E"/>
    <w:rsid w:val="007B3CF9"/>
    <w:rsid w:val="007B3DF8"/>
    <w:rsid w:val="007B4568"/>
    <w:rsid w:val="007B4FEC"/>
    <w:rsid w:val="007B5C98"/>
    <w:rsid w:val="007B6267"/>
    <w:rsid w:val="007B673B"/>
    <w:rsid w:val="007B6C09"/>
    <w:rsid w:val="007B6C6A"/>
    <w:rsid w:val="007B6DF6"/>
    <w:rsid w:val="007B7AC6"/>
    <w:rsid w:val="007B7DC6"/>
    <w:rsid w:val="007C11FC"/>
    <w:rsid w:val="007C144B"/>
    <w:rsid w:val="007C1B9C"/>
    <w:rsid w:val="007C25C0"/>
    <w:rsid w:val="007C2931"/>
    <w:rsid w:val="007C2D2A"/>
    <w:rsid w:val="007C310F"/>
    <w:rsid w:val="007C4557"/>
    <w:rsid w:val="007C497B"/>
    <w:rsid w:val="007C4C81"/>
    <w:rsid w:val="007C6325"/>
    <w:rsid w:val="007C6A66"/>
    <w:rsid w:val="007C6F0F"/>
    <w:rsid w:val="007C70AD"/>
    <w:rsid w:val="007C7505"/>
    <w:rsid w:val="007C7913"/>
    <w:rsid w:val="007D06C8"/>
    <w:rsid w:val="007D0C0A"/>
    <w:rsid w:val="007D14F4"/>
    <w:rsid w:val="007D150C"/>
    <w:rsid w:val="007D1623"/>
    <w:rsid w:val="007D1D6E"/>
    <w:rsid w:val="007D1EE6"/>
    <w:rsid w:val="007D1F03"/>
    <w:rsid w:val="007D26C3"/>
    <w:rsid w:val="007D29E3"/>
    <w:rsid w:val="007D2EC3"/>
    <w:rsid w:val="007D308F"/>
    <w:rsid w:val="007D3442"/>
    <w:rsid w:val="007D3DCA"/>
    <w:rsid w:val="007D43B2"/>
    <w:rsid w:val="007D4BC7"/>
    <w:rsid w:val="007D4D35"/>
    <w:rsid w:val="007D4F2C"/>
    <w:rsid w:val="007D5C74"/>
    <w:rsid w:val="007D5EBE"/>
    <w:rsid w:val="007D66E1"/>
    <w:rsid w:val="007D67EE"/>
    <w:rsid w:val="007D73F9"/>
    <w:rsid w:val="007D7460"/>
    <w:rsid w:val="007D74DE"/>
    <w:rsid w:val="007D77F4"/>
    <w:rsid w:val="007D7B0A"/>
    <w:rsid w:val="007E05F1"/>
    <w:rsid w:val="007E0956"/>
    <w:rsid w:val="007E09DA"/>
    <w:rsid w:val="007E0B76"/>
    <w:rsid w:val="007E15FF"/>
    <w:rsid w:val="007E177A"/>
    <w:rsid w:val="007E1D52"/>
    <w:rsid w:val="007E1E8E"/>
    <w:rsid w:val="007E2C42"/>
    <w:rsid w:val="007E3897"/>
    <w:rsid w:val="007E38B0"/>
    <w:rsid w:val="007E38DC"/>
    <w:rsid w:val="007E3942"/>
    <w:rsid w:val="007E3B3B"/>
    <w:rsid w:val="007E3CF6"/>
    <w:rsid w:val="007E4C2F"/>
    <w:rsid w:val="007E51C0"/>
    <w:rsid w:val="007E5AB9"/>
    <w:rsid w:val="007E5BA3"/>
    <w:rsid w:val="007E5EB3"/>
    <w:rsid w:val="007E6177"/>
    <w:rsid w:val="007E61C8"/>
    <w:rsid w:val="007E63C3"/>
    <w:rsid w:val="007E673D"/>
    <w:rsid w:val="007E75D4"/>
    <w:rsid w:val="007E7851"/>
    <w:rsid w:val="007E7F1F"/>
    <w:rsid w:val="007F0902"/>
    <w:rsid w:val="007F0ABE"/>
    <w:rsid w:val="007F0B1C"/>
    <w:rsid w:val="007F161C"/>
    <w:rsid w:val="007F1987"/>
    <w:rsid w:val="007F272C"/>
    <w:rsid w:val="007F2BA0"/>
    <w:rsid w:val="007F3827"/>
    <w:rsid w:val="007F38D3"/>
    <w:rsid w:val="007F3E48"/>
    <w:rsid w:val="007F4A47"/>
    <w:rsid w:val="007F55F8"/>
    <w:rsid w:val="007F58DF"/>
    <w:rsid w:val="007F5C00"/>
    <w:rsid w:val="007F65A1"/>
    <w:rsid w:val="007F679D"/>
    <w:rsid w:val="007F6898"/>
    <w:rsid w:val="007F6C14"/>
    <w:rsid w:val="0080164B"/>
    <w:rsid w:val="00801F5F"/>
    <w:rsid w:val="00801FA1"/>
    <w:rsid w:val="008021E5"/>
    <w:rsid w:val="00802ADE"/>
    <w:rsid w:val="00802E6F"/>
    <w:rsid w:val="00802E78"/>
    <w:rsid w:val="008033F2"/>
    <w:rsid w:val="008036E7"/>
    <w:rsid w:val="00803D0F"/>
    <w:rsid w:val="00803EAE"/>
    <w:rsid w:val="008046F5"/>
    <w:rsid w:val="008055D2"/>
    <w:rsid w:val="008058E5"/>
    <w:rsid w:val="008060B5"/>
    <w:rsid w:val="008062C0"/>
    <w:rsid w:val="008063C5"/>
    <w:rsid w:val="0080741B"/>
    <w:rsid w:val="008075B9"/>
    <w:rsid w:val="00807EC8"/>
    <w:rsid w:val="00810D93"/>
    <w:rsid w:val="00811071"/>
    <w:rsid w:val="00811977"/>
    <w:rsid w:val="00811B2E"/>
    <w:rsid w:val="00811BA8"/>
    <w:rsid w:val="00811E8F"/>
    <w:rsid w:val="00812192"/>
    <w:rsid w:val="008122AD"/>
    <w:rsid w:val="00812BD0"/>
    <w:rsid w:val="008136C9"/>
    <w:rsid w:val="00814837"/>
    <w:rsid w:val="00814D9F"/>
    <w:rsid w:val="00815301"/>
    <w:rsid w:val="0081562D"/>
    <w:rsid w:val="008157DD"/>
    <w:rsid w:val="008158D3"/>
    <w:rsid w:val="008161DE"/>
    <w:rsid w:val="00816CD1"/>
    <w:rsid w:val="00816D27"/>
    <w:rsid w:val="0081760C"/>
    <w:rsid w:val="008178B6"/>
    <w:rsid w:val="00817A64"/>
    <w:rsid w:val="0082007F"/>
    <w:rsid w:val="0082012A"/>
    <w:rsid w:val="008209A4"/>
    <w:rsid w:val="00820ADE"/>
    <w:rsid w:val="00820DA6"/>
    <w:rsid w:val="00821281"/>
    <w:rsid w:val="008215D8"/>
    <w:rsid w:val="00821D56"/>
    <w:rsid w:val="00822356"/>
    <w:rsid w:val="008224C7"/>
    <w:rsid w:val="00822598"/>
    <w:rsid w:val="008226B1"/>
    <w:rsid w:val="008228D9"/>
    <w:rsid w:val="00822B13"/>
    <w:rsid w:val="00822B5D"/>
    <w:rsid w:val="00822CB0"/>
    <w:rsid w:val="00822EC7"/>
    <w:rsid w:val="00822ECC"/>
    <w:rsid w:val="00823881"/>
    <w:rsid w:val="00823AB7"/>
    <w:rsid w:val="00823D63"/>
    <w:rsid w:val="00823F13"/>
    <w:rsid w:val="008243D3"/>
    <w:rsid w:val="00824EFE"/>
    <w:rsid w:val="008257EB"/>
    <w:rsid w:val="00825A67"/>
    <w:rsid w:val="0082627A"/>
    <w:rsid w:val="00826490"/>
    <w:rsid w:val="00826B04"/>
    <w:rsid w:val="00826B68"/>
    <w:rsid w:val="00826DEA"/>
    <w:rsid w:val="00826FAE"/>
    <w:rsid w:val="00827978"/>
    <w:rsid w:val="00830393"/>
    <w:rsid w:val="008305B6"/>
    <w:rsid w:val="00830757"/>
    <w:rsid w:val="008308C3"/>
    <w:rsid w:val="00830D02"/>
    <w:rsid w:val="0083104F"/>
    <w:rsid w:val="00831314"/>
    <w:rsid w:val="00831DCA"/>
    <w:rsid w:val="0083262E"/>
    <w:rsid w:val="0083268B"/>
    <w:rsid w:val="008326AC"/>
    <w:rsid w:val="00833485"/>
    <w:rsid w:val="008338BA"/>
    <w:rsid w:val="0083394D"/>
    <w:rsid w:val="00833B44"/>
    <w:rsid w:val="00833C14"/>
    <w:rsid w:val="00833E1A"/>
    <w:rsid w:val="008343B3"/>
    <w:rsid w:val="0083453C"/>
    <w:rsid w:val="00834C47"/>
    <w:rsid w:val="00834DFF"/>
    <w:rsid w:val="00835D7E"/>
    <w:rsid w:val="00835EE4"/>
    <w:rsid w:val="00835F91"/>
    <w:rsid w:val="008362D4"/>
    <w:rsid w:val="008372C4"/>
    <w:rsid w:val="00837407"/>
    <w:rsid w:val="00837A02"/>
    <w:rsid w:val="00840109"/>
    <w:rsid w:val="00840A63"/>
    <w:rsid w:val="00840C99"/>
    <w:rsid w:val="00840CA7"/>
    <w:rsid w:val="00841180"/>
    <w:rsid w:val="00841CB4"/>
    <w:rsid w:val="00842039"/>
    <w:rsid w:val="0084207F"/>
    <w:rsid w:val="008420A5"/>
    <w:rsid w:val="008423BA"/>
    <w:rsid w:val="008431F3"/>
    <w:rsid w:val="008436F7"/>
    <w:rsid w:val="00844120"/>
    <w:rsid w:val="00844868"/>
    <w:rsid w:val="00844A87"/>
    <w:rsid w:val="00844D1E"/>
    <w:rsid w:val="00844E14"/>
    <w:rsid w:val="00845426"/>
    <w:rsid w:val="00845495"/>
    <w:rsid w:val="00845620"/>
    <w:rsid w:val="00845785"/>
    <w:rsid w:val="00846348"/>
    <w:rsid w:val="00846927"/>
    <w:rsid w:val="0084789D"/>
    <w:rsid w:val="008500EB"/>
    <w:rsid w:val="008502E6"/>
    <w:rsid w:val="008503B3"/>
    <w:rsid w:val="008508D0"/>
    <w:rsid w:val="00851528"/>
    <w:rsid w:val="00851BA7"/>
    <w:rsid w:val="008521E8"/>
    <w:rsid w:val="008530B6"/>
    <w:rsid w:val="00853752"/>
    <w:rsid w:val="00853C45"/>
    <w:rsid w:val="0085404F"/>
    <w:rsid w:val="008540CC"/>
    <w:rsid w:val="0085421F"/>
    <w:rsid w:val="008542E6"/>
    <w:rsid w:val="008543BE"/>
    <w:rsid w:val="008543CE"/>
    <w:rsid w:val="00854731"/>
    <w:rsid w:val="008547DE"/>
    <w:rsid w:val="00855140"/>
    <w:rsid w:val="00855B2A"/>
    <w:rsid w:val="008560F2"/>
    <w:rsid w:val="0085638D"/>
    <w:rsid w:val="00856455"/>
    <w:rsid w:val="00856DEE"/>
    <w:rsid w:val="00856F84"/>
    <w:rsid w:val="008579AE"/>
    <w:rsid w:val="00857D1B"/>
    <w:rsid w:val="0086001B"/>
    <w:rsid w:val="008602A5"/>
    <w:rsid w:val="0086042E"/>
    <w:rsid w:val="00860FAF"/>
    <w:rsid w:val="00861011"/>
    <w:rsid w:val="008612C7"/>
    <w:rsid w:val="00861547"/>
    <w:rsid w:val="008618DF"/>
    <w:rsid w:val="00861C3F"/>
    <w:rsid w:val="0086274E"/>
    <w:rsid w:val="00862890"/>
    <w:rsid w:val="00862AA3"/>
    <w:rsid w:val="00862D3F"/>
    <w:rsid w:val="00863549"/>
    <w:rsid w:val="00863C68"/>
    <w:rsid w:val="008643A9"/>
    <w:rsid w:val="008647CA"/>
    <w:rsid w:val="00864F0D"/>
    <w:rsid w:val="00865288"/>
    <w:rsid w:val="00865BA5"/>
    <w:rsid w:val="00865BC7"/>
    <w:rsid w:val="00866036"/>
    <w:rsid w:val="00866656"/>
    <w:rsid w:val="00866E3E"/>
    <w:rsid w:val="00867676"/>
    <w:rsid w:val="00870824"/>
    <w:rsid w:val="008712DB"/>
    <w:rsid w:val="008724EB"/>
    <w:rsid w:val="0087254E"/>
    <w:rsid w:val="008725CF"/>
    <w:rsid w:val="008729D7"/>
    <w:rsid w:val="00872A2F"/>
    <w:rsid w:val="00872FA4"/>
    <w:rsid w:val="00872FD6"/>
    <w:rsid w:val="00873200"/>
    <w:rsid w:val="00873A10"/>
    <w:rsid w:val="00873C8F"/>
    <w:rsid w:val="00873D7C"/>
    <w:rsid w:val="00873DEE"/>
    <w:rsid w:val="008741A7"/>
    <w:rsid w:val="008747F3"/>
    <w:rsid w:val="00874EE5"/>
    <w:rsid w:val="008750C9"/>
    <w:rsid w:val="0087583D"/>
    <w:rsid w:val="008762DB"/>
    <w:rsid w:val="008778B5"/>
    <w:rsid w:val="00877E02"/>
    <w:rsid w:val="00877E07"/>
    <w:rsid w:val="008805E0"/>
    <w:rsid w:val="00880FAB"/>
    <w:rsid w:val="008816BA"/>
    <w:rsid w:val="008816BC"/>
    <w:rsid w:val="00881EBB"/>
    <w:rsid w:val="008833E7"/>
    <w:rsid w:val="00883B30"/>
    <w:rsid w:val="00884478"/>
    <w:rsid w:val="00885064"/>
    <w:rsid w:val="00885ED7"/>
    <w:rsid w:val="008860CD"/>
    <w:rsid w:val="00887002"/>
    <w:rsid w:val="00887ADC"/>
    <w:rsid w:val="00887C11"/>
    <w:rsid w:val="00887E78"/>
    <w:rsid w:val="00890387"/>
    <w:rsid w:val="00890C94"/>
    <w:rsid w:val="00891CD5"/>
    <w:rsid w:val="00892637"/>
    <w:rsid w:val="0089270E"/>
    <w:rsid w:val="008927DC"/>
    <w:rsid w:val="00892984"/>
    <w:rsid w:val="00892B53"/>
    <w:rsid w:val="00892D25"/>
    <w:rsid w:val="00893300"/>
    <w:rsid w:val="008935B0"/>
    <w:rsid w:val="0089364B"/>
    <w:rsid w:val="00893D1C"/>
    <w:rsid w:val="00894202"/>
    <w:rsid w:val="008943E2"/>
    <w:rsid w:val="008952AA"/>
    <w:rsid w:val="00895583"/>
    <w:rsid w:val="0089560C"/>
    <w:rsid w:val="008958BB"/>
    <w:rsid w:val="00895F29"/>
    <w:rsid w:val="00896109"/>
    <w:rsid w:val="0089629B"/>
    <w:rsid w:val="00896A7D"/>
    <w:rsid w:val="00896E75"/>
    <w:rsid w:val="008970F9"/>
    <w:rsid w:val="00897441"/>
    <w:rsid w:val="00897455"/>
    <w:rsid w:val="008A0879"/>
    <w:rsid w:val="008A1CB3"/>
    <w:rsid w:val="008A2177"/>
    <w:rsid w:val="008A2EB6"/>
    <w:rsid w:val="008A2ED7"/>
    <w:rsid w:val="008A30E4"/>
    <w:rsid w:val="008A313A"/>
    <w:rsid w:val="008A324A"/>
    <w:rsid w:val="008A3523"/>
    <w:rsid w:val="008A359E"/>
    <w:rsid w:val="008A4971"/>
    <w:rsid w:val="008A5F01"/>
    <w:rsid w:val="008A60DC"/>
    <w:rsid w:val="008A6BDC"/>
    <w:rsid w:val="008A756B"/>
    <w:rsid w:val="008B14F2"/>
    <w:rsid w:val="008B15C4"/>
    <w:rsid w:val="008B18DE"/>
    <w:rsid w:val="008B1965"/>
    <w:rsid w:val="008B2219"/>
    <w:rsid w:val="008B230D"/>
    <w:rsid w:val="008B25B6"/>
    <w:rsid w:val="008B2C4C"/>
    <w:rsid w:val="008B2E64"/>
    <w:rsid w:val="008B3BA4"/>
    <w:rsid w:val="008B445D"/>
    <w:rsid w:val="008B51FA"/>
    <w:rsid w:val="008B5297"/>
    <w:rsid w:val="008B54A8"/>
    <w:rsid w:val="008B558F"/>
    <w:rsid w:val="008B626A"/>
    <w:rsid w:val="008B6390"/>
    <w:rsid w:val="008B69AF"/>
    <w:rsid w:val="008B6D2E"/>
    <w:rsid w:val="008B6D9D"/>
    <w:rsid w:val="008B6E1D"/>
    <w:rsid w:val="008B6F3A"/>
    <w:rsid w:val="008C063B"/>
    <w:rsid w:val="008C081D"/>
    <w:rsid w:val="008C095A"/>
    <w:rsid w:val="008C165B"/>
    <w:rsid w:val="008C16EB"/>
    <w:rsid w:val="008C199F"/>
    <w:rsid w:val="008C1D78"/>
    <w:rsid w:val="008C21C4"/>
    <w:rsid w:val="008C23A8"/>
    <w:rsid w:val="008C2561"/>
    <w:rsid w:val="008C27DD"/>
    <w:rsid w:val="008C2BFF"/>
    <w:rsid w:val="008C2CB6"/>
    <w:rsid w:val="008C2EB7"/>
    <w:rsid w:val="008C2FA4"/>
    <w:rsid w:val="008C34F6"/>
    <w:rsid w:val="008C447A"/>
    <w:rsid w:val="008C46DC"/>
    <w:rsid w:val="008C4873"/>
    <w:rsid w:val="008C4AA3"/>
    <w:rsid w:val="008C4B71"/>
    <w:rsid w:val="008C4D5A"/>
    <w:rsid w:val="008C5299"/>
    <w:rsid w:val="008C64F0"/>
    <w:rsid w:val="008C6E92"/>
    <w:rsid w:val="008C753B"/>
    <w:rsid w:val="008C79D7"/>
    <w:rsid w:val="008D0584"/>
    <w:rsid w:val="008D07E6"/>
    <w:rsid w:val="008D0C49"/>
    <w:rsid w:val="008D17BF"/>
    <w:rsid w:val="008D1EDB"/>
    <w:rsid w:val="008D2839"/>
    <w:rsid w:val="008D2920"/>
    <w:rsid w:val="008D2BCF"/>
    <w:rsid w:val="008D2C3B"/>
    <w:rsid w:val="008D326C"/>
    <w:rsid w:val="008D3C26"/>
    <w:rsid w:val="008D4A06"/>
    <w:rsid w:val="008D4ECD"/>
    <w:rsid w:val="008D54D7"/>
    <w:rsid w:val="008D58E1"/>
    <w:rsid w:val="008D610F"/>
    <w:rsid w:val="008D6917"/>
    <w:rsid w:val="008D6E93"/>
    <w:rsid w:val="008D7017"/>
    <w:rsid w:val="008E0AE9"/>
    <w:rsid w:val="008E1B5A"/>
    <w:rsid w:val="008E1DB0"/>
    <w:rsid w:val="008E24F1"/>
    <w:rsid w:val="008E27BC"/>
    <w:rsid w:val="008E2FC4"/>
    <w:rsid w:val="008E335F"/>
    <w:rsid w:val="008E34AF"/>
    <w:rsid w:val="008E3C53"/>
    <w:rsid w:val="008E3E1C"/>
    <w:rsid w:val="008E4223"/>
    <w:rsid w:val="008E5603"/>
    <w:rsid w:val="008E5C16"/>
    <w:rsid w:val="008E5DB7"/>
    <w:rsid w:val="008E61F5"/>
    <w:rsid w:val="008E669F"/>
    <w:rsid w:val="008E684A"/>
    <w:rsid w:val="008E7352"/>
    <w:rsid w:val="008E789F"/>
    <w:rsid w:val="008E799F"/>
    <w:rsid w:val="008E7EC2"/>
    <w:rsid w:val="008F069B"/>
    <w:rsid w:val="008F08D4"/>
    <w:rsid w:val="008F0FD4"/>
    <w:rsid w:val="008F123B"/>
    <w:rsid w:val="008F13AD"/>
    <w:rsid w:val="008F14F5"/>
    <w:rsid w:val="008F1599"/>
    <w:rsid w:val="008F1842"/>
    <w:rsid w:val="008F1E76"/>
    <w:rsid w:val="008F1F8F"/>
    <w:rsid w:val="008F2B3F"/>
    <w:rsid w:val="008F336C"/>
    <w:rsid w:val="008F3565"/>
    <w:rsid w:val="008F3B0F"/>
    <w:rsid w:val="008F3DD0"/>
    <w:rsid w:val="008F3E3A"/>
    <w:rsid w:val="008F40DA"/>
    <w:rsid w:val="008F4103"/>
    <w:rsid w:val="008F44E8"/>
    <w:rsid w:val="008F4561"/>
    <w:rsid w:val="008F461F"/>
    <w:rsid w:val="008F4CF1"/>
    <w:rsid w:val="008F506B"/>
    <w:rsid w:val="008F5193"/>
    <w:rsid w:val="008F52BC"/>
    <w:rsid w:val="008F5537"/>
    <w:rsid w:val="008F57B7"/>
    <w:rsid w:val="008F58D4"/>
    <w:rsid w:val="008F5BAC"/>
    <w:rsid w:val="008F5C6D"/>
    <w:rsid w:val="008F7008"/>
    <w:rsid w:val="008F7CB6"/>
    <w:rsid w:val="0090013F"/>
    <w:rsid w:val="00900529"/>
    <w:rsid w:val="00900BDF"/>
    <w:rsid w:val="009018F7"/>
    <w:rsid w:val="00902C98"/>
    <w:rsid w:val="00902D3B"/>
    <w:rsid w:val="009032AC"/>
    <w:rsid w:val="009039EA"/>
    <w:rsid w:val="00903DA7"/>
    <w:rsid w:val="00903E1D"/>
    <w:rsid w:val="009041A6"/>
    <w:rsid w:val="00904573"/>
    <w:rsid w:val="00904597"/>
    <w:rsid w:val="009048C7"/>
    <w:rsid w:val="009049F3"/>
    <w:rsid w:val="00905A0C"/>
    <w:rsid w:val="009065C2"/>
    <w:rsid w:val="009065E7"/>
    <w:rsid w:val="009068FD"/>
    <w:rsid w:val="00906B4E"/>
    <w:rsid w:val="00906C63"/>
    <w:rsid w:val="00907598"/>
    <w:rsid w:val="00907C0C"/>
    <w:rsid w:val="00910B71"/>
    <w:rsid w:val="009113FB"/>
    <w:rsid w:val="00911A13"/>
    <w:rsid w:val="00912BB8"/>
    <w:rsid w:val="00912E60"/>
    <w:rsid w:val="00912EBF"/>
    <w:rsid w:val="009131BB"/>
    <w:rsid w:val="00913E7C"/>
    <w:rsid w:val="009140E6"/>
    <w:rsid w:val="00914FA0"/>
    <w:rsid w:val="00916A53"/>
    <w:rsid w:val="009175EB"/>
    <w:rsid w:val="00917B15"/>
    <w:rsid w:val="009208FD"/>
    <w:rsid w:val="00920B86"/>
    <w:rsid w:val="0092238A"/>
    <w:rsid w:val="0092262B"/>
    <w:rsid w:val="00922771"/>
    <w:rsid w:val="00922C23"/>
    <w:rsid w:val="00922E43"/>
    <w:rsid w:val="009232FB"/>
    <w:rsid w:val="0092398C"/>
    <w:rsid w:val="0092523C"/>
    <w:rsid w:val="009252F2"/>
    <w:rsid w:val="0092555D"/>
    <w:rsid w:val="009258DD"/>
    <w:rsid w:val="00925E89"/>
    <w:rsid w:val="00925F6A"/>
    <w:rsid w:val="00925FF2"/>
    <w:rsid w:val="0092675B"/>
    <w:rsid w:val="00926B3C"/>
    <w:rsid w:val="00926DEB"/>
    <w:rsid w:val="00926FF8"/>
    <w:rsid w:val="009275A0"/>
    <w:rsid w:val="00930839"/>
    <w:rsid w:val="0093091B"/>
    <w:rsid w:val="0093093F"/>
    <w:rsid w:val="009309A4"/>
    <w:rsid w:val="00930D3E"/>
    <w:rsid w:val="009313AC"/>
    <w:rsid w:val="00932237"/>
    <w:rsid w:val="00933264"/>
    <w:rsid w:val="00933D63"/>
    <w:rsid w:val="0093435D"/>
    <w:rsid w:val="009349EE"/>
    <w:rsid w:val="00934B18"/>
    <w:rsid w:val="00934BA6"/>
    <w:rsid w:val="00935348"/>
    <w:rsid w:val="0093689A"/>
    <w:rsid w:val="00936A4F"/>
    <w:rsid w:val="00936A58"/>
    <w:rsid w:val="00936E35"/>
    <w:rsid w:val="00937098"/>
    <w:rsid w:val="009373CC"/>
    <w:rsid w:val="00937E92"/>
    <w:rsid w:val="009400D2"/>
    <w:rsid w:val="00940110"/>
    <w:rsid w:val="0094040C"/>
    <w:rsid w:val="0094062F"/>
    <w:rsid w:val="00940694"/>
    <w:rsid w:val="0094070D"/>
    <w:rsid w:val="00940789"/>
    <w:rsid w:val="009409EF"/>
    <w:rsid w:val="00941039"/>
    <w:rsid w:val="00941233"/>
    <w:rsid w:val="009414C3"/>
    <w:rsid w:val="009416B9"/>
    <w:rsid w:val="0094233C"/>
    <w:rsid w:val="00942B79"/>
    <w:rsid w:val="00943224"/>
    <w:rsid w:val="00943501"/>
    <w:rsid w:val="00944038"/>
    <w:rsid w:val="0094405D"/>
    <w:rsid w:val="00944785"/>
    <w:rsid w:val="00944F21"/>
    <w:rsid w:val="00945696"/>
    <w:rsid w:val="00945FC1"/>
    <w:rsid w:val="009466E8"/>
    <w:rsid w:val="00947B90"/>
    <w:rsid w:val="00947D80"/>
    <w:rsid w:val="009505C9"/>
    <w:rsid w:val="009508BD"/>
    <w:rsid w:val="00950DE2"/>
    <w:rsid w:val="00951287"/>
    <w:rsid w:val="00951C7D"/>
    <w:rsid w:val="00951DB6"/>
    <w:rsid w:val="00951E3F"/>
    <w:rsid w:val="0095238D"/>
    <w:rsid w:val="009528DC"/>
    <w:rsid w:val="009539B8"/>
    <w:rsid w:val="00953B5F"/>
    <w:rsid w:val="00954239"/>
    <w:rsid w:val="009549F0"/>
    <w:rsid w:val="009557E3"/>
    <w:rsid w:val="00955ABE"/>
    <w:rsid w:val="00955BAE"/>
    <w:rsid w:val="00955DAC"/>
    <w:rsid w:val="00955F40"/>
    <w:rsid w:val="009565E7"/>
    <w:rsid w:val="009572F0"/>
    <w:rsid w:val="00957ABC"/>
    <w:rsid w:val="00957CD2"/>
    <w:rsid w:val="00960301"/>
    <w:rsid w:val="0096103D"/>
    <w:rsid w:val="009614A8"/>
    <w:rsid w:val="00961B8C"/>
    <w:rsid w:val="00961D9B"/>
    <w:rsid w:val="00963B64"/>
    <w:rsid w:val="0096440C"/>
    <w:rsid w:val="00964681"/>
    <w:rsid w:val="00964716"/>
    <w:rsid w:val="00964CC4"/>
    <w:rsid w:val="00964EF2"/>
    <w:rsid w:val="00964FC4"/>
    <w:rsid w:val="00964FF9"/>
    <w:rsid w:val="00965152"/>
    <w:rsid w:val="00965273"/>
    <w:rsid w:val="00965583"/>
    <w:rsid w:val="0096573F"/>
    <w:rsid w:val="00965952"/>
    <w:rsid w:val="00965BC4"/>
    <w:rsid w:val="00965BEA"/>
    <w:rsid w:val="00965E43"/>
    <w:rsid w:val="00966023"/>
    <w:rsid w:val="0096636B"/>
    <w:rsid w:val="00966E8B"/>
    <w:rsid w:val="00967542"/>
    <w:rsid w:val="0096759E"/>
    <w:rsid w:val="0096793F"/>
    <w:rsid w:val="00967F49"/>
    <w:rsid w:val="00967FE3"/>
    <w:rsid w:val="009701B4"/>
    <w:rsid w:val="0097028C"/>
    <w:rsid w:val="0097077C"/>
    <w:rsid w:val="009708C2"/>
    <w:rsid w:val="00970BF9"/>
    <w:rsid w:val="009712E6"/>
    <w:rsid w:val="00971393"/>
    <w:rsid w:val="0097193B"/>
    <w:rsid w:val="00972BEE"/>
    <w:rsid w:val="00973D92"/>
    <w:rsid w:val="00974541"/>
    <w:rsid w:val="00974672"/>
    <w:rsid w:val="0097484F"/>
    <w:rsid w:val="0097498C"/>
    <w:rsid w:val="00974EF9"/>
    <w:rsid w:val="009750E6"/>
    <w:rsid w:val="00975C13"/>
    <w:rsid w:val="00975E69"/>
    <w:rsid w:val="0097612C"/>
    <w:rsid w:val="00976638"/>
    <w:rsid w:val="00976BF4"/>
    <w:rsid w:val="00977029"/>
    <w:rsid w:val="0097720A"/>
    <w:rsid w:val="00977B7C"/>
    <w:rsid w:val="00977C79"/>
    <w:rsid w:val="009800DD"/>
    <w:rsid w:val="0098060F"/>
    <w:rsid w:val="00980B75"/>
    <w:rsid w:val="00980FD2"/>
    <w:rsid w:val="0098131D"/>
    <w:rsid w:val="009816FD"/>
    <w:rsid w:val="009817BE"/>
    <w:rsid w:val="0098266E"/>
    <w:rsid w:val="009827C6"/>
    <w:rsid w:val="009828C3"/>
    <w:rsid w:val="00982C5F"/>
    <w:rsid w:val="0098318F"/>
    <w:rsid w:val="009834E0"/>
    <w:rsid w:val="009837AE"/>
    <w:rsid w:val="009839A3"/>
    <w:rsid w:val="0098470D"/>
    <w:rsid w:val="00984C06"/>
    <w:rsid w:val="00984C74"/>
    <w:rsid w:val="00985999"/>
    <w:rsid w:val="00985B78"/>
    <w:rsid w:val="00985C79"/>
    <w:rsid w:val="00985D08"/>
    <w:rsid w:val="00985D19"/>
    <w:rsid w:val="00986123"/>
    <w:rsid w:val="00986385"/>
    <w:rsid w:val="009865C1"/>
    <w:rsid w:val="00986745"/>
    <w:rsid w:val="0098707A"/>
    <w:rsid w:val="0098724D"/>
    <w:rsid w:val="00987346"/>
    <w:rsid w:val="009878D7"/>
    <w:rsid w:val="00987903"/>
    <w:rsid w:val="00990201"/>
    <w:rsid w:val="0099055E"/>
    <w:rsid w:val="00990AC8"/>
    <w:rsid w:val="00990B26"/>
    <w:rsid w:val="00990C91"/>
    <w:rsid w:val="00990DA8"/>
    <w:rsid w:val="0099131B"/>
    <w:rsid w:val="0099142A"/>
    <w:rsid w:val="009927E2"/>
    <w:rsid w:val="00992898"/>
    <w:rsid w:val="00992FB6"/>
    <w:rsid w:val="009936DC"/>
    <w:rsid w:val="00993802"/>
    <w:rsid w:val="00993809"/>
    <w:rsid w:val="009938E1"/>
    <w:rsid w:val="00993A60"/>
    <w:rsid w:val="00993C4B"/>
    <w:rsid w:val="00993EE4"/>
    <w:rsid w:val="00994544"/>
    <w:rsid w:val="00994604"/>
    <w:rsid w:val="00994B90"/>
    <w:rsid w:val="00994BC0"/>
    <w:rsid w:val="009955B9"/>
    <w:rsid w:val="009957D0"/>
    <w:rsid w:val="009958F4"/>
    <w:rsid w:val="00995D7C"/>
    <w:rsid w:val="00995E18"/>
    <w:rsid w:val="00995ECD"/>
    <w:rsid w:val="00995F0C"/>
    <w:rsid w:val="0099623E"/>
    <w:rsid w:val="0099665D"/>
    <w:rsid w:val="00996CD8"/>
    <w:rsid w:val="00996E16"/>
    <w:rsid w:val="00997430"/>
    <w:rsid w:val="00997991"/>
    <w:rsid w:val="00997AB1"/>
    <w:rsid w:val="00997D60"/>
    <w:rsid w:val="00997DF8"/>
    <w:rsid w:val="009A0C4B"/>
    <w:rsid w:val="009A0D10"/>
    <w:rsid w:val="009A195F"/>
    <w:rsid w:val="009A27E9"/>
    <w:rsid w:val="009A34E2"/>
    <w:rsid w:val="009A40D7"/>
    <w:rsid w:val="009A420D"/>
    <w:rsid w:val="009A455A"/>
    <w:rsid w:val="009A48D2"/>
    <w:rsid w:val="009A5514"/>
    <w:rsid w:val="009A5AD5"/>
    <w:rsid w:val="009A5B00"/>
    <w:rsid w:val="009A5D5D"/>
    <w:rsid w:val="009A5FB8"/>
    <w:rsid w:val="009A61AF"/>
    <w:rsid w:val="009A6A95"/>
    <w:rsid w:val="009A7BAA"/>
    <w:rsid w:val="009B034F"/>
    <w:rsid w:val="009B0541"/>
    <w:rsid w:val="009B10AD"/>
    <w:rsid w:val="009B1243"/>
    <w:rsid w:val="009B164E"/>
    <w:rsid w:val="009B1C9B"/>
    <w:rsid w:val="009B388C"/>
    <w:rsid w:val="009B41A5"/>
    <w:rsid w:val="009B41C3"/>
    <w:rsid w:val="009B421B"/>
    <w:rsid w:val="009B43A2"/>
    <w:rsid w:val="009B4820"/>
    <w:rsid w:val="009B4996"/>
    <w:rsid w:val="009B545F"/>
    <w:rsid w:val="009B55CA"/>
    <w:rsid w:val="009B5939"/>
    <w:rsid w:val="009B65BF"/>
    <w:rsid w:val="009B7AE9"/>
    <w:rsid w:val="009C07B9"/>
    <w:rsid w:val="009C152E"/>
    <w:rsid w:val="009C17A9"/>
    <w:rsid w:val="009C1D1C"/>
    <w:rsid w:val="009C1DB0"/>
    <w:rsid w:val="009C1F5F"/>
    <w:rsid w:val="009C23B5"/>
    <w:rsid w:val="009C25B1"/>
    <w:rsid w:val="009C288E"/>
    <w:rsid w:val="009C289F"/>
    <w:rsid w:val="009C29CE"/>
    <w:rsid w:val="009C3068"/>
    <w:rsid w:val="009C394F"/>
    <w:rsid w:val="009C3C79"/>
    <w:rsid w:val="009C42A2"/>
    <w:rsid w:val="009C43B1"/>
    <w:rsid w:val="009C4415"/>
    <w:rsid w:val="009C50AE"/>
    <w:rsid w:val="009C59CB"/>
    <w:rsid w:val="009C5CFD"/>
    <w:rsid w:val="009C6495"/>
    <w:rsid w:val="009C6DAA"/>
    <w:rsid w:val="009C7797"/>
    <w:rsid w:val="009C7A85"/>
    <w:rsid w:val="009C7ADE"/>
    <w:rsid w:val="009D0052"/>
    <w:rsid w:val="009D0802"/>
    <w:rsid w:val="009D085A"/>
    <w:rsid w:val="009D0B6F"/>
    <w:rsid w:val="009D0CC9"/>
    <w:rsid w:val="009D14E9"/>
    <w:rsid w:val="009D285D"/>
    <w:rsid w:val="009D4005"/>
    <w:rsid w:val="009D48AC"/>
    <w:rsid w:val="009D5130"/>
    <w:rsid w:val="009D541A"/>
    <w:rsid w:val="009D5950"/>
    <w:rsid w:val="009D5AE2"/>
    <w:rsid w:val="009D5B52"/>
    <w:rsid w:val="009D69BD"/>
    <w:rsid w:val="009D6A15"/>
    <w:rsid w:val="009D71A3"/>
    <w:rsid w:val="009D72FF"/>
    <w:rsid w:val="009E00AD"/>
    <w:rsid w:val="009E0975"/>
    <w:rsid w:val="009E1189"/>
    <w:rsid w:val="009E11A5"/>
    <w:rsid w:val="009E1B90"/>
    <w:rsid w:val="009E217F"/>
    <w:rsid w:val="009E2327"/>
    <w:rsid w:val="009E27A5"/>
    <w:rsid w:val="009E2B18"/>
    <w:rsid w:val="009E3651"/>
    <w:rsid w:val="009E3811"/>
    <w:rsid w:val="009E39A8"/>
    <w:rsid w:val="009E3F82"/>
    <w:rsid w:val="009E4231"/>
    <w:rsid w:val="009E592B"/>
    <w:rsid w:val="009E5ACA"/>
    <w:rsid w:val="009E5B40"/>
    <w:rsid w:val="009E5DD9"/>
    <w:rsid w:val="009E5E74"/>
    <w:rsid w:val="009E5E84"/>
    <w:rsid w:val="009E64DB"/>
    <w:rsid w:val="009E65A0"/>
    <w:rsid w:val="009E7798"/>
    <w:rsid w:val="009E7CB4"/>
    <w:rsid w:val="009F0362"/>
    <w:rsid w:val="009F071C"/>
    <w:rsid w:val="009F16AC"/>
    <w:rsid w:val="009F2297"/>
    <w:rsid w:val="009F22EC"/>
    <w:rsid w:val="009F26F8"/>
    <w:rsid w:val="009F27FF"/>
    <w:rsid w:val="009F2CAD"/>
    <w:rsid w:val="009F30C3"/>
    <w:rsid w:val="009F354E"/>
    <w:rsid w:val="009F364A"/>
    <w:rsid w:val="009F3DDC"/>
    <w:rsid w:val="009F4EC3"/>
    <w:rsid w:val="009F54D4"/>
    <w:rsid w:val="009F559D"/>
    <w:rsid w:val="009F562D"/>
    <w:rsid w:val="009F5C80"/>
    <w:rsid w:val="009F7A33"/>
    <w:rsid w:val="009F7C10"/>
    <w:rsid w:val="00A008A0"/>
    <w:rsid w:val="00A009D0"/>
    <w:rsid w:val="00A016D3"/>
    <w:rsid w:val="00A01FD4"/>
    <w:rsid w:val="00A0202F"/>
    <w:rsid w:val="00A023DE"/>
    <w:rsid w:val="00A032AA"/>
    <w:rsid w:val="00A03619"/>
    <w:rsid w:val="00A038C6"/>
    <w:rsid w:val="00A03A44"/>
    <w:rsid w:val="00A0441B"/>
    <w:rsid w:val="00A04D4E"/>
    <w:rsid w:val="00A05308"/>
    <w:rsid w:val="00A0534D"/>
    <w:rsid w:val="00A05864"/>
    <w:rsid w:val="00A059FB"/>
    <w:rsid w:val="00A0618D"/>
    <w:rsid w:val="00A07048"/>
    <w:rsid w:val="00A07662"/>
    <w:rsid w:val="00A07A0A"/>
    <w:rsid w:val="00A1079F"/>
    <w:rsid w:val="00A108F0"/>
    <w:rsid w:val="00A108F9"/>
    <w:rsid w:val="00A1096C"/>
    <w:rsid w:val="00A10FFE"/>
    <w:rsid w:val="00A115FE"/>
    <w:rsid w:val="00A11FBB"/>
    <w:rsid w:val="00A122F7"/>
    <w:rsid w:val="00A123E1"/>
    <w:rsid w:val="00A12BB7"/>
    <w:rsid w:val="00A12C83"/>
    <w:rsid w:val="00A131A9"/>
    <w:rsid w:val="00A13652"/>
    <w:rsid w:val="00A13BD3"/>
    <w:rsid w:val="00A13C0D"/>
    <w:rsid w:val="00A13EBD"/>
    <w:rsid w:val="00A13F77"/>
    <w:rsid w:val="00A14144"/>
    <w:rsid w:val="00A1417F"/>
    <w:rsid w:val="00A142B7"/>
    <w:rsid w:val="00A1439F"/>
    <w:rsid w:val="00A143D1"/>
    <w:rsid w:val="00A14B2A"/>
    <w:rsid w:val="00A14CA5"/>
    <w:rsid w:val="00A14E34"/>
    <w:rsid w:val="00A155B2"/>
    <w:rsid w:val="00A15C7F"/>
    <w:rsid w:val="00A16109"/>
    <w:rsid w:val="00A16BD6"/>
    <w:rsid w:val="00A16C49"/>
    <w:rsid w:val="00A16CAC"/>
    <w:rsid w:val="00A17BD3"/>
    <w:rsid w:val="00A17E4E"/>
    <w:rsid w:val="00A17F1A"/>
    <w:rsid w:val="00A2020B"/>
    <w:rsid w:val="00A20D04"/>
    <w:rsid w:val="00A20D7D"/>
    <w:rsid w:val="00A20E46"/>
    <w:rsid w:val="00A21969"/>
    <w:rsid w:val="00A21C50"/>
    <w:rsid w:val="00A2210D"/>
    <w:rsid w:val="00A22515"/>
    <w:rsid w:val="00A226C5"/>
    <w:rsid w:val="00A229A2"/>
    <w:rsid w:val="00A22DBA"/>
    <w:rsid w:val="00A23262"/>
    <w:rsid w:val="00A23B11"/>
    <w:rsid w:val="00A23D92"/>
    <w:rsid w:val="00A245EC"/>
    <w:rsid w:val="00A24619"/>
    <w:rsid w:val="00A24D2B"/>
    <w:rsid w:val="00A24DA8"/>
    <w:rsid w:val="00A24F19"/>
    <w:rsid w:val="00A25138"/>
    <w:rsid w:val="00A254B3"/>
    <w:rsid w:val="00A25FC7"/>
    <w:rsid w:val="00A2668C"/>
    <w:rsid w:val="00A277EA"/>
    <w:rsid w:val="00A27AD8"/>
    <w:rsid w:val="00A27BF9"/>
    <w:rsid w:val="00A302A3"/>
    <w:rsid w:val="00A30447"/>
    <w:rsid w:val="00A30AF1"/>
    <w:rsid w:val="00A310BF"/>
    <w:rsid w:val="00A3149F"/>
    <w:rsid w:val="00A318CC"/>
    <w:rsid w:val="00A321B9"/>
    <w:rsid w:val="00A32891"/>
    <w:rsid w:val="00A33C19"/>
    <w:rsid w:val="00A34848"/>
    <w:rsid w:val="00A34A14"/>
    <w:rsid w:val="00A34D2B"/>
    <w:rsid w:val="00A35B2B"/>
    <w:rsid w:val="00A366E9"/>
    <w:rsid w:val="00A370CB"/>
    <w:rsid w:val="00A373A1"/>
    <w:rsid w:val="00A37572"/>
    <w:rsid w:val="00A40588"/>
    <w:rsid w:val="00A41285"/>
    <w:rsid w:val="00A4130A"/>
    <w:rsid w:val="00A41852"/>
    <w:rsid w:val="00A419EE"/>
    <w:rsid w:val="00A42429"/>
    <w:rsid w:val="00A426C8"/>
    <w:rsid w:val="00A43035"/>
    <w:rsid w:val="00A43E9F"/>
    <w:rsid w:val="00A4458D"/>
    <w:rsid w:val="00A44BE4"/>
    <w:rsid w:val="00A44E91"/>
    <w:rsid w:val="00A44F8B"/>
    <w:rsid w:val="00A44FD8"/>
    <w:rsid w:val="00A45517"/>
    <w:rsid w:val="00A45897"/>
    <w:rsid w:val="00A45E59"/>
    <w:rsid w:val="00A466F5"/>
    <w:rsid w:val="00A46EE9"/>
    <w:rsid w:val="00A50310"/>
    <w:rsid w:val="00A5075B"/>
    <w:rsid w:val="00A508DE"/>
    <w:rsid w:val="00A50C6F"/>
    <w:rsid w:val="00A50FB7"/>
    <w:rsid w:val="00A517E5"/>
    <w:rsid w:val="00A51CF0"/>
    <w:rsid w:val="00A51FD3"/>
    <w:rsid w:val="00A51FEB"/>
    <w:rsid w:val="00A526CB"/>
    <w:rsid w:val="00A526DC"/>
    <w:rsid w:val="00A531C6"/>
    <w:rsid w:val="00A53C5F"/>
    <w:rsid w:val="00A541AD"/>
    <w:rsid w:val="00A54421"/>
    <w:rsid w:val="00A54F15"/>
    <w:rsid w:val="00A5576A"/>
    <w:rsid w:val="00A55E53"/>
    <w:rsid w:val="00A563F1"/>
    <w:rsid w:val="00A5646C"/>
    <w:rsid w:val="00A56835"/>
    <w:rsid w:val="00A568F7"/>
    <w:rsid w:val="00A574C1"/>
    <w:rsid w:val="00A576BA"/>
    <w:rsid w:val="00A579B3"/>
    <w:rsid w:val="00A60A07"/>
    <w:rsid w:val="00A60BD8"/>
    <w:rsid w:val="00A60F16"/>
    <w:rsid w:val="00A61312"/>
    <w:rsid w:val="00A61849"/>
    <w:rsid w:val="00A61B38"/>
    <w:rsid w:val="00A61C42"/>
    <w:rsid w:val="00A6203C"/>
    <w:rsid w:val="00A6212A"/>
    <w:rsid w:val="00A62538"/>
    <w:rsid w:val="00A62692"/>
    <w:rsid w:val="00A6464A"/>
    <w:rsid w:val="00A64A16"/>
    <w:rsid w:val="00A651F9"/>
    <w:rsid w:val="00A65347"/>
    <w:rsid w:val="00A65CC1"/>
    <w:rsid w:val="00A65E2D"/>
    <w:rsid w:val="00A663EE"/>
    <w:rsid w:val="00A6671A"/>
    <w:rsid w:val="00A66810"/>
    <w:rsid w:val="00A66997"/>
    <w:rsid w:val="00A66ACB"/>
    <w:rsid w:val="00A66C76"/>
    <w:rsid w:val="00A66C78"/>
    <w:rsid w:val="00A66F32"/>
    <w:rsid w:val="00A6705B"/>
    <w:rsid w:val="00A7013C"/>
    <w:rsid w:val="00A70658"/>
    <w:rsid w:val="00A71290"/>
    <w:rsid w:val="00A7171B"/>
    <w:rsid w:val="00A718F0"/>
    <w:rsid w:val="00A7194D"/>
    <w:rsid w:val="00A71C80"/>
    <w:rsid w:val="00A71E18"/>
    <w:rsid w:val="00A71E8B"/>
    <w:rsid w:val="00A722B6"/>
    <w:rsid w:val="00A72B6C"/>
    <w:rsid w:val="00A72C7F"/>
    <w:rsid w:val="00A7349E"/>
    <w:rsid w:val="00A7364B"/>
    <w:rsid w:val="00A736B8"/>
    <w:rsid w:val="00A740BA"/>
    <w:rsid w:val="00A745EF"/>
    <w:rsid w:val="00A7486F"/>
    <w:rsid w:val="00A74EAA"/>
    <w:rsid w:val="00A74EEA"/>
    <w:rsid w:val="00A7530F"/>
    <w:rsid w:val="00A75939"/>
    <w:rsid w:val="00A75AB9"/>
    <w:rsid w:val="00A75C2B"/>
    <w:rsid w:val="00A76971"/>
    <w:rsid w:val="00A7698F"/>
    <w:rsid w:val="00A76DD1"/>
    <w:rsid w:val="00A77545"/>
    <w:rsid w:val="00A775C3"/>
    <w:rsid w:val="00A778C5"/>
    <w:rsid w:val="00A77F12"/>
    <w:rsid w:val="00A81751"/>
    <w:rsid w:val="00A81C0A"/>
    <w:rsid w:val="00A81CC3"/>
    <w:rsid w:val="00A82041"/>
    <w:rsid w:val="00A820BC"/>
    <w:rsid w:val="00A82423"/>
    <w:rsid w:val="00A84E4D"/>
    <w:rsid w:val="00A84FD5"/>
    <w:rsid w:val="00A85340"/>
    <w:rsid w:val="00A8594C"/>
    <w:rsid w:val="00A86167"/>
    <w:rsid w:val="00A86234"/>
    <w:rsid w:val="00A86429"/>
    <w:rsid w:val="00A864EE"/>
    <w:rsid w:val="00A8663C"/>
    <w:rsid w:val="00A86F45"/>
    <w:rsid w:val="00A87545"/>
    <w:rsid w:val="00A87B52"/>
    <w:rsid w:val="00A87D64"/>
    <w:rsid w:val="00A90026"/>
    <w:rsid w:val="00A903CB"/>
    <w:rsid w:val="00A904E5"/>
    <w:rsid w:val="00A906FB"/>
    <w:rsid w:val="00A91936"/>
    <w:rsid w:val="00A91D25"/>
    <w:rsid w:val="00A92620"/>
    <w:rsid w:val="00A9269C"/>
    <w:rsid w:val="00A92E5D"/>
    <w:rsid w:val="00A930C3"/>
    <w:rsid w:val="00A93FCB"/>
    <w:rsid w:val="00A9424B"/>
    <w:rsid w:val="00A944F0"/>
    <w:rsid w:val="00A94F31"/>
    <w:rsid w:val="00A95306"/>
    <w:rsid w:val="00A95385"/>
    <w:rsid w:val="00A953EA"/>
    <w:rsid w:val="00A95664"/>
    <w:rsid w:val="00A959BE"/>
    <w:rsid w:val="00A95A21"/>
    <w:rsid w:val="00A961A6"/>
    <w:rsid w:val="00A96307"/>
    <w:rsid w:val="00A970B5"/>
    <w:rsid w:val="00A970DC"/>
    <w:rsid w:val="00A9719A"/>
    <w:rsid w:val="00A973B4"/>
    <w:rsid w:val="00A97644"/>
    <w:rsid w:val="00A97BD0"/>
    <w:rsid w:val="00A97F9B"/>
    <w:rsid w:val="00AA0022"/>
    <w:rsid w:val="00AA042D"/>
    <w:rsid w:val="00AA0B2F"/>
    <w:rsid w:val="00AA0E49"/>
    <w:rsid w:val="00AA10DE"/>
    <w:rsid w:val="00AA128A"/>
    <w:rsid w:val="00AA1628"/>
    <w:rsid w:val="00AA25B7"/>
    <w:rsid w:val="00AA27FA"/>
    <w:rsid w:val="00AA328D"/>
    <w:rsid w:val="00AA3549"/>
    <w:rsid w:val="00AA3B49"/>
    <w:rsid w:val="00AA3DCD"/>
    <w:rsid w:val="00AA4722"/>
    <w:rsid w:val="00AA59A5"/>
    <w:rsid w:val="00AA5A6B"/>
    <w:rsid w:val="00AA5DEA"/>
    <w:rsid w:val="00AA72DC"/>
    <w:rsid w:val="00AA74FB"/>
    <w:rsid w:val="00AB0705"/>
    <w:rsid w:val="00AB1E57"/>
    <w:rsid w:val="00AB1F7F"/>
    <w:rsid w:val="00AB25D4"/>
    <w:rsid w:val="00AB32EA"/>
    <w:rsid w:val="00AB34CE"/>
    <w:rsid w:val="00AB3B80"/>
    <w:rsid w:val="00AB3B8C"/>
    <w:rsid w:val="00AB3C38"/>
    <w:rsid w:val="00AB4222"/>
    <w:rsid w:val="00AB4283"/>
    <w:rsid w:val="00AB44F0"/>
    <w:rsid w:val="00AB5382"/>
    <w:rsid w:val="00AB5F02"/>
    <w:rsid w:val="00AB5F72"/>
    <w:rsid w:val="00AB63DA"/>
    <w:rsid w:val="00AB6852"/>
    <w:rsid w:val="00AB6F4B"/>
    <w:rsid w:val="00AB781D"/>
    <w:rsid w:val="00AB788A"/>
    <w:rsid w:val="00AB7B33"/>
    <w:rsid w:val="00AB7D88"/>
    <w:rsid w:val="00AC030C"/>
    <w:rsid w:val="00AC0804"/>
    <w:rsid w:val="00AC0858"/>
    <w:rsid w:val="00AC0B59"/>
    <w:rsid w:val="00AC0C46"/>
    <w:rsid w:val="00AC12D8"/>
    <w:rsid w:val="00AC1F46"/>
    <w:rsid w:val="00AC2033"/>
    <w:rsid w:val="00AC2100"/>
    <w:rsid w:val="00AC31DE"/>
    <w:rsid w:val="00AC3BA9"/>
    <w:rsid w:val="00AC3F3C"/>
    <w:rsid w:val="00AC3FF2"/>
    <w:rsid w:val="00AC4672"/>
    <w:rsid w:val="00AC47AC"/>
    <w:rsid w:val="00AC4E3A"/>
    <w:rsid w:val="00AC4EF7"/>
    <w:rsid w:val="00AC58B1"/>
    <w:rsid w:val="00AC5C3A"/>
    <w:rsid w:val="00AC5D75"/>
    <w:rsid w:val="00AC60CD"/>
    <w:rsid w:val="00AC668C"/>
    <w:rsid w:val="00AC6A87"/>
    <w:rsid w:val="00AC72C3"/>
    <w:rsid w:val="00AC75F1"/>
    <w:rsid w:val="00AC7740"/>
    <w:rsid w:val="00AC775D"/>
    <w:rsid w:val="00AC7C00"/>
    <w:rsid w:val="00AD0211"/>
    <w:rsid w:val="00AD06CB"/>
    <w:rsid w:val="00AD084F"/>
    <w:rsid w:val="00AD08B6"/>
    <w:rsid w:val="00AD1AFA"/>
    <w:rsid w:val="00AD2433"/>
    <w:rsid w:val="00AD2AFE"/>
    <w:rsid w:val="00AD2C2D"/>
    <w:rsid w:val="00AD2C30"/>
    <w:rsid w:val="00AD2FF4"/>
    <w:rsid w:val="00AD370D"/>
    <w:rsid w:val="00AD3E96"/>
    <w:rsid w:val="00AD49A8"/>
    <w:rsid w:val="00AD5BB4"/>
    <w:rsid w:val="00AD6089"/>
    <w:rsid w:val="00AD6128"/>
    <w:rsid w:val="00AD613D"/>
    <w:rsid w:val="00AD6892"/>
    <w:rsid w:val="00AD6B26"/>
    <w:rsid w:val="00AD6C89"/>
    <w:rsid w:val="00AD6E15"/>
    <w:rsid w:val="00AD7369"/>
    <w:rsid w:val="00AD7A51"/>
    <w:rsid w:val="00AE0737"/>
    <w:rsid w:val="00AE13A7"/>
    <w:rsid w:val="00AE1A80"/>
    <w:rsid w:val="00AE2310"/>
    <w:rsid w:val="00AE26FA"/>
    <w:rsid w:val="00AE345D"/>
    <w:rsid w:val="00AE3619"/>
    <w:rsid w:val="00AE3C99"/>
    <w:rsid w:val="00AE4641"/>
    <w:rsid w:val="00AE4D0B"/>
    <w:rsid w:val="00AE51AE"/>
    <w:rsid w:val="00AE5351"/>
    <w:rsid w:val="00AE5413"/>
    <w:rsid w:val="00AE59CB"/>
    <w:rsid w:val="00AE7377"/>
    <w:rsid w:val="00AE74C6"/>
    <w:rsid w:val="00AE7539"/>
    <w:rsid w:val="00AE7AAC"/>
    <w:rsid w:val="00AE7F35"/>
    <w:rsid w:val="00AF02FF"/>
    <w:rsid w:val="00AF0535"/>
    <w:rsid w:val="00AF05E0"/>
    <w:rsid w:val="00AF076F"/>
    <w:rsid w:val="00AF0803"/>
    <w:rsid w:val="00AF14D5"/>
    <w:rsid w:val="00AF1EBB"/>
    <w:rsid w:val="00AF232F"/>
    <w:rsid w:val="00AF2D30"/>
    <w:rsid w:val="00AF3327"/>
    <w:rsid w:val="00AF3637"/>
    <w:rsid w:val="00AF3773"/>
    <w:rsid w:val="00AF3C12"/>
    <w:rsid w:val="00AF4705"/>
    <w:rsid w:val="00AF482C"/>
    <w:rsid w:val="00AF54D0"/>
    <w:rsid w:val="00AF5827"/>
    <w:rsid w:val="00AF64E4"/>
    <w:rsid w:val="00AF71F2"/>
    <w:rsid w:val="00AF7485"/>
    <w:rsid w:val="00AF7618"/>
    <w:rsid w:val="00AF7AE0"/>
    <w:rsid w:val="00AF7D22"/>
    <w:rsid w:val="00AF7DBE"/>
    <w:rsid w:val="00AF7F82"/>
    <w:rsid w:val="00B0028F"/>
    <w:rsid w:val="00B0068B"/>
    <w:rsid w:val="00B00BB1"/>
    <w:rsid w:val="00B00FEF"/>
    <w:rsid w:val="00B010E3"/>
    <w:rsid w:val="00B01A1A"/>
    <w:rsid w:val="00B01B89"/>
    <w:rsid w:val="00B0203D"/>
    <w:rsid w:val="00B023FC"/>
    <w:rsid w:val="00B026D8"/>
    <w:rsid w:val="00B0276F"/>
    <w:rsid w:val="00B04812"/>
    <w:rsid w:val="00B04F93"/>
    <w:rsid w:val="00B05A03"/>
    <w:rsid w:val="00B05BC9"/>
    <w:rsid w:val="00B05F7E"/>
    <w:rsid w:val="00B0613F"/>
    <w:rsid w:val="00B06659"/>
    <w:rsid w:val="00B06E2A"/>
    <w:rsid w:val="00B06F51"/>
    <w:rsid w:val="00B075B4"/>
    <w:rsid w:val="00B076AE"/>
    <w:rsid w:val="00B07B36"/>
    <w:rsid w:val="00B1055E"/>
    <w:rsid w:val="00B10FE3"/>
    <w:rsid w:val="00B112CB"/>
    <w:rsid w:val="00B114D5"/>
    <w:rsid w:val="00B1170B"/>
    <w:rsid w:val="00B12355"/>
    <w:rsid w:val="00B12A50"/>
    <w:rsid w:val="00B131FC"/>
    <w:rsid w:val="00B13B1C"/>
    <w:rsid w:val="00B14050"/>
    <w:rsid w:val="00B14504"/>
    <w:rsid w:val="00B1508E"/>
    <w:rsid w:val="00B1512D"/>
    <w:rsid w:val="00B15B55"/>
    <w:rsid w:val="00B1632C"/>
    <w:rsid w:val="00B17443"/>
    <w:rsid w:val="00B17D7B"/>
    <w:rsid w:val="00B2058B"/>
    <w:rsid w:val="00B20602"/>
    <w:rsid w:val="00B20B11"/>
    <w:rsid w:val="00B20B99"/>
    <w:rsid w:val="00B20C48"/>
    <w:rsid w:val="00B21999"/>
    <w:rsid w:val="00B21DA4"/>
    <w:rsid w:val="00B21E70"/>
    <w:rsid w:val="00B21FE3"/>
    <w:rsid w:val="00B2209A"/>
    <w:rsid w:val="00B22858"/>
    <w:rsid w:val="00B23A50"/>
    <w:rsid w:val="00B23B0E"/>
    <w:rsid w:val="00B24651"/>
    <w:rsid w:val="00B2501B"/>
    <w:rsid w:val="00B254DF"/>
    <w:rsid w:val="00B25D6F"/>
    <w:rsid w:val="00B25EBF"/>
    <w:rsid w:val="00B25FE5"/>
    <w:rsid w:val="00B2614C"/>
    <w:rsid w:val="00B266CD"/>
    <w:rsid w:val="00B268C5"/>
    <w:rsid w:val="00B2733D"/>
    <w:rsid w:val="00B27605"/>
    <w:rsid w:val="00B277E9"/>
    <w:rsid w:val="00B3006F"/>
    <w:rsid w:val="00B3046D"/>
    <w:rsid w:val="00B31019"/>
    <w:rsid w:val="00B31586"/>
    <w:rsid w:val="00B3160D"/>
    <w:rsid w:val="00B31637"/>
    <w:rsid w:val="00B3175A"/>
    <w:rsid w:val="00B31B4F"/>
    <w:rsid w:val="00B31C50"/>
    <w:rsid w:val="00B31C7F"/>
    <w:rsid w:val="00B31F3F"/>
    <w:rsid w:val="00B3330A"/>
    <w:rsid w:val="00B3354C"/>
    <w:rsid w:val="00B33689"/>
    <w:rsid w:val="00B3369F"/>
    <w:rsid w:val="00B3399C"/>
    <w:rsid w:val="00B339FC"/>
    <w:rsid w:val="00B33B61"/>
    <w:rsid w:val="00B343C6"/>
    <w:rsid w:val="00B34B40"/>
    <w:rsid w:val="00B34F32"/>
    <w:rsid w:val="00B35130"/>
    <w:rsid w:val="00B355FA"/>
    <w:rsid w:val="00B356D9"/>
    <w:rsid w:val="00B36027"/>
    <w:rsid w:val="00B37609"/>
    <w:rsid w:val="00B37E2A"/>
    <w:rsid w:val="00B37EBC"/>
    <w:rsid w:val="00B40A2C"/>
    <w:rsid w:val="00B410CD"/>
    <w:rsid w:val="00B41861"/>
    <w:rsid w:val="00B41F2B"/>
    <w:rsid w:val="00B42405"/>
    <w:rsid w:val="00B42C0F"/>
    <w:rsid w:val="00B43991"/>
    <w:rsid w:val="00B43E06"/>
    <w:rsid w:val="00B43E87"/>
    <w:rsid w:val="00B44478"/>
    <w:rsid w:val="00B446FB"/>
    <w:rsid w:val="00B44DB7"/>
    <w:rsid w:val="00B44F86"/>
    <w:rsid w:val="00B4572D"/>
    <w:rsid w:val="00B45CF9"/>
    <w:rsid w:val="00B45F03"/>
    <w:rsid w:val="00B469B5"/>
    <w:rsid w:val="00B46CB6"/>
    <w:rsid w:val="00B477C6"/>
    <w:rsid w:val="00B47A45"/>
    <w:rsid w:val="00B500A4"/>
    <w:rsid w:val="00B502C8"/>
    <w:rsid w:val="00B503AA"/>
    <w:rsid w:val="00B506ED"/>
    <w:rsid w:val="00B50B95"/>
    <w:rsid w:val="00B50CE7"/>
    <w:rsid w:val="00B5163D"/>
    <w:rsid w:val="00B51A1A"/>
    <w:rsid w:val="00B51B20"/>
    <w:rsid w:val="00B5224A"/>
    <w:rsid w:val="00B52D29"/>
    <w:rsid w:val="00B535FC"/>
    <w:rsid w:val="00B53BCE"/>
    <w:rsid w:val="00B53FA5"/>
    <w:rsid w:val="00B54023"/>
    <w:rsid w:val="00B540F2"/>
    <w:rsid w:val="00B54351"/>
    <w:rsid w:val="00B54876"/>
    <w:rsid w:val="00B555D6"/>
    <w:rsid w:val="00B55B41"/>
    <w:rsid w:val="00B55F11"/>
    <w:rsid w:val="00B56B14"/>
    <w:rsid w:val="00B575F0"/>
    <w:rsid w:val="00B57D35"/>
    <w:rsid w:val="00B57F86"/>
    <w:rsid w:val="00B60339"/>
    <w:rsid w:val="00B6058B"/>
    <w:rsid w:val="00B60A73"/>
    <w:rsid w:val="00B61590"/>
    <w:rsid w:val="00B6188A"/>
    <w:rsid w:val="00B625E5"/>
    <w:rsid w:val="00B625ED"/>
    <w:rsid w:val="00B62F67"/>
    <w:rsid w:val="00B6310F"/>
    <w:rsid w:val="00B63D6D"/>
    <w:rsid w:val="00B64201"/>
    <w:rsid w:val="00B649DD"/>
    <w:rsid w:val="00B65102"/>
    <w:rsid w:val="00B65434"/>
    <w:rsid w:val="00B6546D"/>
    <w:rsid w:val="00B654C2"/>
    <w:rsid w:val="00B65711"/>
    <w:rsid w:val="00B659BC"/>
    <w:rsid w:val="00B66085"/>
    <w:rsid w:val="00B66115"/>
    <w:rsid w:val="00B6726B"/>
    <w:rsid w:val="00B673C0"/>
    <w:rsid w:val="00B70387"/>
    <w:rsid w:val="00B70C54"/>
    <w:rsid w:val="00B70E4E"/>
    <w:rsid w:val="00B71CCA"/>
    <w:rsid w:val="00B72210"/>
    <w:rsid w:val="00B727D4"/>
    <w:rsid w:val="00B72A82"/>
    <w:rsid w:val="00B72D42"/>
    <w:rsid w:val="00B72DE7"/>
    <w:rsid w:val="00B72F48"/>
    <w:rsid w:val="00B72F77"/>
    <w:rsid w:val="00B731E4"/>
    <w:rsid w:val="00B732AB"/>
    <w:rsid w:val="00B735F0"/>
    <w:rsid w:val="00B73B2A"/>
    <w:rsid w:val="00B73BA8"/>
    <w:rsid w:val="00B73BFC"/>
    <w:rsid w:val="00B73DFB"/>
    <w:rsid w:val="00B7408F"/>
    <w:rsid w:val="00B7475A"/>
    <w:rsid w:val="00B74F8B"/>
    <w:rsid w:val="00B7574C"/>
    <w:rsid w:val="00B76A94"/>
    <w:rsid w:val="00B76FBB"/>
    <w:rsid w:val="00B80235"/>
    <w:rsid w:val="00B8023B"/>
    <w:rsid w:val="00B805FE"/>
    <w:rsid w:val="00B807E7"/>
    <w:rsid w:val="00B8085A"/>
    <w:rsid w:val="00B80923"/>
    <w:rsid w:val="00B80973"/>
    <w:rsid w:val="00B80E4D"/>
    <w:rsid w:val="00B81C6F"/>
    <w:rsid w:val="00B83533"/>
    <w:rsid w:val="00B83DF3"/>
    <w:rsid w:val="00B84025"/>
    <w:rsid w:val="00B84075"/>
    <w:rsid w:val="00B8448D"/>
    <w:rsid w:val="00B84FB9"/>
    <w:rsid w:val="00B8575B"/>
    <w:rsid w:val="00B8627F"/>
    <w:rsid w:val="00B86C35"/>
    <w:rsid w:val="00B86C91"/>
    <w:rsid w:val="00B877A7"/>
    <w:rsid w:val="00B877F3"/>
    <w:rsid w:val="00B905C7"/>
    <w:rsid w:val="00B90EAA"/>
    <w:rsid w:val="00B90FB5"/>
    <w:rsid w:val="00B9111E"/>
    <w:rsid w:val="00B912E1"/>
    <w:rsid w:val="00B9188C"/>
    <w:rsid w:val="00B91A2F"/>
    <w:rsid w:val="00B91E72"/>
    <w:rsid w:val="00B93928"/>
    <w:rsid w:val="00B93DCA"/>
    <w:rsid w:val="00B942D7"/>
    <w:rsid w:val="00B9498B"/>
    <w:rsid w:val="00B94CDF"/>
    <w:rsid w:val="00B94D00"/>
    <w:rsid w:val="00B94D9B"/>
    <w:rsid w:val="00B954B6"/>
    <w:rsid w:val="00B95549"/>
    <w:rsid w:val="00B9564C"/>
    <w:rsid w:val="00B956F5"/>
    <w:rsid w:val="00B959DB"/>
    <w:rsid w:val="00B95B27"/>
    <w:rsid w:val="00B95BF4"/>
    <w:rsid w:val="00B9609E"/>
    <w:rsid w:val="00B960AF"/>
    <w:rsid w:val="00B9628E"/>
    <w:rsid w:val="00B96358"/>
    <w:rsid w:val="00B96B90"/>
    <w:rsid w:val="00B96C4B"/>
    <w:rsid w:val="00B96ED1"/>
    <w:rsid w:val="00B974B8"/>
    <w:rsid w:val="00B9753B"/>
    <w:rsid w:val="00B977E5"/>
    <w:rsid w:val="00B97D3E"/>
    <w:rsid w:val="00B97E8B"/>
    <w:rsid w:val="00BA02E1"/>
    <w:rsid w:val="00BA0826"/>
    <w:rsid w:val="00BA0AFF"/>
    <w:rsid w:val="00BA1497"/>
    <w:rsid w:val="00BA3B06"/>
    <w:rsid w:val="00BA4429"/>
    <w:rsid w:val="00BA50BA"/>
    <w:rsid w:val="00BA5972"/>
    <w:rsid w:val="00BA5EE2"/>
    <w:rsid w:val="00BA7583"/>
    <w:rsid w:val="00BA7CF6"/>
    <w:rsid w:val="00BB00CC"/>
    <w:rsid w:val="00BB0190"/>
    <w:rsid w:val="00BB0344"/>
    <w:rsid w:val="00BB03DD"/>
    <w:rsid w:val="00BB10A3"/>
    <w:rsid w:val="00BB13E5"/>
    <w:rsid w:val="00BB1530"/>
    <w:rsid w:val="00BB1BCB"/>
    <w:rsid w:val="00BB235A"/>
    <w:rsid w:val="00BB267B"/>
    <w:rsid w:val="00BB2D60"/>
    <w:rsid w:val="00BB2E72"/>
    <w:rsid w:val="00BB3293"/>
    <w:rsid w:val="00BB36AA"/>
    <w:rsid w:val="00BB3C39"/>
    <w:rsid w:val="00BB3D6D"/>
    <w:rsid w:val="00BB3F1F"/>
    <w:rsid w:val="00BB43EE"/>
    <w:rsid w:val="00BB4E18"/>
    <w:rsid w:val="00BB547A"/>
    <w:rsid w:val="00BB57FA"/>
    <w:rsid w:val="00BB59E0"/>
    <w:rsid w:val="00BB5CDE"/>
    <w:rsid w:val="00BB630A"/>
    <w:rsid w:val="00BB67D6"/>
    <w:rsid w:val="00BB75CB"/>
    <w:rsid w:val="00BB75FE"/>
    <w:rsid w:val="00BB7CAA"/>
    <w:rsid w:val="00BB7D5F"/>
    <w:rsid w:val="00BC09A9"/>
    <w:rsid w:val="00BC0DC9"/>
    <w:rsid w:val="00BC1798"/>
    <w:rsid w:val="00BC2041"/>
    <w:rsid w:val="00BC20C2"/>
    <w:rsid w:val="00BC221F"/>
    <w:rsid w:val="00BC3BEF"/>
    <w:rsid w:val="00BC43E5"/>
    <w:rsid w:val="00BC47D0"/>
    <w:rsid w:val="00BC49BF"/>
    <w:rsid w:val="00BC4EC5"/>
    <w:rsid w:val="00BC52E2"/>
    <w:rsid w:val="00BC5CCD"/>
    <w:rsid w:val="00BC6D36"/>
    <w:rsid w:val="00BC6E2D"/>
    <w:rsid w:val="00BC6EB6"/>
    <w:rsid w:val="00BC6EBD"/>
    <w:rsid w:val="00BC6F1A"/>
    <w:rsid w:val="00BC7CF8"/>
    <w:rsid w:val="00BD0754"/>
    <w:rsid w:val="00BD0A71"/>
    <w:rsid w:val="00BD0ABB"/>
    <w:rsid w:val="00BD0D2A"/>
    <w:rsid w:val="00BD149C"/>
    <w:rsid w:val="00BD1D3B"/>
    <w:rsid w:val="00BD1F9F"/>
    <w:rsid w:val="00BD211B"/>
    <w:rsid w:val="00BD2758"/>
    <w:rsid w:val="00BD3098"/>
    <w:rsid w:val="00BD3129"/>
    <w:rsid w:val="00BD336A"/>
    <w:rsid w:val="00BD342E"/>
    <w:rsid w:val="00BD3B6A"/>
    <w:rsid w:val="00BD408A"/>
    <w:rsid w:val="00BD4F6D"/>
    <w:rsid w:val="00BD500B"/>
    <w:rsid w:val="00BD57E9"/>
    <w:rsid w:val="00BD5CF1"/>
    <w:rsid w:val="00BD5E04"/>
    <w:rsid w:val="00BD6BBF"/>
    <w:rsid w:val="00BD6FE1"/>
    <w:rsid w:val="00BD73E2"/>
    <w:rsid w:val="00BD74D8"/>
    <w:rsid w:val="00BD7631"/>
    <w:rsid w:val="00BD7BC1"/>
    <w:rsid w:val="00BE08E0"/>
    <w:rsid w:val="00BE1210"/>
    <w:rsid w:val="00BE1413"/>
    <w:rsid w:val="00BE16A5"/>
    <w:rsid w:val="00BE23AA"/>
    <w:rsid w:val="00BE26B0"/>
    <w:rsid w:val="00BE2D0F"/>
    <w:rsid w:val="00BE2D95"/>
    <w:rsid w:val="00BE355C"/>
    <w:rsid w:val="00BE38F8"/>
    <w:rsid w:val="00BE49B7"/>
    <w:rsid w:val="00BE517A"/>
    <w:rsid w:val="00BE51B2"/>
    <w:rsid w:val="00BE5255"/>
    <w:rsid w:val="00BE5C0D"/>
    <w:rsid w:val="00BE5EAD"/>
    <w:rsid w:val="00BE6133"/>
    <w:rsid w:val="00BE6CB9"/>
    <w:rsid w:val="00BE71B9"/>
    <w:rsid w:val="00BE7393"/>
    <w:rsid w:val="00BE741C"/>
    <w:rsid w:val="00BE793B"/>
    <w:rsid w:val="00BE7CD1"/>
    <w:rsid w:val="00BF0038"/>
    <w:rsid w:val="00BF0081"/>
    <w:rsid w:val="00BF018E"/>
    <w:rsid w:val="00BF0333"/>
    <w:rsid w:val="00BF0C89"/>
    <w:rsid w:val="00BF101B"/>
    <w:rsid w:val="00BF1B90"/>
    <w:rsid w:val="00BF1CFC"/>
    <w:rsid w:val="00BF1DAA"/>
    <w:rsid w:val="00BF1DF6"/>
    <w:rsid w:val="00BF1F9F"/>
    <w:rsid w:val="00BF2399"/>
    <w:rsid w:val="00BF266D"/>
    <w:rsid w:val="00BF3E34"/>
    <w:rsid w:val="00BF40D0"/>
    <w:rsid w:val="00BF422A"/>
    <w:rsid w:val="00BF45FD"/>
    <w:rsid w:val="00BF4CCA"/>
    <w:rsid w:val="00BF4DC3"/>
    <w:rsid w:val="00BF500E"/>
    <w:rsid w:val="00BF55B6"/>
    <w:rsid w:val="00BF55C5"/>
    <w:rsid w:val="00BF5FB1"/>
    <w:rsid w:val="00BF5FBB"/>
    <w:rsid w:val="00BF6C3D"/>
    <w:rsid w:val="00BF7734"/>
    <w:rsid w:val="00BF7893"/>
    <w:rsid w:val="00BF790C"/>
    <w:rsid w:val="00BF7F05"/>
    <w:rsid w:val="00BF7F09"/>
    <w:rsid w:val="00C000F2"/>
    <w:rsid w:val="00C0060B"/>
    <w:rsid w:val="00C015B4"/>
    <w:rsid w:val="00C016D1"/>
    <w:rsid w:val="00C031F6"/>
    <w:rsid w:val="00C03322"/>
    <w:rsid w:val="00C0393D"/>
    <w:rsid w:val="00C04D41"/>
    <w:rsid w:val="00C05E8E"/>
    <w:rsid w:val="00C061D4"/>
    <w:rsid w:val="00C06CEB"/>
    <w:rsid w:val="00C07097"/>
    <w:rsid w:val="00C07611"/>
    <w:rsid w:val="00C07684"/>
    <w:rsid w:val="00C079DE"/>
    <w:rsid w:val="00C07DEB"/>
    <w:rsid w:val="00C101B1"/>
    <w:rsid w:val="00C10635"/>
    <w:rsid w:val="00C10D57"/>
    <w:rsid w:val="00C10F18"/>
    <w:rsid w:val="00C1104E"/>
    <w:rsid w:val="00C116C4"/>
    <w:rsid w:val="00C11B7F"/>
    <w:rsid w:val="00C12D1D"/>
    <w:rsid w:val="00C12F34"/>
    <w:rsid w:val="00C13702"/>
    <w:rsid w:val="00C13AE8"/>
    <w:rsid w:val="00C13F03"/>
    <w:rsid w:val="00C1402E"/>
    <w:rsid w:val="00C143BC"/>
    <w:rsid w:val="00C14C73"/>
    <w:rsid w:val="00C1509F"/>
    <w:rsid w:val="00C1566A"/>
    <w:rsid w:val="00C15778"/>
    <w:rsid w:val="00C15EAB"/>
    <w:rsid w:val="00C1622A"/>
    <w:rsid w:val="00C165C5"/>
    <w:rsid w:val="00C16A22"/>
    <w:rsid w:val="00C16E32"/>
    <w:rsid w:val="00C16F99"/>
    <w:rsid w:val="00C17668"/>
    <w:rsid w:val="00C17ABA"/>
    <w:rsid w:val="00C17B24"/>
    <w:rsid w:val="00C17B63"/>
    <w:rsid w:val="00C17C72"/>
    <w:rsid w:val="00C2077A"/>
    <w:rsid w:val="00C212EE"/>
    <w:rsid w:val="00C21D77"/>
    <w:rsid w:val="00C21FD0"/>
    <w:rsid w:val="00C2291D"/>
    <w:rsid w:val="00C231CE"/>
    <w:rsid w:val="00C243A9"/>
    <w:rsid w:val="00C243EE"/>
    <w:rsid w:val="00C245DA"/>
    <w:rsid w:val="00C248DE"/>
    <w:rsid w:val="00C24BEF"/>
    <w:rsid w:val="00C25201"/>
    <w:rsid w:val="00C2544F"/>
    <w:rsid w:val="00C254BC"/>
    <w:rsid w:val="00C259E4"/>
    <w:rsid w:val="00C25A87"/>
    <w:rsid w:val="00C25E7B"/>
    <w:rsid w:val="00C2639F"/>
    <w:rsid w:val="00C264CE"/>
    <w:rsid w:val="00C26E0E"/>
    <w:rsid w:val="00C2705C"/>
    <w:rsid w:val="00C270AF"/>
    <w:rsid w:val="00C27178"/>
    <w:rsid w:val="00C30A80"/>
    <w:rsid w:val="00C30F4E"/>
    <w:rsid w:val="00C30FD5"/>
    <w:rsid w:val="00C3148A"/>
    <w:rsid w:val="00C31C59"/>
    <w:rsid w:val="00C31CAA"/>
    <w:rsid w:val="00C31E6F"/>
    <w:rsid w:val="00C31F09"/>
    <w:rsid w:val="00C327A6"/>
    <w:rsid w:val="00C32B77"/>
    <w:rsid w:val="00C33113"/>
    <w:rsid w:val="00C332C1"/>
    <w:rsid w:val="00C3382F"/>
    <w:rsid w:val="00C34170"/>
    <w:rsid w:val="00C34289"/>
    <w:rsid w:val="00C3469B"/>
    <w:rsid w:val="00C34755"/>
    <w:rsid w:val="00C355CD"/>
    <w:rsid w:val="00C35B80"/>
    <w:rsid w:val="00C35CB4"/>
    <w:rsid w:val="00C35F26"/>
    <w:rsid w:val="00C35FF7"/>
    <w:rsid w:val="00C36708"/>
    <w:rsid w:val="00C3694F"/>
    <w:rsid w:val="00C36C13"/>
    <w:rsid w:val="00C37140"/>
    <w:rsid w:val="00C378EE"/>
    <w:rsid w:val="00C40842"/>
    <w:rsid w:val="00C40935"/>
    <w:rsid w:val="00C40EB2"/>
    <w:rsid w:val="00C41060"/>
    <w:rsid w:val="00C4189E"/>
    <w:rsid w:val="00C41A40"/>
    <w:rsid w:val="00C41ACE"/>
    <w:rsid w:val="00C41D1A"/>
    <w:rsid w:val="00C422AD"/>
    <w:rsid w:val="00C42872"/>
    <w:rsid w:val="00C4303F"/>
    <w:rsid w:val="00C4368A"/>
    <w:rsid w:val="00C439B4"/>
    <w:rsid w:val="00C45284"/>
    <w:rsid w:val="00C45372"/>
    <w:rsid w:val="00C454C6"/>
    <w:rsid w:val="00C4578F"/>
    <w:rsid w:val="00C45A42"/>
    <w:rsid w:val="00C45DA7"/>
    <w:rsid w:val="00C460BF"/>
    <w:rsid w:val="00C46183"/>
    <w:rsid w:val="00C4658C"/>
    <w:rsid w:val="00C46FB5"/>
    <w:rsid w:val="00C4713A"/>
    <w:rsid w:val="00C47297"/>
    <w:rsid w:val="00C47C94"/>
    <w:rsid w:val="00C50088"/>
    <w:rsid w:val="00C50154"/>
    <w:rsid w:val="00C50273"/>
    <w:rsid w:val="00C50408"/>
    <w:rsid w:val="00C506D5"/>
    <w:rsid w:val="00C50F56"/>
    <w:rsid w:val="00C513C8"/>
    <w:rsid w:val="00C513FA"/>
    <w:rsid w:val="00C5223A"/>
    <w:rsid w:val="00C52A86"/>
    <w:rsid w:val="00C52E44"/>
    <w:rsid w:val="00C5365B"/>
    <w:rsid w:val="00C53813"/>
    <w:rsid w:val="00C54E53"/>
    <w:rsid w:val="00C558B5"/>
    <w:rsid w:val="00C559CC"/>
    <w:rsid w:val="00C55CB8"/>
    <w:rsid w:val="00C55F8A"/>
    <w:rsid w:val="00C56263"/>
    <w:rsid w:val="00C56291"/>
    <w:rsid w:val="00C56FF5"/>
    <w:rsid w:val="00C5722A"/>
    <w:rsid w:val="00C576E3"/>
    <w:rsid w:val="00C57AD4"/>
    <w:rsid w:val="00C600F1"/>
    <w:rsid w:val="00C60141"/>
    <w:rsid w:val="00C60382"/>
    <w:rsid w:val="00C60DBB"/>
    <w:rsid w:val="00C61060"/>
    <w:rsid w:val="00C6123E"/>
    <w:rsid w:val="00C614E0"/>
    <w:rsid w:val="00C614E2"/>
    <w:rsid w:val="00C615C4"/>
    <w:rsid w:val="00C61DC1"/>
    <w:rsid w:val="00C61E33"/>
    <w:rsid w:val="00C61EEF"/>
    <w:rsid w:val="00C61FE2"/>
    <w:rsid w:val="00C62324"/>
    <w:rsid w:val="00C6320B"/>
    <w:rsid w:val="00C635F6"/>
    <w:rsid w:val="00C63B9D"/>
    <w:rsid w:val="00C63BAE"/>
    <w:rsid w:val="00C64458"/>
    <w:rsid w:val="00C646E0"/>
    <w:rsid w:val="00C64E3A"/>
    <w:rsid w:val="00C651A7"/>
    <w:rsid w:val="00C65245"/>
    <w:rsid w:val="00C65508"/>
    <w:rsid w:val="00C656E7"/>
    <w:rsid w:val="00C6570C"/>
    <w:rsid w:val="00C65D2B"/>
    <w:rsid w:val="00C663E3"/>
    <w:rsid w:val="00C663E6"/>
    <w:rsid w:val="00C6692B"/>
    <w:rsid w:val="00C66A68"/>
    <w:rsid w:val="00C67B92"/>
    <w:rsid w:val="00C67D94"/>
    <w:rsid w:val="00C70C7D"/>
    <w:rsid w:val="00C70C7E"/>
    <w:rsid w:val="00C7100C"/>
    <w:rsid w:val="00C71225"/>
    <w:rsid w:val="00C7152E"/>
    <w:rsid w:val="00C715B5"/>
    <w:rsid w:val="00C71BC5"/>
    <w:rsid w:val="00C72426"/>
    <w:rsid w:val="00C72465"/>
    <w:rsid w:val="00C7262B"/>
    <w:rsid w:val="00C72B8D"/>
    <w:rsid w:val="00C7409F"/>
    <w:rsid w:val="00C746C3"/>
    <w:rsid w:val="00C753B5"/>
    <w:rsid w:val="00C75417"/>
    <w:rsid w:val="00C757B1"/>
    <w:rsid w:val="00C75CA3"/>
    <w:rsid w:val="00C7613E"/>
    <w:rsid w:val="00C7680D"/>
    <w:rsid w:val="00C76C8C"/>
    <w:rsid w:val="00C76CDA"/>
    <w:rsid w:val="00C77EEF"/>
    <w:rsid w:val="00C801AF"/>
    <w:rsid w:val="00C803F0"/>
    <w:rsid w:val="00C806C3"/>
    <w:rsid w:val="00C80AC1"/>
    <w:rsid w:val="00C80EF4"/>
    <w:rsid w:val="00C81590"/>
    <w:rsid w:val="00C819B7"/>
    <w:rsid w:val="00C819CE"/>
    <w:rsid w:val="00C81A59"/>
    <w:rsid w:val="00C82947"/>
    <w:rsid w:val="00C829B6"/>
    <w:rsid w:val="00C8312C"/>
    <w:rsid w:val="00C83192"/>
    <w:rsid w:val="00C83657"/>
    <w:rsid w:val="00C83E3B"/>
    <w:rsid w:val="00C84003"/>
    <w:rsid w:val="00C843BF"/>
    <w:rsid w:val="00C84A6B"/>
    <w:rsid w:val="00C84C97"/>
    <w:rsid w:val="00C85112"/>
    <w:rsid w:val="00C853B2"/>
    <w:rsid w:val="00C85E54"/>
    <w:rsid w:val="00C85F6B"/>
    <w:rsid w:val="00C86640"/>
    <w:rsid w:val="00C86679"/>
    <w:rsid w:val="00C86B84"/>
    <w:rsid w:val="00C878B7"/>
    <w:rsid w:val="00C878D3"/>
    <w:rsid w:val="00C87B2F"/>
    <w:rsid w:val="00C87C30"/>
    <w:rsid w:val="00C87EB6"/>
    <w:rsid w:val="00C87F9C"/>
    <w:rsid w:val="00C90459"/>
    <w:rsid w:val="00C904CE"/>
    <w:rsid w:val="00C909C1"/>
    <w:rsid w:val="00C90B74"/>
    <w:rsid w:val="00C911A9"/>
    <w:rsid w:val="00C9139B"/>
    <w:rsid w:val="00C91596"/>
    <w:rsid w:val="00C9161D"/>
    <w:rsid w:val="00C91A05"/>
    <w:rsid w:val="00C91DEA"/>
    <w:rsid w:val="00C9203F"/>
    <w:rsid w:val="00C924AC"/>
    <w:rsid w:val="00C926B3"/>
    <w:rsid w:val="00C9276F"/>
    <w:rsid w:val="00C92B34"/>
    <w:rsid w:val="00C92BCC"/>
    <w:rsid w:val="00C92F92"/>
    <w:rsid w:val="00C92FB8"/>
    <w:rsid w:val="00C93A23"/>
    <w:rsid w:val="00C93AA6"/>
    <w:rsid w:val="00C94134"/>
    <w:rsid w:val="00C9416E"/>
    <w:rsid w:val="00C9417E"/>
    <w:rsid w:val="00C9462E"/>
    <w:rsid w:val="00C94959"/>
    <w:rsid w:val="00C94B40"/>
    <w:rsid w:val="00C94C48"/>
    <w:rsid w:val="00C95169"/>
    <w:rsid w:val="00C95291"/>
    <w:rsid w:val="00C952F0"/>
    <w:rsid w:val="00C95ED4"/>
    <w:rsid w:val="00C969E3"/>
    <w:rsid w:val="00C975FC"/>
    <w:rsid w:val="00C97953"/>
    <w:rsid w:val="00C97C95"/>
    <w:rsid w:val="00CA0AF0"/>
    <w:rsid w:val="00CA0C92"/>
    <w:rsid w:val="00CA0F12"/>
    <w:rsid w:val="00CA1135"/>
    <w:rsid w:val="00CA1AE5"/>
    <w:rsid w:val="00CA26DB"/>
    <w:rsid w:val="00CA2920"/>
    <w:rsid w:val="00CA3699"/>
    <w:rsid w:val="00CA3893"/>
    <w:rsid w:val="00CA3919"/>
    <w:rsid w:val="00CA3A19"/>
    <w:rsid w:val="00CA3D1E"/>
    <w:rsid w:val="00CA3D75"/>
    <w:rsid w:val="00CA45C3"/>
    <w:rsid w:val="00CA46D3"/>
    <w:rsid w:val="00CA4FF6"/>
    <w:rsid w:val="00CA5049"/>
    <w:rsid w:val="00CA534E"/>
    <w:rsid w:val="00CA5D2F"/>
    <w:rsid w:val="00CA6011"/>
    <w:rsid w:val="00CA6041"/>
    <w:rsid w:val="00CA65B2"/>
    <w:rsid w:val="00CA69C8"/>
    <w:rsid w:val="00CB06F7"/>
    <w:rsid w:val="00CB0825"/>
    <w:rsid w:val="00CB0BD2"/>
    <w:rsid w:val="00CB16BB"/>
    <w:rsid w:val="00CB2405"/>
    <w:rsid w:val="00CB2BEF"/>
    <w:rsid w:val="00CB2F15"/>
    <w:rsid w:val="00CB3209"/>
    <w:rsid w:val="00CB3449"/>
    <w:rsid w:val="00CB3657"/>
    <w:rsid w:val="00CB388A"/>
    <w:rsid w:val="00CB3AE6"/>
    <w:rsid w:val="00CB3B5C"/>
    <w:rsid w:val="00CB45B8"/>
    <w:rsid w:val="00CB46B6"/>
    <w:rsid w:val="00CB4CE3"/>
    <w:rsid w:val="00CB4CEC"/>
    <w:rsid w:val="00CB5075"/>
    <w:rsid w:val="00CB5F40"/>
    <w:rsid w:val="00CB6559"/>
    <w:rsid w:val="00CB6B3C"/>
    <w:rsid w:val="00CB71A4"/>
    <w:rsid w:val="00CB758D"/>
    <w:rsid w:val="00CB7DC4"/>
    <w:rsid w:val="00CC02A3"/>
    <w:rsid w:val="00CC034A"/>
    <w:rsid w:val="00CC1102"/>
    <w:rsid w:val="00CC1430"/>
    <w:rsid w:val="00CC1487"/>
    <w:rsid w:val="00CC18CC"/>
    <w:rsid w:val="00CC27FE"/>
    <w:rsid w:val="00CC2CF4"/>
    <w:rsid w:val="00CC37C8"/>
    <w:rsid w:val="00CC3AC4"/>
    <w:rsid w:val="00CC3C40"/>
    <w:rsid w:val="00CC3C56"/>
    <w:rsid w:val="00CC415E"/>
    <w:rsid w:val="00CC42DF"/>
    <w:rsid w:val="00CC483E"/>
    <w:rsid w:val="00CC4C30"/>
    <w:rsid w:val="00CC4D10"/>
    <w:rsid w:val="00CC4FAA"/>
    <w:rsid w:val="00CC59CB"/>
    <w:rsid w:val="00CC748E"/>
    <w:rsid w:val="00CC7CF3"/>
    <w:rsid w:val="00CD0117"/>
    <w:rsid w:val="00CD0348"/>
    <w:rsid w:val="00CD04B0"/>
    <w:rsid w:val="00CD05BE"/>
    <w:rsid w:val="00CD1811"/>
    <w:rsid w:val="00CD1A88"/>
    <w:rsid w:val="00CD1AAE"/>
    <w:rsid w:val="00CD2462"/>
    <w:rsid w:val="00CD2C3F"/>
    <w:rsid w:val="00CD3272"/>
    <w:rsid w:val="00CD3C74"/>
    <w:rsid w:val="00CD3EE4"/>
    <w:rsid w:val="00CD4040"/>
    <w:rsid w:val="00CD446E"/>
    <w:rsid w:val="00CD44F4"/>
    <w:rsid w:val="00CD47BC"/>
    <w:rsid w:val="00CD4B9B"/>
    <w:rsid w:val="00CD4F55"/>
    <w:rsid w:val="00CD4FC7"/>
    <w:rsid w:val="00CD5956"/>
    <w:rsid w:val="00CD5D1F"/>
    <w:rsid w:val="00CD64C9"/>
    <w:rsid w:val="00CD6A11"/>
    <w:rsid w:val="00CD6AF9"/>
    <w:rsid w:val="00CD712E"/>
    <w:rsid w:val="00CD71CD"/>
    <w:rsid w:val="00CD7364"/>
    <w:rsid w:val="00CD788E"/>
    <w:rsid w:val="00CD78AD"/>
    <w:rsid w:val="00CE05CE"/>
    <w:rsid w:val="00CE0837"/>
    <w:rsid w:val="00CE0A26"/>
    <w:rsid w:val="00CE0E6E"/>
    <w:rsid w:val="00CE1704"/>
    <w:rsid w:val="00CE1D40"/>
    <w:rsid w:val="00CE296C"/>
    <w:rsid w:val="00CE2BAB"/>
    <w:rsid w:val="00CE356A"/>
    <w:rsid w:val="00CE3A1C"/>
    <w:rsid w:val="00CE3E5D"/>
    <w:rsid w:val="00CE4168"/>
    <w:rsid w:val="00CE4811"/>
    <w:rsid w:val="00CE4C0E"/>
    <w:rsid w:val="00CE4DED"/>
    <w:rsid w:val="00CE553E"/>
    <w:rsid w:val="00CE5AE7"/>
    <w:rsid w:val="00CE5EDE"/>
    <w:rsid w:val="00CE7172"/>
    <w:rsid w:val="00CE742C"/>
    <w:rsid w:val="00CE747E"/>
    <w:rsid w:val="00CE78CC"/>
    <w:rsid w:val="00CE7D1A"/>
    <w:rsid w:val="00CF0134"/>
    <w:rsid w:val="00CF116D"/>
    <w:rsid w:val="00CF13F1"/>
    <w:rsid w:val="00CF17A2"/>
    <w:rsid w:val="00CF1848"/>
    <w:rsid w:val="00CF1F51"/>
    <w:rsid w:val="00CF23EF"/>
    <w:rsid w:val="00CF2598"/>
    <w:rsid w:val="00CF284C"/>
    <w:rsid w:val="00CF285A"/>
    <w:rsid w:val="00CF3DD4"/>
    <w:rsid w:val="00CF3FA6"/>
    <w:rsid w:val="00CF45A6"/>
    <w:rsid w:val="00CF4C5B"/>
    <w:rsid w:val="00CF55F0"/>
    <w:rsid w:val="00CF5754"/>
    <w:rsid w:val="00CF5B28"/>
    <w:rsid w:val="00CF7916"/>
    <w:rsid w:val="00D0009A"/>
    <w:rsid w:val="00D00567"/>
    <w:rsid w:val="00D009DC"/>
    <w:rsid w:val="00D00A44"/>
    <w:rsid w:val="00D00A88"/>
    <w:rsid w:val="00D01014"/>
    <w:rsid w:val="00D01176"/>
    <w:rsid w:val="00D031A6"/>
    <w:rsid w:val="00D039BD"/>
    <w:rsid w:val="00D03E7A"/>
    <w:rsid w:val="00D04080"/>
    <w:rsid w:val="00D04ACB"/>
    <w:rsid w:val="00D055AA"/>
    <w:rsid w:val="00D0572C"/>
    <w:rsid w:val="00D061AB"/>
    <w:rsid w:val="00D0685E"/>
    <w:rsid w:val="00D0708B"/>
    <w:rsid w:val="00D071EF"/>
    <w:rsid w:val="00D072C5"/>
    <w:rsid w:val="00D07776"/>
    <w:rsid w:val="00D077EC"/>
    <w:rsid w:val="00D07BDA"/>
    <w:rsid w:val="00D07D7D"/>
    <w:rsid w:val="00D1035B"/>
    <w:rsid w:val="00D10E3E"/>
    <w:rsid w:val="00D1138F"/>
    <w:rsid w:val="00D1177A"/>
    <w:rsid w:val="00D11F0D"/>
    <w:rsid w:val="00D129BA"/>
    <w:rsid w:val="00D12AA8"/>
    <w:rsid w:val="00D13143"/>
    <w:rsid w:val="00D13789"/>
    <w:rsid w:val="00D141C0"/>
    <w:rsid w:val="00D14582"/>
    <w:rsid w:val="00D14589"/>
    <w:rsid w:val="00D14B67"/>
    <w:rsid w:val="00D154A5"/>
    <w:rsid w:val="00D169A0"/>
    <w:rsid w:val="00D16A72"/>
    <w:rsid w:val="00D16B6C"/>
    <w:rsid w:val="00D16B9A"/>
    <w:rsid w:val="00D16E9C"/>
    <w:rsid w:val="00D2030D"/>
    <w:rsid w:val="00D21922"/>
    <w:rsid w:val="00D21A6D"/>
    <w:rsid w:val="00D22B4B"/>
    <w:rsid w:val="00D237B8"/>
    <w:rsid w:val="00D23B1F"/>
    <w:rsid w:val="00D23DA3"/>
    <w:rsid w:val="00D2402E"/>
    <w:rsid w:val="00D243BB"/>
    <w:rsid w:val="00D244B0"/>
    <w:rsid w:val="00D24793"/>
    <w:rsid w:val="00D25053"/>
    <w:rsid w:val="00D2544A"/>
    <w:rsid w:val="00D258C2"/>
    <w:rsid w:val="00D264AC"/>
    <w:rsid w:val="00D268CF"/>
    <w:rsid w:val="00D26FB5"/>
    <w:rsid w:val="00D2711F"/>
    <w:rsid w:val="00D2755C"/>
    <w:rsid w:val="00D276C3"/>
    <w:rsid w:val="00D2777F"/>
    <w:rsid w:val="00D27CDB"/>
    <w:rsid w:val="00D27EC3"/>
    <w:rsid w:val="00D27EED"/>
    <w:rsid w:val="00D30179"/>
    <w:rsid w:val="00D30249"/>
    <w:rsid w:val="00D302AE"/>
    <w:rsid w:val="00D303B8"/>
    <w:rsid w:val="00D30622"/>
    <w:rsid w:val="00D30FD1"/>
    <w:rsid w:val="00D3269A"/>
    <w:rsid w:val="00D32D19"/>
    <w:rsid w:val="00D330C3"/>
    <w:rsid w:val="00D331E4"/>
    <w:rsid w:val="00D33BB6"/>
    <w:rsid w:val="00D34304"/>
    <w:rsid w:val="00D348ED"/>
    <w:rsid w:val="00D34A4E"/>
    <w:rsid w:val="00D34B53"/>
    <w:rsid w:val="00D351C3"/>
    <w:rsid w:val="00D35249"/>
    <w:rsid w:val="00D3551E"/>
    <w:rsid w:val="00D3591E"/>
    <w:rsid w:val="00D35A8E"/>
    <w:rsid w:val="00D3614D"/>
    <w:rsid w:val="00D36195"/>
    <w:rsid w:val="00D3667D"/>
    <w:rsid w:val="00D370A8"/>
    <w:rsid w:val="00D37B69"/>
    <w:rsid w:val="00D4045D"/>
    <w:rsid w:val="00D40506"/>
    <w:rsid w:val="00D40645"/>
    <w:rsid w:val="00D4222A"/>
    <w:rsid w:val="00D4259F"/>
    <w:rsid w:val="00D425DE"/>
    <w:rsid w:val="00D42DAF"/>
    <w:rsid w:val="00D433A3"/>
    <w:rsid w:val="00D4460F"/>
    <w:rsid w:val="00D452C2"/>
    <w:rsid w:val="00D4545E"/>
    <w:rsid w:val="00D46644"/>
    <w:rsid w:val="00D468DA"/>
    <w:rsid w:val="00D46DE9"/>
    <w:rsid w:val="00D46E28"/>
    <w:rsid w:val="00D473C9"/>
    <w:rsid w:val="00D475F0"/>
    <w:rsid w:val="00D5018E"/>
    <w:rsid w:val="00D5061B"/>
    <w:rsid w:val="00D50626"/>
    <w:rsid w:val="00D5062C"/>
    <w:rsid w:val="00D508B2"/>
    <w:rsid w:val="00D50F39"/>
    <w:rsid w:val="00D516B9"/>
    <w:rsid w:val="00D51D9E"/>
    <w:rsid w:val="00D51F4F"/>
    <w:rsid w:val="00D536BF"/>
    <w:rsid w:val="00D53A3F"/>
    <w:rsid w:val="00D53B32"/>
    <w:rsid w:val="00D543C3"/>
    <w:rsid w:val="00D550C2"/>
    <w:rsid w:val="00D554BA"/>
    <w:rsid w:val="00D55677"/>
    <w:rsid w:val="00D5608D"/>
    <w:rsid w:val="00D561BC"/>
    <w:rsid w:val="00D56261"/>
    <w:rsid w:val="00D57495"/>
    <w:rsid w:val="00D576F1"/>
    <w:rsid w:val="00D579DD"/>
    <w:rsid w:val="00D57C47"/>
    <w:rsid w:val="00D57DFA"/>
    <w:rsid w:val="00D57E13"/>
    <w:rsid w:val="00D57F2C"/>
    <w:rsid w:val="00D6077C"/>
    <w:rsid w:val="00D60797"/>
    <w:rsid w:val="00D60950"/>
    <w:rsid w:val="00D622DA"/>
    <w:rsid w:val="00D63214"/>
    <w:rsid w:val="00D63648"/>
    <w:rsid w:val="00D63998"/>
    <w:rsid w:val="00D63EEB"/>
    <w:rsid w:val="00D64216"/>
    <w:rsid w:val="00D64F03"/>
    <w:rsid w:val="00D654B8"/>
    <w:rsid w:val="00D654CC"/>
    <w:rsid w:val="00D66865"/>
    <w:rsid w:val="00D671EC"/>
    <w:rsid w:val="00D67288"/>
    <w:rsid w:val="00D67348"/>
    <w:rsid w:val="00D703A3"/>
    <w:rsid w:val="00D70698"/>
    <w:rsid w:val="00D70D7D"/>
    <w:rsid w:val="00D71307"/>
    <w:rsid w:val="00D716F3"/>
    <w:rsid w:val="00D71715"/>
    <w:rsid w:val="00D72C1E"/>
    <w:rsid w:val="00D73087"/>
    <w:rsid w:val="00D7465A"/>
    <w:rsid w:val="00D746FB"/>
    <w:rsid w:val="00D7515C"/>
    <w:rsid w:val="00D7528F"/>
    <w:rsid w:val="00D757BF"/>
    <w:rsid w:val="00D75B84"/>
    <w:rsid w:val="00D76A18"/>
    <w:rsid w:val="00D76C39"/>
    <w:rsid w:val="00D76C85"/>
    <w:rsid w:val="00D771FD"/>
    <w:rsid w:val="00D7742E"/>
    <w:rsid w:val="00D77628"/>
    <w:rsid w:val="00D8016A"/>
    <w:rsid w:val="00D80388"/>
    <w:rsid w:val="00D80A1E"/>
    <w:rsid w:val="00D80A26"/>
    <w:rsid w:val="00D80E57"/>
    <w:rsid w:val="00D8147A"/>
    <w:rsid w:val="00D82472"/>
    <w:rsid w:val="00D83442"/>
    <w:rsid w:val="00D83556"/>
    <w:rsid w:val="00D837A1"/>
    <w:rsid w:val="00D83EDB"/>
    <w:rsid w:val="00D83F37"/>
    <w:rsid w:val="00D844F2"/>
    <w:rsid w:val="00D8488E"/>
    <w:rsid w:val="00D84E14"/>
    <w:rsid w:val="00D85563"/>
    <w:rsid w:val="00D85D4B"/>
    <w:rsid w:val="00D85F8A"/>
    <w:rsid w:val="00D8600F"/>
    <w:rsid w:val="00D86607"/>
    <w:rsid w:val="00D87625"/>
    <w:rsid w:val="00D877FF"/>
    <w:rsid w:val="00D907A0"/>
    <w:rsid w:val="00D90909"/>
    <w:rsid w:val="00D90BC6"/>
    <w:rsid w:val="00D90FE8"/>
    <w:rsid w:val="00D9191E"/>
    <w:rsid w:val="00D9199C"/>
    <w:rsid w:val="00D91DAC"/>
    <w:rsid w:val="00D91E05"/>
    <w:rsid w:val="00D92652"/>
    <w:rsid w:val="00D92F64"/>
    <w:rsid w:val="00D93368"/>
    <w:rsid w:val="00D93912"/>
    <w:rsid w:val="00D93B99"/>
    <w:rsid w:val="00D94485"/>
    <w:rsid w:val="00D95155"/>
    <w:rsid w:val="00D9544B"/>
    <w:rsid w:val="00D954CF"/>
    <w:rsid w:val="00D95B9E"/>
    <w:rsid w:val="00D965B6"/>
    <w:rsid w:val="00D96682"/>
    <w:rsid w:val="00D96BFB"/>
    <w:rsid w:val="00D96E7B"/>
    <w:rsid w:val="00D97282"/>
    <w:rsid w:val="00D97487"/>
    <w:rsid w:val="00D977AA"/>
    <w:rsid w:val="00D97939"/>
    <w:rsid w:val="00D97B18"/>
    <w:rsid w:val="00D97E4F"/>
    <w:rsid w:val="00DA0317"/>
    <w:rsid w:val="00DA1128"/>
    <w:rsid w:val="00DA172D"/>
    <w:rsid w:val="00DA3306"/>
    <w:rsid w:val="00DA3580"/>
    <w:rsid w:val="00DA44D3"/>
    <w:rsid w:val="00DA501E"/>
    <w:rsid w:val="00DA5F96"/>
    <w:rsid w:val="00DA6AC5"/>
    <w:rsid w:val="00DA7D63"/>
    <w:rsid w:val="00DB0025"/>
    <w:rsid w:val="00DB00A7"/>
    <w:rsid w:val="00DB052B"/>
    <w:rsid w:val="00DB120B"/>
    <w:rsid w:val="00DB12FF"/>
    <w:rsid w:val="00DB1397"/>
    <w:rsid w:val="00DB1AC4"/>
    <w:rsid w:val="00DB2825"/>
    <w:rsid w:val="00DB28EA"/>
    <w:rsid w:val="00DB2C0C"/>
    <w:rsid w:val="00DB3359"/>
    <w:rsid w:val="00DB3CDB"/>
    <w:rsid w:val="00DB3DB1"/>
    <w:rsid w:val="00DB408B"/>
    <w:rsid w:val="00DB4112"/>
    <w:rsid w:val="00DB4815"/>
    <w:rsid w:val="00DB4E87"/>
    <w:rsid w:val="00DB59E9"/>
    <w:rsid w:val="00DB5C66"/>
    <w:rsid w:val="00DB6281"/>
    <w:rsid w:val="00DB62C0"/>
    <w:rsid w:val="00DB6496"/>
    <w:rsid w:val="00DB6BE3"/>
    <w:rsid w:val="00DB6E00"/>
    <w:rsid w:val="00DB6FCC"/>
    <w:rsid w:val="00DB755B"/>
    <w:rsid w:val="00DB78C4"/>
    <w:rsid w:val="00DC007C"/>
    <w:rsid w:val="00DC05C2"/>
    <w:rsid w:val="00DC084E"/>
    <w:rsid w:val="00DC0B28"/>
    <w:rsid w:val="00DC0E46"/>
    <w:rsid w:val="00DC101B"/>
    <w:rsid w:val="00DC1737"/>
    <w:rsid w:val="00DC19BF"/>
    <w:rsid w:val="00DC19EE"/>
    <w:rsid w:val="00DC29E4"/>
    <w:rsid w:val="00DC2C46"/>
    <w:rsid w:val="00DC3D1D"/>
    <w:rsid w:val="00DC411F"/>
    <w:rsid w:val="00DC45D4"/>
    <w:rsid w:val="00DC5009"/>
    <w:rsid w:val="00DC5054"/>
    <w:rsid w:val="00DC507E"/>
    <w:rsid w:val="00DC52F7"/>
    <w:rsid w:val="00DC577A"/>
    <w:rsid w:val="00DC6831"/>
    <w:rsid w:val="00DC6F63"/>
    <w:rsid w:val="00DC7208"/>
    <w:rsid w:val="00DC720D"/>
    <w:rsid w:val="00DC72FD"/>
    <w:rsid w:val="00DC732B"/>
    <w:rsid w:val="00DC75B1"/>
    <w:rsid w:val="00DC7D76"/>
    <w:rsid w:val="00DC7E52"/>
    <w:rsid w:val="00DD0BA3"/>
    <w:rsid w:val="00DD0F40"/>
    <w:rsid w:val="00DD118C"/>
    <w:rsid w:val="00DD14EF"/>
    <w:rsid w:val="00DD1560"/>
    <w:rsid w:val="00DD201B"/>
    <w:rsid w:val="00DD20CF"/>
    <w:rsid w:val="00DD2167"/>
    <w:rsid w:val="00DD230D"/>
    <w:rsid w:val="00DD265D"/>
    <w:rsid w:val="00DD3339"/>
    <w:rsid w:val="00DD3653"/>
    <w:rsid w:val="00DD3CE9"/>
    <w:rsid w:val="00DD3E4C"/>
    <w:rsid w:val="00DD42F7"/>
    <w:rsid w:val="00DD4897"/>
    <w:rsid w:val="00DD4A6A"/>
    <w:rsid w:val="00DD504C"/>
    <w:rsid w:val="00DD6B72"/>
    <w:rsid w:val="00DD6E79"/>
    <w:rsid w:val="00DD6FBB"/>
    <w:rsid w:val="00DD703F"/>
    <w:rsid w:val="00DD717D"/>
    <w:rsid w:val="00DD7546"/>
    <w:rsid w:val="00DD778B"/>
    <w:rsid w:val="00DD78FC"/>
    <w:rsid w:val="00DD7936"/>
    <w:rsid w:val="00DE00BA"/>
    <w:rsid w:val="00DE0824"/>
    <w:rsid w:val="00DE0894"/>
    <w:rsid w:val="00DE0E9B"/>
    <w:rsid w:val="00DE1034"/>
    <w:rsid w:val="00DE2ECE"/>
    <w:rsid w:val="00DE325D"/>
    <w:rsid w:val="00DE33B9"/>
    <w:rsid w:val="00DE343B"/>
    <w:rsid w:val="00DE391F"/>
    <w:rsid w:val="00DE3B2E"/>
    <w:rsid w:val="00DE49EC"/>
    <w:rsid w:val="00DE4DBF"/>
    <w:rsid w:val="00DE5298"/>
    <w:rsid w:val="00DE53E7"/>
    <w:rsid w:val="00DE5437"/>
    <w:rsid w:val="00DE5A37"/>
    <w:rsid w:val="00DE6FD6"/>
    <w:rsid w:val="00DE76A3"/>
    <w:rsid w:val="00DE7B09"/>
    <w:rsid w:val="00DF0745"/>
    <w:rsid w:val="00DF0D30"/>
    <w:rsid w:val="00DF2341"/>
    <w:rsid w:val="00DF271C"/>
    <w:rsid w:val="00DF2AE6"/>
    <w:rsid w:val="00DF2EC4"/>
    <w:rsid w:val="00DF2EF4"/>
    <w:rsid w:val="00DF3F56"/>
    <w:rsid w:val="00DF43E4"/>
    <w:rsid w:val="00DF48D5"/>
    <w:rsid w:val="00DF4B48"/>
    <w:rsid w:val="00DF51C0"/>
    <w:rsid w:val="00DF5507"/>
    <w:rsid w:val="00DF551A"/>
    <w:rsid w:val="00DF5568"/>
    <w:rsid w:val="00DF5BF4"/>
    <w:rsid w:val="00DF658E"/>
    <w:rsid w:val="00DF6A52"/>
    <w:rsid w:val="00DF6B5A"/>
    <w:rsid w:val="00DF6E63"/>
    <w:rsid w:val="00DF6F1D"/>
    <w:rsid w:val="00DF745A"/>
    <w:rsid w:val="00DF7FC6"/>
    <w:rsid w:val="00E01326"/>
    <w:rsid w:val="00E01EE7"/>
    <w:rsid w:val="00E02135"/>
    <w:rsid w:val="00E0216B"/>
    <w:rsid w:val="00E0269F"/>
    <w:rsid w:val="00E027EC"/>
    <w:rsid w:val="00E02841"/>
    <w:rsid w:val="00E0289F"/>
    <w:rsid w:val="00E02E86"/>
    <w:rsid w:val="00E030A3"/>
    <w:rsid w:val="00E033BD"/>
    <w:rsid w:val="00E038EC"/>
    <w:rsid w:val="00E038F4"/>
    <w:rsid w:val="00E04272"/>
    <w:rsid w:val="00E049BE"/>
    <w:rsid w:val="00E04A1B"/>
    <w:rsid w:val="00E04F21"/>
    <w:rsid w:val="00E05EAC"/>
    <w:rsid w:val="00E06303"/>
    <w:rsid w:val="00E065C1"/>
    <w:rsid w:val="00E07552"/>
    <w:rsid w:val="00E10346"/>
    <w:rsid w:val="00E104C8"/>
    <w:rsid w:val="00E10A1D"/>
    <w:rsid w:val="00E11104"/>
    <w:rsid w:val="00E11459"/>
    <w:rsid w:val="00E11A38"/>
    <w:rsid w:val="00E12299"/>
    <w:rsid w:val="00E125F0"/>
    <w:rsid w:val="00E12CC4"/>
    <w:rsid w:val="00E13033"/>
    <w:rsid w:val="00E1379C"/>
    <w:rsid w:val="00E13A60"/>
    <w:rsid w:val="00E13D89"/>
    <w:rsid w:val="00E14516"/>
    <w:rsid w:val="00E14816"/>
    <w:rsid w:val="00E14D50"/>
    <w:rsid w:val="00E14DE5"/>
    <w:rsid w:val="00E1560B"/>
    <w:rsid w:val="00E156FE"/>
    <w:rsid w:val="00E15A4E"/>
    <w:rsid w:val="00E15A7E"/>
    <w:rsid w:val="00E15C75"/>
    <w:rsid w:val="00E1683A"/>
    <w:rsid w:val="00E16A62"/>
    <w:rsid w:val="00E16A71"/>
    <w:rsid w:val="00E16C60"/>
    <w:rsid w:val="00E17A3F"/>
    <w:rsid w:val="00E17DB5"/>
    <w:rsid w:val="00E20B9B"/>
    <w:rsid w:val="00E20BE0"/>
    <w:rsid w:val="00E20CDD"/>
    <w:rsid w:val="00E211BF"/>
    <w:rsid w:val="00E21548"/>
    <w:rsid w:val="00E2159A"/>
    <w:rsid w:val="00E217B3"/>
    <w:rsid w:val="00E217BA"/>
    <w:rsid w:val="00E21EAD"/>
    <w:rsid w:val="00E22D2E"/>
    <w:rsid w:val="00E22D62"/>
    <w:rsid w:val="00E248E0"/>
    <w:rsid w:val="00E24BEA"/>
    <w:rsid w:val="00E24EE7"/>
    <w:rsid w:val="00E25874"/>
    <w:rsid w:val="00E25A84"/>
    <w:rsid w:val="00E25DC1"/>
    <w:rsid w:val="00E260A7"/>
    <w:rsid w:val="00E26149"/>
    <w:rsid w:val="00E267AB"/>
    <w:rsid w:val="00E26D66"/>
    <w:rsid w:val="00E26FB5"/>
    <w:rsid w:val="00E27B10"/>
    <w:rsid w:val="00E300E5"/>
    <w:rsid w:val="00E306F8"/>
    <w:rsid w:val="00E30C01"/>
    <w:rsid w:val="00E310E4"/>
    <w:rsid w:val="00E3139F"/>
    <w:rsid w:val="00E315A2"/>
    <w:rsid w:val="00E315BB"/>
    <w:rsid w:val="00E31DEB"/>
    <w:rsid w:val="00E321E4"/>
    <w:rsid w:val="00E32730"/>
    <w:rsid w:val="00E32BFC"/>
    <w:rsid w:val="00E333F3"/>
    <w:rsid w:val="00E333FD"/>
    <w:rsid w:val="00E335F9"/>
    <w:rsid w:val="00E33A07"/>
    <w:rsid w:val="00E33ACF"/>
    <w:rsid w:val="00E33DB9"/>
    <w:rsid w:val="00E350D0"/>
    <w:rsid w:val="00E35EF6"/>
    <w:rsid w:val="00E367C7"/>
    <w:rsid w:val="00E36851"/>
    <w:rsid w:val="00E36977"/>
    <w:rsid w:val="00E369EC"/>
    <w:rsid w:val="00E36B95"/>
    <w:rsid w:val="00E3763C"/>
    <w:rsid w:val="00E40491"/>
    <w:rsid w:val="00E40744"/>
    <w:rsid w:val="00E40DC4"/>
    <w:rsid w:val="00E412EC"/>
    <w:rsid w:val="00E41470"/>
    <w:rsid w:val="00E41B7C"/>
    <w:rsid w:val="00E4291F"/>
    <w:rsid w:val="00E433C6"/>
    <w:rsid w:val="00E43539"/>
    <w:rsid w:val="00E43834"/>
    <w:rsid w:val="00E43986"/>
    <w:rsid w:val="00E43D2C"/>
    <w:rsid w:val="00E4411D"/>
    <w:rsid w:val="00E44238"/>
    <w:rsid w:val="00E44295"/>
    <w:rsid w:val="00E44316"/>
    <w:rsid w:val="00E44528"/>
    <w:rsid w:val="00E44E2A"/>
    <w:rsid w:val="00E455C9"/>
    <w:rsid w:val="00E45E57"/>
    <w:rsid w:val="00E46140"/>
    <w:rsid w:val="00E46FA6"/>
    <w:rsid w:val="00E471A4"/>
    <w:rsid w:val="00E471E4"/>
    <w:rsid w:val="00E47400"/>
    <w:rsid w:val="00E47E7C"/>
    <w:rsid w:val="00E505A1"/>
    <w:rsid w:val="00E507BC"/>
    <w:rsid w:val="00E50A87"/>
    <w:rsid w:val="00E5148C"/>
    <w:rsid w:val="00E51D1D"/>
    <w:rsid w:val="00E51E2E"/>
    <w:rsid w:val="00E521C2"/>
    <w:rsid w:val="00E529C9"/>
    <w:rsid w:val="00E53FDA"/>
    <w:rsid w:val="00E5417B"/>
    <w:rsid w:val="00E54DEF"/>
    <w:rsid w:val="00E55931"/>
    <w:rsid w:val="00E560A8"/>
    <w:rsid w:val="00E5677F"/>
    <w:rsid w:val="00E56F95"/>
    <w:rsid w:val="00E57188"/>
    <w:rsid w:val="00E571EF"/>
    <w:rsid w:val="00E5787E"/>
    <w:rsid w:val="00E57F3C"/>
    <w:rsid w:val="00E60105"/>
    <w:rsid w:val="00E60332"/>
    <w:rsid w:val="00E603A7"/>
    <w:rsid w:val="00E6046F"/>
    <w:rsid w:val="00E60840"/>
    <w:rsid w:val="00E60E96"/>
    <w:rsid w:val="00E60EC2"/>
    <w:rsid w:val="00E610EB"/>
    <w:rsid w:val="00E61CA8"/>
    <w:rsid w:val="00E635C4"/>
    <w:rsid w:val="00E635D0"/>
    <w:rsid w:val="00E6396A"/>
    <w:rsid w:val="00E63D77"/>
    <w:rsid w:val="00E63E72"/>
    <w:rsid w:val="00E63FF2"/>
    <w:rsid w:val="00E64284"/>
    <w:rsid w:val="00E6462B"/>
    <w:rsid w:val="00E6476D"/>
    <w:rsid w:val="00E65370"/>
    <w:rsid w:val="00E65908"/>
    <w:rsid w:val="00E66235"/>
    <w:rsid w:val="00E6699F"/>
    <w:rsid w:val="00E66CCD"/>
    <w:rsid w:val="00E66F11"/>
    <w:rsid w:val="00E674C2"/>
    <w:rsid w:val="00E677F0"/>
    <w:rsid w:val="00E67FD6"/>
    <w:rsid w:val="00E70125"/>
    <w:rsid w:val="00E70621"/>
    <w:rsid w:val="00E70637"/>
    <w:rsid w:val="00E70804"/>
    <w:rsid w:val="00E709C6"/>
    <w:rsid w:val="00E71577"/>
    <w:rsid w:val="00E717D7"/>
    <w:rsid w:val="00E71868"/>
    <w:rsid w:val="00E71B74"/>
    <w:rsid w:val="00E721BA"/>
    <w:rsid w:val="00E72858"/>
    <w:rsid w:val="00E72B3C"/>
    <w:rsid w:val="00E72B69"/>
    <w:rsid w:val="00E72D01"/>
    <w:rsid w:val="00E73412"/>
    <w:rsid w:val="00E73C17"/>
    <w:rsid w:val="00E73CE8"/>
    <w:rsid w:val="00E74472"/>
    <w:rsid w:val="00E744AB"/>
    <w:rsid w:val="00E75022"/>
    <w:rsid w:val="00E752A5"/>
    <w:rsid w:val="00E758CD"/>
    <w:rsid w:val="00E7595B"/>
    <w:rsid w:val="00E76356"/>
    <w:rsid w:val="00E767F3"/>
    <w:rsid w:val="00E76D3B"/>
    <w:rsid w:val="00E76F13"/>
    <w:rsid w:val="00E76F5B"/>
    <w:rsid w:val="00E770F9"/>
    <w:rsid w:val="00E772B8"/>
    <w:rsid w:val="00E773E2"/>
    <w:rsid w:val="00E776C7"/>
    <w:rsid w:val="00E77712"/>
    <w:rsid w:val="00E77728"/>
    <w:rsid w:val="00E77975"/>
    <w:rsid w:val="00E801D3"/>
    <w:rsid w:val="00E80492"/>
    <w:rsid w:val="00E80CCF"/>
    <w:rsid w:val="00E81393"/>
    <w:rsid w:val="00E81395"/>
    <w:rsid w:val="00E8160C"/>
    <w:rsid w:val="00E8163A"/>
    <w:rsid w:val="00E81A23"/>
    <w:rsid w:val="00E81A33"/>
    <w:rsid w:val="00E81A63"/>
    <w:rsid w:val="00E8246B"/>
    <w:rsid w:val="00E83052"/>
    <w:rsid w:val="00E839C3"/>
    <w:rsid w:val="00E83C24"/>
    <w:rsid w:val="00E840FB"/>
    <w:rsid w:val="00E846C6"/>
    <w:rsid w:val="00E84744"/>
    <w:rsid w:val="00E84949"/>
    <w:rsid w:val="00E85183"/>
    <w:rsid w:val="00E8570E"/>
    <w:rsid w:val="00E8645C"/>
    <w:rsid w:val="00E86637"/>
    <w:rsid w:val="00E8670D"/>
    <w:rsid w:val="00E86A8F"/>
    <w:rsid w:val="00E8717D"/>
    <w:rsid w:val="00E872B9"/>
    <w:rsid w:val="00E875B3"/>
    <w:rsid w:val="00E87DB2"/>
    <w:rsid w:val="00E87E88"/>
    <w:rsid w:val="00E903BD"/>
    <w:rsid w:val="00E90864"/>
    <w:rsid w:val="00E90A27"/>
    <w:rsid w:val="00E90A4A"/>
    <w:rsid w:val="00E90BA4"/>
    <w:rsid w:val="00E913FC"/>
    <w:rsid w:val="00E915AB"/>
    <w:rsid w:val="00E920E5"/>
    <w:rsid w:val="00E92C58"/>
    <w:rsid w:val="00E92D13"/>
    <w:rsid w:val="00E93160"/>
    <w:rsid w:val="00E934CF"/>
    <w:rsid w:val="00E9379A"/>
    <w:rsid w:val="00E93844"/>
    <w:rsid w:val="00E93DFA"/>
    <w:rsid w:val="00E94595"/>
    <w:rsid w:val="00E95627"/>
    <w:rsid w:val="00E95739"/>
    <w:rsid w:val="00E958E7"/>
    <w:rsid w:val="00E9591C"/>
    <w:rsid w:val="00E95CC3"/>
    <w:rsid w:val="00E96631"/>
    <w:rsid w:val="00E96712"/>
    <w:rsid w:val="00E97288"/>
    <w:rsid w:val="00E9730F"/>
    <w:rsid w:val="00E97690"/>
    <w:rsid w:val="00E97758"/>
    <w:rsid w:val="00E97C1F"/>
    <w:rsid w:val="00E97C3C"/>
    <w:rsid w:val="00E97D09"/>
    <w:rsid w:val="00E97EFF"/>
    <w:rsid w:val="00EA016C"/>
    <w:rsid w:val="00EA040E"/>
    <w:rsid w:val="00EA046B"/>
    <w:rsid w:val="00EA0C34"/>
    <w:rsid w:val="00EA0D0F"/>
    <w:rsid w:val="00EA224C"/>
    <w:rsid w:val="00EA23AA"/>
    <w:rsid w:val="00EA3BF1"/>
    <w:rsid w:val="00EA3C39"/>
    <w:rsid w:val="00EA3E9E"/>
    <w:rsid w:val="00EA4449"/>
    <w:rsid w:val="00EA51BF"/>
    <w:rsid w:val="00EA5591"/>
    <w:rsid w:val="00EA588C"/>
    <w:rsid w:val="00EA6108"/>
    <w:rsid w:val="00EA617A"/>
    <w:rsid w:val="00EA64E4"/>
    <w:rsid w:val="00EA6DF6"/>
    <w:rsid w:val="00EA7096"/>
    <w:rsid w:val="00EB048E"/>
    <w:rsid w:val="00EB0830"/>
    <w:rsid w:val="00EB0E93"/>
    <w:rsid w:val="00EB1E6D"/>
    <w:rsid w:val="00EB1FB5"/>
    <w:rsid w:val="00EB239D"/>
    <w:rsid w:val="00EB2BBC"/>
    <w:rsid w:val="00EB2E57"/>
    <w:rsid w:val="00EB4372"/>
    <w:rsid w:val="00EB4680"/>
    <w:rsid w:val="00EB46F7"/>
    <w:rsid w:val="00EB4BA8"/>
    <w:rsid w:val="00EB4BC1"/>
    <w:rsid w:val="00EB578A"/>
    <w:rsid w:val="00EB57ED"/>
    <w:rsid w:val="00EB6ADE"/>
    <w:rsid w:val="00EB7284"/>
    <w:rsid w:val="00EC0107"/>
    <w:rsid w:val="00EC02F9"/>
    <w:rsid w:val="00EC0DF5"/>
    <w:rsid w:val="00EC10B6"/>
    <w:rsid w:val="00EC16D9"/>
    <w:rsid w:val="00EC1747"/>
    <w:rsid w:val="00EC1968"/>
    <w:rsid w:val="00EC20B1"/>
    <w:rsid w:val="00EC27B1"/>
    <w:rsid w:val="00EC33D9"/>
    <w:rsid w:val="00EC3688"/>
    <w:rsid w:val="00EC3B6B"/>
    <w:rsid w:val="00EC46B1"/>
    <w:rsid w:val="00EC4A65"/>
    <w:rsid w:val="00EC4B56"/>
    <w:rsid w:val="00EC4BF4"/>
    <w:rsid w:val="00EC52CE"/>
    <w:rsid w:val="00EC5718"/>
    <w:rsid w:val="00EC5CA8"/>
    <w:rsid w:val="00EC6549"/>
    <w:rsid w:val="00EC668D"/>
    <w:rsid w:val="00EC67F1"/>
    <w:rsid w:val="00EC6F76"/>
    <w:rsid w:val="00EC6FE6"/>
    <w:rsid w:val="00EC70A8"/>
    <w:rsid w:val="00EC71A1"/>
    <w:rsid w:val="00EC7520"/>
    <w:rsid w:val="00EC75EB"/>
    <w:rsid w:val="00EC7BBB"/>
    <w:rsid w:val="00EC7CF7"/>
    <w:rsid w:val="00ED11FD"/>
    <w:rsid w:val="00ED1558"/>
    <w:rsid w:val="00ED192E"/>
    <w:rsid w:val="00ED1E9A"/>
    <w:rsid w:val="00ED1F3E"/>
    <w:rsid w:val="00ED20E4"/>
    <w:rsid w:val="00ED36D0"/>
    <w:rsid w:val="00ED3C94"/>
    <w:rsid w:val="00ED3DB5"/>
    <w:rsid w:val="00ED5360"/>
    <w:rsid w:val="00ED5823"/>
    <w:rsid w:val="00ED5AB1"/>
    <w:rsid w:val="00ED649A"/>
    <w:rsid w:val="00ED650E"/>
    <w:rsid w:val="00ED680B"/>
    <w:rsid w:val="00ED72F8"/>
    <w:rsid w:val="00EE0545"/>
    <w:rsid w:val="00EE092C"/>
    <w:rsid w:val="00EE0BE3"/>
    <w:rsid w:val="00EE1107"/>
    <w:rsid w:val="00EE1719"/>
    <w:rsid w:val="00EE1F46"/>
    <w:rsid w:val="00EE24D6"/>
    <w:rsid w:val="00EE2BCC"/>
    <w:rsid w:val="00EE2D16"/>
    <w:rsid w:val="00EE34C2"/>
    <w:rsid w:val="00EE381F"/>
    <w:rsid w:val="00EE3A2A"/>
    <w:rsid w:val="00EE3AC4"/>
    <w:rsid w:val="00EE48B8"/>
    <w:rsid w:val="00EE4CB9"/>
    <w:rsid w:val="00EE4DDB"/>
    <w:rsid w:val="00EE572F"/>
    <w:rsid w:val="00EE624C"/>
    <w:rsid w:val="00EE6C0F"/>
    <w:rsid w:val="00EE7CB4"/>
    <w:rsid w:val="00EF0523"/>
    <w:rsid w:val="00EF082E"/>
    <w:rsid w:val="00EF0B3D"/>
    <w:rsid w:val="00EF1381"/>
    <w:rsid w:val="00EF2A67"/>
    <w:rsid w:val="00EF352C"/>
    <w:rsid w:val="00EF3690"/>
    <w:rsid w:val="00EF426A"/>
    <w:rsid w:val="00EF4D0D"/>
    <w:rsid w:val="00EF4E24"/>
    <w:rsid w:val="00EF56F4"/>
    <w:rsid w:val="00EF633C"/>
    <w:rsid w:val="00EF6505"/>
    <w:rsid w:val="00EF69F7"/>
    <w:rsid w:val="00EF75A0"/>
    <w:rsid w:val="00EF7AF7"/>
    <w:rsid w:val="00EF7D4E"/>
    <w:rsid w:val="00EF7F10"/>
    <w:rsid w:val="00F006BC"/>
    <w:rsid w:val="00F00784"/>
    <w:rsid w:val="00F00A32"/>
    <w:rsid w:val="00F00E0D"/>
    <w:rsid w:val="00F0227F"/>
    <w:rsid w:val="00F02B66"/>
    <w:rsid w:val="00F02E3F"/>
    <w:rsid w:val="00F03149"/>
    <w:rsid w:val="00F031E4"/>
    <w:rsid w:val="00F03295"/>
    <w:rsid w:val="00F032DD"/>
    <w:rsid w:val="00F03349"/>
    <w:rsid w:val="00F04204"/>
    <w:rsid w:val="00F04388"/>
    <w:rsid w:val="00F0455D"/>
    <w:rsid w:val="00F05176"/>
    <w:rsid w:val="00F05202"/>
    <w:rsid w:val="00F05386"/>
    <w:rsid w:val="00F05FD5"/>
    <w:rsid w:val="00F06F15"/>
    <w:rsid w:val="00F07B3C"/>
    <w:rsid w:val="00F07B69"/>
    <w:rsid w:val="00F07C78"/>
    <w:rsid w:val="00F07C90"/>
    <w:rsid w:val="00F07F2B"/>
    <w:rsid w:val="00F103DC"/>
    <w:rsid w:val="00F10672"/>
    <w:rsid w:val="00F10B75"/>
    <w:rsid w:val="00F10DC9"/>
    <w:rsid w:val="00F11115"/>
    <w:rsid w:val="00F11F32"/>
    <w:rsid w:val="00F11F81"/>
    <w:rsid w:val="00F12057"/>
    <w:rsid w:val="00F13514"/>
    <w:rsid w:val="00F137B7"/>
    <w:rsid w:val="00F13A9D"/>
    <w:rsid w:val="00F13CDB"/>
    <w:rsid w:val="00F143DA"/>
    <w:rsid w:val="00F1588A"/>
    <w:rsid w:val="00F15B34"/>
    <w:rsid w:val="00F15D55"/>
    <w:rsid w:val="00F162DF"/>
    <w:rsid w:val="00F16332"/>
    <w:rsid w:val="00F16787"/>
    <w:rsid w:val="00F17623"/>
    <w:rsid w:val="00F17DBD"/>
    <w:rsid w:val="00F2070B"/>
    <w:rsid w:val="00F20C64"/>
    <w:rsid w:val="00F20CC2"/>
    <w:rsid w:val="00F20F0F"/>
    <w:rsid w:val="00F21121"/>
    <w:rsid w:val="00F218A0"/>
    <w:rsid w:val="00F22165"/>
    <w:rsid w:val="00F22EBB"/>
    <w:rsid w:val="00F23D56"/>
    <w:rsid w:val="00F241A0"/>
    <w:rsid w:val="00F24270"/>
    <w:rsid w:val="00F252F6"/>
    <w:rsid w:val="00F256C1"/>
    <w:rsid w:val="00F258D1"/>
    <w:rsid w:val="00F25C54"/>
    <w:rsid w:val="00F262DF"/>
    <w:rsid w:val="00F2633A"/>
    <w:rsid w:val="00F26460"/>
    <w:rsid w:val="00F26605"/>
    <w:rsid w:val="00F268E2"/>
    <w:rsid w:val="00F27A31"/>
    <w:rsid w:val="00F30DF7"/>
    <w:rsid w:val="00F329D7"/>
    <w:rsid w:val="00F33753"/>
    <w:rsid w:val="00F33983"/>
    <w:rsid w:val="00F33B27"/>
    <w:rsid w:val="00F33BD3"/>
    <w:rsid w:val="00F33CBA"/>
    <w:rsid w:val="00F33D15"/>
    <w:rsid w:val="00F340B2"/>
    <w:rsid w:val="00F34349"/>
    <w:rsid w:val="00F344AD"/>
    <w:rsid w:val="00F3496E"/>
    <w:rsid w:val="00F34ABE"/>
    <w:rsid w:val="00F365CE"/>
    <w:rsid w:val="00F365FE"/>
    <w:rsid w:val="00F36A3D"/>
    <w:rsid w:val="00F37024"/>
    <w:rsid w:val="00F377C9"/>
    <w:rsid w:val="00F37CB3"/>
    <w:rsid w:val="00F37D3C"/>
    <w:rsid w:val="00F37D77"/>
    <w:rsid w:val="00F4035B"/>
    <w:rsid w:val="00F403E5"/>
    <w:rsid w:val="00F404A2"/>
    <w:rsid w:val="00F40FCB"/>
    <w:rsid w:val="00F4205E"/>
    <w:rsid w:val="00F42864"/>
    <w:rsid w:val="00F4462B"/>
    <w:rsid w:val="00F44EBF"/>
    <w:rsid w:val="00F45B62"/>
    <w:rsid w:val="00F462C0"/>
    <w:rsid w:val="00F466C5"/>
    <w:rsid w:val="00F46D46"/>
    <w:rsid w:val="00F47220"/>
    <w:rsid w:val="00F47C95"/>
    <w:rsid w:val="00F50020"/>
    <w:rsid w:val="00F50425"/>
    <w:rsid w:val="00F504B3"/>
    <w:rsid w:val="00F506B9"/>
    <w:rsid w:val="00F50DBB"/>
    <w:rsid w:val="00F5149D"/>
    <w:rsid w:val="00F5183D"/>
    <w:rsid w:val="00F518EA"/>
    <w:rsid w:val="00F519EF"/>
    <w:rsid w:val="00F51E6C"/>
    <w:rsid w:val="00F52294"/>
    <w:rsid w:val="00F523A7"/>
    <w:rsid w:val="00F52A7E"/>
    <w:rsid w:val="00F52B4F"/>
    <w:rsid w:val="00F52CCD"/>
    <w:rsid w:val="00F52DD9"/>
    <w:rsid w:val="00F53981"/>
    <w:rsid w:val="00F53F11"/>
    <w:rsid w:val="00F53F36"/>
    <w:rsid w:val="00F54531"/>
    <w:rsid w:val="00F545DB"/>
    <w:rsid w:val="00F54936"/>
    <w:rsid w:val="00F54A36"/>
    <w:rsid w:val="00F54A66"/>
    <w:rsid w:val="00F54C3C"/>
    <w:rsid w:val="00F54DA5"/>
    <w:rsid w:val="00F5516A"/>
    <w:rsid w:val="00F55C62"/>
    <w:rsid w:val="00F55E83"/>
    <w:rsid w:val="00F5604D"/>
    <w:rsid w:val="00F5668C"/>
    <w:rsid w:val="00F56DC8"/>
    <w:rsid w:val="00F56FC0"/>
    <w:rsid w:val="00F5754E"/>
    <w:rsid w:val="00F5780D"/>
    <w:rsid w:val="00F57B19"/>
    <w:rsid w:val="00F6067F"/>
    <w:rsid w:val="00F60B3D"/>
    <w:rsid w:val="00F60FFB"/>
    <w:rsid w:val="00F61176"/>
    <w:rsid w:val="00F619F1"/>
    <w:rsid w:val="00F61A2D"/>
    <w:rsid w:val="00F61AF3"/>
    <w:rsid w:val="00F61D99"/>
    <w:rsid w:val="00F61DA3"/>
    <w:rsid w:val="00F61DA8"/>
    <w:rsid w:val="00F62219"/>
    <w:rsid w:val="00F62C6D"/>
    <w:rsid w:val="00F63F28"/>
    <w:rsid w:val="00F63FF3"/>
    <w:rsid w:val="00F64F70"/>
    <w:rsid w:val="00F65226"/>
    <w:rsid w:val="00F657CE"/>
    <w:rsid w:val="00F65EA3"/>
    <w:rsid w:val="00F663B1"/>
    <w:rsid w:val="00F6687E"/>
    <w:rsid w:val="00F66C0B"/>
    <w:rsid w:val="00F66DF2"/>
    <w:rsid w:val="00F6749B"/>
    <w:rsid w:val="00F67EF3"/>
    <w:rsid w:val="00F7045D"/>
    <w:rsid w:val="00F7163B"/>
    <w:rsid w:val="00F7181E"/>
    <w:rsid w:val="00F7253B"/>
    <w:rsid w:val="00F72AF5"/>
    <w:rsid w:val="00F72C1A"/>
    <w:rsid w:val="00F736E9"/>
    <w:rsid w:val="00F7392C"/>
    <w:rsid w:val="00F740F4"/>
    <w:rsid w:val="00F74545"/>
    <w:rsid w:val="00F74666"/>
    <w:rsid w:val="00F74CDA"/>
    <w:rsid w:val="00F74D48"/>
    <w:rsid w:val="00F75294"/>
    <w:rsid w:val="00F75A1D"/>
    <w:rsid w:val="00F76290"/>
    <w:rsid w:val="00F76C8A"/>
    <w:rsid w:val="00F77094"/>
    <w:rsid w:val="00F77397"/>
    <w:rsid w:val="00F775AF"/>
    <w:rsid w:val="00F77C14"/>
    <w:rsid w:val="00F77C7F"/>
    <w:rsid w:val="00F77F48"/>
    <w:rsid w:val="00F80796"/>
    <w:rsid w:val="00F810E0"/>
    <w:rsid w:val="00F816B1"/>
    <w:rsid w:val="00F816F0"/>
    <w:rsid w:val="00F81ADD"/>
    <w:rsid w:val="00F81B88"/>
    <w:rsid w:val="00F82379"/>
    <w:rsid w:val="00F82995"/>
    <w:rsid w:val="00F8333C"/>
    <w:rsid w:val="00F83603"/>
    <w:rsid w:val="00F83B23"/>
    <w:rsid w:val="00F83BF7"/>
    <w:rsid w:val="00F847CA"/>
    <w:rsid w:val="00F84ABE"/>
    <w:rsid w:val="00F8516B"/>
    <w:rsid w:val="00F8541E"/>
    <w:rsid w:val="00F85880"/>
    <w:rsid w:val="00F8601C"/>
    <w:rsid w:val="00F86987"/>
    <w:rsid w:val="00F872C3"/>
    <w:rsid w:val="00F87AED"/>
    <w:rsid w:val="00F9004B"/>
    <w:rsid w:val="00F90595"/>
    <w:rsid w:val="00F9062C"/>
    <w:rsid w:val="00F907D6"/>
    <w:rsid w:val="00F90DB3"/>
    <w:rsid w:val="00F91982"/>
    <w:rsid w:val="00F91CAC"/>
    <w:rsid w:val="00F9216B"/>
    <w:rsid w:val="00F921CB"/>
    <w:rsid w:val="00F92B09"/>
    <w:rsid w:val="00F92FBD"/>
    <w:rsid w:val="00F93581"/>
    <w:rsid w:val="00F93B3B"/>
    <w:rsid w:val="00F93C6C"/>
    <w:rsid w:val="00F93DC5"/>
    <w:rsid w:val="00F94006"/>
    <w:rsid w:val="00F94774"/>
    <w:rsid w:val="00F94C89"/>
    <w:rsid w:val="00F94E9F"/>
    <w:rsid w:val="00F9516C"/>
    <w:rsid w:val="00F9559D"/>
    <w:rsid w:val="00F9599F"/>
    <w:rsid w:val="00F974AB"/>
    <w:rsid w:val="00F97F13"/>
    <w:rsid w:val="00FA0F6B"/>
    <w:rsid w:val="00FA1181"/>
    <w:rsid w:val="00FA1204"/>
    <w:rsid w:val="00FA156F"/>
    <w:rsid w:val="00FA248A"/>
    <w:rsid w:val="00FA2527"/>
    <w:rsid w:val="00FA2AA9"/>
    <w:rsid w:val="00FA2FD9"/>
    <w:rsid w:val="00FA4B98"/>
    <w:rsid w:val="00FA4E22"/>
    <w:rsid w:val="00FA5109"/>
    <w:rsid w:val="00FA51DA"/>
    <w:rsid w:val="00FA5462"/>
    <w:rsid w:val="00FA5A90"/>
    <w:rsid w:val="00FA64A2"/>
    <w:rsid w:val="00FA6599"/>
    <w:rsid w:val="00FA7704"/>
    <w:rsid w:val="00FB0228"/>
    <w:rsid w:val="00FB03A9"/>
    <w:rsid w:val="00FB08AF"/>
    <w:rsid w:val="00FB0CDF"/>
    <w:rsid w:val="00FB1207"/>
    <w:rsid w:val="00FB1BEE"/>
    <w:rsid w:val="00FB1DE4"/>
    <w:rsid w:val="00FB2636"/>
    <w:rsid w:val="00FB263C"/>
    <w:rsid w:val="00FB2F16"/>
    <w:rsid w:val="00FB353F"/>
    <w:rsid w:val="00FB375A"/>
    <w:rsid w:val="00FB3DC9"/>
    <w:rsid w:val="00FB3FC5"/>
    <w:rsid w:val="00FB4B4F"/>
    <w:rsid w:val="00FB4C25"/>
    <w:rsid w:val="00FB510F"/>
    <w:rsid w:val="00FB5173"/>
    <w:rsid w:val="00FB56ED"/>
    <w:rsid w:val="00FB581D"/>
    <w:rsid w:val="00FB5A2E"/>
    <w:rsid w:val="00FB5B91"/>
    <w:rsid w:val="00FB5C97"/>
    <w:rsid w:val="00FB61DD"/>
    <w:rsid w:val="00FB625C"/>
    <w:rsid w:val="00FB6648"/>
    <w:rsid w:val="00FB676C"/>
    <w:rsid w:val="00FB6DC7"/>
    <w:rsid w:val="00FB6F09"/>
    <w:rsid w:val="00FB72DA"/>
    <w:rsid w:val="00FB764E"/>
    <w:rsid w:val="00FB7850"/>
    <w:rsid w:val="00FB7950"/>
    <w:rsid w:val="00FB7B1D"/>
    <w:rsid w:val="00FB7CC4"/>
    <w:rsid w:val="00FB7DB9"/>
    <w:rsid w:val="00FC02B3"/>
    <w:rsid w:val="00FC04BD"/>
    <w:rsid w:val="00FC0B19"/>
    <w:rsid w:val="00FC0E06"/>
    <w:rsid w:val="00FC20CF"/>
    <w:rsid w:val="00FC282C"/>
    <w:rsid w:val="00FC2EC1"/>
    <w:rsid w:val="00FC30D9"/>
    <w:rsid w:val="00FC3150"/>
    <w:rsid w:val="00FC3172"/>
    <w:rsid w:val="00FC35F1"/>
    <w:rsid w:val="00FC3C12"/>
    <w:rsid w:val="00FC43C2"/>
    <w:rsid w:val="00FC53DB"/>
    <w:rsid w:val="00FC5897"/>
    <w:rsid w:val="00FC5C2C"/>
    <w:rsid w:val="00FC64E0"/>
    <w:rsid w:val="00FC6ADF"/>
    <w:rsid w:val="00FC6C51"/>
    <w:rsid w:val="00FC6DB7"/>
    <w:rsid w:val="00FC6E83"/>
    <w:rsid w:val="00FC74EF"/>
    <w:rsid w:val="00FC7A2A"/>
    <w:rsid w:val="00FD0840"/>
    <w:rsid w:val="00FD0B1A"/>
    <w:rsid w:val="00FD1048"/>
    <w:rsid w:val="00FD15B4"/>
    <w:rsid w:val="00FD1655"/>
    <w:rsid w:val="00FD1D8A"/>
    <w:rsid w:val="00FD1DD7"/>
    <w:rsid w:val="00FD24B4"/>
    <w:rsid w:val="00FD25DF"/>
    <w:rsid w:val="00FD27D0"/>
    <w:rsid w:val="00FD2842"/>
    <w:rsid w:val="00FD2A96"/>
    <w:rsid w:val="00FD2AA9"/>
    <w:rsid w:val="00FD2D3F"/>
    <w:rsid w:val="00FD2DD3"/>
    <w:rsid w:val="00FD3562"/>
    <w:rsid w:val="00FD3689"/>
    <w:rsid w:val="00FD3B46"/>
    <w:rsid w:val="00FD3EA4"/>
    <w:rsid w:val="00FD428E"/>
    <w:rsid w:val="00FD44C4"/>
    <w:rsid w:val="00FD4E6B"/>
    <w:rsid w:val="00FD50D9"/>
    <w:rsid w:val="00FD5860"/>
    <w:rsid w:val="00FD5C58"/>
    <w:rsid w:val="00FD5C80"/>
    <w:rsid w:val="00FD6ADB"/>
    <w:rsid w:val="00FD6AED"/>
    <w:rsid w:val="00FD6D58"/>
    <w:rsid w:val="00FD7067"/>
    <w:rsid w:val="00FD72C4"/>
    <w:rsid w:val="00FD7FAA"/>
    <w:rsid w:val="00FE03C7"/>
    <w:rsid w:val="00FE0C23"/>
    <w:rsid w:val="00FE0C2A"/>
    <w:rsid w:val="00FE0C63"/>
    <w:rsid w:val="00FE0D0D"/>
    <w:rsid w:val="00FE17B2"/>
    <w:rsid w:val="00FE1CCB"/>
    <w:rsid w:val="00FE22DD"/>
    <w:rsid w:val="00FE3AC9"/>
    <w:rsid w:val="00FE3DDD"/>
    <w:rsid w:val="00FE4237"/>
    <w:rsid w:val="00FE4D98"/>
    <w:rsid w:val="00FE6162"/>
    <w:rsid w:val="00FE63EA"/>
    <w:rsid w:val="00FE65CA"/>
    <w:rsid w:val="00FE6A40"/>
    <w:rsid w:val="00FE6DC4"/>
    <w:rsid w:val="00FE6F74"/>
    <w:rsid w:val="00FE71E5"/>
    <w:rsid w:val="00FE78C4"/>
    <w:rsid w:val="00FF050C"/>
    <w:rsid w:val="00FF0BE0"/>
    <w:rsid w:val="00FF0D3A"/>
    <w:rsid w:val="00FF1785"/>
    <w:rsid w:val="00FF2873"/>
    <w:rsid w:val="00FF2D27"/>
    <w:rsid w:val="00FF2F10"/>
    <w:rsid w:val="00FF2F9E"/>
    <w:rsid w:val="00FF374D"/>
    <w:rsid w:val="00FF456F"/>
    <w:rsid w:val="00FF4A5F"/>
    <w:rsid w:val="00FF4D42"/>
    <w:rsid w:val="00FF4E60"/>
    <w:rsid w:val="00FF50CA"/>
    <w:rsid w:val="00FF5C5A"/>
    <w:rsid w:val="00FF5C7D"/>
    <w:rsid w:val="00FF62A3"/>
    <w:rsid w:val="00FF64C9"/>
    <w:rsid w:val="00FF657A"/>
    <w:rsid w:val="00FF66FC"/>
    <w:rsid w:val="00FF6FC3"/>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5EE05F"/>
  <w15:docId w15:val="{35B87C20-6843-9F48-AE93-2D6944A86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UY"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1048"/>
    <w:pPr>
      <w:spacing w:before="120" w:after="120"/>
      <w:jc w:val="both"/>
    </w:pPr>
    <w:rPr>
      <w:rFonts w:ascii="Times New Roman" w:eastAsia="Times New Roman" w:hAnsi="Times New Roman" w:cs="Times New Roman"/>
      <w:sz w:val="22"/>
    </w:rPr>
  </w:style>
  <w:style w:type="paragraph" w:styleId="Heading1">
    <w:name w:val="heading 1"/>
    <w:basedOn w:val="Normal"/>
    <w:next w:val="Heading2"/>
    <w:link w:val="Heading1Char"/>
    <w:qFormat/>
    <w:rsid w:val="007E09DA"/>
    <w:pPr>
      <w:keepNext/>
      <w:tabs>
        <w:tab w:val="left" w:pos="720"/>
      </w:tabs>
      <w:spacing w:before="240"/>
      <w:jc w:val="center"/>
      <w:outlineLvl w:val="0"/>
    </w:pPr>
    <w:rPr>
      <w:b/>
      <w:caps/>
    </w:rPr>
  </w:style>
  <w:style w:type="paragraph" w:styleId="Heading2">
    <w:name w:val="heading 2"/>
    <w:basedOn w:val="Normal"/>
    <w:next w:val="Normal"/>
    <w:link w:val="Heading2Char"/>
    <w:qFormat/>
    <w:rsid w:val="001452C7"/>
    <w:pPr>
      <w:keepNext/>
      <w:tabs>
        <w:tab w:val="left" w:pos="720"/>
      </w:tabs>
      <w:jc w:val="center"/>
      <w:outlineLvl w:val="1"/>
    </w:pPr>
    <w:rPr>
      <w:b/>
      <w:bCs/>
      <w:iCs/>
    </w:rPr>
  </w:style>
  <w:style w:type="paragraph" w:styleId="Heading3">
    <w:name w:val="heading 3"/>
    <w:basedOn w:val="Normal"/>
    <w:next w:val="Normal"/>
    <w:link w:val="Heading3Char"/>
    <w:uiPriority w:val="9"/>
    <w:qFormat/>
    <w:rsid w:val="007E09DA"/>
    <w:pPr>
      <w:keepNext/>
      <w:tabs>
        <w:tab w:val="left" w:pos="567"/>
      </w:tabs>
      <w:jc w:val="center"/>
      <w:outlineLvl w:val="2"/>
    </w:pPr>
    <w:rPr>
      <w:i/>
      <w:iCs/>
    </w:rPr>
  </w:style>
  <w:style w:type="paragraph" w:styleId="Heading4">
    <w:name w:val="heading 4"/>
    <w:basedOn w:val="Normal"/>
    <w:link w:val="Heading4Char"/>
    <w:uiPriority w:val="9"/>
    <w:qFormat/>
    <w:rsid w:val="007E09DA"/>
    <w:pPr>
      <w:keepNext/>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jc w:val="left"/>
      <w:outlineLvl w:val="4"/>
    </w:pPr>
    <w:rPr>
      <w:bCs/>
      <w:i/>
      <w:szCs w:val="26"/>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C9161D"/>
    <w:rPr>
      <w:rFonts w:ascii="Lucida Grande" w:hAnsi="Lucida Grande" w:cs="Lucida Grande"/>
      <w:sz w:val="18"/>
      <w:szCs w:val="18"/>
      <w:lang w:val="es-UY"/>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s-UY"/>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s-UY"/>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s-UY"/>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s-UY"/>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s-UY"/>
    </w:rPr>
  </w:style>
  <w:style w:type="paragraph" w:styleId="BodyText">
    <w:name w:val="Body Text"/>
    <w:basedOn w:val="Normal"/>
    <w:link w:val="BodyTextChar"/>
    <w:rsid w:val="007E09DA"/>
    <w:pPr>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s-UY"/>
    </w:rPr>
  </w:style>
  <w:style w:type="paragraph" w:styleId="BodyTextIndent">
    <w:name w:val="Body Text Indent"/>
    <w:basedOn w:val="Normal"/>
    <w:link w:val="BodyTextIndentChar"/>
    <w:rsid w:val="007E09DA"/>
    <w:pPr>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s-UY"/>
    </w:rPr>
  </w:style>
  <w:style w:type="character" w:styleId="CommentReference">
    <w:name w:val="annotation reference"/>
    <w:uiPriority w:val="99"/>
    <w:semiHidden/>
    <w:rsid w:val="007E09DA"/>
    <w:rPr>
      <w:sz w:val="16"/>
    </w:rPr>
  </w:style>
  <w:style w:type="paragraph" w:styleId="CommentText">
    <w:name w:val="annotation text"/>
    <w:basedOn w:val="Normal"/>
    <w:link w:val="CommentTextChar"/>
    <w:rsid w:val="007E09DA"/>
    <w:pPr>
      <w:spacing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s-UY"/>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s-UY"/>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7E09DA"/>
    <w:rPr>
      <w:sz w:val="18"/>
      <w:u w:val="single"/>
      <w:vertAlign w:val="baseli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s-UY"/>
    </w:rPr>
  </w:style>
  <w:style w:type="paragraph" w:customStyle="1" w:styleId="HEADING">
    <w:name w:val="HEADING"/>
    <w:basedOn w:val="Normal"/>
    <w:rsid w:val="007E09DA"/>
    <w:pPr>
      <w:keepNext/>
      <w:spacing w:before="240"/>
      <w:jc w:val="center"/>
    </w:pPr>
    <w:rPr>
      <w:b/>
      <w:bCs/>
      <w:caps/>
    </w:rPr>
  </w:style>
  <w:style w:type="character" w:customStyle="1" w:styleId="Heading2Char">
    <w:name w:val="Heading 2 Char"/>
    <w:basedOn w:val="DefaultParagraphFont"/>
    <w:link w:val="Heading2"/>
    <w:rsid w:val="001452C7"/>
    <w:rPr>
      <w:rFonts w:ascii="Times New Roman" w:eastAsia="Times New Roman" w:hAnsi="Times New Roman" w:cs="Times New Roman"/>
      <w:b/>
      <w:bCs/>
      <w:iCs/>
      <w:sz w:val="22"/>
      <w:lang w:val="es-UY"/>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uiPriority w:val="9"/>
    <w:rsid w:val="007E09DA"/>
    <w:rPr>
      <w:rFonts w:ascii="Times New Roman" w:eastAsia="Times New Roman" w:hAnsi="Times New Roman" w:cs="Times New Roman"/>
      <w:i/>
      <w:iCs/>
      <w:sz w:val="22"/>
      <w:lang w:val="es-UY"/>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uiPriority w:val="9"/>
    <w:rsid w:val="007E09DA"/>
    <w:rPr>
      <w:rFonts w:ascii="Times New Roman Bold" w:eastAsia="Arial Unicode MS" w:hAnsi="Times New Roman Bold" w:cs="Arial"/>
      <w:b/>
      <w:bCs/>
      <w:i/>
      <w:sz w:val="22"/>
      <w:lang w:val="es-UY"/>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s-UY"/>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s-UY"/>
    </w:rPr>
  </w:style>
  <w:style w:type="character" w:customStyle="1" w:styleId="Heading7Char">
    <w:name w:val="Heading 7 Char"/>
    <w:basedOn w:val="DefaultParagraphFont"/>
    <w:link w:val="Heading7"/>
    <w:rsid w:val="007E09DA"/>
    <w:rPr>
      <w:rFonts w:ascii="Univers" w:eastAsia="Times New Roman" w:hAnsi="Univers" w:cs="Times New Roman"/>
      <w:b/>
      <w:sz w:val="28"/>
      <w:lang w:val="es-UY"/>
    </w:rPr>
  </w:style>
  <w:style w:type="character" w:customStyle="1" w:styleId="Heading8Char">
    <w:name w:val="Heading 8 Char"/>
    <w:basedOn w:val="DefaultParagraphFont"/>
    <w:link w:val="Heading8"/>
    <w:rsid w:val="007E09DA"/>
    <w:rPr>
      <w:rFonts w:ascii="Univers" w:eastAsia="Times New Roman" w:hAnsi="Univers" w:cs="Times New Roman"/>
      <w:b/>
      <w:sz w:val="32"/>
      <w:lang w:val="es-UY"/>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s-UY"/>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7E09DA"/>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2"/>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ind w:firstLine="720"/>
      <w:jc w:val="left"/>
      <w:textAlignment w:val="baseline"/>
    </w:pPr>
    <w:rPr>
      <w:color w:val="000000"/>
    </w:rPr>
  </w:style>
  <w:style w:type="paragraph" w:customStyle="1" w:styleId="Quotationtextindented">
    <w:name w:val="Quotation text (indented)"/>
    <w:basedOn w:val="Normal"/>
    <w:qFormat/>
    <w:rsid w:val="007E09DA"/>
    <w:pPr>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7E09DA"/>
    <w:pPr>
      <w:jc w:val="left"/>
      <w:outlineLvl w:val="9"/>
    </w:pPr>
  </w:style>
  <w:style w:type="paragraph" w:styleId="TOAHeading">
    <w:name w:val="toa heading"/>
    <w:basedOn w:val="Normal"/>
    <w:next w:val="Normal"/>
    <w:semiHidden/>
    <w:rsid w:val="007E09DA"/>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ind w:left="660"/>
      <w:jc w:val="left"/>
    </w:pPr>
  </w:style>
  <w:style w:type="paragraph" w:styleId="TOC5">
    <w:name w:val="toc 5"/>
    <w:basedOn w:val="Normal"/>
    <w:next w:val="Normal"/>
    <w:autoRedefine/>
    <w:semiHidden/>
    <w:rsid w:val="007E09DA"/>
    <w:pPr>
      <w:ind w:left="880"/>
      <w:jc w:val="left"/>
    </w:pPr>
  </w:style>
  <w:style w:type="paragraph" w:styleId="TOC6">
    <w:name w:val="toc 6"/>
    <w:basedOn w:val="Normal"/>
    <w:next w:val="Normal"/>
    <w:autoRedefine/>
    <w:semiHidden/>
    <w:rsid w:val="007E09DA"/>
    <w:pPr>
      <w:ind w:left="1100"/>
      <w:jc w:val="left"/>
    </w:pPr>
  </w:style>
  <w:style w:type="paragraph" w:styleId="TOC7">
    <w:name w:val="toc 7"/>
    <w:basedOn w:val="Normal"/>
    <w:next w:val="Normal"/>
    <w:autoRedefine/>
    <w:semiHidden/>
    <w:rsid w:val="007E09DA"/>
    <w:pPr>
      <w:ind w:left="1320"/>
      <w:jc w:val="left"/>
    </w:pPr>
  </w:style>
  <w:style w:type="paragraph" w:styleId="TOC8">
    <w:name w:val="toc 8"/>
    <w:basedOn w:val="Normal"/>
    <w:next w:val="Normal"/>
    <w:autoRedefine/>
    <w:semiHidden/>
    <w:rsid w:val="007E09DA"/>
    <w:pPr>
      <w:ind w:left="1540"/>
      <w:jc w:val="left"/>
    </w:pPr>
  </w:style>
  <w:style w:type="paragraph" w:styleId="TOC9">
    <w:name w:val="toc 9"/>
    <w:basedOn w:val="Normal"/>
    <w:next w:val="Normal"/>
    <w:autoRedefine/>
    <w:semiHidden/>
    <w:rsid w:val="007E09DA"/>
    <w:pPr>
      <w:ind w:left="1760"/>
      <w:jc w:val="left"/>
    </w:pPr>
  </w:style>
  <w:style w:type="character" w:styleId="Hyperlink">
    <w:name w:val="Hyperlink"/>
    <w:uiPriority w:val="99"/>
    <w:rsid w:val="00172AF6"/>
    <w:rPr>
      <w:color w:val="0000FF"/>
      <w:sz w:val="18"/>
      <w:u w:val="single"/>
    </w:rPr>
  </w:style>
  <w:style w:type="character" w:customStyle="1" w:styleId="Para1Char">
    <w:name w:val="Para1 Char"/>
    <w:link w:val="Para1"/>
    <w:locked/>
    <w:rsid w:val="00172AF6"/>
    <w:rPr>
      <w:rFonts w:ascii="Times New Roman" w:eastAsia="Times New Roman" w:hAnsi="Times New Roman" w:cs="Times New Roman"/>
      <w:snapToGrid w:val="0"/>
      <w:sz w:val="22"/>
      <w:szCs w:val="18"/>
      <w:lang w:val="es-UY"/>
    </w:rPr>
  </w:style>
  <w:style w:type="paragraph" w:customStyle="1" w:styleId="CBD-Doc-Type">
    <w:name w:val="CBD-Doc-Type"/>
    <w:basedOn w:val="Normal"/>
    <w:rsid w:val="00172AF6"/>
    <w:pPr>
      <w:keepLines/>
      <w:spacing w:before="240"/>
    </w:pPr>
    <w:rPr>
      <w:rFonts w:cs="Angsana New"/>
      <w:b/>
      <w:i/>
      <w:sz w:val="24"/>
    </w:rPr>
  </w:style>
  <w:style w:type="paragraph" w:customStyle="1" w:styleId="CBD-Doc">
    <w:name w:val="CBD-Doc"/>
    <w:basedOn w:val="Normal"/>
    <w:rsid w:val="00172AF6"/>
    <w:pPr>
      <w:keepLines/>
      <w:numPr>
        <w:numId w:val="3"/>
      </w:numPr>
    </w:pPr>
    <w:rPr>
      <w:rFonts w:cs="Angsana New"/>
    </w:rPr>
  </w:style>
  <w:style w:type="paragraph" w:styleId="ListParagraph">
    <w:name w:val="List Paragraph"/>
    <w:basedOn w:val="Normal"/>
    <w:uiPriority w:val="34"/>
    <w:qFormat/>
    <w:rsid w:val="00130BB2"/>
    <w:pPr>
      <w:spacing w:after="200" w:line="276" w:lineRule="auto"/>
      <w:ind w:left="720"/>
      <w:contextualSpacing/>
      <w:jc w:val="left"/>
    </w:pPr>
    <w:rPr>
      <w:rFonts w:asciiTheme="minorHAnsi" w:eastAsiaTheme="minorEastAsia" w:hAnsiTheme="minorHAnsi" w:cstheme="minorBidi"/>
      <w:szCs w:val="22"/>
      <w:lang w:eastAsia="ja-JP"/>
    </w:rPr>
  </w:style>
  <w:style w:type="paragraph" w:styleId="CommentSubject">
    <w:name w:val="annotation subject"/>
    <w:basedOn w:val="CommentText"/>
    <w:next w:val="CommentText"/>
    <w:link w:val="CommentSubjectChar"/>
    <w:uiPriority w:val="99"/>
    <w:semiHidden/>
    <w:unhideWhenUsed/>
    <w:rsid w:val="00CA65B2"/>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CA65B2"/>
    <w:rPr>
      <w:rFonts w:ascii="Times New Roman" w:eastAsia="Times New Roman" w:hAnsi="Times New Roman" w:cs="Times New Roman"/>
      <w:b/>
      <w:bCs/>
      <w:sz w:val="20"/>
      <w:szCs w:val="20"/>
      <w:lang w:val="es-UY"/>
    </w:rPr>
  </w:style>
  <w:style w:type="paragraph" w:styleId="Revision">
    <w:name w:val="Revision"/>
    <w:hidden/>
    <w:uiPriority w:val="99"/>
    <w:semiHidden/>
    <w:rsid w:val="00CA65B2"/>
    <w:rPr>
      <w:rFonts w:ascii="Times New Roman" w:eastAsia="Times New Roman" w:hAnsi="Times New Roman" w:cs="Times New Roman"/>
      <w:sz w:val="22"/>
    </w:rPr>
  </w:style>
  <w:style w:type="character" w:customStyle="1" w:styleId="UnresolvedMention1">
    <w:name w:val="Unresolved Mention1"/>
    <w:basedOn w:val="DefaultParagraphFont"/>
    <w:uiPriority w:val="99"/>
    <w:semiHidden/>
    <w:unhideWhenUsed/>
    <w:rsid w:val="00432884"/>
    <w:rPr>
      <w:color w:val="605E5C"/>
      <w:shd w:val="clear" w:color="auto" w:fill="E1DFDD"/>
    </w:rPr>
  </w:style>
  <w:style w:type="character" w:styleId="SubtleEmphasis">
    <w:name w:val="Subtle Emphasis"/>
    <w:basedOn w:val="DefaultParagraphFont"/>
    <w:uiPriority w:val="19"/>
    <w:qFormat/>
    <w:rsid w:val="00432884"/>
    <w:rPr>
      <w:i/>
      <w:iCs/>
      <w:color w:val="404040" w:themeColor="text1" w:themeTint="BF"/>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0531DF"/>
    <w:pPr>
      <w:spacing w:after="160" w:line="240" w:lineRule="exact"/>
      <w:jc w:val="left"/>
    </w:pPr>
    <w:rPr>
      <w:rFonts w:asciiTheme="minorHAnsi" w:eastAsiaTheme="minorEastAsia" w:hAnsiTheme="minorHAnsi" w:cstheme="minorBidi"/>
      <w:sz w:val="18"/>
      <w:u w:val="single"/>
    </w:rPr>
  </w:style>
  <w:style w:type="character" w:customStyle="1" w:styleId="Para1Char1">
    <w:name w:val="Para1 Char1"/>
    <w:rsid w:val="00735E7D"/>
    <w:rPr>
      <w:snapToGrid w:val="0"/>
      <w:sz w:val="22"/>
      <w:szCs w:val="18"/>
      <w:lang w:val="es-UY" w:eastAsia="en-US"/>
    </w:rPr>
  </w:style>
  <w:style w:type="paragraph" w:customStyle="1" w:styleId="Heading-plain">
    <w:name w:val="Heading - plain"/>
    <w:basedOn w:val="Heading2"/>
    <w:next w:val="BodyText"/>
    <w:rsid w:val="00257947"/>
    <w:pPr>
      <w:tabs>
        <w:tab w:val="clear" w:pos="720"/>
        <w:tab w:val="left" w:pos="851"/>
      </w:tabs>
    </w:pPr>
  </w:style>
  <w:style w:type="character" w:customStyle="1" w:styleId="UnresolvedMention2">
    <w:name w:val="Unresolved Mention2"/>
    <w:basedOn w:val="DefaultParagraphFont"/>
    <w:uiPriority w:val="99"/>
    <w:semiHidden/>
    <w:unhideWhenUsed/>
    <w:rsid w:val="00F55E83"/>
    <w:rPr>
      <w:color w:val="605E5C"/>
      <w:shd w:val="clear" w:color="auto" w:fill="E1DFDD"/>
    </w:rPr>
  </w:style>
  <w:style w:type="character" w:customStyle="1" w:styleId="UnresolvedMention">
    <w:name w:val="Unresolved Mention"/>
    <w:basedOn w:val="DefaultParagraphFont"/>
    <w:uiPriority w:val="99"/>
    <w:semiHidden/>
    <w:unhideWhenUsed/>
    <w:rsid w:val="00477164"/>
    <w:rPr>
      <w:color w:val="605E5C"/>
      <w:shd w:val="clear" w:color="auto" w:fill="E1DFDD"/>
    </w:rPr>
  </w:style>
  <w:style w:type="paragraph" w:customStyle="1" w:styleId="Style1">
    <w:name w:val="Style1"/>
    <w:basedOn w:val="Heading2"/>
    <w:qFormat/>
    <w:rsid w:val="004C106A"/>
  </w:style>
  <w:style w:type="paragraph" w:customStyle="1" w:styleId="Default">
    <w:name w:val="Default"/>
    <w:rsid w:val="0085638D"/>
    <w:pPr>
      <w:autoSpaceDE w:val="0"/>
      <w:autoSpaceDN w:val="0"/>
      <w:adjustRightInd w:val="0"/>
    </w:pPr>
    <w:rPr>
      <w:rFonts w:ascii="Times New Roman" w:hAnsi="Times New Roman" w:cs="Times New Roman"/>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864873">
      <w:bodyDiv w:val="1"/>
      <w:marLeft w:val="0"/>
      <w:marRight w:val="0"/>
      <w:marTop w:val="0"/>
      <w:marBottom w:val="0"/>
      <w:divBdr>
        <w:top w:val="none" w:sz="0" w:space="0" w:color="auto"/>
        <w:left w:val="none" w:sz="0" w:space="0" w:color="auto"/>
        <w:bottom w:val="none" w:sz="0" w:space="0" w:color="auto"/>
        <w:right w:val="none" w:sz="0" w:space="0" w:color="auto"/>
      </w:divBdr>
    </w:div>
    <w:div w:id="53505649">
      <w:bodyDiv w:val="1"/>
      <w:marLeft w:val="0"/>
      <w:marRight w:val="0"/>
      <w:marTop w:val="0"/>
      <w:marBottom w:val="0"/>
      <w:divBdr>
        <w:top w:val="none" w:sz="0" w:space="0" w:color="auto"/>
        <w:left w:val="none" w:sz="0" w:space="0" w:color="auto"/>
        <w:bottom w:val="none" w:sz="0" w:space="0" w:color="auto"/>
        <w:right w:val="none" w:sz="0" w:space="0" w:color="auto"/>
      </w:divBdr>
    </w:div>
    <w:div w:id="174347812">
      <w:bodyDiv w:val="1"/>
      <w:marLeft w:val="0"/>
      <w:marRight w:val="0"/>
      <w:marTop w:val="0"/>
      <w:marBottom w:val="0"/>
      <w:divBdr>
        <w:top w:val="none" w:sz="0" w:space="0" w:color="auto"/>
        <w:left w:val="none" w:sz="0" w:space="0" w:color="auto"/>
        <w:bottom w:val="none" w:sz="0" w:space="0" w:color="auto"/>
        <w:right w:val="none" w:sz="0" w:space="0" w:color="auto"/>
      </w:divBdr>
    </w:div>
    <w:div w:id="630404108">
      <w:bodyDiv w:val="1"/>
      <w:marLeft w:val="0"/>
      <w:marRight w:val="0"/>
      <w:marTop w:val="0"/>
      <w:marBottom w:val="0"/>
      <w:divBdr>
        <w:top w:val="none" w:sz="0" w:space="0" w:color="auto"/>
        <w:left w:val="none" w:sz="0" w:space="0" w:color="auto"/>
        <w:bottom w:val="none" w:sz="0" w:space="0" w:color="auto"/>
        <w:right w:val="none" w:sz="0" w:space="0" w:color="auto"/>
      </w:divBdr>
    </w:div>
    <w:div w:id="970284546">
      <w:bodyDiv w:val="1"/>
      <w:marLeft w:val="0"/>
      <w:marRight w:val="0"/>
      <w:marTop w:val="0"/>
      <w:marBottom w:val="0"/>
      <w:divBdr>
        <w:top w:val="none" w:sz="0" w:space="0" w:color="auto"/>
        <w:left w:val="none" w:sz="0" w:space="0" w:color="auto"/>
        <w:bottom w:val="none" w:sz="0" w:space="0" w:color="auto"/>
        <w:right w:val="none" w:sz="0" w:space="0" w:color="auto"/>
      </w:divBdr>
    </w:div>
    <w:div w:id="1083798493">
      <w:bodyDiv w:val="1"/>
      <w:marLeft w:val="0"/>
      <w:marRight w:val="0"/>
      <w:marTop w:val="0"/>
      <w:marBottom w:val="0"/>
      <w:divBdr>
        <w:top w:val="none" w:sz="0" w:space="0" w:color="auto"/>
        <w:left w:val="none" w:sz="0" w:space="0" w:color="auto"/>
        <w:bottom w:val="none" w:sz="0" w:space="0" w:color="auto"/>
        <w:right w:val="none" w:sz="0" w:space="0" w:color="auto"/>
      </w:divBdr>
    </w:div>
    <w:div w:id="1903323158">
      <w:bodyDiv w:val="1"/>
      <w:marLeft w:val="0"/>
      <w:marRight w:val="0"/>
      <w:marTop w:val="0"/>
      <w:marBottom w:val="0"/>
      <w:divBdr>
        <w:top w:val="none" w:sz="0" w:space="0" w:color="auto"/>
        <w:left w:val="none" w:sz="0" w:space="0" w:color="auto"/>
        <w:bottom w:val="none" w:sz="0" w:space="0" w:color="auto"/>
        <w:right w:val="none" w:sz="0" w:space="0" w:color="auto"/>
      </w:divBdr>
    </w:div>
    <w:div w:id="19237573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p-mop-09/cp-mop-09-dec-03-es.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decisions/cp-mop-09/cp-mop-09-dec-07-es.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bd.int/decision/mop/?id=13236"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https://www.cbd.int/decision/mop/?id=12329"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cbd.int/doc/decisions/cop-14/cop-14-dec-24-es.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bch.cbd.int/protocol/post2020/0002.shtml" TargetMode="External"/><Relationship Id="rId1" Type="http://schemas.openxmlformats.org/officeDocument/2006/relationships/hyperlink" Target="https://www.cbd.int/doc/c/1c18/5ace/4d39c1c119d2c3428a0845fb/sbi-03-01-es.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6A46EB6522BCCE46AA484B1E911E6FE9"/>
        <w:category>
          <w:name w:val="General"/>
          <w:gallery w:val="placeholder"/>
        </w:category>
        <w:types>
          <w:type w:val="bbPlcHdr"/>
        </w:types>
        <w:behaviors>
          <w:behavior w:val="content"/>
        </w:behaviors>
        <w:guid w:val="{60B0BD50-E2CF-C249-B823-1B5E68E0FB3B}"/>
      </w:docPartPr>
      <w:docPartBody>
        <w:p w:rsidR="00731BD4" w:rsidRDefault="00F1475C">
          <w:pPr>
            <w:pStyle w:val="6A46EB6522BCCE46AA484B1E911E6FE9"/>
          </w:pPr>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Times">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A55"/>
    <w:rsid w:val="000003FA"/>
    <w:rsid w:val="00014DF1"/>
    <w:rsid w:val="00027C85"/>
    <w:rsid w:val="00045D7F"/>
    <w:rsid w:val="000979DA"/>
    <w:rsid w:val="000C1FC0"/>
    <w:rsid w:val="0011323E"/>
    <w:rsid w:val="001A5E07"/>
    <w:rsid w:val="001B6BA8"/>
    <w:rsid w:val="00204ED8"/>
    <w:rsid w:val="00221891"/>
    <w:rsid w:val="002375C8"/>
    <w:rsid w:val="00247042"/>
    <w:rsid w:val="002656DD"/>
    <w:rsid w:val="0037303F"/>
    <w:rsid w:val="003C52E2"/>
    <w:rsid w:val="003E3639"/>
    <w:rsid w:val="003F6B7D"/>
    <w:rsid w:val="0041753D"/>
    <w:rsid w:val="004A6780"/>
    <w:rsid w:val="00500A2B"/>
    <w:rsid w:val="005259DF"/>
    <w:rsid w:val="00554218"/>
    <w:rsid w:val="0058288D"/>
    <w:rsid w:val="005C7088"/>
    <w:rsid w:val="005E1DAB"/>
    <w:rsid w:val="0060211F"/>
    <w:rsid w:val="0061319C"/>
    <w:rsid w:val="0061507A"/>
    <w:rsid w:val="0065498D"/>
    <w:rsid w:val="006801B3"/>
    <w:rsid w:val="00693A7D"/>
    <w:rsid w:val="006B71DE"/>
    <w:rsid w:val="006D71D4"/>
    <w:rsid w:val="00701AD2"/>
    <w:rsid w:val="0070617B"/>
    <w:rsid w:val="00721F4F"/>
    <w:rsid w:val="00731BD4"/>
    <w:rsid w:val="007870CD"/>
    <w:rsid w:val="00810A55"/>
    <w:rsid w:val="008621D3"/>
    <w:rsid w:val="00880804"/>
    <w:rsid w:val="008C13C3"/>
    <w:rsid w:val="008C6619"/>
    <w:rsid w:val="008D420E"/>
    <w:rsid w:val="0091219B"/>
    <w:rsid w:val="009235E3"/>
    <w:rsid w:val="00940BAC"/>
    <w:rsid w:val="009440E4"/>
    <w:rsid w:val="00963238"/>
    <w:rsid w:val="0098642F"/>
    <w:rsid w:val="009C7C6D"/>
    <w:rsid w:val="00A06E5A"/>
    <w:rsid w:val="00A07C53"/>
    <w:rsid w:val="00AC7C28"/>
    <w:rsid w:val="00AE56DA"/>
    <w:rsid w:val="00B65DB9"/>
    <w:rsid w:val="00BA1A7D"/>
    <w:rsid w:val="00BE2CDE"/>
    <w:rsid w:val="00C0436C"/>
    <w:rsid w:val="00C26785"/>
    <w:rsid w:val="00C938D9"/>
    <w:rsid w:val="00D03584"/>
    <w:rsid w:val="00D11564"/>
    <w:rsid w:val="00D12D8A"/>
    <w:rsid w:val="00D25033"/>
    <w:rsid w:val="00D7788A"/>
    <w:rsid w:val="00DC4CCD"/>
    <w:rsid w:val="00DE18DE"/>
    <w:rsid w:val="00E138F1"/>
    <w:rsid w:val="00E20D33"/>
    <w:rsid w:val="00E538A3"/>
    <w:rsid w:val="00E57951"/>
    <w:rsid w:val="00E72A59"/>
    <w:rsid w:val="00E806AD"/>
    <w:rsid w:val="00F1475C"/>
    <w:rsid w:val="00F4045A"/>
    <w:rsid w:val="00F82C3A"/>
    <w:rsid w:val="00FC31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12D8A"/>
    <w:rPr>
      <w:color w:val="808080"/>
    </w:rPr>
  </w:style>
  <w:style w:type="paragraph" w:customStyle="1" w:styleId="77E410E81453400F978817CEE849D2E2">
    <w:name w:val="77E410E81453400F978817CEE849D2E2"/>
    <w:rsid w:val="00DC4CCD"/>
    <w:pPr>
      <w:spacing w:after="160" w:line="259" w:lineRule="auto"/>
    </w:pPr>
    <w:rPr>
      <w:lang w:val="en-CA" w:eastAsia="en-CA"/>
    </w:rPr>
  </w:style>
  <w:style w:type="paragraph" w:customStyle="1" w:styleId="9B27881A0DA94C87A67606132DE285BF">
    <w:name w:val="9B27881A0DA94C87A67606132DE285BF"/>
    <w:rsid w:val="00DC4CCD"/>
    <w:pPr>
      <w:spacing w:after="160" w:line="259" w:lineRule="auto"/>
    </w:pPr>
    <w:rPr>
      <w:lang w:val="en-CA" w:eastAsia="en-CA"/>
    </w:rPr>
  </w:style>
  <w:style w:type="paragraph" w:customStyle="1" w:styleId="16B8453C9CB26B419A243B406D81E796">
    <w:name w:val="16B8453C9CB26B419A243B406D81E796"/>
    <w:pPr>
      <w:spacing w:after="0" w:line="240" w:lineRule="auto"/>
    </w:pPr>
    <w:rPr>
      <w:sz w:val="24"/>
      <w:szCs w:val="24"/>
      <w:lang w:val="en-CA" w:eastAsia="ja-JP"/>
    </w:rPr>
  </w:style>
  <w:style w:type="paragraph" w:customStyle="1" w:styleId="6A46EB6522BCCE46AA484B1E911E6FE9">
    <w:name w:val="6A46EB6522BCCE46AA484B1E911E6FE9"/>
    <w:pPr>
      <w:spacing w:after="0" w:line="240" w:lineRule="auto"/>
    </w:pPr>
    <w:rPr>
      <w:sz w:val="24"/>
      <w:szCs w:val="24"/>
      <w:lang w:val="en-CA" w:eastAsia="ja-JP"/>
    </w:rPr>
  </w:style>
  <w:style w:type="paragraph" w:customStyle="1" w:styleId="7B06166846FB464C93C779C54CA038A2">
    <w:name w:val="7B06166846FB464C93C779C54CA038A2"/>
    <w:rsid w:val="00D12D8A"/>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8 de julio de 2020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B9D8EA2-2743-4D08-A690-A647689A4EA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6272E9-719F-4B2A-8FFC-DCF83FF614D2}">
  <ds:schemaRefs>
    <ds:schemaRef ds:uri="http://schemas.microsoft.com/sharepoint/v3/contenttype/forms"/>
  </ds:schemaRefs>
</ds:datastoreItem>
</file>

<file path=customXml/itemProps4.xml><?xml version="1.0" encoding="utf-8"?>
<ds:datastoreItem xmlns:ds="http://schemas.openxmlformats.org/officeDocument/2006/customXml" ds:itemID="{6D281160-A5EB-4ED0-B0B8-D7E934DA3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076FA7D-8A00-4A02-88CE-2AB9CFA0B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TotalTime>
  <Pages>22</Pages>
  <Words>9015</Words>
  <Characters>51386</Characters>
  <Application>Microsoft Office Word</Application>
  <DocSecurity>0</DocSecurity>
  <Lines>428</Lines>
  <Paragraphs>120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Plan de aplicación y plan de acción para la creación de capacidad para el protocolo de cartagena</vt:lpstr>
      <vt:lpstr>Report of the Liaison Group on the Cartagena Protocol on Biosafety on its fourteenth meeting</vt:lpstr>
    </vt:vector>
  </TitlesOfParts>
  <Manager/>
  <Company>SCBD</Company>
  <LinksUpToDate>false</LinksUpToDate>
  <CharactersWithSpaces>60281</CharactersWithSpaces>
  <SharedDoc>false</SharedDoc>
  <HyperlinkBase>https://www.cbd.int/post2020/</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aplicación y plan de acción para la creación de capacidad para el protocolo de cartagena</dc:title>
  <dc:subject>CBD/SBI/3/18</dc:subject>
  <dc:creator>SCBD</dc:creator>
  <cp:keywords>Subsidiary Body on Implementation, third meeting</cp:keywords>
  <dc:description/>
  <cp:lastModifiedBy>Rosario </cp:lastModifiedBy>
  <cp:revision>149</cp:revision>
  <cp:lastPrinted>2020-09-30T17:31:00Z</cp:lastPrinted>
  <dcterms:created xsi:type="dcterms:W3CDTF">2020-08-11T14:32:00Z</dcterms:created>
  <dcterms:modified xsi:type="dcterms:W3CDTF">2020-10-01T14:02:00Z</dcterms:modified>
  <cp:category/>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