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Tr="00CF1848">
        <w:trPr>
          <w:trHeight w:val="709"/>
        </w:trPr>
        <w:tc>
          <w:tcPr>
            <w:tcW w:w="976" w:type="dxa"/>
            <w:tcBorders>
              <w:bottom w:val="single" w:sz="12" w:space="0" w:color="auto"/>
            </w:tcBorders>
          </w:tcPr>
          <w:p w:rsidR="00C9161D" w:rsidRDefault="00C9161D">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E032D9">
            <w:r>
              <w:rPr>
                <w:noProof/>
                <w:lang w:val="fr-FR" w:eastAsia="fr-FR"/>
              </w:rPr>
              <w:drawing>
                <wp:inline distT="0" distB="0" distL="0" distR="0">
                  <wp:extent cx="333955" cy="402590"/>
                  <wp:effectExtent l="0" t="0" r="9525" b="0"/>
                  <wp:docPr id="5" name="Image 5" descr="nr UNEP bw (R) "/>
                  <wp:cNvGraphicFramePr/>
                  <a:graphic xmlns:a="http://schemas.openxmlformats.org/drawingml/2006/main">
                    <a:graphicData uri="http://schemas.openxmlformats.org/drawingml/2006/picture">
                      <pic:pic xmlns:pic="http://schemas.openxmlformats.org/drawingml/2006/picture">
                        <pic:nvPicPr>
                          <pic:cNvPr id="5" name="Image 5" descr="nr UNEP bw (R) "/>
                          <pic:cNvPicPr/>
                        </pic:nvPicPr>
                        <pic:blipFill>
                          <a:blip r:embed="rId10" cstate="print"/>
                          <a:srcRect/>
                          <a:stretch>
                            <a:fillRect/>
                          </a:stretch>
                        </pic:blipFill>
                        <pic:spPr bwMode="auto">
                          <a:xfrm>
                            <a:off x="0" y="0"/>
                            <a:ext cx="336244" cy="40534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E032D9" w:rsidP="00C9161D">
            <w:r>
              <w:rPr>
                <w:noProof/>
                <w:lang w:val="fr-FR" w:eastAsia="fr-FR"/>
              </w:rPr>
              <w:drawing>
                <wp:inline distT="0" distB="0" distL="0" distR="0">
                  <wp:extent cx="2622550" cy="1078230"/>
                  <wp:effectExtent l="0" t="0" r="6350" b="762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EB1441"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Pr>
                    <w:caps/>
                    <w:szCs w:val="22"/>
                  </w:rPr>
                  <w:t>LIMITED</w:t>
                </w:r>
              </w:sdtContent>
            </w:sdt>
          </w:p>
          <w:p w:rsidR="00C9161D" w:rsidRPr="00C9161D" w:rsidRDefault="00C9161D" w:rsidP="00176CEE">
            <w:pPr>
              <w:ind w:left="1215"/>
              <w:rPr>
                <w:szCs w:val="22"/>
              </w:rPr>
            </w:pPr>
          </w:p>
          <w:p w:rsidR="00C9161D" w:rsidRPr="00C9161D" w:rsidRDefault="00EB1441"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B5BF9">
                  <w:rPr>
                    <w:lang w:val="en-US"/>
                  </w:rPr>
                  <w:t>CBD/COP/14/L.5</w:t>
                </w:r>
              </w:sdtContent>
            </w:sdt>
          </w:p>
          <w:p w:rsidR="00C9161D" w:rsidRDefault="006B5BF9" w:rsidP="00176CEE">
            <w:pPr>
              <w:ind w:left="1215"/>
              <w:rPr>
                <w:szCs w:val="22"/>
                <w:lang w:val="en-US"/>
              </w:rPr>
            </w:pPr>
            <w:r>
              <w:rPr>
                <w:szCs w:val="22"/>
                <w:lang w:val="en-US"/>
              </w:rPr>
              <w:t xml:space="preserve">22 </w:t>
            </w:r>
            <w:r w:rsidR="00A91D4C">
              <w:rPr>
                <w:szCs w:val="22"/>
                <w:lang w:val="en-US"/>
              </w:rPr>
              <w:t>November</w:t>
            </w:r>
            <w:r w:rsidR="00F6586C">
              <w:rPr>
                <w:szCs w:val="22"/>
                <w:lang w:val="en-US"/>
              </w:rPr>
              <w:t xml:space="preserve"> 2018</w:t>
            </w:r>
          </w:p>
          <w:p w:rsidR="00506E05" w:rsidRPr="00C9161D" w:rsidRDefault="00506E05" w:rsidP="00176CEE">
            <w:pPr>
              <w:ind w:left="1215"/>
              <w:rPr>
                <w:szCs w:val="22"/>
              </w:rPr>
            </w:pPr>
          </w:p>
          <w:p w:rsidR="00F73A00" w:rsidRDefault="00F73A00" w:rsidP="00F73A00">
            <w:pPr>
              <w:ind w:firstLine="1177"/>
              <w:rPr>
                <w:kern w:val="22"/>
              </w:rPr>
            </w:pPr>
            <w:r>
              <w:rPr>
                <w:kern w:val="22"/>
              </w:rPr>
              <w:t xml:space="preserve"> RUSSIAN</w:t>
            </w:r>
          </w:p>
          <w:p w:rsidR="00C9161D" w:rsidRPr="00C9161D" w:rsidRDefault="00F73A00" w:rsidP="00F73A00">
            <w:pPr>
              <w:ind w:left="1215"/>
              <w:rPr>
                <w:szCs w:val="22"/>
              </w:rPr>
            </w:pPr>
            <w:r>
              <w:rPr>
                <w:kern w:val="22"/>
              </w:rPr>
              <w:t>ORIGINAL: ENGLISH</w:t>
            </w:r>
          </w:p>
          <w:p w:rsidR="00C9161D" w:rsidRDefault="00C9161D"/>
        </w:tc>
      </w:tr>
    </w:tbl>
    <w:p w:rsidR="00506E05" w:rsidRDefault="00506E05" w:rsidP="00506E05">
      <w:pPr>
        <w:pStyle w:val="Cornernotation"/>
        <w:spacing w:before="60"/>
        <w:ind w:right="4575"/>
        <w:rPr>
          <w:snapToGrid w:val="0"/>
          <w:color w:val="000000"/>
          <w:kern w:val="22"/>
          <w:szCs w:val="22"/>
          <w:lang w:val="ru-RU"/>
        </w:rPr>
      </w:pPr>
      <w:r>
        <w:rPr>
          <w:snapToGrid w:val="0"/>
          <w:color w:val="000000"/>
          <w:kern w:val="22"/>
          <w:szCs w:val="22"/>
          <w:lang w:val="ru-RU" w:bidi="ru-RU"/>
        </w:rPr>
        <w:t xml:space="preserve">КОНФЕРЕНЦИЯ СТОРОН КОНВЕНЦИИ О БИОЛОГИЧЕСКОМ РАЗНООБРАЗИИ </w:t>
      </w:r>
    </w:p>
    <w:p w:rsidR="00506E05" w:rsidRDefault="00506E05" w:rsidP="00506E05">
      <w:pPr>
        <w:pStyle w:val="Cornernotation"/>
        <w:rPr>
          <w:snapToGrid w:val="0"/>
          <w:color w:val="000000"/>
          <w:kern w:val="22"/>
          <w:szCs w:val="22"/>
          <w:lang w:val="ru-RU"/>
        </w:rPr>
      </w:pPr>
      <w:r>
        <w:rPr>
          <w:snapToGrid w:val="0"/>
          <w:color w:val="000000"/>
          <w:kern w:val="22"/>
          <w:szCs w:val="22"/>
          <w:lang w:val="ru-RU" w:bidi="ru-RU"/>
        </w:rPr>
        <w:t>Четырнадцатое совещание</w:t>
      </w:r>
    </w:p>
    <w:p w:rsidR="00506E05" w:rsidRDefault="00506E05" w:rsidP="00506E05">
      <w:pPr>
        <w:pStyle w:val="Sansinterligne"/>
        <w:rPr>
          <w:rFonts w:ascii="Times New Roman" w:hAnsi="Times New Roman"/>
          <w:kern w:val="22"/>
          <w:lang w:val="ru-RU"/>
        </w:rPr>
      </w:pPr>
      <w:bookmarkStart w:id="0" w:name="OLE_LINK2"/>
      <w:bookmarkStart w:id="1" w:name="OLE_LINK1"/>
      <w:r>
        <w:rPr>
          <w:rFonts w:ascii="Times New Roman" w:hAnsi="Times New Roman"/>
          <w:lang w:val="ru-RU"/>
        </w:rPr>
        <w:t>Шарм-эш-Шейх, Египет, 17-29 декабря 201</w:t>
      </w:r>
      <w:bookmarkEnd w:id="0"/>
      <w:bookmarkEnd w:id="1"/>
      <w:r>
        <w:rPr>
          <w:rFonts w:ascii="Times New Roman" w:hAnsi="Times New Roman"/>
          <w:lang w:val="ru-RU"/>
        </w:rPr>
        <w:t>8 года</w:t>
      </w:r>
    </w:p>
    <w:p w:rsidR="00176CEE" w:rsidRPr="00413D7F" w:rsidRDefault="00506E05" w:rsidP="00506E05">
      <w:pPr>
        <w:pStyle w:val="Cornernotation"/>
        <w:ind w:right="3973"/>
        <w:rPr>
          <w:lang w:val="en-US"/>
        </w:rPr>
      </w:pPr>
      <w:r>
        <w:rPr>
          <w:kern w:val="22"/>
          <w:lang w:val="ru-RU"/>
        </w:rPr>
        <w:t>Пункт 9 повестки дня</w:t>
      </w:r>
    </w:p>
    <w:p w:rsidR="008D7427" w:rsidRDefault="008D7427" w:rsidP="008D7427">
      <w:pPr>
        <w:pStyle w:val="Titre1"/>
        <w:rPr>
          <w:rFonts w:ascii="Times New Roman Bold" w:hAnsi="Times New Roman Bold"/>
          <w:snapToGrid w:val="0"/>
          <w:kern w:val="22"/>
          <w:lang w:val="ru-RU"/>
        </w:rPr>
      </w:pPr>
      <w:r>
        <w:rPr>
          <w:rFonts w:ascii="Times New Roman Bold" w:hAnsi="Times New Roman Bold"/>
          <w:bCs/>
          <w:iCs/>
          <w:snapToGrid w:val="0"/>
          <w:kern w:val="22"/>
          <w:lang w:val="ru-RU"/>
        </w:rPr>
        <w:t>Гарантии защищенности в механизмах финансирования биоразнообразия</w:t>
      </w:r>
      <w:r>
        <w:rPr>
          <w:rFonts w:ascii="Times New Roman Bold" w:hAnsi="Times New Roman Bold"/>
          <w:snapToGrid w:val="0"/>
          <w:kern w:val="22"/>
          <w:lang w:val="ru-RU"/>
        </w:rPr>
        <w:t xml:space="preserve"> </w:t>
      </w:r>
    </w:p>
    <w:p w:rsidR="008D7427" w:rsidRDefault="008D7427" w:rsidP="008D7427">
      <w:pPr>
        <w:spacing w:before="120" w:after="240"/>
        <w:jc w:val="center"/>
        <w:rPr>
          <w:b/>
          <w:caps/>
          <w:kern w:val="22"/>
          <w:lang w:val="ru-RU"/>
        </w:rPr>
      </w:pPr>
      <w:r>
        <w:rPr>
          <w:rFonts w:asciiTheme="majorBidi" w:hAnsiTheme="majorBidi" w:cstheme="majorBidi"/>
          <w:b/>
          <w:kern w:val="22"/>
          <w:szCs w:val="22"/>
          <w:lang w:val="ru-RU"/>
        </w:rPr>
        <w:t xml:space="preserve">Проект решения, представленный Председателем Рабочей группы </w:t>
      </w:r>
      <w:r>
        <w:rPr>
          <w:rFonts w:asciiTheme="majorBidi" w:hAnsiTheme="majorBidi" w:cstheme="majorBidi"/>
          <w:b/>
          <w:kern w:val="22"/>
          <w:szCs w:val="22"/>
        </w:rPr>
        <w:t>I</w:t>
      </w:r>
    </w:p>
    <w:p w:rsidR="008D7427" w:rsidRDefault="008D7427" w:rsidP="008D7427">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ru-RU"/>
        </w:rPr>
      </w:pPr>
      <w:r>
        <w:rPr>
          <w:i/>
          <w:iCs/>
          <w:snapToGrid w:val="0"/>
          <w:kern w:val="22"/>
          <w:szCs w:val="22"/>
          <w:lang w:val="ru-RU"/>
        </w:rPr>
        <w:t>Конференция Сторон,</w:t>
      </w:r>
    </w:p>
    <w:p w:rsidR="008D7427" w:rsidRDefault="008D7427" w:rsidP="008D7427">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Pr>
          <w:i/>
          <w:iCs/>
          <w:snapToGrid w:val="0"/>
          <w:kern w:val="22"/>
          <w:szCs w:val="22"/>
          <w:lang w:val="ru-RU"/>
        </w:rPr>
        <w:t xml:space="preserve">ссылаясь </w:t>
      </w:r>
      <w:r>
        <w:rPr>
          <w:iCs/>
          <w:snapToGrid w:val="0"/>
          <w:kern w:val="22"/>
          <w:szCs w:val="22"/>
          <w:lang w:val="ru-RU"/>
        </w:rPr>
        <w:t>на решение XII/3, в котором Конференция Сторон приняла добровольные руководящие указания по гарантиям защищенности в механизмах финансирования биоразнообразия,</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snapToGrid w:val="0"/>
          <w:kern w:val="22"/>
          <w:szCs w:val="22"/>
          <w:lang w:val="ru-RU"/>
        </w:rPr>
        <w:t>1.</w:t>
      </w:r>
      <w:r>
        <w:rPr>
          <w:snapToGrid w:val="0"/>
          <w:kern w:val="22"/>
          <w:szCs w:val="22"/>
          <w:lang w:val="ru-RU"/>
        </w:rPr>
        <w:tab/>
      </w:r>
      <w:r>
        <w:rPr>
          <w:i/>
          <w:iCs/>
          <w:snapToGrid w:val="0"/>
          <w:kern w:val="22"/>
          <w:szCs w:val="22"/>
          <w:lang w:val="ru-RU"/>
        </w:rPr>
        <w:t xml:space="preserve">подчеркивает </w:t>
      </w:r>
      <w:r>
        <w:rPr>
          <w:iCs/>
          <w:snapToGrid w:val="0"/>
          <w:kern w:val="22"/>
          <w:szCs w:val="22"/>
          <w:lang w:val="ru-RU"/>
        </w:rPr>
        <w:t>с удовлетворением</w:t>
      </w:r>
      <w:r>
        <w:rPr>
          <w:i/>
          <w:iCs/>
          <w:snapToGrid w:val="0"/>
          <w:kern w:val="22"/>
          <w:szCs w:val="22"/>
          <w:lang w:val="ru-RU"/>
        </w:rPr>
        <w:t xml:space="preserve"> </w:t>
      </w:r>
      <w:r>
        <w:rPr>
          <w:snapToGrid w:val="0"/>
          <w:kern w:val="22"/>
          <w:szCs w:val="22"/>
          <w:lang w:val="ru-RU"/>
        </w:rPr>
        <w:t xml:space="preserve">процесс сближения, возникающий между существующими процедурами разработки и/или усовершенствования систем гарантий защищенности в механизмах финансирования и добровольными руководящими указаниями Конвенции по гарантиям защищенности в механизмах финансирования биоразнообразия, и </w:t>
      </w:r>
      <w:r>
        <w:rPr>
          <w:i/>
          <w:iCs/>
          <w:snapToGrid w:val="0"/>
          <w:kern w:val="22"/>
          <w:szCs w:val="22"/>
          <w:lang w:val="ru-RU"/>
        </w:rPr>
        <w:t>призывает</w:t>
      </w:r>
      <w:r>
        <w:rPr>
          <w:snapToGrid w:val="0"/>
          <w:kern w:val="22"/>
          <w:szCs w:val="22"/>
          <w:lang w:val="ru-RU"/>
        </w:rPr>
        <w:t xml:space="preserve"> в рамках таких процедур и далее обращаться к руководящим указаниям в целях создания более тесной конвергенции;</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iCs/>
          <w:snapToGrid w:val="0"/>
          <w:kern w:val="22"/>
          <w:szCs w:val="22"/>
          <w:lang w:val="ru-RU"/>
        </w:rPr>
        <w:t>2.</w:t>
      </w:r>
      <w:r>
        <w:rPr>
          <w:iCs/>
          <w:snapToGrid w:val="0"/>
          <w:kern w:val="22"/>
          <w:szCs w:val="22"/>
          <w:lang w:val="ru-RU"/>
        </w:rPr>
        <w:tab/>
      </w:r>
      <w:r>
        <w:rPr>
          <w:i/>
          <w:iCs/>
          <w:snapToGrid w:val="0"/>
          <w:kern w:val="22"/>
          <w:szCs w:val="22"/>
          <w:lang w:val="ru-RU"/>
        </w:rPr>
        <w:t>признает</w:t>
      </w:r>
      <w:r>
        <w:rPr>
          <w:snapToGrid w:val="0"/>
          <w:kern w:val="22"/>
          <w:szCs w:val="22"/>
          <w:lang w:val="ru-RU"/>
        </w:rPr>
        <w:t xml:space="preserve"> важность прав коренных народов и местных общин на владение их традиционными территориями (земельными и водными ресурсами) для их выживания и сохранения их образа жизни и вытекающую из этого необходимость обеспечения всеобъемлющих и надежных гарантий на основе прозрачной отчетности и постоянного наблюдения в соответствии с международными обязательствами и рамками, такими как Декларация Организации Объединенных Наций о правах коренных народов</w:t>
      </w:r>
      <w:r>
        <w:rPr>
          <w:snapToGrid w:val="0"/>
          <w:kern w:val="22"/>
          <w:szCs w:val="22"/>
          <w:vertAlign w:val="superscript"/>
          <w:lang w:val="ru-RU"/>
        </w:rPr>
        <w:footnoteReference w:id="1"/>
      </w:r>
      <w:r>
        <w:rPr>
          <w:snapToGrid w:val="0"/>
          <w:kern w:val="22"/>
          <w:szCs w:val="22"/>
          <w:lang w:val="ru-RU"/>
        </w:rPr>
        <w:t>, механизмами, решениями и руководящими указаниями Конвенции о биологическом разнообразии при всестороннем и эффективном участии коренных народов и местных общин и их добровольном предварительном обоснованном согласии, предварительном обоснованном согласии или при одобрении и участии коренных народов и местных общин в соответствии с национальными процессами, политикой и законодательством в соответствующих случаях;</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snapToGrid w:val="0"/>
          <w:kern w:val="22"/>
          <w:szCs w:val="22"/>
          <w:lang w:val="ru-RU"/>
        </w:rPr>
        <w:t>3.</w:t>
      </w:r>
      <w:r>
        <w:rPr>
          <w:snapToGrid w:val="0"/>
          <w:kern w:val="22"/>
          <w:szCs w:val="22"/>
          <w:lang w:val="ru-RU"/>
        </w:rPr>
        <w:tab/>
      </w:r>
      <w:r>
        <w:rPr>
          <w:i/>
          <w:iCs/>
          <w:snapToGrid w:val="0"/>
          <w:kern w:val="22"/>
          <w:szCs w:val="22"/>
          <w:lang w:val="ru-RU"/>
        </w:rPr>
        <w:t xml:space="preserve">принимает к сведению </w:t>
      </w:r>
      <w:r>
        <w:rPr>
          <w:snapToGrid w:val="0"/>
          <w:kern w:val="22"/>
          <w:szCs w:val="22"/>
          <w:lang w:val="ru-RU"/>
        </w:rPr>
        <w:t>процессы, инициированные оперативными органами механизма финансирования Рамочной конвенции Организации Объединенных Наций об изменении климата в целях разработки, внедрения и применения систем гарантий защищенности, которые будут распространяться на все климатическое финансирование, относящееся к сфере их компетенции;</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snapToGrid w:val="0"/>
          <w:kern w:val="22"/>
          <w:szCs w:val="22"/>
          <w:lang w:val="ru-RU"/>
        </w:rPr>
        <w:t>4.</w:t>
      </w:r>
      <w:r>
        <w:rPr>
          <w:snapToGrid w:val="0"/>
          <w:kern w:val="22"/>
          <w:szCs w:val="22"/>
          <w:lang w:val="ru-RU"/>
        </w:rPr>
        <w:tab/>
      </w:r>
      <w:r>
        <w:rPr>
          <w:i/>
          <w:iCs/>
          <w:snapToGrid w:val="0"/>
          <w:kern w:val="22"/>
          <w:szCs w:val="22"/>
          <w:lang w:val="ru-RU"/>
        </w:rPr>
        <w:t>приветствует</w:t>
      </w:r>
      <w:r>
        <w:rPr>
          <w:snapToGrid w:val="0"/>
          <w:kern w:val="22"/>
          <w:szCs w:val="22"/>
          <w:lang w:val="ru-RU"/>
        </w:rPr>
        <w:t xml:space="preserve"> в частности процесс Глобального экологического фонда по пересмотру и обновлению его экологических и социальных гарантий защищенности и </w:t>
      </w:r>
      <w:r>
        <w:rPr>
          <w:snapToGrid w:val="0"/>
          <w:kern w:val="22"/>
          <w:szCs w:val="22"/>
          <w:lang w:val="ru-RU"/>
        </w:rPr>
        <w:lastRenderedPageBreak/>
        <w:t xml:space="preserve">соответствующих систем его учреждений, а также его руководящие указания по продвижению гендерных аспектов в его </w:t>
      </w:r>
      <w:r w:rsidR="003A56F9">
        <w:rPr>
          <w:snapToGrid w:val="0"/>
          <w:kern w:val="22"/>
          <w:szCs w:val="22"/>
          <w:lang w:val="ru-RU"/>
        </w:rPr>
        <w:t xml:space="preserve">новой </w:t>
      </w:r>
      <w:r w:rsidR="00E053A0">
        <w:rPr>
          <w:snapToGrid w:val="0"/>
          <w:kern w:val="22"/>
          <w:szCs w:val="22"/>
          <w:lang w:val="ru-RU"/>
        </w:rPr>
        <w:t>с</w:t>
      </w:r>
      <w:r w:rsidR="003A56F9" w:rsidRPr="003A56F9">
        <w:rPr>
          <w:snapToGrid w:val="0"/>
          <w:kern w:val="22"/>
          <w:szCs w:val="22"/>
          <w:lang w:val="ru-RU"/>
        </w:rPr>
        <w:t>тратеги</w:t>
      </w:r>
      <w:r w:rsidR="003A56F9">
        <w:rPr>
          <w:snapToGrid w:val="0"/>
          <w:kern w:val="22"/>
          <w:szCs w:val="22"/>
          <w:lang w:val="ru-RU"/>
        </w:rPr>
        <w:t>и</w:t>
      </w:r>
      <w:r w:rsidR="003A56F9" w:rsidRPr="003A56F9">
        <w:rPr>
          <w:snapToGrid w:val="0"/>
          <w:kern w:val="22"/>
          <w:szCs w:val="22"/>
          <w:lang w:val="ru-RU"/>
        </w:rPr>
        <w:t xml:space="preserve"> осуществления гендерной политики</w:t>
      </w:r>
      <w:r>
        <w:rPr>
          <w:snapToGrid w:val="0"/>
          <w:kern w:val="22"/>
          <w:szCs w:val="22"/>
          <w:lang w:val="ru-RU"/>
        </w:rPr>
        <w:t xml:space="preserve">, отмечая, что </w:t>
      </w:r>
      <w:r w:rsidR="004205B9">
        <w:rPr>
          <w:snapToGrid w:val="0"/>
          <w:kern w:val="22"/>
          <w:szCs w:val="22"/>
          <w:lang w:val="ru-RU"/>
        </w:rPr>
        <w:t xml:space="preserve">соответствующие </w:t>
      </w:r>
      <w:r>
        <w:rPr>
          <w:snapToGrid w:val="0"/>
          <w:kern w:val="22"/>
          <w:szCs w:val="22"/>
          <w:lang w:val="ru-RU"/>
        </w:rPr>
        <w:t xml:space="preserve">результаты будут также применимы ко всем финансируемым Фондом проектам, и </w:t>
      </w:r>
      <w:r>
        <w:rPr>
          <w:i/>
          <w:iCs/>
          <w:snapToGrid w:val="0"/>
          <w:kern w:val="22"/>
          <w:szCs w:val="22"/>
          <w:lang w:val="ru-RU"/>
        </w:rPr>
        <w:t>предлагает</w:t>
      </w:r>
      <w:r>
        <w:rPr>
          <w:snapToGrid w:val="0"/>
          <w:kern w:val="22"/>
          <w:szCs w:val="22"/>
          <w:lang w:val="ru-RU"/>
        </w:rPr>
        <w:t xml:space="preserve"> Фонду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 в своих важных процессах;</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snapToGrid w:val="0"/>
          <w:kern w:val="22"/>
          <w:szCs w:val="22"/>
          <w:lang w:val="ru-RU"/>
        </w:rPr>
        <w:t>5.</w:t>
      </w:r>
      <w:r>
        <w:rPr>
          <w:snapToGrid w:val="0"/>
          <w:kern w:val="22"/>
          <w:szCs w:val="22"/>
          <w:lang w:val="ru-RU"/>
        </w:rPr>
        <w:tab/>
      </w:r>
      <w:r>
        <w:rPr>
          <w:i/>
          <w:snapToGrid w:val="0"/>
          <w:kern w:val="22"/>
          <w:szCs w:val="22"/>
          <w:lang w:val="ru-RU"/>
        </w:rPr>
        <w:t>настоятельно призывает</w:t>
      </w:r>
      <w:r>
        <w:rPr>
          <w:snapToGrid w:val="0"/>
          <w:kern w:val="22"/>
          <w:szCs w:val="22"/>
          <w:lang w:val="ru-RU"/>
        </w:rPr>
        <w:t xml:space="preserve"> Стороны, организации других субъектов деятельности и другие учреждения продолжать использование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своих механизмов финансирования и при внедрении своих систем гарантий защищенности, используя сообразно обстоятельствам контрольный перечень, приведенный в приложении к настоящему решению;</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lang w:val="ru-RU"/>
        </w:rPr>
      </w:pPr>
      <w:r>
        <w:rPr>
          <w:snapToGrid w:val="0"/>
          <w:kern w:val="22"/>
          <w:szCs w:val="22"/>
          <w:lang w:val="ru-RU"/>
        </w:rPr>
        <w:t>6.</w:t>
      </w:r>
      <w:r>
        <w:rPr>
          <w:snapToGrid w:val="0"/>
          <w:kern w:val="22"/>
          <w:szCs w:val="22"/>
          <w:lang w:val="ru-RU"/>
        </w:rPr>
        <w:tab/>
      </w:r>
      <w:r>
        <w:rPr>
          <w:i/>
          <w:iCs/>
          <w:snapToGrid w:val="0"/>
          <w:kern w:val="22"/>
          <w:szCs w:val="22"/>
          <w:lang w:val="ru-RU"/>
        </w:rPr>
        <w:t>предлагает</w:t>
      </w:r>
      <w:r>
        <w:rPr>
          <w:snapToGrid w:val="0"/>
          <w:kern w:val="22"/>
          <w:szCs w:val="22"/>
          <w:lang w:val="ru-RU"/>
        </w:rPr>
        <w:t xml:space="preserve"> Сторонам, </w:t>
      </w:r>
      <w:r w:rsidR="00E34620">
        <w:rPr>
          <w:snapToGrid w:val="0"/>
          <w:kern w:val="22"/>
          <w:szCs w:val="22"/>
          <w:lang w:val="ru-RU"/>
        </w:rPr>
        <w:t xml:space="preserve">другим правительствам, </w:t>
      </w:r>
      <w:r>
        <w:rPr>
          <w:snapToGrid w:val="0"/>
          <w:kern w:val="22"/>
          <w:szCs w:val="22"/>
          <w:lang w:val="ru-RU"/>
        </w:rPr>
        <w:t>коренным народам и местным общинам, организациям других субъектов деятельности и другим учреждениям представить мнения об опыте, возможностях и вариантах содействия использованию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механизмов финансирования биоразнообразия;</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Pr>
          <w:snapToGrid w:val="0"/>
          <w:kern w:val="22"/>
          <w:szCs w:val="22"/>
          <w:lang w:val="ru-RU"/>
        </w:rPr>
        <w:t>7.</w:t>
      </w:r>
      <w:r>
        <w:rPr>
          <w:snapToGrid w:val="0"/>
          <w:kern w:val="22"/>
          <w:szCs w:val="22"/>
          <w:lang w:val="ru-RU"/>
        </w:rPr>
        <w:tab/>
      </w:r>
      <w:r>
        <w:rPr>
          <w:i/>
          <w:iCs/>
          <w:snapToGrid w:val="0"/>
          <w:kern w:val="22"/>
          <w:szCs w:val="22"/>
          <w:lang w:val="ru-RU"/>
        </w:rPr>
        <w:t>поручает</w:t>
      </w:r>
      <w:r>
        <w:rPr>
          <w:snapToGrid w:val="0"/>
          <w:kern w:val="22"/>
          <w:szCs w:val="22"/>
          <w:lang w:val="ru-RU"/>
        </w:rPr>
        <w:t xml:space="preserve"> Исполнительному секретарю обобщить дополнительную информацию о применении и значении добровольных руководящих указаний Конвенции по гарантиям защищенности в механизмах финансирования биоразнообразия и других соответствующих руководящих указаний в рамках Конвенции среди Сторон, </w:t>
      </w:r>
      <w:r w:rsidR="000412F6">
        <w:rPr>
          <w:snapToGrid w:val="0"/>
          <w:kern w:val="22"/>
          <w:szCs w:val="22"/>
          <w:lang w:val="ru-RU"/>
        </w:rPr>
        <w:t>друг</w:t>
      </w:r>
      <w:r w:rsidR="00A81191">
        <w:rPr>
          <w:snapToGrid w:val="0"/>
          <w:kern w:val="22"/>
          <w:szCs w:val="22"/>
          <w:lang w:val="ru-RU"/>
        </w:rPr>
        <w:t>их</w:t>
      </w:r>
      <w:r w:rsidR="000412F6">
        <w:rPr>
          <w:snapToGrid w:val="0"/>
          <w:kern w:val="22"/>
          <w:szCs w:val="22"/>
          <w:lang w:val="ru-RU"/>
        </w:rPr>
        <w:t xml:space="preserve"> правительств</w:t>
      </w:r>
      <w:r w:rsidR="00A81191">
        <w:rPr>
          <w:snapToGrid w:val="0"/>
          <w:kern w:val="22"/>
          <w:szCs w:val="22"/>
          <w:lang w:val="ru-RU"/>
        </w:rPr>
        <w:t>,</w:t>
      </w:r>
      <w:r w:rsidR="000412F6">
        <w:rPr>
          <w:snapToGrid w:val="0"/>
          <w:kern w:val="22"/>
          <w:szCs w:val="22"/>
          <w:lang w:val="ru-RU"/>
        </w:rPr>
        <w:t xml:space="preserve"> </w:t>
      </w:r>
      <w:r>
        <w:rPr>
          <w:snapToGrid w:val="0"/>
          <w:kern w:val="22"/>
          <w:szCs w:val="22"/>
          <w:lang w:val="ru-RU"/>
        </w:rPr>
        <w:t>коренных народов и местных общин, организаций других субъектов деятельности и международных учреждений для разработки и использования соответствующих систем гарантий защищенности;</w:t>
      </w:r>
    </w:p>
    <w:p w:rsidR="008D7427" w:rsidRDefault="008D7427" w:rsidP="008D742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iCs/>
          <w:snapToGrid w:val="0"/>
          <w:kern w:val="22"/>
          <w:szCs w:val="22"/>
          <w:lang w:val="ru-RU"/>
        </w:rPr>
      </w:pPr>
      <w:r>
        <w:rPr>
          <w:snapToGrid w:val="0"/>
          <w:kern w:val="22"/>
          <w:szCs w:val="22"/>
          <w:lang w:val="ru-RU"/>
        </w:rPr>
        <w:t>8.</w:t>
      </w:r>
      <w:r>
        <w:rPr>
          <w:snapToGrid w:val="0"/>
          <w:kern w:val="22"/>
          <w:szCs w:val="22"/>
          <w:lang w:val="ru-RU"/>
        </w:rPr>
        <w:tab/>
      </w:r>
      <w:r>
        <w:rPr>
          <w:i/>
          <w:iCs/>
          <w:snapToGrid w:val="0"/>
          <w:kern w:val="22"/>
          <w:szCs w:val="22"/>
          <w:lang w:val="ru-RU"/>
        </w:rPr>
        <w:t>поручает также</w:t>
      </w:r>
      <w:r>
        <w:rPr>
          <w:snapToGrid w:val="0"/>
          <w:kern w:val="22"/>
          <w:szCs w:val="22"/>
          <w:lang w:val="ru-RU"/>
        </w:rPr>
        <w:t xml:space="preserve"> Исполнительному секретарю включить для рассмотрения в качестве одного из возможных элементов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 разработку конкретных положений о гарантиях на период после 2020 года для коренных народов и местных общин на основе принципов, стандартов и руководящих указаний, принятых в рамках Конвенции, и устранения любых выявленных дополнительных недочетов, включая соображения по вопросам гендерного равенства и отмечая, что ориентировочный перечень возможных элементов и задач будет подготовлен для рассмотрения Конференцией Сторон на ее 1</w:t>
      </w:r>
      <w:r w:rsidR="00887437">
        <w:rPr>
          <w:snapToGrid w:val="0"/>
          <w:kern w:val="22"/>
          <w:szCs w:val="22"/>
          <w:lang w:val="ru-RU"/>
        </w:rPr>
        <w:t>5</w:t>
      </w:r>
      <w:r>
        <w:rPr>
          <w:snapToGrid w:val="0"/>
          <w:kern w:val="22"/>
          <w:szCs w:val="22"/>
          <w:lang w:val="ru-RU"/>
        </w:rPr>
        <w:t>-м совещании и Рабочей группой по осуществлению статьи 8 j) и соответствующих положений Конвенции на ее 11-м совещании.</w:t>
      </w:r>
    </w:p>
    <w:p w:rsidR="008D7427" w:rsidRPr="00357F79" w:rsidRDefault="008D7427" w:rsidP="008D7427">
      <w:pPr>
        <w:keepNext/>
        <w:suppressLineNumbers/>
        <w:suppressAutoHyphens/>
        <w:kinsoku w:val="0"/>
        <w:overflowPunct w:val="0"/>
        <w:autoSpaceDE w:val="0"/>
        <w:autoSpaceDN w:val="0"/>
        <w:adjustRightInd w:val="0"/>
        <w:snapToGrid w:val="0"/>
        <w:spacing w:after="120"/>
        <w:jc w:val="center"/>
        <w:rPr>
          <w:i/>
          <w:snapToGrid w:val="0"/>
          <w:kern w:val="22"/>
          <w:szCs w:val="22"/>
          <w:lang w:val="ru-RU"/>
        </w:rPr>
      </w:pPr>
      <w:r w:rsidRPr="00357F79">
        <w:rPr>
          <w:i/>
          <w:iCs/>
          <w:snapToGrid w:val="0"/>
          <w:kern w:val="22"/>
          <w:szCs w:val="22"/>
          <w:lang w:val="ru-RU"/>
        </w:rPr>
        <w:t>Приложение</w:t>
      </w:r>
    </w:p>
    <w:p w:rsidR="008D7427" w:rsidRPr="00357F79" w:rsidRDefault="008D7427" w:rsidP="008D7427">
      <w:pPr>
        <w:keepNext/>
        <w:suppressLineNumbers/>
        <w:suppressAutoHyphens/>
        <w:kinsoku w:val="0"/>
        <w:overflowPunct w:val="0"/>
        <w:autoSpaceDE w:val="0"/>
        <w:autoSpaceDN w:val="0"/>
        <w:adjustRightInd w:val="0"/>
        <w:snapToGrid w:val="0"/>
        <w:jc w:val="center"/>
        <w:rPr>
          <w:b/>
          <w:bCs/>
          <w:caps/>
          <w:snapToGrid w:val="0"/>
          <w:kern w:val="22"/>
          <w:szCs w:val="22"/>
          <w:lang w:val="ru-RU"/>
        </w:rPr>
      </w:pPr>
      <w:r w:rsidRPr="00357F79">
        <w:rPr>
          <w:b/>
          <w:bCs/>
          <w:caps/>
          <w:snapToGrid w:val="0"/>
          <w:kern w:val="22"/>
          <w:szCs w:val="22"/>
          <w:lang w:val="ru-RU"/>
        </w:rPr>
        <w:t>Контрольный перечень гарантий защищенности в механизмах финансирования биоразнообразия в рамках Конвенции о биологическом разнообразии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Приведенные ниже вопросы можно использовать в качестве контрольного перечня для соблюдения требований, предусмотренных в добровольных руководящих указаниях Конвенции по гарантиям защищенности в механизмах финансирования биоразнообразия.</w:t>
      </w:r>
    </w:p>
    <w:p w:rsidR="008D7427" w:rsidRPr="00357F79" w:rsidRDefault="008D7427" w:rsidP="008D7427">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357F79">
        <w:rPr>
          <w:b/>
          <w:bCs/>
          <w:snapToGrid w:val="0"/>
          <w:kern w:val="22"/>
          <w:szCs w:val="22"/>
          <w:lang w:val="ru-RU"/>
        </w:rPr>
        <w:t>Общий вопрос о назначении добровольных руководящих указаний Конвенции по гарантиям защищенности в механизмах финансирования биоразнообразия</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Снабжен ли механизм финансирования системой гарантий защищенности, предназначенной для эффективного предотвращения или смягчения непредвиденного воздействия на права и источники средств к существованию коренных народов и местных общин в соответствии с национальным законодательством и для максимизации возможностей оказания им поддержки?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357F79">
        <w:rPr>
          <w:b/>
          <w:bCs/>
          <w:snapToGrid w:val="0"/>
          <w:kern w:val="22"/>
          <w:szCs w:val="22"/>
          <w:lang w:val="ru-RU"/>
        </w:rPr>
        <w:lastRenderedPageBreak/>
        <w:t>Руководящее указание А: В процессе отбора, разработки и внедрения механизмов финансирования биоразнообразия следует признавать роль биоразнообразия и функций экосистем в жизнеобеспечении местного населения и формировании жизнестойкости, а также внутренние ценности биоразнообразия.</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A.1</w:t>
      </w:r>
      <w:r w:rsidRPr="00357F79">
        <w:rPr>
          <w:snapToGrid w:val="0"/>
          <w:kern w:val="22"/>
          <w:szCs w:val="22"/>
          <w:lang w:val="ru-RU"/>
        </w:rPr>
        <w:tab/>
        <w:t>Признается ли в процессе отбора, разработки и внедрения механизма роль биоразнообразия и функций экосистем в жизнеобеспечении местного населения и формировании жизнестойкости?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A.2</w:t>
      </w:r>
      <w:r w:rsidRPr="00357F79">
        <w:rPr>
          <w:snapToGrid w:val="0"/>
          <w:kern w:val="22"/>
          <w:szCs w:val="22"/>
          <w:lang w:val="ru-RU"/>
        </w:rPr>
        <w:tab/>
        <w:t>Признаются ли внутренние ценности биоразнообразия?</w:t>
      </w:r>
    </w:p>
    <w:p w:rsidR="008D7427" w:rsidRPr="00357F79" w:rsidRDefault="008D7427" w:rsidP="008D7427">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357F79">
        <w:rPr>
          <w:b/>
          <w:bCs/>
          <w:snapToGrid w:val="0"/>
          <w:kern w:val="22"/>
          <w:szCs w:val="22"/>
          <w:lang w:val="ru-RU"/>
        </w:rPr>
        <w:t>Руководящее указание B: Следует тщательным образом справедливо и беспристрастно определять на национальном уровне права и обязанности субъектов деятельности и/или заинтересованных сторон в механизмах финансирования биоразнообразия при эффективном участии всех соответствующих субъектов, включая свободное предварительное обоснованное согласие, предварительное обоснованное согласие или одобрение и участие коренных народов и местных общин, учитывая положения Конвенции о биологическом разнообразии и принятые в ее рамках соответствующие решения, руководящие указания и принципы и в соответствующих случаях положения Декларации Организации Объединённых Наций о правах коренных народов.</w:t>
      </w:r>
    </w:p>
    <w:p w:rsidR="008D7427" w:rsidRPr="00357F79" w:rsidRDefault="008D7427" w:rsidP="008D7427">
      <w:pPr>
        <w:suppressLineNumbers/>
        <w:suppressAutoHyphens/>
        <w:kinsoku w:val="0"/>
        <w:overflowPunct w:val="0"/>
        <w:autoSpaceDE w:val="0"/>
        <w:autoSpaceDN w:val="0"/>
        <w:adjustRightInd w:val="0"/>
        <w:snapToGrid w:val="0"/>
        <w:spacing w:before="120" w:after="120"/>
        <w:rPr>
          <w:snapToGrid w:val="0"/>
          <w:kern w:val="22"/>
          <w:szCs w:val="22"/>
          <w:lang w:val="ru-RU"/>
        </w:rPr>
      </w:pPr>
      <w:r w:rsidRPr="00357F79">
        <w:rPr>
          <w:snapToGrid w:val="0"/>
          <w:kern w:val="22"/>
          <w:szCs w:val="22"/>
          <w:lang w:val="ru-RU"/>
        </w:rPr>
        <w:t>B.1</w:t>
      </w:r>
      <w:r w:rsidRPr="00357F79">
        <w:rPr>
          <w:snapToGrid w:val="0"/>
          <w:kern w:val="22"/>
          <w:szCs w:val="22"/>
          <w:lang w:val="ru-RU"/>
        </w:rPr>
        <w:tab/>
        <w:t>Обеспечивается ли справедливое и беспристрастное определение на национальном уровне прав и обязанностей субъектов деятельности и/или заинтересованных сторон?</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B.2</w:t>
      </w:r>
      <w:r w:rsidRPr="00357F79">
        <w:rPr>
          <w:snapToGrid w:val="0"/>
          <w:kern w:val="22"/>
          <w:szCs w:val="22"/>
          <w:lang w:val="ru-RU"/>
        </w:rPr>
        <w:tab/>
        <w:t>Имеет ли место эффективное участие всех соответствующих субъектов деятельности в определении таких функций и обязанностей?</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B.3</w:t>
      </w:r>
      <w:r w:rsidRPr="00357F79">
        <w:rPr>
          <w:snapToGrid w:val="0"/>
          <w:kern w:val="22"/>
          <w:szCs w:val="22"/>
          <w:lang w:val="ru-RU"/>
        </w:rPr>
        <w:tab/>
        <w:t xml:space="preserve">Обеспечивается ли получение </w:t>
      </w:r>
      <w:r w:rsidRPr="00357F79">
        <w:rPr>
          <w:bCs/>
          <w:snapToGrid w:val="0"/>
          <w:kern w:val="22"/>
          <w:szCs w:val="22"/>
          <w:lang w:val="ru-RU"/>
        </w:rPr>
        <w:t>свободного предварительного обоснованного согласия,</w:t>
      </w:r>
      <w:r w:rsidRPr="00357F79">
        <w:rPr>
          <w:snapToGrid w:val="0"/>
          <w:kern w:val="22"/>
          <w:szCs w:val="22"/>
          <w:lang w:val="ru-RU"/>
        </w:rPr>
        <w:t xml:space="preserve"> предварительного обоснованного согласия или одобрение и участие коренных и местных общин при определении таких функций и обязанностей?</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B.4</w:t>
      </w:r>
      <w:r w:rsidRPr="00357F79">
        <w:rPr>
          <w:snapToGrid w:val="0"/>
          <w:kern w:val="22"/>
          <w:szCs w:val="22"/>
          <w:lang w:val="ru-RU"/>
        </w:rPr>
        <w:tab/>
        <w:t>Учитывается ли в механизме Конвенция о биологическом разнообразии, ее соответствующие решения, руководства и принципы и в соответствующих случаях положения Декларации Организации Объединённых Наций о правах коренных народов?</w:t>
      </w:r>
    </w:p>
    <w:p w:rsidR="008D7427" w:rsidRPr="00357F79" w:rsidRDefault="008D7427" w:rsidP="008D7427">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357F79">
        <w:rPr>
          <w:b/>
          <w:bCs/>
          <w:snapToGrid w:val="0"/>
          <w:kern w:val="22"/>
          <w:szCs w:val="22"/>
          <w:lang w:val="ru-RU"/>
        </w:rPr>
        <w:t>Руководящее указание C: Гарантии защищенности в механизмах финансирования биоразнообразия должны быть обусловлены местными обстоятельствами, разрабатываться согласно соответствующим инициируемым странами/учитывающим специфику стран процессам, а также национальному законодательству и приоритетам и учитывать соответствующие международные соглашения, декларации и руководящие указания, разработанные в рамках Конвенции о биологическом разнообразии и в соответствующих случаях Рамочной конвенции Организации Объединенных Наций об изменении климата, международных договоров о правах человека и Декларации Организации Объединенных Наций о правах коренных народов.</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C.1</w:t>
      </w:r>
      <w:r w:rsidRPr="00357F79">
        <w:rPr>
          <w:snapToGrid w:val="0"/>
          <w:kern w:val="22"/>
          <w:szCs w:val="22"/>
          <w:lang w:val="ru-RU"/>
        </w:rPr>
        <w:tab/>
        <w:t>Обусловлены ли гарантии защищенности в механизмах финансирования биоразнообразия местными обстоятельствами?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C.2</w:t>
      </w:r>
      <w:r w:rsidRPr="00357F79">
        <w:rPr>
          <w:snapToGrid w:val="0"/>
          <w:kern w:val="22"/>
          <w:szCs w:val="22"/>
          <w:lang w:val="ru-RU"/>
        </w:rPr>
        <w:tab/>
        <w:t>Соответствуют ли гарантии защищенности соответствующим инициируемым странами/учитывающим специфику стран процессам, а также национальному законодательству и приоритетам?</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C.3</w:t>
      </w:r>
      <w:r w:rsidRPr="00357F79">
        <w:rPr>
          <w:snapToGrid w:val="0"/>
          <w:kern w:val="22"/>
          <w:szCs w:val="22"/>
          <w:lang w:val="ru-RU"/>
        </w:rPr>
        <w:tab/>
        <w:t>Учитываются ли в них инструменты, упомянутые в пункте В.4, и в соответствующих случаях Рамочная конвенция Организации Объединенных Наций об изменении климата, Конвенция о ликвидации всех форм дискриминации в отношении женщин, международные договоры о правах человека</w:t>
      </w:r>
      <w:r w:rsidRPr="00357F79">
        <w:rPr>
          <w:szCs w:val="22"/>
          <w:lang w:val="ru-RU"/>
        </w:rPr>
        <w:t xml:space="preserve"> </w:t>
      </w:r>
      <w:r w:rsidRPr="00357F79">
        <w:rPr>
          <w:snapToGrid w:val="0"/>
          <w:kern w:val="22"/>
          <w:szCs w:val="22"/>
          <w:lang w:val="ru-RU"/>
        </w:rPr>
        <w:t>и другие документы?</w:t>
      </w:r>
    </w:p>
    <w:p w:rsidR="008D7427" w:rsidRPr="00357F79" w:rsidRDefault="008D7427" w:rsidP="008D7427">
      <w:pPr>
        <w:suppressLineNumbers/>
        <w:suppressAutoHyphens/>
        <w:kinsoku w:val="0"/>
        <w:overflowPunct w:val="0"/>
        <w:autoSpaceDE w:val="0"/>
        <w:autoSpaceDN w:val="0"/>
        <w:adjustRightInd w:val="0"/>
        <w:snapToGrid w:val="0"/>
        <w:spacing w:before="120" w:after="120"/>
        <w:rPr>
          <w:b/>
          <w:iCs/>
          <w:snapToGrid w:val="0"/>
          <w:kern w:val="22"/>
          <w:szCs w:val="22"/>
          <w:lang w:val="ru-RU"/>
        </w:rPr>
      </w:pPr>
      <w:r w:rsidRPr="00357F79">
        <w:rPr>
          <w:b/>
          <w:bCs/>
          <w:snapToGrid w:val="0"/>
          <w:kern w:val="22"/>
          <w:szCs w:val="22"/>
          <w:lang w:val="ru-RU"/>
        </w:rPr>
        <w:t xml:space="preserve">Руководящее указание D: Надлежащие эффективные организационные структуры имеют важнейшее значение для функционирования гарантий защищенности и их следует внедрять, </w:t>
      </w:r>
      <w:r w:rsidRPr="00357F79">
        <w:rPr>
          <w:b/>
          <w:bCs/>
          <w:snapToGrid w:val="0"/>
          <w:kern w:val="22"/>
          <w:szCs w:val="22"/>
          <w:lang w:val="ru-RU"/>
        </w:rPr>
        <w:lastRenderedPageBreak/>
        <w:t>включая механизмы обеспечения исполнения и оценки, таким образом, чтобы обеспечивать прозрачность и подотчетность, а также соблюдение соответствующих гарантий защищенности.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D.1</w:t>
      </w:r>
      <w:r w:rsidRPr="00357F79">
        <w:rPr>
          <w:snapToGrid w:val="0"/>
          <w:kern w:val="22"/>
          <w:szCs w:val="22"/>
          <w:lang w:val="ru-RU"/>
        </w:rPr>
        <w:tab/>
        <w:t>Внедрены ли надлежащие</w:t>
      </w:r>
      <w:r w:rsidRPr="00357F79">
        <w:rPr>
          <w:b/>
          <w:bCs/>
          <w:snapToGrid w:val="0"/>
          <w:kern w:val="22"/>
          <w:szCs w:val="22"/>
          <w:lang w:val="ru-RU"/>
        </w:rPr>
        <w:t xml:space="preserve"> </w:t>
      </w:r>
      <w:r w:rsidRPr="00357F79">
        <w:rPr>
          <w:snapToGrid w:val="0"/>
          <w:kern w:val="22"/>
          <w:szCs w:val="22"/>
          <w:lang w:val="ru-RU"/>
        </w:rPr>
        <w:t>эффективные организационные структуры для обеспечения использования гарантий защищенности?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D.2</w:t>
      </w:r>
      <w:r w:rsidRPr="00357F79">
        <w:rPr>
          <w:snapToGrid w:val="0"/>
          <w:kern w:val="22"/>
          <w:szCs w:val="22"/>
          <w:lang w:val="ru-RU"/>
        </w:rPr>
        <w:tab/>
        <w:t>Включает ли система гарантий защищенности</w:t>
      </w:r>
      <w:r w:rsidRPr="00357F79">
        <w:rPr>
          <w:b/>
          <w:bCs/>
          <w:snapToGrid w:val="0"/>
          <w:kern w:val="22"/>
          <w:szCs w:val="22"/>
          <w:lang w:val="ru-RU"/>
        </w:rPr>
        <w:t xml:space="preserve"> </w:t>
      </w:r>
      <w:r w:rsidRPr="00357F79">
        <w:rPr>
          <w:snapToGrid w:val="0"/>
          <w:kern w:val="22"/>
          <w:szCs w:val="22"/>
          <w:lang w:val="ru-RU"/>
        </w:rPr>
        <w:t>механизмы обеспечения исполнения и оценки?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D.3</w:t>
      </w:r>
      <w:r w:rsidRPr="00357F79">
        <w:rPr>
          <w:snapToGrid w:val="0"/>
          <w:kern w:val="22"/>
          <w:szCs w:val="22"/>
          <w:lang w:val="ru-RU"/>
        </w:rPr>
        <w:tab/>
        <w:t>Включены ли требования</w:t>
      </w:r>
      <w:r w:rsidRPr="00357F79">
        <w:rPr>
          <w:b/>
          <w:bCs/>
          <w:snapToGrid w:val="0"/>
          <w:kern w:val="22"/>
          <w:szCs w:val="22"/>
          <w:lang w:val="ru-RU"/>
        </w:rPr>
        <w:t xml:space="preserve"> </w:t>
      </w:r>
      <w:r w:rsidRPr="00357F79">
        <w:rPr>
          <w:snapToGrid w:val="0"/>
          <w:kern w:val="22"/>
          <w:szCs w:val="22"/>
          <w:lang w:val="ru-RU"/>
        </w:rPr>
        <w:t>обеспечения прозрачности и подотчетности?</w:t>
      </w:r>
    </w:p>
    <w:p w:rsidR="008D7427" w:rsidRPr="00357F79" w:rsidRDefault="008D7427" w:rsidP="008D7427">
      <w:pPr>
        <w:suppressLineNumbers/>
        <w:suppressAutoHyphens/>
        <w:kinsoku w:val="0"/>
        <w:overflowPunct w:val="0"/>
        <w:autoSpaceDE w:val="0"/>
        <w:autoSpaceDN w:val="0"/>
        <w:adjustRightInd w:val="0"/>
        <w:snapToGrid w:val="0"/>
        <w:spacing w:before="120" w:after="120"/>
        <w:rPr>
          <w:iCs/>
          <w:snapToGrid w:val="0"/>
          <w:kern w:val="22"/>
          <w:szCs w:val="22"/>
          <w:lang w:val="ru-RU"/>
        </w:rPr>
      </w:pPr>
      <w:r w:rsidRPr="00357F79">
        <w:rPr>
          <w:snapToGrid w:val="0"/>
          <w:kern w:val="22"/>
          <w:szCs w:val="22"/>
          <w:lang w:val="ru-RU"/>
        </w:rPr>
        <w:t>D.4</w:t>
      </w:r>
      <w:r w:rsidRPr="00357F79">
        <w:rPr>
          <w:snapToGrid w:val="0"/>
          <w:kern w:val="22"/>
          <w:szCs w:val="22"/>
          <w:lang w:val="ru-RU"/>
        </w:rPr>
        <w:tab/>
        <w:t>Все ли участвующие субъекты деятельности выполняют соответствующие гарантии защищенности?</w:t>
      </w:r>
    </w:p>
    <w:p w:rsidR="008D7427" w:rsidRPr="00357F79" w:rsidRDefault="008D7427" w:rsidP="008D7427">
      <w:pPr>
        <w:pStyle w:val="Para1"/>
        <w:numPr>
          <w:ilvl w:val="0"/>
          <w:numId w:val="0"/>
        </w:numPr>
        <w:suppressLineNumbers/>
        <w:suppressAutoHyphens/>
        <w:kinsoku w:val="0"/>
        <w:overflowPunct w:val="0"/>
        <w:autoSpaceDE w:val="0"/>
        <w:autoSpaceDN w:val="0"/>
        <w:adjustRightInd w:val="0"/>
        <w:rPr>
          <w:b/>
          <w:snapToGrid/>
          <w:kern w:val="22"/>
          <w:szCs w:val="22"/>
          <w:lang w:val="ru-RU"/>
        </w:rPr>
      </w:pPr>
      <w:r w:rsidRPr="00357F79">
        <w:rPr>
          <w:b/>
          <w:bCs/>
          <w:kern w:val="22"/>
          <w:szCs w:val="22"/>
          <w:lang w:val="ru-RU"/>
        </w:rPr>
        <w:t>Дополнительные вопросы, разработанные на основе соответствующих решений, руководств и принципов в рамках Конвенции о биологическом разнообразии, включают следующие:</w:t>
      </w:r>
    </w:p>
    <w:p w:rsidR="008D7427" w:rsidRPr="00357F79" w:rsidRDefault="008D7427" w:rsidP="008D7427">
      <w:pPr>
        <w:pStyle w:val="Para1"/>
        <w:numPr>
          <w:ilvl w:val="0"/>
          <w:numId w:val="20"/>
        </w:numPr>
        <w:suppressLineNumbers/>
        <w:suppressAutoHyphens/>
        <w:kinsoku w:val="0"/>
        <w:overflowPunct w:val="0"/>
        <w:autoSpaceDE w:val="0"/>
        <w:autoSpaceDN w:val="0"/>
        <w:adjustRightInd w:val="0"/>
        <w:snapToGrid w:val="0"/>
        <w:ind w:left="720" w:hanging="720"/>
        <w:rPr>
          <w:kern w:val="22"/>
          <w:szCs w:val="22"/>
          <w:lang w:val="ru-RU"/>
        </w:rPr>
      </w:pPr>
      <w:r w:rsidRPr="00357F79">
        <w:rPr>
          <w:kern w:val="22"/>
          <w:szCs w:val="22"/>
          <w:lang w:val="ru-RU"/>
        </w:rPr>
        <w:t>Есть ли положения, способствующие обеспечению справедливости или сокращению риска несправедливости в процессе совместного использования выгод?</w:t>
      </w:r>
    </w:p>
    <w:p w:rsidR="008D7427" w:rsidRPr="00357F79" w:rsidRDefault="008D7427" w:rsidP="008D7427">
      <w:pPr>
        <w:pStyle w:val="Para1"/>
        <w:numPr>
          <w:ilvl w:val="0"/>
          <w:numId w:val="20"/>
        </w:numPr>
        <w:suppressLineNumbers/>
        <w:suppressAutoHyphens/>
        <w:kinsoku w:val="0"/>
        <w:overflowPunct w:val="0"/>
        <w:autoSpaceDE w:val="0"/>
        <w:autoSpaceDN w:val="0"/>
        <w:adjustRightInd w:val="0"/>
        <w:snapToGrid w:val="0"/>
        <w:ind w:left="720" w:hanging="720"/>
        <w:rPr>
          <w:kern w:val="22"/>
          <w:szCs w:val="22"/>
          <w:lang w:val="ru-RU"/>
        </w:rPr>
      </w:pPr>
      <w:r w:rsidRPr="00357F79">
        <w:rPr>
          <w:kern w:val="22"/>
          <w:szCs w:val="22"/>
          <w:lang w:val="ru-RU"/>
        </w:rPr>
        <w:t>Включены ли в инструменты гарантий защищенности процедуры оценки культурных последствий? Предусмотрено ли в них, в частности, уважение духовных ценностей коренных народов и местных общин?</w:t>
      </w:r>
    </w:p>
    <w:p w:rsidR="008D7427" w:rsidRPr="00357F79" w:rsidRDefault="008D7427" w:rsidP="008D7427">
      <w:pPr>
        <w:pStyle w:val="Para1"/>
        <w:numPr>
          <w:ilvl w:val="0"/>
          <w:numId w:val="20"/>
        </w:numPr>
        <w:suppressLineNumbers/>
        <w:suppressAutoHyphens/>
        <w:kinsoku w:val="0"/>
        <w:overflowPunct w:val="0"/>
        <w:autoSpaceDE w:val="0"/>
        <w:autoSpaceDN w:val="0"/>
        <w:adjustRightInd w:val="0"/>
        <w:snapToGrid w:val="0"/>
        <w:ind w:left="720" w:hanging="720"/>
        <w:rPr>
          <w:kern w:val="22"/>
          <w:szCs w:val="22"/>
          <w:lang w:val="ru-RU"/>
        </w:rPr>
      </w:pPr>
      <w:r w:rsidRPr="00357F79">
        <w:rPr>
          <w:kern w:val="22"/>
          <w:szCs w:val="22"/>
          <w:lang w:val="ru-RU"/>
        </w:rPr>
        <w:t>Учитывается ли при устранении рисков использование на основе обычая?</w:t>
      </w:r>
    </w:p>
    <w:p w:rsidR="008D7427" w:rsidRPr="00357F79" w:rsidRDefault="008D7427" w:rsidP="008D7427">
      <w:pPr>
        <w:pStyle w:val="Para1"/>
        <w:numPr>
          <w:ilvl w:val="0"/>
          <w:numId w:val="20"/>
        </w:numPr>
        <w:suppressLineNumbers/>
        <w:suppressAutoHyphens/>
        <w:kinsoku w:val="0"/>
        <w:overflowPunct w:val="0"/>
        <w:autoSpaceDE w:val="0"/>
        <w:autoSpaceDN w:val="0"/>
        <w:adjustRightInd w:val="0"/>
        <w:snapToGrid w:val="0"/>
        <w:ind w:left="720" w:hanging="720"/>
        <w:rPr>
          <w:kern w:val="22"/>
          <w:szCs w:val="22"/>
          <w:lang w:val="ru-RU"/>
        </w:rPr>
      </w:pPr>
      <w:r w:rsidRPr="00357F79">
        <w:rPr>
          <w:kern w:val="22"/>
          <w:szCs w:val="22"/>
          <w:lang w:val="ru-RU"/>
        </w:rPr>
        <w:t>Существуют ли гарантии защищенности в отношении традиционных знаний коренных народов и местных общин, в частности в плане охраны их прав на знания?</w:t>
      </w:r>
    </w:p>
    <w:p w:rsidR="00413D7F" w:rsidRPr="00357F79" w:rsidRDefault="00413D7F" w:rsidP="00413D7F">
      <w:pPr>
        <w:suppressLineNumbers/>
        <w:suppressAutoHyphens/>
        <w:kinsoku w:val="0"/>
        <w:overflowPunct w:val="0"/>
        <w:autoSpaceDE w:val="0"/>
        <w:autoSpaceDN w:val="0"/>
        <w:adjustRightInd w:val="0"/>
        <w:snapToGrid w:val="0"/>
        <w:spacing w:before="120" w:after="120"/>
        <w:ind w:left="720" w:hanging="720"/>
        <w:rPr>
          <w:snapToGrid w:val="0"/>
          <w:kern w:val="22"/>
          <w:szCs w:val="22"/>
        </w:rPr>
      </w:pPr>
    </w:p>
    <w:p w:rsidR="00413D7F" w:rsidRPr="006327E3" w:rsidRDefault="006327E3" w:rsidP="00413D7F">
      <w:pPr>
        <w:suppressLineNumbers/>
        <w:suppressAutoHyphens/>
        <w:kinsoku w:val="0"/>
        <w:overflowPunct w:val="0"/>
        <w:autoSpaceDE w:val="0"/>
        <w:autoSpaceDN w:val="0"/>
        <w:adjustRightInd w:val="0"/>
        <w:snapToGrid w:val="0"/>
        <w:spacing w:before="120" w:after="120"/>
        <w:rPr>
          <w:snapToGrid w:val="0"/>
          <w:kern w:val="22"/>
          <w:szCs w:val="22"/>
          <w:lang w:val="ru-RU"/>
        </w:rPr>
      </w:pPr>
      <w:r>
        <w:rPr>
          <w:snapToGrid w:val="0"/>
          <w:kern w:val="22"/>
          <w:szCs w:val="22"/>
          <w:lang w:val="ru-RU"/>
        </w:rPr>
        <w:t xml:space="preserve"> </w:t>
      </w:r>
      <w:bookmarkStart w:id="2" w:name="_GoBack"/>
      <w:bookmarkEnd w:id="2"/>
    </w:p>
    <w:p w:rsidR="00B3369F" w:rsidRPr="00C9161D" w:rsidRDefault="006B5BF9" w:rsidP="00A93D8A">
      <w:pPr>
        <w:jc w:val="center"/>
      </w:pPr>
      <w:r>
        <w:t>__________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BE2" w:rsidRDefault="00B62BE2" w:rsidP="00CF1848">
      <w:r>
        <w:separator/>
      </w:r>
    </w:p>
  </w:endnote>
  <w:endnote w:type="continuationSeparator" w:id="0">
    <w:p w:rsidR="00B62BE2" w:rsidRDefault="00B62BE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BE2" w:rsidRDefault="00B62BE2" w:rsidP="00CF1848">
      <w:r>
        <w:separator/>
      </w:r>
    </w:p>
  </w:footnote>
  <w:footnote w:type="continuationSeparator" w:id="0">
    <w:p w:rsidR="00B62BE2" w:rsidRDefault="00B62BE2" w:rsidP="00CF1848">
      <w:r>
        <w:continuationSeparator/>
      </w:r>
    </w:p>
  </w:footnote>
  <w:footnote w:id="1">
    <w:p w:rsidR="008D7427" w:rsidRDefault="008D7427" w:rsidP="008D7427">
      <w:pPr>
        <w:pStyle w:val="Notedebasdepage"/>
        <w:keepLines w:val="0"/>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Appelnotedebasdep"/>
          <w:rFonts w:eastAsiaTheme="majorEastAsia"/>
          <w:snapToGrid w:val="0"/>
          <w:kern w:val="18"/>
          <w:szCs w:val="18"/>
        </w:rPr>
        <w:footnoteRef/>
      </w:r>
      <w:r>
        <w:rPr>
          <w:snapToGrid w:val="0"/>
          <w:kern w:val="18"/>
          <w:szCs w:val="18"/>
          <w:lang w:val="ru-RU"/>
        </w:rPr>
        <w:t xml:space="preserve"> Приложение к резо</w:t>
      </w:r>
      <w:r>
        <w:rPr>
          <w:lang w:val="ru-RU"/>
        </w:rPr>
        <w:t xml:space="preserve">люции Генеральной Ассамблеи </w:t>
      </w:r>
      <w:hyperlink r:id="rId1" w:history="1">
        <w:r>
          <w:rPr>
            <w:rStyle w:val="Lienhypertexte"/>
            <w:snapToGrid w:val="0"/>
            <w:kern w:val="18"/>
            <w:szCs w:val="18"/>
            <w:lang w:val="ru-RU"/>
          </w:rPr>
          <w:t>61/295</w:t>
        </w:r>
      </w:hyperlink>
      <w:r>
        <w:rPr>
          <w:snapToGrid w:val="0"/>
          <w:kern w:val="18"/>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6B5BF9" w:rsidP="00534681">
        <w:pPr>
          <w:pStyle w:val="En-tte"/>
          <w:rPr>
            <w:lang w:val="fr-FR"/>
          </w:rPr>
        </w:pPr>
        <w:r>
          <w:rPr>
            <w:lang w:val="fr-FR"/>
          </w:rPr>
          <w:t>CBD/COP/14/L.5</w:t>
        </w:r>
      </w:p>
    </w:sdtContent>
  </w:sdt>
  <w:p w:rsidR="00534681" w:rsidRPr="007B078D" w:rsidRDefault="00503D5B" w:rsidP="00534681">
    <w:pPr>
      <w:pStyle w:val="En-tte"/>
      <w:rPr>
        <w:lang w:val="fr-FR"/>
      </w:rPr>
    </w:pPr>
    <w:r>
      <w:rPr>
        <w:lang w:val="ru-RU"/>
      </w:rPr>
      <w:t>Страница</w:t>
    </w:r>
    <w:r w:rsidR="00534681" w:rsidRPr="007B078D">
      <w:rPr>
        <w:lang w:val="fr-FR"/>
      </w:rPr>
      <w:t xml:space="preserve"> </w:t>
    </w:r>
    <w:r w:rsidR="00EB1441">
      <w:fldChar w:fldCharType="begin"/>
    </w:r>
    <w:r w:rsidR="00534681" w:rsidRPr="007B078D">
      <w:rPr>
        <w:lang w:val="fr-FR"/>
      </w:rPr>
      <w:instrText xml:space="preserve"> PAGE   \* MERGEFORMAT </w:instrText>
    </w:r>
    <w:r w:rsidR="00EB1441">
      <w:fldChar w:fldCharType="separate"/>
    </w:r>
    <w:r w:rsidR="00673841">
      <w:rPr>
        <w:noProof/>
        <w:lang w:val="fr-FR"/>
      </w:rPr>
      <w:t>4</w:t>
    </w:r>
    <w:r w:rsidR="00EB1441">
      <w:rPr>
        <w:noProof/>
      </w:rPr>
      <w:fldChar w:fldCharType="end"/>
    </w:r>
  </w:p>
  <w:p w:rsidR="00534681" w:rsidRPr="007B078D"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6B5BF9" w:rsidP="009505C9">
        <w:pPr>
          <w:pStyle w:val="En-tte"/>
          <w:jc w:val="right"/>
          <w:rPr>
            <w:lang w:val="fr-FR"/>
          </w:rPr>
        </w:pPr>
        <w:r>
          <w:rPr>
            <w:lang w:val="fr-FR"/>
          </w:rPr>
          <w:t>CBD/COP/14/L.5</w:t>
        </w:r>
      </w:p>
    </w:sdtContent>
  </w:sdt>
  <w:p w:rsidR="009505C9" w:rsidRPr="007B078D" w:rsidRDefault="00503D5B" w:rsidP="009505C9">
    <w:pPr>
      <w:pStyle w:val="En-tte"/>
      <w:jc w:val="right"/>
      <w:rPr>
        <w:lang w:val="fr-FR"/>
      </w:rPr>
    </w:pPr>
    <w:r>
      <w:rPr>
        <w:lang w:val="ru-RU"/>
      </w:rPr>
      <w:t>Страница</w:t>
    </w:r>
    <w:r w:rsidRPr="007B078D">
      <w:rPr>
        <w:lang w:val="fr-FR"/>
      </w:rPr>
      <w:t xml:space="preserve"> </w:t>
    </w:r>
    <w:r w:rsidR="00EB1441">
      <w:fldChar w:fldCharType="begin"/>
    </w:r>
    <w:r w:rsidR="009505C9" w:rsidRPr="007B078D">
      <w:rPr>
        <w:lang w:val="fr-FR"/>
      </w:rPr>
      <w:instrText xml:space="preserve"> PAGE   \* MERGEFORMAT </w:instrText>
    </w:r>
    <w:r w:rsidR="00EB1441">
      <w:fldChar w:fldCharType="separate"/>
    </w:r>
    <w:r w:rsidR="00673841">
      <w:rPr>
        <w:noProof/>
        <w:lang w:val="fr-FR"/>
      </w:rPr>
      <w:t>3</w:t>
    </w:r>
    <w:r w:rsidR="00EB1441">
      <w:rPr>
        <w:noProof/>
      </w:rPr>
      <w:fldChar w:fldCharType="end"/>
    </w:r>
  </w:p>
  <w:p w:rsidR="009505C9" w:rsidRPr="007B078D"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E557F8"/>
    <w:multiLevelType w:val="hybridMultilevel"/>
    <w:tmpl w:val="697659FE"/>
    <w:lvl w:ilvl="0" w:tplc="FFFFFFFF">
      <w:start w:val="5"/>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ru-RU" w:vendorID="64" w:dllVersion="0" w:nlCheck="1" w:checkStyle="0"/>
  <w:proofState w:spelling="clean" w:grammar="clean"/>
  <w:defaultTabStop w:val="720"/>
  <w:hyphenationZone w:val="425"/>
  <w:evenAndOddHeaders/>
  <w:characterSpacingControl w:val="doNotCompress"/>
  <w:hdrShapeDefaults>
    <o:shapedefaults v:ext="edit" spidmax="37890"/>
  </w:hdrShapeDefaults>
  <w:footnotePr>
    <w:footnote w:id="-1"/>
    <w:footnote w:id="0"/>
  </w:footnotePr>
  <w:endnotePr>
    <w:endnote w:id="-1"/>
    <w:endnote w:id="0"/>
  </w:endnotePr>
  <w:compat>
    <w:useFELayout/>
  </w:compat>
  <w:rsids>
    <w:rsidRoot w:val="00C9161D"/>
    <w:rsid w:val="000412F6"/>
    <w:rsid w:val="000E05C5"/>
    <w:rsid w:val="000E673A"/>
    <w:rsid w:val="000F4914"/>
    <w:rsid w:val="000F74F5"/>
    <w:rsid w:val="00105372"/>
    <w:rsid w:val="00131E7A"/>
    <w:rsid w:val="00172AF6"/>
    <w:rsid w:val="00176CEE"/>
    <w:rsid w:val="00186DD8"/>
    <w:rsid w:val="001E3A8C"/>
    <w:rsid w:val="002050BB"/>
    <w:rsid w:val="00256A07"/>
    <w:rsid w:val="00273079"/>
    <w:rsid w:val="00357F79"/>
    <w:rsid w:val="00372F74"/>
    <w:rsid w:val="003A56F9"/>
    <w:rsid w:val="003D6DF7"/>
    <w:rsid w:val="003F7224"/>
    <w:rsid w:val="00413D7F"/>
    <w:rsid w:val="004205B9"/>
    <w:rsid w:val="00427D21"/>
    <w:rsid w:val="004644C2"/>
    <w:rsid w:val="00467F9C"/>
    <w:rsid w:val="00503D5B"/>
    <w:rsid w:val="00506E05"/>
    <w:rsid w:val="00534681"/>
    <w:rsid w:val="006122BA"/>
    <w:rsid w:val="006327E3"/>
    <w:rsid w:val="00673841"/>
    <w:rsid w:val="0068672C"/>
    <w:rsid w:val="006B2290"/>
    <w:rsid w:val="006B5BF9"/>
    <w:rsid w:val="00717D88"/>
    <w:rsid w:val="007942D3"/>
    <w:rsid w:val="007B078D"/>
    <w:rsid w:val="007B6C09"/>
    <w:rsid w:val="007E09DA"/>
    <w:rsid w:val="008178B6"/>
    <w:rsid w:val="00865B74"/>
    <w:rsid w:val="00887437"/>
    <w:rsid w:val="00897B2E"/>
    <w:rsid w:val="008D7427"/>
    <w:rsid w:val="008F6D76"/>
    <w:rsid w:val="00930BA1"/>
    <w:rsid w:val="0093169E"/>
    <w:rsid w:val="009505C9"/>
    <w:rsid w:val="009A0FA9"/>
    <w:rsid w:val="009A6059"/>
    <w:rsid w:val="00A23B95"/>
    <w:rsid w:val="00A519AD"/>
    <w:rsid w:val="00A81191"/>
    <w:rsid w:val="00A91D4C"/>
    <w:rsid w:val="00A93D8A"/>
    <w:rsid w:val="00B3369F"/>
    <w:rsid w:val="00B62BE2"/>
    <w:rsid w:val="00C443BD"/>
    <w:rsid w:val="00C9161D"/>
    <w:rsid w:val="00CF1848"/>
    <w:rsid w:val="00D12044"/>
    <w:rsid w:val="00D76A18"/>
    <w:rsid w:val="00DC47C7"/>
    <w:rsid w:val="00DD0B6A"/>
    <w:rsid w:val="00DD118C"/>
    <w:rsid w:val="00E032D9"/>
    <w:rsid w:val="00E053A0"/>
    <w:rsid w:val="00E34620"/>
    <w:rsid w:val="00E62B46"/>
    <w:rsid w:val="00E66235"/>
    <w:rsid w:val="00E83C24"/>
    <w:rsid w:val="00E9318D"/>
    <w:rsid w:val="00EB1441"/>
    <w:rsid w:val="00F4593E"/>
    <w:rsid w:val="00F6586C"/>
    <w:rsid w:val="00F73A00"/>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72"/>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styleId="Objetducommentaire">
    <w:name w:val="annotation subject"/>
    <w:basedOn w:val="Commentaire"/>
    <w:next w:val="Commentaire"/>
    <w:link w:val="ObjetducommentaireCar"/>
    <w:uiPriority w:val="99"/>
    <w:semiHidden/>
    <w:unhideWhenUsed/>
    <w:rsid w:val="009A6059"/>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A6059"/>
    <w:rPr>
      <w:rFonts w:ascii="Times New Roman" w:eastAsia="Times New Roman" w:hAnsi="Times New Roman" w:cs="Times New Roman"/>
      <w:b/>
      <w:bCs/>
      <w:sz w:val="20"/>
      <w:szCs w:val="20"/>
      <w:lang w:val="en-GB"/>
    </w:rPr>
  </w:style>
  <w:style w:type="character" w:customStyle="1" w:styleId="ParagraphedelisteCar">
    <w:name w:val="Paragraphe de liste Car"/>
    <w:basedOn w:val="Policepardfaut"/>
    <w:link w:val="Paragraphedeliste"/>
    <w:uiPriority w:val="72"/>
    <w:qFormat/>
    <w:locked/>
    <w:rsid w:val="008D7427"/>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8D7427"/>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784037504">
      <w:bodyDiv w:val="1"/>
      <w:marLeft w:val="0"/>
      <w:marRight w:val="0"/>
      <w:marTop w:val="0"/>
      <w:marBottom w:val="0"/>
      <w:divBdr>
        <w:top w:val="none" w:sz="0" w:space="0" w:color="auto"/>
        <w:left w:val="none" w:sz="0" w:space="0" w:color="auto"/>
        <w:bottom w:val="none" w:sz="0" w:space="0" w:color="auto"/>
        <w:right w:val="none" w:sz="0" w:space="0" w:color="auto"/>
      </w:divBdr>
    </w:div>
    <w:div w:id="1941256745">
      <w:bodyDiv w:val="1"/>
      <w:marLeft w:val="0"/>
      <w:marRight w:val="0"/>
      <w:marTop w:val="0"/>
      <w:marBottom w:val="0"/>
      <w:divBdr>
        <w:top w:val="none" w:sz="0" w:space="0" w:color="auto"/>
        <w:left w:val="none" w:sz="0" w:space="0" w:color="auto"/>
        <w:bottom w:val="none" w:sz="0" w:space="0" w:color="auto"/>
        <w:right w:val="none" w:sz="0" w:space="0" w:color="auto"/>
      </w:divBdr>
    </w:div>
    <w:div w:id="1985036709">
      <w:bodyDiv w:val="1"/>
      <w:marLeft w:val="0"/>
      <w:marRight w:val="0"/>
      <w:marTop w:val="0"/>
      <w:marBottom w:val="0"/>
      <w:divBdr>
        <w:top w:val="none" w:sz="0" w:space="0" w:color="auto"/>
        <w:left w:val="none" w:sz="0" w:space="0" w:color="auto"/>
        <w:bottom w:val="none" w:sz="0" w:space="0" w:color="auto"/>
        <w:right w:val="none" w:sz="0" w:space="0" w:color="auto"/>
      </w:divBdr>
    </w:div>
    <w:div w:id="20629021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sa/socdev/unpfii/documents/DRIPS_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83BC0"/>
    <w:rsid w:val="00500A2B"/>
    <w:rsid w:val="0058288D"/>
    <w:rsid w:val="006801B3"/>
    <w:rsid w:val="00810A55"/>
    <w:rsid w:val="008C6619"/>
    <w:rsid w:val="008D420E"/>
    <w:rsid w:val="009448CC"/>
    <w:rsid w:val="0098642F"/>
    <w:rsid w:val="00A77CF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C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448CC"/>
    <w:rPr>
      <w:color w:val="808080"/>
    </w:rPr>
  </w:style>
  <w:style w:type="paragraph" w:customStyle="1" w:styleId="A5B8E40A4FBC439EB80D2080DE6C7026">
    <w:name w:val="A5B8E40A4FBC439EB80D2080DE6C7026"/>
    <w:rsid w:val="009448CC"/>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3237D4-9FED-446D-963A-9B50BE45F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8930</Characters>
  <Application>Microsoft Office Word</Application>
  <DocSecurity>0</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Safeguards in biodiversity financing mechanisms</vt:lpstr>
      <vt:lpstr>Safeguards in biodiversity financing mechanisms</vt:lpstr>
    </vt:vector>
  </TitlesOfParts>
  <Company>SCBD</Company>
  <LinksUpToDate>false</LinksUpToDate>
  <CharactersWithSpaces>10532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Safeguards in biodiversity financing mechanisms</dc:title>
  <dc:subject>CBD/COP/14/L.5</dc:subject>
  <dc:creator>COP 14</dc:creator>
  <cp:keywords>Resource mobilization and the financial mechanism</cp:keywords>
  <cp:lastModifiedBy>Bureau</cp:lastModifiedBy>
  <cp:revision>2</cp:revision>
  <cp:lastPrinted>2018-11-22T15:20:00Z</cp:lastPrinted>
  <dcterms:created xsi:type="dcterms:W3CDTF">2018-11-22T17:11:00Z</dcterms:created>
  <dcterms:modified xsi:type="dcterms:W3CDTF">2018-11-22T17:11:00Z</dcterms:modified>
  <cp:contentStatus>LIMITED</cp:contentStatus>
</cp:coreProperties>
</file>