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7781F" w14:paraId="44A46D52" w14:textId="77777777" w:rsidTr="008A1499">
        <w:trPr>
          <w:trHeight w:val="850"/>
        </w:trPr>
        <w:tc>
          <w:tcPr>
            <w:tcW w:w="975" w:type="dxa"/>
            <w:vAlign w:val="bottom"/>
          </w:tcPr>
          <w:p w14:paraId="19E326F0" w14:textId="77777777" w:rsidR="001C6CC7" w:rsidRDefault="00DC03D0">
            <w:pPr>
              <w:pStyle w:val="AASmallLogo"/>
            </w:pPr>
            <w:r>
              <w:rPr>
                <w:noProof/>
              </w:rPr>
              <w:drawing>
                <wp:inline distT="0" distB="0" distL="0" distR="0" wp14:anchorId="400C4EC2" wp14:editId="33363AA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A598BEC" w14:textId="77777777" w:rsidR="008A1499" w:rsidRPr="0017781F" w:rsidRDefault="008A1499" w:rsidP="008A1499">
            <w:pPr>
              <w:pStyle w:val="AASmallLogo"/>
            </w:pPr>
          </w:p>
        </w:tc>
        <w:tc>
          <w:tcPr>
            <w:tcW w:w="1434" w:type="dxa"/>
            <w:noWrap/>
            <w:vAlign w:val="bottom"/>
          </w:tcPr>
          <w:p w14:paraId="1859A232" w14:textId="2B0DC2D0" w:rsidR="001C6CC7" w:rsidRDefault="00FF1435">
            <w:pPr>
              <w:pStyle w:val="AASmallLogo"/>
            </w:pPr>
            <w:r w:rsidRPr="00296F19">
              <w:rPr>
                <w:rFonts w:eastAsia="DengXian"/>
                <w:noProof/>
                <w:lang w:val="fr-CA" w:eastAsia="fr-CA"/>
              </w:rPr>
              <w:drawing>
                <wp:inline distT="0" distB="0" distL="0" distR="0" wp14:anchorId="49F75F08" wp14:editId="32059BF6">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t xml:space="preserve"> </w:t>
            </w:r>
          </w:p>
          <w:p w14:paraId="41B01A40" w14:textId="77777777" w:rsidR="008A1499" w:rsidRPr="0017781F" w:rsidRDefault="008A1499" w:rsidP="008A1499">
            <w:pPr>
              <w:pStyle w:val="AASmallLogo"/>
            </w:pPr>
          </w:p>
        </w:tc>
        <w:tc>
          <w:tcPr>
            <w:tcW w:w="8073" w:type="dxa"/>
            <w:vAlign w:val="bottom"/>
          </w:tcPr>
          <w:p w14:paraId="1BEBEB09" w14:textId="77777777" w:rsidR="001C6CC7" w:rsidRDefault="00DC03D0">
            <w:pPr>
              <w:pStyle w:val="ABSymbol"/>
            </w:pPr>
            <w:r>
              <w:rPr>
                <w:sz w:val="40"/>
              </w:rPr>
              <w:t>CBD</w:t>
            </w:r>
            <w:r>
              <w:t>/SBI/6/9</w:t>
            </w:r>
          </w:p>
        </w:tc>
      </w:tr>
    </w:tbl>
    <w:p w14:paraId="7302AD57" w14:textId="77777777" w:rsidR="008A1499" w:rsidRPr="0017781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7781F" w14:paraId="7B2E0F1C" w14:textId="77777777" w:rsidTr="008A1499">
        <w:trPr>
          <w:trHeight w:val="1814"/>
        </w:trPr>
        <w:tc>
          <w:tcPr>
            <w:tcW w:w="7370" w:type="dxa"/>
          </w:tcPr>
          <w:p w14:paraId="48C0D88B" w14:textId="62007992" w:rsidR="001C6CC7" w:rsidRDefault="00FF1435">
            <w:pPr>
              <w:pStyle w:val="ACLargeLogo"/>
            </w:pPr>
            <w:r w:rsidRPr="00296F19">
              <w:rPr>
                <w:b/>
                <w:bCs/>
                <w:noProof/>
                <w:lang w:val="fr-CA" w:eastAsia="fr-CA"/>
              </w:rPr>
              <w:drawing>
                <wp:inline distT="0" distB="0" distL="0" distR="0" wp14:anchorId="4744B3A0" wp14:editId="31ABD5F2">
                  <wp:extent cx="2857500" cy="1076325"/>
                  <wp:effectExtent l="0" t="0" r="0" b="9525"/>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t xml:space="preserve"> </w:t>
            </w:r>
          </w:p>
          <w:p w14:paraId="294022BE" w14:textId="77777777" w:rsidR="008A1499" w:rsidRPr="0017781F" w:rsidRDefault="008A1499" w:rsidP="008A1499">
            <w:pPr>
              <w:pStyle w:val="ACLargeLogo"/>
            </w:pPr>
          </w:p>
        </w:tc>
        <w:tc>
          <w:tcPr>
            <w:tcW w:w="3112" w:type="dxa"/>
          </w:tcPr>
          <w:p w14:paraId="1C818920" w14:textId="7D83BD64" w:rsidR="001C6CC7" w:rsidRDefault="00DC03D0">
            <w:pPr>
              <w:pStyle w:val="AEDistrNormal"/>
            </w:pPr>
            <w:r>
              <w:t>Distr. : Général</w:t>
            </w:r>
            <w:r w:rsidR="00F97AB6">
              <w:t>e</w:t>
            </w:r>
            <w:r>
              <w:t xml:space="preserve"> </w:t>
            </w:r>
          </w:p>
          <w:p w14:paraId="307649A6" w14:textId="77777777" w:rsidR="001C6CC7" w:rsidRDefault="00DC03D0">
            <w:pPr>
              <w:pStyle w:val="AEDistrNormal"/>
            </w:pPr>
            <w:r>
              <w:t>13 décembre 2025</w:t>
            </w:r>
          </w:p>
          <w:p w14:paraId="6A4D9167" w14:textId="13B372B6" w:rsidR="00F97AB6" w:rsidRDefault="00F97AB6" w:rsidP="00F97AB6">
            <w:pPr>
              <w:pStyle w:val="AEDistrNormal6pt"/>
              <w:spacing w:before="0"/>
            </w:pPr>
            <w:r>
              <w:t>Français</w:t>
            </w:r>
          </w:p>
          <w:p w14:paraId="44F4218C" w14:textId="5AA96095" w:rsidR="001C6CC7" w:rsidRDefault="00DC03D0" w:rsidP="00F97AB6">
            <w:pPr>
              <w:pStyle w:val="AEDistrNormal6pt"/>
              <w:spacing w:before="0"/>
            </w:pPr>
            <w:r>
              <w:t xml:space="preserve">Original : </w:t>
            </w:r>
            <w:r w:rsidR="00F97AB6">
              <w:t>A</w:t>
            </w:r>
            <w:r>
              <w:t xml:space="preserve">nglais </w:t>
            </w:r>
          </w:p>
          <w:p w14:paraId="64B7D332" w14:textId="77777777" w:rsidR="008A1499" w:rsidRPr="0017781F" w:rsidRDefault="008A1499" w:rsidP="008A1499">
            <w:pPr>
              <w:pStyle w:val="AEDistrNormal6pt"/>
            </w:pPr>
          </w:p>
        </w:tc>
      </w:tr>
    </w:tbl>
    <w:p w14:paraId="31069F3B" w14:textId="77777777" w:rsidR="008A1499" w:rsidRPr="0017781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7781F" w14:paraId="6C93BABD" w14:textId="77777777" w:rsidTr="008A1499">
        <w:trPr>
          <w:trHeight w:val="57"/>
        </w:trPr>
        <w:tc>
          <w:tcPr>
            <w:tcW w:w="6094" w:type="dxa"/>
          </w:tcPr>
          <w:p w14:paraId="66177039" w14:textId="02078D9E" w:rsidR="001C6CC7" w:rsidRDefault="00DC03D0">
            <w:pPr>
              <w:pStyle w:val="AFCorN12Bold"/>
            </w:pPr>
            <w:r>
              <w:t>Organe subsidiaire</w:t>
            </w:r>
            <w:r w:rsidR="00F97AB6">
              <w:t xml:space="preserve"> chargé de l</w:t>
            </w:r>
            <w:r w:rsidR="0057315B">
              <w:t>’</w:t>
            </w:r>
            <w:r w:rsidR="00F97AB6">
              <w:t>application</w:t>
            </w:r>
            <w:r>
              <w:t xml:space="preserve"> </w:t>
            </w:r>
          </w:p>
          <w:p w14:paraId="2C393A16" w14:textId="77777777" w:rsidR="001C6CC7" w:rsidRDefault="00DC03D0">
            <w:pPr>
              <w:pStyle w:val="AFCorNBold"/>
            </w:pPr>
            <w:r>
              <w:t xml:space="preserve">Sixième réunion </w:t>
            </w:r>
          </w:p>
          <w:p w14:paraId="2A762FBE" w14:textId="7AA07EE8" w:rsidR="001C6CC7" w:rsidRDefault="00DC03D0">
            <w:pPr>
              <w:pStyle w:val="AFCorNNormal"/>
            </w:pPr>
            <w:r>
              <w:t xml:space="preserve">Rome, </w:t>
            </w:r>
            <w:r>
              <w:rPr>
                <w:snapToGrid w:val="0"/>
                <w:kern w:val="22"/>
              </w:rPr>
              <w:t>16</w:t>
            </w:r>
            <w:r w:rsidR="00FF1435" w:rsidRPr="0017781F">
              <w:rPr>
                <w:snapToGrid w:val="0"/>
                <w:kern w:val="22"/>
              </w:rPr>
              <w:t>–</w:t>
            </w:r>
            <w:r>
              <w:rPr>
                <w:snapToGrid w:val="0"/>
                <w:kern w:val="22"/>
              </w:rPr>
              <w:t>19 février 2026</w:t>
            </w:r>
          </w:p>
          <w:p w14:paraId="13124605" w14:textId="718D34FA" w:rsidR="001C6CC7" w:rsidRDefault="00DC03D0">
            <w:pPr>
              <w:pStyle w:val="AFCorNNormal"/>
            </w:pPr>
            <w:r>
              <w:t>Point 9 de l</w:t>
            </w:r>
            <w:r w:rsidR="0057315B">
              <w:t>’</w:t>
            </w:r>
            <w:r>
              <w:t>ordre du jour</w:t>
            </w:r>
            <w:r w:rsidR="00F97AB6">
              <w:t xml:space="preserve"> </w:t>
            </w:r>
            <w:r>
              <w:footnoteReference w:customMarkFollows="1" w:id="2"/>
              <w:t>provisoire</w:t>
            </w:r>
            <w:r>
              <w:rPr>
                <w:rStyle w:val="FootnoteReference"/>
              </w:rPr>
              <w:t>*</w:t>
            </w:r>
          </w:p>
          <w:p w14:paraId="3F14F7EC" w14:textId="3DF740AB" w:rsidR="001C6CC7" w:rsidRDefault="00DC03D0" w:rsidP="00F97AB6">
            <w:pPr>
              <w:pStyle w:val="AFCorNBold"/>
              <w:spacing w:after="120"/>
              <w:ind w:right="2021"/>
            </w:pPr>
            <w:r>
              <w:t>Examen de l</w:t>
            </w:r>
            <w:r w:rsidR="0057315B">
              <w:t>’</w:t>
            </w:r>
            <w:r>
              <w:t>efficacité des processus</w:t>
            </w:r>
            <w:r w:rsidR="00F97AB6">
              <w:t xml:space="preserve"> </w:t>
            </w:r>
            <w:r w:rsidR="00FF1435">
              <w:t>relevant</w:t>
            </w:r>
            <w:r w:rsidR="00F97AB6">
              <w:t xml:space="preserve"> de</w:t>
            </w:r>
            <w:r>
              <w:t xml:space="preserve"> la Convention et de ses Protocoles</w:t>
            </w:r>
          </w:p>
        </w:tc>
        <w:tc>
          <w:tcPr>
            <w:tcW w:w="4388" w:type="dxa"/>
          </w:tcPr>
          <w:p w14:paraId="2277E4DD" w14:textId="77777777" w:rsidR="008A1499" w:rsidRPr="0017781F" w:rsidRDefault="008A1499" w:rsidP="008A1499">
            <w:pPr>
              <w:pStyle w:val="CBDNormal"/>
              <w:jc w:val="left"/>
            </w:pPr>
          </w:p>
        </w:tc>
      </w:tr>
    </w:tbl>
    <w:p w14:paraId="7A6FD74C" w14:textId="4D1B1204" w:rsidR="001C6CC7" w:rsidRDefault="00DC03D0">
      <w:pPr>
        <w:pStyle w:val="CBDTitle"/>
        <w:rPr>
          <w:caps/>
        </w:rPr>
      </w:pPr>
      <w:r>
        <w:t xml:space="preserve">Options pour améliorer </w:t>
      </w:r>
      <w:r w:rsidR="00F97AB6">
        <w:t>davantage</w:t>
      </w:r>
      <w:r>
        <w:t xml:space="preserve"> l</w:t>
      </w:r>
      <w:r w:rsidR="0057315B">
        <w:t>’</w:t>
      </w:r>
      <w:r>
        <w:t>efficacité des réunions</w:t>
      </w:r>
      <w:r w:rsidR="00F97AB6">
        <w:t xml:space="preserve"> tenues au</w:t>
      </w:r>
      <w:r>
        <w:t xml:space="preserve"> titre de la Convention et de ses Protocoles</w:t>
      </w:r>
      <w:r>
        <w:rPr>
          <w:rStyle w:val="FootnoteReference"/>
          <w:caps/>
        </w:rPr>
        <w:footnoteReference w:customMarkFollows="1" w:id="3"/>
        <w:t>**</w:t>
      </w:r>
    </w:p>
    <w:p w14:paraId="2FA37B84" w14:textId="77777777" w:rsidR="001C6CC7" w:rsidRDefault="00DC03D0">
      <w:pPr>
        <w:pStyle w:val="CBDSubTitle"/>
      </w:pPr>
      <w:r>
        <w:t>Note du Secrétariat</w:t>
      </w:r>
    </w:p>
    <w:p w14:paraId="2DC64900" w14:textId="77777777" w:rsidR="001C6CC7" w:rsidRDefault="00DC03D0">
      <w:pPr>
        <w:pStyle w:val="AISpacer"/>
      </w:pPr>
      <w:r>
        <w:t>I.</w:t>
      </w:r>
      <w:r>
        <w:tab/>
      </w:r>
    </w:p>
    <w:p w14:paraId="2AEB5ADF" w14:textId="77777777" w:rsidR="001C6CC7" w:rsidRDefault="00DC03D0">
      <w:pPr>
        <w:pStyle w:val="CBDH1"/>
        <w:spacing w:before="120"/>
      </w:pPr>
      <w:bookmarkStart w:id="0" w:name="_Hlk216090901"/>
      <w:r>
        <w:rPr>
          <w:rFonts w:eastAsia="Arial Unicode MS" w:cs="Arial Unicode MS"/>
        </w:rPr>
        <w:t>I.</w:t>
      </w:r>
      <w:r>
        <w:rPr>
          <w:rFonts w:eastAsia="Arial Unicode MS" w:cs="Arial Unicode MS"/>
        </w:rPr>
        <w:tab/>
        <w:t>Introduction</w:t>
      </w:r>
      <w:bookmarkEnd w:id="0"/>
    </w:p>
    <w:p w14:paraId="2209D6A2" w14:textId="0FAA5397" w:rsidR="001C6CC7" w:rsidRDefault="00DC03D0">
      <w:pPr>
        <w:pStyle w:val="CBDNormalNumber"/>
      </w:pPr>
      <w:r>
        <w:t xml:space="preserve">La Conférence des Parties à la Convention sur la diversité biologique, la Conférence des Parties </w:t>
      </w:r>
      <w:r w:rsidR="00F97AB6">
        <w:t>siégeant en tant que</w:t>
      </w:r>
      <w:r>
        <w:t xml:space="preserve"> réunion des Parties au Protocole de </w:t>
      </w:r>
      <w:r w:rsidR="00F97AB6">
        <w:t>Cartagena</w:t>
      </w:r>
      <w:r>
        <w:t xml:space="preserve"> sur la prévention des risques biotechnologiques et la Conférence des Parties </w:t>
      </w:r>
      <w:r w:rsidR="00F97AB6">
        <w:t>siégeant en tant que</w:t>
      </w:r>
      <w:r>
        <w:t xml:space="preserve"> réunion des Parties au Protocole de Nagoya sur l</w:t>
      </w:r>
      <w:r w:rsidR="0057315B">
        <w:t>’</w:t>
      </w:r>
      <w:r>
        <w:t xml:space="preserve">accès aux ressources génétiques et le partage juste et équitable des avantages découlant de leur utilisation, </w:t>
      </w:r>
      <w:r w:rsidR="00FF1435">
        <w:t>dans</w:t>
      </w:r>
      <w:r>
        <w:t xml:space="preserve"> leurs décisions </w:t>
      </w:r>
      <w:hyperlink r:id="rId15" w:history="1">
        <w:r w:rsidR="001C6CC7">
          <w:rPr>
            <w:rStyle w:val="Hyperlink"/>
          </w:rPr>
          <w:t>16/25</w:t>
        </w:r>
      </w:hyperlink>
      <w:r>
        <w:t xml:space="preserve">, </w:t>
      </w:r>
      <w:hyperlink r:id="rId16" w:history="1">
        <w:r w:rsidR="001C6CC7">
          <w:rPr>
            <w:rStyle w:val="Hyperlink"/>
          </w:rPr>
          <w:t>CP-11/5</w:t>
        </w:r>
      </w:hyperlink>
      <w:r>
        <w:t xml:space="preserve"> et </w:t>
      </w:r>
      <w:hyperlink r:id="rId17" w:history="1">
        <w:r w:rsidR="001C6CC7">
          <w:rPr>
            <w:rStyle w:val="Hyperlink"/>
          </w:rPr>
          <w:t>NP-5/10</w:t>
        </w:r>
      </w:hyperlink>
      <w:r>
        <w:t>, respectivement, ont adopté plusieurs mesures</w:t>
      </w:r>
      <w:r w:rsidR="00FF1435">
        <w:t xml:space="preserve"> pour</w:t>
      </w:r>
      <w:r>
        <w:t xml:space="preserve"> améliorer l</w:t>
      </w:r>
      <w:r w:rsidR="0057315B">
        <w:t>’</w:t>
      </w:r>
      <w:r>
        <w:t>efficacité des réunions tenues au titre de la Convention et de ses Protocoles.</w:t>
      </w:r>
    </w:p>
    <w:p w14:paraId="6E7BD27A" w14:textId="7148A066" w:rsidR="001C6CC7" w:rsidRDefault="00DC03D0">
      <w:pPr>
        <w:pStyle w:val="CBDNormalNumber"/>
      </w:pPr>
      <w:r>
        <w:t>Dans ces mêmes décisions, l</w:t>
      </w:r>
      <w:r w:rsidR="00F97AB6">
        <w:t>a</w:t>
      </w:r>
      <w:r>
        <w:t xml:space="preserve"> Secrétaire exécuti</w:t>
      </w:r>
      <w:r w:rsidR="00F97AB6">
        <w:t>ve</w:t>
      </w:r>
      <w:r>
        <w:t xml:space="preserve"> a été prié</w:t>
      </w:r>
      <w:r w:rsidR="00F97AB6">
        <w:t>e</w:t>
      </w:r>
      <w:r>
        <w:t xml:space="preserve"> de </w:t>
      </w:r>
      <w:r w:rsidR="00FF1435">
        <w:t>faciliter</w:t>
      </w:r>
      <w:r>
        <w:t xml:space="preserve"> des consultations avec les Parties, les membres du Bureau, les partenaires et les parties prenantes, avec l</w:t>
      </w:r>
      <w:r w:rsidR="0057315B">
        <w:t>’</w:t>
      </w:r>
      <w:r>
        <w:t>appui d</w:t>
      </w:r>
      <w:r w:rsidR="0057315B">
        <w:t>’</w:t>
      </w:r>
      <w:r>
        <w:t>experts extérieurs qualifiés, selon qu</w:t>
      </w:r>
      <w:r w:rsidR="0057315B">
        <w:t>’</w:t>
      </w:r>
      <w:r>
        <w:t xml:space="preserve">il convient, </w:t>
      </w:r>
      <w:r w:rsidR="00FF1435">
        <w:t xml:space="preserve">afin de </w:t>
      </w:r>
      <w:r>
        <w:t>continuer à élaborer des options</w:t>
      </w:r>
      <w:r w:rsidR="00FF1435">
        <w:t xml:space="preserve"> pour</w:t>
      </w:r>
      <w:r>
        <w:t xml:space="preserve"> améliorer </w:t>
      </w:r>
      <w:r w:rsidR="00F97AB6">
        <w:t>davantage</w:t>
      </w:r>
      <w:r>
        <w:t xml:space="preserve"> l</w:t>
      </w:r>
      <w:r w:rsidR="0057315B">
        <w:t>’</w:t>
      </w:r>
      <w:r>
        <w:t>efficacité des réunions tenues au titre de la Convention et de ses Protocoles</w:t>
      </w:r>
      <w:r w:rsidR="00FF1435">
        <w:t>,</w:t>
      </w:r>
      <w:r>
        <w:t xml:space="preserve"> et de soumettre ces propositions à l</w:t>
      </w:r>
      <w:r w:rsidR="0057315B">
        <w:t>’</w:t>
      </w:r>
      <w:r>
        <w:t>examen de l</w:t>
      </w:r>
      <w:r w:rsidR="0057315B">
        <w:t>’</w:t>
      </w:r>
      <w:r>
        <w:t xml:space="preserve">Organe subsidiaire </w:t>
      </w:r>
      <w:r w:rsidR="00F97AB6">
        <w:t>chargé de l</w:t>
      </w:r>
      <w:r w:rsidR="0057315B">
        <w:t>’</w:t>
      </w:r>
      <w:r w:rsidR="00F97AB6">
        <w:t>application</w:t>
      </w:r>
      <w:r>
        <w:t xml:space="preserve"> à sa sixième réunion, en vue d</w:t>
      </w:r>
      <w:r w:rsidR="00FF1435">
        <w:t>e formuler</w:t>
      </w:r>
      <w:r>
        <w:t xml:space="preserve"> </w:t>
      </w:r>
      <w:r w:rsidR="009B7B05">
        <w:t xml:space="preserve">des </w:t>
      </w:r>
      <w:r>
        <w:t>projet</w:t>
      </w:r>
      <w:r w:rsidR="009B7B05">
        <w:t>s</w:t>
      </w:r>
      <w:r>
        <w:t xml:space="preserve"> de décision pour examen par la Conférence des Parties à la Convention et la Conférence des Parties </w:t>
      </w:r>
      <w:r w:rsidR="00F97AB6">
        <w:t>siégeant en tant que</w:t>
      </w:r>
      <w:r>
        <w:t xml:space="preserve"> réunion des Parties aux Protocoles, en tenant compte de la recommandation </w:t>
      </w:r>
      <w:hyperlink r:id="rId18" w:history="1">
        <w:r w:rsidR="001C6CC7">
          <w:rPr>
            <w:rStyle w:val="Hyperlink"/>
          </w:rPr>
          <w:t>4/12</w:t>
        </w:r>
      </w:hyperlink>
      <w:r>
        <w:t xml:space="preserve"> de l</w:t>
      </w:r>
      <w:r w:rsidR="0057315B">
        <w:t>’</w:t>
      </w:r>
      <w:r>
        <w:t xml:space="preserve">Organe subsidiaire </w:t>
      </w:r>
      <w:r w:rsidR="00F97AB6">
        <w:t>chargé de l</w:t>
      </w:r>
      <w:r w:rsidR="0057315B">
        <w:t>’</w:t>
      </w:r>
      <w:r w:rsidR="00F97AB6">
        <w:t>application</w:t>
      </w:r>
      <w:r>
        <w:t>, y compris la compilation des communications figurant à l</w:t>
      </w:r>
      <w:r w:rsidR="0057315B">
        <w:t>’</w:t>
      </w:r>
      <w:r>
        <w:t>annexe II de la recommandation.</w:t>
      </w:r>
    </w:p>
    <w:p w14:paraId="1F46730E" w14:textId="4FCFCD19" w:rsidR="001C6CC7" w:rsidRDefault="00DC03D0">
      <w:pPr>
        <w:pStyle w:val="CBDNormalNumber"/>
      </w:pPr>
      <w:r>
        <w:t xml:space="preserve">En conséquence, le présent document </w:t>
      </w:r>
      <w:r w:rsidR="00FF1435">
        <w:t>fournit</w:t>
      </w:r>
      <w:r>
        <w:t xml:space="preserve"> un</w:t>
      </w:r>
      <w:r w:rsidR="00AD6A40">
        <w:t xml:space="preserve"> aperçu</w:t>
      </w:r>
      <w:r>
        <w:t xml:space="preserve"> de l</w:t>
      </w:r>
      <w:r w:rsidR="00AD6A40">
        <w:t>a mise en œuvre</w:t>
      </w:r>
      <w:r>
        <w:t xml:space="preserve"> des mesures adoptées dans les décisions </w:t>
      </w:r>
      <w:hyperlink r:id="rId19" w:history="1">
        <w:r w:rsidR="001C6CC7">
          <w:rPr>
            <w:rStyle w:val="Hyperlink"/>
          </w:rPr>
          <w:t>16/25</w:t>
        </w:r>
      </w:hyperlink>
      <w:r>
        <w:t xml:space="preserve">, </w:t>
      </w:r>
      <w:hyperlink r:id="rId20" w:history="1">
        <w:r w:rsidR="001C6CC7">
          <w:rPr>
            <w:rStyle w:val="Hyperlink"/>
          </w:rPr>
          <w:t>CP-11/5</w:t>
        </w:r>
      </w:hyperlink>
      <w:r>
        <w:t xml:space="preserve"> et </w:t>
      </w:r>
      <w:hyperlink r:id="rId21" w:history="1">
        <w:r w:rsidR="001C6CC7">
          <w:rPr>
            <w:rStyle w:val="Hyperlink"/>
          </w:rPr>
          <w:t>NP-5/10</w:t>
        </w:r>
      </w:hyperlink>
      <w:r>
        <w:t xml:space="preserve"> (</w:t>
      </w:r>
      <w:r w:rsidR="00F97AB6">
        <w:t>partie</w:t>
      </w:r>
      <w:r>
        <w:t xml:space="preserve"> II), </w:t>
      </w:r>
      <w:r w:rsidR="00AD6A40">
        <w:t>des informations</w:t>
      </w:r>
      <w:r>
        <w:t xml:space="preserve"> sur les </w:t>
      </w:r>
      <w:r w:rsidR="00F97AB6">
        <w:t xml:space="preserve">points de </w:t>
      </w:r>
      <w:r>
        <w:t xml:space="preserve">vue </w:t>
      </w:r>
      <w:r w:rsidR="00AD6A40">
        <w:t>communiqués par les</w:t>
      </w:r>
      <w:r>
        <w:t xml:space="preserve"> Parties et </w:t>
      </w:r>
      <w:r w:rsidR="00AD6A40">
        <w:t>l</w:t>
      </w:r>
      <w:r>
        <w:t xml:space="preserve">es observateurs en réponse aux notifications </w:t>
      </w:r>
      <w:r w:rsidR="00AD6A40">
        <w:t>n</w:t>
      </w:r>
      <w:r w:rsidR="00F97AB6" w:rsidRPr="00F97AB6">
        <w:rPr>
          <w:vertAlign w:val="superscript"/>
        </w:rPr>
        <w:t>o</w:t>
      </w:r>
      <w:r>
        <w:t> </w:t>
      </w:r>
      <w:hyperlink r:id="rId22" w:history="1">
        <w:r w:rsidR="001C6CC7">
          <w:rPr>
            <w:rStyle w:val="Hyperlink"/>
          </w:rPr>
          <w:t>2025-112</w:t>
        </w:r>
      </w:hyperlink>
      <w:r>
        <w:t xml:space="preserve"> et </w:t>
      </w:r>
      <w:hyperlink r:id="rId23" w:history="1">
        <w:r w:rsidR="001C6CC7">
          <w:rPr>
            <w:rStyle w:val="Hyperlink"/>
          </w:rPr>
          <w:t>2025-124</w:t>
        </w:r>
      </w:hyperlink>
      <w:r>
        <w:t xml:space="preserve"> sur </w:t>
      </w:r>
      <w:r w:rsidR="00AD6A40">
        <w:t>d</w:t>
      </w:r>
      <w:r>
        <w:t xml:space="preserve">es options pour améliorer </w:t>
      </w:r>
      <w:r w:rsidR="00F97AB6">
        <w:t>davantage</w:t>
      </w:r>
      <w:r>
        <w:t xml:space="preserve"> l</w:t>
      </w:r>
      <w:r w:rsidR="0057315B">
        <w:t>’</w:t>
      </w:r>
      <w:r>
        <w:t xml:space="preserve">efficacité des réunions </w:t>
      </w:r>
      <w:r w:rsidR="00F97AB6">
        <w:t xml:space="preserve">tenues </w:t>
      </w:r>
      <w:r>
        <w:t>au titre de la Convention et de ses Protocoles (</w:t>
      </w:r>
      <w:r w:rsidR="00F97AB6">
        <w:t>partie</w:t>
      </w:r>
      <w:r>
        <w:t xml:space="preserve"> III), </w:t>
      </w:r>
      <w:r w:rsidR="00F97AB6">
        <w:t>d</w:t>
      </w:r>
      <w:r>
        <w:t xml:space="preserve">es informations sur les mesures pertinentes </w:t>
      </w:r>
      <w:r w:rsidR="00AD6A40">
        <w:t xml:space="preserve">prévues </w:t>
      </w:r>
      <w:r>
        <w:t>dans d</w:t>
      </w:r>
      <w:r w:rsidR="0057315B">
        <w:t>’</w:t>
      </w:r>
      <w:r>
        <w:t>autres accords multilatéraux sur l</w:t>
      </w:r>
      <w:r w:rsidR="0057315B">
        <w:t>’</w:t>
      </w:r>
      <w:r>
        <w:t>environnement et processus des Nations Unies (</w:t>
      </w:r>
      <w:r w:rsidR="00F97AB6">
        <w:t>partie</w:t>
      </w:r>
      <w:r>
        <w:t xml:space="preserve"> IV), </w:t>
      </w:r>
      <w:r>
        <w:lastRenderedPageBreak/>
        <w:t>une mise à jour sur l</w:t>
      </w:r>
      <w:r w:rsidR="0057315B">
        <w:t>’</w:t>
      </w:r>
      <w:r>
        <w:t xml:space="preserve">outil de suivi des décisions </w:t>
      </w:r>
      <w:r w:rsidR="001B3FCB">
        <w:t xml:space="preserve">prévu </w:t>
      </w:r>
      <w:r>
        <w:t>au titre de la Convention (</w:t>
      </w:r>
      <w:r w:rsidR="00055256">
        <w:t xml:space="preserve">partie </w:t>
      </w:r>
      <w:r>
        <w:t>V) et certains éléments des recommandations proposées pour examen par l</w:t>
      </w:r>
      <w:r w:rsidR="0057315B">
        <w:t>’</w:t>
      </w:r>
      <w:r>
        <w:t>Organe subsidiaire</w:t>
      </w:r>
      <w:r w:rsidR="00055256">
        <w:t xml:space="preserve"> chargé de l</w:t>
      </w:r>
      <w:r w:rsidR="0057315B">
        <w:t>’</w:t>
      </w:r>
      <w:r w:rsidR="00055256">
        <w:t>application</w:t>
      </w:r>
      <w:r>
        <w:t xml:space="preserve"> (</w:t>
      </w:r>
      <w:r w:rsidR="00055256">
        <w:t>partie </w:t>
      </w:r>
      <w:r>
        <w:t>VI).</w:t>
      </w:r>
    </w:p>
    <w:p w14:paraId="6CB8A6BE" w14:textId="64806E3B" w:rsidR="001C6CC7" w:rsidRPr="00747EE5" w:rsidRDefault="00DC03D0" w:rsidP="00747EE5">
      <w:pPr>
        <w:pStyle w:val="CBDH1"/>
        <w:rPr>
          <w:rFonts w:eastAsia="Arial Unicode MS" w:cs="Arial Unicode MS"/>
        </w:rPr>
      </w:pPr>
      <w:r>
        <w:rPr>
          <w:rFonts w:eastAsia="Arial Unicode MS" w:cs="Arial Unicode MS"/>
        </w:rPr>
        <w:t>II.</w:t>
      </w:r>
      <w:r>
        <w:rPr>
          <w:rFonts w:eastAsia="Arial Unicode MS" w:cs="Arial Unicode MS"/>
        </w:rPr>
        <w:tab/>
        <w:t>Aperçu de l</w:t>
      </w:r>
      <w:r w:rsidR="00747EE5">
        <w:rPr>
          <w:rFonts w:eastAsia="Arial Unicode MS" w:cs="Arial Unicode MS"/>
        </w:rPr>
        <w:t>a mise en œuvre</w:t>
      </w:r>
      <w:r>
        <w:rPr>
          <w:rFonts w:eastAsia="Arial Unicode MS" w:cs="Arial Unicode MS"/>
        </w:rPr>
        <w:t xml:space="preserve"> des décisions 16/25, CP-11/5 et NP-5/10</w:t>
      </w:r>
    </w:p>
    <w:p w14:paraId="02E1ABE2" w14:textId="70A64D49" w:rsidR="001C6CC7" w:rsidRDefault="001B3FCB">
      <w:pPr>
        <w:pStyle w:val="CBDNormalNumber"/>
      </w:pPr>
      <w:r>
        <w:t>Suite à l</w:t>
      </w:r>
      <w:r w:rsidR="0057315B">
        <w:t>’</w:t>
      </w:r>
      <w:r>
        <w:t xml:space="preserve">adoption, en novembre 2024, des décisions </w:t>
      </w:r>
      <w:hyperlink r:id="rId24" w:history="1">
        <w:r w:rsidR="001C6CC7">
          <w:rPr>
            <w:rStyle w:val="Hyperlink"/>
          </w:rPr>
          <w:t>16/25</w:t>
        </w:r>
      </w:hyperlink>
      <w:r>
        <w:t xml:space="preserve">, </w:t>
      </w:r>
      <w:hyperlink r:id="rId25" w:history="1">
        <w:r w:rsidR="001C6CC7">
          <w:rPr>
            <w:rStyle w:val="Hyperlink"/>
          </w:rPr>
          <w:t>CP-11/5</w:t>
        </w:r>
      </w:hyperlink>
      <w:r>
        <w:t xml:space="preserve"> et </w:t>
      </w:r>
      <w:hyperlink r:id="rId26" w:history="1">
        <w:r w:rsidR="001C6CC7">
          <w:rPr>
            <w:rStyle w:val="Hyperlink"/>
          </w:rPr>
          <w:t>NP-5/10</w:t>
        </w:r>
      </w:hyperlink>
      <w:r>
        <w:t xml:space="preserve"> sur des options p</w:t>
      </w:r>
      <w:r w:rsidR="00751C63">
        <w:t xml:space="preserve">our </w:t>
      </w:r>
      <w:r>
        <w:t>améliorer l</w:t>
      </w:r>
      <w:r w:rsidR="0057315B">
        <w:t>’</w:t>
      </w:r>
      <w:r>
        <w:t>efficacité des processus</w:t>
      </w:r>
      <w:r w:rsidR="00751C63">
        <w:t xml:space="preserve"> </w:t>
      </w:r>
      <w:r>
        <w:t>relevant de la Convention et de ses Protocoles, le Secrétariat a pris plusieurs mesures pour appliquer ces décisions, en consultation avec le Bureau de la Conférence des Parties et le Bureau de l</w:t>
      </w:r>
      <w:r w:rsidR="0057315B">
        <w:t>’</w:t>
      </w:r>
      <w:r>
        <w:t>Organe subsidiaire chargé de fournir des avis scientifiques, techniques et technologiques, le cas échéant. Les mesures prises incluent les suivantes :</w:t>
      </w:r>
    </w:p>
    <w:p w14:paraId="268B9D19" w14:textId="61DC739B" w:rsidR="001C6CC7" w:rsidRDefault="00DC03D0">
      <w:pPr>
        <w:pStyle w:val="CBDNormalNumber"/>
      </w:pPr>
      <w:r>
        <w:t xml:space="preserve">Des notes de scénario, </w:t>
      </w:r>
      <w:r w:rsidR="00FA105F">
        <w:t xml:space="preserve">comprenant </w:t>
      </w:r>
      <w:r>
        <w:t>une organisation détaillée des travaux, ont été établies pour la vingt-septième réunion de l</w:t>
      </w:r>
      <w:r w:rsidR="0057315B">
        <w:t>’</w:t>
      </w:r>
      <w:r>
        <w:t>Organe subsidiaire chargé de fournir des avis scientifiques, techniques et technologiques (</w:t>
      </w:r>
      <w:hyperlink r:id="rId27" w:history="1">
        <w:r w:rsidR="001C6CC7">
          <w:rPr>
            <w:rStyle w:val="Hyperlink"/>
          </w:rPr>
          <w:t>CBD/SBSTTA/27/1/Add.2</w:t>
        </w:r>
      </w:hyperlink>
      <w:r>
        <w:t>) et la première réunion de l</w:t>
      </w:r>
      <w:r w:rsidR="0057315B">
        <w:t>’</w:t>
      </w:r>
      <w:r>
        <w:t>Organe subsidiaire</w:t>
      </w:r>
      <w:r w:rsidR="0057315B">
        <w:t xml:space="preserve"> sur</w:t>
      </w:r>
      <w:r>
        <w:t xml:space="preserve"> l</w:t>
      </w:r>
      <w:r w:rsidR="0057315B">
        <w:t>’</w:t>
      </w:r>
      <w:r>
        <w:t>article 8</w:t>
      </w:r>
      <w:r w:rsidR="00751C63">
        <w:t xml:space="preserve"> j</w:t>
      </w:r>
      <w:r w:rsidR="00751C63" w:rsidRPr="00751C63">
        <w:t>)</w:t>
      </w:r>
      <w:r w:rsidR="0057315B">
        <w:t xml:space="preserve"> </w:t>
      </w:r>
      <w:r>
        <w:t>et d</w:t>
      </w:r>
      <w:r w:rsidR="0057315B">
        <w:t>’</w:t>
      </w:r>
      <w:r>
        <w:t>autres dispositions de la Convention relatives aux peuples autochtones et communautés locales (</w:t>
      </w:r>
      <w:hyperlink r:id="rId28" w:history="1">
        <w:r w:rsidR="000758A6" w:rsidRPr="000758A6">
          <w:rPr>
            <w:rStyle w:val="Hyperlink"/>
          </w:rPr>
          <w:t>CBD/SB8J/1/1/Add.2/Rev.1</w:t>
        </w:r>
      </w:hyperlink>
      <w:r>
        <w:t>)</w:t>
      </w:r>
      <w:r w:rsidRPr="0017781F">
        <w:rPr>
          <w:vertAlign w:val="superscript"/>
        </w:rPr>
        <w:footnoteReference w:id="4"/>
      </w:r>
      <w:r w:rsidR="00751C63">
        <w:t>.</w:t>
      </w:r>
      <w:r>
        <w:t xml:space="preserve"> </w:t>
      </w:r>
      <w:r w:rsidR="00FA105F">
        <w:t>D’autre part</w:t>
      </w:r>
      <w:r>
        <w:t>, les délais de publication des documents ont été respectés pour les deux réunions, en ce qui concerne les versions en langue anglaise des documents, avec quelques retards mineurs pour les autres versions en langue</w:t>
      </w:r>
      <w:r w:rsidR="00751C63">
        <w:t>s</w:t>
      </w:r>
      <w:r>
        <w:t xml:space="preserve"> officielle</w:t>
      </w:r>
      <w:r w:rsidR="00751C63">
        <w:t>s de</w:t>
      </w:r>
      <w:r w:rsidR="00FA105F">
        <w:t xml:space="preserve"> l’ONU</w:t>
      </w:r>
      <w:r>
        <w:t xml:space="preserve"> </w:t>
      </w:r>
      <w:r w:rsidRPr="0017781F">
        <w:rPr>
          <w:vertAlign w:val="superscript"/>
        </w:rPr>
        <w:footnoteReference w:id="5"/>
      </w:r>
      <w:r w:rsidR="00751C63">
        <w:t> :</w:t>
      </w:r>
      <w:r>
        <w:t xml:space="preserve"> </w:t>
      </w:r>
    </w:p>
    <w:p w14:paraId="55169110" w14:textId="1EA60BAF" w:rsidR="001C6CC7" w:rsidRDefault="00DC03D0">
      <w:pPr>
        <w:pStyle w:val="CBDNormalNumber"/>
        <w:numPr>
          <w:ilvl w:val="1"/>
          <w:numId w:val="7"/>
        </w:numPr>
      </w:pPr>
      <w:r>
        <w:t>Un groupe de coprésidents potentiels des groupes de contact pour chacune des deux réunions des organes subsidiaires a été constitué avant les réunions. Des sessions de formation sur la gestion des négociations multilatérales ont été organisées à l</w:t>
      </w:r>
      <w:r w:rsidR="0057315B">
        <w:t>’</w:t>
      </w:r>
      <w:r>
        <w:t>intention des coprésidents potentiels, en ligne le 2 octobre 2025</w:t>
      </w:r>
      <w:r w:rsidR="00FA105F">
        <w:t>,</w:t>
      </w:r>
      <w:r>
        <w:t xml:space="preserve"> et en personne à Panama, le 17 octobre 2025, en coordination avec le Centre </w:t>
      </w:r>
      <w:r w:rsidR="00FA105F">
        <w:t>pour les</w:t>
      </w:r>
      <w:r>
        <w:t xml:space="preserve"> négociations multilatérales</w:t>
      </w:r>
      <w:r w:rsidRPr="0017781F">
        <w:rPr>
          <w:vertAlign w:val="superscript"/>
        </w:rPr>
        <w:footnoteReference w:id="6"/>
      </w:r>
      <w:r w:rsidR="0057315B">
        <w:t>.</w:t>
      </w:r>
      <w:r>
        <w:t xml:space="preserve"> L</w:t>
      </w:r>
      <w:r w:rsidR="00FA105F">
        <w:t xml:space="preserve">e recours à </w:t>
      </w:r>
      <w:r>
        <w:t>un groupe de coprésidents potentiels pour les groupes de contact continuera de dépendre de la désignation et de l</w:t>
      </w:r>
      <w:r w:rsidR="0057315B">
        <w:t>’</w:t>
      </w:r>
      <w:r>
        <w:t>inclusion par leur gouvernement des personnes présélectionnées au sein de leur délégation</w:t>
      </w:r>
      <w:r w:rsidR="00F77700">
        <w:t>,</w:t>
      </w:r>
      <w:r>
        <w:t xml:space="preserve"> et de leur présence à la réunion;</w:t>
      </w:r>
    </w:p>
    <w:p w14:paraId="5DC80082" w14:textId="664581A3" w:rsidR="001C6CC7" w:rsidRDefault="00F77700">
      <w:pPr>
        <w:pStyle w:val="CBDNormalNumber"/>
        <w:numPr>
          <w:ilvl w:val="1"/>
          <w:numId w:val="7"/>
        </w:numPr>
      </w:pPr>
      <w:r>
        <w:t>Du fait que les deux réunions des organes subsidiaires se sont tenues l</w:t>
      </w:r>
      <w:r w:rsidR="0057315B">
        <w:t>’</w:t>
      </w:r>
      <w:r>
        <w:t>une à la suite de l</w:t>
      </w:r>
      <w:r w:rsidR="0057315B">
        <w:t>’</w:t>
      </w:r>
      <w:r>
        <w:t>autre en octobre 2025, une journée libre a été prévue entre les deux réunions. De même, pour chacune de ces réunions, aucune séance n</w:t>
      </w:r>
      <w:r w:rsidR="0057315B">
        <w:t>’</w:t>
      </w:r>
      <w:r>
        <w:t>était prévue au-delà de 13 heures à compter du début de la première réunion à composition non limitée de la journée</w:t>
      </w:r>
      <w:r w:rsidRPr="0017781F">
        <w:rPr>
          <w:vertAlign w:val="superscript"/>
        </w:rPr>
        <w:footnoteReference w:id="7"/>
      </w:r>
      <w:r w:rsidR="0057315B">
        <w:t>.</w:t>
      </w:r>
      <w:r>
        <w:t xml:space="preserve"> Des efforts ont également été prodigués pour limiter le nombre de réunions des groupes de contact tenues en parallèle, compte tenu du fait qu</w:t>
      </w:r>
      <w:r w:rsidR="0057315B">
        <w:t>’</w:t>
      </w:r>
      <w:r>
        <w:t>un seul délégué par Partie admissible était financé</w:t>
      </w:r>
      <w:r w:rsidRPr="0017781F">
        <w:rPr>
          <w:vertAlign w:val="superscript"/>
        </w:rPr>
        <w:footnoteReference w:id="8"/>
      </w:r>
      <w:r w:rsidR="0057315B">
        <w:t>.</w:t>
      </w:r>
      <w:r>
        <w:t xml:space="preserve"> Dans quelques cas, en particulier pour la vingt-septième réunion de l</w:t>
      </w:r>
      <w:r w:rsidR="0057315B">
        <w:t>’</w:t>
      </w:r>
      <w:r>
        <w:t xml:space="preserve">Organe subsidiaire chargé de fournir des avis scientifiques, techniques et technologiques, des </w:t>
      </w:r>
      <w:r w:rsidR="0057315B">
        <w:t>réuni</w:t>
      </w:r>
      <w:r>
        <w:t>ons parallèles des groupes de contact ont dû être organisées pour pouvoir achever l</w:t>
      </w:r>
      <w:r w:rsidR="0057315B">
        <w:t>’</w:t>
      </w:r>
      <w:r>
        <w:t>examen des points de l</w:t>
      </w:r>
      <w:r w:rsidR="0057315B">
        <w:t>’</w:t>
      </w:r>
      <w:r>
        <w:t xml:space="preserve">ordre du jour. </w:t>
      </w:r>
    </w:p>
    <w:p w14:paraId="5CC85211" w14:textId="66911FE2" w:rsidR="001C6CC7" w:rsidRDefault="00DC03D0">
      <w:pPr>
        <w:pStyle w:val="CBDNormalNumber"/>
      </w:pPr>
      <w:r>
        <w:t xml:space="preserve">Sous la direction du Bureau de la Conférence des Parties, le Secrétariat élabore actuellement un calendrier en ligne des activités et des </w:t>
      </w:r>
      <w:r w:rsidR="0057315B">
        <w:t>action</w:t>
      </w:r>
      <w:r>
        <w:t>s prévues pour 2026</w:t>
      </w:r>
      <w:r w:rsidRPr="0017781F">
        <w:rPr>
          <w:vertAlign w:val="superscript"/>
        </w:rPr>
        <w:footnoteReference w:id="9"/>
      </w:r>
      <w:r w:rsidR="0057315B">
        <w:t>.</w:t>
      </w:r>
      <w:r>
        <w:t xml:space="preserve"> </w:t>
      </w:r>
      <w:r>
        <w:rPr>
          <w:kern w:val="2"/>
        </w:rPr>
        <w:t>À la suite de la conclusion de la seizième réunion de la Conférence des Parties à la Convention et des réunions simulta</w:t>
      </w:r>
      <w:r w:rsidR="00F77700">
        <w:rPr>
          <w:kern w:val="2"/>
        </w:rPr>
        <w:t>nées</w:t>
      </w:r>
      <w:r>
        <w:rPr>
          <w:kern w:val="2"/>
        </w:rPr>
        <w:t xml:space="preserve"> des Parties aux Protocoles en février 2025, le Secrétariat, par le biais des notifications </w:t>
      </w:r>
      <w:r w:rsidR="00F77700">
        <w:rPr>
          <w:kern w:val="2"/>
        </w:rPr>
        <w:t>n</w:t>
      </w:r>
      <w:r w:rsidR="0057315B" w:rsidRPr="0057315B">
        <w:rPr>
          <w:kern w:val="2"/>
          <w:vertAlign w:val="superscript"/>
        </w:rPr>
        <w:t>o</w:t>
      </w:r>
      <w:r>
        <w:rPr>
          <w:rFonts w:ascii="Aptos" w:eastAsia="Aptos" w:hAnsi="Aptos" w:cs="Aptos"/>
          <w:kern w:val="2"/>
          <w:sz w:val="24"/>
          <w:szCs w:val="24"/>
        </w:rPr>
        <w:t xml:space="preserve"> </w:t>
      </w:r>
      <w:hyperlink r:id="rId29" w:history="1">
        <w:r w:rsidR="001C6CC7">
          <w:rPr>
            <w:rStyle w:val="Hyperlink0"/>
          </w:rPr>
          <w:t>2025-075</w:t>
        </w:r>
      </w:hyperlink>
      <w:r>
        <w:rPr>
          <w:kern w:val="2"/>
        </w:rPr>
        <w:t xml:space="preserve">, </w:t>
      </w:r>
      <w:hyperlink r:id="rId30" w:history="1">
        <w:r w:rsidR="001C6CC7">
          <w:rPr>
            <w:rStyle w:val="Hyperlink0"/>
          </w:rPr>
          <w:t>2025-063</w:t>
        </w:r>
      </w:hyperlink>
      <w:r>
        <w:rPr>
          <w:kern w:val="2"/>
        </w:rPr>
        <w:t xml:space="preserve"> et </w:t>
      </w:r>
      <w:hyperlink r:id="rId31" w:history="1">
        <w:r w:rsidR="001C6CC7">
          <w:rPr>
            <w:rStyle w:val="Hyperlink0"/>
          </w:rPr>
          <w:t>2025-068</w:t>
        </w:r>
      </w:hyperlink>
      <w:r>
        <w:rPr>
          <w:kern w:val="2"/>
        </w:rPr>
        <w:t xml:space="preserve">, </w:t>
      </w:r>
      <w:r w:rsidR="00F77700">
        <w:rPr>
          <w:kern w:val="2"/>
        </w:rPr>
        <w:t>a fourni</w:t>
      </w:r>
      <w:r>
        <w:rPr>
          <w:kern w:val="2"/>
        </w:rPr>
        <w:t xml:space="preserve"> aux Parties un aperçu des réunions intersessions pour l</w:t>
      </w:r>
      <w:r w:rsidR="0057315B">
        <w:rPr>
          <w:kern w:val="2"/>
        </w:rPr>
        <w:t>’</w:t>
      </w:r>
      <w:r>
        <w:rPr>
          <w:kern w:val="2"/>
        </w:rPr>
        <w:t>exercice biennal 2025-2026.</w:t>
      </w:r>
    </w:p>
    <w:p w14:paraId="0C014406" w14:textId="54B29EF4" w:rsidR="001C6CC7" w:rsidRDefault="00F77700">
      <w:pPr>
        <w:pStyle w:val="CBDNormalNumber"/>
      </w:pPr>
      <w:r>
        <w:t>De plus, des tableaux de planification ont été publiés sur le site Web de la Convention en vue des vingt-septième et vingt-huitième réunions de l</w:t>
      </w:r>
      <w:r w:rsidR="0057315B">
        <w:t>’</w:t>
      </w:r>
      <w:r>
        <w:t xml:space="preserve">Organe subsidiaire </w:t>
      </w:r>
      <w:r w:rsidR="0057315B">
        <w:t>chargé de fournir des avis</w:t>
      </w:r>
      <w:r>
        <w:t xml:space="preserve"> </w:t>
      </w:r>
      <w:r>
        <w:lastRenderedPageBreak/>
        <w:t>scientifique</w:t>
      </w:r>
      <w:r w:rsidR="0057315B">
        <w:t>s</w:t>
      </w:r>
      <w:r>
        <w:t>, technique</w:t>
      </w:r>
      <w:r w:rsidR="0057315B">
        <w:t>s</w:t>
      </w:r>
      <w:r>
        <w:t xml:space="preserve"> et technologique</w:t>
      </w:r>
      <w:r w:rsidR="0057315B">
        <w:t>s</w:t>
      </w:r>
      <w:r w:rsidRPr="0017781F">
        <w:rPr>
          <w:vertAlign w:val="superscript"/>
        </w:rPr>
        <w:footnoteReference w:id="10"/>
      </w:r>
      <w:r w:rsidR="0057315B">
        <w:t>,</w:t>
      </w:r>
      <w:r>
        <w:t xml:space="preserve"> des sixième et septième réunions de l</w:t>
      </w:r>
      <w:r w:rsidR="0057315B">
        <w:t>’</w:t>
      </w:r>
      <w:r>
        <w:t xml:space="preserve">Organe subsidiaire </w:t>
      </w:r>
      <w:r w:rsidR="0057315B">
        <w:t>chargé de l’application</w:t>
      </w:r>
      <w:r w:rsidRPr="0017781F">
        <w:rPr>
          <w:vertAlign w:val="superscript"/>
        </w:rPr>
        <w:footnoteReference w:id="11"/>
      </w:r>
      <w:r w:rsidR="0057315B">
        <w:t>,</w:t>
      </w:r>
      <w:r>
        <w:t xml:space="preserve"> de la première réunion de l</w:t>
      </w:r>
      <w:r w:rsidR="0057315B">
        <w:t>’</w:t>
      </w:r>
      <w:r>
        <w:t>Organe subsidiaire sur l</w:t>
      </w:r>
      <w:r w:rsidR="0057315B">
        <w:t>’</w:t>
      </w:r>
      <w:r>
        <w:t>article 8 j) et d</w:t>
      </w:r>
      <w:r w:rsidR="0057315B">
        <w:t>’</w:t>
      </w:r>
      <w:r>
        <w:t>autres dispositions de la Convention relatives aux peuples autochtones et communautés locales</w:t>
      </w:r>
      <w:r w:rsidRPr="0017781F">
        <w:rPr>
          <w:vertAlign w:val="superscript"/>
        </w:rPr>
        <w:footnoteReference w:id="12"/>
      </w:r>
      <w:r w:rsidR="0057315B">
        <w:t>,</w:t>
      </w:r>
      <w:r>
        <w:t xml:space="preserve"> de la douzième réunion de la Conférence des Parties </w:t>
      </w:r>
      <w:r w:rsidR="00F97AB6">
        <w:t>siégeant en tant que</w:t>
      </w:r>
      <w:r>
        <w:t xml:space="preserve"> réunion des Parties au Protocole de </w:t>
      </w:r>
      <w:r w:rsidR="00F97AB6">
        <w:t>Cartagena</w:t>
      </w:r>
      <w:r w:rsidRPr="0017781F">
        <w:rPr>
          <w:vertAlign w:val="superscript"/>
        </w:rPr>
        <w:footnoteReference w:id="13"/>
      </w:r>
      <w:r>
        <w:t xml:space="preserve"> et de la sixième réunion de la Conférence des Parties </w:t>
      </w:r>
      <w:r w:rsidR="00F97AB6">
        <w:t>siégeant en tant que</w:t>
      </w:r>
      <w:r>
        <w:t xml:space="preserve"> réunion des Parties au Protocole de Nagoya</w:t>
      </w:r>
      <w:r w:rsidRPr="0017781F">
        <w:rPr>
          <w:vertAlign w:val="superscript"/>
        </w:rPr>
        <w:footnoteReference w:id="14"/>
      </w:r>
      <w:r w:rsidR="0057315B">
        <w:t>.</w:t>
      </w:r>
    </w:p>
    <w:p w14:paraId="279B5899" w14:textId="299C5B03" w:rsidR="001C6CC7" w:rsidRDefault="00DC03D0">
      <w:pPr>
        <w:pStyle w:val="CBDNormalNumber"/>
      </w:pPr>
      <w:r>
        <w:t xml:space="preserve">En ce qui concerne le paragraphe 5 des décisions </w:t>
      </w:r>
      <w:hyperlink r:id="rId32" w:history="1">
        <w:r w:rsidR="001C6CC7">
          <w:rPr>
            <w:rStyle w:val="Hyperlink"/>
          </w:rPr>
          <w:t>16/25</w:t>
        </w:r>
      </w:hyperlink>
      <w:r>
        <w:t xml:space="preserve">, </w:t>
      </w:r>
      <w:hyperlink r:id="rId33" w:history="1">
        <w:r w:rsidR="001C6CC7">
          <w:rPr>
            <w:rStyle w:val="Hyperlink"/>
          </w:rPr>
          <w:t>CP-11/5</w:t>
        </w:r>
      </w:hyperlink>
      <w:r>
        <w:t xml:space="preserve"> et </w:t>
      </w:r>
      <w:hyperlink r:id="rId34" w:history="1">
        <w:r w:rsidR="001C6CC7">
          <w:rPr>
            <w:rStyle w:val="Hyperlink"/>
          </w:rPr>
          <w:t>NP-5/10</w:t>
        </w:r>
      </w:hyperlink>
      <w:r>
        <w:t>, le Secrétariat a mené une enquête pour recueillir des informations sur les mécanismes d</w:t>
      </w:r>
      <w:r w:rsidR="0057315B">
        <w:t>’</w:t>
      </w:r>
      <w:r>
        <w:t xml:space="preserve">appui à la participation </w:t>
      </w:r>
      <w:r w:rsidR="00F77700">
        <w:t>établis en vertu</w:t>
      </w:r>
      <w:r>
        <w:t xml:space="preserve"> d</w:t>
      </w:r>
      <w:r w:rsidR="0057315B">
        <w:t>’</w:t>
      </w:r>
      <w:r>
        <w:t>autres accords multilatéraux sur l</w:t>
      </w:r>
      <w:r w:rsidR="0057315B">
        <w:t>’</w:t>
      </w:r>
      <w:r>
        <w:t xml:space="preserve">environnement, conformément à la décision </w:t>
      </w:r>
      <w:hyperlink r:id="rId35" w:history="1">
        <w:r w:rsidR="001C6CC7">
          <w:rPr>
            <w:rStyle w:val="Hyperlink"/>
          </w:rPr>
          <w:t>14/37</w:t>
        </w:r>
      </w:hyperlink>
      <w:r>
        <w:t>, dans laquelle l</w:t>
      </w:r>
      <w:r w:rsidR="0057315B">
        <w:t>a</w:t>
      </w:r>
      <w:r>
        <w:t xml:space="preserve"> Secrétaire exécuti</w:t>
      </w:r>
      <w:r w:rsidR="0057315B">
        <w:t>ve</w:t>
      </w:r>
      <w:r>
        <w:t xml:space="preserve"> a été prié</w:t>
      </w:r>
      <w:r w:rsidR="0057315B">
        <w:t>e</w:t>
      </w:r>
      <w:r>
        <w:t xml:space="preserve"> de présenter une proposition visant à réviser la structure et les règles relatives au Fonds </w:t>
      </w:r>
      <w:r w:rsidR="00F35953">
        <w:t xml:space="preserve">d’affectation </w:t>
      </w:r>
      <w:r>
        <w:t>spécial</w:t>
      </w:r>
      <w:r w:rsidR="00F35953">
        <w:t>e</w:t>
      </w:r>
      <w:r>
        <w:t xml:space="preserve"> de contributions volontaires pour faciliter la participation des Parties au</w:t>
      </w:r>
      <w:r w:rsidR="0057315B">
        <w:t>x</w:t>
      </w:r>
      <w:r>
        <w:t xml:space="preserve"> processus de la Convention, et de rendre compte des progrès accomplis dans la conception de mesures visant à accroître la visibilité du Fonds et son attrait pour les donateurs, en s</w:t>
      </w:r>
      <w:r w:rsidR="0057315B">
        <w:t>’</w:t>
      </w:r>
      <w:r>
        <w:t>appuyant sur l</w:t>
      </w:r>
      <w:r w:rsidR="0057315B">
        <w:t>’</w:t>
      </w:r>
      <w:r>
        <w:t>expérience acquise par des fonds d</w:t>
      </w:r>
      <w:r w:rsidR="0057315B">
        <w:t>’</w:t>
      </w:r>
      <w:r>
        <w:t>affectation spéciale similaires dans d</w:t>
      </w:r>
      <w:r w:rsidR="0057315B">
        <w:t>’</w:t>
      </w:r>
      <w:r>
        <w:t>autres instances internationales. Les résultats de l</w:t>
      </w:r>
      <w:r w:rsidR="0057315B">
        <w:t>’</w:t>
      </w:r>
      <w:r>
        <w:t xml:space="preserve">enquête seront présentés dans le document </w:t>
      </w:r>
      <w:hyperlink r:id="rId36" w:history="1">
        <w:r w:rsidR="001C6CC7">
          <w:rPr>
            <w:rStyle w:val="Hyperlink"/>
          </w:rPr>
          <w:t>CBD/SBI/6/INF/9</w:t>
        </w:r>
      </w:hyperlink>
      <w:r>
        <w:t>.</w:t>
      </w:r>
    </w:p>
    <w:p w14:paraId="0DA2A4D3" w14:textId="3D6E2F73" w:rsidR="001C6CC7" w:rsidRDefault="00DC03D0">
      <w:pPr>
        <w:pStyle w:val="CBDNormalNumber"/>
      </w:pPr>
      <w:r>
        <w:t>L</w:t>
      </w:r>
      <w:r w:rsidR="00F35953">
        <w:t>a</w:t>
      </w:r>
      <w:r>
        <w:t xml:space="preserve"> Secrétaire exécuti</w:t>
      </w:r>
      <w:r w:rsidR="00F35953">
        <w:t>ve</w:t>
      </w:r>
      <w:r>
        <w:t>, en consultation avec le Bureau de la Conférence des Parties et sous sa direction, soumettra la proposition demandée et rendra compte des progrès accomplis à l</w:t>
      </w:r>
      <w:r w:rsidR="0057315B">
        <w:t>’</w:t>
      </w:r>
      <w:r>
        <w:t xml:space="preserve">Organe subsidiaire </w:t>
      </w:r>
      <w:r w:rsidR="00F35953">
        <w:t>charté de l’application</w:t>
      </w:r>
      <w:r>
        <w:t xml:space="preserve"> à sa septième réunion, </w:t>
      </w:r>
      <w:r w:rsidR="00A478E5">
        <w:t xml:space="preserve">aux fins d’un </w:t>
      </w:r>
      <w:r>
        <w:t>examen ultérieur par la Conférence des Parties à sa dix-septième réunion.</w:t>
      </w:r>
    </w:p>
    <w:p w14:paraId="3399F1D1" w14:textId="64CF7811" w:rsidR="001C6CC7" w:rsidRDefault="00DC03D0">
      <w:pPr>
        <w:pStyle w:val="CBDNormalNumber"/>
      </w:pPr>
      <w:r>
        <w:t xml:space="preserve">Comme demandé au paragraphe 3 des décisions </w:t>
      </w:r>
      <w:hyperlink r:id="rId37" w:history="1">
        <w:r w:rsidR="001C6CC7">
          <w:rPr>
            <w:rStyle w:val="Hyperlink"/>
          </w:rPr>
          <w:t>16/25</w:t>
        </w:r>
      </w:hyperlink>
      <w:r>
        <w:t xml:space="preserve">, </w:t>
      </w:r>
      <w:hyperlink r:id="rId38" w:history="1">
        <w:r w:rsidR="001C6CC7">
          <w:rPr>
            <w:rStyle w:val="Hyperlink"/>
          </w:rPr>
          <w:t>CP-11/5</w:t>
        </w:r>
      </w:hyperlink>
      <w:r>
        <w:t xml:space="preserve"> et </w:t>
      </w:r>
      <w:hyperlink r:id="rId39" w:history="1">
        <w:r w:rsidR="001C6CC7">
          <w:rPr>
            <w:rStyle w:val="Hyperlink"/>
          </w:rPr>
          <w:t>NP-5/10</w:t>
        </w:r>
      </w:hyperlink>
      <w:r>
        <w:t>, le Bureau de l</w:t>
      </w:r>
      <w:r w:rsidR="0057315B">
        <w:t>’</w:t>
      </w:r>
      <w:r>
        <w:t xml:space="preserve">Organe subsidiaire </w:t>
      </w:r>
      <w:r w:rsidR="00F35953">
        <w:t>chargé de fournir des avis</w:t>
      </w:r>
      <w:r>
        <w:t xml:space="preserve"> scientifique</w:t>
      </w:r>
      <w:r w:rsidR="00F35953">
        <w:t>s</w:t>
      </w:r>
      <w:r>
        <w:t>, technique</w:t>
      </w:r>
      <w:r w:rsidR="00F35953">
        <w:t>s</w:t>
      </w:r>
      <w:r>
        <w:t xml:space="preserve"> et technologique</w:t>
      </w:r>
      <w:r w:rsidR="00F35953">
        <w:t>s</w:t>
      </w:r>
      <w:r>
        <w:t xml:space="preserve"> a convenu de modalités pilotes pour la </w:t>
      </w:r>
      <w:r w:rsidR="006F7DA9">
        <w:t>remise anticipée</w:t>
      </w:r>
      <w:r>
        <w:t xml:space="preserve"> de</w:t>
      </w:r>
      <w:r w:rsidR="00D64160">
        <w:t>s</w:t>
      </w:r>
      <w:r>
        <w:t xml:space="preserve"> déclarations</w:t>
      </w:r>
      <w:r w:rsidR="00A478E5">
        <w:t>,</w:t>
      </w:r>
      <w:r>
        <w:t xml:space="preserve"> </w:t>
      </w:r>
      <w:r w:rsidR="00A478E5">
        <w:t xml:space="preserve">à </w:t>
      </w:r>
      <w:r>
        <w:t>appliquer à deux points de l</w:t>
      </w:r>
      <w:r w:rsidR="0057315B">
        <w:t>’</w:t>
      </w:r>
      <w:r>
        <w:t xml:space="preserve">ordre du jour de la vingt-septième réunion de cet </w:t>
      </w:r>
      <w:r w:rsidR="00F35953">
        <w:t>o</w:t>
      </w:r>
      <w:r>
        <w:t>rgane subsidiaire. Le</w:t>
      </w:r>
      <w:r w:rsidR="00A478E5">
        <w:t xml:space="preserve"> contenu de ces</w:t>
      </w:r>
      <w:r>
        <w:t xml:space="preserve"> modalités </w:t>
      </w:r>
      <w:r w:rsidR="00A478E5">
        <w:t>a</w:t>
      </w:r>
      <w:r>
        <w:t xml:space="preserve"> été communiqué aux Parties et aux observateurs </w:t>
      </w:r>
      <w:r w:rsidR="00A478E5">
        <w:t>par le biais de</w:t>
      </w:r>
      <w:r>
        <w:t xml:space="preserve"> la notification n</w:t>
      </w:r>
      <w:r w:rsidRPr="00F35953">
        <w:rPr>
          <w:vertAlign w:val="superscript"/>
        </w:rPr>
        <w:t>o</w:t>
      </w:r>
      <w:r>
        <w:t xml:space="preserve"> </w:t>
      </w:r>
      <w:hyperlink r:id="rId40" w:history="1">
        <w:r w:rsidR="001C6CC7">
          <w:rPr>
            <w:rStyle w:val="Hyperlink"/>
          </w:rPr>
          <w:t>2025-120</w:t>
        </w:r>
      </w:hyperlink>
      <w:r>
        <w:t>. L</w:t>
      </w:r>
      <w:r w:rsidR="0057315B">
        <w:t>’</w:t>
      </w:r>
      <w:r>
        <w:t xml:space="preserve">objectif de ce projet pilote était de déterminer si </w:t>
      </w:r>
      <w:r w:rsidR="00A478E5">
        <w:t>d</w:t>
      </w:r>
      <w:r>
        <w:t xml:space="preserve">es </w:t>
      </w:r>
      <w:r w:rsidR="00A478E5">
        <w:t>déclaration</w:t>
      </w:r>
      <w:r>
        <w:t xml:space="preserve">s écrites </w:t>
      </w:r>
      <w:r w:rsidR="00F35953">
        <w:t>communiquée</w:t>
      </w:r>
      <w:r>
        <w:t>s à l</w:t>
      </w:r>
      <w:r w:rsidR="0057315B">
        <w:t>’</w:t>
      </w:r>
      <w:r>
        <w:t xml:space="preserve">avance pouvaient </w:t>
      </w:r>
      <w:r w:rsidR="00F35953">
        <w:t>simplifi</w:t>
      </w:r>
      <w:r>
        <w:t>er les discussions lors de la première lecture des points de l</w:t>
      </w:r>
      <w:r w:rsidR="0057315B">
        <w:t>’</w:t>
      </w:r>
      <w:r>
        <w:t>ordre du jour et améliorer l</w:t>
      </w:r>
      <w:r w:rsidR="0057315B">
        <w:t>’</w:t>
      </w:r>
      <w:r>
        <w:t>efficacité.</w:t>
      </w:r>
    </w:p>
    <w:p w14:paraId="33DEBD7D" w14:textId="1711D75C" w:rsidR="001C6CC7" w:rsidRDefault="00DC03D0">
      <w:pPr>
        <w:pStyle w:val="CBDNormalNumber"/>
      </w:pPr>
      <w:r>
        <w:t>À la suite de la mise en œuvre de</w:t>
      </w:r>
      <w:r w:rsidR="00A478E5">
        <w:t xml:space="preserve"> ces</w:t>
      </w:r>
      <w:r>
        <w:t xml:space="preserve"> modalités lors de la réunion, une enquête en ligne a été menée par le Secrétariat, du 23 octobre au 28 octobre 2025, afin d</w:t>
      </w:r>
      <w:r w:rsidR="00A478E5">
        <w:t>e recueillir</w:t>
      </w:r>
      <w:r>
        <w:t xml:space="preserve"> les </w:t>
      </w:r>
      <w:r w:rsidR="00F35953">
        <w:t xml:space="preserve">points de </w:t>
      </w:r>
      <w:r>
        <w:t xml:space="preserve">vue des Parties et des observateurs inscrits à la réunion </w:t>
      </w:r>
      <w:r w:rsidR="00A478E5">
        <w:t>au sujet de</w:t>
      </w:r>
      <w:r>
        <w:t xml:space="preserve"> l</w:t>
      </w:r>
      <w:r w:rsidR="0057315B">
        <w:t>’</w:t>
      </w:r>
      <w:r>
        <w:t>efficacité des modalités. Au total, 32</w:t>
      </w:r>
      <w:r w:rsidR="00A478E5">
        <w:t> </w:t>
      </w:r>
      <w:r>
        <w:t>réponses à l</w:t>
      </w:r>
      <w:r w:rsidR="0057315B">
        <w:t>’</w:t>
      </w:r>
      <w:r>
        <w:t>enquête</w:t>
      </w:r>
      <w:r w:rsidR="00A478E5">
        <w:t xml:space="preserve"> en ligne</w:t>
      </w:r>
      <w:r>
        <w:t xml:space="preserve"> ont été reçues </w:t>
      </w:r>
      <w:r w:rsidR="00A478E5">
        <w:t>après</w:t>
      </w:r>
      <w:r>
        <w:t xml:space="preserve"> la réunion : 25 émanant de Parties et 7 </w:t>
      </w:r>
      <w:r w:rsidR="00A478E5">
        <w:t xml:space="preserve">émanant </w:t>
      </w:r>
      <w:r>
        <w:t>d</w:t>
      </w:r>
      <w:r w:rsidR="0057315B">
        <w:t>’</w:t>
      </w:r>
      <w:r>
        <w:t>observateurs. Les résultats détaillés de l</w:t>
      </w:r>
      <w:r w:rsidR="0057315B">
        <w:t>’</w:t>
      </w:r>
      <w:r>
        <w:t xml:space="preserve">enquête seront présentés dans le document </w:t>
      </w:r>
      <w:hyperlink r:id="rId41" w:history="1">
        <w:r w:rsidR="001C6CC7">
          <w:rPr>
            <w:rStyle w:val="Hyperlink"/>
          </w:rPr>
          <w:t>CBD/SBI/6/INF/10</w:t>
        </w:r>
      </w:hyperlink>
      <w:r>
        <w:t>. Les résultats de l</w:t>
      </w:r>
      <w:r w:rsidR="0057315B">
        <w:t>’</w:t>
      </w:r>
      <w:r>
        <w:t xml:space="preserve">enquête ont également été </w:t>
      </w:r>
      <w:r w:rsidR="00A478E5">
        <w:t>transmis</w:t>
      </w:r>
      <w:r>
        <w:t xml:space="preserve"> au Bureau de la Conférence des Parties à la Convention.</w:t>
      </w:r>
    </w:p>
    <w:p w14:paraId="031820BB" w14:textId="17ADDFE7" w:rsidR="001C6CC7" w:rsidRDefault="00DC03D0">
      <w:pPr>
        <w:pStyle w:val="CBDNormalNumber"/>
      </w:pPr>
      <w:r>
        <w:t>En résumé, les répondants ont généralement convenu que le projet pilote a</w:t>
      </w:r>
      <w:r w:rsidR="002C3DCE">
        <w:t>vait aidé</w:t>
      </w:r>
      <w:r>
        <w:t xml:space="preserve"> à simplifier les premières lectures de</w:t>
      </w:r>
      <w:r w:rsidR="002C3DCE">
        <w:t>s</w:t>
      </w:r>
      <w:r>
        <w:t xml:space="preserve"> points </w:t>
      </w:r>
      <w:r w:rsidR="00F35953">
        <w:t>de</w:t>
      </w:r>
      <w:r>
        <w:t xml:space="preserve"> l</w:t>
      </w:r>
      <w:r w:rsidR="0057315B">
        <w:t>’</w:t>
      </w:r>
      <w:r>
        <w:t>ordre du jour. Plusieurs Parties et observateurs ont qualifié le projet pilote d</w:t>
      </w:r>
      <w:r w:rsidR="0057315B">
        <w:t>’</w:t>
      </w:r>
      <w:r>
        <w:t xml:space="preserve">efficace et de gain de temps, </w:t>
      </w:r>
      <w:r w:rsidR="002C3DCE">
        <w:t>ayant contribué</w:t>
      </w:r>
      <w:r>
        <w:t xml:space="preserve"> à éviter les répétitions et à raccourcir les </w:t>
      </w:r>
      <w:r w:rsidR="002C3DCE">
        <w:t>intervention</w:t>
      </w:r>
      <w:r>
        <w:t xml:space="preserve">s en séance plénière. </w:t>
      </w:r>
      <w:r w:rsidR="002C3DCE">
        <w:t>Un certain nombre de</w:t>
      </w:r>
      <w:r>
        <w:t xml:space="preserve"> Parties ont indiqué que </w:t>
      </w:r>
      <w:r w:rsidR="002C3DCE">
        <w:t>les</w:t>
      </w:r>
      <w:r>
        <w:t xml:space="preserve"> déclarations écrites </w:t>
      </w:r>
      <w:r w:rsidR="002C3DCE">
        <w:t>communiquées à l’avance</w:t>
      </w:r>
      <w:r>
        <w:t xml:space="preserve"> étaient utiles pour certains points de l</w:t>
      </w:r>
      <w:r w:rsidR="0057315B">
        <w:t>’</w:t>
      </w:r>
      <w:r>
        <w:t xml:space="preserve">ordre du jour mais ne convenaient pas à tous. </w:t>
      </w:r>
    </w:p>
    <w:p w14:paraId="4FAC61E0" w14:textId="47B36036" w:rsidR="001C6CC7" w:rsidRDefault="002C3DCE">
      <w:pPr>
        <w:pStyle w:val="CBDNormalNumber"/>
      </w:pPr>
      <w:r>
        <w:t xml:space="preserve">Un petit nombre de Parties ont souligné que le processus de </w:t>
      </w:r>
      <w:r w:rsidR="006F7DA9">
        <w:t>remise anticipée</w:t>
      </w:r>
      <w:r>
        <w:t xml:space="preserve"> de</w:t>
      </w:r>
      <w:r w:rsidR="00D64160">
        <w:t>s</w:t>
      </w:r>
      <w:r>
        <w:t xml:space="preserve"> déclarations était d’une faible utilité lorsque de nombreuses délégations préféraient intervenir en séance plénière. Ces Parties recommandaient une participation plus large des Parties et des observateurs afin de renforcer les modalités et leurs résultats. Une Partie a indiqué que les déclarations de groupe ou </w:t>
      </w:r>
      <w:r>
        <w:lastRenderedPageBreak/>
        <w:t>régionales n</w:t>
      </w:r>
      <w:r w:rsidR="0057315B">
        <w:t>’</w:t>
      </w:r>
      <w:r>
        <w:t xml:space="preserve">étaient souvent </w:t>
      </w:r>
      <w:r w:rsidRPr="00EA0C2E">
        <w:t>finalisées</w:t>
      </w:r>
      <w:r>
        <w:t xml:space="preserve"> que peu de temps avant les réunions, ce qui rendait difficile une </w:t>
      </w:r>
      <w:r w:rsidR="006F7DA9">
        <w:t>remise anticipée</w:t>
      </w:r>
      <w:r>
        <w:t xml:space="preserve"> de</w:t>
      </w:r>
      <w:r w:rsidR="00D64160">
        <w:t>s</w:t>
      </w:r>
      <w:r>
        <w:t xml:space="preserve"> déclarations; cette Partie a proposé que les centres régionaux d</w:t>
      </w:r>
      <w:r w:rsidR="0057315B">
        <w:t>’</w:t>
      </w:r>
      <w:r>
        <w:t xml:space="preserve">appui technique puissent aider à les coordonner. Un certain nombre de Parties ont signalé des difficultés techniques, </w:t>
      </w:r>
      <w:r w:rsidR="00F35953">
        <w:t>y compris</w:t>
      </w:r>
      <w:r>
        <w:t xml:space="preserve"> des retards temporaires dans le téléchargement des déclarations, des connexions Internet instables et des problèmes de fuseau horaire et de langue.</w:t>
      </w:r>
    </w:p>
    <w:p w14:paraId="2333B435" w14:textId="68117453" w:rsidR="001C6CC7" w:rsidRDefault="00DC03D0">
      <w:pPr>
        <w:pStyle w:val="CBDNormalNumber"/>
      </w:pPr>
      <w:r>
        <w:t xml:space="preserve">Les </w:t>
      </w:r>
      <w:r w:rsidR="00B229F9">
        <w:t xml:space="preserve">retours d’information du </w:t>
      </w:r>
      <w:r>
        <w:t xml:space="preserve">personnel du Secrétariat </w:t>
      </w:r>
      <w:r w:rsidR="00B229F9">
        <w:t xml:space="preserve">ayant </w:t>
      </w:r>
      <w:r>
        <w:t>particip</w:t>
      </w:r>
      <w:r w:rsidR="00B229F9">
        <w:t>é</w:t>
      </w:r>
      <w:r>
        <w:t xml:space="preserve"> au projet pilote </w:t>
      </w:r>
      <w:r w:rsidR="00B229F9">
        <w:t>mentionnent</w:t>
      </w:r>
      <w:r>
        <w:t xml:space="preserve"> que le fait d</w:t>
      </w:r>
      <w:r w:rsidR="0057315B">
        <w:t>’</w:t>
      </w:r>
      <w:r>
        <w:t>avoir eu accès à des déclarations</w:t>
      </w:r>
      <w:r w:rsidR="00B229F9">
        <w:t xml:space="preserve"> plus tôt</w:t>
      </w:r>
      <w:r>
        <w:t xml:space="preserve"> a considérablement facilité l</w:t>
      </w:r>
      <w:r w:rsidR="00B229F9">
        <w:t xml:space="preserve">a préparation </w:t>
      </w:r>
      <w:r>
        <w:t>des documents de séance pour les points de l</w:t>
      </w:r>
      <w:r w:rsidR="0057315B">
        <w:t>’</w:t>
      </w:r>
      <w:r>
        <w:t>ordre du jour</w:t>
      </w:r>
      <w:r w:rsidR="00B229F9">
        <w:t xml:space="preserve"> concernés</w:t>
      </w:r>
      <w:r>
        <w:t>. En particulier, l</w:t>
      </w:r>
      <w:r w:rsidR="00F35953">
        <w:t xml:space="preserve">a </w:t>
      </w:r>
      <w:r w:rsidR="006F7DA9">
        <w:t>remise anticipée</w:t>
      </w:r>
      <w:r w:rsidR="00B229F9">
        <w:t xml:space="preserve"> de</w:t>
      </w:r>
      <w:r w:rsidR="00D64160">
        <w:t>s</w:t>
      </w:r>
      <w:r w:rsidR="00B229F9">
        <w:t xml:space="preserve"> déclarations</w:t>
      </w:r>
      <w:r>
        <w:t xml:space="preserve"> a permis d</w:t>
      </w:r>
      <w:r w:rsidR="00B229F9">
        <w:t>’établir</w:t>
      </w:r>
      <w:r>
        <w:t xml:space="preserve"> les documents de séance plus tôt que ce qui aurait été possible si toutes les déclarations avaient été examinées </w:t>
      </w:r>
      <w:r w:rsidR="00B229F9">
        <w:t xml:space="preserve">seulement </w:t>
      </w:r>
      <w:r>
        <w:t>après la première lecture. Bien que le temps total nécessaire à l</w:t>
      </w:r>
      <w:r w:rsidR="0057315B">
        <w:t>’</w:t>
      </w:r>
      <w:r>
        <w:t>élaboration d</w:t>
      </w:r>
      <w:r w:rsidR="00B229F9">
        <w:t>’un</w:t>
      </w:r>
      <w:r>
        <w:t xml:space="preserve"> document de séance n</w:t>
      </w:r>
      <w:r w:rsidR="0057315B">
        <w:t>’</w:t>
      </w:r>
      <w:r>
        <w:t>ait pas été sensiblement différent, l</w:t>
      </w:r>
      <w:r w:rsidR="0057315B">
        <w:t>’</w:t>
      </w:r>
      <w:r>
        <w:t xml:space="preserve">amélioration essentielle a été </w:t>
      </w:r>
      <w:r w:rsidR="00B229F9">
        <w:t>l’</w:t>
      </w:r>
      <w:r>
        <w:t>accélération du processus d</w:t>
      </w:r>
      <w:r w:rsidR="0057315B">
        <w:t>’</w:t>
      </w:r>
      <w:r w:rsidR="00B229F9">
        <w:t>établissement</w:t>
      </w:r>
      <w:r>
        <w:t xml:space="preserve"> du document de séance après la première lecture. </w:t>
      </w:r>
    </w:p>
    <w:p w14:paraId="119519F7" w14:textId="53369B74" w:rsidR="001C6CC7" w:rsidRDefault="00DC03D0">
      <w:pPr>
        <w:pStyle w:val="CBDNormalNumber"/>
      </w:pPr>
      <w:r>
        <w:t xml:space="preserve">La </w:t>
      </w:r>
      <w:r w:rsidR="006F7DA9">
        <w:t>remise anticipée</w:t>
      </w:r>
      <w:r>
        <w:t xml:space="preserve"> de</w:t>
      </w:r>
      <w:r w:rsidR="00D64160">
        <w:t>s</w:t>
      </w:r>
      <w:r>
        <w:t xml:space="preserve"> déclarations a </w:t>
      </w:r>
      <w:r w:rsidR="00AA0BFB">
        <w:t>aussi</w:t>
      </w:r>
      <w:r>
        <w:t xml:space="preserve"> facilité l</w:t>
      </w:r>
      <w:r w:rsidR="0057315B">
        <w:t>’</w:t>
      </w:r>
      <w:r>
        <w:t>a</w:t>
      </w:r>
      <w:r w:rsidR="00F35953">
        <w:t>pprobati</w:t>
      </w:r>
      <w:r>
        <w:t>on interne</w:t>
      </w:r>
      <w:r w:rsidR="00B229F9">
        <w:t xml:space="preserve"> des documents</w:t>
      </w:r>
      <w:r>
        <w:t>, ainsi que les services d</w:t>
      </w:r>
      <w:r w:rsidR="00B229F9">
        <w:t>e révisi</w:t>
      </w:r>
      <w:r>
        <w:t xml:space="preserve">on et de traduction. </w:t>
      </w:r>
      <w:r w:rsidR="00B229F9">
        <w:t>Durant</w:t>
      </w:r>
      <w:r>
        <w:t xml:space="preserve"> la première lecture de l</w:t>
      </w:r>
      <w:r w:rsidR="0057315B">
        <w:t>’</w:t>
      </w:r>
      <w:r>
        <w:t>un des points de l</w:t>
      </w:r>
      <w:r w:rsidR="0057315B">
        <w:t>’</w:t>
      </w:r>
      <w:r>
        <w:t xml:space="preserve">ordre du jour </w:t>
      </w:r>
      <w:r w:rsidR="00B229F9">
        <w:t>dans le cadre</w:t>
      </w:r>
      <w:r>
        <w:t xml:space="preserve"> du projet pilote, les Parties et les observateurs ont généralement maintenu l</w:t>
      </w:r>
      <w:r w:rsidR="0057315B">
        <w:t>’</w:t>
      </w:r>
      <w:r>
        <w:t>intention exprimée dans leurs premières déclarations, ce qui s</w:t>
      </w:r>
      <w:r w:rsidR="0057315B">
        <w:t>’</w:t>
      </w:r>
      <w:r>
        <w:t>est avéré particulièrement utile pour l</w:t>
      </w:r>
      <w:r w:rsidR="0057315B">
        <w:t>’</w:t>
      </w:r>
      <w:r>
        <w:t>é</w:t>
      </w:r>
      <w:r w:rsidR="00B229F9">
        <w:t>tablissement</w:t>
      </w:r>
      <w:r>
        <w:t xml:space="preserve"> du document de séance. </w:t>
      </w:r>
    </w:p>
    <w:p w14:paraId="2011E1DD" w14:textId="48FF0B46" w:rsidR="001C6CC7" w:rsidRDefault="00DC03D0">
      <w:pPr>
        <w:pStyle w:val="CBDH1"/>
      </w:pPr>
      <w:r>
        <w:rPr>
          <w:rFonts w:eastAsia="Arial Unicode MS" w:cs="Arial Unicode MS"/>
        </w:rPr>
        <w:t>III.</w:t>
      </w:r>
      <w:r>
        <w:rPr>
          <w:rFonts w:eastAsia="Arial Unicode MS" w:cs="Arial Unicode MS"/>
        </w:rPr>
        <w:tab/>
        <w:t xml:space="preserve">Communications </w:t>
      </w:r>
      <w:r>
        <w:t>des</w:t>
      </w:r>
      <w:r>
        <w:rPr>
          <w:rFonts w:eastAsia="Arial Unicode MS" w:cs="Arial Unicode MS"/>
        </w:rPr>
        <w:t xml:space="preserve"> Parties et des observateurs sur </w:t>
      </w:r>
      <w:r w:rsidR="00EA0C2E">
        <w:rPr>
          <w:rFonts w:eastAsia="Arial Unicode MS" w:cs="Arial Unicode MS"/>
        </w:rPr>
        <w:t>d</w:t>
      </w:r>
      <w:r>
        <w:rPr>
          <w:rFonts w:eastAsia="Arial Unicode MS" w:cs="Arial Unicode MS"/>
        </w:rPr>
        <w:t>es options p</w:t>
      </w:r>
      <w:r w:rsidR="00247DBD">
        <w:rPr>
          <w:rFonts w:eastAsia="Arial Unicode MS" w:cs="Arial Unicode MS"/>
        </w:rPr>
        <w:t xml:space="preserve">our </w:t>
      </w:r>
      <w:r>
        <w:rPr>
          <w:rFonts w:eastAsia="Arial Unicode MS" w:cs="Arial Unicode MS"/>
        </w:rPr>
        <w:t xml:space="preserve">améliorer </w:t>
      </w:r>
      <w:r w:rsidR="00247DBD">
        <w:rPr>
          <w:rFonts w:eastAsia="Arial Unicode MS" w:cs="Arial Unicode MS"/>
        </w:rPr>
        <w:t>davantage</w:t>
      </w:r>
      <w:r>
        <w:rPr>
          <w:rFonts w:eastAsia="Arial Unicode MS" w:cs="Arial Unicode MS"/>
        </w:rPr>
        <w:t xml:space="preserve"> l</w:t>
      </w:r>
      <w:r w:rsidR="0057315B">
        <w:rPr>
          <w:rFonts w:eastAsia="Arial Unicode MS" w:cs="Arial Unicode MS"/>
        </w:rPr>
        <w:t>’</w:t>
      </w:r>
      <w:r>
        <w:rPr>
          <w:rFonts w:eastAsia="Arial Unicode MS" w:cs="Arial Unicode MS"/>
        </w:rPr>
        <w:t xml:space="preserve">efficacité des réunions </w:t>
      </w:r>
      <w:r w:rsidR="00EA0C2E">
        <w:rPr>
          <w:rFonts w:eastAsia="Arial Unicode MS" w:cs="Arial Unicode MS"/>
        </w:rPr>
        <w:t xml:space="preserve">tenues </w:t>
      </w:r>
      <w:r>
        <w:rPr>
          <w:rFonts w:eastAsia="Arial Unicode MS" w:cs="Arial Unicode MS"/>
        </w:rPr>
        <w:t>au titre de la Convention et de ses Protocoles</w:t>
      </w:r>
    </w:p>
    <w:p w14:paraId="6912998C" w14:textId="5012B211" w:rsidR="001C6CC7" w:rsidRDefault="00DC03D0">
      <w:pPr>
        <w:pStyle w:val="CBDNormalNumber"/>
      </w:pPr>
      <w:r>
        <w:t xml:space="preserve">En réponse aux notifications </w:t>
      </w:r>
      <w:r w:rsidR="00247DBD">
        <w:t>n</w:t>
      </w:r>
      <w:r w:rsidRPr="00247DBD">
        <w:rPr>
          <w:vertAlign w:val="superscript"/>
        </w:rPr>
        <w:t>o</w:t>
      </w:r>
      <w:r>
        <w:t xml:space="preserve"> </w:t>
      </w:r>
      <w:hyperlink r:id="rId42" w:history="1">
        <w:r w:rsidR="001C6CC7">
          <w:rPr>
            <w:rStyle w:val="Hyperlink"/>
          </w:rPr>
          <w:t>2025-112</w:t>
        </w:r>
      </w:hyperlink>
      <w:r>
        <w:t xml:space="preserve"> et </w:t>
      </w:r>
      <w:hyperlink r:id="rId43" w:history="1">
        <w:r w:rsidR="001C6CC7">
          <w:rPr>
            <w:rStyle w:val="Hyperlink"/>
          </w:rPr>
          <w:t>2025-124</w:t>
        </w:r>
      </w:hyperlink>
      <w:r>
        <w:t xml:space="preserve"> publiées par l</w:t>
      </w:r>
      <w:r w:rsidR="00247DBD">
        <w:t>a</w:t>
      </w:r>
      <w:r>
        <w:t xml:space="preserve"> Secrétaire exécuti</w:t>
      </w:r>
      <w:r w:rsidR="00247DBD">
        <w:t>ve</w:t>
      </w:r>
      <w:r>
        <w:t xml:space="preserve"> le 4 septembre et le 3 octobre 2025, respectivement, trois communications écrites ont été </w:t>
      </w:r>
      <w:r w:rsidR="00B229F9">
        <w:t>transmise</w:t>
      </w:r>
      <w:r>
        <w:t>s</w:t>
      </w:r>
      <w:r w:rsidR="00B229F9">
        <w:t xml:space="preserve"> par</w:t>
      </w:r>
      <w:r>
        <w:t xml:space="preserve"> des Parties</w:t>
      </w:r>
      <w:r w:rsidRPr="0017781F">
        <w:rPr>
          <w:vertAlign w:val="superscript"/>
        </w:rPr>
        <w:footnoteReference w:id="15"/>
      </w:r>
      <w:r>
        <w:t xml:space="preserve"> et deux</w:t>
      </w:r>
      <w:r w:rsidR="00B229F9">
        <w:t xml:space="preserve"> communications écrites ont été transmises par</w:t>
      </w:r>
      <w:r>
        <w:t xml:space="preserve"> des organisations observatrices représentant les peuples autochtones et communautés locales</w:t>
      </w:r>
      <w:r w:rsidRPr="0017781F">
        <w:rPr>
          <w:vertAlign w:val="superscript"/>
        </w:rPr>
        <w:footnoteReference w:id="16"/>
      </w:r>
      <w:r w:rsidR="00247DBD">
        <w:t>.</w:t>
      </w:r>
      <w:r>
        <w:t xml:space="preserve"> </w:t>
      </w:r>
      <w:r w:rsidR="00B229F9">
        <w:t>C</w:t>
      </w:r>
      <w:r>
        <w:t xml:space="preserve">es </w:t>
      </w:r>
      <w:r w:rsidR="00247DBD">
        <w:t>communicat</w:t>
      </w:r>
      <w:r>
        <w:t xml:space="preserve">ions </w:t>
      </w:r>
      <w:r w:rsidR="00247DBD">
        <w:t>peuvent être consultées</w:t>
      </w:r>
      <w:r>
        <w:t xml:space="preserve"> en ligne</w:t>
      </w:r>
      <w:r w:rsidR="000846D2" w:rsidRPr="0017781F">
        <w:rPr>
          <w:vertAlign w:val="superscript"/>
        </w:rPr>
        <w:footnoteReference w:id="17"/>
      </w:r>
      <w:r w:rsidR="00247DBD">
        <w:t>.</w:t>
      </w:r>
      <w:r>
        <w:t xml:space="preserve"> Collectivement, les auteurs</w:t>
      </w:r>
      <w:r w:rsidR="00B229F9">
        <w:t xml:space="preserve"> des communications</w:t>
      </w:r>
      <w:r>
        <w:t xml:space="preserve"> ont souligné certain</w:t>
      </w:r>
      <w:r w:rsidR="004E6FBC">
        <w:t>es difficultés</w:t>
      </w:r>
      <w:r>
        <w:t xml:space="preserve"> et opportunités, y compris </w:t>
      </w:r>
      <w:r w:rsidR="00247DBD">
        <w:t>d</w:t>
      </w:r>
      <w:r>
        <w:t xml:space="preserve">es options, </w:t>
      </w:r>
      <w:r w:rsidR="004E6FBC">
        <w:t>relative</w:t>
      </w:r>
      <w:r>
        <w:t>s à la gestion de l</w:t>
      </w:r>
      <w:r w:rsidR="0057315B">
        <w:t>’</w:t>
      </w:r>
      <w:r>
        <w:t>ordre du jour, la documentation, la facilitation, l</w:t>
      </w:r>
      <w:r w:rsidR="0057315B">
        <w:t>’</w:t>
      </w:r>
      <w:r>
        <w:t>inclusion, l</w:t>
      </w:r>
      <w:r w:rsidR="0057315B">
        <w:t>’</w:t>
      </w:r>
      <w:r>
        <w:t>utilisation d</w:t>
      </w:r>
      <w:r w:rsidR="004E6FBC">
        <w:t>’</w:t>
      </w:r>
      <w:r>
        <w:t xml:space="preserve">outils numériques et la coordination institutionnelle. Les options </w:t>
      </w:r>
      <w:r w:rsidR="004E6FBC">
        <w:t>indiquées dans l</w:t>
      </w:r>
      <w:r>
        <w:t xml:space="preserve">es </w:t>
      </w:r>
      <w:r w:rsidR="004E6FBC">
        <w:t>communicati</w:t>
      </w:r>
      <w:r>
        <w:t>ons</w:t>
      </w:r>
      <w:r w:rsidRPr="0017781F">
        <w:rPr>
          <w:vertAlign w:val="superscript"/>
        </w:rPr>
        <w:footnoteReference w:id="18"/>
      </w:r>
      <w:r>
        <w:t xml:space="preserve"> </w:t>
      </w:r>
      <w:r w:rsidR="004E6FBC">
        <w:t>sont présent</w:t>
      </w:r>
      <w:r>
        <w:t>ées ci-après, ainsi que les considérations pertinentes.</w:t>
      </w:r>
    </w:p>
    <w:p w14:paraId="09998DE4" w14:textId="04FDAA51" w:rsidR="001C6CC7" w:rsidRDefault="00DC03D0">
      <w:pPr>
        <w:pStyle w:val="CBDH3"/>
        <w:outlineLvl w:val="2"/>
      </w:pPr>
      <w:r>
        <w:t>1.</w:t>
      </w:r>
      <w:r>
        <w:tab/>
        <w:t>Options concernant la gestion de l</w:t>
      </w:r>
      <w:r w:rsidR="0057315B">
        <w:t>’</w:t>
      </w:r>
      <w:r>
        <w:t>ordre du jour et la longueur des projets de décision</w:t>
      </w:r>
    </w:p>
    <w:p w14:paraId="62E52B3C" w14:textId="3907D4A8" w:rsidR="001C6CC7" w:rsidRDefault="00DC03D0">
      <w:pPr>
        <w:pStyle w:val="CBDH4"/>
      </w:pPr>
      <w:bookmarkStart w:id="1" w:name="_Hlk216078834"/>
      <w:r>
        <w:t>a)</w:t>
      </w:r>
      <w:r>
        <w:tab/>
      </w:r>
      <w:r w:rsidR="00247DBD">
        <w:t>Communicat</w:t>
      </w:r>
      <w:r>
        <w:t>ions</w:t>
      </w:r>
      <w:bookmarkEnd w:id="1"/>
    </w:p>
    <w:p w14:paraId="0CB87A9C" w14:textId="65FA61D4" w:rsidR="001C6CC7" w:rsidRDefault="00DC03D0">
      <w:pPr>
        <w:pStyle w:val="CBDNormalNumber"/>
        <w:rPr>
          <w:b/>
          <w:bCs/>
          <w:i/>
          <w:iCs/>
        </w:rPr>
      </w:pPr>
      <w:bookmarkStart w:id="2" w:name="_Hlk216954249"/>
      <w:r>
        <w:t xml:space="preserve">Parmi les améliorations suggérées par les auteurs, </w:t>
      </w:r>
      <w:r w:rsidR="00EA0C2E">
        <w:t>mentionnons</w:t>
      </w:r>
      <w:r>
        <w:t xml:space="preserve"> les suivantes : </w:t>
      </w:r>
    </w:p>
    <w:p w14:paraId="1C447609" w14:textId="24AD04B4" w:rsidR="001C6CC7" w:rsidRDefault="00DC03D0">
      <w:pPr>
        <w:pStyle w:val="CBDNormalNumber"/>
        <w:numPr>
          <w:ilvl w:val="1"/>
          <w:numId w:val="7"/>
        </w:numPr>
        <w:rPr>
          <w:b/>
          <w:bCs/>
          <w:i/>
          <w:iCs/>
        </w:rPr>
      </w:pPr>
      <w:r>
        <w:t>Deux Parties ont proposé d</w:t>
      </w:r>
      <w:r w:rsidR="0057315B">
        <w:t>’</w:t>
      </w:r>
      <w:r>
        <w:t>améliorer la gestion de</w:t>
      </w:r>
      <w:r w:rsidR="00247DBD">
        <w:t xml:space="preserve"> l’</w:t>
      </w:r>
      <w:r>
        <w:t>ordre du jour des réunions, notamment en regroupant ou en combinant les points connexes</w:t>
      </w:r>
      <w:r w:rsidR="00247DBD">
        <w:t>,</w:t>
      </w:r>
      <w:r>
        <w:t xml:space="preserve"> afin de réduire les doubles emplois entre les organes subsidiaires et directeurs, et en prenant note des </w:t>
      </w:r>
      <w:r w:rsidR="004E6FBC">
        <w:t>questions en suspens</w:t>
      </w:r>
      <w:r>
        <w:t xml:space="preserve"> sans débat prolongé</w:t>
      </w:r>
      <w:r w:rsidR="00BF2CE6">
        <w:t>;</w:t>
      </w:r>
      <w:r>
        <w:t xml:space="preserve"> </w:t>
      </w:r>
    </w:p>
    <w:p w14:paraId="0970F610" w14:textId="4103AA7F" w:rsidR="001C6CC7" w:rsidRDefault="00DC03D0">
      <w:pPr>
        <w:pStyle w:val="CBDNormalNumber"/>
        <w:numPr>
          <w:ilvl w:val="1"/>
          <w:numId w:val="7"/>
        </w:numPr>
        <w:rPr>
          <w:b/>
          <w:bCs/>
          <w:i/>
          <w:iCs/>
        </w:rPr>
      </w:pPr>
      <w:r>
        <w:t xml:space="preserve">Une Partie a proposé de limiter la longueur et la redondance des projets de recommandations et de décisions, notamment en limitant les alinéas </w:t>
      </w:r>
      <w:r w:rsidR="00247DBD">
        <w:t>des</w:t>
      </w:r>
      <w:r>
        <w:t xml:space="preserve"> préambule</w:t>
      </w:r>
      <w:r w:rsidR="00247DBD">
        <w:t>s</w:t>
      </w:r>
      <w:r>
        <w:t xml:space="preserve"> </w:t>
      </w:r>
      <w:r w:rsidR="004E6FBC">
        <w:t>aux alinéas</w:t>
      </w:r>
      <w:r>
        <w:t xml:space="preserve"> qui sont strictement nécessaires et en évitant de reformuler des décisions antérieures</w:t>
      </w:r>
      <w:r w:rsidR="00BF2CE6">
        <w:t>;</w:t>
      </w:r>
      <w:r>
        <w:t xml:space="preserve"> </w:t>
      </w:r>
    </w:p>
    <w:p w14:paraId="4D9C7F88" w14:textId="24353292" w:rsidR="001C6CC7" w:rsidRDefault="00DC03D0">
      <w:pPr>
        <w:pStyle w:val="CBDNormalNumber"/>
        <w:numPr>
          <w:ilvl w:val="1"/>
          <w:numId w:val="7"/>
        </w:numPr>
        <w:rPr>
          <w:b/>
          <w:bCs/>
          <w:i/>
          <w:iCs/>
        </w:rPr>
      </w:pPr>
      <w:r>
        <w:lastRenderedPageBreak/>
        <w:t>Une Partie a suggéré que lorsqu</w:t>
      </w:r>
      <w:r w:rsidR="0057315B">
        <w:t>’</w:t>
      </w:r>
      <w:r>
        <w:t>un point de l</w:t>
      </w:r>
      <w:r w:rsidR="0057315B">
        <w:t>’</w:t>
      </w:r>
      <w:r>
        <w:t xml:space="preserve">ordre du jour a déjà été examiné par un organe subsidiaire, les premières lectures </w:t>
      </w:r>
      <w:r w:rsidR="004E6FBC">
        <w:t>de ce point aux</w:t>
      </w:r>
      <w:r>
        <w:t xml:space="preserve"> réunions de la Conférence des Parties devraient être évitées, ce qui permettrait de passer directement au texte </w:t>
      </w:r>
      <w:r w:rsidR="004E6FBC">
        <w:t>de</w:t>
      </w:r>
      <w:r>
        <w:t xml:space="preserve"> négociation.</w:t>
      </w:r>
      <w:bookmarkStart w:id="3" w:name="_Hlk216078861"/>
    </w:p>
    <w:bookmarkEnd w:id="2"/>
    <w:p w14:paraId="07D55555" w14:textId="77777777" w:rsidR="001C6CC7" w:rsidRDefault="00DC03D0">
      <w:pPr>
        <w:pStyle w:val="CBDH4"/>
        <w:rPr>
          <w:b w:val="0"/>
        </w:rPr>
      </w:pPr>
      <w:r>
        <w:t>b)</w:t>
      </w:r>
      <w:r>
        <w:tab/>
        <w:t>Considérations</w:t>
      </w:r>
    </w:p>
    <w:p w14:paraId="1E3757F3" w14:textId="2A37CB0B" w:rsidR="001C6CC7" w:rsidRDefault="00DC03D0">
      <w:pPr>
        <w:pStyle w:val="CBDNormalNumber"/>
      </w:pPr>
      <w:bookmarkStart w:id="4" w:name="_Hlk216036226"/>
      <w:r>
        <w:t>La rationalisation des ordres du jour vise, entre autres, à réduire les d</w:t>
      </w:r>
      <w:r w:rsidR="004E6FBC">
        <w:t>ébat</w:t>
      </w:r>
      <w:r>
        <w:t>s répétiti</w:t>
      </w:r>
      <w:r w:rsidR="004E6FBC">
        <w:t>f</w:t>
      </w:r>
      <w:r>
        <w:t>s. Bien que le regroupement des points de l</w:t>
      </w:r>
      <w:r w:rsidR="0057315B">
        <w:t>’</w:t>
      </w:r>
      <w:r>
        <w:t xml:space="preserve">ordre du jour connexes permette </w:t>
      </w:r>
      <w:r w:rsidR="004E6FBC">
        <w:t>probablement</w:t>
      </w:r>
      <w:r>
        <w:t xml:space="preserve"> de mieux utiliser le temps limité de négociation, il devrait être </w:t>
      </w:r>
      <w:r w:rsidR="004E6FBC">
        <w:t>effectué</w:t>
      </w:r>
      <w:r>
        <w:t xml:space="preserve"> avec prudence, en tenant compte de la compatibilité des points de l</w:t>
      </w:r>
      <w:r w:rsidR="0057315B">
        <w:t>’</w:t>
      </w:r>
      <w:r>
        <w:t xml:space="preserve">ordre du jour qui sont proposés pour </w:t>
      </w:r>
      <w:r w:rsidR="00247DBD">
        <w:t>un</w:t>
      </w:r>
      <w:r>
        <w:t xml:space="preserve"> regroupement. </w:t>
      </w:r>
      <w:bookmarkEnd w:id="3"/>
      <w:bookmarkEnd w:id="4"/>
      <w:r>
        <w:t xml:space="preserve">De même, </w:t>
      </w:r>
      <w:r w:rsidR="005B3B28">
        <w:t>la</w:t>
      </w:r>
      <w:r>
        <w:t xml:space="preserve"> réduction de la longueur des projets de décision, </w:t>
      </w:r>
      <w:r w:rsidR="004E6FBC">
        <w:t>afin d’</w:t>
      </w:r>
      <w:r>
        <w:t xml:space="preserve">obtenir des résultats plus clairs et plus ciblés, </w:t>
      </w:r>
      <w:r w:rsidR="004E6FBC">
        <w:t>nécessit</w:t>
      </w:r>
      <w:r>
        <w:t xml:space="preserve">e </w:t>
      </w:r>
      <w:r w:rsidR="004E6FBC">
        <w:t xml:space="preserve">d’exercer </w:t>
      </w:r>
      <w:r>
        <w:t>une discipline a</w:t>
      </w:r>
      <w:r w:rsidR="005B3B28">
        <w:t>pproprié</w:t>
      </w:r>
      <w:r>
        <w:t xml:space="preserve">e </w:t>
      </w:r>
      <w:r w:rsidR="005B3B28">
        <w:t>lors de la</w:t>
      </w:r>
      <w:r>
        <w:t xml:space="preserve"> rédaction des recommandations présentées dans les documents de présession</w:t>
      </w:r>
      <w:r w:rsidR="005B3B28">
        <w:t>, ainsi que</w:t>
      </w:r>
      <w:r>
        <w:t xml:space="preserve"> </w:t>
      </w:r>
      <w:r w:rsidR="005B3B28">
        <w:t>des recommandations</w:t>
      </w:r>
      <w:r>
        <w:t xml:space="preserve"> découlant des réunions des organes subsidiaires. Dans l</w:t>
      </w:r>
      <w:r w:rsidR="0057315B">
        <w:t>’</w:t>
      </w:r>
      <w:r>
        <w:t xml:space="preserve">ensemble, </w:t>
      </w:r>
      <w:r w:rsidR="005B3B28">
        <w:t>une</w:t>
      </w:r>
      <w:r>
        <w:t xml:space="preserve"> gestion efficace de l</w:t>
      </w:r>
      <w:r w:rsidR="0057315B">
        <w:t>’</w:t>
      </w:r>
      <w:r>
        <w:t xml:space="preserve">ordre du jour et </w:t>
      </w:r>
      <w:r w:rsidR="005B3B28">
        <w:t xml:space="preserve">de </w:t>
      </w:r>
      <w:r>
        <w:t xml:space="preserve">la longueur des projets de décision </w:t>
      </w:r>
      <w:r w:rsidR="005B3B28">
        <w:t>nécessite</w:t>
      </w:r>
      <w:r>
        <w:t xml:space="preserve"> des efforts concertés de la part du Secrétariat, du Bureau, des Parties et des observateurs.</w:t>
      </w:r>
    </w:p>
    <w:p w14:paraId="4C35D659" w14:textId="183FA0B1" w:rsidR="001C6CC7" w:rsidRDefault="00DC03D0">
      <w:pPr>
        <w:pStyle w:val="CBDNormalNumber"/>
      </w:pPr>
      <w:r>
        <w:t>Le Secrétariat note qu</w:t>
      </w:r>
      <w:r w:rsidR="0057315B">
        <w:t>’</w:t>
      </w:r>
      <w:r>
        <w:t>à long terme, l</w:t>
      </w:r>
      <w:r w:rsidR="0057315B">
        <w:t>’</w:t>
      </w:r>
      <w:r>
        <w:t>abandon stratégique des points de l</w:t>
      </w:r>
      <w:r w:rsidR="0057315B">
        <w:t>’</w:t>
      </w:r>
      <w:r>
        <w:t>ordre du jour</w:t>
      </w:r>
      <w:r w:rsidR="005B3B28">
        <w:t xml:space="preserve"> dormants</w:t>
      </w:r>
      <w:r>
        <w:t xml:space="preserve"> et l</w:t>
      </w:r>
      <w:r w:rsidR="0057315B">
        <w:t>’</w:t>
      </w:r>
      <w:r>
        <w:t xml:space="preserve">introduction de mesures de </w:t>
      </w:r>
      <w:r w:rsidR="005B3B28">
        <w:t>suppression</w:t>
      </w:r>
      <w:r>
        <w:t xml:space="preserve"> </w:t>
      </w:r>
      <w:r w:rsidR="005B3B28">
        <w:t>d</w:t>
      </w:r>
      <w:r>
        <w:t xml:space="preserve">es points </w:t>
      </w:r>
      <w:r w:rsidR="005B3B28">
        <w:t>qui demeurent sans cesse non résolus</w:t>
      </w:r>
      <w:r>
        <w:t xml:space="preserve"> pourraient contribuer à </w:t>
      </w:r>
      <w:r w:rsidR="005B3B28">
        <w:t>empêche</w:t>
      </w:r>
      <w:r>
        <w:t>r la répétition indéfinie des questions non résolues et à orienter l</w:t>
      </w:r>
      <w:r w:rsidR="0057315B">
        <w:t>’</w:t>
      </w:r>
      <w:r>
        <w:t>attention institutionnelle vers des travaux axés sur les résultats. L</w:t>
      </w:r>
      <w:r w:rsidR="0057315B">
        <w:t>’</w:t>
      </w:r>
      <w:r>
        <w:t>avantage</w:t>
      </w:r>
      <w:r w:rsidR="005B3B28">
        <w:t xml:space="preserve"> obtenu</w:t>
      </w:r>
      <w:r>
        <w:t xml:space="preserve"> serait un programme plus discipliné et axé sur les résultats. Toutefois, les mécanismes de </w:t>
      </w:r>
      <w:r w:rsidR="00E80479">
        <w:t>suppress</w:t>
      </w:r>
      <w:r>
        <w:t>ion peuvent être sensibles lorsque des questions non résolues ont trait à des préoccupations fondamentales en matière d</w:t>
      </w:r>
      <w:r w:rsidR="0057315B">
        <w:t>’</w:t>
      </w:r>
      <w:r>
        <w:t xml:space="preserve">équité ou de souveraineté, et leur application </w:t>
      </w:r>
      <w:r w:rsidR="005B3B28">
        <w:t>nécessite</w:t>
      </w:r>
      <w:r>
        <w:t xml:space="preserve"> des garanties procédurales claires pour s</w:t>
      </w:r>
      <w:r w:rsidR="0057315B">
        <w:t>’</w:t>
      </w:r>
      <w:r>
        <w:t xml:space="preserve">assurer que des questions de fond importantes ne sont pas </w:t>
      </w:r>
      <w:r w:rsidR="005B3B28">
        <w:t>supprimé</w:t>
      </w:r>
      <w:r>
        <w:t>es prématurément.</w:t>
      </w:r>
    </w:p>
    <w:p w14:paraId="486D02B4" w14:textId="77777777" w:rsidR="001C6CC7" w:rsidRDefault="00DC03D0">
      <w:pPr>
        <w:pStyle w:val="CBDH3"/>
      </w:pPr>
      <w:r>
        <w:t>2.</w:t>
      </w:r>
      <w:r>
        <w:tab/>
        <w:t>Options concernant la facilitation, la formation et la conduite des réunions</w:t>
      </w:r>
    </w:p>
    <w:p w14:paraId="190D7C39" w14:textId="6FC48F50" w:rsidR="001C6CC7" w:rsidRDefault="00DC03D0">
      <w:pPr>
        <w:pStyle w:val="CBDH4"/>
      </w:pPr>
      <w:r>
        <w:t>a)</w:t>
      </w:r>
      <w:r>
        <w:tab/>
      </w:r>
      <w:bookmarkStart w:id="5" w:name="_Hlk216082732"/>
      <w:r w:rsidR="00237695">
        <w:t>Communicat</w:t>
      </w:r>
      <w:r>
        <w:t>ions</w:t>
      </w:r>
      <w:bookmarkEnd w:id="5"/>
    </w:p>
    <w:p w14:paraId="35635F77" w14:textId="77777777" w:rsidR="001C6CC7" w:rsidRDefault="00DC03D0">
      <w:pPr>
        <w:pStyle w:val="CBDNormalNumber"/>
      </w:pPr>
      <w:r>
        <w:t xml:space="preserve">Sous ce thème, les suggestions des auteurs des communications comprenaient les éléments suivants : </w:t>
      </w:r>
    </w:p>
    <w:p w14:paraId="40521A05" w14:textId="5EB48829" w:rsidR="001C6CC7" w:rsidRDefault="00DC03D0">
      <w:pPr>
        <w:pStyle w:val="CBDNormalNumber"/>
        <w:numPr>
          <w:ilvl w:val="1"/>
          <w:numId w:val="7"/>
        </w:numPr>
      </w:pPr>
      <w:r>
        <w:t>Une Partie a suggéré d</w:t>
      </w:r>
      <w:r w:rsidR="0057315B">
        <w:t>’</w:t>
      </w:r>
      <w:r>
        <w:t>expérimenter l</w:t>
      </w:r>
      <w:r w:rsidR="00425014">
        <w:t>e recours</w:t>
      </w:r>
      <w:r>
        <w:t xml:space="preserve"> </w:t>
      </w:r>
      <w:r w:rsidR="00425014">
        <w:t xml:space="preserve">à </w:t>
      </w:r>
      <w:r>
        <w:t xml:space="preserve">des facilitateurs professionnels, </w:t>
      </w:r>
      <w:r w:rsidR="00425014">
        <w:t>selon qu’il convient</w:t>
      </w:r>
      <w:r>
        <w:t xml:space="preserve">, </w:t>
      </w:r>
      <w:r w:rsidR="00425014">
        <w:t>afin d’</w:t>
      </w:r>
      <w:r>
        <w:t xml:space="preserve">aider les présidents à gérer </w:t>
      </w:r>
      <w:r w:rsidR="005272C5">
        <w:t>l</w:t>
      </w:r>
      <w:r>
        <w:t>es d</w:t>
      </w:r>
      <w:r w:rsidR="005272C5">
        <w:t>ébat</w:t>
      </w:r>
      <w:r>
        <w:t>s complexes ou sensibles</w:t>
      </w:r>
      <w:r w:rsidR="00BF2CE6">
        <w:t>;</w:t>
      </w:r>
      <w:r>
        <w:t xml:space="preserve"> </w:t>
      </w:r>
    </w:p>
    <w:p w14:paraId="28BCF7BA" w14:textId="4A7D625D" w:rsidR="001C6CC7" w:rsidRDefault="00DC03D0">
      <w:pPr>
        <w:pStyle w:val="CBDNormalNumber"/>
        <w:numPr>
          <w:ilvl w:val="1"/>
          <w:numId w:val="7"/>
        </w:numPr>
      </w:pPr>
      <w:r>
        <w:t>Un observateur a proposé d</w:t>
      </w:r>
      <w:r w:rsidR="0057315B">
        <w:t>’</w:t>
      </w:r>
      <w:r>
        <w:t xml:space="preserve">inclure des représentants </w:t>
      </w:r>
      <w:r w:rsidR="005272C5">
        <w:t xml:space="preserve">de peuples </w:t>
      </w:r>
      <w:r>
        <w:t xml:space="preserve">autochtones parmi les </w:t>
      </w:r>
      <w:r w:rsidR="00747EE5">
        <w:t>co</w:t>
      </w:r>
      <w:r>
        <w:t xml:space="preserve">facilitateurs potentiels pour les questions relatives aux </w:t>
      </w:r>
      <w:r w:rsidR="00237695">
        <w:t>connaissance</w:t>
      </w:r>
      <w:r>
        <w:t>s traditionnel</w:t>
      </w:r>
      <w:r w:rsidR="00237695">
        <w:t>le</w:t>
      </w:r>
      <w:r>
        <w:t>s, à l</w:t>
      </w:r>
      <w:r w:rsidR="0057315B">
        <w:t>’</w:t>
      </w:r>
      <w:r>
        <w:t>accès et au partage des avantages et aux questions relatives aux droits</w:t>
      </w:r>
      <w:r w:rsidR="00BF2CE6">
        <w:t>;</w:t>
      </w:r>
    </w:p>
    <w:p w14:paraId="7478601A" w14:textId="012F33E6" w:rsidR="001C6CC7" w:rsidRDefault="00DC03D0">
      <w:pPr>
        <w:pStyle w:val="CBDNormalNumber"/>
        <w:numPr>
          <w:ilvl w:val="1"/>
          <w:numId w:val="7"/>
        </w:numPr>
      </w:pPr>
      <w:r>
        <w:t xml:space="preserve">Une Partie a </w:t>
      </w:r>
      <w:r w:rsidR="005272C5">
        <w:t>indiqué la nécessité de fournir</w:t>
      </w:r>
      <w:r>
        <w:t xml:space="preserve"> d</w:t>
      </w:r>
      <w:r w:rsidR="005272C5">
        <w:t xml:space="preserve">es </w:t>
      </w:r>
      <w:r>
        <w:t>orientations cohérentes sur le moment et la manière d</w:t>
      </w:r>
      <w:r w:rsidR="0057315B">
        <w:t>’</w:t>
      </w:r>
      <w:r>
        <w:t>introduire un nouveau texte, sur l</w:t>
      </w:r>
      <w:r w:rsidR="0057315B">
        <w:t>’</w:t>
      </w:r>
      <w:r>
        <w:t>utilisation du texte à l</w:t>
      </w:r>
      <w:r w:rsidR="0057315B">
        <w:t>’</w:t>
      </w:r>
      <w:r>
        <w:t>écran dans les salles et sur l</w:t>
      </w:r>
      <w:r w:rsidR="0057315B">
        <w:t>’</w:t>
      </w:r>
      <w:r>
        <w:t xml:space="preserve">équilibre </w:t>
      </w:r>
      <w:r w:rsidR="005272C5">
        <w:t xml:space="preserve">à trouver </w:t>
      </w:r>
      <w:r>
        <w:t xml:space="preserve">entre le texte élaboré par </w:t>
      </w:r>
      <w:r w:rsidR="005272C5">
        <w:t xml:space="preserve">une </w:t>
      </w:r>
      <w:r>
        <w:t>Partie et les projets</w:t>
      </w:r>
      <w:r w:rsidR="005272C5">
        <w:t xml:space="preserve"> de texte</w:t>
      </w:r>
      <w:r>
        <w:t xml:space="preserve"> préparés par le </w:t>
      </w:r>
      <w:r w:rsidR="00237695">
        <w:t>S</w:t>
      </w:r>
      <w:r>
        <w:t>ecrétariat</w:t>
      </w:r>
      <w:r w:rsidR="00BF2CE6">
        <w:t>;</w:t>
      </w:r>
    </w:p>
    <w:p w14:paraId="490BB4DD" w14:textId="5644309A" w:rsidR="001C6CC7" w:rsidRDefault="00DC03D0">
      <w:pPr>
        <w:pStyle w:val="CBDNormalNumber"/>
        <w:numPr>
          <w:ilvl w:val="1"/>
          <w:numId w:val="7"/>
        </w:numPr>
      </w:pPr>
      <w:r>
        <w:t>Une Partie a estimé que demander aux Parties de produire un texte de décision à partir de zéro risquait d</w:t>
      </w:r>
      <w:r w:rsidR="0057315B">
        <w:t>’</w:t>
      </w:r>
      <w:r>
        <w:t>allonger les processus</w:t>
      </w:r>
      <w:r w:rsidR="005272C5">
        <w:t xml:space="preserve">, et préconisait d’utiliser </w:t>
      </w:r>
      <w:r>
        <w:t xml:space="preserve">des projets </w:t>
      </w:r>
      <w:r w:rsidR="005272C5">
        <w:t xml:space="preserve">de texte </w:t>
      </w:r>
      <w:r>
        <w:t>d</w:t>
      </w:r>
      <w:r w:rsidR="005272C5">
        <w:t>u</w:t>
      </w:r>
      <w:r>
        <w:t xml:space="preserve"> </w:t>
      </w:r>
      <w:r w:rsidR="005272C5">
        <w:t>S</w:t>
      </w:r>
      <w:r>
        <w:t>ecrétariat élaborés à partir de contributions</w:t>
      </w:r>
      <w:r w:rsidR="005272C5">
        <w:t xml:space="preserve"> initiales</w:t>
      </w:r>
      <w:r>
        <w:t xml:space="preserve"> des Parties.</w:t>
      </w:r>
    </w:p>
    <w:p w14:paraId="61266005" w14:textId="77777777" w:rsidR="001C6CC7" w:rsidRDefault="00DC03D0">
      <w:pPr>
        <w:pStyle w:val="CBDH4"/>
      </w:pPr>
      <w:bookmarkStart w:id="6" w:name="_Hlk216082830"/>
      <w:r>
        <w:t>b)</w:t>
      </w:r>
      <w:r>
        <w:tab/>
        <w:t>Considérations</w:t>
      </w:r>
      <w:bookmarkEnd w:id="6"/>
    </w:p>
    <w:p w14:paraId="183E8293" w14:textId="13C5DEBF" w:rsidR="001C6CC7" w:rsidRDefault="00DC03D0">
      <w:pPr>
        <w:pStyle w:val="CBDNormalNumber"/>
      </w:pPr>
      <w:r>
        <w:t>Les propositions ci-dessus reflètent la nécessité d</w:t>
      </w:r>
      <w:r w:rsidR="0057315B">
        <w:t>’</w:t>
      </w:r>
      <w:r>
        <w:t>améliorer la prévisibilité et la qualité de la conduite des réunions. La suggestion d</w:t>
      </w:r>
      <w:r w:rsidR="0057315B">
        <w:t>’</w:t>
      </w:r>
      <w:r>
        <w:t>expérimenter le recours à des facilitateurs professionnels indique un intérêt pour l</w:t>
      </w:r>
      <w:r w:rsidR="0057315B">
        <w:t>’</w:t>
      </w:r>
      <w:r>
        <w:t>introduction d</w:t>
      </w:r>
      <w:r w:rsidR="00237695">
        <w:t>e compétences</w:t>
      </w:r>
      <w:r>
        <w:t xml:space="preserve"> spécialisée</w:t>
      </w:r>
      <w:r w:rsidR="00237695">
        <w:t>s</w:t>
      </w:r>
      <w:r>
        <w:t>, bien qu</w:t>
      </w:r>
      <w:r w:rsidR="0057315B">
        <w:t>’</w:t>
      </w:r>
      <w:r>
        <w:t xml:space="preserve">une telle approche puisse entraîner des coûts financiers, des </w:t>
      </w:r>
      <w:r w:rsidR="005272C5">
        <w:t xml:space="preserve">problèmes de </w:t>
      </w:r>
      <w:r>
        <w:t xml:space="preserve">mandat et </w:t>
      </w:r>
      <w:r w:rsidR="005272C5">
        <w:t>de</w:t>
      </w:r>
      <w:r>
        <w:t xml:space="preserve"> neutralité, et la nécessité de veiller à ce que la facilitation reste sous la supervision des Parties. Les divergences de vues sur la question de savoir si les Parties ou le Secrétariat devraient élaborer un </w:t>
      </w:r>
      <w:r w:rsidR="005272C5">
        <w:t xml:space="preserve">premier </w:t>
      </w:r>
      <w:r>
        <w:t>projet de texte suggèrent des conceptions divergentes de l</w:t>
      </w:r>
      <w:r w:rsidR="0057315B">
        <w:t>’</w:t>
      </w:r>
      <w:r>
        <w:t>efficacité et de l</w:t>
      </w:r>
      <w:r w:rsidR="0057315B">
        <w:t>’</w:t>
      </w:r>
      <w:r>
        <w:t xml:space="preserve">appropriation. Des orientations plus précises sur </w:t>
      </w:r>
      <w:r>
        <w:lastRenderedPageBreak/>
        <w:t>l</w:t>
      </w:r>
      <w:r w:rsidR="0057315B">
        <w:t>’</w:t>
      </w:r>
      <w:r>
        <w:t>introduction de nouveaux textes et l</w:t>
      </w:r>
      <w:r w:rsidR="0057315B">
        <w:t>’</w:t>
      </w:r>
      <w:r>
        <w:t>utilisation d</w:t>
      </w:r>
      <w:r w:rsidR="0057315B">
        <w:t>’</w:t>
      </w:r>
      <w:r>
        <w:t>outils à l</w:t>
      </w:r>
      <w:r w:rsidR="0057315B">
        <w:t>’</w:t>
      </w:r>
      <w:r>
        <w:t>écran pourraient améliorer la cohérence, mais pourraient également nécessiter des investissements dans la formation et la technologie.</w:t>
      </w:r>
    </w:p>
    <w:p w14:paraId="31240451" w14:textId="48E84E69" w:rsidR="001C6CC7" w:rsidRDefault="00DC03D0">
      <w:pPr>
        <w:pStyle w:val="CBDH3"/>
      </w:pPr>
      <w:r>
        <w:t>3.</w:t>
      </w:r>
      <w:r>
        <w:tab/>
        <w:t xml:space="preserve">Options </w:t>
      </w:r>
      <w:r w:rsidR="00EA0C2E">
        <w:t>concernant la</w:t>
      </w:r>
      <w:r>
        <w:t xml:space="preserve"> participation et </w:t>
      </w:r>
      <w:r w:rsidR="00EA0C2E">
        <w:t>l</w:t>
      </w:r>
      <w:r w:rsidR="0057315B">
        <w:t>’</w:t>
      </w:r>
      <w:r>
        <w:t>inclusion</w:t>
      </w:r>
    </w:p>
    <w:p w14:paraId="4DC652C5" w14:textId="1E7197E9" w:rsidR="001C6CC7" w:rsidRDefault="00DC03D0">
      <w:pPr>
        <w:pStyle w:val="CBDH4"/>
      </w:pPr>
      <w:r>
        <w:t>a)</w:t>
      </w:r>
      <w:r>
        <w:tab/>
      </w:r>
      <w:r w:rsidR="00237695">
        <w:t>Communicat</w:t>
      </w:r>
      <w:r>
        <w:t>ions</w:t>
      </w:r>
    </w:p>
    <w:p w14:paraId="4C622403" w14:textId="1765243D" w:rsidR="001C6CC7" w:rsidRDefault="00DC03D0">
      <w:pPr>
        <w:pStyle w:val="CBDNormalNumber"/>
      </w:pPr>
      <w:r>
        <w:t xml:space="preserve">Les questions mises en </w:t>
      </w:r>
      <w:r w:rsidR="005272C5">
        <w:t>exergue</w:t>
      </w:r>
      <w:r>
        <w:t xml:space="preserve"> par les auteurs des communications étaient notamment les suivantes : </w:t>
      </w:r>
    </w:p>
    <w:p w14:paraId="6C0C55C3" w14:textId="78B7A9BA" w:rsidR="001C6CC7" w:rsidRDefault="00DC03D0">
      <w:pPr>
        <w:pStyle w:val="CBDNormalNumber"/>
        <w:numPr>
          <w:ilvl w:val="1"/>
          <w:numId w:val="7"/>
        </w:numPr>
      </w:pPr>
      <w:r>
        <w:t>Une Partie a proposé de renforcer l</w:t>
      </w:r>
      <w:r w:rsidR="0057315B">
        <w:t>’</w:t>
      </w:r>
      <w:r>
        <w:t>appui financier et logistique aux pays en développement, aux pays les moins avancés</w:t>
      </w:r>
      <w:r w:rsidR="00237695">
        <w:t xml:space="preserve"> et</w:t>
      </w:r>
      <w:r>
        <w:t xml:space="preserve"> aux peuples autochtones et communautés locales, notamment en simplifiant le processus d</w:t>
      </w:r>
      <w:r w:rsidR="0057315B">
        <w:t>’</w:t>
      </w:r>
      <w:r>
        <w:t>accréditation des réunions et en fournissant une assistance ciblée, en tenant compte du fait que l</w:t>
      </w:r>
      <w:r w:rsidR="0057315B">
        <w:t>’</w:t>
      </w:r>
      <w:r>
        <w:t>inclusion est un élément essentiel de l</w:t>
      </w:r>
      <w:r w:rsidR="0057315B">
        <w:t>’</w:t>
      </w:r>
      <w:r>
        <w:t>efficacité</w:t>
      </w:r>
      <w:r w:rsidR="00BF2CE6">
        <w:t>;</w:t>
      </w:r>
    </w:p>
    <w:p w14:paraId="30430F67" w14:textId="2457B290" w:rsidR="001C6CC7" w:rsidRDefault="00DC03D0">
      <w:pPr>
        <w:pStyle w:val="CBDNormalNumber"/>
        <w:numPr>
          <w:ilvl w:val="1"/>
          <w:numId w:val="7"/>
        </w:numPr>
      </w:pPr>
      <w:r>
        <w:t>Un observateur a suggéré qu</w:t>
      </w:r>
      <w:r w:rsidR="0057315B">
        <w:t>’</w:t>
      </w:r>
      <w:r>
        <w:t xml:space="preserve">il devrait y avoir un engagement significatif au-delà de la participation, y compris des droits de parole pour les représentants des peuples autochtones et communautés locales dans les groupes de contact </w:t>
      </w:r>
      <w:r w:rsidR="00237695">
        <w:t>concerné</w:t>
      </w:r>
      <w:r>
        <w:t>s</w:t>
      </w:r>
      <w:r w:rsidR="00BF2CE6">
        <w:t>;</w:t>
      </w:r>
    </w:p>
    <w:p w14:paraId="17B2BC1C" w14:textId="1F9C4C3D" w:rsidR="001C6CC7" w:rsidRDefault="00DC03D0">
      <w:pPr>
        <w:pStyle w:val="CBDNormalNumber"/>
        <w:numPr>
          <w:ilvl w:val="1"/>
          <w:numId w:val="7"/>
        </w:numPr>
      </w:pPr>
      <w:r>
        <w:t xml:space="preserve">Un observateur a également suggéré que le Secrétariat </w:t>
      </w:r>
      <w:r>
        <w:rPr>
          <w:rStyle w:val="None"/>
        </w:rPr>
        <w:t>tienne des</w:t>
      </w:r>
      <w:r>
        <w:t xml:space="preserve"> réunions d</w:t>
      </w:r>
      <w:r w:rsidR="0057315B">
        <w:t>’</w:t>
      </w:r>
      <w:r>
        <w:t>information préalables avec les groupes autochtones avant les réunions des organes directeurs et des organes subsidiaires</w:t>
      </w:r>
      <w:r w:rsidR="00BB7A7F">
        <w:t>,</w:t>
      </w:r>
      <w:r>
        <w:t xml:space="preserve"> et que du temps soit alloué </w:t>
      </w:r>
      <w:r w:rsidR="001912F1">
        <w:t>aux</w:t>
      </w:r>
      <w:r>
        <w:t xml:space="preserve"> consultations des groupes</w:t>
      </w:r>
      <w:r w:rsidR="005272C5">
        <w:t xml:space="preserve"> autochtones</w:t>
      </w:r>
      <w:r w:rsidR="001912F1">
        <w:t xml:space="preserve"> dans les ordres du jour</w:t>
      </w:r>
      <w:r w:rsidR="00BF2CE6">
        <w:t>;</w:t>
      </w:r>
    </w:p>
    <w:p w14:paraId="3EE741E8" w14:textId="5C7B1CE8" w:rsidR="001C6CC7" w:rsidRDefault="00DC03D0">
      <w:pPr>
        <w:pStyle w:val="CBDNormalNumber"/>
        <w:numPr>
          <w:ilvl w:val="1"/>
          <w:numId w:val="7"/>
        </w:numPr>
      </w:pPr>
      <w:r>
        <w:t>Une Partie a noté que l</w:t>
      </w:r>
      <w:r w:rsidR="0057315B">
        <w:t>’</w:t>
      </w:r>
      <w:r>
        <w:t xml:space="preserve">efficacité ne devait pas seulement être </w:t>
      </w:r>
      <w:r w:rsidR="00BB7A7F">
        <w:t>définie</w:t>
      </w:r>
      <w:r>
        <w:t xml:space="preserve"> en termes d</w:t>
      </w:r>
      <w:r w:rsidR="0057315B">
        <w:t>’</w:t>
      </w:r>
      <w:r>
        <w:t>efficience</w:t>
      </w:r>
      <w:r w:rsidR="00BB7A7F">
        <w:t>,</w:t>
      </w:r>
      <w:r>
        <w:t xml:space="preserve"> mais aussi en termes de justice et d</w:t>
      </w:r>
      <w:r w:rsidR="0057315B">
        <w:t>’</w:t>
      </w:r>
      <w:r>
        <w:t>équité</w:t>
      </w:r>
      <w:r w:rsidR="00BF2CE6">
        <w:t>;</w:t>
      </w:r>
    </w:p>
    <w:p w14:paraId="48D842EA" w14:textId="3D62A655" w:rsidR="001C6CC7" w:rsidRDefault="00DC03D0">
      <w:pPr>
        <w:pStyle w:val="CBDNormalNumber"/>
        <w:numPr>
          <w:ilvl w:val="1"/>
          <w:numId w:val="7"/>
        </w:numPr>
      </w:pPr>
      <w:r>
        <w:t>Un observateur a indiqué que l</w:t>
      </w:r>
      <w:r w:rsidR="0057315B">
        <w:t>’</w:t>
      </w:r>
      <w:r>
        <w:t>efficacité devait aussi englober le respect des systèmes de prise de décisions autochtones.</w:t>
      </w:r>
    </w:p>
    <w:p w14:paraId="2B8BD87C" w14:textId="77777777" w:rsidR="001C6CC7" w:rsidRDefault="00DC03D0">
      <w:pPr>
        <w:pStyle w:val="CBDH4"/>
      </w:pPr>
      <w:r>
        <w:t>b)</w:t>
      </w:r>
      <w:r>
        <w:tab/>
        <w:t>Considérations</w:t>
      </w:r>
    </w:p>
    <w:p w14:paraId="2EFCDFD8" w14:textId="29C96059" w:rsidR="001C6CC7" w:rsidRDefault="00DC03D0">
      <w:pPr>
        <w:pStyle w:val="CBDNormalNumber"/>
      </w:pPr>
      <w:r>
        <w:t xml:space="preserve">Les </w:t>
      </w:r>
      <w:r w:rsidR="001912F1">
        <w:t>communica</w:t>
      </w:r>
      <w:r>
        <w:t>tions indiquent qu</w:t>
      </w:r>
      <w:r w:rsidR="001912F1">
        <w:t>’une</w:t>
      </w:r>
      <w:r>
        <w:t xml:space="preserve"> participation effective est </w:t>
      </w:r>
      <w:r w:rsidR="001912F1">
        <w:t>subordonnée</w:t>
      </w:r>
      <w:r>
        <w:t xml:space="preserve"> non seulement </w:t>
      </w:r>
      <w:r w:rsidR="001912F1">
        <w:t>à</w:t>
      </w:r>
      <w:r>
        <w:t xml:space="preserve"> la présence physique, mais aussi </w:t>
      </w:r>
      <w:r w:rsidR="001912F1">
        <w:t>à</w:t>
      </w:r>
      <w:r>
        <w:t xml:space="preserve"> la capacité de</w:t>
      </w:r>
      <w:r w:rsidR="00FB6E1F">
        <w:t xml:space="preserve"> contribuer de manière significative</w:t>
      </w:r>
      <w:r>
        <w:t>. Les demandes de renforcement de l</w:t>
      </w:r>
      <w:r w:rsidR="0057315B">
        <w:t>’</w:t>
      </w:r>
      <w:r>
        <w:t>appui financier et logistique tiennent compte des obstacles structurels persistants qui peuvent toucher de manière disp</w:t>
      </w:r>
      <w:r w:rsidR="00237695">
        <w:t>r</w:t>
      </w:r>
      <w:r>
        <w:t>oportionnée les pays en développement, les pays les moins avancés</w:t>
      </w:r>
      <w:r w:rsidR="00237695">
        <w:t xml:space="preserve"> et </w:t>
      </w:r>
      <w:r>
        <w:t>les peuples autochtones et communautés locales. Les propositions relatives au temps consacré à la coordination des groupes et aux réunions d</w:t>
      </w:r>
      <w:r w:rsidR="0057315B">
        <w:t>’</w:t>
      </w:r>
      <w:r>
        <w:t xml:space="preserve">information </w:t>
      </w:r>
      <w:r w:rsidR="00FB6E1F">
        <w:t>préalables</w:t>
      </w:r>
      <w:r>
        <w:t xml:space="preserve"> pourraient alourdir la charge de travail préparatoire du Secrétariat et nécessiter</w:t>
      </w:r>
      <w:r w:rsidR="00FB6E1F">
        <w:t>aie</w:t>
      </w:r>
      <w:r>
        <w:t>nt un calendrier précis pour éviter d</w:t>
      </w:r>
      <w:r w:rsidR="0057315B">
        <w:t>’</w:t>
      </w:r>
      <w:r>
        <w:t>alourdir la charge de travail des petites délégations. Le renforcement de l</w:t>
      </w:r>
      <w:r w:rsidR="0057315B">
        <w:t>’</w:t>
      </w:r>
      <w:r>
        <w:t xml:space="preserve">inclusivité semble donc impliquer à la fois des améliorations opérationnelles et des considérations plus larges de représentation, de structures de soutien et de culture de négociation. En particulier, une culture de négociation inclusive </w:t>
      </w:r>
      <w:r w:rsidR="00FB6E1F">
        <w:t xml:space="preserve">nécessite d’exercer </w:t>
      </w:r>
      <w:r>
        <w:t xml:space="preserve">une discipline appropriée dans la conduite de la réunion et </w:t>
      </w:r>
      <w:r w:rsidR="00FB6E1F">
        <w:t xml:space="preserve">de garantir </w:t>
      </w:r>
      <w:r>
        <w:t xml:space="preserve">le strict respect des limites de temps de parole. </w:t>
      </w:r>
      <w:r w:rsidR="00FB6E1F">
        <w:t>Bien qu’</w:t>
      </w:r>
      <w:r>
        <w:t xml:space="preserve">essentielles à la légitimité, </w:t>
      </w:r>
      <w:r w:rsidR="00FB6E1F">
        <w:t xml:space="preserve">ces questions </w:t>
      </w:r>
      <w:r>
        <w:t>peuvent nécessiter une attention et des ressources constantes pendant de multiples périodes intersessions.</w:t>
      </w:r>
    </w:p>
    <w:p w14:paraId="3624304B" w14:textId="07F7810B" w:rsidR="001C6CC7" w:rsidRDefault="00DC03D0">
      <w:pPr>
        <w:pStyle w:val="CBDH3"/>
      </w:pPr>
      <w:r>
        <w:t>4.</w:t>
      </w:r>
      <w:r>
        <w:tab/>
        <w:t>Options concernant l</w:t>
      </w:r>
      <w:r w:rsidR="0057315B">
        <w:t>’</w:t>
      </w:r>
      <w:r>
        <w:t>utilisation de la technologie et l</w:t>
      </w:r>
      <w:r w:rsidR="0057315B">
        <w:t>’</w:t>
      </w:r>
      <w:r>
        <w:t>innovation</w:t>
      </w:r>
    </w:p>
    <w:p w14:paraId="255D8A62" w14:textId="70445FD7" w:rsidR="001C6CC7" w:rsidRDefault="00DC03D0">
      <w:pPr>
        <w:pStyle w:val="CBDH4"/>
      </w:pPr>
      <w:r>
        <w:t>a)</w:t>
      </w:r>
      <w:r>
        <w:tab/>
      </w:r>
      <w:r w:rsidR="00237695">
        <w:t>Communicat</w:t>
      </w:r>
      <w:r>
        <w:t>ions</w:t>
      </w:r>
    </w:p>
    <w:p w14:paraId="1092A2FA" w14:textId="5631F68F" w:rsidR="001C6CC7" w:rsidRDefault="00DC03D0">
      <w:pPr>
        <w:pStyle w:val="CBDNormalNumber"/>
      </w:pPr>
      <w:r>
        <w:t>Parmi les améliorations proposées par les auteurs, mentionn</w:t>
      </w:r>
      <w:r w:rsidR="00EA0C2E">
        <w:t>ons</w:t>
      </w:r>
      <w:r>
        <w:t xml:space="preserve"> les suivantes : </w:t>
      </w:r>
    </w:p>
    <w:p w14:paraId="64830E56" w14:textId="697BE4ED" w:rsidR="001C6CC7" w:rsidRDefault="00DC03D0">
      <w:pPr>
        <w:pStyle w:val="CBDNormalNumber"/>
        <w:numPr>
          <w:ilvl w:val="1"/>
          <w:numId w:val="7"/>
        </w:numPr>
      </w:pPr>
      <w:r>
        <w:t>Une Partie et un observateur ont proposé d</w:t>
      </w:r>
      <w:r w:rsidR="00625749">
        <w:t>’expérimenter</w:t>
      </w:r>
      <w:r>
        <w:t xml:space="preserve"> des outils </w:t>
      </w:r>
      <w:r w:rsidR="00625749">
        <w:t xml:space="preserve">de texte </w:t>
      </w:r>
      <w:r>
        <w:t>collaboratifs en ligne, des systèmes électroniques sécurisés pour le dépôt des propositions de texte, des sondages en temps réel et d</w:t>
      </w:r>
      <w:r w:rsidR="0057315B">
        <w:t>’</w:t>
      </w:r>
      <w:r>
        <w:t>autres technologies de l</w:t>
      </w:r>
      <w:r w:rsidR="0057315B">
        <w:t>’</w:t>
      </w:r>
      <w:r>
        <w:t>information et de communication, garantissant l</w:t>
      </w:r>
      <w:r w:rsidR="0057315B">
        <w:t>’</w:t>
      </w:r>
      <w:r>
        <w:t>égalité d</w:t>
      </w:r>
      <w:r w:rsidR="0057315B">
        <w:t>’</w:t>
      </w:r>
      <w:r>
        <w:t>accès, la sécurité et la confidentialité,</w:t>
      </w:r>
      <w:r w:rsidR="00625749">
        <w:t xml:space="preserve"> y compris</w:t>
      </w:r>
      <w:r>
        <w:t xml:space="preserve"> des tests inclusifs impliquant des utilisateurs des peuples autochtones et communautés locales</w:t>
      </w:r>
      <w:r w:rsidR="00237695">
        <w:t>;</w:t>
      </w:r>
    </w:p>
    <w:p w14:paraId="12C9D7F4" w14:textId="15F86693" w:rsidR="001C6CC7" w:rsidRDefault="00DC03D0">
      <w:pPr>
        <w:pStyle w:val="CBDNormalNumber"/>
        <w:numPr>
          <w:ilvl w:val="1"/>
          <w:numId w:val="7"/>
        </w:numPr>
      </w:pPr>
      <w:r>
        <w:t xml:space="preserve">Une Partie a recommandé de télécharger systématiquement les communications et la correspondance officielle </w:t>
      </w:r>
      <w:r w:rsidR="00237695">
        <w:t>dans le</w:t>
      </w:r>
      <w:r>
        <w:t xml:space="preserve"> Centre d</w:t>
      </w:r>
      <w:r w:rsidR="0057315B">
        <w:t>’</w:t>
      </w:r>
      <w:r>
        <w:t xml:space="preserve">échange sur la prévention des risques biotechnologiques </w:t>
      </w:r>
      <w:r>
        <w:lastRenderedPageBreak/>
        <w:t xml:space="preserve">et </w:t>
      </w:r>
      <w:r w:rsidR="00237695">
        <w:t>le</w:t>
      </w:r>
      <w:r>
        <w:t xml:space="preserve"> Centre d</w:t>
      </w:r>
      <w:r w:rsidR="0057315B">
        <w:t>’</w:t>
      </w:r>
      <w:r>
        <w:t>échange sur l</w:t>
      </w:r>
      <w:r w:rsidR="0057315B">
        <w:t>’</w:t>
      </w:r>
      <w:r>
        <w:t>accès et le partage des avantages</w:t>
      </w:r>
      <w:r w:rsidR="00625749">
        <w:t>,</w:t>
      </w:r>
      <w:r>
        <w:t xml:space="preserve"> afin d</w:t>
      </w:r>
      <w:r w:rsidR="0057315B">
        <w:t>’</w:t>
      </w:r>
      <w:r>
        <w:t>améliorer la transparence et de réduire les inégalités d</w:t>
      </w:r>
      <w:r w:rsidR="0057315B">
        <w:t>’</w:t>
      </w:r>
      <w:r>
        <w:t>accès à l</w:t>
      </w:r>
      <w:r w:rsidR="0057315B">
        <w:t>’</w:t>
      </w:r>
      <w:r>
        <w:t>information</w:t>
      </w:r>
      <w:r w:rsidR="00237695">
        <w:t>;</w:t>
      </w:r>
    </w:p>
    <w:p w14:paraId="646E75E5" w14:textId="78FAF3B8" w:rsidR="001C6CC7" w:rsidRDefault="00DC03D0">
      <w:pPr>
        <w:pStyle w:val="CBDNormalNumber"/>
        <w:numPr>
          <w:ilvl w:val="1"/>
          <w:numId w:val="7"/>
        </w:numPr>
      </w:pPr>
      <w:r>
        <w:t>Un observateur a suggéré d</w:t>
      </w:r>
      <w:r w:rsidR="0057315B">
        <w:t>’</w:t>
      </w:r>
      <w:r>
        <w:t>apporter d</w:t>
      </w:r>
      <w:r w:rsidR="0057315B">
        <w:t>’</w:t>
      </w:r>
      <w:r>
        <w:t>autres améliorations à l</w:t>
      </w:r>
      <w:r w:rsidR="0057315B">
        <w:t>’</w:t>
      </w:r>
      <w:r>
        <w:t>outil de suivi des décisions et aux fonctions de recherche interne.</w:t>
      </w:r>
    </w:p>
    <w:p w14:paraId="7CADAC40" w14:textId="77777777" w:rsidR="001C6CC7" w:rsidRDefault="00DC03D0">
      <w:pPr>
        <w:pStyle w:val="CBDH4"/>
      </w:pPr>
      <w:r>
        <w:t>b)</w:t>
      </w:r>
      <w:r>
        <w:tab/>
        <w:t>Considérations</w:t>
      </w:r>
    </w:p>
    <w:p w14:paraId="2DB62031" w14:textId="16EE6920" w:rsidR="001C6CC7" w:rsidRDefault="00DC03D0">
      <w:pPr>
        <w:pStyle w:val="CBDNormalNumber"/>
      </w:pPr>
      <w:r>
        <w:t>Les communications ci-dessus témoignent d</w:t>
      </w:r>
      <w:r w:rsidR="0057315B">
        <w:t>’</w:t>
      </w:r>
      <w:r>
        <w:t>un intérêt considérable pour l</w:t>
      </w:r>
      <w:r w:rsidR="0057315B">
        <w:t>’</w:t>
      </w:r>
      <w:r>
        <w:t>utilisation d</w:t>
      </w:r>
      <w:r w:rsidR="0057315B">
        <w:t>’</w:t>
      </w:r>
      <w:r>
        <w:t>outils numériques afin d</w:t>
      </w:r>
      <w:r w:rsidR="0057315B">
        <w:t>’</w:t>
      </w:r>
      <w:r>
        <w:t>améliorer l</w:t>
      </w:r>
      <w:r w:rsidR="0057315B">
        <w:t>’</w:t>
      </w:r>
      <w:r>
        <w:t xml:space="preserve">efficacité et la transparence, mais mettent également en évidence une capacité inégale à bénéficier de ces innovations. Bien que des outils de texte collaboratifs en ligne, des systèmes de </w:t>
      </w:r>
      <w:r w:rsidR="00237695">
        <w:t>communication en ligne</w:t>
      </w:r>
      <w:r>
        <w:t xml:space="preserve"> sécurisés et des sondages en temps réel puissent réduire le temps de séance plénière et améliorer la clarté, leur utilisation efficace dépend d</w:t>
      </w:r>
      <w:r w:rsidR="0057315B">
        <w:t>’</w:t>
      </w:r>
      <w:r>
        <w:t>une connectivité stable, d</w:t>
      </w:r>
      <w:r w:rsidR="0057315B">
        <w:t>’</w:t>
      </w:r>
      <w:r w:rsidR="00625749">
        <w:t xml:space="preserve">un </w:t>
      </w:r>
      <w:r>
        <w:t xml:space="preserve">accès aux </w:t>
      </w:r>
      <w:r w:rsidR="00625749">
        <w:t>équipement</w:t>
      </w:r>
      <w:r>
        <w:t xml:space="preserve">s et de la culture numérique des participants. Pour garantir la confidentialité et la sécurité des données, il peut également </w:t>
      </w:r>
      <w:r w:rsidR="00625749">
        <w:t>s’avérer</w:t>
      </w:r>
      <w:r>
        <w:t xml:space="preserve"> nécessaire d</w:t>
      </w:r>
      <w:r w:rsidR="0057315B">
        <w:t>’</w:t>
      </w:r>
      <w:r>
        <w:t>investir dans des plateformes spécialisées</w:t>
      </w:r>
      <w:r w:rsidR="00625749">
        <w:t>,</w:t>
      </w:r>
      <w:r>
        <w:t xml:space="preserve"> plutôt que de s</w:t>
      </w:r>
      <w:r w:rsidR="0057315B">
        <w:t>’</w:t>
      </w:r>
      <w:r>
        <w:t>appuyer sur des outils disponibles dans le commerce. L</w:t>
      </w:r>
      <w:r w:rsidR="0057315B">
        <w:t>’</w:t>
      </w:r>
      <w:r>
        <w:t xml:space="preserve">intérêt pour les solutions technologiques reflète donc des avantages potentiels, mais révèle également des disparités persistantes qui pourraient être exacerbées si les innovations sont adoptées sans mesures </w:t>
      </w:r>
      <w:r w:rsidR="00625749">
        <w:t>visant</w:t>
      </w:r>
      <w:r>
        <w:t xml:space="preserve"> à garantir un accès équitable et un soutien adéquat à tous les utilisateurs, y compris ceux de régions </w:t>
      </w:r>
      <w:r w:rsidR="00625749">
        <w:t>éloignée</w:t>
      </w:r>
      <w:r>
        <w:t>s ou des institutions disposant d</w:t>
      </w:r>
      <w:r w:rsidR="0057315B">
        <w:t>’</w:t>
      </w:r>
      <w:r>
        <w:t>une infrastructure numérique limitée.</w:t>
      </w:r>
    </w:p>
    <w:p w14:paraId="3EFDC4E7" w14:textId="77777777" w:rsidR="001C6CC7" w:rsidRDefault="00DC03D0">
      <w:pPr>
        <w:pStyle w:val="CBDH3"/>
      </w:pPr>
      <w:r>
        <w:t>5.</w:t>
      </w:r>
      <w:r>
        <w:tab/>
        <w:t>Options concernant la coordination institutionnelle et les mécanismes de suivi</w:t>
      </w:r>
    </w:p>
    <w:p w14:paraId="2877A83D" w14:textId="1964A8F9" w:rsidR="001C6CC7" w:rsidRDefault="00DC03D0">
      <w:pPr>
        <w:pStyle w:val="CBDH4"/>
      </w:pPr>
      <w:r>
        <w:t>a)</w:t>
      </w:r>
      <w:r>
        <w:tab/>
      </w:r>
      <w:r w:rsidR="00237695">
        <w:t>Communicati</w:t>
      </w:r>
      <w:r>
        <w:t>ons</w:t>
      </w:r>
    </w:p>
    <w:p w14:paraId="117DE93B" w14:textId="77777777" w:rsidR="001C6CC7" w:rsidRDefault="00DC03D0">
      <w:pPr>
        <w:pStyle w:val="CBDNormalNumber"/>
      </w:pPr>
      <w:r>
        <w:t xml:space="preserve">Les propositions des auteurs comprenaient les éléments suivants : </w:t>
      </w:r>
    </w:p>
    <w:p w14:paraId="26693156" w14:textId="58CDEEB5" w:rsidR="001C6CC7" w:rsidRDefault="00DC03D0">
      <w:pPr>
        <w:pStyle w:val="CBDNormalNumber"/>
        <w:numPr>
          <w:ilvl w:val="1"/>
          <w:numId w:val="7"/>
        </w:numPr>
      </w:pPr>
      <w:r>
        <w:t xml:space="preserve">Une Partie a proposé de renforcer la coordination entre les organes directeurs et les organes subsidiaires, notamment en regroupant les questions connexes et en créant des groupes de travail conjoints lorsque les mandats se recoupent, en particulier entre les Protocoles de </w:t>
      </w:r>
      <w:r w:rsidR="00F97AB6">
        <w:t>Cartagena</w:t>
      </w:r>
      <w:r>
        <w:t xml:space="preserve"> et de Nagoya</w:t>
      </w:r>
      <w:r w:rsidR="00F26F51">
        <w:t>;</w:t>
      </w:r>
    </w:p>
    <w:p w14:paraId="2C966CDC" w14:textId="3474EF51" w:rsidR="001C6CC7" w:rsidRDefault="00DC03D0">
      <w:pPr>
        <w:pStyle w:val="CBDNormalNumber"/>
        <w:numPr>
          <w:ilvl w:val="1"/>
          <w:numId w:val="7"/>
        </w:numPr>
      </w:pPr>
      <w:r>
        <w:t>Une Partie a estimé qu</w:t>
      </w:r>
      <w:r w:rsidR="0057315B">
        <w:t>’</w:t>
      </w:r>
      <w:r>
        <w:t>il était nécessaire d</w:t>
      </w:r>
      <w:r w:rsidR="00625749">
        <w:t>’avoir</w:t>
      </w:r>
      <w:r>
        <w:t xml:space="preserve"> des arrangements financiers prévisibles et équitables pour appuyer la participation régulière de tous les </w:t>
      </w:r>
      <w:r w:rsidR="00F26F51">
        <w:t>correspondants</w:t>
      </w:r>
      <w:r>
        <w:t xml:space="preserve"> de la Convention et des Protocoles, </w:t>
      </w:r>
      <w:r w:rsidR="00625749">
        <w:t xml:space="preserve">en </w:t>
      </w:r>
      <w:r>
        <w:t xml:space="preserve">notant que les différents lieux institutionnels pouvaient entraîner un accès inégal aux ressources. </w:t>
      </w:r>
      <w:r w:rsidR="00625749">
        <w:t>Cette</w:t>
      </w:r>
      <w:r>
        <w:t xml:space="preserve"> Partie a estimé que, sans un financement spécifique pour appuyer la participation, les compétences techniques requises pour les débats </w:t>
      </w:r>
      <w:r w:rsidR="00625749">
        <w:t xml:space="preserve">portant </w:t>
      </w:r>
      <w:r>
        <w:t xml:space="preserve">sur les questions relevant des organes respectifs pourraient faire défaut </w:t>
      </w:r>
      <w:r w:rsidR="00625749">
        <w:t>lors des</w:t>
      </w:r>
      <w:r>
        <w:t xml:space="preserve"> réunions </w:t>
      </w:r>
      <w:r w:rsidR="00F26F51">
        <w:t>concerné</w:t>
      </w:r>
      <w:r>
        <w:t xml:space="preserve">es. </w:t>
      </w:r>
      <w:r w:rsidR="00625749">
        <w:t>Cette</w:t>
      </w:r>
      <w:r>
        <w:t xml:space="preserve"> même Partie a noté que l</w:t>
      </w:r>
      <w:r w:rsidR="0057315B">
        <w:t>’</w:t>
      </w:r>
      <w:r>
        <w:t xml:space="preserve">approbation et la </w:t>
      </w:r>
      <w:r w:rsidR="00625749">
        <w:t>remise</w:t>
      </w:r>
      <w:r>
        <w:t xml:space="preserve"> en temps voulu des communications nationales posaient des problèmes et a </w:t>
      </w:r>
      <w:r>
        <w:rPr>
          <w:rStyle w:val="None"/>
        </w:rPr>
        <w:t xml:space="preserve">encouragé le </w:t>
      </w:r>
      <w:r>
        <w:t>Secrétariat à donner des orientations pragmatiques pour rationaliser la coordination nationale</w:t>
      </w:r>
      <w:r w:rsidR="00625749">
        <w:t>,</w:t>
      </w:r>
      <w:r>
        <w:t xml:space="preserve"> tout en respectant les délais</w:t>
      </w:r>
      <w:r w:rsidR="00625749">
        <w:t xml:space="preserve"> impartis</w:t>
      </w:r>
      <w:r w:rsidR="00F26F51">
        <w:rPr>
          <w:rStyle w:val="None"/>
        </w:rPr>
        <w:t>;</w:t>
      </w:r>
    </w:p>
    <w:p w14:paraId="21DB0BBD" w14:textId="556582B6" w:rsidR="001C6CC7" w:rsidRDefault="00DC03D0">
      <w:pPr>
        <w:pStyle w:val="CBDNormalNumber"/>
        <w:numPr>
          <w:ilvl w:val="1"/>
          <w:numId w:val="7"/>
        </w:numPr>
      </w:pPr>
      <w:r>
        <w:t>Un observateur a proposé de renforcer la gestion des conflits d</w:t>
      </w:r>
      <w:r w:rsidR="0057315B">
        <w:t>’</w:t>
      </w:r>
      <w:r>
        <w:t>intérêts</w:t>
      </w:r>
      <w:r w:rsidR="00F26F51">
        <w:t>,</w:t>
      </w:r>
      <w:r>
        <w:t xml:space="preserve"> conformément aux procédures existantes</w:t>
      </w:r>
      <w:r w:rsidR="00595FA9">
        <w:t>,</w:t>
      </w:r>
      <w:r>
        <w:t xml:space="preserve"> et d</w:t>
      </w:r>
      <w:r w:rsidR="0057315B">
        <w:t>’</w:t>
      </w:r>
      <w:r>
        <w:t>étendre la divulgation d</w:t>
      </w:r>
      <w:r w:rsidR="0057315B">
        <w:t>’</w:t>
      </w:r>
      <w:r>
        <w:t xml:space="preserve">informations par des experts </w:t>
      </w:r>
      <w:r w:rsidR="00595FA9">
        <w:t>afin de</w:t>
      </w:r>
      <w:r>
        <w:t xml:space="preserve"> couvrir les relations </w:t>
      </w:r>
      <w:r w:rsidR="00595FA9">
        <w:t>concernant les</w:t>
      </w:r>
      <w:r>
        <w:t xml:space="preserve"> droits des </w:t>
      </w:r>
      <w:r w:rsidR="00F26F51">
        <w:t xml:space="preserve">peuples </w:t>
      </w:r>
      <w:r>
        <w:t xml:space="preserve">autochtones, </w:t>
      </w:r>
      <w:r w:rsidR="00595FA9">
        <w:t xml:space="preserve">les </w:t>
      </w:r>
      <w:r>
        <w:t>connaissances traditionnelles et l</w:t>
      </w:r>
      <w:r w:rsidR="0057315B">
        <w:t>’</w:t>
      </w:r>
      <w:r>
        <w:t xml:space="preserve">information </w:t>
      </w:r>
      <w:r w:rsidR="00F26F51">
        <w:t xml:space="preserve">de </w:t>
      </w:r>
      <w:r>
        <w:t>séquen</w:t>
      </w:r>
      <w:r w:rsidR="00F26F51">
        <w:t>çage</w:t>
      </w:r>
      <w:r>
        <w:t xml:space="preserve"> numérique.</w:t>
      </w:r>
    </w:p>
    <w:p w14:paraId="6B5E2700" w14:textId="77777777" w:rsidR="001C6CC7" w:rsidRDefault="00DC03D0">
      <w:pPr>
        <w:pStyle w:val="CBDH4"/>
      </w:pPr>
      <w:r>
        <w:t>b)</w:t>
      </w:r>
      <w:r>
        <w:tab/>
        <w:t>Considérations</w:t>
      </w:r>
    </w:p>
    <w:p w14:paraId="160B26EF" w14:textId="1C53F901" w:rsidR="001C6CC7" w:rsidRDefault="00DC03D0">
      <w:pPr>
        <w:pStyle w:val="CBDNormalNumber"/>
      </w:pPr>
      <w:r>
        <w:t>Les auteurs ont relevé plusieurs problèmes structurels liés à la coordination, aux processus nationaux et à l</w:t>
      </w:r>
      <w:r w:rsidR="0057315B">
        <w:t>’</w:t>
      </w:r>
      <w:r>
        <w:t xml:space="preserve">intégrité de la </w:t>
      </w:r>
      <w:r w:rsidR="00595FA9">
        <w:t>collaboratio</w:t>
      </w:r>
      <w:r>
        <w:t>n des experts. Le renforcement d</w:t>
      </w:r>
      <w:r w:rsidR="0057315B">
        <w:t>’</w:t>
      </w:r>
      <w:r w:rsidR="00EB06E6">
        <w:t xml:space="preserve">un </w:t>
      </w:r>
      <w:r>
        <w:t xml:space="preserve">alignement entre les organes directeurs et les organes subsidiaires pourrait </w:t>
      </w:r>
      <w:r w:rsidR="00EB06E6">
        <w:t xml:space="preserve">permettre de </w:t>
      </w:r>
      <w:r>
        <w:t>réduire les doubles emplois, mais nécessiterait des mandats clairs, une communication soutenue entre les organes et une gestion prudente des points de l</w:t>
      </w:r>
      <w:r w:rsidR="0057315B">
        <w:t>’</w:t>
      </w:r>
      <w:r>
        <w:t xml:space="preserve">ordre du jour </w:t>
      </w:r>
      <w:r w:rsidR="00EB06E6">
        <w:t>transversaux</w:t>
      </w:r>
      <w:r>
        <w:t xml:space="preserve">. Les propositions relatives à des arrangements financiers prévisibles pour les </w:t>
      </w:r>
      <w:r w:rsidR="00F26F51">
        <w:t>correspondants</w:t>
      </w:r>
      <w:r>
        <w:t xml:space="preserve"> mettent en évidence les disparités qui affectent la représentation, en particulier dans les domaines nécessitant des compétences techniques spécialisées. Toutefois, l</w:t>
      </w:r>
      <w:r w:rsidR="0057315B">
        <w:t>’</w:t>
      </w:r>
      <w:r>
        <w:t xml:space="preserve">établissement de lignes budgétaires spécifiques peut nécessiter </w:t>
      </w:r>
      <w:r w:rsidR="00EB06E6">
        <w:t>une</w:t>
      </w:r>
      <w:r>
        <w:t xml:space="preserve"> prise en compte de l</w:t>
      </w:r>
      <w:r w:rsidR="0057315B">
        <w:t>’</w:t>
      </w:r>
      <w:r>
        <w:t xml:space="preserve">allocation des ressources et de la viabilité à long terme. </w:t>
      </w:r>
    </w:p>
    <w:p w14:paraId="44E16315" w14:textId="2807ABB7" w:rsidR="001C6CC7" w:rsidRDefault="00DC03D0">
      <w:pPr>
        <w:pStyle w:val="CBDNormalNumber"/>
      </w:pPr>
      <w:r>
        <w:lastRenderedPageBreak/>
        <w:t>Les difficultés liées à l</w:t>
      </w:r>
      <w:r w:rsidR="0057315B">
        <w:t>’</w:t>
      </w:r>
      <w:r>
        <w:t>approbation des communications nationales concernent des questions de coordination nationale qui ne peuvent être résolues par le Secrétariat. Les suggestions visant à renforcer les procédures relatives aux conflits d</w:t>
      </w:r>
      <w:r w:rsidR="0057315B">
        <w:t>’</w:t>
      </w:r>
      <w:r>
        <w:t>intérêts traduisent un désir de transparence accrue et pourraient contribuer à instaurer la confiance, bien que l</w:t>
      </w:r>
      <w:r w:rsidR="0057315B">
        <w:t>’</w:t>
      </w:r>
      <w:r>
        <w:t>élargissement de la divulgation</w:t>
      </w:r>
      <w:r w:rsidR="00EB06E6">
        <w:t xml:space="preserve"> d’informations</w:t>
      </w:r>
      <w:r>
        <w:t xml:space="preserve"> puisse soulever des questions quant à la portée, à la confidentialité et à la charge administrative. Les propositions démontrent collectivement l</w:t>
      </w:r>
      <w:r w:rsidR="0057315B">
        <w:t>’</w:t>
      </w:r>
      <w:r>
        <w:t>intérêt de renforcer la cohérence et l</w:t>
      </w:r>
      <w:r w:rsidR="0057315B">
        <w:t>’</w:t>
      </w:r>
      <w:r>
        <w:t xml:space="preserve">intégrité </w:t>
      </w:r>
      <w:r w:rsidR="00EB06E6">
        <w:t>au sein des</w:t>
      </w:r>
      <w:r>
        <w:t xml:space="preserve"> processus institutionnels</w:t>
      </w:r>
      <w:r w:rsidR="00F26F51">
        <w:t>,</w:t>
      </w:r>
      <w:r>
        <w:t xml:space="preserve"> tout en révélant les d</w:t>
      </w:r>
      <w:r w:rsidR="00EB06E6">
        <w:t>ifficultés</w:t>
      </w:r>
      <w:r>
        <w:t xml:space="preserve"> potentiel</w:t>
      </w:r>
      <w:r w:rsidR="00EB06E6">
        <w:t>le</w:t>
      </w:r>
      <w:r>
        <w:t xml:space="preserve">s de mise en œuvre qui nécessiteraient une attention et un soutien </w:t>
      </w:r>
      <w:r w:rsidR="00EB06E6">
        <w:t>constant</w:t>
      </w:r>
      <w:r>
        <w:t>s.</w:t>
      </w:r>
    </w:p>
    <w:p w14:paraId="15A308AE" w14:textId="74AC5FC8" w:rsidR="001C6CC7" w:rsidRDefault="00DC03D0">
      <w:pPr>
        <w:pStyle w:val="CBDH1"/>
      </w:pPr>
      <w:r>
        <w:rPr>
          <w:rFonts w:eastAsia="Arial Unicode MS" w:cs="Arial Unicode MS"/>
        </w:rPr>
        <w:t>IV</w:t>
      </w:r>
      <w:bookmarkStart w:id="7" w:name="_Hlk216094319"/>
      <w:r>
        <w:rPr>
          <w:rFonts w:eastAsia="Arial Unicode MS" w:cs="Arial Unicode MS"/>
        </w:rPr>
        <w:t>.</w:t>
      </w:r>
      <w:r>
        <w:rPr>
          <w:rFonts w:eastAsia="Arial Unicode MS" w:cs="Arial Unicode MS"/>
        </w:rPr>
        <w:tab/>
        <w:t xml:space="preserve">Examen des mesures pertinentes </w:t>
      </w:r>
      <w:r w:rsidR="006F7DA9">
        <w:rPr>
          <w:rFonts w:eastAsia="Arial Unicode MS" w:cs="Arial Unicode MS"/>
        </w:rPr>
        <w:t xml:space="preserve">prévues </w:t>
      </w:r>
      <w:r>
        <w:rPr>
          <w:rFonts w:eastAsia="Arial Unicode MS" w:cs="Arial Unicode MS"/>
        </w:rPr>
        <w:t>dans d</w:t>
      </w:r>
      <w:r w:rsidR="0057315B">
        <w:rPr>
          <w:rFonts w:eastAsia="Arial Unicode MS" w:cs="Arial Unicode MS"/>
        </w:rPr>
        <w:t>’</w:t>
      </w:r>
      <w:r>
        <w:rPr>
          <w:rFonts w:eastAsia="Arial Unicode MS" w:cs="Arial Unicode MS"/>
        </w:rPr>
        <w:t xml:space="preserve">autres </w:t>
      </w:r>
      <w:r>
        <w:rPr>
          <w:rStyle w:val="None"/>
          <w:rFonts w:eastAsia="Arial Unicode MS" w:cs="Arial Unicode MS"/>
        </w:rPr>
        <w:t xml:space="preserve">accords multilatéraux </w:t>
      </w:r>
      <w:r w:rsidR="00F26F51">
        <w:rPr>
          <w:rStyle w:val="None"/>
          <w:rFonts w:eastAsia="Arial Unicode MS" w:cs="Arial Unicode MS"/>
        </w:rPr>
        <w:t>sur l’</w:t>
      </w:r>
      <w:r>
        <w:rPr>
          <w:rStyle w:val="None"/>
          <w:rFonts w:eastAsia="Arial Unicode MS" w:cs="Arial Unicode MS"/>
        </w:rPr>
        <w:t>environnement</w:t>
      </w:r>
      <w:r>
        <w:rPr>
          <w:rFonts w:eastAsia="Arial Unicode MS" w:cs="Arial Unicode MS"/>
        </w:rPr>
        <w:t xml:space="preserve"> et processus des Nations Unies</w:t>
      </w:r>
      <w:bookmarkEnd w:id="7"/>
    </w:p>
    <w:p w14:paraId="2A90ABD7" w14:textId="62A93834" w:rsidR="001C6CC7" w:rsidRDefault="00DC03D0">
      <w:pPr>
        <w:pStyle w:val="CBDNormalNumber"/>
      </w:pPr>
      <w:r>
        <w:t xml:space="preserve">Conformément au paragraphe 15 des décisions </w:t>
      </w:r>
      <w:hyperlink r:id="rId44" w:history="1">
        <w:r w:rsidR="001C6CC7">
          <w:rPr>
            <w:rStyle w:val="Hyperlink"/>
          </w:rPr>
          <w:t>16/25</w:t>
        </w:r>
      </w:hyperlink>
      <w:r>
        <w:t xml:space="preserve">, </w:t>
      </w:r>
      <w:hyperlink r:id="rId45" w:history="1">
        <w:r w:rsidR="001C6CC7">
          <w:rPr>
            <w:rStyle w:val="Hyperlink"/>
          </w:rPr>
          <w:t>CP-11/5</w:t>
        </w:r>
      </w:hyperlink>
      <w:r>
        <w:t xml:space="preserve"> et </w:t>
      </w:r>
      <w:hyperlink r:id="rId46" w:history="1">
        <w:r w:rsidR="001C6CC7">
          <w:rPr>
            <w:rStyle w:val="Hyperlink"/>
          </w:rPr>
          <w:t>NP-5/10</w:t>
        </w:r>
      </w:hyperlink>
      <w:r>
        <w:t>, le Secrétariat, avec l</w:t>
      </w:r>
      <w:r w:rsidR="0057315B">
        <w:t>’</w:t>
      </w:r>
      <w:r>
        <w:t>aide d</w:t>
      </w:r>
      <w:r w:rsidR="0057315B">
        <w:t>’</w:t>
      </w:r>
      <w:r>
        <w:t>un consultant, a procédé à un examen comparatif des pratiques appliquées dans d</w:t>
      </w:r>
      <w:r w:rsidR="0057315B">
        <w:t>’</w:t>
      </w:r>
      <w:r>
        <w:t xml:space="preserve">autres </w:t>
      </w:r>
      <w:r>
        <w:rPr>
          <w:rStyle w:val="None"/>
        </w:rPr>
        <w:t>accords multilatéraux sur l</w:t>
      </w:r>
      <w:r w:rsidR="0057315B">
        <w:rPr>
          <w:rStyle w:val="None"/>
        </w:rPr>
        <w:t>’</w:t>
      </w:r>
      <w:r>
        <w:rPr>
          <w:rStyle w:val="None"/>
        </w:rPr>
        <w:t>environnement</w:t>
      </w:r>
      <w:r>
        <w:t xml:space="preserve"> et </w:t>
      </w:r>
      <w:r w:rsidR="00057E1C">
        <w:t>institution</w:t>
      </w:r>
      <w:r>
        <w:t xml:space="preserve">s des Nations Unies </w:t>
      </w:r>
      <w:r w:rsidR="00057E1C">
        <w:t xml:space="preserve">visant à </w:t>
      </w:r>
      <w:r>
        <w:t>améliorer l</w:t>
      </w:r>
      <w:r w:rsidR="0057315B">
        <w:t>’</w:t>
      </w:r>
      <w:r>
        <w:t>efficacité, la cohérence et l</w:t>
      </w:r>
      <w:r w:rsidR="00057E1C">
        <w:t>e caractère inclusif</w:t>
      </w:r>
      <w:r>
        <w:t xml:space="preserve"> de leurs réunions, comme indiqué à l</w:t>
      </w:r>
      <w:r w:rsidR="0057315B">
        <w:t>’</w:t>
      </w:r>
      <w:r>
        <w:t xml:space="preserve">annexe I du présent document. </w:t>
      </w:r>
    </w:p>
    <w:p w14:paraId="0B1D2C87" w14:textId="46CDA5C0" w:rsidR="001C6CC7" w:rsidRDefault="00DC03D0">
      <w:pPr>
        <w:pStyle w:val="CBDNormalNumber"/>
      </w:pPr>
      <w:r>
        <w:t xml:space="preserve">Les informations ont été recueillies à partir des rapports </w:t>
      </w:r>
      <w:r w:rsidR="00057E1C">
        <w:t xml:space="preserve">et décisions </w:t>
      </w:r>
      <w:r>
        <w:t xml:space="preserve">officiels adoptés au titre de la Convention-cadre des Nations Unies sur les </w:t>
      </w:r>
      <w:r>
        <w:rPr>
          <w:rStyle w:val="None"/>
        </w:rPr>
        <w:t>changements</w:t>
      </w:r>
      <w:r>
        <w:t xml:space="preserve"> climatiques</w:t>
      </w:r>
      <w:r>
        <w:rPr>
          <w:rStyle w:val="None"/>
        </w:rPr>
        <w:t>,</w:t>
      </w:r>
      <w:r>
        <w:t xml:space="preserve"> de la Convention sur le commerce international des espèces de faune et de flore sauvages menacées d</w:t>
      </w:r>
      <w:r w:rsidR="0057315B">
        <w:t>’</w:t>
      </w:r>
      <w:r>
        <w:t>extinction, de la Convention des Nations Unies sur la lutte contre la désertification dans les pays gravement touchés par la sécheresse et/ou la désertification, particuli</w:t>
      </w:r>
      <w:r w:rsidR="00057E1C">
        <w:t>èrement</w:t>
      </w:r>
      <w:r>
        <w:t xml:space="preserve"> en Afrique, des Conventions de Bâle, de Rotterdam et de Stockholm, de la Convention sur la conservation des espèces migratrices appartenant à la faune sauvage</w:t>
      </w:r>
      <w:r w:rsidR="00F26F51">
        <w:t>,</w:t>
      </w:r>
      <w:r>
        <w:t xml:space="preserve"> et de la Convention </w:t>
      </w:r>
      <w:r w:rsidR="008E1B18">
        <w:t>relative aux</w:t>
      </w:r>
      <w:r>
        <w:t xml:space="preserve"> zones humides d</w:t>
      </w:r>
      <w:r w:rsidR="0057315B">
        <w:t>’</w:t>
      </w:r>
      <w:r>
        <w:t>importance internationale particuli</w:t>
      </w:r>
      <w:r w:rsidR="008E1B18">
        <w:t>èrement</w:t>
      </w:r>
      <w:r>
        <w:t xml:space="preserve"> comme habitats de</w:t>
      </w:r>
      <w:r w:rsidR="00F26F51">
        <w:t>s oiseaux d’eau</w:t>
      </w:r>
      <w:r>
        <w:t xml:space="preserve"> (Convention de Ramsar).</w:t>
      </w:r>
    </w:p>
    <w:p w14:paraId="7941ED37" w14:textId="607FE7A6" w:rsidR="001C6CC7" w:rsidRDefault="00DC03D0">
      <w:pPr>
        <w:pStyle w:val="CBDNormalNumber"/>
      </w:pPr>
      <w:r>
        <w:t xml:space="preserve">Les </w:t>
      </w:r>
      <w:r w:rsidR="00057E1C">
        <w:t>données d’</w:t>
      </w:r>
      <w:r>
        <w:t>expérience examinées illustrent une série de mécanismes procéduraux et institutionnels qui peuvent être pris en co</w:t>
      </w:r>
      <w:r w:rsidR="00057E1C">
        <w:t>mpte</w:t>
      </w:r>
      <w:r>
        <w:t xml:space="preserve"> dans l</w:t>
      </w:r>
      <w:r w:rsidR="0057315B">
        <w:t>’</w:t>
      </w:r>
      <w:r>
        <w:t>élaboration d</w:t>
      </w:r>
      <w:r w:rsidR="0057315B">
        <w:t>’</w:t>
      </w:r>
      <w:r>
        <w:t>options pour améliorer la gestion des réunions, ainsi que la qualité des délibérations et des résultats.</w:t>
      </w:r>
    </w:p>
    <w:p w14:paraId="71363D54" w14:textId="6BC1A611" w:rsidR="001C6CC7" w:rsidRDefault="00057E1C">
      <w:pPr>
        <w:pStyle w:val="CBDNormalNumber"/>
      </w:pPr>
      <w:r>
        <w:t>En vertu de la Convention-cadre des Nations Unies sur les changements climatiques, des réunions de coordination périodiques entre les présidents de</w:t>
      </w:r>
      <w:r w:rsidR="0023385D">
        <w:t>s</w:t>
      </w:r>
      <w:r>
        <w:t xml:space="preserve"> réunion</w:t>
      </w:r>
      <w:r w:rsidR="0023385D">
        <w:t>s</w:t>
      </w:r>
      <w:r>
        <w:t xml:space="preserve"> sont organisées afin de définir une vision commune et de recenser les priorités pour les réunions à venir, en vue d</w:t>
      </w:r>
      <w:r w:rsidR="0057315B">
        <w:t>’</w:t>
      </w:r>
      <w:r>
        <w:t>assurer une plus grande harmonisation des stratégies d</w:t>
      </w:r>
      <w:r w:rsidR="0057315B">
        <w:t>’</w:t>
      </w:r>
      <w:r>
        <w:t>organisation des travaux des organes directeurs et subsidiaires</w:t>
      </w:r>
      <w:r w:rsidRPr="0017781F">
        <w:rPr>
          <w:vertAlign w:val="superscript"/>
        </w:rPr>
        <w:footnoteReference w:id="19"/>
      </w:r>
      <w:r w:rsidR="00F26F51">
        <w:t>.</w:t>
      </w:r>
      <w:r>
        <w:t xml:space="preserve"> Le Bilan mondial établi au titre de l</w:t>
      </w:r>
      <w:r w:rsidR="0057315B">
        <w:t>’</w:t>
      </w:r>
      <w:r>
        <w:t>article 14 de l</w:t>
      </w:r>
      <w:r w:rsidR="0057315B">
        <w:t>’</w:t>
      </w:r>
      <w:r>
        <w:t>Accord de Paris prévoit un cycle pluriannuel pour la collecte d</w:t>
      </w:r>
      <w:r w:rsidR="0057315B">
        <w:t>’</w:t>
      </w:r>
      <w:r>
        <w:t>informations, la réalisation d</w:t>
      </w:r>
      <w:r w:rsidR="0057315B">
        <w:t>’</w:t>
      </w:r>
      <w:r>
        <w:t>évaluations techniques et l</w:t>
      </w:r>
      <w:r w:rsidR="0057315B">
        <w:t>’</w:t>
      </w:r>
      <w:r>
        <w:t xml:space="preserve">examen des </w:t>
      </w:r>
      <w:r w:rsidR="00677E20">
        <w:t>résultat</w:t>
      </w:r>
      <w:r>
        <w:t>s, offrant ainsi un cadre structuré et coordonné pour l</w:t>
      </w:r>
      <w:r w:rsidR="0057315B">
        <w:t>’</w:t>
      </w:r>
      <w:r>
        <w:t xml:space="preserve">évaluation des progrès collectifs accomplis, et </w:t>
      </w:r>
      <w:r w:rsidR="00E62F6C">
        <w:t>permet d’</w:t>
      </w:r>
      <w:r>
        <w:t>évite</w:t>
      </w:r>
      <w:r w:rsidR="00E62F6C">
        <w:t>r</w:t>
      </w:r>
      <w:r>
        <w:t xml:space="preserve"> les d</w:t>
      </w:r>
      <w:r w:rsidR="00E62F6C">
        <w:t>ébat</w:t>
      </w:r>
      <w:r>
        <w:t>s fragmentés sur la mise en œuvre et les progrès</w:t>
      </w:r>
      <w:r w:rsidR="00E62F6C">
        <w:t xml:space="preserve"> accomplis</w:t>
      </w:r>
      <w:r w:rsidRPr="0017781F">
        <w:rPr>
          <w:vertAlign w:val="superscript"/>
        </w:rPr>
        <w:footnoteReference w:id="20"/>
      </w:r>
      <w:r w:rsidR="00F26F51">
        <w:t>.</w:t>
      </w:r>
    </w:p>
    <w:p w14:paraId="48DBC483" w14:textId="0E741EFA" w:rsidR="001C6CC7" w:rsidRDefault="00DC03D0">
      <w:pPr>
        <w:pStyle w:val="CBDNormalNumber"/>
      </w:pPr>
      <w:r>
        <w:t>La Convention sur le commerce international des espèces de faune et de flore sauvages menacées d</w:t>
      </w:r>
      <w:r w:rsidR="0057315B">
        <w:t>’</w:t>
      </w:r>
      <w:r>
        <w:t xml:space="preserve">extinction a </w:t>
      </w:r>
      <w:r w:rsidR="00317A8F">
        <w:t>imposé</w:t>
      </w:r>
      <w:r>
        <w:t xml:space="preserve"> des limites à la longueur des documents</w:t>
      </w:r>
      <w:r w:rsidR="00F26F51">
        <w:t xml:space="preserve"> de travail</w:t>
      </w:r>
      <w:r w:rsidR="003D762A" w:rsidRPr="0017781F">
        <w:rPr>
          <w:vertAlign w:val="superscript"/>
        </w:rPr>
        <w:footnoteReference w:id="21"/>
      </w:r>
      <w:r>
        <w:t xml:space="preserve"> et des délais </w:t>
      </w:r>
      <w:r w:rsidR="00317A8F">
        <w:t>pour la</w:t>
      </w:r>
      <w:r>
        <w:t xml:space="preserve"> </w:t>
      </w:r>
      <w:r w:rsidR="00317A8F">
        <w:t>remise</w:t>
      </w:r>
      <w:r>
        <w:t xml:space="preserve"> anticipés </w:t>
      </w:r>
      <w:r w:rsidR="00317A8F">
        <w:t xml:space="preserve">des documents, </w:t>
      </w:r>
      <w:r>
        <w:t xml:space="preserve">afin de </w:t>
      </w:r>
      <w:r w:rsidR="00317A8F">
        <w:t>diminuer</w:t>
      </w:r>
      <w:r>
        <w:t xml:space="preserve"> les </w:t>
      </w:r>
      <w:r w:rsidR="00317A8F">
        <w:t>retard</w:t>
      </w:r>
      <w:r>
        <w:t>s d</w:t>
      </w:r>
      <w:r w:rsidR="00317A8F">
        <w:t>e</w:t>
      </w:r>
      <w:r>
        <w:t xml:space="preserve"> traduction, ainsi que des </w:t>
      </w:r>
      <w:r w:rsidR="002C0383">
        <w:lastRenderedPageBreak/>
        <w:t>limite</w:t>
      </w:r>
      <w:r>
        <w:t>s</w:t>
      </w:r>
      <w:r w:rsidR="002C0383">
        <w:t xml:space="preserve"> de temps de parole</w:t>
      </w:r>
      <w:r>
        <w:t xml:space="preserve"> pour les interventions, afin de raccourcir les d</w:t>
      </w:r>
      <w:r w:rsidR="008B2B5F">
        <w:t>élibérations plénières</w:t>
      </w:r>
      <w:r w:rsidR="003D762A" w:rsidRPr="0017781F">
        <w:rPr>
          <w:vertAlign w:val="superscript"/>
        </w:rPr>
        <w:footnoteReference w:id="22"/>
      </w:r>
      <w:r w:rsidR="002C0383">
        <w:t>,</w:t>
      </w:r>
      <w:r>
        <w:t xml:space="preserve"> et un mécanisme pour l</w:t>
      </w:r>
      <w:r w:rsidR="0057315B">
        <w:t>’</w:t>
      </w:r>
      <w:r>
        <w:t xml:space="preserve">examen des résolutions et décisions </w:t>
      </w:r>
      <w:r w:rsidR="002C0383">
        <w:t>afin de</w:t>
      </w:r>
      <w:r>
        <w:t xml:space="preserve"> supprimer les points obsolètes</w:t>
      </w:r>
      <w:r w:rsidR="003D762A" w:rsidRPr="0017781F">
        <w:rPr>
          <w:vertAlign w:val="superscript"/>
        </w:rPr>
        <w:footnoteReference w:id="23"/>
      </w:r>
      <w:r w:rsidR="008B2B5F">
        <w:t>.</w:t>
      </w:r>
      <w:r>
        <w:t xml:space="preserve"> </w:t>
      </w:r>
    </w:p>
    <w:p w14:paraId="320EBF51" w14:textId="19B02DD8" w:rsidR="001C6CC7" w:rsidRDefault="00DC03D0">
      <w:pPr>
        <w:pStyle w:val="CBDNormalNumber"/>
      </w:pPr>
      <w:r>
        <w:t>La Convention sur la lutte contre la désertification a adopté des modalités visant à assurer la participation active de la société civile et des jeunes</w:t>
      </w:r>
      <w:r w:rsidR="003D762A" w:rsidRPr="0017781F">
        <w:rPr>
          <w:vertAlign w:val="superscript"/>
        </w:rPr>
        <w:footnoteReference w:id="24"/>
      </w:r>
      <w:r w:rsidR="008B2B5F">
        <w:t>.</w:t>
      </w:r>
      <w:r>
        <w:t xml:space="preserve"> Les conventions de Bâle, de Rotterdam et de Stockholm </w:t>
      </w:r>
      <w:r w:rsidR="003D26C5">
        <w:t>s’efforc</w:t>
      </w:r>
      <w:r>
        <w:t xml:space="preserve">ent </w:t>
      </w:r>
      <w:r w:rsidR="003D26C5">
        <w:t>d’</w:t>
      </w:r>
      <w:r>
        <w:t>améliorer l</w:t>
      </w:r>
      <w:r w:rsidR="0057315B">
        <w:t>’</w:t>
      </w:r>
      <w:r>
        <w:t xml:space="preserve">efficacité grâce à des réunions conjointes de leurs </w:t>
      </w:r>
      <w:r w:rsidR="008B2B5F">
        <w:t>C</w:t>
      </w:r>
      <w:r>
        <w:t xml:space="preserve">onférences des </w:t>
      </w:r>
      <w:r w:rsidR="008B2B5F">
        <w:t>P</w:t>
      </w:r>
      <w:r>
        <w:t>arties et à l</w:t>
      </w:r>
      <w:r w:rsidR="0057315B">
        <w:t>’</w:t>
      </w:r>
      <w:r>
        <w:t xml:space="preserve">adoption de décisions conjointes sur </w:t>
      </w:r>
      <w:r w:rsidR="003D26C5">
        <w:t>l</w:t>
      </w:r>
      <w:r>
        <w:t>es questions transversales, renforçant ainsi la coordination et la cohérence entre les trois conventions</w:t>
      </w:r>
      <w:r w:rsidR="003D762A" w:rsidRPr="0017781F">
        <w:rPr>
          <w:vertAlign w:val="superscript"/>
        </w:rPr>
        <w:footnoteReference w:id="25"/>
      </w:r>
      <w:r w:rsidR="008B2B5F">
        <w:t>.</w:t>
      </w:r>
    </w:p>
    <w:p w14:paraId="7ACE4536" w14:textId="495A646C" w:rsidR="001C6CC7" w:rsidRDefault="003D26C5">
      <w:pPr>
        <w:pStyle w:val="CBDNormalNumber"/>
      </w:pPr>
      <w:r>
        <w:t>En vertu de la Convention sur la conservation des espèces migratrices appartenant à la faune sauvage, le Conseil scientifique a été restructuré</w:t>
      </w:r>
      <w:r w:rsidR="00206C50">
        <w:t xml:space="preserve"> par</w:t>
      </w:r>
      <w:r>
        <w:t xml:space="preserve"> la création d</w:t>
      </w:r>
      <w:r w:rsidR="0057315B">
        <w:t>’</w:t>
      </w:r>
      <w:r>
        <w:t>un comité de s</w:t>
      </w:r>
      <w:r w:rsidR="0023385D">
        <w:t>ession</w:t>
      </w:r>
      <w:r>
        <w:t xml:space="preserve"> plus restreint. Cette réforme </w:t>
      </w:r>
      <w:bookmarkStart w:id="8" w:name="WasIntendsed"/>
      <w:r>
        <w:t>vise</w:t>
      </w:r>
      <w:bookmarkEnd w:id="8"/>
      <w:r>
        <w:t xml:space="preserve"> à rationaliser les travaux du Conseil, en permettant la consolidation des produits techniques et leur présentation plus efficace à la Conférence des Parties</w:t>
      </w:r>
      <w:r w:rsidRPr="0017781F">
        <w:rPr>
          <w:vertAlign w:val="superscript"/>
        </w:rPr>
        <w:footnoteReference w:id="26"/>
      </w:r>
      <w:r w:rsidR="008B2B5F">
        <w:t>.</w:t>
      </w:r>
    </w:p>
    <w:p w14:paraId="56423110" w14:textId="5AED7FA7" w:rsidR="001C6CC7" w:rsidRDefault="00DC03D0">
      <w:pPr>
        <w:pStyle w:val="CBDNormalNumber"/>
      </w:pPr>
      <w:r>
        <w:t xml:space="preserve">La Convention de Ramsar </w:t>
      </w:r>
      <w:r w:rsidR="00332414">
        <w:t>procède à</w:t>
      </w:r>
      <w:r>
        <w:t xml:space="preserve"> un examen </w:t>
      </w:r>
      <w:r w:rsidR="0023385D">
        <w:t>constant</w:t>
      </w:r>
      <w:r>
        <w:t xml:space="preserve"> des résolutions antérieures afin d</w:t>
      </w:r>
      <w:r w:rsidR="00332414">
        <w:t>e recens</w:t>
      </w:r>
      <w:r>
        <w:t xml:space="preserve">er et </w:t>
      </w:r>
      <w:r w:rsidR="0023385D">
        <w:t xml:space="preserve">de </w:t>
      </w:r>
      <w:r w:rsidR="00332414">
        <w:t>supprim</w:t>
      </w:r>
      <w:r>
        <w:t xml:space="preserve">er celles qui sont </w:t>
      </w:r>
      <w:r w:rsidR="008B2B5F">
        <w:t>obsolèt</w:t>
      </w:r>
      <w:r>
        <w:t>es ou redondantes</w:t>
      </w:r>
      <w:r w:rsidRPr="0017781F">
        <w:rPr>
          <w:vertAlign w:val="superscript"/>
        </w:rPr>
        <w:footnoteReference w:id="27"/>
      </w:r>
      <w:r w:rsidR="008B2B5F">
        <w:t>.</w:t>
      </w:r>
      <w:r>
        <w:t xml:space="preserve"> Cette approche « d</w:t>
      </w:r>
      <w:r w:rsidR="0057315B">
        <w:t>’</w:t>
      </w:r>
      <w:r>
        <w:t>ordre du jour propre » vise à réduire l</w:t>
      </w:r>
      <w:r w:rsidR="0057315B">
        <w:t>’</w:t>
      </w:r>
      <w:r>
        <w:t>accumulation des décisions héritées du passé et à accroître l</w:t>
      </w:r>
      <w:r w:rsidR="0057315B">
        <w:t>’</w:t>
      </w:r>
      <w:r>
        <w:t>efficacité des délibérations plénières.</w:t>
      </w:r>
    </w:p>
    <w:p w14:paraId="446103CF" w14:textId="542E2613" w:rsidR="001C6CC7" w:rsidRDefault="00DC03D0">
      <w:pPr>
        <w:pStyle w:val="CBDNormalNumber"/>
      </w:pPr>
      <w:r>
        <w:t xml:space="preserve">Collectivement, </w:t>
      </w:r>
      <w:r w:rsidR="000033A4">
        <w:t>c</w:t>
      </w:r>
      <w:r>
        <w:t>es exemples montrent qu</w:t>
      </w:r>
      <w:r w:rsidR="0023385D">
        <w:t>e la</w:t>
      </w:r>
      <w:r>
        <w:t xml:space="preserve"> coordination entre les présidents de</w:t>
      </w:r>
      <w:r w:rsidR="0023385D">
        <w:t>s réunions</w:t>
      </w:r>
      <w:r>
        <w:t xml:space="preserve"> et la rationalisation des</w:t>
      </w:r>
      <w:r w:rsidR="000033A4">
        <w:t xml:space="preserve"> </w:t>
      </w:r>
      <w:r>
        <w:t>ordres du jour et de la documentation sont des mesures qui pourraient être utilisées pour améliorer l</w:t>
      </w:r>
      <w:r w:rsidR="0057315B">
        <w:t>’</w:t>
      </w:r>
      <w:r>
        <w:t>efficacité et la transparence. De même, l</w:t>
      </w:r>
      <w:r w:rsidR="0057315B">
        <w:t>’</w:t>
      </w:r>
      <w:r>
        <w:t xml:space="preserve">examen </w:t>
      </w:r>
      <w:r w:rsidR="0023385D">
        <w:t>périodique</w:t>
      </w:r>
      <w:r>
        <w:t xml:space="preserve"> des décisions, ainsi qu</w:t>
      </w:r>
      <w:r w:rsidR="0057315B">
        <w:t>’</w:t>
      </w:r>
      <w:r>
        <w:t>une participation plus large, pourraient favoriser la légitimité et l</w:t>
      </w:r>
      <w:r w:rsidR="0057315B">
        <w:t>’</w:t>
      </w:r>
      <w:r>
        <w:t>appropriation des résultats.</w:t>
      </w:r>
    </w:p>
    <w:p w14:paraId="58DC0399" w14:textId="2715021C" w:rsidR="001C6CC7" w:rsidRDefault="00DC03D0">
      <w:pPr>
        <w:pStyle w:val="CBDH1"/>
      </w:pPr>
      <w:r>
        <w:rPr>
          <w:rFonts w:eastAsia="Arial Unicode MS" w:cs="Arial Unicode MS"/>
        </w:rPr>
        <w:t>V.</w:t>
      </w:r>
      <w:r>
        <w:rPr>
          <w:rFonts w:eastAsia="Arial Unicode MS" w:cs="Arial Unicode MS"/>
        </w:rPr>
        <w:tab/>
        <w:t>Mise à jour sur l</w:t>
      </w:r>
      <w:r w:rsidR="0057315B">
        <w:rPr>
          <w:rFonts w:eastAsia="Arial Unicode MS" w:cs="Arial Unicode MS"/>
        </w:rPr>
        <w:t>’</w:t>
      </w:r>
      <w:r>
        <w:rPr>
          <w:rFonts w:eastAsia="Arial Unicode MS" w:cs="Arial Unicode MS"/>
        </w:rPr>
        <w:t>élaboration de l</w:t>
      </w:r>
      <w:r w:rsidR="0057315B">
        <w:rPr>
          <w:rFonts w:eastAsia="Arial Unicode MS" w:cs="Arial Unicode MS"/>
        </w:rPr>
        <w:t>’</w:t>
      </w:r>
      <w:r>
        <w:rPr>
          <w:rFonts w:eastAsia="Arial Unicode MS" w:cs="Arial Unicode MS"/>
        </w:rPr>
        <w:t xml:space="preserve">outil de suivi des décisions </w:t>
      </w:r>
      <w:r w:rsidR="00EA0C2E">
        <w:rPr>
          <w:rFonts w:eastAsia="Arial Unicode MS" w:cs="Arial Unicode MS"/>
        </w:rPr>
        <w:t xml:space="preserve">prévu </w:t>
      </w:r>
      <w:r>
        <w:rPr>
          <w:rFonts w:eastAsia="Arial Unicode MS" w:cs="Arial Unicode MS"/>
        </w:rPr>
        <w:t>au titre de la Convention sur la diversité biologique</w:t>
      </w:r>
    </w:p>
    <w:p w14:paraId="0B82F7E6" w14:textId="2DE92B46" w:rsidR="001C6CC7" w:rsidRDefault="00DC03D0">
      <w:pPr>
        <w:pStyle w:val="CBDNormalNumber"/>
        <w:rPr>
          <w:b/>
          <w:bCs/>
        </w:rPr>
      </w:pPr>
      <w:r>
        <w:t xml:space="preserve">Dans sa décision </w:t>
      </w:r>
      <w:hyperlink r:id="rId47" w:history="1">
        <w:r w:rsidR="001C6CC7">
          <w:rPr>
            <w:rStyle w:val="Hyperlink"/>
          </w:rPr>
          <w:t>XII/28</w:t>
        </w:r>
      </w:hyperlink>
      <w:r>
        <w:t xml:space="preserve">, la Conférence des Parties a décidé de mettre fin à la pratique consistant à </w:t>
      </w:r>
      <w:r w:rsidR="0023385D">
        <w:t>supprime</w:t>
      </w:r>
      <w:r>
        <w:t>r des décisions et de remplacer cette pratique par une nouvelle méthode d</w:t>
      </w:r>
      <w:r w:rsidR="0057315B">
        <w:t>’</w:t>
      </w:r>
      <w:r>
        <w:t>examen des décisions ou d</w:t>
      </w:r>
      <w:r w:rsidR="00CB3DE3">
        <w:t>’</w:t>
      </w:r>
      <w:r>
        <w:t>éléments de décision</w:t>
      </w:r>
      <w:r w:rsidR="00CB3DE3">
        <w:t xml:space="preserve"> d’une manière qui appuie</w:t>
      </w:r>
      <w:r>
        <w:t xml:space="preserve"> la mise en œuvre et crée une base </w:t>
      </w:r>
      <w:r w:rsidR="00CB3DE3">
        <w:t xml:space="preserve">robuste </w:t>
      </w:r>
      <w:r>
        <w:t>pour l</w:t>
      </w:r>
      <w:r w:rsidR="0057315B">
        <w:t>’</w:t>
      </w:r>
      <w:r>
        <w:t>élaboration et l</w:t>
      </w:r>
      <w:r w:rsidR="0057315B">
        <w:t>’</w:t>
      </w:r>
      <w:r>
        <w:t>adoption de nouvelles décisions. Dans ce contexte, l</w:t>
      </w:r>
      <w:r w:rsidR="008B2B5F">
        <w:t>a</w:t>
      </w:r>
      <w:r>
        <w:t xml:space="preserve"> Secrétaire exécuti</w:t>
      </w:r>
      <w:r w:rsidR="008B2B5F">
        <w:t>ve</w:t>
      </w:r>
      <w:r>
        <w:t xml:space="preserve"> a été prié</w:t>
      </w:r>
      <w:r w:rsidR="008B2B5F">
        <w:t>e</w:t>
      </w:r>
      <w:r>
        <w:t xml:space="preserve"> d</w:t>
      </w:r>
      <w:r w:rsidR="0014208C">
        <w:t>’élaborer</w:t>
      </w:r>
      <w:r>
        <w:t>, en s</w:t>
      </w:r>
      <w:r w:rsidR="0057315B">
        <w:t>’</w:t>
      </w:r>
      <w:r>
        <w:t>appuyant sur les outils existants</w:t>
      </w:r>
      <w:r w:rsidR="008B2B5F">
        <w:t>,</w:t>
      </w:r>
      <w:r>
        <w:t xml:space="preserve"> selon qu</w:t>
      </w:r>
      <w:r w:rsidR="0057315B">
        <w:t>’</w:t>
      </w:r>
      <w:r>
        <w:t>il convient, et d</w:t>
      </w:r>
      <w:r w:rsidR="0014208C">
        <w:t xml:space="preserve">e maintenir </w:t>
      </w:r>
      <w:r>
        <w:t xml:space="preserve">un outil de suivi des décisions en ligne dans le </w:t>
      </w:r>
      <w:r w:rsidR="008B2B5F">
        <w:t>C</w:t>
      </w:r>
      <w:r>
        <w:t>entre d</w:t>
      </w:r>
      <w:r w:rsidR="0057315B">
        <w:t>’</w:t>
      </w:r>
      <w:r>
        <w:t>échange</w:t>
      </w:r>
      <w:r w:rsidR="008B2B5F">
        <w:t>,</w:t>
      </w:r>
      <w:r>
        <w:t xml:space="preserve"> afin d</w:t>
      </w:r>
      <w:r w:rsidR="0057315B">
        <w:t>’</w:t>
      </w:r>
      <w:r>
        <w:t>appuyer l</w:t>
      </w:r>
      <w:r w:rsidR="0057315B">
        <w:t>’</w:t>
      </w:r>
      <w:r>
        <w:t>examen des décisions existantes et d</w:t>
      </w:r>
      <w:r w:rsidR="0057315B">
        <w:t>’</w:t>
      </w:r>
      <w:r>
        <w:t>améliorer l</w:t>
      </w:r>
      <w:r w:rsidR="0057315B">
        <w:t>’</w:t>
      </w:r>
      <w:r>
        <w:t>élaboration et l</w:t>
      </w:r>
      <w:r w:rsidR="0057315B">
        <w:t>’</w:t>
      </w:r>
      <w:r>
        <w:t>adoption de nouvelles décisions</w:t>
      </w:r>
      <w:r w:rsidR="003D762A" w:rsidRPr="0017781F">
        <w:rPr>
          <w:vertAlign w:val="superscript"/>
        </w:rPr>
        <w:footnoteReference w:id="28"/>
      </w:r>
      <w:r w:rsidR="008B2B5F">
        <w:t>.</w:t>
      </w:r>
    </w:p>
    <w:p w14:paraId="3A6CFAF0" w14:textId="357FD98D" w:rsidR="001C6CC7" w:rsidRDefault="00DC03D0">
      <w:pPr>
        <w:pStyle w:val="CBDNormalNumber"/>
      </w:pPr>
      <w:r>
        <w:t>L</w:t>
      </w:r>
      <w:r w:rsidR="008B2B5F">
        <w:t>a</w:t>
      </w:r>
      <w:r>
        <w:t xml:space="preserve"> Secrétaire exécuti</w:t>
      </w:r>
      <w:r w:rsidR="008B2B5F">
        <w:t>ve</w:t>
      </w:r>
      <w:r>
        <w:t xml:space="preserve"> a f</w:t>
      </w:r>
      <w:r w:rsidR="0014208C">
        <w:t>ourni une mise à jour</w:t>
      </w:r>
      <w:r>
        <w:t xml:space="preserve"> sur l</w:t>
      </w:r>
      <w:r w:rsidR="0057315B">
        <w:t>’</w:t>
      </w:r>
      <w:r>
        <w:t>élaboration de l</w:t>
      </w:r>
      <w:r w:rsidR="0057315B">
        <w:t>’</w:t>
      </w:r>
      <w:r>
        <w:t xml:space="preserve">outil de suivi des décisions dans le document </w:t>
      </w:r>
      <w:hyperlink r:id="rId48" w:history="1">
        <w:r w:rsidR="001C6CC7">
          <w:rPr>
            <w:rStyle w:val="Hyperlink"/>
          </w:rPr>
          <w:t>CBD/COP/15/INF/14</w:t>
        </w:r>
      </w:hyperlink>
      <w:r>
        <w:t xml:space="preserve">. </w:t>
      </w:r>
      <w:r w:rsidR="008B2B5F">
        <w:t>Au</w:t>
      </w:r>
      <w:r>
        <w:t xml:space="preserve"> paragraphe 29</w:t>
      </w:r>
      <w:r w:rsidR="008B2B5F">
        <w:t xml:space="preserve"> e</w:t>
      </w:r>
      <w:r w:rsidR="00DC5FCB">
        <w:t>)</w:t>
      </w:r>
      <w:r>
        <w:t xml:space="preserve"> de sa décision </w:t>
      </w:r>
      <w:hyperlink r:id="rId49" w:history="1">
        <w:r w:rsidR="001C6CC7">
          <w:rPr>
            <w:rStyle w:val="Hyperlink"/>
          </w:rPr>
          <w:t>15/6</w:t>
        </w:r>
      </w:hyperlink>
      <w:r>
        <w:t>, la Conférence des Parties a prié l</w:t>
      </w:r>
      <w:r w:rsidR="008B2B5F">
        <w:t>a</w:t>
      </w:r>
      <w:r>
        <w:t xml:space="preserve"> Secrétaire exécuti</w:t>
      </w:r>
      <w:r w:rsidR="008B2B5F">
        <w:t>ve</w:t>
      </w:r>
      <w:r>
        <w:t xml:space="preserve"> de </w:t>
      </w:r>
      <w:r w:rsidR="0014208C">
        <w:t xml:space="preserve">poursuivre l’élaboration de cet </w:t>
      </w:r>
      <w:r>
        <w:t xml:space="preserve">outil </w:t>
      </w:r>
      <w:r w:rsidR="0014208C">
        <w:t>afin d’</w:t>
      </w:r>
      <w:r>
        <w:t>appuyer la mise en œuvre de l</w:t>
      </w:r>
      <w:r w:rsidR="0057315B">
        <w:t>’</w:t>
      </w:r>
      <w:r>
        <w:t xml:space="preserve">approche multidimensionnelle renforcée </w:t>
      </w:r>
      <w:r w:rsidR="0014208C">
        <w:t>en matière de</w:t>
      </w:r>
      <w:r>
        <w:t xml:space="preserve"> planification, </w:t>
      </w:r>
      <w:r>
        <w:lastRenderedPageBreak/>
        <w:t>d</w:t>
      </w:r>
      <w:r w:rsidR="0014208C">
        <w:t>e</w:t>
      </w:r>
      <w:r>
        <w:t xml:space="preserve"> suivi, d</w:t>
      </w:r>
      <w:r w:rsidR="0057315B">
        <w:t>’</w:t>
      </w:r>
      <w:r>
        <w:t>établissement de rapports et d</w:t>
      </w:r>
      <w:r w:rsidR="0057315B">
        <w:t>’</w:t>
      </w:r>
      <w:r>
        <w:t>examen</w:t>
      </w:r>
      <w:r w:rsidR="0014208C">
        <w:t>,</w:t>
      </w:r>
      <w:r>
        <w:t xml:space="preserve"> </w:t>
      </w:r>
      <w:r w:rsidR="0014208C">
        <w:t>dans le but</w:t>
      </w:r>
      <w:r>
        <w:t xml:space="preserve"> de renforcer l</w:t>
      </w:r>
      <w:r w:rsidR="0014208C">
        <w:t>a mise en œuvre</w:t>
      </w:r>
      <w:r>
        <w:t xml:space="preserve"> de la Convention et du Cadre mondial </w:t>
      </w:r>
      <w:r w:rsidR="00DC5FCB">
        <w:t>de</w:t>
      </w:r>
      <w:r>
        <w:t xml:space="preserve"> la </w:t>
      </w:r>
      <w:r w:rsidR="00DC5FCB">
        <w:t>bio</w:t>
      </w:r>
      <w:r>
        <w:t xml:space="preserve">diversité de Kunming-Montréal. </w:t>
      </w:r>
      <w:r w:rsidR="0014208C">
        <w:t>U</w:t>
      </w:r>
      <w:r>
        <w:t>ne nouvelle mise à jour sur l</w:t>
      </w:r>
      <w:r w:rsidR="0057315B">
        <w:t>’</w:t>
      </w:r>
      <w:r>
        <w:t>élaboration de l</w:t>
      </w:r>
      <w:r w:rsidR="0057315B">
        <w:t>’</w:t>
      </w:r>
      <w:r>
        <w:t>outil de suivi des décisions</w:t>
      </w:r>
      <w:r w:rsidR="0014208C">
        <w:t xml:space="preserve"> sera fournie dans le document </w:t>
      </w:r>
      <w:hyperlink r:id="rId50" w:history="1">
        <w:r w:rsidR="0014208C">
          <w:rPr>
            <w:rStyle w:val="Hyperlink"/>
          </w:rPr>
          <w:t>CBD/SBI/6/INF/11</w:t>
        </w:r>
      </w:hyperlink>
      <w:r>
        <w:t>.</w:t>
      </w:r>
    </w:p>
    <w:p w14:paraId="01E38E80" w14:textId="77777777" w:rsidR="001C6CC7" w:rsidRDefault="00DC03D0">
      <w:pPr>
        <w:pStyle w:val="CBDH1"/>
        <w:rPr>
          <w:bCs/>
          <w:szCs w:val="28"/>
        </w:rPr>
      </w:pPr>
      <w:r>
        <w:rPr>
          <w:bCs/>
          <w:szCs w:val="28"/>
        </w:rPr>
        <w:t>VI.</w:t>
      </w:r>
      <w:r>
        <w:rPr>
          <w:bCs/>
          <w:szCs w:val="28"/>
        </w:rPr>
        <w:tab/>
        <w:t>Recommandations</w:t>
      </w:r>
    </w:p>
    <w:p w14:paraId="11DE78A7" w14:textId="751081BF" w:rsidR="001C6CC7" w:rsidRDefault="00DC03D0">
      <w:pPr>
        <w:pStyle w:val="CBDNormalNumber"/>
      </w:pPr>
      <w:r>
        <w:t>L</w:t>
      </w:r>
      <w:r w:rsidR="0057315B">
        <w:t>’</w:t>
      </w:r>
      <w:r>
        <w:t>Organe subsidiaire souhaitera peut-être adopter une recommandation</w:t>
      </w:r>
      <w:r w:rsidR="009E2FFE">
        <w:rPr>
          <w:rStyle w:val="FootnoteReference"/>
        </w:rPr>
        <w:footnoteReference w:id="29"/>
      </w:r>
      <w:r>
        <w:t xml:space="preserve"> </w:t>
      </w:r>
      <w:r w:rsidR="00DC5FCB">
        <w:t>libellée comme suit </w:t>
      </w:r>
      <w:r>
        <w:t>:</w:t>
      </w:r>
    </w:p>
    <w:p w14:paraId="1EC76255" w14:textId="46015A47" w:rsidR="001C6CC7" w:rsidRDefault="00DC03D0">
      <w:pPr>
        <w:pStyle w:val="CBDNormalNoNumber"/>
        <w:ind w:firstLine="567"/>
      </w:pPr>
      <w:r>
        <w:rPr>
          <w:i/>
          <w:iCs/>
        </w:rPr>
        <w:t>L</w:t>
      </w:r>
      <w:r w:rsidR="0057315B">
        <w:rPr>
          <w:i/>
          <w:iCs/>
        </w:rPr>
        <w:t>’</w:t>
      </w:r>
      <w:r>
        <w:rPr>
          <w:i/>
          <w:iCs/>
        </w:rPr>
        <w:t xml:space="preserve">Organe subsidiaire </w:t>
      </w:r>
      <w:r w:rsidR="00DC5FCB">
        <w:rPr>
          <w:i/>
          <w:iCs/>
        </w:rPr>
        <w:t>chargé de l’application</w:t>
      </w:r>
    </w:p>
    <w:p w14:paraId="6214222E" w14:textId="6E2DD36E" w:rsidR="001C6CC7" w:rsidRDefault="00DC03D0">
      <w:pPr>
        <w:pStyle w:val="CBDNormalNoNumber"/>
        <w:ind w:firstLine="567"/>
      </w:pPr>
      <w:r>
        <w:rPr>
          <w:i/>
          <w:iCs/>
        </w:rPr>
        <w:t>Recommande</w:t>
      </w:r>
      <w:r>
        <w:t xml:space="preserve"> </w:t>
      </w:r>
      <w:r w:rsidR="00DC5FCB">
        <w:t xml:space="preserve">que </w:t>
      </w:r>
      <w:r>
        <w:t>la Conférence des Parties adopte</w:t>
      </w:r>
      <w:r w:rsidR="00DC5FCB">
        <w:t xml:space="preserve">, à sa dix-septième réunion, </w:t>
      </w:r>
      <w:r>
        <w:t xml:space="preserve">une décision </w:t>
      </w:r>
      <w:r w:rsidR="00DC5FCB">
        <w:t>libellée comme suit</w:t>
      </w:r>
      <w:r>
        <w:t xml:space="preserve"> :</w:t>
      </w:r>
    </w:p>
    <w:p w14:paraId="39702D9B" w14:textId="77777777" w:rsidR="001C6CC7" w:rsidRDefault="00DC03D0">
      <w:pPr>
        <w:pStyle w:val="CBDDesicionText"/>
      </w:pPr>
      <w:r>
        <w:rPr>
          <w:i/>
          <w:iCs/>
        </w:rPr>
        <w:t>La Conférence des Parties</w:t>
      </w:r>
      <w:r>
        <w:t>,</w:t>
      </w:r>
    </w:p>
    <w:p w14:paraId="1F92668E" w14:textId="77777777" w:rsidR="001C6CC7" w:rsidRDefault="00DC03D0">
      <w:pPr>
        <w:pStyle w:val="CBDDesicionText"/>
        <w:rPr>
          <w:i/>
          <w:iCs/>
        </w:rPr>
      </w:pPr>
      <w:r>
        <w:rPr>
          <w:i/>
          <w:iCs/>
        </w:rPr>
        <w:t xml:space="preserve">Rappelant </w:t>
      </w:r>
      <w:r w:rsidRPr="00DC5FCB">
        <w:t>les</w:t>
      </w:r>
      <w:r>
        <w:rPr>
          <w:i/>
          <w:iCs/>
        </w:rPr>
        <w:t xml:space="preserve"> </w:t>
      </w:r>
      <w:r>
        <w:t xml:space="preserve">décisions </w:t>
      </w:r>
      <w:hyperlink r:id="rId51" w:history="1">
        <w:r w:rsidR="001C6CC7">
          <w:rPr>
            <w:rStyle w:val="Hyperlink"/>
          </w:rPr>
          <w:t>16/25</w:t>
        </w:r>
      </w:hyperlink>
      <w:r>
        <w:t xml:space="preserve">, </w:t>
      </w:r>
      <w:hyperlink r:id="rId52" w:history="1">
        <w:r w:rsidR="001C6CC7">
          <w:rPr>
            <w:rStyle w:val="Hyperlink"/>
          </w:rPr>
          <w:t>CP-11/5</w:t>
        </w:r>
      </w:hyperlink>
      <w:r>
        <w:t xml:space="preserve"> et </w:t>
      </w:r>
      <w:hyperlink r:id="rId53" w:history="1">
        <w:r w:rsidR="001C6CC7">
          <w:rPr>
            <w:rStyle w:val="Hyperlink"/>
          </w:rPr>
          <w:t>NP-5/10</w:t>
        </w:r>
      </w:hyperlink>
      <w:r>
        <w:t xml:space="preserve"> du 1</w:t>
      </w:r>
      <w:r w:rsidRPr="00DC5FCB">
        <w:rPr>
          <w:vertAlign w:val="superscript"/>
        </w:rPr>
        <w:t>er</w:t>
      </w:r>
      <w:r>
        <w:t xml:space="preserve"> novembre 2024,</w:t>
      </w:r>
    </w:p>
    <w:p w14:paraId="4E7527DB" w14:textId="5E032532" w:rsidR="001C6CC7" w:rsidRDefault="00DC03D0">
      <w:pPr>
        <w:pStyle w:val="CBDDesicionText"/>
        <w:rPr>
          <w:i/>
          <w:iCs/>
        </w:rPr>
      </w:pPr>
      <w:r>
        <w:rPr>
          <w:i/>
          <w:iCs/>
        </w:rPr>
        <w:t xml:space="preserve">Reconnaissant </w:t>
      </w:r>
      <w:r>
        <w:t>la nécessité d</w:t>
      </w:r>
      <w:r w:rsidR="0057315B">
        <w:t>’</w:t>
      </w:r>
      <w:r>
        <w:t xml:space="preserve">améliorer </w:t>
      </w:r>
      <w:r w:rsidR="00DC5FCB">
        <w:t>davantage</w:t>
      </w:r>
      <w:r>
        <w:t xml:space="preserve"> l</w:t>
      </w:r>
      <w:r w:rsidR="0057315B">
        <w:t>’</w:t>
      </w:r>
      <w:r>
        <w:t xml:space="preserve">efficacité des réunions </w:t>
      </w:r>
      <w:r w:rsidR="00DC5FCB">
        <w:t>tenu</w:t>
      </w:r>
      <w:r>
        <w:t>es au titre de la Convention sur la diversité</w:t>
      </w:r>
      <w:r w:rsidR="00DC5FCB">
        <w:t xml:space="preserve"> biologique</w:t>
      </w:r>
      <w:r w:rsidR="00711438" w:rsidRPr="0017781F">
        <w:rPr>
          <w:rStyle w:val="FootnoteReference"/>
        </w:rPr>
        <w:footnoteReference w:id="30"/>
      </w:r>
      <w:r>
        <w:t xml:space="preserve"> et de ses </w:t>
      </w:r>
      <w:r w:rsidR="00DC5FCB">
        <w:t>P</w:t>
      </w:r>
      <w:r>
        <w:t>rotocoles,</w:t>
      </w:r>
    </w:p>
    <w:p w14:paraId="7F86E754" w14:textId="4F53255B" w:rsidR="001C6CC7" w:rsidRDefault="00DC03D0">
      <w:pPr>
        <w:pStyle w:val="CBDDesicionText"/>
      </w:pPr>
      <w:r>
        <w:rPr>
          <w:rFonts w:eastAsia="Times New Roman"/>
          <w:color w:val="000000"/>
        </w:rPr>
        <w:t>1.</w:t>
      </w:r>
      <w:r>
        <w:rPr>
          <w:rFonts w:eastAsia="Times New Roman"/>
          <w:color w:val="000000"/>
        </w:rPr>
        <w:tab/>
      </w:r>
      <w:r>
        <w:rPr>
          <w:i/>
          <w:iCs/>
        </w:rPr>
        <w:t xml:space="preserve">Se félicite </w:t>
      </w:r>
      <w:r w:rsidRPr="00EA0C2E">
        <w:t>des</w:t>
      </w:r>
      <w:r>
        <w:t xml:space="preserve"> progrès accomplis dans la mise en œuvre des mesures visant à améliorer l</w:t>
      </w:r>
      <w:r w:rsidR="0057315B">
        <w:t>’</w:t>
      </w:r>
      <w:r>
        <w:t>efficacité des processus relevant de la Convention et de ses Protocoles, tels qu</w:t>
      </w:r>
      <w:r w:rsidR="0057315B">
        <w:t>’</w:t>
      </w:r>
      <w:r>
        <w:t xml:space="preserve">ils sont décrits dans le document </w:t>
      </w:r>
      <w:hyperlink r:id="rId54" w:history="1">
        <w:r w:rsidR="001C6CC7">
          <w:rPr>
            <w:rStyle w:val="Hyperlink"/>
          </w:rPr>
          <w:t>CBD/SBI/6/9</w:t>
        </w:r>
      </w:hyperlink>
      <w:r>
        <w:t xml:space="preserve">, prend note du résumé des </w:t>
      </w:r>
      <w:r w:rsidR="00ED2D81">
        <w:t>communicati</w:t>
      </w:r>
      <w:r>
        <w:t>ons</w:t>
      </w:r>
      <w:r w:rsidR="00ED2D81">
        <w:t xml:space="preserve"> pour</w:t>
      </w:r>
      <w:r>
        <w:t xml:space="preserve"> améliorer l</w:t>
      </w:r>
      <w:r w:rsidR="0057315B">
        <w:t>’</w:t>
      </w:r>
      <w:r>
        <w:t xml:space="preserve">efficacité des réunions figurant dans le même document, et note </w:t>
      </w:r>
      <w:r w:rsidR="00ED2D81">
        <w:t>qu’il convient</w:t>
      </w:r>
      <w:r>
        <w:t xml:space="preserve"> d</w:t>
      </w:r>
      <w:r w:rsidR="0057315B">
        <w:t>’</w:t>
      </w:r>
      <w:r>
        <w:t>encourager davantage de Parties à contribuer à cette amélioration</w:t>
      </w:r>
      <w:r w:rsidR="00DC5FCB">
        <w:t>;</w:t>
      </w:r>
    </w:p>
    <w:p w14:paraId="75657B7F" w14:textId="63F82045" w:rsidR="001C6CC7" w:rsidRDefault="00DC03D0">
      <w:pPr>
        <w:pStyle w:val="CBDDesicionText"/>
        <w:rPr>
          <w:i/>
          <w:iCs/>
        </w:rPr>
      </w:pPr>
      <w:r>
        <w:rPr>
          <w:rFonts w:eastAsia="Times New Roman"/>
          <w:color w:val="000000"/>
        </w:rPr>
        <w:t>2.</w:t>
      </w:r>
      <w:r>
        <w:rPr>
          <w:rFonts w:eastAsia="Times New Roman"/>
          <w:color w:val="000000"/>
        </w:rPr>
        <w:tab/>
      </w:r>
      <w:r>
        <w:rPr>
          <w:i/>
          <w:iCs/>
        </w:rPr>
        <w:t xml:space="preserve">Prend note </w:t>
      </w:r>
      <w:r>
        <w:t xml:space="preserve">du projet pilote sur la </w:t>
      </w:r>
      <w:r w:rsidR="006F7DA9">
        <w:t>remise anticipée</w:t>
      </w:r>
      <w:r>
        <w:t xml:space="preserve"> de</w:t>
      </w:r>
      <w:r w:rsidR="00ED2D81">
        <w:t>s</w:t>
      </w:r>
      <w:r>
        <w:t xml:space="preserve"> déclarations </w:t>
      </w:r>
      <w:r w:rsidR="00ED2D81">
        <w:t xml:space="preserve">mis en œuvre </w:t>
      </w:r>
      <w:r>
        <w:t>pour la vingt-septième réunion de l</w:t>
      </w:r>
      <w:r w:rsidR="0057315B">
        <w:t>’</w:t>
      </w:r>
      <w:r>
        <w:t xml:space="preserve">Organe subsidiaire </w:t>
      </w:r>
      <w:r w:rsidR="00DC5FCB">
        <w:t>chargé de fournir des avis</w:t>
      </w:r>
      <w:r>
        <w:t xml:space="preserve"> scientifique</w:t>
      </w:r>
      <w:r w:rsidR="00DC5FCB">
        <w:t>s</w:t>
      </w:r>
      <w:r>
        <w:t>, technique</w:t>
      </w:r>
      <w:r w:rsidR="00DC5FCB">
        <w:t>s</w:t>
      </w:r>
      <w:r>
        <w:t xml:space="preserve"> et technologique</w:t>
      </w:r>
      <w:r w:rsidR="00DC5FCB">
        <w:t>s;</w:t>
      </w:r>
    </w:p>
    <w:p w14:paraId="513FAC40" w14:textId="3D487C39" w:rsidR="001C6CC7" w:rsidRDefault="00DC03D0">
      <w:pPr>
        <w:pStyle w:val="CBDDesicionText"/>
        <w:rPr>
          <w:i/>
          <w:iCs/>
        </w:rPr>
      </w:pPr>
      <w:r>
        <w:rPr>
          <w:rFonts w:eastAsia="Times New Roman"/>
        </w:rPr>
        <w:t>3.</w:t>
      </w:r>
      <w:r>
        <w:rPr>
          <w:rFonts w:eastAsia="Times New Roman"/>
        </w:rPr>
        <w:tab/>
      </w:r>
      <w:r>
        <w:rPr>
          <w:i/>
          <w:iCs/>
        </w:rPr>
        <w:t xml:space="preserve">Encourage </w:t>
      </w:r>
      <w:r w:rsidRPr="00DC5FCB">
        <w:t>les</w:t>
      </w:r>
      <w:r>
        <w:rPr>
          <w:i/>
          <w:iCs/>
        </w:rPr>
        <w:t xml:space="preserve"> </w:t>
      </w:r>
      <w:r>
        <w:t>Parties, les autres gouvernements et les organisations ayant le statut d</w:t>
      </w:r>
      <w:r w:rsidR="0057315B">
        <w:t>’</w:t>
      </w:r>
      <w:r>
        <w:t xml:space="preserve">observateur à continuer de participer activement au processus de </w:t>
      </w:r>
      <w:r w:rsidR="006F7DA9">
        <w:t>remise anticipée</w:t>
      </w:r>
      <w:r w:rsidR="00ED2D81">
        <w:t xml:space="preserve"> des déclarations</w:t>
      </w:r>
      <w:r>
        <w:t xml:space="preserve"> chaque fois qu</w:t>
      </w:r>
      <w:r w:rsidR="0057315B">
        <w:t>’</w:t>
      </w:r>
      <w:r>
        <w:t>il est utilisé pour les réunions des organes subsidiaires ou directeurs</w:t>
      </w:r>
      <w:r w:rsidR="00DC5FCB">
        <w:t>;</w:t>
      </w:r>
    </w:p>
    <w:p w14:paraId="12BFE97F" w14:textId="53FF870A" w:rsidR="001C6CC7" w:rsidRDefault="00DC03D0">
      <w:pPr>
        <w:pStyle w:val="CBDDesicionText"/>
      </w:pPr>
      <w:r>
        <w:rPr>
          <w:rFonts w:eastAsia="Times New Roman"/>
        </w:rPr>
        <w:t>4.</w:t>
      </w:r>
      <w:r>
        <w:rPr>
          <w:rFonts w:eastAsia="Times New Roman"/>
        </w:rPr>
        <w:tab/>
      </w:r>
      <w:r>
        <w:rPr>
          <w:i/>
          <w:iCs/>
        </w:rPr>
        <w:t>Prie</w:t>
      </w:r>
      <w:r>
        <w:t xml:space="preserve"> le Bureau de la Conférence des Parties et le Bureau de l</w:t>
      </w:r>
      <w:r w:rsidR="0057315B">
        <w:t>’</w:t>
      </w:r>
      <w:r>
        <w:t xml:space="preserve">Organe subsidiaire chargé de fournir des avis scientifiques, techniques et technologiques de continuer à améliorer les modalités de </w:t>
      </w:r>
      <w:r w:rsidR="006F7DA9">
        <w:t>remise anticipée</w:t>
      </w:r>
      <w:r>
        <w:t xml:space="preserve"> des déclarations</w:t>
      </w:r>
      <w:r w:rsidR="00DC5FCB">
        <w:t>;</w:t>
      </w:r>
    </w:p>
    <w:p w14:paraId="676D633C" w14:textId="78E5EF60" w:rsidR="001C6CC7" w:rsidRDefault="00DC03D0">
      <w:pPr>
        <w:pStyle w:val="CBDDesicionText"/>
      </w:pPr>
      <w:r>
        <w:rPr>
          <w:rFonts w:eastAsia="Times New Roman"/>
          <w:color w:val="000000"/>
        </w:rPr>
        <w:t>5.</w:t>
      </w:r>
      <w:r>
        <w:rPr>
          <w:rFonts w:eastAsia="Times New Roman"/>
          <w:color w:val="000000"/>
        </w:rPr>
        <w:tab/>
      </w:r>
      <w:r>
        <w:rPr>
          <w:i/>
          <w:iCs/>
        </w:rPr>
        <w:t xml:space="preserve">Recommande </w:t>
      </w:r>
      <w:r>
        <w:t xml:space="preserve">que, dans la mesure du possible, les projets de décision </w:t>
      </w:r>
      <w:r w:rsidR="00ED2D81">
        <w:t>présentés</w:t>
      </w:r>
      <w:r>
        <w:t xml:space="preserve"> à la Conférence des Parties par l</w:t>
      </w:r>
      <w:r w:rsidR="0057315B">
        <w:t>’</w:t>
      </w:r>
      <w:r>
        <w:t>Organe subsidiaire chargé de fournir des avis scientifiques, techniques et technologiques, l</w:t>
      </w:r>
      <w:r w:rsidR="0057315B">
        <w:t>’</w:t>
      </w:r>
      <w:r>
        <w:t>Organe subsidiaire chargé de l</w:t>
      </w:r>
      <w:r w:rsidR="0057315B">
        <w:t>’</w:t>
      </w:r>
      <w:r>
        <w:t>application ou l</w:t>
      </w:r>
      <w:r w:rsidR="0057315B">
        <w:t>’</w:t>
      </w:r>
      <w:r>
        <w:t xml:space="preserve">Organe subsidiaire </w:t>
      </w:r>
      <w:r w:rsidR="00DC5FCB">
        <w:t>sur</w:t>
      </w:r>
      <w:r>
        <w:t xml:space="preserve"> l</w:t>
      </w:r>
      <w:r w:rsidR="0057315B">
        <w:t>’</w:t>
      </w:r>
      <w:r>
        <w:t>article 8</w:t>
      </w:r>
      <w:r w:rsidR="00DC5FCB">
        <w:t xml:space="preserve"> j)</w:t>
      </w:r>
      <w:r>
        <w:t xml:space="preserve"> et d</w:t>
      </w:r>
      <w:r w:rsidR="00DC5FCB">
        <w:t>’</w:t>
      </w:r>
      <w:r>
        <w:t>autres dispositions de la Convention sur la diversité biologique relatives aux peuples autochtones et communautés locales ne fassent pas l</w:t>
      </w:r>
      <w:r w:rsidR="0057315B">
        <w:t>’</w:t>
      </w:r>
      <w:r>
        <w:t>objet d</w:t>
      </w:r>
      <w:r w:rsidR="0057315B">
        <w:t>’</w:t>
      </w:r>
      <w:r>
        <w:t>une première lecture lors d</w:t>
      </w:r>
      <w:r w:rsidR="00ED2D81">
        <w:t>es</w:t>
      </w:r>
      <w:r>
        <w:t xml:space="preserve"> réunion</w:t>
      </w:r>
      <w:r w:rsidR="00ED2D81">
        <w:t>s</w:t>
      </w:r>
      <w:r>
        <w:t xml:space="preserve"> de la Conférence des Parties, afin de fa</w:t>
      </w:r>
      <w:r w:rsidR="00ED2D81">
        <w:t>vorise</w:t>
      </w:r>
      <w:r>
        <w:t>r une prise de décisions plus efficace</w:t>
      </w:r>
      <w:r w:rsidR="00DC5FCB">
        <w:t>;</w:t>
      </w:r>
    </w:p>
    <w:p w14:paraId="6A84D42E" w14:textId="36F93571" w:rsidR="001C6CC7" w:rsidRDefault="00DC03D0">
      <w:pPr>
        <w:pStyle w:val="CBDDesicionText"/>
        <w:keepNext/>
      </w:pPr>
      <w:r>
        <w:rPr>
          <w:rFonts w:eastAsia="Times New Roman"/>
          <w:color w:val="000000"/>
        </w:rPr>
        <w:t>6.</w:t>
      </w:r>
      <w:r>
        <w:rPr>
          <w:rFonts w:eastAsia="Times New Roman"/>
          <w:color w:val="000000"/>
        </w:rPr>
        <w:tab/>
      </w:r>
      <w:r>
        <w:rPr>
          <w:i/>
          <w:iCs/>
        </w:rPr>
        <w:t>Prie</w:t>
      </w:r>
      <w:r>
        <w:t xml:space="preserve"> l</w:t>
      </w:r>
      <w:r w:rsidR="00DC5FCB">
        <w:t>a</w:t>
      </w:r>
      <w:r>
        <w:t xml:space="preserve"> Secrétaire exécuti</w:t>
      </w:r>
      <w:r w:rsidR="00DC5FCB">
        <w:t>ve</w:t>
      </w:r>
      <w:r>
        <w:t xml:space="preserve">, </w:t>
      </w:r>
      <w:r w:rsidR="00DC5FCB">
        <w:t xml:space="preserve">en </w:t>
      </w:r>
      <w:r>
        <w:t>consultation avec les Bureaux</w:t>
      </w:r>
      <w:r w:rsidR="00DC5FCB">
        <w:t>, de</w:t>
      </w:r>
      <w:r>
        <w:t xml:space="preserve"> :</w:t>
      </w:r>
    </w:p>
    <w:p w14:paraId="04CCCB52" w14:textId="7FA76C34" w:rsidR="001C6CC7" w:rsidRDefault="00DC03D0">
      <w:pPr>
        <w:pStyle w:val="CBDDesicionText"/>
      </w:pPr>
      <w:r>
        <w:rPr>
          <w:rFonts w:eastAsia="Times New Roman"/>
        </w:rPr>
        <w:t>a)</w:t>
      </w:r>
      <w:r>
        <w:rPr>
          <w:rFonts w:eastAsia="Times New Roman"/>
        </w:rPr>
        <w:tab/>
      </w:r>
      <w:r w:rsidR="00DC5FCB">
        <w:rPr>
          <w:rFonts w:eastAsia="Times New Roman"/>
        </w:rPr>
        <w:t>O</w:t>
      </w:r>
      <w:r>
        <w:t xml:space="preserve">rganiser, dans la mesure du possible, des </w:t>
      </w:r>
      <w:r w:rsidR="00ED2D81">
        <w:t xml:space="preserve">séances </w:t>
      </w:r>
      <w:r>
        <w:t>d</w:t>
      </w:r>
      <w:r w:rsidR="0057315B">
        <w:t>’</w:t>
      </w:r>
      <w:r>
        <w:t>information</w:t>
      </w:r>
      <w:r w:rsidR="00ED2D81">
        <w:t xml:space="preserve"> de</w:t>
      </w:r>
      <w:r>
        <w:t xml:space="preserve"> présession en ligne à l</w:t>
      </w:r>
      <w:r w:rsidR="0057315B">
        <w:t>’</w:t>
      </w:r>
      <w:r>
        <w:t>intention des Parties et des observateurs sur les points de l</w:t>
      </w:r>
      <w:r w:rsidR="0057315B">
        <w:t>’</w:t>
      </w:r>
      <w:r>
        <w:t>ordre du jour et les procédures de</w:t>
      </w:r>
      <w:r w:rsidR="009267B6">
        <w:t>s</w:t>
      </w:r>
      <w:r>
        <w:t xml:space="preserve"> réunion des organes subsidiaires ou directeurs</w:t>
      </w:r>
      <w:r w:rsidR="00DC5FCB">
        <w:t>;</w:t>
      </w:r>
    </w:p>
    <w:p w14:paraId="3FA0BDC4" w14:textId="70745AF3" w:rsidR="001C6CC7" w:rsidRDefault="00DC03D0">
      <w:pPr>
        <w:pStyle w:val="CBDDesicionText"/>
      </w:pPr>
      <w:r>
        <w:rPr>
          <w:rFonts w:eastAsia="Times New Roman"/>
        </w:rPr>
        <w:t>b)</w:t>
      </w:r>
      <w:r>
        <w:rPr>
          <w:rFonts w:eastAsia="Times New Roman"/>
        </w:rPr>
        <w:tab/>
        <w:t xml:space="preserve">Étudier </w:t>
      </w:r>
      <w:r>
        <w:t>l</w:t>
      </w:r>
      <w:r w:rsidR="0057315B">
        <w:t>’</w:t>
      </w:r>
      <w:r>
        <w:t>utilisation de technologie</w:t>
      </w:r>
      <w:r w:rsidR="00DC5FCB">
        <w:t>s susceptibles d’</w:t>
      </w:r>
      <w:r>
        <w:t>accélérer les processus décisionnels</w:t>
      </w:r>
      <w:r w:rsidR="00DC5FCB">
        <w:t>;</w:t>
      </w:r>
    </w:p>
    <w:p w14:paraId="149CCBCB" w14:textId="3224E5B5" w:rsidR="001C6CC7" w:rsidRDefault="00DC03D0">
      <w:pPr>
        <w:pStyle w:val="CBDDesicionText"/>
      </w:pPr>
      <w:r>
        <w:rPr>
          <w:rFonts w:eastAsia="Times New Roman"/>
        </w:rPr>
        <w:lastRenderedPageBreak/>
        <w:t>c)</w:t>
      </w:r>
      <w:r>
        <w:rPr>
          <w:rFonts w:eastAsia="Times New Roman"/>
        </w:rPr>
        <w:tab/>
      </w:r>
      <w:r>
        <w:t>Continuer d</w:t>
      </w:r>
      <w:r w:rsidR="0057315B">
        <w:t>’</w:t>
      </w:r>
      <w:r>
        <w:t>étudier des mécanismes permettant de rationaliser les ordres du jour, en vue de réduire les doubles emplois</w:t>
      </w:r>
      <w:r w:rsidR="00DC5FCB">
        <w:t>;</w:t>
      </w:r>
    </w:p>
    <w:p w14:paraId="5E42D814" w14:textId="69752969" w:rsidR="001C6CC7" w:rsidRDefault="00DC03D0">
      <w:pPr>
        <w:pStyle w:val="CBDDesicionText"/>
      </w:pPr>
      <w:r>
        <w:rPr>
          <w:rFonts w:eastAsia="Times New Roman"/>
          <w:color w:val="000000"/>
        </w:rPr>
        <w:t>7.</w:t>
      </w:r>
      <w:r>
        <w:rPr>
          <w:rFonts w:eastAsia="Times New Roman"/>
          <w:color w:val="000000"/>
        </w:rPr>
        <w:tab/>
      </w:r>
      <w:r>
        <w:rPr>
          <w:i/>
          <w:iCs/>
        </w:rPr>
        <w:t>Prie également</w:t>
      </w:r>
      <w:r>
        <w:t xml:space="preserve"> l</w:t>
      </w:r>
      <w:r w:rsidR="00DC5FCB">
        <w:t>a</w:t>
      </w:r>
      <w:r>
        <w:t xml:space="preserve"> Secrétaire exécuti</w:t>
      </w:r>
      <w:r w:rsidR="00DC5FCB">
        <w:t>ve de</w:t>
      </w:r>
      <w:r>
        <w:t xml:space="preserve"> :</w:t>
      </w:r>
    </w:p>
    <w:p w14:paraId="45684CFC" w14:textId="15C4D48E" w:rsidR="001C6CC7" w:rsidRDefault="00DC03D0">
      <w:pPr>
        <w:pStyle w:val="CBDDesicionText"/>
      </w:pPr>
      <w:r>
        <w:rPr>
          <w:rFonts w:eastAsia="Times New Roman"/>
        </w:rPr>
        <w:t>a)</w:t>
      </w:r>
      <w:r>
        <w:rPr>
          <w:rFonts w:eastAsia="Times New Roman"/>
        </w:rPr>
        <w:tab/>
      </w:r>
      <w:r w:rsidR="009267B6">
        <w:t>Assurer la participation</w:t>
      </w:r>
      <w:r>
        <w:t xml:space="preserve"> </w:t>
      </w:r>
      <w:r w:rsidR="009267B6">
        <w:t>d</w:t>
      </w:r>
      <w:r>
        <w:t>es secrétariats d</w:t>
      </w:r>
      <w:r w:rsidR="0057315B">
        <w:t>’</w:t>
      </w:r>
      <w:r>
        <w:t xml:space="preserve">autres </w:t>
      </w:r>
      <w:r>
        <w:rPr>
          <w:rStyle w:val="None"/>
        </w:rPr>
        <w:t>accords multilatéraux</w:t>
      </w:r>
      <w:r>
        <w:t xml:space="preserve"> sur l</w:t>
      </w:r>
      <w:r w:rsidR="0057315B">
        <w:t>’</w:t>
      </w:r>
      <w:r>
        <w:rPr>
          <w:rStyle w:val="None"/>
        </w:rPr>
        <w:t>environnement</w:t>
      </w:r>
      <w:r>
        <w:t xml:space="preserve"> </w:t>
      </w:r>
      <w:r w:rsidR="009267B6">
        <w:t>à la poursuite du recensement</w:t>
      </w:r>
      <w:r w:rsidR="0023421C">
        <w:t xml:space="preserve"> </w:t>
      </w:r>
      <w:r>
        <w:t>des meilleures pratiques p</w:t>
      </w:r>
      <w:r w:rsidR="009267B6">
        <w:t>ermettant d’</w:t>
      </w:r>
      <w:r>
        <w:t>améliorer l</w:t>
      </w:r>
      <w:r w:rsidR="0057315B">
        <w:t>’</w:t>
      </w:r>
      <w:r>
        <w:t>efficacité des réunions</w:t>
      </w:r>
      <w:r w:rsidR="00DC5FCB">
        <w:t>;</w:t>
      </w:r>
    </w:p>
    <w:p w14:paraId="4D5E3198" w14:textId="54FD8F05" w:rsidR="001C6CC7" w:rsidRDefault="00DC03D0">
      <w:pPr>
        <w:pStyle w:val="CBDDesicionText"/>
      </w:pPr>
      <w:r>
        <w:rPr>
          <w:rFonts w:eastAsia="Times New Roman"/>
        </w:rPr>
        <w:t>b)</w:t>
      </w:r>
      <w:r>
        <w:rPr>
          <w:rFonts w:eastAsia="Times New Roman"/>
        </w:rPr>
        <w:tab/>
        <w:t xml:space="preserve">Inviter </w:t>
      </w:r>
      <w:r>
        <w:t xml:space="preserve">en outre les Parties et les </w:t>
      </w:r>
      <w:r w:rsidR="0023421C">
        <w:t>p</w:t>
      </w:r>
      <w:r>
        <w:t xml:space="preserve">arties prenantes à </w:t>
      </w:r>
      <w:r w:rsidR="009267B6">
        <w:t>transmettre</w:t>
      </w:r>
      <w:r>
        <w:t xml:space="preserve"> des communications sur </w:t>
      </w:r>
      <w:r w:rsidR="009267B6">
        <w:t>d</w:t>
      </w:r>
      <w:r>
        <w:t xml:space="preserve">es options pour améliorer </w:t>
      </w:r>
      <w:r w:rsidR="00DC5FCB">
        <w:t>davantage</w:t>
      </w:r>
      <w:r>
        <w:t xml:space="preserve"> l</w:t>
      </w:r>
      <w:r w:rsidR="0057315B">
        <w:t>’</w:t>
      </w:r>
      <w:r>
        <w:t>efficacité des réunions tenues au titre de la Convention et de ses Protocoles</w:t>
      </w:r>
      <w:r w:rsidR="009267B6">
        <w:t>,</w:t>
      </w:r>
      <w:r>
        <w:t xml:space="preserve"> et</w:t>
      </w:r>
      <w:r w:rsidR="009267B6">
        <w:t xml:space="preserve"> mettre ces communications </w:t>
      </w:r>
      <w:r>
        <w:t>à</w:t>
      </w:r>
      <w:r w:rsidR="009267B6">
        <w:t xml:space="preserve"> la disposition de </w:t>
      </w:r>
      <w:r>
        <w:t>l</w:t>
      </w:r>
      <w:r w:rsidR="0057315B">
        <w:t>’</w:t>
      </w:r>
      <w:r>
        <w:t xml:space="preserve">Organe subsidiaire </w:t>
      </w:r>
      <w:r w:rsidR="00DC5FCB">
        <w:t xml:space="preserve">chargé de l’application, </w:t>
      </w:r>
      <w:r w:rsidR="009267B6">
        <w:t xml:space="preserve">pour </w:t>
      </w:r>
      <w:r>
        <w:t xml:space="preserve">examen à une réunion </w:t>
      </w:r>
      <w:r w:rsidR="0006549C">
        <w:t xml:space="preserve">qui se tiendra </w:t>
      </w:r>
      <w:r>
        <w:t>avant la dix-huitième réunion de la Conférence des Parties.</w:t>
      </w:r>
    </w:p>
    <w:p w14:paraId="31A16A16" w14:textId="1B40C25D" w:rsidR="001C6CC7" w:rsidRDefault="00DC03D0">
      <w:pPr>
        <w:pStyle w:val="CBDNormalNumber"/>
      </w:pPr>
      <w:r>
        <w:t>L</w:t>
      </w:r>
      <w:r w:rsidR="0057315B">
        <w:t>’</w:t>
      </w:r>
      <w:r>
        <w:t xml:space="preserve">Organe subsidiaire souhaitera peut-être aussi adopter une recommandation </w:t>
      </w:r>
      <w:r w:rsidR="0006549C">
        <w:t>libellée comme suit</w:t>
      </w:r>
      <w:r>
        <w:t xml:space="preserve"> :</w:t>
      </w:r>
    </w:p>
    <w:p w14:paraId="186FADFA" w14:textId="09DBF493" w:rsidR="001C6CC7" w:rsidRDefault="00DC03D0">
      <w:pPr>
        <w:pStyle w:val="CBDNormalNoNumber"/>
        <w:ind w:firstLine="567"/>
      </w:pPr>
      <w:r>
        <w:rPr>
          <w:i/>
          <w:iCs/>
        </w:rPr>
        <w:t>L</w:t>
      </w:r>
      <w:r w:rsidR="0057315B">
        <w:rPr>
          <w:i/>
          <w:iCs/>
        </w:rPr>
        <w:t>’</w:t>
      </w:r>
      <w:r>
        <w:rPr>
          <w:i/>
          <w:iCs/>
        </w:rPr>
        <w:t xml:space="preserve">Organe subsidiaire </w:t>
      </w:r>
      <w:r w:rsidR="0006549C">
        <w:rPr>
          <w:i/>
          <w:iCs/>
        </w:rPr>
        <w:t>chargé de l’application</w:t>
      </w:r>
    </w:p>
    <w:p w14:paraId="0F721D73" w14:textId="0EC7C9E2" w:rsidR="001C6CC7" w:rsidRDefault="00DC03D0">
      <w:pPr>
        <w:pStyle w:val="CBDNormalNoNumber"/>
        <w:ind w:firstLine="567"/>
      </w:pPr>
      <w:r>
        <w:rPr>
          <w:i/>
          <w:iCs/>
        </w:rPr>
        <w:t>Recommande</w:t>
      </w:r>
      <w:r>
        <w:t xml:space="preserve"> qu</w:t>
      </w:r>
      <w:r w:rsidR="0006549C">
        <w:t>e</w:t>
      </w:r>
      <w:r>
        <w:t xml:space="preserve"> la Conférence des Parties </w:t>
      </w:r>
      <w:r w:rsidR="00F97AB6">
        <w:t>siégeant en tant que</w:t>
      </w:r>
      <w:r>
        <w:t xml:space="preserve"> réunion des Parties au Protocole de </w:t>
      </w:r>
      <w:r w:rsidR="00F97AB6">
        <w:t>Cartagena</w:t>
      </w:r>
      <w:r>
        <w:t xml:space="preserve"> adopte</w:t>
      </w:r>
      <w:r w:rsidR="0006549C">
        <w:t>, à sa douzième réunion,</w:t>
      </w:r>
      <w:r>
        <w:t xml:space="preserve"> une décision </w:t>
      </w:r>
      <w:r w:rsidR="0006549C">
        <w:t>libellée comme suit</w:t>
      </w:r>
      <w:r>
        <w:t xml:space="preserve"> :</w:t>
      </w:r>
    </w:p>
    <w:p w14:paraId="27E07F26" w14:textId="0CFFB0BA" w:rsidR="001C6CC7" w:rsidRDefault="00DC03D0">
      <w:pPr>
        <w:pStyle w:val="CBDDesicionText"/>
      </w:pPr>
      <w:r>
        <w:rPr>
          <w:i/>
          <w:iCs/>
        </w:rPr>
        <w:t xml:space="preserve">La Conférence des Parties </w:t>
      </w:r>
      <w:r w:rsidR="00F97AB6">
        <w:rPr>
          <w:i/>
          <w:iCs/>
        </w:rPr>
        <w:t>siégeant en tant que</w:t>
      </w:r>
      <w:r>
        <w:rPr>
          <w:i/>
          <w:iCs/>
        </w:rPr>
        <w:t xml:space="preserve"> réunion des Parties au Protocole de </w:t>
      </w:r>
      <w:r w:rsidR="00F97AB6">
        <w:rPr>
          <w:i/>
          <w:iCs/>
        </w:rPr>
        <w:t>Cartagena</w:t>
      </w:r>
      <w:r>
        <w:t>,</w:t>
      </w:r>
    </w:p>
    <w:p w14:paraId="6A7A9B63" w14:textId="2B456648" w:rsidR="001C6CC7" w:rsidRDefault="00DC03D0">
      <w:pPr>
        <w:pStyle w:val="CBDDesicionText"/>
      </w:pPr>
      <w:r>
        <w:rPr>
          <w:i/>
          <w:iCs/>
        </w:rPr>
        <w:t>Reconnaissant</w:t>
      </w:r>
      <w:r>
        <w:t xml:space="preserve"> la nécessité de garantir l</w:t>
      </w:r>
      <w:r w:rsidR="0057315B">
        <w:t>’</w:t>
      </w:r>
      <w:r>
        <w:t xml:space="preserve">intégrité du Protocole de </w:t>
      </w:r>
      <w:r w:rsidR="00F97AB6">
        <w:t>Cartagena</w:t>
      </w:r>
      <w:r>
        <w:t xml:space="preserve"> sur la prévention des risques biotechnologiques</w:t>
      </w:r>
      <w:r w:rsidR="00402235" w:rsidRPr="0017781F">
        <w:rPr>
          <w:rStyle w:val="FootnoteReference"/>
        </w:rPr>
        <w:footnoteReference w:id="31"/>
      </w:r>
      <w:r w:rsidR="009267B6">
        <w:t>,</w:t>
      </w:r>
      <w:r>
        <w:t xml:space="preserve"> tout en recherchant des gains d</w:t>
      </w:r>
      <w:r w:rsidR="0057315B">
        <w:t>’</w:t>
      </w:r>
      <w:r>
        <w:t xml:space="preserve">efficacité et en intégrant les processus </w:t>
      </w:r>
      <w:r w:rsidR="009267B6">
        <w:t>avec</w:t>
      </w:r>
      <w:r>
        <w:t xml:space="preserve"> la Convention sur la diversité</w:t>
      </w:r>
      <w:r w:rsidR="0006549C">
        <w:t xml:space="preserve"> biologique</w:t>
      </w:r>
      <w:r w:rsidR="006F281B" w:rsidRPr="0017781F">
        <w:rPr>
          <w:rStyle w:val="FootnoteReference"/>
        </w:rPr>
        <w:footnoteReference w:id="32"/>
      </w:r>
      <w:r>
        <w:t xml:space="preserve"> et </w:t>
      </w:r>
      <w:r w:rsidR="009267B6">
        <w:t>le</w:t>
      </w:r>
      <w:r>
        <w:t xml:space="preserve"> Protocole de Nagoya sur l</w:t>
      </w:r>
      <w:r w:rsidR="0057315B">
        <w:t>’</w:t>
      </w:r>
      <w:r>
        <w:t>accès aux ressources génétiques et le partage juste et équitable des avantages découlant de leur utilisation</w:t>
      </w:r>
      <w:r w:rsidR="00CE7449" w:rsidRPr="0017781F">
        <w:rPr>
          <w:rStyle w:val="FootnoteReference"/>
        </w:rPr>
        <w:footnoteReference w:id="33"/>
      </w:r>
      <w:r w:rsidR="0006549C">
        <w:t>,</w:t>
      </w:r>
    </w:p>
    <w:p w14:paraId="7CA802D9" w14:textId="08BDEBAD" w:rsidR="001C6CC7" w:rsidRDefault="00DC03D0">
      <w:pPr>
        <w:pStyle w:val="CBDDesicionText"/>
      </w:pPr>
      <w:r>
        <w:rPr>
          <w:rFonts w:eastAsia="Times New Roman"/>
          <w:color w:val="000000"/>
        </w:rPr>
        <w:t>1.</w:t>
      </w:r>
      <w:r>
        <w:rPr>
          <w:rFonts w:eastAsia="Times New Roman"/>
          <w:color w:val="000000"/>
        </w:rPr>
        <w:tab/>
      </w:r>
      <w:r>
        <w:rPr>
          <w:rFonts w:eastAsia="Times New Roman"/>
          <w:i/>
          <w:iCs/>
          <w:color w:val="000000"/>
        </w:rPr>
        <w:t xml:space="preserve">Prend </w:t>
      </w:r>
      <w:r>
        <w:rPr>
          <w:i/>
          <w:iCs/>
        </w:rPr>
        <w:t>note</w:t>
      </w:r>
      <w:r>
        <w:t xml:space="preserve"> de la décision 17/-- de la Conférence des Parties à la Convention</w:t>
      </w:r>
      <w:r w:rsidR="0006549C">
        <w:t>;</w:t>
      </w:r>
    </w:p>
    <w:p w14:paraId="54822F86" w14:textId="72715BF2" w:rsidR="001C6CC7" w:rsidRDefault="00DC03D0">
      <w:pPr>
        <w:pStyle w:val="CBDDesicionText"/>
      </w:pPr>
      <w:r>
        <w:rPr>
          <w:rFonts w:eastAsia="Times New Roman"/>
          <w:color w:val="000000"/>
        </w:rPr>
        <w:t>2.</w:t>
      </w:r>
      <w:r>
        <w:rPr>
          <w:rFonts w:eastAsia="Times New Roman"/>
          <w:color w:val="000000"/>
        </w:rPr>
        <w:tab/>
      </w:r>
      <w:r>
        <w:rPr>
          <w:i/>
          <w:iCs/>
        </w:rPr>
        <w:t>Se félicite</w:t>
      </w:r>
      <w:r>
        <w:t xml:space="preserve"> des progrès accomplis dans l</w:t>
      </w:r>
      <w:r w:rsidR="00EB78FE">
        <w:t>’élaboration de</w:t>
      </w:r>
      <w:r>
        <w:t xml:space="preserve"> l</w:t>
      </w:r>
      <w:r w:rsidR="0057315B">
        <w:t>’</w:t>
      </w:r>
      <w:r>
        <w:t xml:space="preserve">outil de suivi des décisions </w:t>
      </w:r>
      <w:r w:rsidR="009267B6">
        <w:t>en application</w:t>
      </w:r>
      <w:r>
        <w:t xml:space="preserve"> de la décision </w:t>
      </w:r>
      <w:hyperlink r:id="rId55" w:history="1">
        <w:r w:rsidR="001C6CC7">
          <w:rPr>
            <w:rStyle w:val="Hyperlink"/>
          </w:rPr>
          <w:t>XII</w:t>
        </w:r>
        <w:r w:rsidR="001C6CC7" w:rsidRPr="00BF2CE6">
          <w:rPr>
            <w:rStyle w:val="Hyperlink"/>
            <w:color w:val="1F497D" w:themeColor="text2"/>
          </w:rPr>
          <w:t>/</w:t>
        </w:r>
        <w:r w:rsidR="001C6CC7" w:rsidRPr="00BF2CE6">
          <w:rPr>
            <w:color w:val="1F497D" w:themeColor="text2"/>
            <w:u w:val="single"/>
          </w:rPr>
          <w:t>28</w:t>
        </w:r>
      </w:hyperlink>
      <w:r>
        <w:t xml:space="preserve"> </w:t>
      </w:r>
      <w:r w:rsidR="00EB78FE">
        <w:t xml:space="preserve">du 17 octobre 2014 </w:t>
      </w:r>
      <w:r>
        <w:t xml:space="preserve">de la Conférence des Parties à la Convention, comme indiqué dans le document </w:t>
      </w:r>
      <w:hyperlink r:id="rId56" w:history="1">
        <w:r w:rsidR="001C6CC7">
          <w:rPr>
            <w:rStyle w:val="Hyperlink"/>
          </w:rPr>
          <w:t>CBD/SBI/6/INF/11</w:t>
        </w:r>
      </w:hyperlink>
      <w:r w:rsidR="0006549C">
        <w:t>;</w:t>
      </w:r>
    </w:p>
    <w:p w14:paraId="216608B7" w14:textId="0FF9AE0B" w:rsidR="001C6CC7" w:rsidRDefault="00DC03D0">
      <w:pPr>
        <w:pStyle w:val="CBDDesicionText"/>
      </w:pPr>
      <w:r>
        <w:rPr>
          <w:rFonts w:eastAsia="Times New Roman"/>
          <w:color w:val="000000"/>
        </w:rPr>
        <w:t>3.</w:t>
      </w:r>
      <w:r>
        <w:rPr>
          <w:rFonts w:eastAsia="Times New Roman"/>
          <w:color w:val="000000"/>
        </w:rPr>
        <w:tab/>
      </w:r>
      <w:r>
        <w:rPr>
          <w:i/>
          <w:iCs/>
        </w:rPr>
        <w:t xml:space="preserve">Décide </w:t>
      </w:r>
      <w:r>
        <w:t xml:space="preserve">que les décisions de la Conférence des Parties </w:t>
      </w:r>
      <w:r w:rsidR="00F97AB6">
        <w:t>siégeant en tant que</w:t>
      </w:r>
      <w:r>
        <w:t xml:space="preserve"> </w:t>
      </w:r>
      <w:r w:rsidR="0006549C">
        <w:t>r</w:t>
      </w:r>
      <w:r>
        <w:t>éunion des Parties au Protocole de Cartagena sur la prévention des risques biotechnologiques devraient être incluses dans l</w:t>
      </w:r>
      <w:r w:rsidR="0057315B">
        <w:t>’</w:t>
      </w:r>
      <w:r>
        <w:t>outil de suivi des décisions</w:t>
      </w:r>
      <w:r w:rsidR="0051234B">
        <w:t>;</w:t>
      </w:r>
    </w:p>
    <w:p w14:paraId="62691092" w14:textId="615BC64B" w:rsidR="001C6CC7" w:rsidRDefault="00DC03D0">
      <w:pPr>
        <w:pStyle w:val="CBDDesicionText"/>
      </w:pPr>
      <w:r>
        <w:rPr>
          <w:rFonts w:eastAsia="Times New Roman"/>
          <w:color w:val="000000"/>
        </w:rPr>
        <w:t>4.</w:t>
      </w:r>
      <w:r>
        <w:rPr>
          <w:rFonts w:eastAsia="Times New Roman"/>
          <w:color w:val="000000"/>
        </w:rPr>
        <w:tab/>
      </w:r>
      <w:r>
        <w:rPr>
          <w:i/>
          <w:iCs/>
        </w:rPr>
        <w:t>Prie</w:t>
      </w:r>
      <w:r>
        <w:t xml:space="preserve"> l</w:t>
      </w:r>
      <w:r w:rsidR="0051234B">
        <w:t>a</w:t>
      </w:r>
      <w:r>
        <w:t xml:space="preserve"> Secrétaire exécuti</w:t>
      </w:r>
      <w:r w:rsidR="0051234B">
        <w:t>ve</w:t>
      </w:r>
      <w:r>
        <w:t xml:space="preserve"> de prendre les mesures nécessaires à cet égard, en commençant par les décisions de ses dixième et onzième réunions</w:t>
      </w:r>
      <w:r w:rsidR="0051234B">
        <w:t>;</w:t>
      </w:r>
      <w:r>
        <w:t xml:space="preserve"> </w:t>
      </w:r>
    </w:p>
    <w:p w14:paraId="73ADA4CD" w14:textId="09B1EC42" w:rsidR="001C6CC7" w:rsidRDefault="00DC03D0">
      <w:pPr>
        <w:pStyle w:val="CBDDesicionText"/>
      </w:pPr>
      <w:r>
        <w:rPr>
          <w:rFonts w:eastAsia="Times New Roman"/>
          <w:color w:val="000000"/>
        </w:rPr>
        <w:t>5.</w:t>
      </w:r>
      <w:r>
        <w:rPr>
          <w:rFonts w:eastAsia="Times New Roman"/>
          <w:color w:val="000000"/>
        </w:rPr>
        <w:tab/>
      </w:r>
      <w:r>
        <w:rPr>
          <w:i/>
          <w:iCs/>
        </w:rPr>
        <w:t>Rappelle</w:t>
      </w:r>
      <w:r>
        <w:t xml:space="preserve"> sa décision </w:t>
      </w:r>
      <w:hyperlink r:id="rId57" w:history="1">
        <w:r w:rsidR="001C6CC7">
          <w:rPr>
            <w:rStyle w:val="Hyperlink"/>
          </w:rPr>
          <w:t>BS-VII/9</w:t>
        </w:r>
      </w:hyperlink>
      <w:r>
        <w:t xml:space="preserve"> du 3 octobre 2014, par laquelle</w:t>
      </w:r>
      <w:r w:rsidR="00EB78FE">
        <w:t xml:space="preserve"> elle</w:t>
      </w:r>
      <w:r>
        <w:t xml:space="preserve"> a décidé de tenir ses futures réunions ordinaires en même temps que les réunions de la Conférence des Parties à la Convention</w:t>
      </w:r>
      <w:r w:rsidR="0051234B">
        <w:t>,</w:t>
      </w:r>
      <w:r>
        <w:t xml:space="preserve"> </w:t>
      </w:r>
      <w:r w:rsidR="0051234B">
        <w:t xml:space="preserve">durant </w:t>
      </w:r>
      <w:r>
        <w:t xml:space="preserve">la même période de deux semaines au cours de laquelle les réunions de la Conférence des Parties à la Convention ont </w:t>
      </w:r>
      <w:proofErr w:type="gramStart"/>
      <w:r>
        <w:t>lieu</w:t>
      </w:r>
      <w:r w:rsidR="0051234B">
        <w:t>;</w:t>
      </w:r>
      <w:proofErr w:type="gramEnd"/>
    </w:p>
    <w:p w14:paraId="67983EA9" w14:textId="1E347238" w:rsidR="001C6CC7" w:rsidRDefault="00DC03D0">
      <w:pPr>
        <w:pStyle w:val="CBDDesicionText"/>
      </w:pPr>
      <w:r>
        <w:rPr>
          <w:rFonts w:eastAsia="Times New Roman"/>
          <w:color w:val="000000"/>
        </w:rPr>
        <w:t>6.</w:t>
      </w:r>
      <w:r>
        <w:rPr>
          <w:rFonts w:eastAsia="Times New Roman"/>
          <w:color w:val="000000"/>
        </w:rPr>
        <w:tab/>
      </w:r>
      <w:r>
        <w:rPr>
          <w:i/>
          <w:iCs/>
        </w:rPr>
        <w:t>Demande de nouveau</w:t>
      </w:r>
      <w:r>
        <w:t xml:space="preserve"> aux pays développés </w:t>
      </w:r>
      <w:r w:rsidR="0051234B">
        <w:t>P</w:t>
      </w:r>
      <w:r>
        <w:t>arties d</w:t>
      </w:r>
      <w:r w:rsidR="0057315B">
        <w:t>’</w:t>
      </w:r>
      <w:r>
        <w:t>accroître leurs contributions aux fonds d</w:t>
      </w:r>
      <w:r w:rsidR="0057315B">
        <w:t>’</w:t>
      </w:r>
      <w:r>
        <w:t xml:space="preserve">affectation spéciale </w:t>
      </w:r>
      <w:r w:rsidR="0051234B">
        <w:t xml:space="preserve">de contributions </w:t>
      </w:r>
      <w:r>
        <w:t>volontaires pertinents</w:t>
      </w:r>
      <w:r w:rsidR="0051234B">
        <w:t>,</w:t>
      </w:r>
      <w:r>
        <w:t xml:space="preserve"> afin de garantir la participation pleine et effective des représentants des pays en développement </w:t>
      </w:r>
      <w:r w:rsidR="0051234B">
        <w:t>P</w:t>
      </w:r>
      <w:r>
        <w:t xml:space="preserve">arties, en particulier </w:t>
      </w:r>
      <w:r w:rsidR="00EB78FE">
        <w:t>d</w:t>
      </w:r>
      <w:r>
        <w:t xml:space="preserve">es pays les moins avancés et </w:t>
      </w:r>
      <w:r w:rsidR="00EB78FE">
        <w:t>d</w:t>
      </w:r>
      <w:r>
        <w:t>es petits États insulaires en développement</w:t>
      </w:r>
      <w:r w:rsidR="0051234B">
        <w:t xml:space="preserve"> parmi eux</w:t>
      </w:r>
      <w:r>
        <w:t xml:space="preserve">, et des Parties à économie en transition, aux réunions </w:t>
      </w:r>
      <w:r w:rsidR="00EB78FE">
        <w:t>concomitant</w:t>
      </w:r>
      <w:r>
        <w:t xml:space="preserve">es, ainsi que des </w:t>
      </w:r>
      <w:r>
        <w:lastRenderedPageBreak/>
        <w:t xml:space="preserve">représentants des </w:t>
      </w:r>
      <w:r w:rsidR="0051234B">
        <w:t>peuples</w:t>
      </w:r>
      <w:r>
        <w:t xml:space="preserve"> autochtones et </w:t>
      </w:r>
      <w:r w:rsidR="0051234B">
        <w:t xml:space="preserve">communautés </w:t>
      </w:r>
      <w:r>
        <w:t>locales, aux réunions tenues au titre de la Convention et de ses Protocoles</w:t>
      </w:r>
      <w:r w:rsidR="0051234B">
        <w:t>;</w:t>
      </w:r>
    </w:p>
    <w:p w14:paraId="56A8D2B4" w14:textId="49B38A6E" w:rsidR="001C6CC7" w:rsidRDefault="00DC03D0">
      <w:pPr>
        <w:pStyle w:val="CBDDesicionText"/>
      </w:pPr>
      <w:r>
        <w:rPr>
          <w:rFonts w:eastAsia="Times New Roman"/>
          <w:color w:val="000000"/>
        </w:rPr>
        <w:t>7.</w:t>
      </w:r>
      <w:r>
        <w:rPr>
          <w:rFonts w:eastAsia="Times New Roman"/>
          <w:color w:val="000000"/>
        </w:rPr>
        <w:tab/>
      </w:r>
      <w:r>
        <w:rPr>
          <w:i/>
          <w:iCs/>
        </w:rPr>
        <w:t>Note</w:t>
      </w:r>
      <w:r>
        <w:t xml:space="preserve"> que les présidents des groupes qui examinent les questions relevant du Protocole de </w:t>
      </w:r>
      <w:r w:rsidR="00F97AB6">
        <w:t>Cartagena</w:t>
      </w:r>
      <w:r>
        <w:t xml:space="preserve"> doivent être choisis parmi les Parties au Protocole.</w:t>
      </w:r>
    </w:p>
    <w:p w14:paraId="25A82027" w14:textId="79A71480" w:rsidR="001C6CC7" w:rsidRDefault="00DC03D0">
      <w:pPr>
        <w:pStyle w:val="CBDNormalNumber"/>
        <w:keepNext/>
      </w:pPr>
      <w:r>
        <w:t>L</w:t>
      </w:r>
      <w:r w:rsidR="0057315B">
        <w:t>’</w:t>
      </w:r>
      <w:r>
        <w:t xml:space="preserve">Organe subsidiaire souhaitera peut-être en outre adopter une recommandation </w:t>
      </w:r>
      <w:r w:rsidR="0051234B">
        <w:t>libellée comme suit</w:t>
      </w:r>
      <w:r>
        <w:t xml:space="preserve"> :</w:t>
      </w:r>
    </w:p>
    <w:p w14:paraId="3DE64D10" w14:textId="4AC9809F" w:rsidR="001C6CC7" w:rsidRDefault="00DC03D0">
      <w:pPr>
        <w:pStyle w:val="CBDNormalNoNumber"/>
        <w:keepNext/>
        <w:ind w:firstLine="567"/>
      </w:pPr>
      <w:r>
        <w:rPr>
          <w:i/>
          <w:iCs/>
        </w:rPr>
        <w:t>L</w:t>
      </w:r>
      <w:r w:rsidR="0057315B">
        <w:rPr>
          <w:i/>
          <w:iCs/>
        </w:rPr>
        <w:t>’</w:t>
      </w:r>
      <w:r>
        <w:rPr>
          <w:i/>
          <w:iCs/>
        </w:rPr>
        <w:t xml:space="preserve">Organe subsidiaire </w:t>
      </w:r>
      <w:r w:rsidR="0051234B">
        <w:rPr>
          <w:i/>
          <w:iCs/>
        </w:rPr>
        <w:t>chargé de l’application</w:t>
      </w:r>
    </w:p>
    <w:p w14:paraId="472730EF" w14:textId="2B5EED11" w:rsidR="001C6CC7" w:rsidRDefault="00DC03D0">
      <w:pPr>
        <w:pStyle w:val="CBDNormalNoNumber"/>
        <w:ind w:firstLine="567"/>
      </w:pPr>
      <w:r>
        <w:rPr>
          <w:i/>
          <w:iCs/>
        </w:rPr>
        <w:t>Recommande</w:t>
      </w:r>
      <w:r>
        <w:t xml:space="preserve"> qu</w:t>
      </w:r>
      <w:r w:rsidR="0051234B">
        <w:t>e</w:t>
      </w:r>
      <w:r>
        <w:t xml:space="preserve"> la Conférence des Parties </w:t>
      </w:r>
      <w:r w:rsidR="00F97AB6">
        <w:t>siégeant en tant que</w:t>
      </w:r>
      <w:r>
        <w:t xml:space="preserve"> réunion des Parties au Protocole de Nagoya adopte</w:t>
      </w:r>
      <w:r w:rsidR="0051234B">
        <w:t>, à sa sixième réunion,</w:t>
      </w:r>
      <w:r>
        <w:t xml:space="preserve"> une décision </w:t>
      </w:r>
      <w:r w:rsidR="0051234B">
        <w:t>libellée comme suit</w:t>
      </w:r>
      <w:r>
        <w:t xml:space="preserve"> :</w:t>
      </w:r>
    </w:p>
    <w:p w14:paraId="458D1DA9" w14:textId="75AAD3A5" w:rsidR="001C6CC7" w:rsidRDefault="00DC03D0">
      <w:pPr>
        <w:pStyle w:val="CBDDesicionText"/>
        <w:keepNext/>
      </w:pPr>
      <w:r>
        <w:rPr>
          <w:i/>
          <w:iCs/>
        </w:rPr>
        <w:t xml:space="preserve">La Conférence des Parties </w:t>
      </w:r>
      <w:r w:rsidR="00F97AB6">
        <w:rPr>
          <w:i/>
          <w:iCs/>
        </w:rPr>
        <w:t>siégeant en tant que</w:t>
      </w:r>
      <w:r>
        <w:rPr>
          <w:i/>
          <w:iCs/>
        </w:rPr>
        <w:t xml:space="preserve"> réunion des Parties au Protocole de Nagoya</w:t>
      </w:r>
      <w:r>
        <w:t>,</w:t>
      </w:r>
      <w:r>
        <w:rPr>
          <w:i/>
          <w:iCs/>
        </w:rPr>
        <w:t xml:space="preserve"> </w:t>
      </w:r>
    </w:p>
    <w:p w14:paraId="51B7B842" w14:textId="763261D7" w:rsidR="001C6CC7" w:rsidRDefault="00DC03D0">
      <w:pPr>
        <w:pStyle w:val="CBDDesicionText"/>
      </w:pPr>
      <w:r>
        <w:rPr>
          <w:i/>
          <w:iCs/>
        </w:rPr>
        <w:t>Reconnaissant</w:t>
      </w:r>
      <w:r>
        <w:t xml:space="preserve"> la nécessité de garantir l</w:t>
      </w:r>
      <w:r w:rsidR="0057315B">
        <w:t>’</w:t>
      </w:r>
      <w:r>
        <w:t xml:space="preserve">intégrité du Protocole de </w:t>
      </w:r>
      <w:bookmarkStart w:id="9" w:name="_Hlk214277284"/>
      <w:r>
        <w:t>Nagoya sur l</w:t>
      </w:r>
      <w:r w:rsidR="0057315B">
        <w:t>’</w:t>
      </w:r>
      <w:r>
        <w:t>accès aux ressources génétiques et le partage juste et équitable des avantages découlant de leur utilisation</w:t>
      </w:r>
      <w:r w:rsidR="00077C19" w:rsidRPr="0017781F">
        <w:rPr>
          <w:rStyle w:val="FootnoteReference"/>
        </w:rPr>
        <w:footnoteReference w:id="34"/>
      </w:r>
      <w:bookmarkEnd w:id="9"/>
      <w:r>
        <w:t>, tout en recherchant des gains d</w:t>
      </w:r>
      <w:r w:rsidR="0057315B">
        <w:t>’</w:t>
      </w:r>
      <w:r>
        <w:t xml:space="preserve">efficacité et en intégrant les processus </w:t>
      </w:r>
      <w:r w:rsidR="00EB78FE">
        <w:t>avec</w:t>
      </w:r>
      <w:r>
        <w:t xml:space="preserve"> la Convention sur la diversité</w:t>
      </w:r>
      <w:r w:rsidR="0051234B">
        <w:t xml:space="preserve"> biologique</w:t>
      </w:r>
      <w:r w:rsidR="00CA3825" w:rsidRPr="0017781F">
        <w:rPr>
          <w:rStyle w:val="FootnoteReference"/>
        </w:rPr>
        <w:footnoteReference w:id="35"/>
      </w:r>
      <w:r>
        <w:t xml:space="preserve"> et </w:t>
      </w:r>
      <w:r w:rsidR="00EB78FE">
        <w:t>le</w:t>
      </w:r>
      <w:r>
        <w:t xml:space="preserve"> Protocole de Cartagena sur la prévention des risques biotechnologiques</w:t>
      </w:r>
      <w:r w:rsidR="000F2537" w:rsidRPr="0017781F">
        <w:rPr>
          <w:rStyle w:val="FootnoteReference"/>
        </w:rPr>
        <w:footnoteReference w:id="36"/>
      </w:r>
      <w:r w:rsidR="0051234B">
        <w:t>,</w:t>
      </w:r>
    </w:p>
    <w:p w14:paraId="102489FB" w14:textId="4FB4BE53" w:rsidR="001C6CC7" w:rsidRDefault="00DC03D0">
      <w:pPr>
        <w:pStyle w:val="CBDDesicionText"/>
        <w:rPr>
          <w:i/>
          <w:iCs/>
        </w:rPr>
      </w:pPr>
      <w:r>
        <w:rPr>
          <w:rFonts w:eastAsia="Times New Roman"/>
          <w:color w:val="000000"/>
        </w:rPr>
        <w:t>1.</w:t>
      </w:r>
      <w:r>
        <w:rPr>
          <w:rFonts w:eastAsia="Times New Roman"/>
          <w:color w:val="000000"/>
        </w:rPr>
        <w:tab/>
      </w:r>
      <w:r>
        <w:rPr>
          <w:rFonts w:eastAsia="Times New Roman"/>
          <w:i/>
          <w:iCs/>
          <w:color w:val="000000"/>
        </w:rPr>
        <w:t xml:space="preserve">Prend </w:t>
      </w:r>
      <w:r>
        <w:rPr>
          <w:i/>
          <w:iCs/>
        </w:rPr>
        <w:t>note</w:t>
      </w:r>
      <w:r>
        <w:t xml:space="preserve"> de la décision 17/-- de la Conférence des Parties à la Convention</w:t>
      </w:r>
      <w:r w:rsidR="0051234B">
        <w:t>;</w:t>
      </w:r>
    </w:p>
    <w:p w14:paraId="64CE1907" w14:textId="4871A362" w:rsidR="001C6CC7" w:rsidRDefault="00DC03D0">
      <w:pPr>
        <w:pStyle w:val="CBDDesicionText"/>
        <w:rPr>
          <w:i/>
          <w:iCs/>
        </w:rPr>
      </w:pPr>
      <w:r>
        <w:rPr>
          <w:rFonts w:eastAsia="Times New Roman"/>
          <w:color w:val="000000"/>
        </w:rPr>
        <w:t>2.</w:t>
      </w:r>
      <w:r>
        <w:rPr>
          <w:rFonts w:eastAsia="Times New Roman"/>
          <w:color w:val="000000"/>
        </w:rPr>
        <w:tab/>
      </w:r>
      <w:r>
        <w:rPr>
          <w:i/>
          <w:iCs/>
        </w:rPr>
        <w:t xml:space="preserve">Se félicite </w:t>
      </w:r>
      <w:r>
        <w:t>des progrès accomplis dans l</w:t>
      </w:r>
      <w:r w:rsidR="0057315B">
        <w:t>’</w:t>
      </w:r>
      <w:r w:rsidR="00EB78FE">
        <w:t>élaboration</w:t>
      </w:r>
      <w:r>
        <w:t xml:space="preserve"> de l</w:t>
      </w:r>
      <w:r w:rsidR="0057315B">
        <w:t>’</w:t>
      </w:r>
      <w:r>
        <w:t xml:space="preserve">outil de suivi des décisions </w:t>
      </w:r>
      <w:r w:rsidR="00EB78FE">
        <w:t>en application</w:t>
      </w:r>
      <w:r>
        <w:t xml:space="preserve"> de la décision </w:t>
      </w:r>
      <w:hyperlink r:id="rId58" w:history="1">
        <w:r w:rsidR="001C6CC7">
          <w:rPr>
            <w:rStyle w:val="Hyperlink"/>
          </w:rPr>
          <w:t>XII</w:t>
        </w:r>
        <w:r w:rsidR="001C6CC7" w:rsidRPr="00BF2CE6">
          <w:rPr>
            <w:rStyle w:val="Hyperlink"/>
            <w:color w:val="1F497D" w:themeColor="text2"/>
          </w:rPr>
          <w:t>/</w:t>
        </w:r>
        <w:r w:rsidR="001C6CC7" w:rsidRPr="00BF2CE6">
          <w:rPr>
            <w:color w:val="1F497D" w:themeColor="text2"/>
            <w:u w:val="single"/>
          </w:rPr>
          <w:t>28</w:t>
        </w:r>
      </w:hyperlink>
      <w:r>
        <w:t xml:space="preserve"> </w:t>
      </w:r>
      <w:r w:rsidR="00EB78FE">
        <w:t xml:space="preserve">du 17 octobre 2014 </w:t>
      </w:r>
      <w:r>
        <w:t xml:space="preserve">de la Conférence des Parties à la Convention, comme indiqué dans le document </w:t>
      </w:r>
      <w:r>
        <w:rPr>
          <w:rStyle w:val="Hyperlink"/>
        </w:rPr>
        <w:t>CBD/SBI/6/INF/</w:t>
      </w:r>
      <w:proofErr w:type="gramStart"/>
      <w:r>
        <w:rPr>
          <w:rStyle w:val="Hyperlink"/>
        </w:rPr>
        <w:t>11</w:t>
      </w:r>
      <w:r w:rsidR="0051234B">
        <w:t>;</w:t>
      </w:r>
      <w:proofErr w:type="gramEnd"/>
    </w:p>
    <w:p w14:paraId="51A3203F" w14:textId="7E9D1554" w:rsidR="001C6CC7" w:rsidRDefault="00DC03D0">
      <w:pPr>
        <w:pStyle w:val="CBDDesicionText"/>
      </w:pPr>
      <w:r>
        <w:rPr>
          <w:rFonts w:eastAsia="Times New Roman"/>
          <w:color w:val="000000"/>
        </w:rPr>
        <w:t>3.</w:t>
      </w:r>
      <w:r>
        <w:rPr>
          <w:rFonts w:eastAsia="Times New Roman"/>
          <w:color w:val="000000"/>
        </w:rPr>
        <w:tab/>
      </w:r>
      <w:r>
        <w:rPr>
          <w:i/>
          <w:iCs/>
        </w:rPr>
        <w:t xml:space="preserve">Décide </w:t>
      </w:r>
      <w:r>
        <w:t xml:space="preserve">que les décisions de la Conférence des Parties </w:t>
      </w:r>
      <w:r w:rsidR="00F97AB6">
        <w:t>siégeant en tant que</w:t>
      </w:r>
      <w:r>
        <w:t xml:space="preserve"> réunion des Parties au Protocole de Nagoya sur l</w:t>
      </w:r>
      <w:r w:rsidR="0057315B">
        <w:t>’</w:t>
      </w:r>
      <w:r>
        <w:t>accès aux ressources génétiques et le partage juste et équitable des avantages découlant de leur utilisation devraient être incluses dans l</w:t>
      </w:r>
      <w:r w:rsidR="0057315B">
        <w:t>’</w:t>
      </w:r>
      <w:r>
        <w:t>outil de suivi des décisions</w:t>
      </w:r>
      <w:r w:rsidR="0051234B">
        <w:t>;</w:t>
      </w:r>
    </w:p>
    <w:p w14:paraId="7A18F0A4" w14:textId="5E46832F" w:rsidR="001C6CC7" w:rsidRDefault="00DC03D0">
      <w:pPr>
        <w:pStyle w:val="CBDDesicionText"/>
        <w:rPr>
          <w:i/>
          <w:iCs/>
        </w:rPr>
      </w:pPr>
      <w:r>
        <w:rPr>
          <w:rFonts w:eastAsia="Times New Roman"/>
          <w:color w:val="000000"/>
        </w:rPr>
        <w:t>4.</w:t>
      </w:r>
      <w:r>
        <w:rPr>
          <w:rFonts w:eastAsia="Times New Roman"/>
          <w:color w:val="000000"/>
        </w:rPr>
        <w:tab/>
      </w:r>
      <w:r>
        <w:rPr>
          <w:i/>
          <w:iCs/>
        </w:rPr>
        <w:t>Prie</w:t>
      </w:r>
      <w:r>
        <w:t xml:space="preserve"> l</w:t>
      </w:r>
      <w:r w:rsidR="0051234B">
        <w:t>a</w:t>
      </w:r>
      <w:r>
        <w:t xml:space="preserve"> Secrétaire exécuti</w:t>
      </w:r>
      <w:r w:rsidR="0051234B">
        <w:t>ve</w:t>
      </w:r>
      <w:r>
        <w:t xml:space="preserve"> de prendre les mesures nécessaires à cet égard, en commençant par les décisions de ses quatrième et cinquième réunions</w:t>
      </w:r>
      <w:r w:rsidR="0051234B">
        <w:t>;</w:t>
      </w:r>
    </w:p>
    <w:p w14:paraId="29D4C907" w14:textId="4B921FC9" w:rsidR="001C6CC7" w:rsidRDefault="00DC03D0">
      <w:pPr>
        <w:pStyle w:val="CBDDesicionText"/>
      </w:pPr>
      <w:r>
        <w:rPr>
          <w:rFonts w:eastAsia="Times New Roman"/>
          <w:color w:val="000000"/>
        </w:rPr>
        <w:t>5.</w:t>
      </w:r>
      <w:r>
        <w:rPr>
          <w:rFonts w:eastAsia="Times New Roman"/>
          <w:color w:val="000000"/>
        </w:rPr>
        <w:tab/>
      </w:r>
      <w:r>
        <w:rPr>
          <w:i/>
          <w:iCs/>
        </w:rPr>
        <w:t xml:space="preserve">Rappelle </w:t>
      </w:r>
      <w:r>
        <w:t xml:space="preserve">sa décision </w:t>
      </w:r>
      <w:hyperlink r:id="rId59" w:history="1">
        <w:r w:rsidR="001C6CC7">
          <w:rPr>
            <w:rStyle w:val="Hyperlink"/>
          </w:rPr>
          <w:t>NP-1/12</w:t>
        </w:r>
      </w:hyperlink>
      <w:r>
        <w:t xml:space="preserve"> du 14 octobre 2014, par laquelle </w:t>
      </w:r>
      <w:r w:rsidR="00EB78FE">
        <w:t xml:space="preserve">elle </w:t>
      </w:r>
      <w:r>
        <w:t xml:space="preserve">a décidé de tenir ses futures réunions ordinaires en même temps que les réunions de la Conférence des Parties à la Convention et les réunions de la Conférence des Parties </w:t>
      </w:r>
      <w:r w:rsidR="00F97AB6">
        <w:t>siégeant en tant que</w:t>
      </w:r>
      <w:r>
        <w:t xml:space="preserve"> réunion des Parties au Protocole de </w:t>
      </w:r>
      <w:r w:rsidR="00F97AB6">
        <w:t>Cartagena</w:t>
      </w:r>
      <w:r>
        <w:t xml:space="preserve"> sur la prévention des risques biotechnologiques</w:t>
      </w:r>
      <w:r w:rsidR="00314C96">
        <w:t>,</w:t>
      </w:r>
      <w:r>
        <w:t xml:space="preserve"> </w:t>
      </w:r>
      <w:r w:rsidR="00314C96">
        <w:t>au cours d’une période de</w:t>
      </w:r>
      <w:r>
        <w:t xml:space="preserve"> deux </w:t>
      </w:r>
      <w:proofErr w:type="gramStart"/>
      <w:r>
        <w:t>semaines</w:t>
      </w:r>
      <w:r w:rsidR="0051234B">
        <w:t>;</w:t>
      </w:r>
      <w:proofErr w:type="gramEnd"/>
    </w:p>
    <w:p w14:paraId="6330D859" w14:textId="198EB69A" w:rsidR="001C6CC7" w:rsidRDefault="00DC03D0">
      <w:pPr>
        <w:pStyle w:val="CBDDesicionText"/>
        <w:rPr>
          <w:i/>
          <w:iCs/>
        </w:rPr>
      </w:pPr>
      <w:r>
        <w:t>6.</w:t>
      </w:r>
      <w:r>
        <w:tab/>
      </w:r>
      <w:r>
        <w:rPr>
          <w:i/>
          <w:iCs/>
        </w:rPr>
        <w:t>Demande de nouveau</w:t>
      </w:r>
      <w:r>
        <w:t xml:space="preserve"> aux pays développés </w:t>
      </w:r>
      <w:r w:rsidR="0051234B">
        <w:t>P</w:t>
      </w:r>
      <w:r>
        <w:t>arties d</w:t>
      </w:r>
      <w:r w:rsidR="0057315B">
        <w:t>’</w:t>
      </w:r>
      <w:r>
        <w:t>accroître leurs contributions aux fonds d</w:t>
      </w:r>
      <w:r w:rsidR="0057315B">
        <w:t>’</w:t>
      </w:r>
      <w:r>
        <w:t xml:space="preserve">affectation spéciale </w:t>
      </w:r>
      <w:r w:rsidR="0051234B">
        <w:t xml:space="preserve">de contributions </w:t>
      </w:r>
      <w:r>
        <w:t>volontaires pertinents</w:t>
      </w:r>
      <w:r w:rsidR="0051234B">
        <w:t>,</w:t>
      </w:r>
      <w:r>
        <w:t xml:space="preserve"> afin de garantir la participation pleine et effective des représentants des pays en développement </w:t>
      </w:r>
      <w:r w:rsidR="0051234B">
        <w:t>P</w:t>
      </w:r>
      <w:r>
        <w:t>arties, en particulier des pays les moins avancés et des petits États insulaires en développement</w:t>
      </w:r>
      <w:r w:rsidR="0051234B">
        <w:t xml:space="preserve"> parmi eux</w:t>
      </w:r>
      <w:r>
        <w:t>, et des Parties à économie en transition, ainsi que des représentants de</w:t>
      </w:r>
      <w:r w:rsidR="0051234B">
        <w:t>s peuple</w:t>
      </w:r>
      <w:r>
        <w:t xml:space="preserve">s autochtones et </w:t>
      </w:r>
      <w:r w:rsidR="0051234B">
        <w:t xml:space="preserve">communautés </w:t>
      </w:r>
      <w:r>
        <w:t>locales, aux réunions tenues au titre de la Convention et de ses Protocoles</w:t>
      </w:r>
      <w:r w:rsidR="0051234B">
        <w:t>;</w:t>
      </w:r>
    </w:p>
    <w:p w14:paraId="63E8C11F" w14:textId="77777777" w:rsidR="001C6CC7" w:rsidRDefault="00DC03D0">
      <w:pPr>
        <w:pStyle w:val="CBDDesicionText"/>
        <w:rPr>
          <w:i/>
          <w:iCs/>
        </w:rPr>
      </w:pPr>
      <w:r>
        <w:rPr>
          <w:rFonts w:eastAsia="Times New Roman"/>
          <w:color w:val="000000"/>
        </w:rPr>
        <w:t>7.</w:t>
      </w:r>
      <w:r>
        <w:rPr>
          <w:rFonts w:eastAsia="Times New Roman"/>
          <w:color w:val="000000"/>
        </w:rPr>
        <w:tab/>
      </w:r>
      <w:r>
        <w:rPr>
          <w:i/>
          <w:iCs/>
        </w:rPr>
        <w:t xml:space="preserve">Note </w:t>
      </w:r>
      <w:r>
        <w:t>que les présidents des groupes qui examinent les questions relevant du Protocole de Nagoya doivent être choisis parmi les Parties au Protocole.</w:t>
      </w:r>
    </w:p>
    <w:p w14:paraId="7345A697" w14:textId="77777777" w:rsidR="003D762A" w:rsidRPr="0017781F" w:rsidRDefault="003D762A" w:rsidP="003D762A">
      <w:pPr>
        <w:pStyle w:val="Para1"/>
        <w:numPr>
          <w:ilvl w:val="0"/>
          <w:numId w:val="0"/>
        </w:numPr>
        <w:ind w:left="567"/>
      </w:pPr>
    </w:p>
    <w:p w14:paraId="5214D103" w14:textId="77777777" w:rsidR="007C456C" w:rsidRPr="0017781F" w:rsidRDefault="007C456C">
      <w:pPr>
        <w:pStyle w:val="Para1"/>
        <w:tabs>
          <w:tab w:val="left" w:pos="360"/>
        </w:tabs>
        <w:jc w:val="center"/>
        <w:sectPr w:rsidR="007C456C" w:rsidRPr="0017781F" w:rsidSect="00CC5E80">
          <w:headerReference w:type="even" r:id="rId60"/>
          <w:headerReference w:type="default" r:id="rId61"/>
          <w:footerReference w:type="even" r:id="rId62"/>
          <w:footerReference w:type="default" r:id="rId63"/>
          <w:pgSz w:w="12240" w:h="15840"/>
          <w:pgMar w:top="1134" w:right="1440" w:bottom="1134" w:left="1440" w:header="709" w:footer="709" w:gutter="0"/>
          <w:cols w:space="708"/>
          <w:titlePg/>
          <w:docGrid w:linePitch="360"/>
        </w:sectPr>
      </w:pPr>
    </w:p>
    <w:p w14:paraId="03A33822" w14:textId="77777777" w:rsidR="003D762A" w:rsidRPr="0017781F" w:rsidRDefault="003D762A">
      <w:pPr>
        <w:pStyle w:val="Para1"/>
        <w:tabs>
          <w:tab w:val="left" w:pos="360"/>
        </w:tabs>
        <w:jc w:val="center"/>
        <w:sectPr w:rsidR="003D762A" w:rsidRPr="0017781F" w:rsidSect="007C456C">
          <w:type w:val="continuous"/>
          <w:pgSz w:w="12240" w:h="15840"/>
          <w:pgMar w:top="1134" w:right="1440" w:bottom="1134" w:left="1440" w:header="709" w:footer="709" w:gutter="0"/>
          <w:cols w:space="708"/>
          <w:titlePg/>
          <w:docGrid w:linePitch="360"/>
        </w:sectPr>
      </w:pPr>
    </w:p>
    <w:p w14:paraId="27AD343D" w14:textId="77777777" w:rsidR="001C6CC7" w:rsidRDefault="00DC03D0">
      <w:pPr>
        <w:pStyle w:val="CBDAnnex"/>
        <w:rPr>
          <w:b w:val="0"/>
          <w:bCs/>
          <w:szCs w:val="28"/>
        </w:rPr>
      </w:pPr>
      <w:r>
        <w:rPr>
          <w:bCs/>
          <w:szCs w:val="28"/>
        </w:rPr>
        <w:lastRenderedPageBreak/>
        <w:t>Annexe I</w:t>
      </w:r>
    </w:p>
    <w:p w14:paraId="3AB9D15E" w14:textId="3439AD91" w:rsidR="001C6CC7" w:rsidRDefault="00DC03D0">
      <w:pPr>
        <w:pStyle w:val="CBDAnnex"/>
        <w:rPr>
          <w:szCs w:val="28"/>
        </w:rPr>
      </w:pPr>
      <w:bookmarkStart w:id="10" w:name="_Hlk214832063"/>
      <w:r>
        <w:rPr>
          <w:bCs/>
          <w:szCs w:val="28"/>
        </w:rPr>
        <w:t xml:space="preserve">Mesures </w:t>
      </w:r>
      <w:r w:rsidR="00EA0C2E">
        <w:rPr>
          <w:bCs/>
          <w:szCs w:val="28"/>
        </w:rPr>
        <w:t>appliquée</w:t>
      </w:r>
      <w:r w:rsidR="006F7DA9">
        <w:rPr>
          <w:bCs/>
          <w:szCs w:val="28"/>
        </w:rPr>
        <w:t>s</w:t>
      </w:r>
      <w:r>
        <w:rPr>
          <w:bCs/>
          <w:szCs w:val="28"/>
        </w:rPr>
        <w:t xml:space="preserve"> pour améliorer l</w:t>
      </w:r>
      <w:r w:rsidR="0057315B">
        <w:rPr>
          <w:bCs/>
          <w:szCs w:val="28"/>
        </w:rPr>
        <w:t>’</w:t>
      </w:r>
      <w:r>
        <w:rPr>
          <w:bCs/>
          <w:szCs w:val="28"/>
        </w:rPr>
        <w:t xml:space="preserve">efficacité des réunions </w:t>
      </w:r>
      <w:r w:rsidR="00BF2CE6">
        <w:rPr>
          <w:bCs/>
          <w:szCs w:val="28"/>
        </w:rPr>
        <w:t>tenues au titre d</w:t>
      </w:r>
      <w:r w:rsidR="00EA0C2E">
        <w:rPr>
          <w:bCs/>
          <w:szCs w:val="28"/>
        </w:rPr>
        <w:t xml:space="preserve">es </w:t>
      </w:r>
      <w:r>
        <w:rPr>
          <w:bCs/>
          <w:szCs w:val="28"/>
        </w:rPr>
        <w:t>accords multilatéraux sur l</w:t>
      </w:r>
      <w:r w:rsidR="0057315B">
        <w:rPr>
          <w:bCs/>
          <w:szCs w:val="28"/>
        </w:rPr>
        <w:t>’</w:t>
      </w:r>
      <w:r>
        <w:rPr>
          <w:bCs/>
          <w:szCs w:val="28"/>
        </w:rPr>
        <w:t xml:space="preserve">environnement et </w:t>
      </w:r>
      <w:r w:rsidR="00BF2CE6">
        <w:rPr>
          <w:bCs/>
          <w:szCs w:val="28"/>
        </w:rPr>
        <w:t>de</w:t>
      </w:r>
      <w:r w:rsidR="00EA0C2E">
        <w:rPr>
          <w:bCs/>
          <w:szCs w:val="28"/>
        </w:rPr>
        <w:t>s</w:t>
      </w:r>
      <w:r>
        <w:rPr>
          <w:bCs/>
          <w:szCs w:val="28"/>
        </w:rPr>
        <w:t xml:space="preserve"> processus des Nations Unies</w:t>
      </w:r>
    </w:p>
    <w:tbl>
      <w:tblPr>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58"/>
        <w:gridCol w:w="2166"/>
        <w:gridCol w:w="1997"/>
        <w:gridCol w:w="2301"/>
        <w:gridCol w:w="2570"/>
        <w:gridCol w:w="2094"/>
      </w:tblGrid>
      <w:tr w:rsidR="005426F5" w:rsidRPr="0017781F" w14:paraId="7055C279" w14:textId="77777777" w:rsidTr="0092087F">
        <w:trPr>
          <w:trHeight w:val="441"/>
          <w:tblHeader/>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05A1C863" w14:textId="77777777" w:rsidR="001C6CC7" w:rsidRDefault="00DC03D0">
            <w:pPr>
              <w:pStyle w:val="CBDTableNormal"/>
              <w:rPr>
                <w:i/>
                <w:iCs/>
              </w:rPr>
            </w:pPr>
            <w:r>
              <w:rPr>
                <w:i/>
                <w:iCs/>
              </w:rPr>
              <w:t>Convention</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A912B26" w14:textId="77777777" w:rsidR="001C6CC7" w:rsidRDefault="00DC03D0">
            <w:pPr>
              <w:pStyle w:val="CBDTableNormal"/>
              <w:rPr>
                <w:i/>
                <w:iCs/>
              </w:rPr>
            </w:pPr>
            <w:r>
              <w:rPr>
                <w:i/>
                <w:iCs/>
              </w:rPr>
              <w:t>Mesures appliquées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1E311897" w14:textId="77777777" w:rsidR="001C6CC7" w:rsidRDefault="00DC03D0">
            <w:pPr>
              <w:pStyle w:val="CBDTableNormal"/>
              <w:rPr>
                <w:i/>
                <w:iCs/>
              </w:rPr>
            </w:pPr>
            <w:r>
              <w:rPr>
                <w:i/>
                <w:iCs/>
              </w:rPr>
              <w:t>Décision/document (paragraphe ou règle)</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5C890CC8" w14:textId="77777777" w:rsidR="001C6CC7" w:rsidRDefault="00DC03D0">
            <w:pPr>
              <w:pStyle w:val="CBDTableNormal"/>
              <w:rPr>
                <w:i/>
                <w:iCs/>
              </w:rPr>
            </w:pPr>
            <w:r>
              <w:rPr>
                <w:i/>
                <w:iCs/>
              </w:rPr>
              <w:t>Défi à relever</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10BC29C7" w14:textId="62AAF7EF" w:rsidR="001C6CC7" w:rsidRDefault="00DC03D0">
            <w:pPr>
              <w:pStyle w:val="CBDTableNormal"/>
              <w:rPr>
                <w:i/>
                <w:iCs/>
              </w:rPr>
            </w:pPr>
            <w:r>
              <w:rPr>
                <w:i/>
                <w:iCs/>
              </w:rPr>
              <w:t>I</w:t>
            </w:r>
            <w:r w:rsidR="00A335C4">
              <w:rPr>
                <w:i/>
                <w:iCs/>
              </w:rPr>
              <w:t>mpact attendu</w:t>
            </w:r>
            <w:r>
              <w:rPr>
                <w:i/>
                <w:iCs/>
              </w:rPr>
              <w:t xml:space="preserve"> sur les réunions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1D9B77F5" w14:textId="77777777" w:rsidR="001C6CC7" w:rsidRDefault="00DC03D0">
            <w:pPr>
              <w:pStyle w:val="CBDTableNormal"/>
              <w:rPr>
                <w:i/>
                <w:iCs/>
              </w:rPr>
            </w:pPr>
            <w:r>
              <w:rPr>
                <w:i/>
                <w:iCs/>
              </w:rPr>
              <w:t xml:space="preserve">Source </w:t>
            </w:r>
          </w:p>
        </w:tc>
      </w:tr>
      <w:tr w:rsidR="005426F5" w:rsidRPr="0017781F" w14:paraId="30A061B8" w14:textId="77777777" w:rsidTr="0092087F">
        <w:tblPrEx>
          <w:shd w:val="clear" w:color="auto" w:fill="CED7E7"/>
        </w:tblPrEx>
        <w:trPr>
          <w:trHeight w:val="984"/>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5129F4F" w14:textId="77777777" w:rsidR="001C6CC7" w:rsidRDefault="00DC03D0">
            <w:pPr>
              <w:pStyle w:val="CBDTableNormal"/>
            </w:pPr>
            <w:r>
              <w:rPr>
                <w:rFonts w:eastAsia="Arial Unicode MS" w:cs="Arial Unicode MS"/>
              </w:rPr>
              <w:t>Convention-cadre des Nations Unies sur les changements climatiques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6765D35" w14:textId="77777777" w:rsidR="001C6CC7" w:rsidRDefault="00DC03D0">
            <w:pPr>
              <w:pStyle w:val="CBDTableNormal"/>
            </w:pPr>
            <w:r>
              <w:rPr>
                <w:rFonts w:eastAsia="Arial Unicode MS" w:cs="Arial Unicode MS"/>
              </w:rPr>
              <w:t>Mécanisme de coordination entre les présidents de séance</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5E2AD59" w14:textId="77777777" w:rsidR="001C6CC7" w:rsidRDefault="00DC03D0">
            <w:pPr>
              <w:pStyle w:val="CBDTableNormal"/>
              <w:rPr>
                <w:lang w:val="es-ES"/>
              </w:rPr>
            </w:pPr>
            <w:r>
              <w:rPr>
                <w:rFonts w:eastAsia="Arial Unicode MS" w:cs="Arial Unicode MS"/>
              </w:rPr>
              <w:t>FCCC/SBI/2025/INF.6, par. 8 a)</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420E2CF" w14:textId="19B13D77" w:rsidR="001C6CC7" w:rsidRDefault="00DC03D0">
            <w:pPr>
              <w:pStyle w:val="CBDTableNormal"/>
            </w:pPr>
            <w:r>
              <w:rPr>
                <w:rFonts w:eastAsia="Arial Unicode MS" w:cs="Arial Unicode MS"/>
              </w:rPr>
              <w:t>Chevauchement des points de l</w:t>
            </w:r>
            <w:r w:rsidR="0057315B">
              <w:rPr>
                <w:rFonts w:eastAsia="Arial Unicode MS" w:cs="Arial Unicode MS"/>
              </w:rPr>
              <w:t>’</w:t>
            </w:r>
            <w:r>
              <w:rPr>
                <w:rFonts w:eastAsia="Arial Unicode MS" w:cs="Arial Unicode MS"/>
              </w:rPr>
              <w:t>ordre du jour</w:t>
            </w:r>
            <w:r w:rsidR="00314C96">
              <w:rPr>
                <w:rFonts w:eastAsia="Arial Unicode MS" w:cs="Arial Unicode MS"/>
              </w:rPr>
              <w:t>;</w:t>
            </w:r>
            <w:r>
              <w:rPr>
                <w:rFonts w:eastAsia="Arial Unicode MS" w:cs="Arial Unicode MS"/>
              </w:rPr>
              <w:t xml:space="preserve"> retards dans l</w:t>
            </w:r>
            <w:r w:rsidR="0057315B">
              <w:rPr>
                <w:rFonts w:eastAsia="Arial Unicode MS" w:cs="Arial Unicode MS"/>
              </w:rPr>
              <w:t>’</w:t>
            </w:r>
            <w:r>
              <w:rPr>
                <w:rFonts w:eastAsia="Arial Unicode MS" w:cs="Arial Unicode MS"/>
              </w:rPr>
              <w:t>adoption des ordres du jour</w:t>
            </w:r>
            <w:r w:rsidR="00314C96">
              <w:rPr>
                <w:rFonts w:eastAsia="Arial Unicode MS" w:cs="Arial Unicode MS"/>
              </w:rPr>
              <w:t>;</w:t>
            </w:r>
            <w:r>
              <w:rPr>
                <w:rFonts w:eastAsia="Arial Unicode MS" w:cs="Arial Unicode MS"/>
              </w:rPr>
              <w:t xml:space="preserve"> cohérence limitée entre les organes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CA9F0DE" w14:textId="2A6EAE79" w:rsidR="001C6CC7" w:rsidRDefault="00DC03D0">
            <w:pPr>
              <w:pStyle w:val="CBDTableNormal"/>
            </w:pPr>
            <w:r>
              <w:rPr>
                <w:rFonts w:eastAsia="Arial Unicode MS" w:cs="Arial Unicode MS"/>
              </w:rPr>
              <w:t>Amélioration de la coordination</w:t>
            </w:r>
            <w:r w:rsidR="00314C96">
              <w:rPr>
                <w:rFonts w:eastAsia="Arial Unicode MS" w:cs="Arial Unicode MS"/>
              </w:rPr>
              <w:t>;</w:t>
            </w:r>
            <w:r>
              <w:rPr>
                <w:rFonts w:eastAsia="Arial Unicode MS" w:cs="Arial Unicode MS"/>
              </w:rPr>
              <w:t xml:space="preserve"> lancement plus rapide des travaux</w:t>
            </w:r>
            <w:r w:rsidR="00314C96">
              <w:rPr>
                <w:rFonts w:eastAsia="Arial Unicode MS" w:cs="Arial Unicode MS"/>
              </w:rPr>
              <w:t>;</w:t>
            </w:r>
            <w:r>
              <w:rPr>
                <w:rFonts w:eastAsia="Arial Unicode MS" w:cs="Arial Unicode MS"/>
              </w:rPr>
              <w:t xml:space="preserve"> réduction des doubles emplois</w:t>
            </w:r>
            <w:r w:rsidR="00314C96">
              <w:rPr>
                <w:rFonts w:eastAsia="Arial Unicode MS" w:cs="Arial Unicode MS"/>
              </w:rPr>
              <w:t>;</w:t>
            </w:r>
            <w:r>
              <w:rPr>
                <w:rFonts w:eastAsia="Arial Unicode MS" w:cs="Arial Unicode MS"/>
              </w:rPr>
              <w:t xml:space="preserve"> plus grande prévisibilité des s</w:t>
            </w:r>
            <w:r w:rsidR="00314C96">
              <w:rPr>
                <w:rFonts w:eastAsia="Arial Unicode MS" w:cs="Arial Unicode MS"/>
              </w:rPr>
              <w:t>éance</w:t>
            </w:r>
            <w:r>
              <w:rPr>
                <w:rFonts w:eastAsia="Arial Unicode MS" w:cs="Arial Unicode MS"/>
              </w:rPr>
              <w:t>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E8A7467" w14:textId="77777777" w:rsidR="001C6CC7" w:rsidRDefault="001C6CC7">
            <w:pPr>
              <w:pStyle w:val="CBDTableNormal"/>
              <w:rPr>
                <w:rStyle w:val="Hyperlink"/>
              </w:rPr>
            </w:pPr>
            <w:hyperlink r:id="rId64" w:history="1">
              <w:r>
                <w:rPr>
                  <w:rStyle w:val="Hyperlink"/>
                </w:rPr>
                <w:t>https://unfccc.int/sites/default/files/resource/sbi2025_inf06.pdf</w:t>
              </w:r>
            </w:hyperlink>
          </w:p>
        </w:tc>
      </w:tr>
      <w:tr w:rsidR="005426F5" w:rsidRPr="0017781F" w14:paraId="013C6295" w14:textId="77777777" w:rsidTr="0092087F">
        <w:tblPrEx>
          <w:shd w:val="clear" w:color="auto" w:fill="CED7E7"/>
        </w:tblPrEx>
        <w:trPr>
          <w:trHeight w:val="1357"/>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3D1A291" w14:textId="77777777" w:rsidR="001C6CC7" w:rsidRDefault="00DC03D0">
            <w:pPr>
              <w:pStyle w:val="CBDTableNormal"/>
            </w:pPr>
            <w:r>
              <w:rPr>
                <w:rFonts w:eastAsia="Arial Unicode MS" w:cs="Arial Unicode MS"/>
              </w:rPr>
              <w:t>Convention-cadre des Nations Unies sur les changements climatiques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C565C88" w14:textId="13FEF9C4" w:rsidR="001C6CC7" w:rsidRDefault="00DC03D0">
            <w:pPr>
              <w:pStyle w:val="CBDTableNormal"/>
            </w:pPr>
            <w:r>
              <w:rPr>
                <w:rFonts w:eastAsia="Arial Unicode MS" w:cs="Arial Unicode MS"/>
              </w:rPr>
              <w:t>Bilan mondial au titre de l</w:t>
            </w:r>
            <w:r w:rsidR="0057315B">
              <w:rPr>
                <w:rFonts w:eastAsia="Arial Unicode MS" w:cs="Arial Unicode MS"/>
              </w:rPr>
              <w:t>’</w:t>
            </w:r>
            <w:r>
              <w:rPr>
                <w:rFonts w:eastAsia="Arial Unicode MS" w:cs="Arial Unicode MS"/>
              </w:rPr>
              <w:t>article 14 de l</w:t>
            </w:r>
            <w:r w:rsidR="0057315B">
              <w:rPr>
                <w:rFonts w:eastAsia="Arial Unicode MS" w:cs="Arial Unicode MS"/>
              </w:rPr>
              <w:t>’</w:t>
            </w:r>
            <w:r>
              <w:rPr>
                <w:rFonts w:eastAsia="Arial Unicode MS" w:cs="Arial Unicode MS"/>
              </w:rPr>
              <w:t>Accord de Paris</w:t>
            </w:r>
            <w:r w:rsidR="00314C96">
              <w:rPr>
                <w:rFonts w:eastAsia="Arial Unicode MS" w:cs="Arial Unicode MS"/>
              </w:rPr>
              <w:t>,</w:t>
            </w:r>
            <w:r>
              <w:rPr>
                <w:rFonts w:eastAsia="Arial Unicode MS" w:cs="Arial Unicode MS"/>
              </w:rPr>
              <w:t xml:space="preserve"> en tant que cycle structuré (collecte d</w:t>
            </w:r>
            <w:r w:rsidR="0057315B">
              <w:rPr>
                <w:rFonts w:eastAsia="Arial Unicode MS" w:cs="Arial Unicode MS"/>
              </w:rPr>
              <w:t>’</w:t>
            </w:r>
            <w:r>
              <w:rPr>
                <w:rFonts w:eastAsia="Arial Unicode MS" w:cs="Arial Unicode MS"/>
              </w:rPr>
              <w:t xml:space="preserve">informations, évaluation technique, </w:t>
            </w:r>
            <w:r w:rsidR="00317A8F">
              <w:rPr>
                <w:rFonts w:eastAsia="Arial Unicode MS" w:cs="Arial Unicode MS"/>
              </w:rPr>
              <w:t>résultat</w:t>
            </w:r>
            <w:r>
              <w:rPr>
                <w:rFonts w:eastAsia="Arial Unicode MS" w:cs="Arial Unicode MS"/>
              </w:rPr>
              <w:t>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828AEAA" w14:textId="77777777" w:rsidR="001C6CC7" w:rsidRDefault="00DC03D0">
            <w:pPr>
              <w:pStyle w:val="CBDTableNormal"/>
            </w:pPr>
            <w:r>
              <w:rPr>
                <w:rFonts w:eastAsia="Arial Unicode MS" w:cs="Arial Unicode MS"/>
              </w:rPr>
              <w:t>Décision 19/CMA.1</w:t>
            </w:r>
          </w:p>
          <w:p w14:paraId="5BC180E7" w14:textId="00AA7CB7" w:rsidR="001C6CC7" w:rsidRDefault="00DC03D0">
            <w:pPr>
              <w:pStyle w:val="CBDTableNormal"/>
            </w:pPr>
            <w:r>
              <w:t>A</w:t>
            </w:r>
            <w:r w:rsidR="00314C96">
              <w:t>rticle 14 de l’A</w:t>
            </w:r>
            <w:r>
              <w:t>ccord de Paris</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97B1342" w14:textId="28C553D9" w:rsidR="001C6CC7" w:rsidRDefault="00DC03D0">
            <w:pPr>
              <w:pStyle w:val="CBDTableNormal"/>
            </w:pPr>
            <w:r>
              <w:rPr>
                <w:rFonts w:eastAsia="Arial Unicode MS" w:cs="Arial Unicode MS"/>
              </w:rPr>
              <w:t>D</w:t>
            </w:r>
            <w:r w:rsidR="00314C96">
              <w:rPr>
                <w:rFonts w:eastAsia="Arial Unicode MS" w:cs="Arial Unicode MS"/>
              </w:rPr>
              <w:t>ébat</w:t>
            </w:r>
            <w:r>
              <w:rPr>
                <w:rFonts w:eastAsia="Arial Unicode MS" w:cs="Arial Unicode MS"/>
              </w:rPr>
              <w:t xml:space="preserve">s fragmentés sur la mise en œuvre et </w:t>
            </w:r>
            <w:r w:rsidR="00314C96">
              <w:rPr>
                <w:rFonts w:eastAsia="Arial Unicode MS" w:cs="Arial Unicode MS"/>
              </w:rPr>
              <w:t xml:space="preserve">sur </w:t>
            </w:r>
            <w:r>
              <w:rPr>
                <w:rFonts w:eastAsia="Arial Unicode MS" w:cs="Arial Unicode MS"/>
              </w:rPr>
              <w:t>les progrès</w:t>
            </w:r>
            <w:r w:rsidR="00314C96">
              <w:rPr>
                <w:rFonts w:eastAsia="Arial Unicode MS" w:cs="Arial Unicode MS"/>
              </w:rPr>
              <w:t xml:space="preserve"> accomplis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19E8FAF" w14:textId="141C7ED4" w:rsidR="001C6CC7" w:rsidRDefault="00DC03D0">
            <w:pPr>
              <w:pStyle w:val="CBDTableNormal"/>
            </w:pPr>
            <w:r>
              <w:rPr>
                <w:rFonts w:eastAsia="Arial Unicode MS" w:cs="Arial Unicode MS"/>
              </w:rPr>
              <w:t>Délibérations prévisibles et fondées sur des données probantes</w:t>
            </w:r>
            <w:r w:rsidR="00314C96">
              <w:rPr>
                <w:rFonts w:eastAsia="Arial Unicode MS" w:cs="Arial Unicode MS"/>
              </w:rPr>
              <w:t>;</w:t>
            </w:r>
            <w:r>
              <w:rPr>
                <w:rFonts w:eastAsia="Arial Unicode MS" w:cs="Arial Unicode MS"/>
              </w:rPr>
              <w:t xml:space="preserve"> réduction des redondances</w:t>
            </w:r>
            <w:r w:rsidR="00314C96">
              <w:rPr>
                <w:rFonts w:eastAsia="Arial Unicode MS" w:cs="Arial Unicode MS"/>
              </w:rPr>
              <w:t>;</w:t>
            </w:r>
            <w:r>
              <w:rPr>
                <w:rFonts w:eastAsia="Arial Unicode MS" w:cs="Arial Unicode MS"/>
              </w:rPr>
              <w:t xml:space="preserve"> planification pluriannuelle cohérente</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AFB1C11" w14:textId="77777777" w:rsidR="001C6CC7" w:rsidRDefault="001C6CC7">
            <w:pPr>
              <w:pStyle w:val="CBDTableNormal"/>
              <w:rPr>
                <w:rStyle w:val="Hyperlink"/>
              </w:rPr>
            </w:pPr>
            <w:hyperlink r:id="rId65" w:history="1">
              <w:r>
                <w:rPr>
                  <w:rStyle w:val="Hyperlink"/>
                </w:rPr>
                <w:t>https://unfccc.int/documents/193408</w:t>
              </w:r>
            </w:hyperlink>
          </w:p>
          <w:p w14:paraId="3E709CCE" w14:textId="77777777" w:rsidR="001C6CC7" w:rsidRDefault="001C6CC7">
            <w:pPr>
              <w:pStyle w:val="CBDTableNormal"/>
              <w:rPr>
                <w:rStyle w:val="FollowedHyperlink"/>
              </w:rPr>
            </w:pPr>
            <w:hyperlink r:id="rId66" w:history="1">
              <w:r>
                <w:rPr>
                  <w:rStyle w:val="Hyperlink"/>
                </w:rPr>
                <w:t>https://unfccc.int/sites/default/files/english_paris_agreement.pdf</w:t>
              </w:r>
            </w:hyperlink>
          </w:p>
        </w:tc>
      </w:tr>
      <w:tr w:rsidR="005426F5" w:rsidRPr="0017781F" w14:paraId="3ECDD77F" w14:textId="77777777" w:rsidTr="0092087F">
        <w:tblPrEx>
          <w:shd w:val="clear" w:color="auto" w:fill="CED7E7"/>
        </w:tblPrEx>
        <w:trPr>
          <w:trHeight w:val="111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49E9625" w14:textId="5C45F339" w:rsidR="001C6CC7" w:rsidRDefault="00DC03D0">
            <w:pPr>
              <w:pStyle w:val="CBDTableNormal"/>
            </w:pPr>
            <w:r>
              <w:rPr>
                <w:rFonts w:eastAsia="Arial Unicode MS" w:cs="Arial Unicode MS"/>
              </w:rPr>
              <w:t>Convention sur le commerce international des espèces de faune et de flore sauvages menacées d</w:t>
            </w:r>
            <w:r w:rsidR="0057315B">
              <w:rPr>
                <w:rFonts w:eastAsia="Arial Unicode MS" w:cs="Arial Unicode MS"/>
              </w:rPr>
              <w:t>’</w:t>
            </w:r>
            <w:r>
              <w:rPr>
                <w:rFonts w:eastAsia="Arial Unicode MS" w:cs="Arial Unicode MS"/>
              </w:rPr>
              <w:t>extinction</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2F2BCC5" w14:textId="7D7E690C" w:rsidR="001C6CC7" w:rsidRDefault="00DC03D0">
            <w:pPr>
              <w:pStyle w:val="CBDTableNormal"/>
            </w:pPr>
            <w:r>
              <w:rPr>
                <w:rFonts w:eastAsia="Arial Unicode MS" w:cs="Arial Unicode MS"/>
              </w:rPr>
              <w:t>Limit</w:t>
            </w:r>
            <w:r w:rsidR="00314C96">
              <w:rPr>
                <w:rFonts w:eastAsia="Arial Unicode MS" w:cs="Arial Unicode MS"/>
              </w:rPr>
              <w:t>es imposées à</w:t>
            </w:r>
            <w:r>
              <w:rPr>
                <w:rFonts w:eastAsia="Arial Unicode MS" w:cs="Arial Unicode MS"/>
              </w:rPr>
              <w:t xml:space="preserve"> la longueur des documents de travail, délais </w:t>
            </w:r>
            <w:r w:rsidR="00314C96">
              <w:rPr>
                <w:rFonts w:eastAsia="Arial Unicode MS" w:cs="Arial Unicode MS"/>
              </w:rPr>
              <w:t>prévus pour la remise</w:t>
            </w:r>
            <w:r>
              <w:rPr>
                <w:rFonts w:eastAsia="Arial Unicode MS" w:cs="Arial Unicode MS"/>
              </w:rPr>
              <w:t xml:space="preserve"> anticipée</w:t>
            </w:r>
            <w:r w:rsidR="00314C96">
              <w:rPr>
                <w:rFonts w:eastAsia="Arial Unicode MS" w:cs="Arial Unicode MS"/>
              </w:rPr>
              <w:t xml:space="preserve"> des documents</w:t>
            </w:r>
            <w:r>
              <w:rPr>
                <w:rFonts w:eastAsia="Arial Unicode MS" w:cs="Arial Unicode MS"/>
              </w:rPr>
              <w:t xml:space="preserve"> et restrictions de pages, </w:t>
            </w:r>
            <w:r w:rsidR="00314C96">
              <w:rPr>
                <w:rFonts w:eastAsia="Arial Unicode MS" w:cs="Arial Unicode MS"/>
              </w:rPr>
              <w:t>ainsi qu’une durée limitée</w:t>
            </w:r>
            <w:r>
              <w:rPr>
                <w:rFonts w:eastAsia="Arial Unicode MS" w:cs="Arial Unicode MS"/>
              </w:rPr>
              <w:t xml:space="preserve"> pour les interventions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540A0CC" w14:textId="77777777" w:rsidR="001C6CC7" w:rsidRDefault="00DC03D0">
            <w:pPr>
              <w:pStyle w:val="CBDTableNormal"/>
            </w:pPr>
            <w:r>
              <w:rPr>
                <w:rFonts w:eastAsia="Arial Unicode MS" w:cs="Arial Unicode MS"/>
              </w:rPr>
              <w:t>Règlement intérieur de la Conférence des Parties, articles 18.2, 19.7, 20.2 et 22</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B659AC8" w14:textId="26507207" w:rsidR="001C6CC7" w:rsidRDefault="00314C96">
            <w:pPr>
              <w:pStyle w:val="CBDTableNormal"/>
            </w:pPr>
            <w:r>
              <w:rPr>
                <w:rFonts w:eastAsia="Arial Unicode MS" w:cs="Arial Unicode MS"/>
              </w:rPr>
              <w:t>Difficultés excessives pour la documentation et la traduction</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3EFE157" w14:textId="37231933" w:rsidR="001C6CC7" w:rsidRDefault="00DC03D0">
            <w:pPr>
              <w:pStyle w:val="CBDTableNormal"/>
            </w:pPr>
            <w:r>
              <w:rPr>
                <w:rFonts w:eastAsia="Arial Unicode MS" w:cs="Arial Unicode MS"/>
              </w:rPr>
              <w:t xml:space="preserve">Préparation </w:t>
            </w:r>
            <w:r w:rsidR="00314C96">
              <w:rPr>
                <w:rFonts w:eastAsia="Arial Unicode MS" w:cs="Arial Unicode MS"/>
              </w:rPr>
              <w:t>anticipée;</w:t>
            </w:r>
            <w:r>
              <w:rPr>
                <w:rFonts w:eastAsia="Arial Unicode MS" w:cs="Arial Unicode MS"/>
              </w:rPr>
              <w:t xml:space="preserve"> traduction</w:t>
            </w:r>
            <w:r w:rsidR="00314C96">
              <w:rPr>
                <w:rFonts w:eastAsia="Arial Unicode MS" w:cs="Arial Unicode MS"/>
              </w:rPr>
              <w:t>s effectuées en temps voulu;</w:t>
            </w:r>
            <w:r>
              <w:rPr>
                <w:rFonts w:eastAsia="Arial Unicode MS" w:cs="Arial Unicode MS"/>
              </w:rPr>
              <w:t xml:space="preserve"> ordre du jour gérable</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4A4BC06" w14:textId="77777777" w:rsidR="001C6CC7" w:rsidRDefault="001C6CC7">
            <w:pPr>
              <w:pStyle w:val="CBDTableNormal"/>
              <w:rPr>
                <w:rStyle w:val="Hyperlink"/>
              </w:rPr>
            </w:pPr>
            <w:hyperlink r:id="rId67" w:history="1">
              <w:r>
                <w:rPr>
                  <w:rStyle w:val="Hyperlink"/>
                </w:rPr>
                <w:t>https://cites.org/sites/default/files/eng/cop/19/E19-CoP-Rules.pdf</w:t>
              </w:r>
            </w:hyperlink>
          </w:p>
        </w:tc>
      </w:tr>
      <w:tr w:rsidR="005426F5" w:rsidRPr="0017781F" w14:paraId="00ADE1EC" w14:textId="77777777" w:rsidTr="0092087F">
        <w:tblPrEx>
          <w:shd w:val="clear" w:color="auto" w:fill="CED7E7"/>
        </w:tblPrEx>
        <w:trPr>
          <w:trHeight w:val="86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9D0E824" w14:textId="07089DE2" w:rsidR="001C6CC7" w:rsidRDefault="00DC03D0">
            <w:pPr>
              <w:pStyle w:val="CBDTableNormal"/>
            </w:pPr>
            <w:r>
              <w:rPr>
                <w:rFonts w:eastAsia="Arial Unicode MS" w:cs="Arial Unicode MS"/>
              </w:rPr>
              <w:t>Convention sur le commerce international des espèces de faune et de flore sauvages menacées d</w:t>
            </w:r>
            <w:r w:rsidR="0057315B">
              <w:rPr>
                <w:rFonts w:eastAsia="Arial Unicode MS" w:cs="Arial Unicode MS"/>
              </w:rPr>
              <w:t>’</w:t>
            </w:r>
            <w:r>
              <w:rPr>
                <w:rFonts w:eastAsia="Arial Unicode MS" w:cs="Arial Unicode MS"/>
              </w:rPr>
              <w:t>extinction</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E66B871" w14:textId="261CB294" w:rsidR="001C6CC7" w:rsidRDefault="00DC03D0">
            <w:pPr>
              <w:pStyle w:val="CBDTableNormal"/>
            </w:pPr>
            <w:r>
              <w:rPr>
                <w:rFonts w:eastAsia="Arial Unicode MS" w:cs="Arial Unicode MS"/>
              </w:rPr>
              <w:t>Mécanisme d</w:t>
            </w:r>
            <w:r w:rsidR="0057315B">
              <w:rPr>
                <w:rFonts w:eastAsia="Arial Unicode MS" w:cs="Arial Unicode MS"/>
              </w:rPr>
              <w:t>’</w:t>
            </w:r>
            <w:r>
              <w:rPr>
                <w:rFonts w:eastAsia="Arial Unicode MS" w:cs="Arial Unicode MS"/>
              </w:rPr>
              <w:t>examen systématique et d</w:t>
            </w:r>
            <w:r w:rsidR="0057315B">
              <w:rPr>
                <w:rFonts w:eastAsia="Arial Unicode MS" w:cs="Arial Unicode MS"/>
              </w:rPr>
              <w:t>’</w:t>
            </w:r>
            <w:r>
              <w:rPr>
                <w:rFonts w:eastAsia="Arial Unicode MS" w:cs="Arial Unicode MS"/>
              </w:rPr>
              <w:t>abrogation ou de révision des résolutions et décisions obsolètes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5BEC18F" w14:textId="77777777" w:rsidR="001C6CC7" w:rsidRDefault="00DC03D0">
            <w:pPr>
              <w:pStyle w:val="CBDTableNormal"/>
            </w:pPr>
            <w:r>
              <w:rPr>
                <w:rFonts w:eastAsia="Arial Unicode MS" w:cs="Arial Unicode MS"/>
              </w:rPr>
              <w:t>SC78, doc. 30</w:t>
            </w:r>
          </w:p>
          <w:p w14:paraId="2214641E" w14:textId="77777777" w:rsidR="001C6CC7" w:rsidRDefault="00DC03D0">
            <w:pPr>
              <w:pStyle w:val="CBDTableNormal"/>
            </w:pPr>
            <w:r>
              <w:t>CoP19 Doc. 26</w:t>
            </w:r>
          </w:p>
          <w:p w14:paraId="03518C39" w14:textId="77777777" w:rsidR="001C6CC7" w:rsidRDefault="00DC03D0">
            <w:pPr>
              <w:pStyle w:val="CBDTableNormal"/>
            </w:pPr>
            <w:r>
              <w:t xml:space="preserve">CoP19 Doc. 27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A7D1875" w14:textId="32635E5F" w:rsidR="001C6CC7" w:rsidRDefault="00DC03D0">
            <w:pPr>
              <w:pStyle w:val="CBDTableNormal"/>
            </w:pPr>
            <w:r>
              <w:rPr>
                <w:rFonts w:eastAsia="Arial Unicode MS" w:cs="Arial Unicode MS"/>
              </w:rPr>
              <w:t xml:space="preserve">Prolifération de résolutions </w:t>
            </w:r>
            <w:r w:rsidR="00EA3A35">
              <w:rPr>
                <w:rFonts w:eastAsia="Arial Unicode MS" w:cs="Arial Unicode MS"/>
              </w:rPr>
              <w:t>obsolètes;</w:t>
            </w:r>
            <w:r>
              <w:rPr>
                <w:rFonts w:eastAsia="Arial Unicode MS" w:cs="Arial Unicode MS"/>
              </w:rPr>
              <w:t xml:space="preserve"> débats répétés sur des questions </w:t>
            </w:r>
            <w:r w:rsidR="00EA3A35">
              <w:rPr>
                <w:rFonts w:eastAsia="Arial Unicode MS" w:cs="Arial Unicode MS"/>
              </w:rPr>
              <w:t>déjà résolues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C2031B9" w14:textId="428DA046" w:rsidR="001C6CC7" w:rsidRDefault="00DC03D0">
            <w:pPr>
              <w:pStyle w:val="CBDTableNormal"/>
            </w:pPr>
            <w:r>
              <w:rPr>
                <w:rFonts w:eastAsia="Arial Unicode MS" w:cs="Arial Unicode MS"/>
              </w:rPr>
              <w:t>Réduction du volume de</w:t>
            </w:r>
            <w:r w:rsidR="00EA3A35">
              <w:rPr>
                <w:rFonts w:eastAsia="Arial Unicode MS" w:cs="Arial Unicode MS"/>
              </w:rPr>
              <w:t xml:space="preserve"> l’</w:t>
            </w:r>
            <w:r>
              <w:rPr>
                <w:rFonts w:eastAsia="Arial Unicode MS" w:cs="Arial Unicode MS"/>
              </w:rPr>
              <w:t>ordre du jour</w:t>
            </w:r>
            <w:r w:rsidR="00EA3A35">
              <w:rPr>
                <w:rFonts w:eastAsia="Arial Unicode MS" w:cs="Arial Unicode MS"/>
              </w:rPr>
              <w:t>;</w:t>
            </w:r>
            <w:r>
              <w:rPr>
                <w:rFonts w:eastAsia="Arial Unicode MS" w:cs="Arial Unicode MS"/>
              </w:rPr>
              <w:t xml:space="preserve"> rationalisation des décisions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A20624B" w14:textId="77777777" w:rsidR="001C6CC7" w:rsidRDefault="001C6CC7">
            <w:pPr>
              <w:pStyle w:val="CBDTableNormal"/>
              <w:rPr>
                <w:rStyle w:val="Hyperlink"/>
              </w:rPr>
            </w:pPr>
            <w:hyperlink r:id="rId68" w:history="1">
              <w:r>
                <w:rPr>
                  <w:rStyle w:val="Hyperlink"/>
                </w:rPr>
                <w:t>https://cites.org/sites/default/files/documents/SC/78/agenda/E-SC78-30.pdf</w:t>
              </w:r>
            </w:hyperlink>
          </w:p>
          <w:p w14:paraId="2767BA27" w14:textId="77777777" w:rsidR="001C6CC7" w:rsidRDefault="001C6CC7">
            <w:pPr>
              <w:pStyle w:val="CBDTableNormal"/>
              <w:rPr>
                <w:rStyle w:val="Hyperlink"/>
              </w:rPr>
            </w:pPr>
            <w:hyperlink r:id="rId69" w:history="1">
              <w:r>
                <w:rPr>
                  <w:rStyle w:val="Hyperlink"/>
                </w:rPr>
                <w:t>https://cites.org/sites/default/files/documents/COP/19/agenda/E-CoP19-26.pdf</w:t>
              </w:r>
            </w:hyperlink>
          </w:p>
          <w:p w14:paraId="515D3B04" w14:textId="77777777" w:rsidR="001C6CC7" w:rsidRDefault="001C6CC7">
            <w:pPr>
              <w:pStyle w:val="CBDTableNormal"/>
              <w:rPr>
                <w:rStyle w:val="Hyperlink"/>
              </w:rPr>
            </w:pPr>
            <w:hyperlink r:id="rId70" w:history="1">
              <w:r>
                <w:rPr>
                  <w:rStyle w:val="Hyperlink"/>
                </w:rPr>
                <w:t>https://cites.org/sites/default/files/documents/E-CoP19-27.pdf</w:t>
              </w:r>
            </w:hyperlink>
          </w:p>
        </w:tc>
      </w:tr>
      <w:tr w:rsidR="005426F5" w:rsidRPr="0017781F" w14:paraId="7D54AD0D" w14:textId="77777777" w:rsidTr="0092087F">
        <w:tblPrEx>
          <w:shd w:val="clear" w:color="auto" w:fill="CED7E7"/>
        </w:tblPrEx>
        <w:trPr>
          <w:trHeight w:val="78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9C0C991" w14:textId="62310450" w:rsidR="001C6CC7" w:rsidRDefault="00DC03D0">
            <w:pPr>
              <w:pStyle w:val="CBDTableNormal"/>
            </w:pPr>
            <w:r>
              <w:rPr>
                <w:rFonts w:eastAsia="Arial Unicode MS" w:cs="Arial Unicode MS"/>
              </w:rPr>
              <w:lastRenderedPageBreak/>
              <w:t>Convention des Nations Unies sur la lutte contre la désertification dans les pays gravement touchés par la sécheresse et/ou la désertification, particuli</w:t>
            </w:r>
            <w:r w:rsidR="00EA3A35">
              <w:rPr>
                <w:rFonts w:eastAsia="Arial Unicode MS" w:cs="Arial Unicode MS"/>
              </w:rPr>
              <w:t>è</w:t>
            </w:r>
            <w:r>
              <w:rPr>
                <w:rFonts w:eastAsia="Arial Unicode MS" w:cs="Arial Unicode MS"/>
              </w:rPr>
              <w:t>r</w:t>
            </w:r>
            <w:r w:rsidR="00EA3A35">
              <w:rPr>
                <w:rFonts w:eastAsia="Arial Unicode MS" w:cs="Arial Unicode MS"/>
              </w:rPr>
              <w:t>ement</w:t>
            </w:r>
            <w:r>
              <w:rPr>
                <w:rFonts w:eastAsia="Arial Unicode MS" w:cs="Arial Unicode MS"/>
              </w:rPr>
              <w:t xml:space="preserve"> en Afrique</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401874E" w14:textId="77777777" w:rsidR="001C6CC7" w:rsidRDefault="00DC03D0">
            <w:pPr>
              <w:pStyle w:val="CBDTableNormal"/>
            </w:pPr>
            <w:r>
              <w:rPr>
                <w:rFonts w:eastAsia="Arial Unicode MS" w:cs="Arial Unicode MS"/>
              </w:rPr>
              <w:t>Amélioration des modalités de participation de la société civile et des jeunes aux processus de la Conférence des Parties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9B0B98E" w14:textId="77777777" w:rsidR="001C6CC7" w:rsidRDefault="00DC03D0">
            <w:pPr>
              <w:pStyle w:val="CBDTableNormal"/>
            </w:pPr>
            <w:r>
              <w:rPr>
                <w:rFonts w:eastAsia="Arial Unicode MS" w:cs="Arial Unicode MS"/>
              </w:rPr>
              <w:t>Décision 5/COP.16</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BCB4244" w14:textId="77777777" w:rsidR="001C6CC7" w:rsidRDefault="00DC03D0">
            <w:pPr>
              <w:pStyle w:val="CBDTableNormal"/>
            </w:pPr>
            <w:r>
              <w:rPr>
                <w:rFonts w:eastAsia="Arial Unicode MS" w:cs="Arial Unicode MS"/>
              </w:rPr>
              <w:t>Inclusion et représentation limitées dans les délibérations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BA280F" w14:textId="4086B0E6" w:rsidR="001C6CC7" w:rsidRDefault="00DC03D0">
            <w:pPr>
              <w:pStyle w:val="CBDTableNormal"/>
            </w:pPr>
            <w:r>
              <w:rPr>
                <w:rFonts w:eastAsia="Arial Unicode MS" w:cs="Arial Unicode MS"/>
              </w:rPr>
              <w:t>Participation plus large</w:t>
            </w:r>
            <w:r w:rsidR="00EA3A35">
              <w:rPr>
                <w:rFonts w:eastAsia="Arial Unicode MS" w:cs="Arial Unicode MS"/>
              </w:rPr>
              <w:t>;</w:t>
            </w:r>
            <w:r>
              <w:rPr>
                <w:rFonts w:eastAsia="Arial Unicode MS" w:cs="Arial Unicode MS"/>
              </w:rPr>
              <w:t xml:space="preserve"> amélioration de la légitimité et de l</w:t>
            </w:r>
            <w:r w:rsidR="0057315B">
              <w:rPr>
                <w:rFonts w:eastAsia="Arial Unicode MS" w:cs="Arial Unicode MS"/>
              </w:rPr>
              <w:t>’</w:t>
            </w:r>
            <w:r>
              <w:rPr>
                <w:rFonts w:eastAsia="Arial Unicode MS" w:cs="Arial Unicode MS"/>
              </w:rPr>
              <w:t>appropriation des résultats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39F9CF1" w14:textId="77777777" w:rsidR="001C6CC7" w:rsidRDefault="001C6CC7">
            <w:pPr>
              <w:pStyle w:val="CBDTableNormal"/>
              <w:rPr>
                <w:rStyle w:val="Hyperlink"/>
              </w:rPr>
            </w:pPr>
            <w:hyperlink r:id="rId71" w:history="1">
              <w:r>
                <w:rPr>
                  <w:rStyle w:val="Hyperlink"/>
                </w:rPr>
                <w:t>www.unccd.int/sites/default/files/2025-03/5-cop16.pdf</w:t>
              </w:r>
            </w:hyperlink>
          </w:p>
        </w:tc>
      </w:tr>
      <w:tr w:rsidR="005426F5" w:rsidRPr="0017781F" w14:paraId="5916C297" w14:textId="77777777" w:rsidTr="0092087F">
        <w:tblPrEx>
          <w:shd w:val="clear" w:color="auto" w:fill="CED7E7"/>
        </w:tblPrEx>
        <w:trPr>
          <w:trHeight w:val="103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47FD451" w14:textId="77777777" w:rsidR="001C6CC7" w:rsidRDefault="00DC03D0">
            <w:pPr>
              <w:pStyle w:val="CBDTableNormal"/>
            </w:pPr>
            <w:r>
              <w:t xml:space="preserve">Conventions </w:t>
            </w:r>
            <w:r>
              <w:rPr>
                <w:rStyle w:val="None"/>
                <w:rFonts w:eastAsia="Arial Unicode MS" w:cs="Arial Unicode MS"/>
              </w:rPr>
              <w:t>de Bâle, de Rotterdam et de Stockholm</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701065D" w14:textId="685BA586" w:rsidR="001C6CC7" w:rsidRDefault="00DC03D0">
            <w:pPr>
              <w:pStyle w:val="CBDTableNormal"/>
            </w:pPr>
            <w:r>
              <w:rPr>
                <w:rFonts w:eastAsia="Arial Unicode MS" w:cs="Arial Unicode MS"/>
              </w:rPr>
              <w:t>Réunions conjointes de la Conférence des Parties</w:t>
            </w:r>
            <w:r w:rsidR="00401C09">
              <w:rPr>
                <w:rFonts w:eastAsia="Arial Unicode MS" w:cs="Arial Unicode MS"/>
              </w:rPr>
              <w:t>, comprenant des</w:t>
            </w:r>
            <w:r>
              <w:rPr>
                <w:rFonts w:eastAsia="Arial Unicode MS" w:cs="Arial Unicode MS"/>
              </w:rPr>
              <w:t xml:space="preserve"> services partagés et </w:t>
            </w:r>
            <w:r w:rsidR="00401C09">
              <w:rPr>
                <w:rFonts w:eastAsia="Arial Unicode MS" w:cs="Arial Unicode MS"/>
              </w:rPr>
              <w:t xml:space="preserve">des </w:t>
            </w:r>
            <w:r>
              <w:rPr>
                <w:rFonts w:eastAsia="Arial Unicode MS" w:cs="Arial Unicode MS"/>
              </w:rPr>
              <w:t xml:space="preserve">décisions </w:t>
            </w:r>
            <w:r w:rsidR="00401C09">
              <w:rPr>
                <w:rFonts w:eastAsia="Arial Unicode MS" w:cs="Arial Unicode MS"/>
              </w:rPr>
              <w:t>omnibus</w:t>
            </w:r>
            <w:r>
              <w:rPr>
                <w:rFonts w:eastAsia="Arial Unicode MS" w:cs="Arial Unicode MS"/>
              </w:rPr>
              <w:t xml:space="preserve"> sur </w:t>
            </w:r>
            <w:r w:rsidR="00401C09">
              <w:rPr>
                <w:rFonts w:eastAsia="Arial Unicode MS" w:cs="Arial Unicode MS"/>
              </w:rPr>
              <w:t>l</w:t>
            </w:r>
            <w:r>
              <w:rPr>
                <w:rFonts w:eastAsia="Arial Unicode MS" w:cs="Arial Unicode MS"/>
              </w:rPr>
              <w:t>es questions transversales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D5DD694" w14:textId="77777777" w:rsidR="001C6CC7" w:rsidRDefault="00DC03D0">
            <w:pPr>
              <w:pStyle w:val="CBDTableNormal"/>
            </w:pPr>
            <w:r>
              <w:rPr>
                <w:rFonts w:eastAsia="Arial Unicode MS" w:cs="Arial Unicode MS"/>
              </w:rPr>
              <w:t>Décision omnibus Ex</w:t>
            </w:r>
            <w:r>
              <w:rPr>
                <w:rFonts w:eastAsia="Arial Unicode MS"/>
              </w:rPr>
              <w:t>‑</w:t>
            </w:r>
            <w:r>
              <w:rPr>
                <w:rFonts w:eastAsia="Arial Unicode MS" w:cs="Arial Unicode MS"/>
              </w:rPr>
              <w:t>1/1</w:t>
            </w:r>
          </w:p>
          <w:p w14:paraId="43FDDFD4" w14:textId="77777777" w:rsidR="001C6CC7" w:rsidRDefault="00DC03D0">
            <w:pPr>
              <w:pStyle w:val="CBDTableNormal"/>
            </w:pPr>
            <w:r>
              <w:t xml:space="preserve">Décision omnibus Ex‑2/1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D80AFCA" w14:textId="7A5646DF" w:rsidR="001C6CC7" w:rsidRDefault="00DC03D0">
            <w:pPr>
              <w:pStyle w:val="CBDTableNormal"/>
            </w:pPr>
            <w:r>
              <w:rPr>
                <w:rFonts w:eastAsia="Arial Unicode MS" w:cs="Arial Unicode MS"/>
              </w:rPr>
              <w:t>Chevauchement des points de l</w:t>
            </w:r>
            <w:r w:rsidR="0057315B">
              <w:rPr>
                <w:rFonts w:eastAsia="Arial Unicode MS" w:cs="Arial Unicode MS"/>
              </w:rPr>
              <w:t>’</w:t>
            </w:r>
            <w:r>
              <w:rPr>
                <w:rFonts w:eastAsia="Arial Unicode MS" w:cs="Arial Unicode MS"/>
              </w:rPr>
              <w:t>ordre du jour et coûts administratifs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CE4C82D" w14:textId="59465553" w:rsidR="001C6CC7" w:rsidRDefault="00DC03D0">
            <w:pPr>
              <w:pStyle w:val="CBDTableNormal"/>
            </w:pPr>
            <w:r>
              <w:rPr>
                <w:rFonts w:eastAsia="Arial Unicode MS" w:cs="Arial Unicode MS"/>
              </w:rPr>
              <w:t>Débat</w:t>
            </w:r>
            <w:r w:rsidR="00401C09">
              <w:rPr>
                <w:rFonts w:eastAsia="Arial Unicode MS" w:cs="Arial Unicode MS"/>
              </w:rPr>
              <w:t>s</w:t>
            </w:r>
            <w:r>
              <w:rPr>
                <w:rFonts w:eastAsia="Arial Unicode MS" w:cs="Arial Unicode MS"/>
              </w:rPr>
              <w:t xml:space="preserve"> unifié</w:t>
            </w:r>
            <w:r w:rsidR="00401C09">
              <w:rPr>
                <w:rFonts w:eastAsia="Arial Unicode MS" w:cs="Arial Unicode MS"/>
              </w:rPr>
              <w:t>s</w:t>
            </w:r>
            <w:r>
              <w:rPr>
                <w:rFonts w:eastAsia="Arial Unicode MS" w:cs="Arial Unicode MS"/>
              </w:rPr>
              <w:t xml:space="preserve"> sur les questions transversales</w:t>
            </w:r>
            <w:r w:rsidR="00401C09">
              <w:rPr>
                <w:rFonts w:eastAsia="Arial Unicode MS" w:cs="Arial Unicode MS"/>
              </w:rPr>
              <w:t>;</w:t>
            </w:r>
            <w:r>
              <w:rPr>
                <w:rFonts w:eastAsia="Arial Unicode MS" w:cs="Arial Unicode MS"/>
              </w:rPr>
              <w:t xml:space="preserve"> cohérence des décisions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FE0407C" w14:textId="77777777" w:rsidR="001C6CC7" w:rsidRDefault="001C6CC7">
            <w:pPr>
              <w:pStyle w:val="CBDTableNormal"/>
              <w:rPr>
                <w:rStyle w:val="Hyperlink"/>
              </w:rPr>
            </w:pPr>
            <w:hyperlink r:id="rId72" w:history="1">
              <w:r>
                <w:rPr>
                  <w:rStyle w:val="Hyperlink"/>
                </w:rPr>
                <w:t>www.brsmeas.org/Implementation/DecisionsandDocuments/Decisions/tabid/2616/language/en-US/Default.aspx</w:t>
              </w:r>
            </w:hyperlink>
          </w:p>
        </w:tc>
      </w:tr>
      <w:tr w:rsidR="005426F5" w:rsidRPr="0017781F" w14:paraId="0888BA44" w14:textId="77777777" w:rsidTr="0092087F">
        <w:tblPrEx>
          <w:shd w:val="clear" w:color="auto" w:fill="CED7E7"/>
        </w:tblPrEx>
        <w:trPr>
          <w:trHeight w:val="122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9340A46" w14:textId="77777777" w:rsidR="001C6CC7" w:rsidRDefault="00DC03D0">
            <w:pPr>
              <w:pStyle w:val="CBDTableNormal"/>
            </w:pPr>
            <w:r>
              <w:rPr>
                <w:rFonts w:eastAsia="Arial Unicode MS" w:cs="Arial Unicode MS"/>
              </w:rPr>
              <w:t>Convention sur la conservation des espèces migratrices appartenant à la faune sauvage</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C7AFD17" w14:textId="77777777" w:rsidR="001C6CC7" w:rsidRDefault="00DC03D0">
            <w:pPr>
              <w:pStyle w:val="CBDTableNormal"/>
            </w:pPr>
            <w:r>
              <w:rPr>
                <w:rFonts w:eastAsia="Arial Unicode MS" w:cs="Arial Unicode MS"/>
              </w:rPr>
              <w:t xml:space="preserve">Restructuration du Conseil scientifique </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54C3724" w14:textId="77777777" w:rsidR="001C6CC7" w:rsidRDefault="00DC03D0">
            <w:pPr>
              <w:pStyle w:val="CBDTableNormal"/>
            </w:pPr>
            <w:r>
              <w:rPr>
                <w:rFonts w:eastAsia="Arial Unicode MS" w:cs="Arial Unicode MS"/>
              </w:rPr>
              <w:t xml:space="preserve">Résolution 12.4, (2017)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7EC4D79" w14:textId="1A4E6550" w:rsidR="001C6CC7" w:rsidRDefault="00DC03D0">
            <w:pPr>
              <w:pStyle w:val="CBDTableNormal"/>
            </w:pPr>
            <w:r>
              <w:rPr>
                <w:rFonts w:eastAsia="Arial Unicode MS" w:cs="Arial Unicode MS"/>
              </w:rPr>
              <w:t>Duplication des débats techniques lors des s</w:t>
            </w:r>
            <w:r w:rsidR="00401C09">
              <w:rPr>
                <w:rFonts w:eastAsia="Arial Unicode MS" w:cs="Arial Unicode MS"/>
              </w:rPr>
              <w:t>éances</w:t>
            </w:r>
            <w:r>
              <w:rPr>
                <w:rFonts w:eastAsia="Arial Unicode MS" w:cs="Arial Unicode MS"/>
              </w:rPr>
              <w:t xml:space="preserve"> plénières de la C</w:t>
            </w:r>
            <w:r w:rsidR="00401C09">
              <w:rPr>
                <w:rFonts w:eastAsia="Arial Unicode MS" w:cs="Arial Unicode MS"/>
              </w:rPr>
              <w:t>onférence des Parties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F64FC49" w14:textId="64798A0B" w:rsidR="001C6CC7" w:rsidRDefault="00DC03D0">
            <w:pPr>
              <w:pStyle w:val="CBDTableNormal"/>
            </w:pPr>
            <w:r>
              <w:rPr>
                <w:rFonts w:eastAsia="Arial Unicode MS" w:cs="Arial Unicode MS"/>
              </w:rPr>
              <w:t xml:space="preserve">Consolidation des produits techniques avant les </w:t>
            </w:r>
            <w:r w:rsidR="00401C09">
              <w:rPr>
                <w:rFonts w:eastAsia="Arial Unicode MS" w:cs="Arial Unicode MS"/>
              </w:rPr>
              <w:t>réunion</w:t>
            </w:r>
            <w:r>
              <w:rPr>
                <w:rFonts w:eastAsia="Arial Unicode MS" w:cs="Arial Unicode MS"/>
              </w:rPr>
              <w:t>s de la C</w:t>
            </w:r>
            <w:r w:rsidR="00401C09">
              <w:rPr>
                <w:rFonts w:eastAsia="Arial Unicode MS" w:cs="Arial Unicode MS"/>
              </w:rPr>
              <w:t>onférence des Parties</w:t>
            </w:r>
            <w:r>
              <w:rPr>
                <w:rFonts w:eastAsia="Arial Unicode MS" w:cs="Arial Unicode MS"/>
              </w:rPr>
              <w:t>, permettant des d</w:t>
            </w:r>
            <w:r w:rsidR="00401C09">
              <w:rPr>
                <w:rFonts w:eastAsia="Arial Unicode MS" w:cs="Arial Unicode MS"/>
              </w:rPr>
              <w:t>ébat</w:t>
            </w:r>
            <w:r>
              <w:rPr>
                <w:rFonts w:eastAsia="Arial Unicode MS" w:cs="Arial Unicode MS"/>
              </w:rPr>
              <w:t>s</w:t>
            </w:r>
            <w:r w:rsidR="00401C09">
              <w:rPr>
                <w:rFonts w:eastAsia="Arial Unicode MS" w:cs="Arial Unicode MS"/>
              </w:rPr>
              <w:t xml:space="preserve"> en séance</w:t>
            </w:r>
            <w:r>
              <w:rPr>
                <w:rFonts w:eastAsia="Arial Unicode MS" w:cs="Arial Unicode MS"/>
              </w:rPr>
              <w:t xml:space="preserve"> plénièr</w:t>
            </w:r>
            <w:r w:rsidR="00401C09">
              <w:rPr>
                <w:rFonts w:eastAsia="Arial Unicode MS" w:cs="Arial Unicode MS"/>
              </w:rPr>
              <w:t>e</w:t>
            </w:r>
            <w:r>
              <w:rPr>
                <w:rFonts w:eastAsia="Arial Unicode MS" w:cs="Arial Unicode MS"/>
              </w:rPr>
              <w:t xml:space="preserve"> plus courts et plus ciblés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02F7ADA" w14:textId="77777777" w:rsidR="001C6CC7" w:rsidRDefault="001C6CC7">
            <w:pPr>
              <w:pStyle w:val="CBDTableNormal"/>
              <w:rPr>
                <w:rStyle w:val="Hyperlink"/>
              </w:rPr>
            </w:pPr>
            <w:hyperlink r:id="rId73" w:history="1">
              <w:r>
                <w:rPr>
                  <w:rStyle w:val="Hyperlink"/>
                </w:rPr>
                <w:t>www.cms.int/sites/default/files/document/cms_cop12_res.12.4_scientific-council_e.pdf</w:t>
              </w:r>
            </w:hyperlink>
          </w:p>
        </w:tc>
      </w:tr>
      <w:tr w:rsidR="005426F5" w:rsidRPr="0017781F" w14:paraId="1EC41C59" w14:textId="77777777" w:rsidTr="0092087F">
        <w:tblPrEx>
          <w:shd w:val="clear" w:color="auto" w:fill="CED7E7"/>
        </w:tblPrEx>
        <w:trPr>
          <w:trHeight w:val="961"/>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05E779B" w14:textId="2EC16014" w:rsidR="001C6CC7" w:rsidRDefault="00DC03D0">
            <w:pPr>
              <w:pStyle w:val="CBDTableNormal"/>
            </w:pPr>
            <w:r>
              <w:rPr>
                <w:rFonts w:eastAsia="Arial Unicode MS" w:cs="Arial Unicode MS"/>
              </w:rPr>
              <w:t xml:space="preserve">Convention </w:t>
            </w:r>
            <w:r w:rsidR="008E1B18">
              <w:rPr>
                <w:rFonts w:eastAsia="Arial Unicode MS" w:cs="Arial Unicode MS"/>
              </w:rPr>
              <w:t>relative aux</w:t>
            </w:r>
            <w:r>
              <w:rPr>
                <w:rFonts w:eastAsia="Arial Unicode MS" w:cs="Arial Unicode MS"/>
              </w:rPr>
              <w:t xml:space="preserve"> zones humides d</w:t>
            </w:r>
            <w:r w:rsidR="0057315B">
              <w:rPr>
                <w:rFonts w:eastAsia="Arial Unicode MS" w:cs="Arial Unicode MS"/>
              </w:rPr>
              <w:t>’</w:t>
            </w:r>
            <w:r>
              <w:rPr>
                <w:rFonts w:eastAsia="Arial Unicode MS" w:cs="Arial Unicode MS"/>
              </w:rPr>
              <w:t>importance internationale</w:t>
            </w:r>
            <w:r w:rsidR="008E1B18">
              <w:rPr>
                <w:rFonts w:eastAsia="Arial Unicode MS" w:cs="Arial Unicode MS"/>
              </w:rPr>
              <w:t xml:space="preserve"> particulièrement</w:t>
            </w:r>
            <w:r>
              <w:rPr>
                <w:rFonts w:eastAsia="Arial Unicode MS" w:cs="Arial Unicode MS"/>
              </w:rPr>
              <w:t xml:space="preserve"> </w:t>
            </w:r>
            <w:r w:rsidR="008E1B18">
              <w:rPr>
                <w:rFonts w:eastAsia="Arial Unicode MS" w:cs="Arial Unicode MS"/>
              </w:rPr>
              <w:t xml:space="preserve">comme </w:t>
            </w:r>
            <w:r>
              <w:rPr>
                <w:rFonts w:eastAsia="Arial Unicode MS" w:cs="Arial Unicode MS"/>
              </w:rPr>
              <w:t>habitat</w:t>
            </w:r>
            <w:r w:rsidR="008E1B18">
              <w:rPr>
                <w:rFonts w:eastAsia="Arial Unicode MS" w:cs="Arial Unicode MS"/>
              </w:rPr>
              <w:t>s des oiseaux d’eau</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1F31ED" w14:textId="164BA223" w:rsidR="001C6CC7" w:rsidRDefault="00DC03D0">
            <w:pPr>
              <w:pStyle w:val="CBDTableNormal"/>
            </w:pPr>
            <w:r>
              <w:rPr>
                <w:rFonts w:eastAsia="Arial Unicode MS" w:cs="Arial Unicode MS"/>
              </w:rPr>
              <w:t xml:space="preserve">Examen périodique et </w:t>
            </w:r>
            <w:r w:rsidR="00401C09">
              <w:rPr>
                <w:rFonts w:eastAsia="Arial Unicode MS" w:cs="Arial Unicode MS"/>
              </w:rPr>
              <w:t>retrait de</w:t>
            </w:r>
            <w:r>
              <w:rPr>
                <w:rFonts w:eastAsia="Arial Unicode MS" w:cs="Arial Unicode MS"/>
              </w:rPr>
              <w:t xml:space="preserve"> résolutions antérieures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ECB28EB" w14:textId="77777777" w:rsidR="001C6CC7" w:rsidRDefault="00DC03D0">
            <w:pPr>
              <w:pStyle w:val="CBDTableNormal"/>
            </w:pPr>
            <w:r>
              <w:rPr>
                <w:rFonts w:eastAsia="Arial Unicode MS" w:cs="Arial Unicode MS"/>
              </w:rPr>
              <w:t>COP14 Doc. 5, par. 6-10</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2ED7CBC" w14:textId="68FF2D0C" w:rsidR="001C6CC7" w:rsidRDefault="00401C09">
            <w:pPr>
              <w:pStyle w:val="CBDTableNormal"/>
            </w:pPr>
            <w:r>
              <w:rPr>
                <w:rFonts w:eastAsia="Arial Unicode MS" w:cs="Arial Unicode MS"/>
              </w:rPr>
              <w:t>Ordres du jour surchargés comprenant des résolutions héritées du passé</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BD72F6F" w14:textId="068A2AEC" w:rsidR="001C6CC7" w:rsidRDefault="00DC03D0">
            <w:pPr>
              <w:pStyle w:val="CBDTableNormal"/>
            </w:pPr>
            <w:r>
              <w:rPr>
                <w:rFonts w:eastAsia="Arial Unicode MS" w:cs="Arial Unicode MS"/>
              </w:rPr>
              <w:t>Ordre du jour « propre »; temps de séance</w:t>
            </w:r>
            <w:r w:rsidR="00401C09">
              <w:rPr>
                <w:rFonts w:eastAsia="Arial Unicode MS" w:cs="Arial Unicode MS"/>
              </w:rPr>
              <w:t xml:space="preserve"> plénière</w:t>
            </w:r>
            <w:r>
              <w:rPr>
                <w:rFonts w:eastAsia="Arial Unicode MS" w:cs="Arial Unicode MS"/>
              </w:rPr>
              <w:t xml:space="preserve"> réduit</w:t>
            </w:r>
            <w:r w:rsidR="00401C09">
              <w:rPr>
                <w:rFonts w:eastAsia="Arial Unicode MS" w:cs="Arial Unicode MS"/>
              </w:rPr>
              <w:t>;</w:t>
            </w:r>
            <w:r>
              <w:rPr>
                <w:rFonts w:eastAsia="Arial Unicode MS" w:cs="Arial Unicode MS"/>
              </w:rPr>
              <w:t xml:space="preserve"> corpus de décisions mis à jour</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94387F9" w14:textId="77777777" w:rsidR="001C6CC7" w:rsidRDefault="001C6CC7">
            <w:pPr>
              <w:pStyle w:val="CBDTableNormal"/>
              <w:rPr>
                <w:rStyle w:val="Hyperlink"/>
              </w:rPr>
            </w:pPr>
            <w:hyperlink r:id="rId74" w:history="1">
              <w:r>
                <w:rPr>
                  <w:rStyle w:val="Hyperlink"/>
                </w:rPr>
                <w:t>www.ramsar.org/sites/default/files/documents/library/xiv.5_review_resolutions_e.pdf</w:t>
              </w:r>
            </w:hyperlink>
          </w:p>
        </w:tc>
      </w:tr>
    </w:tbl>
    <w:p w14:paraId="64804158" w14:textId="77777777" w:rsidR="00026D87" w:rsidRPr="0017781F" w:rsidRDefault="00026D87" w:rsidP="00487318">
      <w:pPr>
        <w:pStyle w:val="Para1"/>
        <w:numPr>
          <w:ilvl w:val="0"/>
          <w:numId w:val="0"/>
        </w:numPr>
        <w:ind w:left="567"/>
        <w:jc w:val="center"/>
        <w:sectPr w:rsidR="00026D87" w:rsidRPr="0017781F" w:rsidSect="00487318">
          <w:headerReference w:type="even" r:id="rId75"/>
          <w:headerReference w:type="default" r:id="rId76"/>
          <w:footerReference w:type="even" r:id="rId77"/>
          <w:footerReference w:type="default" r:id="rId78"/>
          <w:pgSz w:w="15840" w:h="12240" w:orient="landscape"/>
          <w:pgMar w:top="1134" w:right="1440" w:bottom="1134" w:left="1440" w:header="709" w:footer="709" w:gutter="0"/>
          <w:cols w:space="708"/>
          <w:docGrid w:linePitch="360"/>
        </w:sectPr>
      </w:pPr>
    </w:p>
    <w:p w14:paraId="2757C3F5" w14:textId="77777777" w:rsidR="001C6CC7" w:rsidRDefault="00DC03D0">
      <w:pPr>
        <w:pStyle w:val="CBDAnnex"/>
      </w:pPr>
      <w:r>
        <w:lastRenderedPageBreak/>
        <w:t>Annexe II</w:t>
      </w:r>
    </w:p>
    <w:p w14:paraId="6D055290" w14:textId="77777777" w:rsidR="001C6CC7" w:rsidRDefault="00DC03D0" w:rsidP="008401EE">
      <w:pPr>
        <w:pStyle w:val="CBDTitle"/>
        <w:spacing w:after="120"/>
        <w:rPr>
          <w:lang w:bidi="ar-SY"/>
        </w:rPr>
      </w:pPr>
      <w:r>
        <w:t>Estimation des ressources extrabudgétaires nécessaires</w:t>
      </w:r>
    </w:p>
    <w:p w14:paraId="0818CC53" w14:textId="28230521" w:rsidR="006775D2" w:rsidRDefault="00DC03D0" w:rsidP="008401EE">
      <w:pPr>
        <w:pStyle w:val="CBDNormalNoNumber"/>
        <w:spacing w:after="100" w:afterAutospacing="1"/>
      </w:pPr>
      <w:r>
        <w:t xml:space="preserve">Le tableau ci-dessous a été établi </w:t>
      </w:r>
      <w:r w:rsidR="00382791">
        <w:t xml:space="preserve">afin de </w:t>
      </w:r>
      <w:r w:rsidR="008E1B18">
        <w:t xml:space="preserve">fournir une estimation </w:t>
      </w:r>
      <w:r>
        <w:t xml:space="preserve">des ressources extrabudgétaires nécessaires pour les activités demandées au Secrétariat, </w:t>
      </w:r>
      <w:r w:rsidR="008E1B18">
        <w:t>telles qu’elles sont décrites</w:t>
      </w:r>
      <w:r>
        <w:t xml:space="preserve"> dans le projet de recommandation, </w:t>
      </w:r>
      <w:r w:rsidR="008E1B18">
        <w:t>afin d’appuyer</w:t>
      </w:r>
      <w:r>
        <w:t xml:space="preserve"> son examen. La présente annexe ne fait pas partie du projet de recommandation </w:t>
      </w:r>
      <w:r w:rsidR="00747EE5">
        <w:t>trans</w:t>
      </w:r>
      <w:r w:rsidR="00382791">
        <w:t>mis</w:t>
      </w:r>
      <w:r>
        <w:t xml:space="preserve"> à l</w:t>
      </w:r>
      <w:r w:rsidR="0057315B">
        <w:t>’</w:t>
      </w:r>
      <w:r>
        <w:t xml:space="preserve">Organe subsidiaire </w:t>
      </w:r>
      <w:r w:rsidR="00747EE5">
        <w:t xml:space="preserve">pour </w:t>
      </w:r>
      <w:r>
        <w:t>examen.</w:t>
      </w:r>
    </w:p>
    <w:p w14:paraId="48C814AB" w14:textId="77777777" w:rsidR="001C6CC7" w:rsidRDefault="00DC03D0" w:rsidP="008401EE">
      <w:pPr>
        <w:pStyle w:val="CBDTableTitle"/>
        <w:spacing w:before="0" w:after="0"/>
      </w:pPr>
      <w:r>
        <w:t>Ressources extrabudgétaires nécessaires</w:t>
      </w:r>
    </w:p>
    <w:p w14:paraId="3ECDC8FA" w14:textId="03275A25" w:rsidR="001C6CC7" w:rsidRDefault="00DC03D0" w:rsidP="008401EE">
      <w:pPr>
        <w:spacing w:after="120"/>
        <w:rPr>
          <w:iCs/>
        </w:rPr>
      </w:pPr>
      <w:r>
        <w:rPr>
          <w:iCs/>
          <w:sz w:val="18"/>
          <w:szCs w:val="18"/>
        </w:rPr>
        <w:tab/>
        <w:t>(</w:t>
      </w:r>
      <w:r w:rsidR="008E1B18">
        <w:rPr>
          <w:iCs/>
          <w:sz w:val="18"/>
          <w:szCs w:val="18"/>
        </w:rPr>
        <w:t>D</w:t>
      </w:r>
      <w:r>
        <w:rPr>
          <w:iCs/>
          <w:sz w:val="18"/>
          <w:szCs w:val="18"/>
        </w:rPr>
        <w:t>ollars des États-Unis)</w:t>
      </w:r>
    </w:p>
    <w:tbl>
      <w:tblPr>
        <w:tblW w:w="10356" w:type="dxa"/>
        <w:tblLayout w:type="fixed"/>
        <w:tblCellMar>
          <w:left w:w="0" w:type="dxa"/>
          <w:right w:w="0" w:type="dxa"/>
        </w:tblCellMar>
        <w:tblLook w:val="04A0" w:firstRow="1" w:lastRow="0" w:firstColumn="1" w:lastColumn="0" w:noHBand="0" w:noVBand="1"/>
      </w:tblPr>
      <w:tblGrid>
        <w:gridCol w:w="636"/>
        <w:gridCol w:w="3051"/>
        <w:gridCol w:w="992"/>
        <w:gridCol w:w="851"/>
        <w:gridCol w:w="1133"/>
        <w:gridCol w:w="992"/>
        <w:gridCol w:w="1369"/>
        <w:gridCol w:w="1332"/>
      </w:tblGrid>
      <w:tr w:rsidR="00C86AA8" w:rsidRPr="0017781F" w14:paraId="53949799" w14:textId="77777777" w:rsidTr="008E1B18">
        <w:trPr>
          <w:trHeight w:val="290"/>
        </w:trPr>
        <w:tc>
          <w:tcPr>
            <w:tcW w:w="307" w:type="pct"/>
            <w:tcBorders>
              <w:top w:val="single" w:sz="4" w:space="0" w:color="auto"/>
              <w:bottom w:val="single" w:sz="8" w:space="0" w:color="auto"/>
            </w:tcBorders>
            <w:vAlign w:val="bottom"/>
          </w:tcPr>
          <w:p w14:paraId="77A3F369" w14:textId="6554910E" w:rsidR="001C6CC7" w:rsidRDefault="00DC03D0">
            <w:pPr>
              <w:jc w:val="center"/>
              <w:rPr>
                <w:sz w:val="20"/>
                <w:szCs w:val="20"/>
              </w:rPr>
            </w:pPr>
            <w:r>
              <w:rPr>
                <w:i/>
                <w:iCs/>
                <w:sz w:val="20"/>
                <w:szCs w:val="20"/>
              </w:rPr>
              <w:t>P</w:t>
            </w:r>
            <w:r w:rsidR="00C65B8E">
              <w:rPr>
                <w:i/>
                <w:iCs/>
                <w:sz w:val="20"/>
                <w:szCs w:val="20"/>
              </w:rPr>
              <w:t>ar.</w:t>
            </w:r>
          </w:p>
        </w:tc>
        <w:tc>
          <w:tcPr>
            <w:tcW w:w="1473" w:type="pct"/>
            <w:tcBorders>
              <w:top w:val="single" w:sz="4" w:space="0" w:color="auto"/>
              <w:bottom w:val="single" w:sz="8" w:space="0" w:color="auto"/>
            </w:tcBorders>
            <w:noWrap/>
            <w:tcMar>
              <w:top w:w="0" w:type="dxa"/>
              <w:left w:w="108" w:type="dxa"/>
              <w:bottom w:w="0" w:type="dxa"/>
              <w:right w:w="108" w:type="dxa"/>
            </w:tcMar>
            <w:vAlign w:val="bottom"/>
          </w:tcPr>
          <w:p w14:paraId="67BE061E" w14:textId="77777777" w:rsidR="001C6CC7" w:rsidRDefault="00DC03D0">
            <w:pPr>
              <w:jc w:val="left"/>
              <w:rPr>
                <w:sz w:val="20"/>
                <w:szCs w:val="20"/>
              </w:rPr>
            </w:pPr>
            <w:r>
              <w:rPr>
                <w:i/>
                <w:iCs/>
                <w:sz w:val="20"/>
                <w:szCs w:val="20"/>
              </w:rPr>
              <w:t>Activité</w:t>
            </w:r>
          </w:p>
        </w:tc>
        <w:tc>
          <w:tcPr>
            <w:tcW w:w="479" w:type="pct"/>
            <w:tcBorders>
              <w:top w:val="single" w:sz="4" w:space="0" w:color="auto"/>
              <w:bottom w:val="single" w:sz="8" w:space="0" w:color="auto"/>
            </w:tcBorders>
            <w:noWrap/>
            <w:tcMar>
              <w:top w:w="0" w:type="dxa"/>
              <w:left w:w="108" w:type="dxa"/>
              <w:bottom w:w="0" w:type="dxa"/>
              <w:right w:w="108" w:type="dxa"/>
            </w:tcMar>
            <w:vAlign w:val="bottom"/>
          </w:tcPr>
          <w:p w14:paraId="7FFD9A37" w14:textId="612537C9" w:rsidR="001C6CC7" w:rsidRPr="006775D2" w:rsidRDefault="008E1B18">
            <w:pPr>
              <w:jc w:val="center"/>
              <w:rPr>
                <w:sz w:val="20"/>
                <w:szCs w:val="20"/>
              </w:rPr>
            </w:pPr>
            <w:r>
              <w:rPr>
                <w:i/>
                <w:iCs/>
                <w:sz w:val="20"/>
                <w:szCs w:val="20"/>
              </w:rPr>
              <w:t>Dépenses relatives aux</w:t>
            </w:r>
            <w:r w:rsidRPr="006775D2">
              <w:rPr>
                <w:i/>
                <w:iCs/>
                <w:sz w:val="20"/>
                <w:szCs w:val="20"/>
              </w:rPr>
              <w:t xml:space="preserve"> réunion</w:t>
            </w:r>
            <w:r>
              <w:rPr>
                <w:i/>
                <w:iCs/>
                <w:sz w:val="20"/>
                <w:szCs w:val="20"/>
              </w:rPr>
              <w:t>s</w:t>
            </w:r>
            <w:r w:rsidRPr="008E1B18">
              <w:rPr>
                <w:i/>
                <w:iCs/>
                <w:sz w:val="20"/>
                <w:szCs w:val="20"/>
                <w:vertAlign w:val="superscript"/>
              </w:rPr>
              <w:t>a</w:t>
            </w:r>
          </w:p>
        </w:tc>
        <w:tc>
          <w:tcPr>
            <w:tcW w:w="411" w:type="pct"/>
            <w:tcBorders>
              <w:top w:val="single" w:sz="4" w:space="0" w:color="auto"/>
              <w:bottom w:val="single" w:sz="8" w:space="0" w:color="auto"/>
            </w:tcBorders>
            <w:noWrap/>
            <w:tcMar>
              <w:top w:w="0" w:type="dxa"/>
              <w:left w:w="108" w:type="dxa"/>
              <w:bottom w:w="0" w:type="dxa"/>
              <w:right w:w="108" w:type="dxa"/>
            </w:tcMar>
            <w:vAlign w:val="bottom"/>
          </w:tcPr>
          <w:p w14:paraId="3F1230B5" w14:textId="0738A240" w:rsidR="001C6CC7" w:rsidRPr="006775D2" w:rsidRDefault="008E1B18" w:rsidP="008E1B18">
            <w:pPr>
              <w:tabs>
                <w:tab w:val="clear" w:pos="567"/>
                <w:tab w:val="left" w:pos="490"/>
              </w:tabs>
              <w:jc w:val="center"/>
              <w:rPr>
                <w:sz w:val="20"/>
                <w:szCs w:val="20"/>
              </w:rPr>
            </w:pPr>
            <w:r>
              <w:rPr>
                <w:i/>
                <w:iCs/>
                <w:sz w:val="20"/>
                <w:szCs w:val="20"/>
              </w:rPr>
              <w:t>Frais de v</w:t>
            </w:r>
            <w:r w:rsidRPr="006775D2">
              <w:rPr>
                <w:i/>
                <w:iCs/>
                <w:sz w:val="20"/>
                <w:szCs w:val="20"/>
              </w:rPr>
              <w:t>oyage du personnel</w:t>
            </w:r>
          </w:p>
        </w:tc>
        <w:tc>
          <w:tcPr>
            <w:tcW w:w="547" w:type="pct"/>
            <w:tcBorders>
              <w:top w:val="single" w:sz="4" w:space="0" w:color="auto"/>
              <w:bottom w:val="single" w:sz="8" w:space="0" w:color="auto"/>
            </w:tcBorders>
            <w:noWrap/>
            <w:tcMar>
              <w:top w:w="0" w:type="dxa"/>
              <w:left w:w="108" w:type="dxa"/>
              <w:bottom w:w="0" w:type="dxa"/>
              <w:right w:w="108" w:type="dxa"/>
            </w:tcMar>
            <w:vAlign w:val="bottom"/>
          </w:tcPr>
          <w:p w14:paraId="37E36BFE" w14:textId="5A8C48A2" w:rsidR="001C6CC7" w:rsidRPr="006775D2" w:rsidRDefault="008E1B18">
            <w:pPr>
              <w:jc w:val="center"/>
              <w:rPr>
                <w:sz w:val="20"/>
                <w:szCs w:val="20"/>
              </w:rPr>
            </w:pPr>
            <w:r>
              <w:rPr>
                <w:i/>
                <w:iCs/>
                <w:sz w:val="20"/>
                <w:szCs w:val="20"/>
              </w:rPr>
              <w:t>Dépenses</w:t>
            </w:r>
            <w:r w:rsidRPr="006775D2">
              <w:rPr>
                <w:i/>
                <w:iCs/>
                <w:sz w:val="20"/>
                <w:szCs w:val="20"/>
              </w:rPr>
              <w:t xml:space="preserve"> de personnel</w:t>
            </w:r>
            <w:r w:rsidRPr="006775D2">
              <w:rPr>
                <w:i/>
                <w:iCs/>
                <w:sz w:val="20"/>
                <w:szCs w:val="20"/>
                <w:vertAlign w:val="superscript"/>
              </w:rPr>
              <w:t>b</w:t>
            </w:r>
          </w:p>
        </w:tc>
        <w:tc>
          <w:tcPr>
            <w:tcW w:w="479" w:type="pct"/>
            <w:tcBorders>
              <w:top w:val="single" w:sz="4" w:space="0" w:color="auto"/>
              <w:bottom w:val="single" w:sz="8" w:space="0" w:color="auto"/>
            </w:tcBorders>
            <w:noWrap/>
            <w:tcMar>
              <w:top w:w="0" w:type="dxa"/>
              <w:left w:w="108" w:type="dxa"/>
              <w:bottom w:w="0" w:type="dxa"/>
              <w:right w:w="108" w:type="dxa"/>
            </w:tcMar>
            <w:vAlign w:val="bottom"/>
          </w:tcPr>
          <w:p w14:paraId="2AB2B9C1" w14:textId="7B728D1D" w:rsidR="001C6CC7" w:rsidRDefault="008E1B18">
            <w:pPr>
              <w:jc w:val="center"/>
              <w:rPr>
                <w:sz w:val="20"/>
                <w:szCs w:val="20"/>
              </w:rPr>
            </w:pPr>
            <w:r>
              <w:rPr>
                <w:i/>
                <w:iCs/>
                <w:sz w:val="20"/>
                <w:szCs w:val="20"/>
              </w:rPr>
              <w:t>Sous-total</w:t>
            </w:r>
          </w:p>
        </w:tc>
        <w:tc>
          <w:tcPr>
            <w:tcW w:w="661" w:type="pct"/>
            <w:tcBorders>
              <w:top w:val="single" w:sz="4" w:space="0" w:color="auto"/>
              <w:bottom w:val="single" w:sz="8" w:space="0" w:color="auto"/>
            </w:tcBorders>
            <w:noWrap/>
            <w:tcMar>
              <w:top w:w="0" w:type="dxa"/>
              <w:left w:w="108" w:type="dxa"/>
              <w:bottom w:w="0" w:type="dxa"/>
              <w:right w:w="108" w:type="dxa"/>
            </w:tcMar>
            <w:vAlign w:val="bottom"/>
          </w:tcPr>
          <w:p w14:paraId="258CE9B9" w14:textId="14C9E497" w:rsidR="001C6CC7" w:rsidRDefault="00747EE5">
            <w:pPr>
              <w:jc w:val="center"/>
              <w:rPr>
                <w:sz w:val="20"/>
                <w:szCs w:val="20"/>
              </w:rPr>
            </w:pPr>
            <w:r>
              <w:rPr>
                <w:i/>
                <w:iCs/>
                <w:sz w:val="20"/>
                <w:szCs w:val="20"/>
              </w:rPr>
              <w:t xml:space="preserve">   </w:t>
            </w:r>
            <w:r w:rsidR="008E1B18">
              <w:rPr>
                <w:i/>
                <w:iCs/>
                <w:sz w:val="20"/>
                <w:szCs w:val="20"/>
              </w:rPr>
              <w:t>D</w:t>
            </w:r>
            <w:r w:rsidR="00C65B8E">
              <w:rPr>
                <w:i/>
                <w:iCs/>
                <w:sz w:val="20"/>
                <w:szCs w:val="20"/>
              </w:rPr>
              <w:t>AP</w:t>
            </w:r>
            <w:r w:rsidR="008E1B18">
              <w:rPr>
                <w:i/>
                <w:iCs/>
                <w:sz w:val="20"/>
                <w:szCs w:val="20"/>
              </w:rPr>
              <w:t xml:space="preserve"> </w:t>
            </w:r>
            <w:r w:rsidR="008E1B18">
              <w:rPr>
                <w:i/>
                <w:iCs/>
                <w:sz w:val="20"/>
                <w:szCs w:val="20"/>
              </w:rPr>
              <w:br/>
            </w:r>
            <w:r>
              <w:rPr>
                <w:i/>
                <w:iCs/>
                <w:sz w:val="20"/>
                <w:szCs w:val="20"/>
              </w:rPr>
              <w:t xml:space="preserve">  </w:t>
            </w:r>
            <w:r w:rsidR="008E1B18">
              <w:rPr>
                <w:i/>
                <w:iCs/>
                <w:sz w:val="20"/>
                <w:szCs w:val="20"/>
              </w:rPr>
              <w:t>(13</w:t>
            </w:r>
            <w:r w:rsidR="0005183C">
              <w:rPr>
                <w:i/>
                <w:iCs/>
                <w:sz w:val="20"/>
                <w:szCs w:val="20"/>
                <w:lang w:val="en-GB"/>
              </w:rPr>
              <w:t>%</w:t>
            </w:r>
            <w:r w:rsidR="008E1B18">
              <w:rPr>
                <w:i/>
                <w:iCs/>
                <w:sz w:val="20"/>
                <w:szCs w:val="20"/>
              </w:rPr>
              <w:t>)</w:t>
            </w:r>
          </w:p>
        </w:tc>
        <w:tc>
          <w:tcPr>
            <w:tcW w:w="643" w:type="pct"/>
            <w:tcBorders>
              <w:top w:val="single" w:sz="4" w:space="0" w:color="auto"/>
              <w:bottom w:val="single" w:sz="8" w:space="0" w:color="auto"/>
            </w:tcBorders>
            <w:noWrap/>
            <w:tcMar>
              <w:top w:w="0" w:type="dxa"/>
              <w:left w:w="108" w:type="dxa"/>
              <w:bottom w:w="0" w:type="dxa"/>
              <w:right w:w="108" w:type="dxa"/>
            </w:tcMar>
            <w:vAlign w:val="bottom"/>
          </w:tcPr>
          <w:p w14:paraId="29EF120F" w14:textId="77777777" w:rsidR="001C6CC7" w:rsidRDefault="00DC03D0">
            <w:pPr>
              <w:jc w:val="right"/>
              <w:rPr>
                <w:i/>
                <w:iCs/>
                <w:sz w:val="20"/>
                <w:szCs w:val="20"/>
              </w:rPr>
            </w:pPr>
            <w:r>
              <w:rPr>
                <w:i/>
                <w:iCs/>
                <w:sz w:val="20"/>
                <w:szCs w:val="20"/>
              </w:rPr>
              <w:t>Total</w:t>
            </w:r>
          </w:p>
        </w:tc>
      </w:tr>
      <w:tr w:rsidR="00BA453F" w:rsidRPr="0017781F" w14:paraId="4563DD08" w14:textId="77777777" w:rsidTr="008E1B18">
        <w:trPr>
          <w:trHeight w:val="290"/>
        </w:trPr>
        <w:tc>
          <w:tcPr>
            <w:tcW w:w="4998" w:type="pct"/>
            <w:gridSpan w:val="8"/>
            <w:tcBorders>
              <w:top w:val="single" w:sz="8" w:space="0" w:color="auto"/>
            </w:tcBorders>
            <w:vAlign w:val="center"/>
          </w:tcPr>
          <w:p w14:paraId="0688B3BC" w14:textId="77777777" w:rsidR="001C6CC7" w:rsidRDefault="00DC03D0">
            <w:pPr>
              <w:ind w:left="57"/>
              <w:jc w:val="left"/>
              <w:rPr>
                <w:sz w:val="20"/>
                <w:szCs w:val="20"/>
              </w:rPr>
            </w:pPr>
            <w:r>
              <w:rPr>
                <w:sz w:val="20"/>
                <w:szCs w:val="20"/>
              </w:rPr>
              <w:t>Projet de recommandation pour la Conférence des Parties à la Convention</w:t>
            </w:r>
          </w:p>
        </w:tc>
      </w:tr>
      <w:tr w:rsidR="00C86AA8" w:rsidRPr="0017781F" w14:paraId="404FBD8D" w14:textId="77777777" w:rsidTr="008E1B18">
        <w:trPr>
          <w:trHeight w:val="290"/>
        </w:trPr>
        <w:tc>
          <w:tcPr>
            <w:tcW w:w="307" w:type="pct"/>
          </w:tcPr>
          <w:p w14:paraId="23235C6A" w14:textId="77777777" w:rsidR="001C6CC7" w:rsidRDefault="00DC03D0">
            <w:pPr>
              <w:ind w:right="57"/>
              <w:jc w:val="right"/>
              <w:rPr>
                <w:sz w:val="20"/>
                <w:szCs w:val="20"/>
              </w:rPr>
            </w:pPr>
            <w:r>
              <w:rPr>
                <w:sz w:val="20"/>
                <w:szCs w:val="20"/>
              </w:rPr>
              <w:t>6 a)</w:t>
            </w:r>
          </w:p>
        </w:tc>
        <w:tc>
          <w:tcPr>
            <w:tcW w:w="1473" w:type="pct"/>
            <w:noWrap/>
            <w:tcMar>
              <w:top w:w="0" w:type="dxa"/>
              <w:left w:w="108" w:type="dxa"/>
              <w:bottom w:w="0" w:type="dxa"/>
              <w:right w:w="108" w:type="dxa"/>
            </w:tcMar>
          </w:tcPr>
          <w:p w14:paraId="1E9D268D" w14:textId="4131E1B5" w:rsidR="001C6CC7" w:rsidRDefault="00DC03D0">
            <w:pPr>
              <w:jc w:val="left"/>
              <w:rPr>
                <w:sz w:val="20"/>
                <w:szCs w:val="20"/>
              </w:rPr>
            </w:pPr>
            <w:r>
              <w:rPr>
                <w:sz w:val="20"/>
                <w:szCs w:val="20"/>
              </w:rPr>
              <w:t xml:space="preserve">Webinaires </w:t>
            </w:r>
            <w:r w:rsidR="0005183C">
              <w:rPr>
                <w:sz w:val="20"/>
                <w:szCs w:val="20"/>
              </w:rPr>
              <w:t>comprenant un service d’</w:t>
            </w:r>
            <w:r>
              <w:rPr>
                <w:sz w:val="20"/>
                <w:szCs w:val="20"/>
              </w:rPr>
              <w:t>interpréta</w:t>
            </w:r>
            <w:r w:rsidR="0005183C">
              <w:rPr>
                <w:sz w:val="20"/>
                <w:szCs w:val="20"/>
              </w:rPr>
              <w:t>riat</w:t>
            </w:r>
            <w:r>
              <w:rPr>
                <w:sz w:val="20"/>
                <w:szCs w:val="20"/>
              </w:rPr>
              <w:t xml:space="preserve"> pour informer les Parties et les observateurs </w:t>
            </w:r>
            <w:r w:rsidR="0005183C">
              <w:rPr>
                <w:sz w:val="20"/>
                <w:szCs w:val="20"/>
              </w:rPr>
              <w:t>concernant</w:t>
            </w:r>
            <w:r>
              <w:rPr>
                <w:sz w:val="20"/>
                <w:szCs w:val="20"/>
              </w:rPr>
              <w:t xml:space="preserve"> les points de l</w:t>
            </w:r>
            <w:r w:rsidR="0057315B">
              <w:rPr>
                <w:sz w:val="20"/>
                <w:szCs w:val="20"/>
              </w:rPr>
              <w:t>’</w:t>
            </w:r>
            <w:r>
              <w:rPr>
                <w:sz w:val="20"/>
                <w:szCs w:val="20"/>
              </w:rPr>
              <w:t>ordre du jour et les procédures de</w:t>
            </w:r>
            <w:r w:rsidR="0005183C">
              <w:rPr>
                <w:sz w:val="20"/>
                <w:szCs w:val="20"/>
              </w:rPr>
              <w:t xml:space="preserve"> la</w:t>
            </w:r>
            <w:r>
              <w:rPr>
                <w:sz w:val="20"/>
                <w:szCs w:val="20"/>
              </w:rPr>
              <w:t xml:space="preserve"> réunion. </w:t>
            </w:r>
          </w:p>
        </w:tc>
        <w:tc>
          <w:tcPr>
            <w:tcW w:w="479" w:type="pct"/>
            <w:noWrap/>
            <w:tcMar>
              <w:top w:w="0" w:type="dxa"/>
              <w:left w:w="108" w:type="dxa"/>
              <w:bottom w:w="0" w:type="dxa"/>
              <w:right w:w="108" w:type="dxa"/>
            </w:tcMar>
            <w:vAlign w:val="bottom"/>
            <w:hideMark/>
          </w:tcPr>
          <w:p w14:paraId="0DDCB31C" w14:textId="77777777" w:rsidR="001C6CC7" w:rsidRDefault="00DC03D0">
            <w:pPr>
              <w:jc w:val="right"/>
              <w:rPr>
                <w:sz w:val="20"/>
                <w:szCs w:val="20"/>
              </w:rPr>
            </w:pPr>
            <w:r>
              <w:rPr>
                <w:sz w:val="20"/>
                <w:szCs w:val="20"/>
              </w:rPr>
              <w:t>20 000</w:t>
            </w:r>
          </w:p>
        </w:tc>
        <w:tc>
          <w:tcPr>
            <w:tcW w:w="411" w:type="pct"/>
            <w:noWrap/>
            <w:tcMar>
              <w:top w:w="0" w:type="dxa"/>
              <w:left w:w="108" w:type="dxa"/>
              <w:bottom w:w="0" w:type="dxa"/>
              <w:right w:w="108" w:type="dxa"/>
            </w:tcMar>
            <w:vAlign w:val="bottom"/>
            <w:hideMark/>
          </w:tcPr>
          <w:p w14:paraId="66D00260" w14:textId="77777777" w:rsidR="001C6CC7" w:rsidRDefault="00DC03D0">
            <w:pPr>
              <w:jc w:val="right"/>
              <w:rPr>
                <w:sz w:val="20"/>
                <w:szCs w:val="20"/>
              </w:rPr>
            </w:pPr>
            <w:r>
              <w:rPr>
                <w:sz w:val="20"/>
                <w:szCs w:val="20"/>
              </w:rPr>
              <w:t>–</w:t>
            </w:r>
          </w:p>
        </w:tc>
        <w:tc>
          <w:tcPr>
            <w:tcW w:w="547" w:type="pct"/>
            <w:noWrap/>
            <w:tcMar>
              <w:top w:w="0" w:type="dxa"/>
              <w:left w:w="108" w:type="dxa"/>
              <w:bottom w:w="0" w:type="dxa"/>
              <w:right w:w="108" w:type="dxa"/>
            </w:tcMar>
            <w:vAlign w:val="bottom"/>
          </w:tcPr>
          <w:p w14:paraId="54F80879" w14:textId="77777777" w:rsidR="001C6CC7" w:rsidRDefault="00DC03D0">
            <w:pPr>
              <w:jc w:val="right"/>
              <w:rPr>
                <w:sz w:val="20"/>
                <w:szCs w:val="20"/>
              </w:rPr>
            </w:pPr>
            <w:r>
              <w:rPr>
                <w:sz w:val="20"/>
                <w:szCs w:val="20"/>
              </w:rPr>
              <w:t>–</w:t>
            </w:r>
          </w:p>
        </w:tc>
        <w:tc>
          <w:tcPr>
            <w:tcW w:w="479" w:type="pct"/>
            <w:noWrap/>
            <w:tcMar>
              <w:top w:w="0" w:type="dxa"/>
              <w:left w:w="108" w:type="dxa"/>
              <w:bottom w:w="0" w:type="dxa"/>
              <w:right w:w="108" w:type="dxa"/>
            </w:tcMar>
            <w:vAlign w:val="bottom"/>
          </w:tcPr>
          <w:p w14:paraId="4A69DD80" w14:textId="77777777" w:rsidR="001C6CC7" w:rsidRDefault="00DC03D0">
            <w:pPr>
              <w:jc w:val="right"/>
              <w:rPr>
                <w:sz w:val="20"/>
                <w:szCs w:val="20"/>
              </w:rPr>
            </w:pPr>
            <w:r>
              <w:rPr>
                <w:sz w:val="20"/>
                <w:szCs w:val="20"/>
              </w:rPr>
              <w:t>20 000</w:t>
            </w:r>
          </w:p>
        </w:tc>
        <w:tc>
          <w:tcPr>
            <w:tcW w:w="661" w:type="pct"/>
            <w:noWrap/>
            <w:tcMar>
              <w:top w:w="0" w:type="dxa"/>
              <w:left w:w="108" w:type="dxa"/>
              <w:bottom w:w="0" w:type="dxa"/>
              <w:right w:w="108" w:type="dxa"/>
            </w:tcMar>
            <w:vAlign w:val="bottom"/>
          </w:tcPr>
          <w:p w14:paraId="5A6365A5" w14:textId="77777777" w:rsidR="001C6CC7" w:rsidRDefault="00DC03D0">
            <w:pPr>
              <w:jc w:val="right"/>
              <w:rPr>
                <w:sz w:val="20"/>
                <w:szCs w:val="20"/>
              </w:rPr>
            </w:pPr>
            <w:r>
              <w:rPr>
                <w:sz w:val="20"/>
                <w:szCs w:val="20"/>
              </w:rPr>
              <w:t>2 600</w:t>
            </w:r>
          </w:p>
        </w:tc>
        <w:tc>
          <w:tcPr>
            <w:tcW w:w="643" w:type="pct"/>
            <w:noWrap/>
            <w:tcMar>
              <w:top w:w="0" w:type="dxa"/>
              <w:left w:w="108" w:type="dxa"/>
              <w:bottom w:w="0" w:type="dxa"/>
              <w:right w:w="108" w:type="dxa"/>
            </w:tcMar>
            <w:vAlign w:val="bottom"/>
          </w:tcPr>
          <w:p w14:paraId="323F453B" w14:textId="77777777" w:rsidR="001C6CC7" w:rsidRDefault="00DC03D0">
            <w:pPr>
              <w:jc w:val="right"/>
              <w:rPr>
                <w:sz w:val="20"/>
                <w:szCs w:val="20"/>
              </w:rPr>
            </w:pPr>
            <w:r>
              <w:rPr>
                <w:sz w:val="20"/>
                <w:szCs w:val="20"/>
              </w:rPr>
              <w:t>22 600</w:t>
            </w:r>
          </w:p>
        </w:tc>
      </w:tr>
      <w:tr w:rsidR="00C86AA8" w:rsidRPr="0017781F" w14:paraId="1D6142B0" w14:textId="77777777" w:rsidTr="008E1B18">
        <w:trPr>
          <w:trHeight w:val="290"/>
        </w:trPr>
        <w:tc>
          <w:tcPr>
            <w:tcW w:w="307" w:type="pct"/>
          </w:tcPr>
          <w:p w14:paraId="4E27B140" w14:textId="77777777" w:rsidR="001C6CC7" w:rsidRDefault="00DC03D0">
            <w:pPr>
              <w:ind w:right="57"/>
              <w:jc w:val="right"/>
              <w:rPr>
                <w:sz w:val="20"/>
                <w:szCs w:val="20"/>
              </w:rPr>
            </w:pPr>
            <w:r>
              <w:rPr>
                <w:sz w:val="20"/>
                <w:szCs w:val="20"/>
              </w:rPr>
              <w:t>6 b)</w:t>
            </w:r>
          </w:p>
        </w:tc>
        <w:tc>
          <w:tcPr>
            <w:tcW w:w="1473" w:type="pct"/>
            <w:noWrap/>
            <w:tcMar>
              <w:top w:w="0" w:type="dxa"/>
              <w:left w:w="108" w:type="dxa"/>
              <w:bottom w:w="0" w:type="dxa"/>
              <w:right w:w="108" w:type="dxa"/>
            </w:tcMar>
          </w:tcPr>
          <w:p w14:paraId="63C7B4B9" w14:textId="2E17D7CC" w:rsidR="001C6CC7" w:rsidRDefault="0005183C">
            <w:pPr>
              <w:jc w:val="left"/>
              <w:rPr>
                <w:sz w:val="20"/>
                <w:szCs w:val="20"/>
              </w:rPr>
            </w:pPr>
            <w:r w:rsidRPr="0005183C">
              <w:rPr>
                <w:sz w:val="20"/>
                <w:szCs w:val="20"/>
              </w:rPr>
              <w:t>É</w:t>
            </w:r>
            <w:r>
              <w:rPr>
                <w:sz w:val="20"/>
                <w:szCs w:val="20"/>
              </w:rPr>
              <w:t>tudier l</w:t>
            </w:r>
            <w:r w:rsidR="0057315B">
              <w:rPr>
                <w:sz w:val="20"/>
                <w:szCs w:val="20"/>
              </w:rPr>
              <w:t>’</w:t>
            </w:r>
            <w:r>
              <w:rPr>
                <w:sz w:val="20"/>
                <w:szCs w:val="20"/>
              </w:rPr>
              <w:t>utilisation de technologies susceptibles d’accélérer les processus décisionnels.</w:t>
            </w:r>
          </w:p>
        </w:tc>
        <w:tc>
          <w:tcPr>
            <w:tcW w:w="479" w:type="pct"/>
            <w:noWrap/>
            <w:tcMar>
              <w:top w:w="0" w:type="dxa"/>
              <w:left w:w="108" w:type="dxa"/>
              <w:bottom w:w="0" w:type="dxa"/>
              <w:right w:w="108" w:type="dxa"/>
            </w:tcMar>
            <w:vAlign w:val="bottom"/>
          </w:tcPr>
          <w:p w14:paraId="7F6CFA31" w14:textId="77777777" w:rsidR="001C6CC7" w:rsidRDefault="00DC03D0">
            <w:pPr>
              <w:jc w:val="right"/>
              <w:rPr>
                <w:sz w:val="20"/>
                <w:szCs w:val="20"/>
              </w:rPr>
            </w:pPr>
            <w:r>
              <w:rPr>
                <w:sz w:val="20"/>
                <w:szCs w:val="20"/>
              </w:rPr>
              <w:t>–</w:t>
            </w:r>
          </w:p>
        </w:tc>
        <w:tc>
          <w:tcPr>
            <w:tcW w:w="411" w:type="pct"/>
            <w:noWrap/>
            <w:tcMar>
              <w:top w:w="0" w:type="dxa"/>
              <w:left w:w="108" w:type="dxa"/>
              <w:bottom w:w="0" w:type="dxa"/>
              <w:right w:w="108" w:type="dxa"/>
            </w:tcMar>
            <w:vAlign w:val="bottom"/>
          </w:tcPr>
          <w:p w14:paraId="12C7139A" w14:textId="77777777" w:rsidR="001C6CC7" w:rsidRDefault="00DC03D0">
            <w:pPr>
              <w:jc w:val="right"/>
              <w:rPr>
                <w:sz w:val="20"/>
                <w:szCs w:val="20"/>
              </w:rPr>
            </w:pPr>
            <w:r>
              <w:rPr>
                <w:sz w:val="20"/>
                <w:szCs w:val="20"/>
              </w:rPr>
              <w:t>–</w:t>
            </w:r>
          </w:p>
        </w:tc>
        <w:tc>
          <w:tcPr>
            <w:tcW w:w="547" w:type="pct"/>
            <w:noWrap/>
            <w:tcMar>
              <w:top w:w="0" w:type="dxa"/>
              <w:left w:w="108" w:type="dxa"/>
              <w:bottom w:w="0" w:type="dxa"/>
              <w:right w:w="108" w:type="dxa"/>
            </w:tcMar>
            <w:vAlign w:val="bottom"/>
          </w:tcPr>
          <w:p w14:paraId="7A47C0B3" w14:textId="77777777" w:rsidR="001C6CC7" w:rsidRDefault="00DC03D0">
            <w:pPr>
              <w:jc w:val="right"/>
              <w:rPr>
                <w:sz w:val="20"/>
                <w:szCs w:val="20"/>
              </w:rPr>
            </w:pPr>
            <w:r>
              <w:rPr>
                <w:sz w:val="20"/>
                <w:szCs w:val="20"/>
              </w:rPr>
              <w:t>27 000</w:t>
            </w:r>
          </w:p>
        </w:tc>
        <w:tc>
          <w:tcPr>
            <w:tcW w:w="479" w:type="pct"/>
            <w:noWrap/>
            <w:tcMar>
              <w:top w:w="0" w:type="dxa"/>
              <w:left w:w="108" w:type="dxa"/>
              <w:bottom w:w="0" w:type="dxa"/>
              <w:right w:w="108" w:type="dxa"/>
            </w:tcMar>
            <w:vAlign w:val="bottom"/>
          </w:tcPr>
          <w:p w14:paraId="2DB8975A" w14:textId="77777777" w:rsidR="001C6CC7" w:rsidRDefault="00DC03D0">
            <w:pPr>
              <w:jc w:val="right"/>
              <w:rPr>
                <w:sz w:val="20"/>
                <w:szCs w:val="20"/>
              </w:rPr>
            </w:pPr>
            <w:r>
              <w:rPr>
                <w:sz w:val="20"/>
                <w:szCs w:val="20"/>
              </w:rPr>
              <w:t>27 000</w:t>
            </w:r>
          </w:p>
        </w:tc>
        <w:tc>
          <w:tcPr>
            <w:tcW w:w="661" w:type="pct"/>
            <w:noWrap/>
            <w:tcMar>
              <w:top w:w="0" w:type="dxa"/>
              <w:left w:w="108" w:type="dxa"/>
              <w:bottom w:w="0" w:type="dxa"/>
              <w:right w:w="108" w:type="dxa"/>
            </w:tcMar>
            <w:vAlign w:val="bottom"/>
          </w:tcPr>
          <w:p w14:paraId="1D932925" w14:textId="77777777" w:rsidR="001C6CC7" w:rsidRDefault="00DC03D0">
            <w:pPr>
              <w:jc w:val="right"/>
              <w:rPr>
                <w:sz w:val="20"/>
                <w:szCs w:val="20"/>
              </w:rPr>
            </w:pPr>
            <w:r>
              <w:rPr>
                <w:sz w:val="20"/>
                <w:szCs w:val="20"/>
              </w:rPr>
              <w:t>3 510</w:t>
            </w:r>
          </w:p>
        </w:tc>
        <w:tc>
          <w:tcPr>
            <w:tcW w:w="643" w:type="pct"/>
            <w:noWrap/>
            <w:tcMar>
              <w:top w:w="0" w:type="dxa"/>
              <w:left w:w="108" w:type="dxa"/>
              <w:bottom w:w="0" w:type="dxa"/>
              <w:right w:w="108" w:type="dxa"/>
            </w:tcMar>
            <w:vAlign w:val="bottom"/>
          </w:tcPr>
          <w:p w14:paraId="319E34ED" w14:textId="77777777" w:rsidR="001C6CC7" w:rsidRDefault="00DC03D0">
            <w:pPr>
              <w:jc w:val="right"/>
              <w:rPr>
                <w:sz w:val="20"/>
                <w:szCs w:val="20"/>
              </w:rPr>
            </w:pPr>
            <w:r>
              <w:rPr>
                <w:sz w:val="20"/>
                <w:szCs w:val="20"/>
              </w:rPr>
              <w:t>30 510</w:t>
            </w:r>
          </w:p>
        </w:tc>
      </w:tr>
      <w:tr w:rsidR="00BA453F" w:rsidRPr="0017781F" w14:paraId="65AFA537" w14:textId="77777777" w:rsidTr="008E1B18">
        <w:trPr>
          <w:trHeight w:val="290"/>
        </w:trPr>
        <w:tc>
          <w:tcPr>
            <w:tcW w:w="4998" w:type="pct"/>
            <w:gridSpan w:val="8"/>
            <w:vAlign w:val="center"/>
          </w:tcPr>
          <w:p w14:paraId="37482491" w14:textId="604CABFE" w:rsidR="001C6CC7" w:rsidRDefault="00DC03D0" w:rsidP="0005183C">
            <w:pPr>
              <w:spacing w:before="120"/>
              <w:ind w:left="57"/>
              <w:jc w:val="left"/>
              <w:rPr>
                <w:sz w:val="20"/>
                <w:szCs w:val="20"/>
              </w:rPr>
            </w:pPr>
            <w:r>
              <w:rPr>
                <w:sz w:val="20"/>
                <w:szCs w:val="20"/>
              </w:rPr>
              <w:t>Projet de recommandation</w:t>
            </w:r>
            <w:r w:rsidR="005462E4">
              <w:rPr>
                <w:sz w:val="20"/>
                <w:szCs w:val="20"/>
              </w:rPr>
              <w:t xml:space="preserve"> pour</w:t>
            </w:r>
            <w:r>
              <w:rPr>
                <w:sz w:val="20"/>
                <w:szCs w:val="20"/>
              </w:rPr>
              <w:t xml:space="preserve"> la Conférence des Parties </w:t>
            </w:r>
            <w:r w:rsidR="00F97AB6">
              <w:rPr>
                <w:sz w:val="20"/>
                <w:szCs w:val="20"/>
              </w:rPr>
              <w:t>siégeant en tant que</w:t>
            </w:r>
            <w:r>
              <w:rPr>
                <w:sz w:val="20"/>
                <w:szCs w:val="20"/>
              </w:rPr>
              <w:t xml:space="preserve"> réunion des Parties au Protocole de Cartagena</w:t>
            </w:r>
          </w:p>
        </w:tc>
      </w:tr>
      <w:tr w:rsidR="00C86AA8" w:rsidRPr="0017781F" w14:paraId="7BD6D835" w14:textId="77777777" w:rsidTr="008E1B18">
        <w:trPr>
          <w:trHeight w:val="290"/>
        </w:trPr>
        <w:tc>
          <w:tcPr>
            <w:tcW w:w="307" w:type="pct"/>
          </w:tcPr>
          <w:p w14:paraId="1E622751" w14:textId="77777777" w:rsidR="001C6CC7" w:rsidRDefault="00DC03D0">
            <w:pPr>
              <w:ind w:right="57"/>
              <w:jc w:val="right"/>
              <w:rPr>
                <w:sz w:val="20"/>
                <w:szCs w:val="20"/>
              </w:rPr>
            </w:pPr>
            <w:r>
              <w:rPr>
                <w:sz w:val="20"/>
                <w:szCs w:val="20"/>
              </w:rPr>
              <w:t>3</w:t>
            </w:r>
          </w:p>
        </w:tc>
        <w:tc>
          <w:tcPr>
            <w:tcW w:w="1473" w:type="pct"/>
            <w:noWrap/>
            <w:tcMar>
              <w:top w:w="0" w:type="dxa"/>
              <w:left w:w="108" w:type="dxa"/>
              <w:bottom w:w="0" w:type="dxa"/>
              <w:right w:w="108" w:type="dxa"/>
            </w:tcMar>
          </w:tcPr>
          <w:p w14:paraId="368B1D54" w14:textId="313DB0EC" w:rsidR="001C6CC7" w:rsidRDefault="005462E4">
            <w:pPr>
              <w:jc w:val="left"/>
              <w:rPr>
                <w:sz w:val="20"/>
                <w:szCs w:val="20"/>
              </w:rPr>
            </w:pPr>
            <w:r>
              <w:rPr>
                <w:sz w:val="20"/>
                <w:szCs w:val="20"/>
              </w:rPr>
              <w:t>Consolider, examiner et consigner les informations dans l</w:t>
            </w:r>
            <w:r w:rsidR="0057315B">
              <w:rPr>
                <w:sz w:val="20"/>
                <w:szCs w:val="20"/>
              </w:rPr>
              <w:t>’</w:t>
            </w:r>
            <w:r>
              <w:rPr>
                <w:sz w:val="20"/>
                <w:szCs w:val="20"/>
              </w:rPr>
              <w:t xml:space="preserve">outil de suivi des décisions, en ce qui concerne les décisions adoptées aux dixième et onzième réunions de la Conférence des Parties </w:t>
            </w:r>
            <w:r w:rsidR="00F97AB6">
              <w:rPr>
                <w:sz w:val="20"/>
                <w:szCs w:val="20"/>
              </w:rPr>
              <w:t>siégeant en tant que</w:t>
            </w:r>
            <w:r>
              <w:rPr>
                <w:sz w:val="20"/>
                <w:szCs w:val="20"/>
              </w:rPr>
              <w:t xml:space="preserve"> réunion des Parties au Protocole de </w:t>
            </w:r>
            <w:r w:rsidR="00F97AB6">
              <w:rPr>
                <w:sz w:val="20"/>
                <w:szCs w:val="20"/>
              </w:rPr>
              <w:t>Cartagena</w:t>
            </w:r>
            <w:r w:rsidR="008401EE">
              <w:rPr>
                <w:sz w:val="20"/>
                <w:szCs w:val="20"/>
              </w:rPr>
              <w:t>.</w:t>
            </w:r>
            <w:r>
              <w:rPr>
                <w:sz w:val="20"/>
                <w:szCs w:val="20"/>
              </w:rPr>
              <w:t xml:space="preserve"> </w:t>
            </w:r>
          </w:p>
        </w:tc>
        <w:tc>
          <w:tcPr>
            <w:tcW w:w="479" w:type="pct"/>
            <w:noWrap/>
            <w:tcMar>
              <w:top w:w="0" w:type="dxa"/>
              <w:left w:w="108" w:type="dxa"/>
              <w:bottom w:w="0" w:type="dxa"/>
              <w:right w:w="108" w:type="dxa"/>
            </w:tcMar>
            <w:vAlign w:val="bottom"/>
          </w:tcPr>
          <w:p w14:paraId="11F0DD42" w14:textId="77777777" w:rsidR="001C6CC7" w:rsidRDefault="00DC03D0">
            <w:pPr>
              <w:jc w:val="right"/>
              <w:rPr>
                <w:sz w:val="20"/>
                <w:szCs w:val="20"/>
              </w:rPr>
            </w:pPr>
            <w:r>
              <w:rPr>
                <w:sz w:val="20"/>
                <w:szCs w:val="20"/>
              </w:rPr>
              <w:t>–</w:t>
            </w:r>
          </w:p>
        </w:tc>
        <w:tc>
          <w:tcPr>
            <w:tcW w:w="411" w:type="pct"/>
            <w:noWrap/>
            <w:tcMar>
              <w:top w:w="0" w:type="dxa"/>
              <w:left w:w="108" w:type="dxa"/>
              <w:bottom w:w="0" w:type="dxa"/>
              <w:right w:w="108" w:type="dxa"/>
            </w:tcMar>
            <w:vAlign w:val="bottom"/>
          </w:tcPr>
          <w:p w14:paraId="6064FA3A" w14:textId="77777777" w:rsidR="001C6CC7" w:rsidRDefault="00DC03D0">
            <w:pPr>
              <w:jc w:val="right"/>
              <w:rPr>
                <w:sz w:val="20"/>
                <w:szCs w:val="20"/>
              </w:rPr>
            </w:pPr>
            <w:r>
              <w:rPr>
                <w:sz w:val="20"/>
                <w:szCs w:val="20"/>
              </w:rPr>
              <w:t>–</w:t>
            </w:r>
          </w:p>
        </w:tc>
        <w:tc>
          <w:tcPr>
            <w:tcW w:w="547" w:type="pct"/>
            <w:noWrap/>
            <w:tcMar>
              <w:top w:w="0" w:type="dxa"/>
              <w:left w:w="108" w:type="dxa"/>
              <w:bottom w:w="0" w:type="dxa"/>
              <w:right w:w="108" w:type="dxa"/>
            </w:tcMar>
            <w:vAlign w:val="bottom"/>
          </w:tcPr>
          <w:p w14:paraId="1CE06754" w14:textId="77777777" w:rsidR="001C6CC7" w:rsidRDefault="00DC03D0">
            <w:pPr>
              <w:jc w:val="right"/>
              <w:rPr>
                <w:sz w:val="20"/>
                <w:szCs w:val="20"/>
              </w:rPr>
            </w:pPr>
            <w:r>
              <w:rPr>
                <w:sz w:val="20"/>
                <w:szCs w:val="20"/>
              </w:rPr>
              <w:t>54 000</w:t>
            </w:r>
          </w:p>
        </w:tc>
        <w:tc>
          <w:tcPr>
            <w:tcW w:w="479" w:type="pct"/>
            <w:noWrap/>
            <w:tcMar>
              <w:top w:w="0" w:type="dxa"/>
              <w:left w:w="108" w:type="dxa"/>
              <w:bottom w:w="0" w:type="dxa"/>
              <w:right w:w="108" w:type="dxa"/>
            </w:tcMar>
            <w:vAlign w:val="bottom"/>
          </w:tcPr>
          <w:p w14:paraId="67E8B657" w14:textId="77777777" w:rsidR="001C6CC7" w:rsidRDefault="00DC03D0">
            <w:pPr>
              <w:jc w:val="right"/>
              <w:rPr>
                <w:sz w:val="20"/>
                <w:szCs w:val="20"/>
              </w:rPr>
            </w:pPr>
            <w:r>
              <w:rPr>
                <w:sz w:val="20"/>
                <w:szCs w:val="20"/>
              </w:rPr>
              <w:t>54 000</w:t>
            </w:r>
          </w:p>
        </w:tc>
        <w:tc>
          <w:tcPr>
            <w:tcW w:w="661" w:type="pct"/>
            <w:noWrap/>
            <w:tcMar>
              <w:top w:w="0" w:type="dxa"/>
              <w:left w:w="108" w:type="dxa"/>
              <w:bottom w:w="0" w:type="dxa"/>
              <w:right w:w="108" w:type="dxa"/>
            </w:tcMar>
            <w:vAlign w:val="bottom"/>
          </w:tcPr>
          <w:p w14:paraId="65A8039E" w14:textId="77777777" w:rsidR="001C6CC7" w:rsidRDefault="00DC03D0">
            <w:pPr>
              <w:jc w:val="right"/>
              <w:rPr>
                <w:sz w:val="20"/>
                <w:szCs w:val="20"/>
              </w:rPr>
            </w:pPr>
            <w:r>
              <w:rPr>
                <w:sz w:val="20"/>
                <w:szCs w:val="20"/>
              </w:rPr>
              <w:t>7 020</w:t>
            </w:r>
          </w:p>
        </w:tc>
        <w:tc>
          <w:tcPr>
            <w:tcW w:w="643" w:type="pct"/>
            <w:noWrap/>
            <w:tcMar>
              <w:top w:w="0" w:type="dxa"/>
              <w:left w:w="108" w:type="dxa"/>
              <w:bottom w:w="0" w:type="dxa"/>
              <w:right w:w="108" w:type="dxa"/>
            </w:tcMar>
            <w:vAlign w:val="bottom"/>
          </w:tcPr>
          <w:p w14:paraId="799FA055" w14:textId="77777777" w:rsidR="001C6CC7" w:rsidRDefault="00DC03D0">
            <w:pPr>
              <w:jc w:val="right"/>
              <w:rPr>
                <w:sz w:val="20"/>
                <w:szCs w:val="20"/>
              </w:rPr>
            </w:pPr>
            <w:r>
              <w:rPr>
                <w:sz w:val="20"/>
                <w:szCs w:val="20"/>
              </w:rPr>
              <w:t>61 020</w:t>
            </w:r>
          </w:p>
        </w:tc>
      </w:tr>
      <w:tr w:rsidR="00BA453F" w:rsidRPr="0017781F" w14:paraId="0E90804A" w14:textId="77777777" w:rsidTr="008E1B18">
        <w:trPr>
          <w:trHeight w:val="290"/>
        </w:trPr>
        <w:tc>
          <w:tcPr>
            <w:tcW w:w="4998" w:type="pct"/>
            <w:gridSpan w:val="8"/>
            <w:vAlign w:val="center"/>
          </w:tcPr>
          <w:p w14:paraId="7C3168DA" w14:textId="04716083" w:rsidR="001C6CC7" w:rsidRDefault="00DC03D0" w:rsidP="005462E4">
            <w:pPr>
              <w:spacing w:before="120"/>
              <w:ind w:left="57"/>
              <w:jc w:val="left"/>
              <w:rPr>
                <w:sz w:val="20"/>
                <w:szCs w:val="20"/>
              </w:rPr>
            </w:pPr>
            <w:r>
              <w:rPr>
                <w:sz w:val="20"/>
                <w:szCs w:val="20"/>
              </w:rPr>
              <w:t xml:space="preserve">Projet de recommandation pour la Conférence des Parties </w:t>
            </w:r>
            <w:r w:rsidR="00F97AB6">
              <w:rPr>
                <w:sz w:val="20"/>
                <w:szCs w:val="20"/>
              </w:rPr>
              <w:t>siégeant en tant que</w:t>
            </w:r>
            <w:r>
              <w:rPr>
                <w:sz w:val="20"/>
                <w:szCs w:val="20"/>
              </w:rPr>
              <w:t xml:space="preserve"> réunion des Parties au Protocole de Nagoya</w:t>
            </w:r>
          </w:p>
        </w:tc>
      </w:tr>
      <w:tr w:rsidR="00C86AA8" w:rsidRPr="0017781F" w14:paraId="53A458D4" w14:textId="77777777" w:rsidTr="008E1B18">
        <w:trPr>
          <w:trHeight w:val="290"/>
        </w:trPr>
        <w:tc>
          <w:tcPr>
            <w:tcW w:w="307" w:type="pct"/>
            <w:tcBorders>
              <w:bottom w:val="single" w:sz="4" w:space="0" w:color="auto"/>
            </w:tcBorders>
          </w:tcPr>
          <w:p w14:paraId="58964B8E" w14:textId="77777777" w:rsidR="001C6CC7" w:rsidRDefault="00DC03D0">
            <w:pPr>
              <w:ind w:right="57"/>
              <w:jc w:val="right"/>
              <w:rPr>
                <w:sz w:val="20"/>
                <w:szCs w:val="20"/>
              </w:rPr>
            </w:pPr>
            <w:r>
              <w:rPr>
                <w:sz w:val="20"/>
                <w:szCs w:val="20"/>
              </w:rPr>
              <w:t>3</w:t>
            </w:r>
          </w:p>
        </w:tc>
        <w:tc>
          <w:tcPr>
            <w:tcW w:w="1473" w:type="pct"/>
            <w:tcBorders>
              <w:bottom w:val="single" w:sz="4" w:space="0" w:color="auto"/>
            </w:tcBorders>
            <w:noWrap/>
            <w:tcMar>
              <w:top w:w="0" w:type="dxa"/>
              <w:left w:w="108" w:type="dxa"/>
              <w:bottom w:w="0" w:type="dxa"/>
              <w:right w:w="108" w:type="dxa"/>
            </w:tcMar>
          </w:tcPr>
          <w:p w14:paraId="18DD7B07" w14:textId="26B92D92" w:rsidR="001C6CC7" w:rsidRDefault="005462E4">
            <w:pPr>
              <w:jc w:val="left"/>
              <w:rPr>
                <w:sz w:val="20"/>
                <w:szCs w:val="20"/>
              </w:rPr>
            </w:pPr>
            <w:r>
              <w:rPr>
                <w:sz w:val="20"/>
                <w:szCs w:val="20"/>
              </w:rPr>
              <w:t>Consolider, examiner et consigner les informations dans l</w:t>
            </w:r>
            <w:r w:rsidR="0057315B">
              <w:rPr>
                <w:sz w:val="20"/>
                <w:szCs w:val="20"/>
              </w:rPr>
              <w:t>’</w:t>
            </w:r>
            <w:r>
              <w:rPr>
                <w:sz w:val="20"/>
                <w:szCs w:val="20"/>
              </w:rPr>
              <w:t xml:space="preserve">outil de suivi des décisions, en ce qui concerne les décisions adoptées aux quatrième et cinquième réunions de la Conférence des Parties </w:t>
            </w:r>
            <w:r w:rsidR="00F97AB6">
              <w:rPr>
                <w:sz w:val="20"/>
                <w:szCs w:val="20"/>
              </w:rPr>
              <w:t>siégeant en tant que</w:t>
            </w:r>
            <w:r>
              <w:rPr>
                <w:sz w:val="20"/>
                <w:szCs w:val="20"/>
              </w:rPr>
              <w:t xml:space="preserve"> réunion des Parties au Protocole de Nagoya</w:t>
            </w:r>
            <w:r w:rsidR="008401EE">
              <w:rPr>
                <w:sz w:val="20"/>
                <w:szCs w:val="20"/>
              </w:rPr>
              <w:t>.</w:t>
            </w:r>
          </w:p>
        </w:tc>
        <w:tc>
          <w:tcPr>
            <w:tcW w:w="479" w:type="pct"/>
            <w:tcBorders>
              <w:bottom w:val="single" w:sz="4" w:space="0" w:color="auto"/>
            </w:tcBorders>
            <w:noWrap/>
            <w:tcMar>
              <w:top w:w="0" w:type="dxa"/>
              <w:left w:w="108" w:type="dxa"/>
              <w:bottom w:w="0" w:type="dxa"/>
              <w:right w:w="108" w:type="dxa"/>
            </w:tcMar>
            <w:vAlign w:val="bottom"/>
          </w:tcPr>
          <w:p w14:paraId="03C5795D" w14:textId="77777777" w:rsidR="001C6CC7" w:rsidRDefault="00DC03D0">
            <w:pPr>
              <w:jc w:val="right"/>
              <w:rPr>
                <w:sz w:val="20"/>
                <w:szCs w:val="20"/>
              </w:rPr>
            </w:pPr>
            <w:r>
              <w:rPr>
                <w:sz w:val="20"/>
                <w:szCs w:val="20"/>
              </w:rPr>
              <w:t>–</w:t>
            </w:r>
          </w:p>
        </w:tc>
        <w:tc>
          <w:tcPr>
            <w:tcW w:w="411" w:type="pct"/>
            <w:tcBorders>
              <w:bottom w:val="single" w:sz="4" w:space="0" w:color="auto"/>
            </w:tcBorders>
            <w:noWrap/>
            <w:tcMar>
              <w:top w:w="0" w:type="dxa"/>
              <w:left w:w="108" w:type="dxa"/>
              <w:bottom w:w="0" w:type="dxa"/>
              <w:right w:w="108" w:type="dxa"/>
            </w:tcMar>
            <w:vAlign w:val="bottom"/>
          </w:tcPr>
          <w:p w14:paraId="49CD92A4" w14:textId="77777777" w:rsidR="001C6CC7" w:rsidRDefault="00DC03D0">
            <w:pPr>
              <w:jc w:val="right"/>
              <w:rPr>
                <w:sz w:val="20"/>
                <w:szCs w:val="20"/>
              </w:rPr>
            </w:pPr>
            <w:r>
              <w:rPr>
                <w:sz w:val="20"/>
                <w:szCs w:val="20"/>
              </w:rPr>
              <w:t>–</w:t>
            </w:r>
          </w:p>
        </w:tc>
        <w:tc>
          <w:tcPr>
            <w:tcW w:w="547" w:type="pct"/>
            <w:tcBorders>
              <w:bottom w:val="single" w:sz="4" w:space="0" w:color="auto"/>
            </w:tcBorders>
            <w:noWrap/>
            <w:tcMar>
              <w:top w:w="0" w:type="dxa"/>
              <w:left w:w="108" w:type="dxa"/>
              <w:bottom w:w="0" w:type="dxa"/>
              <w:right w:w="108" w:type="dxa"/>
            </w:tcMar>
            <w:vAlign w:val="bottom"/>
          </w:tcPr>
          <w:p w14:paraId="6E7F7DB5" w14:textId="77777777" w:rsidR="001C6CC7" w:rsidRDefault="00DC03D0">
            <w:pPr>
              <w:jc w:val="right"/>
              <w:rPr>
                <w:sz w:val="20"/>
                <w:szCs w:val="20"/>
              </w:rPr>
            </w:pPr>
            <w:r>
              <w:rPr>
                <w:sz w:val="20"/>
                <w:szCs w:val="20"/>
              </w:rPr>
              <w:t>54 000</w:t>
            </w:r>
          </w:p>
        </w:tc>
        <w:tc>
          <w:tcPr>
            <w:tcW w:w="479" w:type="pct"/>
            <w:tcBorders>
              <w:bottom w:val="single" w:sz="4" w:space="0" w:color="auto"/>
            </w:tcBorders>
            <w:noWrap/>
            <w:tcMar>
              <w:top w:w="0" w:type="dxa"/>
              <w:left w:w="108" w:type="dxa"/>
              <w:bottom w:w="0" w:type="dxa"/>
              <w:right w:w="108" w:type="dxa"/>
            </w:tcMar>
            <w:vAlign w:val="bottom"/>
          </w:tcPr>
          <w:p w14:paraId="2C068AAE" w14:textId="77777777" w:rsidR="001C6CC7" w:rsidRDefault="00DC03D0">
            <w:pPr>
              <w:jc w:val="right"/>
              <w:rPr>
                <w:sz w:val="20"/>
                <w:szCs w:val="20"/>
              </w:rPr>
            </w:pPr>
            <w:r>
              <w:rPr>
                <w:sz w:val="20"/>
                <w:szCs w:val="20"/>
              </w:rPr>
              <w:t>54 000</w:t>
            </w:r>
          </w:p>
        </w:tc>
        <w:tc>
          <w:tcPr>
            <w:tcW w:w="661" w:type="pct"/>
            <w:tcBorders>
              <w:bottom w:val="single" w:sz="4" w:space="0" w:color="auto"/>
            </w:tcBorders>
            <w:noWrap/>
            <w:tcMar>
              <w:top w:w="0" w:type="dxa"/>
              <w:left w:w="108" w:type="dxa"/>
              <w:bottom w:w="0" w:type="dxa"/>
              <w:right w:w="108" w:type="dxa"/>
            </w:tcMar>
            <w:vAlign w:val="bottom"/>
          </w:tcPr>
          <w:p w14:paraId="12030DDB" w14:textId="77777777" w:rsidR="001C6CC7" w:rsidRDefault="00DC03D0">
            <w:pPr>
              <w:jc w:val="right"/>
              <w:rPr>
                <w:sz w:val="20"/>
                <w:szCs w:val="20"/>
              </w:rPr>
            </w:pPr>
            <w:r>
              <w:rPr>
                <w:sz w:val="20"/>
                <w:szCs w:val="20"/>
              </w:rPr>
              <w:t>7 020</w:t>
            </w:r>
          </w:p>
        </w:tc>
        <w:tc>
          <w:tcPr>
            <w:tcW w:w="643" w:type="pct"/>
            <w:tcBorders>
              <w:bottom w:val="single" w:sz="4" w:space="0" w:color="auto"/>
            </w:tcBorders>
            <w:noWrap/>
            <w:tcMar>
              <w:top w:w="0" w:type="dxa"/>
              <w:left w:w="108" w:type="dxa"/>
              <w:bottom w:w="0" w:type="dxa"/>
              <w:right w:w="108" w:type="dxa"/>
            </w:tcMar>
            <w:vAlign w:val="bottom"/>
          </w:tcPr>
          <w:p w14:paraId="1A373977" w14:textId="77777777" w:rsidR="001C6CC7" w:rsidRDefault="00DC03D0">
            <w:pPr>
              <w:jc w:val="right"/>
              <w:rPr>
                <w:sz w:val="20"/>
                <w:szCs w:val="20"/>
              </w:rPr>
            </w:pPr>
            <w:r>
              <w:rPr>
                <w:sz w:val="20"/>
                <w:szCs w:val="20"/>
              </w:rPr>
              <w:t>61 020</w:t>
            </w:r>
          </w:p>
        </w:tc>
      </w:tr>
      <w:tr w:rsidR="00C86AA8" w:rsidRPr="0017781F" w14:paraId="611E9E6A" w14:textId="77777777" w:rsidTr="008E1B18">
        <w:trPr>
          <w:trHeight w:val="290"/>
        </w:trPr>
        <w:tc>
          <w:tcPr>
            <w:tcW w:w="307" w:type="pct"/>
            <w:tcBorders>
              <w:top w:val="single" w:sz="4" w:space="0" w:color="auto"/>
              <w:bottom w:val="single" w:sz="8" w:space="0" w:color="auto"/>
            </w:tcBorders>
          </w:tcPr>
          <w:p w14:paraId="62F0AB9C" w14:textId="77777777" w:rsidR="00DA30B1" w:rsidRPr="0092087F" w:rsidRDefault="00DA30B1" w:rsidP="00890663">
            <w:pPr>
              <w:rPr>
                <w:sz w:val="20"/>
                <w:szCs w:val="20"/>
              </w:rPr>
            </w:pPr>
          </w:p>
        </w:tc>
        <w:tc>
          <w:tcPr>
            <w:tcW w:w="1473" w:type="pct"/>
            <w:tcBorders>
              <w:top w:val="single" w:sz="4" w:space="0" w:color="auto"/>
              <w:bottom w:val="single" w:sz="8" w:space="0" w:color="auto"/>
            </w:tcBorders>
            <w:noWrap/>
            <w:tcMar>
              <w:top w:w="0" w:type="dxa"/>
              <w:left w:w="108" w:type="dxa"/>
              <w:bottom w:w="0" w:type="dxa"/>
              <w:right w:w="108" w:type="dxa"/>
            </w:tcMar>
            <w:vAlign w:val="bottom"/>
          </w:tcPr>
          <w:p w14:paraId="45F45D68" w14:textId="77777777" w:rsidR="001C6CC7" w:rsidRDefault="00DC03D0">
            <w:pPr>
              <w:tabs>
                <w:tab w:val="clear" w:pos="567"/>
                <w:tab w:val="left" w:pos="230"/>
              </w:tabs>
              <w:jc w:val="left"/>
              <w:rPr>
                <w:sz w:val="20"/>
                <w:szCs w:val="20"/>
              </w:rPr>
            </w:pPr>
            <w:r>
              <w:rPr>
                <w:b/>
                <w:bCs/>
                <w:sz w:val="20"/>
                <w:szCs w:val="20"/>
              </w:rPr>
              <w:tab/>
              <w:t>Total</w:t>
            </w:r>
          </w:p>
        </w:tc>
        <w:tc>
          <w:tcPr>
            <w:tcW w:w="1437" w:type="pct"/>
            <w:gridSpan w:val="3"/>
            <w:tcBorders>
              <w:top w:val="single" w:sz="4" w:space="0" w:color="auto"/>
              <w:bottom w:val="single" w:sz="8" w:space="0" w:color="auto"/>
            </w:tcBorders>
            <w:vAlign w:val="bottom"/>
          </w:tcPr>
          <w:p w14:paraId="4AB04189" w14:textId="77777777" w:rsidR="00DA30B1" w:rsidRPr="0092087F" w:rsidRDefault="00DA30B1" w:rsidP="00890663">
            <w:pPr>
              <w:tabs>
                <w:tab w:val="clear" w:pos="1134"/>
              </w:tabs>
              <w:ind w:right="143"/>
              <w:jc w:val="right"/>
              <w:rPr>
                <w:b/>
                <w:bCs/>
                <w:sz w:val="20"/>
                <w:szCs w:val="20"/>
              </w:rPr>
            </w:pPr>
          </w:p>
        </w:tc>
        <w:tc>
          <w:tcPr>
            <w:tcW w:w="479" w:type="pct"/>
            <w:tcBorders>
              <w:top w:val="single" w:sz="4" w:space="0" w:color="auto"/>
              <w:bottom w:val="single" w:sz="8" w:space="0" w:color="auto"/>
            </w:tcBorders>
            <w:noWrap/>
            <w:tcMar>
              <w:top w:w="0" w:type="dxa"/>
              <w:left w:w="108" w:type="dxa"/>
              <w:bottom w:w="0" w:type="dxa"/>
              <w:right w:w="108" w:type="dxa"/>
            </w:tcMar>
            <w:vAlign w:val="bottom"/>
          </w:tcPr>
          <w:p w14:paraId="66CF0E0B" w14:textId="77777777" w:rsidR="001C6CC7" w:rsidRDefault="00DC03D0">
            <w:pPr>
              <w:jc w:val="right"/>
              <w:rPr>
                <w:b/>
                <w:bCs/>
                <w:sz w:val="20"/>
                <w:szCs w:val="20"/>
              </w:rPr>
            </w:pPr>
            <w:r>
              <w:rPr>
                <w:b/>
                <w:bCs/>
                <w:sz w:val="20"/>
                <w:szCs w:val="20"/>
              </w:rPr>
              <w:t>155 000</w:t>
            </w:r>
          </w:p>
        </w:tc>
        <w:tc>
          <w:tcPr>
            <w:tcW w:w="661" w:type="pct"/>
            <w:tcBorders>
              <w:top w:val="single" w:sz="4" w:space="0" w:color="auto"/>
              <w:bottom w:val="single" w:sz="8" w:space="0" w:color="auto"/>
            </w:tcBorders>
            <w:noWrap/>
            <w:tcMar>
              <w:top w:w="0" w:type="dxa"/>
              <w:left w:w="108" w:type="dxa"/>
              <w:bottom w:w="0" w:type="dxa"/>
              <w:right w:w="108" w:type="dxa"/>
            </w:tcMar>
            <w:vAlign w:val="bottom"/>
          </w:tcPr>
          <w:p w14:paraId="305A9DB4" w14:textId="77777777" w:rsidR="001C6CC7" w:rsidRDefault="00DC03D0">
            <w:pPr>
              <w:jc w:val="right"/>
              <w:rPr>
                <w:b/>
                <w:bCs/>
                <w:sz w:val="20"/>
                <w:szCs w:val="20"/>
              </w:rPr>
            </w:pPr>
            <w:r>
              <w:rPr>
                <w:b/>
                <w:bCs/>
                <w:sz w:val="20"/>
                <w:szCs w:val="20"/>
              </w:rPr>
              <w:t>20 150</w:t>
            </w:r>
          </w:p>
        </w:tc>
        <w:tc>
          <w:tcPr>
            <w:tcW w:w="643" w:type="pct"/>
            <w:tcBorders>
              <w:top w:val="single" w:sz="4" w:space="0" w:color="auto"/>
              <w:bottom w:val="single" w:sz="8" w:space="0" w:color="auto"/>
            </w:tcBorders>
            <w:noWrap/>
            <w:tcMar>
              <w:top w:w="0" w:type="dxa"/>
              <w:left w:w="108" w:type="dxa"/>
              <w:bottom w:w="0" w:type="dxa"/>
              <w:right w:w="108" w:type="dxa"/>
            </w:tcMar>
            <w:vAlign w:val="bottom"/>
          </w:tcPr>
          <w:p w14:paraId="1F60D6D6" w14:textId="77777777" w:rsidR="001C6CC7" w:rsidRDefault="00DC03D0">
            <w:pPr>
              <w:ind w:right="-22"/>
              <w:jc w:val="right"/>
              <w:rPr>
                <w:b/>
                <w:bCs/>
                <w:sz w:val="20"/>
                <w:szCs w:val="20"/>
              </w:rPr>
            </w:pPr>
            <w:r>
              <w:rPr>
                <w:b/>
                <w:bCs/>
                <w:sz w:val="20"/>
                <w:szCs w:val="20"/>
              </w:rPr>
              <w:t>175 150</w:t>
            </w:r>
          </w:p>
        </w:tc>
      </w:tr>
    </w:tbl>
    <w:p w14:paraId="6EB03E11" w14:textId="0EBAC7B7" w:rsidR="001C6CC7" w:rsidRDefault="00DC03D0">
      <w:pPr>
        <w:spacing w:before="120"/>
        <w:ind w:firstLine="567"/>
        <w:rPr>
          <w:sz w:val="18"/>
          <w:szCs w:val="18"/>
        </w:rPr>
      </w:pPr>
      <w:r>
        <w:rPr>
          <w:i/>
          <w:iCs/>
          <w:sz w:val="18"/>
          <w:szCs w:val="18"/>
        </w:rPr>
        <w:t xml:space="preserve">Abréviations </w:t>
      </w:r>
      <w:r>
        <w:rPr>
          <w:sz w:val="18"/>
          <w:szCs w:val="18"/>
        </w:rPr>
        <w:t xml:space="preserve">: </w:t>
      </w:r>
      <w:r w:rsidR="00C65B8E">
        <w:rPr>
          <w:sz w:val="18"/>
          <w:szCs w:val="18"/>
        </w:rPr>
        <w:t>DAP</w:t>
      </w:r>
      <w:r>
        <w:rPr>
          <w:sz w:val="18"/>
          <w:szCs w:val="18"/>
        </w:rPr>
        <w:t>, dépenses d</w:t>
      </w:r>
      <w:r w:rsidR="0057315B">
        <w:rPr>
          <w:sz w:val="18"/>
          <w:szCs w:val="18"/>
        </w:rPr>
        <w:t>’</w:t>
      </w:r>
      <w:r>
        <w:rPr>
          <w:sz w:val="18"/>
          <w:szCs w:val="18"/>
        </w:rPr>
        <w:t>appui au programme</w:t>
      </w:r>
      <w:r w:rsidR="00C65B8E">
        <w:rPr>
          <w:sz w:val="18"/>
          <w:szCs w:val="18"/>
        </w:rPr>
        <w:t>;</w:t>
      </w:r>
      <w:r>
        <w:rPr>
          <w:sz w:val="18"/>
          <w:szCs w:val="18"/>
        </w:rPr>
        <w:t xml:space="preserve"> P</w:t>
      </w:r>
      <w:r w:rsidR="00C65B8E">
        <w:rPr>
          <w:sz w:val="18"/>
          <w:szCs w:val="18"/>
        </w:rPr>
        <w:t>ar.</w:t>
      </w:r>
      <w:r>
        <w:rPr>
          <w:sz w:val="18"/>
          <w:szCs w:val="18"/>
        </w:rPr>
        <w:t xml:space="preserve">, paragraphe </w:t>
      </w:r>
      <w:r w:rsidR="005462E4">
        <w:rPr>
          <w:sz w:val="18"/>
          <w:szCs w:val="18"/>
        </w:rPr>
        <w:t xml:space="preserve">opérationnel </w:t>
      </w:r>
      <w:r>
        <w:rPr>
          <w:sz w:val="18"/>
          <w:szCs w:val="18"/>
        </w:rPr>
        <w:t>de la recommandation ou du projet de décision.</w:t>
      </w:r>
    </w:p>
    <w:p w14:paraId="7A4A1226" w14:textId="4D76BF16" w:rsidR="001C6CC7" w:rsidRDefault="00DC03D0">
      <w:pPr>
        <w:ind w:firstLine="567"/>
        <w:rPr>
          <w:sz w:val="18"/>
          <w:szCs w:val="18"/>
        </w:rPr>
      </w:pPr>
      <w:r>
        <w:rPr>
          <w:i/>
          <w:iCs/>
          <w:sz w:val="18"/>
          <w:szCs w:val="18"/>
          <w:vertAlign w:val="superscript"/>
        </w:rPr>
        <w:t>a</w:t>
      </w:r>
      <w:r>
        <w:rPr>
          <w:i/>
          <w:iCs/>
          <w:sz w:val="18"/>
          <w:szCs w:val="18"/>
          <w:vertAlign w:val="superscript"/>
        </w:rPr>
        <w:tab/>
      </w:r>
      <w:r w:rsidR="00AB048D">
        <w:rPr>
          <w:sz w:val="18"/>
          <w:szCs w:val="18"/>
        </w:rPr>
        <w:t>Frais d’interprétariat</w:t>
      </w:r>
      <w:r>
        <w:rPr>
          <w:sz w:val="18"/>
          <w:szCs w:val="18"/>
        </w:rPr>
        <w:t>.</w:t>
      </w:r>
    </w:p>
    <w:p w14:paraId="06A7454D" w14:textId="77777777" w:rsidR="001C6CC7" w:rsidRDefault="00DC03D0">
      <w:pPr>
        <w:ind w:firstLine="567"/>
        <w:rPr>
          <w:sz w:val="18"/>
          <w:szCs w:val="18"/>
        </w:rPr>
      </w:pPr>
      <w:r>
        <w:rPr>
          <w:i/>
          <w:iCs/>
          <w:sz w:val="18"/>
          <w:szCs w:val="18"/>
          <w:vertAlign w:val="superscript"/>
        </w:rPr>
        <w:t>b</w:t>
      </w:r>
      <w:r>
        <w:rPr>
          <w:i/>
          <w:iCs/>
          <w:sz w:val="18"/>
          <w:szCs w:val="18"/>
          <w:vertAlign w:val="superscript"/>
        </w:rPr>
        <w:tab/>
      </w:r>
      <w:r>
        <w:rPr>
          <w:sz w:val="18"/>
          <w:szCs w:val="18"/>
        </w:rPr>
        <w:t>Consultants, partenaires et personnel supplémentaire.</w:t>
      </w:r>
    </w:p>
    <w:p w14:paraId="5A1A5A70" w14:textId="77777777" w:rsidR="001C6CC7" w:rsidRDefault="00DC03D0">
      <w:pPr>
        <w:pStyle w:val="Para1"/>
        <w:numPr>
          <w:ilvl w:val="0"/>
          <w:numId w:val="0"/>
        </w:numPr>
        <w:ind w:left="567"/>
        <w:jc w:val="center"/>
      </w:pPr>
      <w:r>
        <w:t>______________</w:t>
      </w:r>
      <w:bookmarkEnd w:id="10"/>
    </w:p>
    <w:sectPr w:rsidR="001C6CC7" w:rsidSect="0092087F">
      <w:headerReference w:type="first" r:id="rId79"/>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0D553" w14:textId="77777777" w:rsidR="00EC3FAE" w:rsidRDefault="00EC3FAE">
      <w:r>
        <w:separator/>
      </w:r>
    </w:p>
  </w:endnote>
  <w:endnote w:type="continuationSeparator" w:id="0">
    <w:p w14:paraId="496BB174" w14:textId="77777777" w:rsidR="00EC3FAE" w:rsidRDefault="00EC3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4A62" w14:textId="77777777" w:rsidR="001C6CC7" w:rsidRDefault="00DC03D0">
    <w:pPr>
      <w:pStyle w:val="CBDFooter"/>
    </w:pPr>
    <w:r w:rsidRPr="00AE3DD8">
      <w:fldChar w:fldCharType="begin"/>
    </w:r>
    <w:r w:rsidRPr="00AE3DD8">
      <w:instrText xml:space="preserve"> PAGE </w:instrText>
    </w:r>
    <w:r w:rsidRPr="00AE3DD8">
      <w:fldChar w:fldCharType="separate"/>
    </w:r>
    <w:r>
      <w:rPr>
        <w:noProof/>
      </w:rPr>
      <w:t>2</w:t>
    </w:r>
    <w:r w:rsidRPr="00AE3DD8">
      <w:fldChar w:fldCharType="end"/>
    </w:r>
    <w:r>
      <w:t>/</w:t>
    </w:r>
    <w:r w:rsidRPr="00AE3DD8">
      <w:fldChar w:fldCharType="begin"/>
    </w:r>
    <w:r w:rsidRPr="00AE3DD8">
      <w:instrText xml:space="preserve"> NUMPAGES </w:instrText>
    </w:r>
    <w:r w:rsidRPr="00AE3DD8">
      <w:fldChar w:fldCharType="separate"/>
    </w:r>
    <w:r>
      <w:rPr>
        <w:noProof/>
      </w:rPr>
      <w:t>3</w:t>
    </w:r>
    <w:r w:rsidRPr="00AE3D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F4DE" w14:textId="77777777" w:rsidR="001C6CC7" w:rsidRDefault="00DC03D0">
    <w:pPr>
      <w:pStyle w:val="CBDFooter"/>
      <w:jc w:val="right"/>
    </w:pPr>
    <w:r w:rsidRPr="00AE3DD8">
      <w:fldChar w:fldCharType="begin"/>
    </w:r>
    <w:r w:rsidRPr="00AE3DD8">
      <w:instrText xml:space="preserve"> PAGE </w:instrText>
    </w:r>
    <w:r w:rsidRPr="00AE3DD8">
      <w:fldChar w:fldCharType="separate"/>
    </w:r>
    <w:r>
      <w:rPr>
        <w:noProof/>
      </w:rPr>
      <w:t>3</w:t>
    </w:r>
    <w:r w:rsidRPr="00AE3DD8">
      <w:fldChar w:fldCharType="end"/>
    </w:r>
    <w:r>
      <w:rPr>
        <w:rFonts w:eastAsia="Arial Unicode MS" w:cs="Arial Unicode MS"/>
      </w:rPr>
      <w:t>/</w:t>
    </w:r>
    <w:r w:rsidRPr="00AE3DD8">
      <w:fldChar w:fldCharType="begin"/>
    </w:r>
    <w:r w:rsidRPr="00AE3DD8">
      <w:instrText xml:space="preserve"> NUMPAGES </w:instrText>
    </w:r>
    <w:r w:rsidRPr="00AE3DD8">
      <w:fldChar w:fldCharType="separate"/>
    </w:r>
    <w:r>
      <w:rPr>
        <w:noProof/>
      </w:rPr>
      <w:t>4</w:t>
    </w:r>
    <w:r w:rsidRPr="00AE3DD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899F663" w14:textId="77777777" w:rsidR="001C6CC7" w:rsidRDefault="00DC03D0">
            <w:pPr>
              <w:pStyle w:val="CBDFooter"/>
            </w:pPr>
            <w:r w:rsidRPr="00866063">
              <w:fldChar w:fldCharType="begin"/>
            </w:r>
            <w:r w:rsidRPr="00866063">
              <w:instrText xml:space="preserve"> PAGE </w:instrText>
            </w:r>
            <w:r w:rsidRPr="00866063">
              <w:fldChar w:fldCharType="separate"/>
            </w:r>
            <w:r>
              <w:rPr>
                <w:noProof/>
              </w:rPr>
              <w:t>2</w:t>
            </w:r>
            <w:r w:rsidRPr="00866063">
              <w:fldChar w:fldCharType="end"/>
            </w:r>
            <w:r>
              <w:t>/</w:t>
            </w:r>
            <w:r w:rsidRPr="00866063">
              <w:fldChar w:fldCharType="begin"/>
            </w:r>
            <w:r w:rsidRPr="00866063">
              <w:instrText xml:space="preserve"> NUMPAGES  </w:instrText>
            </w:r>
            <w:r w:rsidRPr="00866063">
              <w:fldChar w:fldCharType="separate"/>
            </w:r>
            <w:r>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68EDFAE" w14:textId="77777777" w:rsidR="001C6CC7" w:rsidRDefault="00DC03D0">
        <w:pPr>
          <w:pStyle w:val="CBDFooter"/>
          <w:jc w:val="right"/>
        </w:pPr>
        <w:r w:rsidRPr="00866063">
          <w:fldChar w:fldCharType="begin"/>
        </w:r>
        <w:r w:rsidRPr="00866063">
          <w:instrText xml:space="preserve"> PAGE </w:instrText>
        </w:r>
        <w:r w:rsidRPr="00866063">
          <w:fldChar w:fldCharType="separate"/>
        </w:r>
        <w:r>
          <w:t>2</w:t>
        </w:r>
        <w:r w:rsidRPr="00866063">
          <w:fldChar w:fldCharType="end"/>
        </w:r>
        <w:r>
          <w:t>/</w:t>
        </w:r>
        <w:r w:rsidRPr="00866063">
          <w:fldChar w:fldCharType="begin"/>
        </w:r>
        <w:r w:rsidRPr="00866063">
          <w:instrText xml:space="preserve"> NUMPAGES  </w:instrText>
        </w:r>
        <w:r w:rsidRPr="00866063">
          <w:fldChar w:fldCharType="separate"/>
        </w:r>
        <w:r>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DADE7" w14:textId="77777777" w:rsidR="00EC3FAE" w:rsidRDefault="00EC3FAE">
      <w:r>
        <w:separator/>
      </w:r>
    </w:p>
  </w:footnote>
  <w:footnote w:type="continuationSeparator" w:id="0">
    <w:p w14:paraId="722A93B4" w14:textId="77777777" w:rsidR="00EC3FAE" w:rsidRDefault="00EC3FAE">
      <w:r>
        <w:continuationSeparator/>
      </w:r>
    </w:p>
  </w:footnote>
  <w:footnote w:type="continuationNotice" w:id="1">
    <w:p w14:paraId="21F8EDFE" w14:textId="77777777" w:rsidR="00EC3FAE" w:rsidRDefault="00EC3FAE"/>
  </w:footnote>
  <w:footnote w:id="2">
    <w:p w14:paraId="5018DB7A" w14:textId="77777777" w:rsidR="001C6CC7" w:rsidRDefault="00DC03D0">
      <w:pPr>
        <w:pStyle w:val="FootnoteText"/>
      </w:pPr>
      <w:r>
        <w:rPr>
          <w:rStyle w:val="FootnoteReference"/>
        </w:rPr>
        <w:t xml:space="preserve">* </w:t>
      </w:r>
      <w:hyperlink r:id="rId1" w:history="1">
        <w:r w:rsidR="001C6CC7">
          <w:rPr>
            <w:rStyle w:val="Hyperlink"/>
          </w:rPr>
          <w:t>CBD/SBI/6/1</w:t>
        </w:r>
      </w:hyperlink>
      <w:r>
        <w:t>.</w:t>
      </w:r>
    </w:p>
  </w:footnote>
  <w:footnote w:id="3">
    <w:p w14:paraId="64A8C2A7" w14:textId="1F5299D0" w:rsidR="001C6CC7" w:rsidRPr="00F97AB6" w:rsidRDefault="00DC03D0">
      <w:pPr>
        <w:pStyle w:val="FootnoteText"/>
      </w:pPr>
      <w:r>
        <w:rPr>
          <w:rStyle w:val="FootnoteReference"/>
        </w:rPr>
        <w:t>**</w:t>
      </w:r>
      <w:r>
        <w:t xml:space="preserve"> Le présent document est publié sans</w:t>
      </w:r>
      <w:r w:rsidR="00AD6A40">
        <w:t xml:space="preserve"> avoir fait l’objet d’une</w:t>
      </w:r>
      <w:r>
        <w:t xml:space="preserve"> </w:t>
      </w:r>
      <w:r w:rsidR="00055256">
        <w:t>révision formelle</w:t>
      </w:r>
      <w:r>
        <w:t>.</w:t>
      </w:r>
    </w:p>
  </w:footnote>
  <w:footnote w:id="4">
    <w:p w14:paraId="39407568" w14:textId="77777777" w:rsidR="001C6CC7" w:rsidRDefault="00DC03D0">
      <w:pPr>
        <w:pStyle w:val="FootnoteText"/>
      </w:pPr>
      <w:r w:rsidRPr="003B7B1D">
        <w:rPr>
          <w:vertAlign w:val="superscript"/>
        </w:rPr>
        <w:footnoteRef/>
      </w:r>
      <w:r>
        <w:rPr>
          <w:rFonts w:eastAsia="Arial Unicode MS" w:cs="Arial Unicode MS"/>
        </w:rPr>
        <w:t xml:space="preserve"> Décisions </w:t>
      </w:r>
      <w:hyperlink r:id="rId2" w:history="1">
        <w:r w:rsidR="001C6CC7">
          <w:rPr>
            <w:rStyle w:val="Hyperlink"/>
            <w:rFonts w:eastAsia="Arial Unicode MS" w:cs="Arial Unicode MS"/>
          </w:rPr>
          <w:t>16/25</w:t>
        </w:r>
      </w:hyperlink>
      <w:r>
        <w:rPr>
          <w:rFonts w:eastAsia="Arial Unicode MS" w:cs="Arial Unicode MS"/>
        </w:rPr>
        <w:t xml:space="preserve">, </w:t>
      </w:r>
      <w:hyperlink r:id="rId3" w:history="1">
        <w:r w:rsidR="001C6CC7">
          <w:rPr>
            <w:rStyle w:val="Hyperlink"/>
            <w:rFonts w:eastAsia="Arial Unicode MS" w:cs="Arial Unicode MS"/>
          </w:rPr>
          <w:t>CP-11/5</w:t>
        </w:r>
      </w:hyperlink>
      <w:r>
        <w:rPr>
          <w:rFonts w:eastAsia="Arial Unicode MS" w:cs="Arial Unicode MS"/>
        </w:rPr>
        <w:t xml:space="preserve"> et </w:t>
      </w:r>
      <w:hyperlink r:id="rId4" w:history="1">
        <w:r w:rsidR="001C6CC7">
          <w:rPr>
            <w:rStyle w:val="Hyperlink"/>
            <w:rFonts w:eastAsia="Arial Unicode MS" w:cs="Arial Unicode MS"/>
          </w:rPr>
          <w:t>NP-5/10</w:t>
        </w:r>
      </w:hyperlink>
      <w:r>
        <w:t xml:space="preserve">, </w:t>
      </w:r>
      <w:r>
        <w:rPr>
          <w:rFonts w:eastAsia="Arial Unicode MS" w:cs="Arial Unicode MS"/>
        </w:rPr>
        <w:t>par. 2 et 14.</w:t>
      </w:r>
    </w:p>
  </w:footnote>
  <w:footnote w:id="5">
    <w:p w14:paraId="78E4F078" w14:textId="77777777" w:rsidR="001C6CC7" w:rsidRDefault="00DC03D0">
      <w:pPr>
        <w:pStyle w:val="FootnoteText"/>
      </w:pPr>
      <w:r w:rsidRPr="003B7B1D">
        <w:rPr>
          <w:vertAlign w:val="superscript"/>
        </w:rPr>
        <w:footnoteRef/>
      </w:r>
      <w:r>
        <w:rPr>
          <w:rFonts w:eastAsia="Arial Unicode MS" w:cs="Arial Unicode MS"/>
        </w:rPr>
        <w:t xml:space="preserve"> Ibid., par. 13 a).</w:t>
      </w:r>
    </w:p>
  </w:footnote>
  <w:footnote w:id="6">
    <w:p w14:paraId="01EA15B2" w14:textId="77777777" w:rsidR="001C6CC7" w:rsidRDefault="00DC03D0">
      <w:pPr>
        <w:pStyle w:val="FootnoteText"/>
      </w:pPr>
      <w:r w:rsidRPr="003B7B1D">
        <w:rPr>
          <w:vertAlign w:val="superscript"/>
        </w:rPr>
        <w:footnoteRef/>
      </w:r>
      <w:r>
        <w:rPr>
          <w:rFonts w:eastAsia="Arial Unicode MS" w:cs="Arial Unicode MS"/>
        </w:rPr>
        <w:t xml:space="preserve"> Ibid., par. 8 et 9.</w:t>
      </w:r>
    </w:p>
  </w:footnote>
  <w:footnote w:id="7">
    <w:p w14:paraId="0C4F08F0" w14:textId="77777777" w:rsidR="001C6CC7" w:rsidRDefault="00DC03D0">
      <w:pPr>
        <w:pStyle w:val="FootnoteText"/>
      </w:pPr>
      <w:r w:rsidRPr="003B7B1D">
        <w:rPr>
          <w:vertAlign w:val="superscript"/>
        </w:rPr>
        <w:footnoteRef/>
      </w:r>
      <w:r>
        <w:rPr>
          <w:rFonts w:eastAsia="Arial Unicode MS" w:cs="Arial Unicode MS"/>
        </w:rPr>
        <w:t xml:space="preserve"> Ibid., par. 6 et 7.</w:t>
      </w:r>
    </w:p>
  </w:footnote>
  <w:footnote w:id="8">
    <w:p w14:paraId="4F16864D" w14:textId="77777777" w:rsidR="001C6CC7" w:rsidRDefault="00DC03D0">
      <w:pPr>
        <w:pStyle w:val="FootnoteText"/>
        <w:rPr>
          <w:lang w:val="es-ES"/>
        </w:rPr>
      </w:pPr>
      <w:r w:rsidRPr="003B7B1D">
        <w:rPr>
          <w:vertAlign w:val="superscript"/>
        </w:rPr>
        <w:footnoteRef/>
      </w:r>
      <w:r>
        <w:rPr>
          <w:rFonts w:eastAsia="Arial Unicode MS" w:cs="Arial Unicode MS"/>
        </w:rPr>
        <w:t xml:space="preserve"> Ibid., par. 4.</w:t>
      </w:r>
    </w:p>
  </w:footnote>
  <w:footnote w:id="9">
    <w:p w14:paraId="2E2B21C3" w14:textId="77777777" w:rsidR="001C6CC7" w:rsidRDefault="00DC03D0">
      <w:pPr>
        <w:pStyle w:val="FootnoteText"/>
        <w:rPr>
          <w:lang w:val="es-ES"/>
        </w:rPr>
      </w:pPr>
      <w:r w:rsidRPr="003B7B1D">
        <w:rPr>
          <w:vertAlign w:val="superscript"/>
        </w:rPr>
        <w:footnoteRef/>
      </w:r>
      <w:r>
        <w:rPr>
          <w:rFonts w:eastAsia="Arial Unicode MS" w:cs="Arial Unicode MS"/>
        </w:rPr>
        <w:t xml:space="preserve"> Ibid., par. 13 c).</w:t>
      </w:r>
    </w:p>
  </w:footnote>
  <w:footnote w:id="10">
    <w:p w14:paraId="47BB12AD" w14:textId="77777777" w:rsidR="001C6CC7" w:rsidRDefault="00DC03D0">
      <w:pPr>
        <w:pStyle w:val="FootnoteText"/>
      </w:pPr>
      <w:r w:rsidRPr="003B7B1D">
        <w:rPr>
          <w:vertAlign w:val="superscript"/>
        </w:rPr>
        <w:footnoteRef/>
      </w:r>
      <w:r>
        <w:t xml:space="preserve"> Voir </w:t>
      </w:r>
      <w:hyperlink r:id="rId5" w:history="1">
        <w:r w:rsidR="001C6CC7">
          <w:rPr>
            <w:rStyle w:val="Hyperlink1"/>
            <w:rFonts w:eastAsia="Arial Unicode MS" w:cs="Arial Unicode MS"/>
          </w:rPr>
          <w:t>www.cbd.int/sbstta/preparation</w:t>
        </w:r>
      </w:hyperlink>
      <w:r>
        <w:t>.</w:t>
      </w:r>
    </w:p>
  </w:footnote>
  <w:footnote w:id="11">
    <w:p w14:paraId="6EC852B5" w14:textId="77777777" w:rsidR="001C6CC7" w:rsidRDefault="00DC03D0">
      <w:pPr>
        <w:pStyle w:val="FootnoteText"/>
      </w:pPr>
      <w:r w:rsidRPr="003B7B1D">
        <w:rPr>
          <w:vertAlign w:val="superscript"/>
        </w:rPr>
        <w:footnoteRef/>
      </w:r>
      <w:r>
        <w:t xml:space="preserve"> Voir </w:t>
      </w:r>
      <w:hyperlink r:id="rId6" w:history="1">
        <w:r w:rsidR="001C6CC7">
          <w:rPr>
            <w:rStyle w:val="Hyperlink1"/>
            <w:rFonts w:eastAsia="Arial Unicode MS" w:cs="Arial Unicode MS"/>
          </w:rPr>
          <w:t>www.cbd.int/sbi/preparation</w:t>
        </w:r>
      </w:hyperlink>
      <w:r>
        <w:t>.</w:t>
      </w:r>
    </w:p>
  </w:footnote>
  <w:footnote w:id="12">
    <w:p w14:paraId="1619DE1F" w14:textId="77777777" w:rsidR="001C6CC7" w:rsidRDefault="00DC03D0">
      <w:pPr>
        <w:pStyle w:val="FootnoteText"/>
      </w:pPr>
      <w:r w:rsidRPr="003B7B1D">
        <w:rPr>
          <w:vertAlign w:val="superscript"/>
        </w:rPr>
        <w:footnoteRef/>
      </w:r>
      <w:r>
        <w:t xml:space="preserve"> Voir </w:t>
      </w:r>
      <w:hyperlink r:id="rId7" w:history="1">
        <w:r w:rsidR="001C6CC7">
          <w:rPr>
            <w:rStyle w:val="Hyperlink"/>
            <w:rFonts w:eastAsia="Arial Unicode MS" w:cs="Arial Unicode MS"/>
          </w:rPr>
          <w:t>www.cbd.int/sb8j/preparation</w:t>
        </w:r>
      </w:hyperlink>
      <w:r>
        <w:t>.</w:t>
      </w:r>
    </w:p>
  </w:footnote>
  <w:footnote w:id="13">
    <w:p w14:paraId="796B022E" w14:textId="77777777" w:rsidR="001C6CC7" w:rsidRDefault="00DC03D0">
      <w:pPr>
        <w:pStyle w:val="FootnoteText"/>
      </w:pPr>
      <w:r w:rsidRPr="003B7B1D">
        <w:rPr>
          <w:vertAlign w:val="superscript"/>
        </w:rPr>
        <w:footnoteRef/>
      </w:r>
      <w:r>
        <w:rPr>
          <w:rFonts w:eastAsia="Arial Unicode MS" w:cs="Arial Unicode MS"/>
        </w:rPr>
        <w:t xml:space="preserve"> Voir </w:t>
      </w:r>
      <w:hyperlink r:id="rId8" w:history="1">
        <w:r w:rsidR="001C6CC7">
          <w:rPr>
            <w:rStyle w:val="Hyperlink"/>
          </w:rPr>
          <w:t>bch.cbd.int/protocol/COPMOP12prep.shtml</w:t>
        </w:r>
      </w:hyperlink>
      <w:r>
        <w:t xml:space="preserve">. </w:t>
      </w:r>
    </w:p>
  </w:footnote>
  <w:footnote w:id="14">
    <w:p w14:paraId="193FA463" w14:textId="77777777" w:rsidR="001C6CC7" w:rsidRDefault="00DC03D0">
      <w:pPr>
        <w:pStyle w:val="FootnoteText"/>
      </w:pPr>
      <w:r w:rsidRPr="003B7B1D">
        <w:rPr>
          <w:vertAlign w:val="superscript"/>
        </w:rPr>
        <w:footnoteRef/>
      </w:r>
      <w:r>
        <w:rPr>
          <w:rFonts w:eastAsia="Arial Unicode MS" w:cs="Arial Unicode MS"/>
        </w:rPr>
        <w:t xml:space="preserve"> </w:t>
      </w:r>
      <w:hyperlink r:id="rId9" w:history="1">
        <w:r w:rsidR="001C6CC7">
          <w:rPr>
            <w:rStyle w:val="Hyperlink"/>
          </w:rPr>
          <w:t>www.cbd.int/abs/cop-mop/prep.shtml</w:t>
        </w:r>
      </w:hyperlink>
      <w:r>
        <w:t xml:space="preserve">. </w:t>
      </w:r>
    </w:p>
  </w:footnote>
  <w:footnote w:id="15">
    <w:p w14:paraId="39921F3D" w14:textId="77777777" w:rsidR="001C6CC7" w:rsidRDefault="00DC03D0">
      <w:pPr>
        <w:pStyle w:val="FootnoteText"/>
      </w:pPr>
      <w:r w:rsidRPr="003B7B1D">
        <w:rPr>
          <w:vertAlign w:val="superscript"/>
        </w:rPr>
        <w:footnoteRef/>
      </w:r>
      <w:r>
        <w:rPr>
          <w:rFonts w:eastAsia="Arial Unicode MS" w:cs="Arial Unicode MS"/>
        </w:rPr>
        <w:t xml:space="preserve"> Canada, Mexique et Niger.</w:t>
      </w:r>
    </w:p>
  </w:footnote>
  <w:footnote w:id="16">
    <w:p w14:paraId="35C5469F" w14:textId="77777777" w:rsidR="001C6CC7" w:rsidRDefault="00DC03D0">
      <w:pPr>
        <w:pStyle w:val="FootnoteText"/>
      </w:pPr>
      <w:r w:rsidRPr="003B7B1D">
        <w:rPr>
          <w:vertAlign w:val="superscript"/>
        </w:rPr>
        <w:footnoteRef/>
      </w:r>
      <w:r>
        <w:rPr>
          <w:rFonts w:eastAsia="Arial Unicode MS" w:cs="Arial Unicode MS"/>
        </w:rPr>
        <w:t xml:space="preserve"> Aotearoa Indigenous Rights Trust (AIR Trust) et Nepal Indigenous Nationalities Preservation Association.</w:t>
      </w:r>
    </w:p>
  </w:footnote>
  <w:footnote w:id="17">
    <w:p w14:paraId="6C3304F8" w14:textId="77777777" w:rsidR="001C6CC7" w:rsidRDefault="00DC03D0">
      <w:pPr>
        <w:pStyle w:val="FootnoteText"/>
      </w:pPr>
      <w:r w:rsidRPr="003B7B1D">
        <w:rPr>
          <w:rStyle w:val="FootnoteReference"/>
        </w:rPr>
        <w:footnoteRef/>
      </w:r>
      <w:r>
        <w:t xml:space="preserve"> Voir </w:t>
      </w:r>
      <w:hyperlink r:id="rId10" w:history="1">
        <w:r w:rsidR="001C6CC7">
          <w:rPr>
            <w:rStyle w:val="Hyperlink"/>
          </w:rPr>
          <w:t>www.cbd.int/notifications/2025-112</w:t>
        </w:r>
      </w:hyperlink>
      <w:r>
        <w:t xml:space="preserve">. </w:t>
      </w:r>
    </w:p>
  </w:footnote>
  <w:footnote w:id="18">
    <w:p w14:paraId="7C529BAC" w14:textId="3DD13595" w:rsidR="001C6CC7" w:rsidRDefault="00DC03D0">
      <w:pPr>
        <w:pStyle w:val="FootnoteText"/>
      </w:pPr>
      <w:r w:rsidRPr="003B7B1D">
        <w:rPr>
          <w:vertAlign w:val="superscript"/>
        </w:rPr>
        <w:footnoteRef/>
      </w:r>
      <w:r>
        <w:rPr>
          <w:rFonts w:eastAsia="Arial Unicode MS" w:cs="Arial Unicode MS"/>
        </w:rPr>
        <w:t xml:space="preserve"> Les propositions qui </w:t>
      </w:r>
      <w:r w:rsidR="004E6FBC">
        <w:rPr>
          <w:rFonts w:eastAsia="Arial Unicode MS" w:cs="Arial Unicode MS"/>
        </w:rPr>
        <w:t>sont déjà traitées dans l</w:t>
      </w:r>
      <w:r>
        <w:rPr>
          <w:rFonts w:eastAsia="Arial Unicode MS" w:cs="Arial Unicode MS"/>
        </w:rPr>
        <w:t xml:space="preserve">es décisions </w:t>
      </w:r>
      <w:hyperlink r:id="rId11" w:history="1">
        <w:r w:rsidR="001C6CC7">
          <w:rPr>
            <w:rStyle w:val="Hyperlink"/>
            <w:rFonts w:eastAsia="Arial Unicode MS" w:cs="Arial Unicode MS"/>
          </w:rPr>
          <w:t>16/24</w:t>
        </w:r>
      </w:hyperlink>
      <w:r>
        <w:rPr>
          <w:rFonts w:eastAsia="Arial Unicode MS" w:cs="Arial Unicode MS"/>
        </w:rPr>
        <w:t xml:space="preserve"> et </w:t>
      </w:r>
      <w:hyperlink r:id="rId12" w:history="1">
        <w:r w:rsidR="001C6CC7">
          <w:rPr>
            <w:rStyle w:val="Hyperlink"/>
            <w:rFonts w:eastAsia="Arial Unicode MS" w:cs="Arial Unicode MS"/>
          </w:rPr>
          <w:t>16/25</w:t>
        </w:r>
      </w:hyperlink>
      <w:r>
        <w:rPr>
          <w:rFonts w:eastAsia="Arial Unicode MS" w:cs="Arial Unicode MS"/>
        </w:rPr>
        <w:t xml:space="preserve"> et </w:t>
      </w:r>
      <w:r w:rsidR="00247DBD">
        <w:rPr>
          <w:rFonts w:eastAsia="Arial Unicode MS" w:cs="Arial Unicode MS"/>
        </w:rPr>
        <w:t>les</w:t>
      </w:r>
      <w:r>
        <w:rPr>
          <w:rFonts w:eastAsia="Arial Unicode MS" w:cs="Arial Unicode MS"/>
        </w:rPr>
        <w:t xml:space="preserve"> décisions concomitantes des réunions des Parties aux Protocoles ne sont pas incluses dans la présente </w:t>
      </w:r>
      <w:r w:rsidR="00247DBD">
        <w:rPr>
          <w:rFonts w:eastAsia="Arial Unicode MS" w:cs="Arial Unicode MS"/>
        </w:rPr>
        <w:t>partie</w:t>
      </w:r>
      <w:r>
        <w:rPr>
          <w:rFonts w:eastAsia="Arial Unicode MS" w:cs="Arial Unicode MS"/>
        </w:rPr>
        <w:t>.</w:t>
      </w:r>
    </w:p>
  </w:footnote>
  <w:footnote w:id="19">
    <w:p w14:paraId="082AFFD0" w14:textId="0FB87486" w:rsidR="001C6CC7" w:rsidRDefault="00DC03D0">
      <w:pPr>
        <w:pStyle w:val="FootnoteText"/>
      </w:pPr>
      <w:r w:rsidRPr="003B7B1D">
        <w:rPr>
          <w:vertAlign w:val="superscript"/>
        </w:rPr>
        <w:footnoteRef/>
      </w:r>
      <w:r>
        <w:rPr>
          <w:rFonts w:eastAsia="Arial Unicode MS" w:cs="Arial Unicode MS"/>
          <w:sz w:val="20"/>
        </w:rPr>
        <w:t xml:space="preserve"> </w:t>
      </w:r>
      <w:r>
        <w:rPr>
          <w:rFonts w:eastAsia="Arial Unicode MS" w:cs="Arial Unicode MS"/>
          <w:szCs w:val="18"/>
        </w:rPr>
        <w:t>CCNUCC</w:t>
      </w:r>
      <w:r>
        <w:rPr>
          <w:rFonts w:eastAsia="Arial Unicode MS" w:cs="Arial Unicode MS"/>
          <w:i/>
          <w:iCs/>
          <w:szCs w:val="18"/>
        </w:rPr>
        <w:t>, Approches et possibilités pour accroître l</w:t>
      </w:r>
      <w:r w:rsidR="0057315B">
        <w:rPr>
          <w:rFonts w:eastAsia="Arial Unicode MS" w:cs="Arial Unicode MS"/>
          <w:i/>
          <w:iCs/>
          <w:szCs w:val="18"/>
        </w:rPr>
        <w:t>’</w:t>
      </w:r>
      <w:r>
        <w:rPr>
          <w:rFonts w:eastAsia="Arial Unicode MS" w:cs="Arial Unicode MS"/>
          <w:i/>
          <w:iCs/>
          <w:szCs w:val="18"/>
        </w:rPr>
        <w:t xml:space="preserve">efficacité du processus de la CCNUCC, y compris la visualisation des options pour rationaliser les ordres du jour des organes directeurs et subsidiaires, </w:t>
      </w:r>
      <w:r>
        <w:rPr>
          <w:rFonts w:eastAsia="Arial Unicode MS" w:cs="Arial Unicode MS"/>
          <w:szCs w:val="18"/>
        </w:rPr>
        <w:t>Note du secrétariat, FCCC/SBI/2025/INF.6 (2025), par. 8 a), disponible à l</w:t>
      </w:r>
      <w:r w:rsidR="0057315B">
        <w:rPr>
          <w:rFonts w:eastAsia="Arial Unicode MS" w:cs="Arial Unicode MS"/>
          <w:szCs w:val="18"/>
        </w:rPr>
        <w:t>’</w:t>
      </w:r>
      <w:r>
        <w:rPr>
          <w:rFonts w:eastAsia="Arial Unicode MS" w:cs="Arial Unicode MS"/>
          <w:szCs w:val="18"/>
        </w:rPr>
        <w:t xml:space="preserve">adresse </w:t>
      </w:r>
      <w:hyperlink r:id="rId13" w:history="1">
        <w:r w:rsidR="001C6CC7">
          <w:rPr>
            <w:rStyle w:val="Hyperlink2"/>
            <w:rFonts w:eastAsia="Arial Unicode MS" w:cs="Arial Unicode MS"/>
            <w:sz w:val="18"/>
            <w:szCs w:val="18"/>
          </w:rPr>
          <w:t>https://unfccc.int/sites/default/files/resource/sbi2025_inf06.pdf</w:t>
        </w:r>
      </w:hyperlink>
    </w:p>
  </w:footnote>
  <w:footnote w:id="20">
    <w:p w14:paraId="74A47872" w14:textId="7E5A5A05" w:rsidR="001C6CC7" w:rsidRDefault="00DC03D0">
      <w:pPr>
        <w:pStyle w:val="FootnoteText"/>
      </w:pPr>
      <w:r w:rsidRPr="003B7B1D">
        <w:rPr>
          <w:vertAlign w:val="superscript"/>
        </w:rPr>
        <w:footnoteRef/>
      </w:r>
      <w:r>
        <w:rPr>
          <w:rFonts w:eastAsia="Arial Unicode MS" w:cs="Arial Unicode MS"/>
          <w:sz w:val="20"/>
        </w:rPr>
        <w:t xml:space="preserve"> </w:t>
      </w:r>
      <w:r>
        <w:rPr>
          <w:rFonts w:eastAsia="Arial Unicode MS" w:cs="Arial Unicode MS"/>
          <w:i/>
          <w:iCs/>
          <w:szCs w:val="18"/>
        </w:rPr>
        <w:t>Accord de Paris</w:t>
      </w:r>
      <w:r>
        <w:rPr>
          <w:rFonts w:eastAsia="Arial Unicode MS" w:cs="Arial Unicode MS"/>
          <w:szCs w:val="18"/>
        </w:rPr>
        <w:t>, article 14, par. 1, disponible à l</w:t>
      </w:r>
      <w:r w:rsidR="0057315B">
        <w:rPr>
          <w:rFonts w:eastAsia="Arial Unicode MS" w:cs="Arial Unicode MS"/>
          <w:szCs w:val="18"/>
        </w:rPr>
        <w:t>’</w:t>
      </w:r>
      <w:r>
        <w:rPr>
          <w:rFonts w:eastAsia="Arial Unicode MS" w:cs="Arial Unicode MS"/>
          <w:szCs w:val="18"/>
        </w:rPr>
        <w:t xml:space="preserve">adresse </w:t>
      </w:r>
      <w:hyperlink r:id="rId14" w:history="1">
        <w:r w:rsidR="001C6CC7">
          <w:rPr>
            <w:rStyle w:val="Hyperlink2"/>
            <w:rFonts w:eastAsia="Arial Unicode MS" w:cs="Arial Unicode MS"/>
            <w:sz w:val="18"/>
            <w:szCs w:val="18"/>
          </w:rPr>
          <w:t xml:space="preserve">https://unfccc.int/sites/default/files/english_paris_agreement.pdf </w:t>
        </w:r>
      </w:hyperlink>
      <w:r>
        <w:rPr>
          <w:rFonts w:eastAsia="Arial Unicode MS" w:cs="Arial Unicode MS"/>
          <w:szCs w:val="18"/>
        </w:rPr>
        <w:t>; et décision 19/CMA.1, disponible à l</w:t>
      </w:r>
      <w:r w:rsidR="0057315B">
        <w:rPr>
          <w:rFonts w:eastAsia="Arial Unicode MS" w:cs="Arial Unicode MS"/>
          <w:szCs w:val="18"/>
        </w:rPr>
        <w:t>’</w:t>
      </w:r>
      <w:r>
        <w:rPr>
          <w:rFonts w:eastAsia="Arial Unicode MS" w:cs="Arial Unicode MS"/>
          <w:szCs w:val="18"/>
        </w:rPr>
        <w:t xml:space="preserve">adresse </w:t>
      </w:r>
      <w:hyperlink r:id="rId15" w:history="1">
        <w:r w:rsidR="001C6CC7">
          <w:rPr>
            <w:rStyle w:val="Hyperlink2"/>
            <w:rFonts w:eastAsia="Arial Unicode MS" w:cs="Arial Unicode MS"/>
            <w:sz w:val="18"/>
            <w:szCs w:val="18"/>
          </w:rPr>
          <w:t>https://unfccc.int/documents/193408</w:t>
        </w:r>
      </w:hyperlink>
      <w:r>
        <w:t>.</w:t>
      </w:r>
    </w:p>
  </w:footnote>
  <w:footnote w:id="21">
    <w:p w14:paraId="64AD9BDB" w14:textId="7D92A5E0" w:rsidR="001C6CC7" w:rsidRDefault="00DC03D0">
      <w:pPr>
        <w:pStyle w:val="FootnoteText"/>
        <w:jc w:val="both"/>
      </w:pPr>
      <w:r w:rsidRPr="003B7B1D">
        <w:rPr>
          <w:vertAlign w:val="superscript"/>
        </w:rPr>
        <w:footnoteRef/>
      </w:r>
      <w:r>
        <w:t xml:space="preserve"> De même, la Conférence des Parties à la Convention sur la diversité biologique, au paragraphe 9 de la décision </w:t>
      </w:r>
      <w:hyperlink r:id="rId16" w:history="1">
        <w:r w:rsidR="001C6CC7">
          <w:rPr>
            <w:rStyle w:val="Hyperlink"/>
          </w:rPr>
          <w:t>V/</w:t>
        </w:r>
        <w:r w:rsidR="001C6CC7">
          <w:rPr>
            <w:rStyle w:val="Hyperlink"/>
          </w:rPr>
          <w:t>2</w:t>
        </w:r>
        <w:r w:rsidR="001C6CC7">
          <w:rPr>
            <w:rStyle w:val="Hyperlink"/>
          </w:rPr>
          <w:t>0</w:t>
        </w:r>
      </w:hyperlink>
      <w:r>
        <w:t>, a prié l</w:t>
      </w:r>
      <w:r w:rsidR="002C0383">
        <w:t>e</w:t>
      </w:r>
      <w:r>
        <w:t xml:space="preserve"> Secrétaire exécuti</w:t>
      </w:r>
      <w:r w:rsidR="002C0383">
        <w:t>f</w:t>
      </w:r>
      <w:r>
        <w:t xml:space="preserve"> de limiter le nombre de documents de présession pour chacune de ses réunions, de</w:t>
      </w:r>
      <w:r w:rsidR="002C0383">
        <w:t xml:space="preserve"> maintenir</w:t>
      </w:r>
      <w:r w:rsidR="00317A8F">
        <w:t xml:space="preserve"> leur longueur</w:t>
      </w:r>
      <w:r>
        <w:t xml:space="preserve"> à moins de </w:t>
      </w:r>
      <w:proofErr w:type="gramStart"/>
      <w:r>
        <w:t>15 pages</w:t>
      </w:r>
      <w:r w:rsidR="002C0383">
        <w:t xml:space="preserve"> si possible</w:t>
      </w:r>
      <w:proofErr w:type="gramEnd"/>
      <w:r>
        <w:t>, et d</w:t>
      </w:r>
      <w:r w:rsidR="0057315B">
        <w:t>’</w:t>
      </w:r>
      <w:r>
        <w:t>inclure un résumé</w:t>
      </w:r>
      <w:r w:rsidR="002C0383">
        <w:t xml:space="preserve"> analytique</w:t>
      </w:r>
      <w:r>
        <w:t xml:space="preserve"> dans chacune d</w:t>
      </w:r>
      <w:r w:rsidR="0057315B">
        <w:t>’</w:t>
      </w:r>
      <w:r>
        <w:t xml:space="preserve">elles. En outre, au paragraphe 8 de la décision </w:t>
      </w:r>
      <w:hyperlink r:id="rId17" w:history="1">
        <w:r w:rsidR="001C6CC7">
          <w:rPr>
            <w:rStyle w:val="Hyperlink"/>
          </w:rPr>
          <w:t>VIII/10</w:t>
        </w:r>
      </w:hyperlink>
      <w:r>
        <w:t>, la Conférence des Parties a prié l</w:t>
      </w:r>
      <w:r w:rsidR="002C0383">
        <w:t>e</w:t>
      </w:r>
      <w:r>
        <w:t xml:space="preserve"> Secrétaire exécuti</w:t>
      </w:r>
      <w:r w:rsidR="002C0383">
        <w:t>f</w:t>
      </w:r>
      <w:r>
        <w:t xml:space="preserve">, </w:t>
      </w:r>
      <w:r w:rsidR="002C0383">
        <w:t>dans le cadre de la préparation</w:t>
      </w:r>
      <w:r>
        <w:t xml:space="preserve"> de ses réunions, de limiter au maximum le nombre et la longueur des documents et de les distribuer aux Parties le plus tôt possible, de préférence au plus tard trois mois avant les réunions.</w:t>
      </w:r>
    </w:p>
  </w:footnote>
  <w:footnote w:id="22">
    <w:p w14:paraId="734116DE" w14:textId="5BD49EA6" w:rsidR="001C6CC7" w:rsidRDefault="00DC03D0">
      <w:pPr>
        <w:pStyle w:val="FootnoteText"/>
      </w:pPr>
      <w:r w:rsidRPr="003B7B1D">
        <w:rPr>
          <w:vertAlign w:val="superscript"/>
        </w:rPr>
        <w:footnoteRef/>
      </w:r>
      <w:r>
        <w:rPr>
          <w:rFonts w:eastAsia="Arial Unicode MS" w:cs="Arial Unicode MS"/>
        </w:rPr>
        <w:t xml:space="preserve"> </w:t>
      </w:r>
      <w:r>
        <w:rPr>
          <w:rFonts w:eastAsia="Arial Unicode MS" w:cs="Arial Unicode MS"/>
          <w:szCs w:val="18"/>
        </w:rPr>
        <w:t xml:space="preserve">CITES, </w:t>
      </w:r>
      <w:r>
        <w:rPr>
          <w:rFonts w:eastAsia="Arial Unicode MS" w:cs="Arial Unicode MS"/>
          <w:i/>
          <w:iCs/>
          <w:szCs w:val="18"/>
        </w:rPr>
        <w:t xml:space="preserve">Règlement intérieur de la Conférence des Parties, </w:t>
      </w:r>
      <w:r>
        <w:rPr>
          <w:rFonts w:eastAsia="Arial Unicode MS" w:cs="Arial Unicode MS"/>
          <w:szCs w:val="18"/>
        </w:rPr>
        <w:t>articles 18.2, 19.7, 20.2 et 22</w:t>
      </w:r>
      <w:r>
        <w:rPr>
          <w:rFonts w:eastAsia="Arial Unicode MS" w:cs="Arial Unicode MS"/>
          <w:i/>
          <w:iCs/>
          <w:szCs w:val="18"/>
        </w:rPr>
        <w:t xml:space="preserve">, </w:t>
      </w:r>
      <w:r>
        <w:rPr>
          <w:rFonts w:eastAsia="Arial Unicode MS" w:cs="Arial Unicode MS"/>
          <w:szCs w:val="18"/>
        </w:rPr>
        <w:t>dans le document CoP19 Doc.3 (Rev.</w:t>
      </w:r>
      <w:r w:rsidR="006A0F6B">
        <w:rPr>
          <w:rFonts w:eastAsia="Arial Unicode MS" w:cs="Arial Unicode MS"/>
          <w:szCs w:val="18"/>
        </w:rPr>
        <w:t>3</w:t>
      </w:r>
      <w:r>
        <w:rPr>
          <w:rFonts w:eastAsia="Arial Unicode MS" w:cs="Arial Unicode MS"/>
          <w:szCs w:val="18"/>
        </w:rPr>
        <w:t>), annexe (2022), disponible à l</w:t>
      </w:r>
      <w:r w:rsidR="0057315B">
        <w:rPr>
          <w:rFonts w:eastAsia="Arial Unicode MS" w:cs="Arial Unicode MS"/>
          <w:szCs w:val="18"/>
        </w:rPr>
        <w:t>’</w:t>
      </w:r>
      <w:r>
        <w:rPr>
          <w:rFonts w:eastAsia="Arial Unicode MS" w:cs="Arial Unicode MS"/>
          <w:szCs w:val="18"/>
        </w:rPr>
        <w:t xml:space="preserve">adresse </w:t>
      </w:r>
      <w:hyperlink r:id="rId18" w:history="1">
        <w:r w:rsidR="00133661" w:rsidRPr="009321AF">
          <w:rPr>
            <w:rStyle w:val="Hyperlink"/>
          </w:rPr>
          <w:t>https://cites.org/sites/default/files/documents/</w:t>
        </w:r>
        <w:r w:rsidR="00133661" w:rsidRPr="009321AF">
          <w:rPr>
            <w:rStyle w:val="Hyperlink"/>
          </w:rPr>
          <w:t>F</w:t>
        </w:r>
        <w:r w:rsidR="00133661" w:rsidRPr="009321AF">
          <w:rPr>
            <w:rStyle w:val="Hyperlink"/>
          </w:rPr>
          <w:t>-CoP1</w:t>
        </w:r>
        <w:r w:rsidR="00133661" w:rsidRPr="009321AF">
          <w:rPr>
            <w:rStyle w:val="Hyperlink"/>
          </w:rPr>
          <w:t>9</w:t>
        </w:r>
        <w:r w:rsidR="00133661" w:rsidRPr="009321AF">
          <w:rPr>
            <w:rStyle w:val="Hyperlink"/>
          </w:rPr>
          <w:t>-03-R3.pdf</w:t>
        </w:r>
      </w:hyperlink>
    </w:p>
  </w:footnote>
  <w:footnote w:id="23">
    <w:p w14:paraId="23173B96" w14:textId="78B68287" w:rsidR="001C6CC7" w:rsidRDefault="00DC03D0">
      <w:pPr>
        <w:pStyle w:val="FootnoteText"/>
      </w:pPr>
      <w:r w:rsidRPr="003B7B1D">
        <w:rPr>
          <w:vertAlign w:val="superscript"/>
        </w:rPr>
        <w:footnoteRef/>
      </w:r>
      <w:r>
        <w:rPr>
          <w:rFonts w:eastAsia="Arial Unicode MS" w:cs="Arial Unicode MS"/>
          <w:sz w:val="20"/>
        </w:rPr>
        <w:t xml:space="preserve"> </w:t>
      </w:r>
      <w:r>
        <w:rPr>
          <w:rFonts w:eastAsia="Arial Unicode MS" w:cs="Arial Unicode MS"/>
          <w:szCs w:val="18"/>
        </w:rPr>
        <w:t xml:space="preserve">CITES, </w:t>
      </w:r>
      <w:r>
        <w:rPr>
          <w:rFonts w:eastAsia="Arial Unicode MS" w:cs="Arial Unicode MS"/>
          <w:i/>
          <w:iCs/>
          <w:szCs w:val="18"/>
        </w:rPr>
        <w:t>Examen des résolutions et décisions</w:t>
      </w:r>
      <w:r>
        <w:rPr>
          <w:rFonts w:eastAsia="Arial Unicode MS" w:cs="Arial Unicode MS"/>
          <w:szCs w:val="18"/>
        </w:rPr>
        <w:t>, document SC78 Doc. 30, (2025), disponible à l</w:t>
      </w:r>
      <w:r w:rsidR="0057315B">
        <w:rPr>
          <w:rFonts w:eastAsia="Arial Unicode MS" w:cs="Arial Unicode MS"/>
          <w:szCs w:val="18"/>
        </w:rPr>
        <w:t>’</w:t>
      </w:r>
      <w:r>
        <w:rPr>
          <w:rFonts w:eastAsia="Arial Unicode MS" w:cs="Arial Unicode MS"/>
          <w:szCs w:val="18"/>
        </w:rPr>
        <w:t xml:space="preserve">adresse </w:t>
      </w:r>
      <w:hyperlink r:id="rId19" w:history="1">
        <w:r w:rsidR="001C6CC7">
          <w:rPr>
            <w:rStyle w:val="Hyperlink2"/>
            <w:rFonts w:eastAsia="Arial Unicode MS" w:cs="Arial Unicode MS"/>
            <w:sz w:val="18"/>
            <w:szCs w:val="18"/>
          </w:rPr>
          <w:t>https://cites.org/sites/default/files/documents/SC/78/agenda/E-SC78-30.pdf</w:t>
        </w:r>
      </w:hyperlink>
      <w:r>
        <w:rPr>
          <w:rFonts w:eastAsia="Arial Unicode MS" w:cs="Arial Unicode MS"/>
          <w:szCs w:val="18"/>
        </w:rPr>
        <w:t>, CITES</w:t>
      </w:r>
      <w:r>
        <w:rPr>
          <w:rFonts w:eastAsia="Arial Unicode MS" w:cs="Arial Unicode MS"/>
          <w:i/>
          <w:iCs/>
          <w:szCs w:val="18"/>
        </w:rPr>
        <w:t xml:space="preserve">, </w:t>
      </w:r>
      <w:r w:rsidR="0014208C">
        <w:rPr>
          <w:rFonts w:eastAsia="Arial Unicode MS" w:cs="Arial Unicode MS"/>
          <w:i/>
          <w:iCs/>
          <w:szCs w:val="18"/>
        </w:rPr>
        <w:t>Examen des ré</w:t>
      </w:r>
      <w:r>
        <w:rPr>
          <w:rFonts w:eastAsia="Arial Unicode MS" w:cs="Arial Unicode MS"/>
          <w:i/>
          <w:iCs/>
          <w:szCs w:val="18"/>
        </w:rPr>
        <w:t xml:space="preserve">solutions </w:t>
      </w:r>
      <w:r w:rsidR="0014208C">
        <w:rPr>
          <w:rFonts w:eastAsia="Arial Unicode MS" w:cs="Arial Unicode MS"/>
          <w:i/>
          <w:iCs/>
          <w:szCs w:val="18"/>
        </w:rPr>
        <w:t>et dé</w:t>
      </w:r>
      <w:r>
        <w:rPr>
          <w:rFonts w:eastAsia="Arial Unicode MS" w:cs="Arial Unicode MS"/>
          <w:i/>
          <w:iCs/>
          <w:szCs w:val="18"/>
        </w:rPr>
        <w:t xml:space="preserve">cisions, </w:t>
      </w:r>
      <w:r>
        <w:rPr>
          <w:rFonts w:eastAsia="Arial Unicode MS" w:cs="Arial Unicode MS"/>
          <w:szCs w:val="18"/>
        </w:rPr>
        <w:t>document CoP19 Doc. 26, (2022), disponible à l</w:t>
      </w:r>
      <w:r w:rsidR="0057315B">
        <w:rPr>
          <w:rFonts w:eastAsia="Arial Unicode MS" w:cs="Arial Unicode MS"/>
          <w:szCs w:val="18"/>
        </w:rPr>
        <w:t>’</w:t>
      </w:r>
      <w:r>
        <w:rPr>
          <w:rFonts w:eastAsia="Arial Unicode MS" w:cs="Arial Unicode MS"/>
          <w:szCs w:val="18"/>
        </w:rPr>
        <w:t xml:space="preserve">adresse </w:t>
      </w:r>
      <w:hyperlink r:id="rId20" w:history="1">
        <w:r w:rsidR="001C6CC7">
          <w:rPr>
            <w:rStyle w:val="Hyperlink2"/>
            <w:rFonts w:eastAsia="Arial Unicode MS" w:cs="Arial Unicode MS"/>
            <w:sz w:val="18"/>
            <w:szCs w:val="18"/>
          </w:rPr>
          <w:t>https://cites.org/sites/default/files/documents/COP/19/agenda/E-CoP19-26.pdf</w:t>
        </w:r>
      </w:hyperlink>
      <w:r>
        <w:rPr>
          <w:rFonts w:eastAsia="Arial Unicode MS" w:cs="Arial Unicode MS"/>
          <w:szCs w:val="18"/>
        </w:rPr>
        <w:t xml:space="preserve">, et CITES, </w:t>
      </w:r>
      <w:r>
        <w:rPr>
          <w:rFonts w:eastAsia="Arial Unicode MS" w:cs="Arial Unicode MS"/>
          <w:i/>
          <w:iCs/>
          <w:szCs w:val="18"/>
        </w:rPr>
        <w:t>Proposition d</w:t>
      </w:r>
      <w:r w:rsidR="0057315B">
        <w:rPr>
          <w:rFonts w:eastAsia="Arial Unicode MS" w:cs="Arial Unicode MS"/>
          <w:i/>
          <w:iCs/>
          <w:szCs w:val="18"/>
        </w:rPr>
        <w:t>’</w:t>
      </w:r>
      <w:r>
        <w:rPr>
          <w:rFonts w:eastAsia="Arial Unicode MS" w:cs="Arial Unicode MS"/>
          <w:i/>
          <w:iCs/>
          <w:szCs w:val="18"/>
        </w:rPr>
        <w:t>amendements au Règlement intérieur de la Conférence des Parties</w:t>
      </w:r>
      <w:r>
        <w:rPr>
          <w:rFonts w:eastAsia="Arial Unicode MS" w:cs="Arial Unicode MS"/>
          <w:szCs w:val="18"/>
        </w:rPr>
        <w:t>, document CoP19 Doc. 27, (2022), disponible à l</w:t>
      </w:r>
      <w:r w:rsidR="0057315B">
        <w:rPr>
          <w:rFonts w:eastAsia="Arial Unicode MS" w:cs="Arial Unicode MS"/>
          <w:szCs w:val="18"/>
        </w:rPr>
        <w:t>’</w:t>
      </w:r>
      <w:r>
        <w:rPr>
          <w:rFonts w:eastAsia="Arial Unicode MS" w:cs="Arial Unicode MS"/>
          <w:szCs w:val="18"/>
        </w:rPr>
        <w:t xml:space="preserve">adresse </w:t>
      </w:r>
      <w:hyperlink r:id="rId21" w:history="1">
        <w:r w:rsidR="001C6CC7">
          <w:rPr>
            <w:rStyle w:val="Hyperlink2"/>
            <w:rFonts w:eastAsia="Arial Unicode MS" w:cs="Arial Unicode MS"/>
            <w:sz w:val="18"/>
            <w:szCs w:val="18"/>
          </w:rPr>
          <w:t>https://cites.org/sites/default/files/documents/E-CoP19-27.pdf</w:t>
        </w:r>
      </w:hyperlink>
      <w:r>
        <w:rPr>
          <w:rFonts w:eastAsia="Arial Unicode MS" w:cs="Arial Unicode MS"/>
          <w:szCs w:val="18"/>
        </w:rPr>
        <w:t>.</w:t>
      </w:r>
    </w:p>
  </w:footnote>
  <w:footnote w:id="24">
    <w:p w14:paraId="4D55A390" w14:textId="68CBA35C" w:rsidR="001C6CC7" w:rsidRDefault="00DC03D0">
      <w:pPr>
        <w:pStyle w:val="FootnoteText"/>
      </w:pPr>
      <w:r w:rsidRPr="003B7B1D">
        <w:rPr>
          <w:vertAlign w:val="superscript"/>
        </w:rPr>
        <w:footnoteRef/>
      </w:r>
      <w:r>
        <w:rPr>
          <w:rFonts w:eastAsia="Arial Unicode MS" w:cs="Arial Unicode MS"/>
        </w:rPr>
        <w:t xml:space="preserve"> </w:t>
      </w:r>
      <w:r>
        <w:rPr>
          <w:rFonts w:eastAsia="Arial Unicode MS" w:cs="Arial Unicode MS"/>
          <w:szCs w:val="18"/>
        </w:rPr>
        <w:t>Décision 5/COP.16 de la Convention, disponible à l</w:t>
      </w:r>
      <w:r w:rsidR="0057315B">
        <w:rPr>
          <w:rFonts w:eastAsia="Arial Unicode MS" w:cs="Arial Unicode MS"/>
          <w:szCs w:val="18"/>
        </w:rPr>
        <w:t>’</w:t>
      </w:r>
      <w:r>
        <w:rPr>
          <w:rFonts w:eastAsia="Arial Unicode MS" w:cs="Arial Unicode MS"/>
          <w:szCs w:val="18"/>
        </w:rPr>
        <w:t xml:space="preserve">adresse </w:t>
      </w:r>
      <w:hyperlink r:id="rId22" w:history="1">
        <w:r w:rsidR="001C6CC7">
          <w:rPr>
            <w:rStyle w:val="Hyperlink2"/>
            <w:rFonts w:eastAsia="Arial Unicode MS" w:cs="Arial Unicode MS"/>
            <w:sz w:val="18"/>
            <w:szCs w:val="18"/>
          </w:rPr>
          <w:t>www.unccd.int/sites/default/files/2025-03/5-cop16.pdf</w:t>
        </w:r>
      </w:hyperlink>
    </w:p>
  </w:footnote>
  <w:footnote w:id="25">
    <w:p w14:paraId="69709C62" w14:textId="48D1FF6D" w:rsidR="001C6CC7" w:rsidRPr="00F97AB6" w:rsidRDefault="00DC03D0">
      <w:pPr>
        <w:pStyle w:val="FootnoteText"/>
        <w:rPr>
          <w:szCs w:val="18"/>
        </w:rPr>
      </w:pPr>
      <w:r w:rsidRPr="003B7B1D">
        <w:rPr>
          <w:vertAlign w:val="superscript"/>
        </w:rPr>
        <w:footnoteRef/>
      </w:r>
      <w:r>
        <w:rPr>
          <w:rFonts w:eastAsia="Arial Unicode MS" w:cs="Arial Unicode MS"/>
          <w:sz w:val="20"/>
        </w:rPr>
        <w:t xml:space="preserve"> </w:t>
      </w:r>
      <w:r>
        <w:rPr>
          <w:rFonts w:eastAsia="Arial Unicode MS" w:cs="Arial Unicode MS"/>
          <w:szCs w:val="18"/>
        </w:rPr>
        <w:t xml:space="preserve">BRS Conventions, </w:t>
      </w:r>
      <w:r>
        <w:rPr>
          <w:rFonts w:eastAsia="Arial Unicode MS" w:cs="Arial Unicode MS"/>
          <w:i/>
          <w:iCs/>
          <w:szCs w:val="18"/>
        </w:rPr>
        <w:t>Overview of the Synergies Process</w:t>
      </w:r>
      <w:r>
        <w:rPr>
          <w:rFonts w:eastAsia="Arial Unicode MS" w:cs="Arial Unicode MS"/>
          <w:szCs w:val="18"/>
        </w:rPr>
        <w:t>, disponible à l</w:t>
      </w:r>
      <w:r w:rsidR="0057315B">
        <w:rPr>
          <w:rFonts w:eastAsia="Arial Unicode MS" w:cs="Arial Unicode MS"/>
          <w:szCs w:val="18"/>
        </w:rPr>
        <w:t>’</w:t>
      </w:r>
      <w:r>
        <w:rPr>
          <w:rFonts w:eastAsia="Arial Unicode MS" w:cs="Arial Unicode MS"/>
          <w:szCs w:val="18"/>
        </w:rPr>
        <w:t xml:space="preserve">adresse </w:t>
      </w:r>
      <w:hyperlink r:id="rId23" w:history="1">
        <w:r w:rsidR="001C6CC7">
          <w:rPr>
            <w:rStyle w:val="Hyperlink2"/>
            <w:rFonts w:eastAsia="Arial Unicode MS" w:cs="Arial Unicode MS"/>
            <w:sz w:val="18"/>
            <w:szCs w:val="18"/>
          </w:rPr>
          <w:t>www.brsmeas.org/Decisionmaking/Overview/SynergiesProcess</w:t>
        </w:r>
      </w:hyperlink>
      <w:r>
        <w:t>.</w:t>
      </w:r>
      <w:r>
        <w:rPr>
          <w:rFonts w:eastAsia="Arial Unicode MS" w:cs="Arial Unicode MS"/>
          <w:szCs w:val="18"/>
        </w:rPr>
        <w:t xml:space="preserve"> </w:t>
      </w:r>
      <w:r>
        <w:rPr>
          <w:szCs w:val="18"/>
        </w:rPr>
        <w:t>Voir également les décisions omnibus Ex-1/1 et Ex-1/2 à l</w:t>
      </w:r>
      <w:r w:rsidR="0057315B">
        <w:rPr>
          <w:szCs w:val="18"/>
        </w:rPr>
        <w:t>’</w:t>
      </w:r>
      <w:r>
        <w:rPr>
          <w:szCs w:val="18"/>
        </w:rPr>
        <w:t>adresse suivante :</w:t>
      </w:r>
    </w:p>
    <w:p w14:paraId="202C49F9" w14:textId="77777777" w:rsidR="001C6CC7" w:rsidRPr="00F97AB6" w:rsidRDefault="001C6CC7">
      <w:pPr>
        <w:pStyle w:val="FootnoteText"/>
        <w:rPr>
          <w:szCs w:val="18"/>
        </w:rPr>
      </w:pPr>
      <w:hyperlink r:id="rId24" w:history="1">
        <w:r>
          <w:rPr>
            <w:rStyle w:val="Hyperlink3"/>
            <w:rFonts w:eastAsia="Arial Unicode MS" w:cs="Arial Unicode MS"/>
            <w:sz w:val="18"/>
            <w:szCs w:val="18"/>
          </w:rPr>
          <w:t>www.brsmeas.org/Implementation/DecisionsandDocuments/Decisions/tabid/2616/language/en-US/Default.aspx</w:t>
        </w:r>
      </w:hyperlink>
      <w:r>
        <w:t>.</w:t>
      </w:r>
    </w:p>
  </w:footnote>
  <w:footnote w:id="26">
    <w:p w14:paraId="5E1E9E49" w14:textId="6661F887" w:rsidR="001C6CC7" w:rsidRPr="00F97AB6" w:rsidRDefault="00DC03D0">
      <w:pPr>
        <w:pStyle w:val="FootnoteText"/>
        <w:rPr>
          <w:sz w:val="20"/>
        </w:rPr>
      </w:pPr>
      <w:r w:rsidRPr="003B7B1D">
        <w:rPr>
          <w:vertAlign w:val="superscript"/>
        </w:rPr>
        <w:footnoteRef/>
      </w:r>
      <w:r>
        <w:rPr>
          <w:szCs w:val="18"/>
        </w:rPr>
        <w:t xml:space="preserve"> UNEP/CMS</w:t>
      </w:r>
      <w:r>
        <w:rPr>
          <w:i/>
          <w:iCs/>
          <w:szCs w:val="18"/>
        </w:rPr>
        <w:t xml:space="preserve">, Consolidation des </w:t>
      </w:r>
      <w:r w:rsidR="0014208C">
        <w:rPr>
          <w:i/>
          <w:iCs/>
          <w:szCs w:val="18"/>
        </w:rPr>
        <w:t>r</w:t>
      </w:r>
      <w:r>
        <w:rPr>
          <w:i/>
          <w:iCs/>
          <w:szCs w:val="18"/>
        </w:rPr>
        <w:t>ésolutions – Conseil Scientifique</w:t>
      </w:r>
      <w:r>
        <w:rPr>
          <w:szCs w:val="18"/>
        </w:rPr>
        <w:t>, document COP12 Doc. 21.2.6 (2017), disponible à l</w:t>
      </w:r>
      <w:r w:rsidR="0057315B">
        <w:rPr>
          <w:szCs w:val="18"/>
        </w:rPr>
        <w:t>’</w:t>
      </w:r>
      <w:r>
        <w:rPr>
          <w:szCs w:val="18"/>
        </w:rPr>
        <w:t>adresse suivante :</w:t>
      </w:r>
      <w:r>
        <w:rPr>
          <w:sz w:val="20"/>
        </w:rPr>
        <w:t xml:space="preserve"> </w:t>
      </w:r>
    </w:p>
    <w:p w14:paraId="57AB45A3" w14:textId="77777777" w:rsidR="001C6CC7" w:rsidRPr="00F97AB6" w:rsidRDefault="001C6CC7">
      <w:pPr>
        <w:pStyle w:val="FootnoteText"/>
        <w:rPr>
          <w:szCs w:val="18"/>
        </w:rPr>
      </w:pPr>
      <w:hyperlink r:id="rId25" w:history="1">
        <w:r>
          <w:rPr>
            <w:rStyle w:val="Hyperlink3"/>
            <w:rFonts w:eastAsia="Arial Unicode MS" w:cs="Arial Unicode MS"/>
            <w:sz w:val="18"/>
            <w:szCs w:val="18"/>
          </w:rPr>
          <w:t>www.cms.int/sites/default/files/document/cms_cop12_res.12.4_scientific-council_e.pdf</w:t>
        </w:r>
      </w:hyperlink>
      <w:r>
        <w:rPr>
          <w:szCs w:val="18"/>
        </w:rPr>
        <w:t>.</w:t>
      </w:r>
    </w:p>
  </w:footnote>
  <w:footnote w:id="27">
    <w:p w14:paraId="609B665D" w14:textId="63C5C113" w:rsidR="001C6CC7" w:rsidRDefault="00DC03D0">
      <w:pPr>
        <w:pStyle w:val="FootnoteText"/>
        <w:rPr>
          <w:szCs w:val="18"/>
        </w:rPr>
      </w:pPr>
      <w:r w:rsidRPr="003B7B1D">
        <w:rPr>
          <w:vertAlign w:val="superscript"/>
        </w:rPr>
        <w:footnoteRef/>
      </w:r>
      <w:r>
        <w:rPr>
          <w:rFonts w:eastAsia="Arial Unicode MS" w:cs="Arial Unicode MS"/>
          <w:sz w:val="20"/>
        </w:rPr>
        <w:t xml:space="preserve"> </w:t>
      </w:r>
      <w:r>
        <w:rPr>
          <w:rFonts w:eastAsia="Arial Unicode MS" w:cs="Arial Unicode MS"/>
          <w:szCs w:val="18"/>
        </w:rPr>
        <w:t>Convention de Ramsar</w:t>
      </w:r>
      <w:r>
        <w:rPr>
          <w:rFonts w:eastAsia="Arial Unicode MS" w:cs="Arial Unicode MS"/>
          <w:i/>
          <w:iCs/>
          <w:szCs w:val="18"/>
        </w:rPr>
        <w:t xml:space="preserve">, Examen des résolutions et recommandations de la Conférence des Parties contractantes, </w:t>
      </w:r>
      <w:r>
        <w:rPr>
          <w:rFonts w:eastAsia="Arial Unicode MS" w:cs="Arial Unicode MS"/>
          <w:szCs w:val="18"/>
        </w:rPr>
        <w:t>document COP14 Doc. 5, par. 6-10, (2022), disponible à l</w:t>
      </w:r>
      <w:r w:rsidR="0057315B">
        <w:rPr>
          <w:rFonts w:eastAsia="Arial Unicode MS" w:cs="Arial Unicode MS"/>
          <w:szCs w:val="18"/>
        </w:rPr>
        <w:t>’</w:t>
      </w:r>
      <w:r>
        <w:rPr>
          <w:rFonts w:eastAsia="Arial Unicode MS" w:cs="Arial Unicode MS"/>
          <w:szCs w:val="18"/>
        </w:rPr>
        <w:t xml:space="preserve">adresse </w:t>
      </w:r>
      <w:hyperlink r:id="rId26" w:history="1">
        <w:r w:rsidR="001C6CC7">
          <w:rPr>
            <w:rStyle w:val="Hyperlink2"/>
            <w:rFonts w:eastAsia="Arial Unicode MS" w:cs="Arial Unicode MS"/>
            <w:sz w:val="18"/>
            <w:szCs w:val="18"/>
          </w:rPr>
          <w:t>www.ramsar.org/sites/default/files/documents/library/xiv.5_review_resolutions_e.pdf</w:t>
        </w:r>
      </w:hyperlink>
      <w:r>
        <w:rPr>
          <w:szCs w:val="18"/>
        </w:rPr>
        <w:t>.</w:t>
      </w:r>
    </w:p>
  </w:footnote>
  <w:footnote w:id="28">
    <w:p w14:paraId="44B2EA0E" w14:textId="77777777" w:rsidR="001C6CC7" w:rsidRDefault="00DC03D0">
      <w:pPr>
        <w:pStyle w:val="FootnoteText"/>
      </w:pPr>
      <w:r w:rsidRPr="003B7B1D">
        <w:rPr>
          <w:vertAlign w:val="superscript"/>
        </w:rPr>
        <w:footnoteRef/>
      </w:r>
      <w:r>
        <w:t xml:space="preserve"> Décision XII/28, par. 1, 2 et 3 a).</w:t>
      </w:r>
    </w:p>
  </w:footnote>
  <w:footnote w:id="29">
    <w:p w14:paraId="1ECA06FC" w14:textId="1E4BC12C" w:rsidR="001C6CC7" w:rsidRDefault="00DC03D0">
      <w:pPr>
        <w:pStyle w:val="FootnoteText"/>
      </w:pPr>
      <w:r>
        <w:rPr>
          <w:rStyle w:val="FootnoteReference"/>
        </w:rPr>
        <w:footnoteRef/>
      </w:r>
      <w:r>
        <w:t xml:space="preserve"> Les ressources extrabudgétaires nécessaires pour les activités décrites dans les trois projets de recommandation sont indiquées dans l</w:t>
      </w:r>
      <w:r w:rsidR="0057315B">
        <w:t>’</w:t>
      </w:r>
      <w:r>
        <w:t>annexe au présent document.</w:t>
      </w:r>
    </w:p>
  </w:footnote>
  <w:footnote w:id="30">
    <w:p w14:paraId="477ABA9A" w14:textId="77777777" w:rsidR="001C6CC7" w:rsidRDefault="00DC03D0">
      <w:pPr>
        <w:pStyle w:val="FootnoteText"/>
      </w:pPr>
      <w:r w:rsidRPr="0092087F">
        <w:rPr>
          <w:rStyle w:val="FootnoteReference"/>
        </w:rPr>
        <w:footnoteRef/>
      </w:r>
      <w:r>
        <w:t xml:space="preserve"> Nations Unies, </w:t>
      </w:r>
      <w:r>
        <w:rPr>
          <w:i/>
          <w:iCs/>
        </w:rPr>
        <w:t>Recueil des Traités</w:t>
      </w:r>
      <w:r>
        <w:t>, vol. 1760, no 30619.</w:t>
      </w:r>
    </w:p>
  </w:footnote>
  <w:footnote w:id="31">
    <w:p w14:paraId="4A55839B" w14:textId="77777777" w:rsidR="001C6CC7" w:rsidRDefault="00DC03D0">
      <w:pPr>
        <w:pStyle w:val="FootnoteText"/>
      </w:pPr>
      <w:r w:rsidRPr="003B7B1D">
        <w:rPr>
          <w:rStyle w:val="FootnoteReference"/>
        </w:rPr>
        <w:footnoteRef/>
      </w:r>
      <w:r>
        <w:t xml:space="preserve"> Nations Unies, </w:t>
      </w:r>
      <w:r>
        <w:rPr>
          <w:i/>
          <w:iCs/>
        </w:rPr>
        <w:t>Recueil des Traités</w:t>
      </w:r>
      <w:r>
        <w:t>, vol. 2226, no 30619.</w:t>
      </w:r>
    </w:p>
  </w:footnote>
  <w:footnote w:id="32">
    <w:p w14:paraId="4DA6AD18" w14:textId="77777777" w:rsidR="001C6CC7" w:rsidRDefault="00DC03D0">
      <w:pPr>
        <w:pStyle w:val="FootnoteText"/>
        <w:rPr>
          <w:lang w:val="es-ES"/>
        </w:rPr>
      </w:pPr>
      <w:r w:rsidRPr="003B7B1D">
        <w:rPr>
          <w:rStyle w:val="FootnoteReference"/>
        </w:rPr>
        <w:footnoteRef/>
      </w:r>
      <w:r w:rsidRPr="00F97AB6">
        <w:rPr>
          <w:lang w:val="en-AU"/>
        </w:rPr>
        <w:t xml:space="preserve"> Ibid., vol. 1760, no 30619.</w:t>
      </w:r>
    </w:p>
  </w:footnote>
  <w:footnote w:id="33">
    <w:p w14:paraId="0E4B5F1E" w14:textId="77777777" w:rsidR="001C6CC7" w:rsidRDefault="00DC03D0">
      <w:pPr>
        <w:pStyle w:val="FootnoteText"/>
        <w:rPr>
          <w:lang w:val="es-ES"/>
        </w:rPr>
      </w:pPr>
      <w:r w:rsidRPr="003B7B1D">
        <w:rPr>
          <w:rStyle w:val="FootnoteReference"/>
        </w:rPr>
        <w:footnoteRef/>
      </w:r>
      <w:r w:rsidRPr="00F97AB6">
        <w:rPr>
          <w:lang w:val="en-AU"/>
        </w:rPr>
        <w:t xml:space="preserve"> Ibid., vol. 3008, no 30619.</w:t>
      </w:r>
    </w:p>
  </w:footnote>
  <w:footnote w:id="34">
    <w:p w14:paraId="7C8CBCDD" w14:textId="77777777" w:rsidR="001C6CC7" w:rsidRDefault="00DC03D0">
      <w:pPr>
        <w:pStyle w:val="FootnoteText"/>
        <w:rPr>
          <w:lang w:val="es-ES"/>
        </w:rPr>
      </w:pPr>
      <w:r w:rsidRPr="003B7B1D">
        <w:rPr>
          <w:rStyle w:val="FootnoteReference"/>
        </w:rPr>
        <w:footnoteRef/>
      </w:r>
      <w:r w:rsidRPr="00F97AB6">
        <w:rPr>
          <w:lang w:val="en-AU"/>
        </w:rPr>
        <w:t xml:space="preserve"> Ibid., vol. 3008, no 30619.</w:t>
      </w:r>
    </w:p>
  </w:footnote>
  <w:footnote w:id="35">
    <w:p w14:paraId="3E36689D" w14:textId="77777777" w:rsidR="001C6CC7" w:rsidRDefault="00DC03D0">
      <w:pPr>
        <w:pStyle w:val="FootnoteText"/>
        <w:rPr>
          <w:lang w:val="es-ES"/>
        </w:rPr>
      </w:pPr>
      <w:r w:rsidRPr="003B7B1D">
        <w:rPr>
          <w:rStyle w:val="FootnoteReference"/>
        </w:rPr>
        <w:footnoteRef/>
      </w:r>
      <w:r w:rsidRPr="00F97AB6">
        <w:rPr>
          <w:lang w:val="en-AU"/>
        </w:rPr>
        <w:t xml:space="preserve"> Ibid., vol. 1760, no 30619.</w:t>
      </w:r>
    </w:p>
  </w:footnote>
  <w:footnote w:id="36">
    <w:p w14:paraId="48583277" w14:textId="77777777" w:rsidR="001C6CC7" w:rsidRDefault="00DC03D0">
      <w:pPr>
        <w:pStyle w:val="FootnoteText"/>
        <w:rPr>
          <w:lang w:val="es-ES"/>
        </w:rPr>
      </w:pPr>
      <w:r w:rsidRPr="003B7B1D">
        <w:rPr>
          <w:rStyle w:val="FootnoteReference"/>
        </w:rPr>
        <w:footnoteRef/>
      </w:r>
      <w:r>
        <w:t xml:space="preserve"> Ibid.,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61AA" w14:textId="77777777" w:rsidR="001C6CC7" w:rsidRDefault="00DC03D0">
    <w:pPr>
      <w:pStyle w:val="CBDHeader"/>
      <w:spacing w:after="240"/>
    </w:pPr>
    <w:r>
      <w:t>CBD/SBI/6/9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6B73" w14:textId="77777777" w:rsidR="001C6CC7" w:rsidRDefault="00DC03D0">
    <w:pPr>
      <w:pStyle w:val="CBDHeader"/>
      <w:spacing w:after="240"/>
      <w:jc w:val="right"/>
    </w:pPr>
    <w:r>
      <w:t>CBD/SBI/6/9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6F0A05" w14:textId="77777777" w:rsidR="001C6CC7" w:rsidRDefault="00DC03D0">
        <w:pPr>
          <w:pStyle w:val="Header"/>
          <w:spacing w:after="240"/>
          <w:rPr>
            <w:szCs w:val="20"/>
          </w:rPr>
        </w:pPr>
        <w:r>
          <w:rPr>
            <w:szCs w:val="20"/>
          </w:rPr>
          <w:t>CBD/SBI/6/9</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C4B4113" w14:textId="77777777" w:rsidR="001C6CC7" w:rsidRDefault="00DC03D0">
        <w:pPr>
          <w:pStyle w:val="Header"/>
          <w:spacing w:after="240"/>
          <w:jc w:val="right"/>
        </w:pPr>
        <w:r>
          <w:t>CBD/SBI/6/9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400A" w14:textId="77777777" w:rsidR="004F5673" w:rsidRDefault="004F56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398E2FF3"/>
    <w:multiLevelType w:val="multilevel"/>
    <w:tmpl w:val="222A08B4"/>
    <w:numStyleLink w:val="ListCBD"/>
  </w:abstractNum>
  <w:abstractNum w:abstractNumId="28" w15:restartNumberingAfterBreak="0">
    <w:nsid w:val="411635A5"/>
    <w:multiLevelType w:val="hybridMultilevel"/>
    <w:tmpl w:val="B3F09AF8"/>
    <w:numStyleLink w:val="ImportedStyle2"/>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D943BEE"/>
    <w:multiLevelType w:val="multilevel"/>
    <w:tmpl w:val="222A08B4"/>
    <w:numStyleLink w:val="ListCBD"/>
  </w:abstractNum>
  <w:abstractNum w:abstractNumId="42" w15:restartNumberingAfterBreak="0">
    <w:nsid w:val="5DC76708"/>
    <w:multiLevelType w:val="hybrid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3"/>
  </w:num>
  <w:num w:numId="2" w16cid:durableId="1858829">
    <w:abstractNumId w:val="31"/>
  </w:num>
  <w:num w:numId="3" w16cid:durableId="1333221471">
    <w:abstractNumId w:val="45"/>
  </w:num>
  <w:num w:numId="4" w16cid:durableId="1072390599">
    <w:abstractNumId w:val="46"/>
  </w:num>
  <w:num w:numId="5" w16cid:durableId="960385107">
    <w:abstractNumId w:val="32"/>
  </w:num>
  <w:num w:numId="6" w16cid:durableId="893932166">
    <w:abstractNumId w:val="44"/>
  </w:num>
  <w:num w:numId="7" w16cid:durableId="323945383">
    <w:abstractNumId w:val="41"/>
  </w:num>
  <w:num w:numId="8" w16cid:durableId="995449888">
    <w:abstractNumId w:val="42"/>
  </w:num>
  <w:num w:numId="9" w16cid:durableId="1874608142">
    <w:abstractNumId w:val="42"/>
    <w:lvlOverride w:ilvl="0">
      <w:lvl w:ilvl="0" w:tplc="B880B97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168D0C2">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B42A312">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79A08DA">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D9621A88">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56D00496">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5412A71E">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A0CDF6A">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79F29890">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0"/>
  </w:num>
  <w:num w:numId="11" w16cid:durableId="1378160486">
    <w:abstractNumId w:val="28"/>
  </w:num>
  <w:num w:numId="12" w16cid:durableId="147333449">
    <w:abstractNumId w:val="42"/>
    <w:lvlOverride w:ilvl="0">
      <w:startOverride w:val="18"/>
    </w:lvlOverride>
  </w:num>
  <w:num w:numId="13" w16cid:durableId="1469319387">
    <w:abstractNumId w:val="42"/>
    <w:lvlOverride w:ilvl="0">
      <w:startOverride w:val="44"/>
    </w:lvlOverride>
  </w:num>
  <w:num w:numId="14" w16cid:durableId="1890649726">
    <w:abstractNumId w:val="26"/>
  </w:num>
  <w:num w:numId="15" w16cid:durableId="261646723">
    <w:abstractNumId w:val="42"/>
    <w:lvlOverride w:ilvl="0">
      <w:startOverride w:val="45"/>
    </w:lvlOverride>
  </w:num>
  <w:num w:numId="16" w16cid:durableId="993945842">
    <w:abstractNumId w:val="35"/>
  </w:num>
  <w:num w:numId="17" w16cid:durableId="560672902">
    <w:abstractNumId w:val="14"/>
  </w:num>
  <w:num w:numId="18" w16cid:durableId="1933662228">
    <w:abstractNumId w:val="25"/>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3"/>
  </w:num>
  <w:num w:numId="32" w16cid:durableId="158270868">
    <w:abstractNumId w:val="47"/>
  </w:num>
  <w:num w:numId="33" w16cid:durableId="159275565">
    <w:abstractNumId w:val="20"/>
  </w:num>
  <w:num w:numId="34" w16cid:durableId="271714945">
    <w:abstractNumId w:val="21"/>
  </w:num>
  <w:num w:numId="35" w16cid:durableId="1638680439">
    <w:abstractNumId w:val="43"/>
    <w:lvlOverride w:ilvl="0">
      <w:startOverride w:val="1"/>
    </w:lvlOverride>
  </w:num>
  <w:num w:numId="36" w16cid:durableId="1865050652">
    <w:abstractNumId w:val="36"/>
  </w:num>
  <w:num w:numId="37" w16cid:durableId="152986975">
    <w:abstractNumId w:val="30"/>
  </w:num>
  <w:num w:numId="38" w16cid:durableId="1295136099">
    <w:abstractNumId w:val="39"/>
  </w:num>
  <w:num w:numId="39" w16cid:durableId="80179172">
    <w:abstractNumId w:val="38"/>
  </w:num>
  <w:num w:numId="40"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4"/>
  </w:num>
  <w:num w:numId="43" w16cid:durableId="915044361">
    <w:abstractNumId w:val="27"/>
  </w:num>
  <w:num w:numId="44" w16cid:durableId="855196379">
    <w:abstractNumId w:val="17"/>
  </w:num>
  <w:num w:numId="45"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2"/>
  </w:num>
  <w:num w:numId="52" w16cid:durableId="643118139">
    <w:abstractNumId w:val="22"/>
    <w:lvlOverride w:ilvl="0">
      <w:startOverride w:val="1"/>
    </w:lvlOverride>
  </w:num>
  <w:num w:numId="53" w16cid:durableId="820851909">
    <w:abstractNumId w:val="22"/>
    <w:lvlOverride w:ilvl="0">
      <w:startOverride w:val="1"/>
    </w:lvlOverride>
  </w:num>
  <w:num w:numId="54" w16cid:durableId="709648587">
    <w:abstractNumId w:val="22"/>
    <w:lvlOverride w:ilvl="0">
      <w:startOverride w:val="1"/>
    </w:lvlOverride>
  </w:num>
  <w:num w:numId="55" w16cid:durableId="1353799543">
    <w:abstractNumId w:val="24"/>
  </w:num>
  <w:num w:numId="56" w16cid:durableId="1570270110">
    <w:abstractNumId w:val="37"/>
  </w:num>
  <w:num w:numId="57" w16cid:durableId="2125995167">
    <w:abstractNumId w:val="29"/>
  </w:num>
  <w:num w:numId="58" w16cid:durableId="1627851340">
    <w:abstractNumId w:val="23"/>
  </w:num>
  <w:num w:numId="59" w16cid:durableId="1945532808">
    <w:abstractNumId w:val="16"/>
  </w:num>
  <w:num w:numId="60"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1"/>
  </w:num>
  <w:num w:numId="67" w16cid:durableId="1131095604">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EF2"/>
    <w:rsid w:val="000012AB"/>
    <w:rsid w:val="000033A4"/>
    <w:rsid w:val="000034B8"/>
    <w:rsid w:val="000060F2"/>
    <w:rsid w:val="00010EAB"/>
    <w:rsid w:val="00017B47"/>
    <w:rsid w:val="000244FF"/>
    <w:rsid w:val="00026D87"/>
    <w:rsid w:val="000276C4"/>
    <w:rsid w:val="000301B2"/>
    <w:rsid w:val="00036F47"/>
    <w:rsid w:val="00047EC3"/>
    <w:rsid w:val="000505A1"/>
    <w:rsid w:val="000508B7"/>
    <w:rsid w:val="0005183C"/>
    <w:rsid w:val="00055256"/>
    <w:rsid w:val="00055CB2"/>
    <w:rsid w:val="00057E1C"/>
    <w:rsid w:val="00064D05"/>
    <w:rsid w:val="0006549C"/>
    <w:rsid w:val="0006658C"/>
    <w:rsid w:val="0007171B"/>
    <w:rsid w:val="00075639"/>
    <w:rsid w:val="000758A6"/>
    <w:rsid w:val="00076688"/>
    <w:rsid w:val="0007732F"/>
    <w:rsid w:val="00077C19"/>
    <w:rsid w:val="0008405A"/>
    <w:rsid w:val="000846D2"/>
    <w:rsid w:val="00086E15"/>
    <w:rsid w:val="000A4576"/>
    <w:rsid w:val="000B3250"/>
    <w:rsid w:val="000B7886"/>
    <w:rsid w:val="000C0ECA"/>
    <w:rsid w:val="000D0F68"/>
    <w:rsid w:val="000D1391"/>
    <w:rsid w:val="000D47DA"/>
    <w:rsid w:val="000E06E6"/>
    <w:rsid w:val="000E076A"/>
    <w:rsid w:val="000E0FB8"/>
    <w:rsid w:val="000E1D89"/>
    <w:rsid w:val="000E35A9"/>
    <w:rsid w:val="000E5A67"/>
    <w:rsid w:val="000E673A"/>
    <w:rsid w:val="000F2537"/>
    <w:rsid w:val="000F3697"/>
    <w:rsid w:val="000F6945"/>
    <w:rsid w:val="000F74F5"/>
    <w:rsid w:val="000F78FC"/>
    <w:rsid w:val="00104317"/>
    <w:rsid w:val="00105372"/>
    <w:rsid w:val="001054A6"/>
    <w:rsid w:val="001078A1"/>
    <w:rsid w:val="001101F0"/>
    <w:rsid w:val="00111061"/>
    <w:rsid w:val="00115CAF"/>
    <w:rsid w:val="001312AD"/>
    <w:rsid w:val="00131E7A"/>
    <w:rsid w:val="00133661"/>
    <w:rsid w:val="00134846"/>
    <w:rsid w:val="001406A3"/>
    <w:rsid w:val="0014208C"/>
    <w:rsid w:val="00143868"/>
    <w:rsid w:val="0014545D"/>
    <w:rsid w:val="00145686"/>
    <w:rsid w:val="001466F6"/>
    <w:rsid w:val="00150567"/>
    <w:rsid w:val="00153A25"/>
    <w:rsid w:val="00160B6D"/>
    <w:rsid w:val="001625F8"/>
    <w:rsid w:val="00163EA8"/>
    <w:rsid w:val="00172AF6"/>
    <w:rsid w:val="00176CEE"/>
    <w:rsid w:val="0017733B"/>
    <w:rsid w:val="0017781F"/>
    <w:rsid w:val="0017787B"/>
    <w:rsid w:val="00177FD3"/>
    <w:rsid w:val="00186DD8"/>
    <w:rsid w:val="001876B7"/>
    <w:rsid w:val="001912F1"/>
    <w:rsid w:val="0019542C"/>
    <w:rsid w:val="00196A08"/>
    <w:rsid w:val="00196BB0"/>
    <w:rsid w:val="001A35EC"/>
    <w:rsid w:val="001A58EA"/>
    <w:rsid w:val="001A68E0"/>
    <w:rsid w:val="001B13FE"/>
    <w:rsid w:val="001B2D25"/>
    <w:rsid w:val="001B3FCB"/>
    <w:rsid w:val="001C41A0"/>
    <w:rsid w:val="001C575E"/>
    <w:rsid w:val="001C6CC7"/>
    <w:rsid w:val="001D08A6"/>
    <w:rsid w:val="001D2DC7"/>
    <w:rsid w:val="001D4BBF"/>
    <w:rsid w:val="001E377B"/>
    <w:rsid w:val="001E5780"/>
    <w:rsid w:val="001E6015"/>
    <w:rsid w:val="001F62A0"/>
    <w:rsid w:val="001F716D"/>
    <w:rsid w:val="00202398"/>
    <w:rsid w:val="002032E3"/>
    <w:rsid w:val="0020591B"/>
    <w:rsid w:val="002059CF"/>
    <w:rsid w:val="00206C50"/>
    <w:rsid w:val="00206F81"/>
    <w:rsid w:val="00220900"/>
    <w:rsid w:val="0023318C"/>
    <w:rsid w:val="0023385D"/>
    <w:rsid w:val="0023421C"/>
    <w:rsid w:val="00236A06"/>
    <w:rsid w:val="00237695"/>
    <w:rsid w:val="0024112A"/>
    <w:rsid w:val="00247DBD"/>
    <w:rsid w:val="002504D3"/>
    <w:rsid w:val="002507A3"/>
    <w:rsid w:val="002575B7"/>
    <w:rsid w:val="00262ECB"/>
    <w:rsid w:val="0026684A"/>
    <w:rsid w:val="00272910"/>
    <w:rsid w:val="002803EB"/>
    <w:rsid w:val="00284459"/>
    <w:rsid w:val="002A23AD"/>
    <w:rsid w:val="002A3D59"/>
    <w:rsid w:val="002A442B"/>
    <w:rsid w:val="002B0598"/>
    <w:rsid w:val="002B1EB2"/>
    <w:rsid w:val="002B2010"/>
    <w:rsid w:val="002B38D2"/>
    <w:rsid w:val="002B5F3C"/>
    <w:rsid w:val="002C0383"/>
    <w:rsid w:val="002C1FFB"/>
    <w:rsid w:val="002C3DCE"/>
    <w:rsid w:val="002C6B92"/>
    <w:rsid w:val="002D015C"/>
    <w:rsid w:val="002D6C37"/>
    <w:rsid w:val="002E4678"/>
    <w:rsid w:val="002E6A7C"/>
    <w:rsid w:val="002E7987"/>
    <w:rsid w:val="002F099A"/>
    <w:rsid w:val="002F2C61"/>
    <w:rsid w:val="002F4741"/>
    <w:rsid w:val="003008FE"/>
    <w:rsid w:val="0030169D"/>
    <w:rsid w:val="00301AF1"/>
    <w:rsid w:val="0030250F"/>
    <w:rsid w:val="003045D7"/>
    <w:rsid w:val="0030467E"/>
    <w:rsid w:val="003060EB"/>
    <w:rsid w:val="00313E56"/>
    <w:rsid w:val="00314C96"/>
    <w:rsid w:val="003151F5"/>
    <w:rsid w:val="003153EB"/>
    <w:rsid w:val="00315B74"/>
    <w:rsid w:val="00316128"/>
    <w:rsid w:val="00317A8F"/>
    <w:rsid w:val="00321985"/>
    <w:rsid w:val="003226E9"/>
    <w:rsid w:val="00325957"/>
    <w:rsid w:val="00326670"/>
    <w:rsid w:val="003315E3"/>
    <w:rsid w:val="00332414"/>
    <w:rsid w:val="00332694"/>
    <w:rsid w:val="00340DEA"/>
    <w:rsid w:val="00345A5C"/>
    <w:rsid w:val="00351205"/>
    <w:rsid w:val="00354173"/>
    <w:rsid w:val="00360AC0"/>
    <w:rsid w:val="0036429F"/>
    <w:rsid w:val="003714F0"/>
    <w:rsid w:val="003726AD"/>
    <w:rsid w:val="00372F74"/>
    <w:rsid w:val="00375FD1"/>
    <w:rsid w:val="00377013"/>
    <w:rsid w:val="0038187D"/>
    <w:rsid w:val="00382791"/>
    <w:rsid w:val="00386B67"/>
    <w:rsid w:val="00387562"/>
    <w:rsid w:val="00387CD3"/>
    <w:rsid w:val="003919D4"/>
    <w:rsid w:val="00393DD5"/>
    <w:rsid w:val="0039555B"/>
    <w:rsid w:val="00397658"/>
    <w:rsid w:val="003A2864"/>
    <w:rsid w:val="003A321E"/>
    <w:rsid w:val="003A7BE6"/>
    <w:rsid w:val="003B3AE6"/>
    <w:rsid w:val="003B585E"/>
    <w:rsid w:val="003B5E81"/>
    <w:rsid w:val="003B7B1D"/>
    <w:rsid w:val="003B7DE1"/>
    <w:rsid w:val="003C15FB"/>
    <w:rsid w:val="003C3078"/>
    <w:rsid w:val="003D0351"/>
    <w:rsid w:val="003D26C5"/>
    <w:rsid w:val="003D762A"/>
    <w:rsid w:val="003E1040"/>
    <w:rsid w:val="003E2091"/>
    <w:rsid w:val="003E318F"/>
    <w:rsid w:val="003E63E8"/>
    <w:rsid w:val="003E7744"/>
    <w:rsid w:val="003F0E6E"/>
    <w:rsid w:val="003F11E9"/>
    <w:rsid w:val="003F2183"/>
    <w:rsid w:val="003F4508"/>
    <w:rsid w:val="003F7224"/>
    <w:rsid w:val="00400316"/>
    <w:rsid w:val="00401499"/>
    <w:rsid w:val="00401C09"/>
    <w:rsid w:val="00402184"/>
    <w:rsid w:val="00402235"/>
    <w:rsid w:val="00407A53"/>
    <w:rsid w:val="00407DA2"/>
    <w:rsid w:val="00411AB0"/>
    <w:rsid w:val="00423325"/>
    <w:rsid w:val="00423E4E"/>
    <w:rsid w:val="00425014"/>
    <w:rsid w:val="00425426"/>
    <w:rsid w:val="00427D21"/>
    <w:rsid w:val="0043163D"/>
    <w:rsid w:val="004340EC"/>
    <w:rsid w:val="004359F8"/>
    <w:rsid w:val="00436DEA"/>
    <w:rsid w:val="00437DF6"/>
    <w:rsid w:val="00440C7C"/>
    <w:rsid w:val="0044541F"/>
    <w:rsid w:val="00445A72"/>
    <w:rsid w:val="00447F4A"/>
    <w:rsid w:val="00451AFA"/>
    <w:rsid w:val="00452C72"/>
    <w:rsid w:val="00453E3A"/>
    <w:rsid w:val="00455478"/>
    <w:rsid w:val="004559D9"/>
    <w:rsid w:val="00455AF2"/>
    <w:rsid w:val="00456F67"/>
    <w:rsid w:val="004618BE"/>
    <w:rsid w:val="00462A4D"/>
    <w:rsid w:val="004644C2"/>
    <w:rsid w:val="004654FB"/>
    <w:rsid w:val="00466EFC"/>
    <w:rsid w:val="00467AE3"/>
    <w:rsid w:val="00467F9C"/>
    <w:rsid w:val="0047641D"/>
    <w:rsid w:val="00482868"/>
    <w:rsid w:val="00487318"/>
    <w:rsid w:val="00487AB2"/>
    <w:rsid w:val="00490F0D"/>
    <w:rsid w:val="00495A96"/>
    <w:rsid w:val="00496921"/>
    <w:rsid w:val="004A2420"/>
    <w:rsid w:val="004A406B"/>
    <w:rsid w:val="004C2675"/>
    <w:rsid w:val="004D16AB"/>
    <w:rsid w:val="004D4983"/>
    <w:rsid w:val="004E0B76"/>
    <w:rsid w:val="004E4E21"/>
    <w:rsid w:val="004E6FBC"/>
    <w:rsid w:val="004F0071"/>
    <w:rsid w:val="004F5673"/>
    <w:rsid w:val="0051006C"/>
    <w:rsid w:val="0051234B"/>
    <w:rsid w:val="00517E70"/>
    <w:rsid w:val="005219BE"/>
    <w:rsid w:val="005251CF"/>
    <w:rsid w:val="0052525B"/>
    <w:rsid w:val="005272C5"/>
    <w:rsid w:val="00527DA8"/>
    <w:rsid w:val="0053069C"/>
    <w:rsid w:val="00534681"/>
    <w:rsid w:val="00541248"/>
    <w:rsid w:val="0054166B"/>
    <w:rsid w:val="005426F5"/>
    <w:rsid w:val="005462E4"/>
    <w:rsid w:val="005509D1"/>
    <w:rsid w:val="005529BE"/>
    <w:rsid w:val="00554B18"/>
    <w:rsid w:val="0056068E"/>
    <w:rsid w:val="005618F1"/>
    <w:rsid w:val="00563442"/>
    <w:rsid w:val="0056348E"/>
    <w:rsid w:val="00564169"/>
    <w:rsid w:val="00564F64"/>
    <w:rsid w:val="00565B42"/>
    <w:rsid w:val="00567121"/>
    <w:rsid w:val="0057315B"/>
    <w:rsid w:val="00573A02"/>
    <w:rsid w:val="00573B27"/>
    <w:rsid w:val="005750AA"/>
    <w:rsid w:val="0057670F"/>
    <w:rsid w:val="0057768F"/>
    <w:rsid w:val="00577DDF"/>
    <w:rsid w:val="00580AAE"/>
    <w:rsid w:val="00581DF3"/>
    <w:rsid w:val="00583064"/>
    <w:rsid w:val="005850A0"/>
    <w:rsid w:val="005874DD"/>
    <w:rsid w:val="00595FA9"/>
    <w:rsid w:val="005A2A9B"/>
    <w:rsid w:val="005A460D"/>
    <w:rsid w:val="005A70D4"/>
    <w:rsid w:val="005B35E2"/>
    <w:rsid w:val="005B3B28"/>
    <w:rsid w:val="005B40ED"/>
    <w:rsid w:val="005B494A"/>
    <w:rsid w:val="005B5AC9"/>
    <w:rsid w:val="005B6841"/>
    <w:rsid w:val="005B7D2F"/>
    <w:rsid w:val="005C347D"/>
    <w:rsid w:val="005C4CE6"/>
    <w:rsid w:val="005D161E"/>
    <w:rsid w:val="005D5BC9"/>
    <w:rsid w:val="005E01E1"/>
    <w:rsid w:val="005E0797"/>
    <w:rsid w:val="005E2A0A"/>
    <w:rsid w:val="005E6F4B"/>
    <w:rsid w:val="005F22CB"/>
    <w:rsid w:val="005F25D0"/>
    <w:rsid w:val="005F3C4D"/>
    <w:rsid w:val="005F496B"/>
    <w:rsid w:val="005F6EEF"/>
    <w:rsid w:val="005F721D"/>
    <w:rsid w:val="0060173D"/>
    <w:rsid w:val="0060219B"/>
    <w:rsid w:val="00606D48"/>
    <w:rsid w:val="00606F5C"/>
    <w:rsid w:val="006122BA"/>
    <w:rsid w:val="0062091B"/>
    <w:rsid w:val="0062307F"/>
    <w:rsid w:val="00624FC7"/>
    <w:rsid w:val="00625749"/>
    <w:rsid w:val="00625B53"/>
    <w:rsid w:val="00625FAF"/>
    <w:rsid w:val="00626457"/>
    <w:rsid w:val="00641407"/>
    <w:rsid w:val="006469F3"/>
    <w:rsid w:val="006478BF"/>
    <w:rsid w:val="0065630E"/>
    <w:rsid w:val="0066037E"/>
    <w:rsid w:val="00660B19"/>
    <w:rsid w:val="006655B1"/>
    <w:rsid w:val="006775D2"/>
    <w:rsid w:val="00677E20"/>
    <w:rsid w:val="00680D25"/>
    <w:rsid w:val="00685861"/>
    <w:rsid w:val="006926FE"/>
    <w:rsid w:val="00697887"/>
    <w:rsid w:val="006A0F6B"/>
    <w:rsid w:val="006A2AEA"/>
    <w:rsid w:val="006A536D"/>
    <w:rsid w:val="006A54D8"/>
    <w:rsid w:val="006A73C1"/>
    <w:rsid w:val="006B2290"/>
    <w:rsid w:val="006B560F"/>
    <w:rsid w:val="006C37E2"/>
    <w:rsid w:val="006C4568"/>
    <w:rsid w:val="006C489F"/>
    <w:rsid w:val="006C7859"/>
    <w:rsid w:val="006E044A"/>
    <w:rsid w:val="006E316C"/>
    <w:rsid w:val="006E4AE5"/>
    <w:rsid w:val="006F1046"/>
    <w:rsid w:val="006F281B"/>
    <w:rsid w:val="006F4B70"/>
    <w:rsid w:val="006F527F"/>
    <w:rsid w:val="006F5EEF"/>
    <w:rsid w:val="006F7DA9"/>
    <w:rsid w:val="00711438"/>
    <w:rsid w:val="00717D88"/>
    <w:rsid w:val="00721BC2"/>
    <w:rsid w:val="00726A43"/>
    <w:rsid w:val="00734528"/>
    <w:rsid w:val="00746CFA"/>
    <w:rsid w:val="00747EE5"/>
    <w:rsid w:val="00751C63"/>
    <w:rsid w:val="00752E59"/>
    <w:rsid w:val="00752F57"/>
    <w:rsid w:val="00753CB5"/>
    <w:rsid w:val="00755313"/>
    <w:rsid w:val="00766636"/>
    <w:rsid w:val="00766A65"/>
    <w:rsid w:val="0077199F"/>
    <w:rsid w:val="00776427"/>
    <w:rsid w:val="00777085"/>
    <w:rsid w:val="00786056"/>
    <w:rsid w:val="007942D3"/>
    <w:rsid w:val="007A1FE9"/>
    <w:rsid w:val="007A242F"/>
    <w:rsid w:val="007A5FE4"/>
    <w:rsid w:val="007A71D9"/>
    <w:rsid w:val="007B1F42"/>
    <w:rsid w:val="007B2099"/>
    <w:rsid w:val="007B6A78"/>
    <w:rsid w:val="007B6C09"/>
    <w:rsid w:val="007B7741"/>
    <w:rsid w:val="007C3767"/>
    <w:rsid w:val="007C456C"/>
    <w:rsid w:val="007C4951"/>
    <w:rsid w:val="007D04D0"/>
    <w:rsid w:val="007D1853"/>
    <w:rsid w:val="007D667F"/>
    <w:rsid w:val="007E035D"/>
    <w:rsid w:val="007E09DA"/>
    <w:rsid w:val="007E0F8A"/>
    <w:rsid w:val="007E30FE"/>
    <w:rsid w:val="007E6761"/>
    <w:rsid w:val="007F3CEA"/>
    <w:rsid w:val="007F4C17"/>
    <w:rsid w:val="007F718D"/>
    <w:rsid w:val="00801FAD"/>
    <w:rsid w:val="00803B6C"/>
    <w:rsid w:val="008071F2"/>
    <w:rsid w:val="00816488"/>
    <w:rsid w:val="008178B6"/>
    <w:rsid w:val="00822C58"/>
    <w:rsid w:val="00823BAC"/>
    <w:rsid w:val="00824D0F"/>
    <w:rsid w:val="00837848"/>
    <w:rsid w:val="00837CE7"/>
    <w:rsid w:val="008401EE"/>
    <w:rsid w:val="00851884"/>
    <w:rsid w:val="00852E21"/>
    <w:rsid w:val="00865B74"/>
    <w:rsid w:val="00866063"/>
    <w:rsid w:val="00872C76"/>
    <w:rsid w:val="00873123"/>
    <w:rsid w:val="00873A1B"/>
    <w:rsid w:val="00874663"/>
    <w:rsid w:val="00875BC7"/>
    <w:rsid w:val="0087613D"/>
    <w:rsid w:val="008812FF"/>
    <w:rsid w:val="00887DA2"/>
    <w:rsid w:val="0089366C"/>
    <w:rsid w:val="008942BE"/>
    <w:rsid w:val="008974F0"/>
    <w:rsid w:val="008977A4"/>
    <w:rsid w:val="008A095A"/>
    <w:rsid w:val="008A1499"/>
    <w:rsid w:val="008A42E7"/>
    <w:rsid w:val="008A5FC2"/>
    <w:rsid w:val="008B012A"/>
    <w:rsid w:val="008B2147"/>
    <w:rsid w:val="008B2745"/>
    <w:rsid w:val="008B2B5F"/>
    <w:rsid w:val="008B378B"/>
    <w:rsid w:val="008B6AB3"/>
    <w:rsid w:val="008C5C5E"/>
    <w:rsid w:val="008D33C8"/>
    <w:rsid w:val="008D439E"/>
    <w:rsid w:val="008D665E"/>
    <w:rsid w:val="008D7E1C"/>
    <w:rsid w:val="008E16EC"/>
    <w:rsid w:val="008E1B18"/>
    <w:rsid w:val="008E4BEB"/>
    <w:rsid w:val="008E4D35"/>
    <w:rsid w:val="009039E8"/>
    <w:rsid w:val="00903FE2"/>
    <w:rsid w:val="00906E17"/>
    <w:rsid w:val="009150BA"/>
    <w:rsid w:val="0092087F"/>
    <w:rsid w:val="00922555"/>
    <w:rsid w:val="009267B6"/>
    <w:rsid w:val="00930BA1"/>
    <w:rsid w:val="0093169E"/>
    <w:rsid w:val="00936A67"/>
    <w:rsid w:val="009402AA"/>
    <w:rsid w:val="009455ED"/>
    <w:rsid w:val="009474CA"/>
    <w:rsid w:val="009505C9"/>
    <w:rsid w:val="00950752"/>
    <w:rsid w:val="009600CE"/>
    <w:rsid w:val="00960F2C"/>
    <w:rsid w:val="009644EE"/>
    <w:rsid w:val="009655F7"/>
    <w:rsid w:val="00966424"/>
    <w:rsid w:val="00974F96"/>
    <w:rsid w:val="00975FB5"/>
    <w:rsid w:val="00976E09"/>
    <w:rsid w:val="00990BA6"/>
    <w:rsid w:val="009A042C"/>
    <w:rsid w:val="009A6596"/>
    <w:rsid w:val="009B1E74"/>
    <w:rsid w:val="009B39EB"/>
    <w:rsid w:val="009B4FB3"/>
    <w:rsid w:val="009B7B05"/>
    <w:rsid w:val="009C2DE6"/>
    <w:rsid w:val="009D13E8"/>
    <w:rsid w:val="009D295E"/>
    <w:rsid w:val="009D564F"/>
    <w:rsid w:val="009D5EF7"/>
    <w:rsid w:val="009D734A"/>
    <w:rsid w:val="009D7BDB"/>
    <w:rsid w:val="009E2FFE"/>
    <w:rsid w:val="009E4E0D"/>
    <w:rsid w:val="009E70A0"/>
    <w:rsid w:val="009F10D6"/>
    <w:rsid w:val="009F559A"/>
    <w:rsid w:val="009F5F7E"/>
    <w:rsid w:val="009F755A"/>
    <w:rsid w:val="00A04690"/>
    <w:rsid w:val="00A111D1"/>
    <w:rsid w:val="00A158B5"/>
    <w:rsid w:val="00A1716C"/>
    <w:rsid w:val="00A2767B"/>
    <w:rsid w:val="00A335C4"/>
    <w:rsid w:val="00A3502C"/>
    <w:rsid w:val="00A35EB5"/>
    <w:rsid w:val="00A453F4"/>
    <w:rsid w:val="00A478E5"/>
    <w:rsid w:val="00A52A56"/>
    <w:rsid w:val="00A54731"/>
    <w:rsid w:val="00A5797D"/>
    <w:rsid w:val="00A658EE"/>
    <w:rsid w:val="00A71752"/>
    <w:rsid w:val="00A80D16"/>
    <w:rsid w:val="00A83B72"/>
    <w:rsid w:val="00A87281"/>
    <w:rsid w:val="00A92E91"/>
    <w:rsid w:val="00A93748"/>
    <w:rsid w:val="00AA0BFB"/>
    <w:rsid w:val="00AA6F92"/>
    <w:rsid w:val="00AA721C"/>
    <w:rsid w:val="00AB048D"/>
    <w:rsid w:val="00AB46BF"/>
    <w:rsid w:val="00AB51C5"/>
    <w:rsid w:val="00AB6934"/>
    <w:rsid w:val="00AB69AA"/>
    <w:rsid w:val="00AB7918"/>
    <w:rsid w:val="00AB7B31"/>
    <w:rsid w:val="00AC2D35"/>
    <w:rsid w:val="00AC4F4F"/>
    <w:rsid w:val="00AC5187"/>
    <w:rsid w:val="00AC7F17"/>
    <w:rsid w:val="00AD0A7E"/>
    <w:rsid w:val="00AD1409"/>
    <w:rsid w:val="00AD44CD"/>
    <w:rsid w:val="00AD6700"/>
    <w:rsid w:val="00AD6A40"/>
    <w:rsid w:val="00AD70F6"/>
    <w:rsid w:val="00AE3DD8"/>
    <w:rsid w:val="00AF073A"/>
    <w:rsid w:val="00AF42DE"/>
    <w:rsid w:val="00B1038B"/>
    <w:rsid w:val="00B16DFA"/>
    <w:rsid w:val="00B21178"/>
    <w:rsid w:val="00B229F9"/>
    <w:rsid w:val="00B23A51"/>
    <w:rsid w:val="00B26574"/>
    <w:rsid w:val="00B32A83"/>
    <w:rsid w:val="00B3369F"/>
    <w:rsid w:val="00B4284F"/>
    <w:rsid w:val="00B51F8C"/>
    <w:rsid w:val="00B54547"/>
    <w:rsid w:val="00B6246A"/>
    <w:rsid w:val="00B6513E"/>
    <w:rsid w:val="00B658AD"/>
    <w:rsid w:val="00B74516"/>
    <w:rsid w:val="00B77D57"/>
    <w:rsid w:val="00B81441"/>
    <w:rsid w:val="00B82F93"/>
    <w:rsid w:val="00B844BC"/>
    <w:rsid w:val="00B84E5D"/>
    <w:rsid w:val="00B854C3"/>
    <w:rsid w:val="00B87345"/>
    <w:rsid w:val="00B877B2"/>
    <w:rsid w:val="00B927E1"/>
    <w:rsid w:val="00B94E6C"/>
    <w:rsid w:val="00BA453F"/>
    <w:rsid w:val="00BA4839"/>
    <w:rsid w:val="00BA541E"/>
    <w:rsid w:val="00BB2585"/>
    <w:rsid w:val="00BB4606"/>
    <w:rsid w:val="00BB5399"/>
    <w:rsid w:val="00BB7A7F"/>
    <w:rsid w:val="00BD505F"/>
    <w:rsid w:val="00BD627D"/>
    <w:rsid w:val="00BD7A07"/>
    <w:rsid w:val="00BE34EB"/>
    <w:rsid w:val="00BE5CA2"/>
    <w:rsid w:val="00BF02A3"/>
    <w:rsid w:val="00BF1430"/>
    <w:rsid w:val="00BF2CE6"/>
    <w:rsid w:val="00BF5EA7"/>
    <w:rsid w:val="00C0093F"/>
    <w:rsid w:val="00C02195"/>
    <w:rsid w:val="00C02E48"/>
    <w:rsid w:val="00C038EE"/>
    <w:rsid w:val="00C04D58"/>
    <w:rsid w:val="00C05111"/>
    <w:rsid w:val="00C06662"/>
    <w:rsid w:val="00C07B01"/>
    <w:rsid w:val="00C15602"/>
    <w:rsid w:val="00C17B14"/>
    <w:rsid w:val="00C23D2F"/>
    <w:rsid w:val="00C3034B"/>
    <w:rsid w:val="00C313EB"/>
    <w:rsid w:val="00C3321A"/>
    <w:rsid w:val="00C3452F"/>
    <w:rsid w:val="00C412CE"/>
    <w:rsid w:val="00C43165"/>
    <w:rsid w:val="00C4348A"/>
    <w:rsid w:val="00C443BD"/>
    <w:rsid w:val="00C451C5"/>
    <w:rsid w:val="00C50250"/>
    <w:rsid w:val="00C5262C"/>
    <w:rsid w:val="00C645F0"/>
    <w:rsid w:val="00C65B8E"/>
    <w:rsid w:val="00C66B17"/>
    <w:rsid w:val="00C757CB"/>
    <w:rsid w:val="00C84DFD"/>
    <w:rsid w:val="00C86AA8"/>
    <w:rsid w:val="00C872F7"/>
    <w:rsid w:val="00C9161D"/>
    <w:rsid w:val="00CA0470"/>
    <w:rsid w:val="00CA0C1D"/>
    <w:rsid w:val="00CA140A"/>
    <w:rsid w:val="00CA3825"/>
    <w:rsid w:val="00CA3B39"/>
    <w:rsid w:val="00CA4C0A"/>
    <w:rsid w:val="00CB0E39"/>
    <w:rsid w:val="00CB1B8E"/>
    <w:rsid w:val="00CB3DE3"/>
    <w:rsid w:val="00CB6B84"/>
    <w:rsid w:val="00CB76AE"/>
    <w:rsid w:val="00CC5E80"/>
    <w:rsid w:val="00CD4870"/>
    <w:rsid w:val="00CE14BB"/>
    <w:rsid w:val="00CE7449"/>
    <w:rsid w:val="00CF1848"/>
    <w:rsid w:val="00CF3507"/>
    <w:rsid w:val="00CF46DC"/>
    <w:rsid w:val="00D031B0"/>
    <w:rsid w:val="00D04EF1"/>
    <w:rsid w:val="00D05B40"/>
    <w:rsid w:val="00D067B2"/>
    <w:rsid w:val="00D06EAA"/>
    <w:rsid w:val="00D12044"/>
    <w:rsid w:val="00D13ACB"/>
    <w:rsid w:val="00D14342"/>
    <w:rsid w:val="00D15168"/>
    <w:rsid w:val="00D15CA8"/>
    <w:rsid w:val="00D170D9"/>
    <w:rsid w:val="00D20FFB"/>
    <w:rsid w:val="00D22B03"/>
    <w:rsid w:val="00D23023"/>
    <w:rsid w:val="00D33EFC"/>
    <w:rsid w:val="00D40DBC"/>
    <w:rsid w:val="00D43B64"/>
    <w:rsid w:val="00D45C30"/>
    <w:rsid w:val="00D465A4"/>
    <w:rsid w:val="00D5061B"/>
    <w:rsid w:val="00D519BD"/>
    <w:rsid w:val="00D5207D"/>
    <w:rsid w:val="00D535B3"/>
    <w:rsid w:val="00D53DD4"/>
    <w:rsid w:val="00D56B18"/>
    <w:rsid w:val="00D61C85"/>
    <w:rsid w:val="00D62E03"/>
    <w:rsid w:val="00D64160"/>
    <w:rsid w:val="00D6474C"/>
    <w:rsid w:val="00D66179"/>
    <w:rsid w:val="00D671FC"/>
    <w:rsid w:val="00D67E08"/>
    <w:rsid w:val="00D73349"/>
    <w:rsid w:val="00D74E40"/>
    <w:rsid w:val="00D75CA6"/>
    <w:rsid w:val="00D75FD3"/>
    <w:rsid w:val="00D76A18"/>
    <w:rsid w:val="00D77C2D"/>
    <w:rsid w:val="00D80849"/>
    <w:rsid w:val="00D82E8F"/>
    <w:rsid w:val="00D8544D"/>
    <w:rsid w:val="00D8607D"/>
    <w:rsid w:val="00D86686"/>
    <w:rsid w:val="00D90D9E"/>
    <w:rsid w:val="00D956DE"/>
    <w:rsid w:val="00DA30B1"/>
    <w:rsid w:val="00DA490C"/>
    <w:rsid w:val="00DA52E4"/>
    <w:rsid w:val="00DB2FC9"/>
    <w:rsid w:val="00DB349C"/>
    <w:rsid w:val="00DB3955"/>
    <w:rsid w:val="00DB5E0F"/>
    <w:rsid w:val="00DC0141"/>
    <w:rsid w:val="00DC03D0"/>
    <w:rsid w:val="00DC5FCB"/>
    <w:rsid w:val="00DD118C"/>
    <w:rsid w:val="00DD2EA3"/>
    <w:rsid w:val="00DD3E07"/>
    <w:rsid w:val="00DE2DD0"/>
    <w:rsid w:val="00DE6D30"/>
    <w:rsid w:val="00DE765C"/>
    <w:rsid w:val="00DF5971"/>
    <w:rsid w:val="00E1339C"/>
    <w:rsid w:val="00E16483"/>
    <w:rsid w:val="00E16DB3"/>
    <w:rsid w:val="00E22F06"/>
    <w:rsid w:val="00E3656A"/>
    <w:rsid w:val="00E51561"/>
    <w:rsid w:val="00E55C7F"/>
    <w:rsid w:val="00E62F6C"/>
    <w:rsid w:val="00E649FB"/>
    <w:rsid w:val="00E65982"/>
    <w:rsid w:val="00E66235"/>
    <w:rsid w:val="00E72F41"/>
    <w:rsid w:val="00E80479"/>
    <w:rsid w:val="00E813B2"/>
    <w:rsid w:val="00E83C24"/>
    <w:rsid w:val="00E84EBD"/>
    <w:rsid w:val="00E85709"/>
    <w:rsid w:val="00E85790"/>
    <w:rsid w:val="00E8637A"/>
    <w:rsid w:val="00E90214"/>
    <w:rsid w:val="00E9318D"/>
    <w:rsid w:val="00E93F3E"/>
    <w:rsid w:val="00E94235"/>
    <w:rsid w:val="00E95464"/>
    <w:rsid w:val="00E96078"/>
    <w:rsid w:val="00E975EC"/>
    <w:rsid w:val="00EA0C2E"/>
    <w:rsid w:val="00EA290A"/>
    <w:rsid w:val="00EA3A35"/>
    <w:rsid w:val="00EA7CC7"/>
    <w:rsid w:val="00EB06E6"/>
    <w:rsid w:val="00EB6D69"/>
    <w:rsid w:val="00EB78FE"/>
    <w:rsid w:val="00EC3FAE"/>
    <w:rsid w:val="00ED0059"/>
    <w:rsid w:val="00ED2D81"/>
    <w:rsid w:val="00ED5CE2"/>
    <w:rsid w:val="00EE01D6"/>
    <w:rsid w:val="00EE23AE"/>
    <w:rsid w:val="00EE2B65"/>
    <w:rsid w:val="00EE39BA"/>
    <w:rsid w:val="00EF2C5E"/>
    <w:rsid w:val="00EF354B"/>
    <w:rsid w:val="00EF7B55"/>
    <w:rsid w:val="00F063C2"/>
    <w:rsid w:val="00F0755A"/>
    <w:rsid w:val="00F07A98"/>
    <w:rsid w:val="00F13C5F"/>
    <w:rsid w:val="00F14786"/>
    <w:rsid w:val="00F1499A"/>
    <w:rsid w:val="00F250DB"/>
    <w:rsid w:val="00F25252"/>
    <w:rsid w:val="00F266CF"/>
    <w:rsid w:val="00F26F51"/>
    <w:rsid w:val="00F305C9"/>
    <w:rsid w:val="00F33301"/>
    <w:rsid w:val="00F35953"/>
    <w:rsid w:val="00F42F2D"/>
    <w:rsid w:val="00F44168"/>
    <w:rsid w:val="00F501D9"/>
    <w:rsid w:val="00F528D5"/>
    <w:rsid w:val="00F53193"/>
    <w:rsid w:val="00F5357E"/>
    <w:rsid w:val="00F6238C"/>
    <w:rsid w:val="00F64C2F"/>
    <w:rsid w:val="00F6586C"/>
    <w:rsid w:val="00F77700"/>
    <w:rsid w:val="00F7792C"/>
    <w:rsid w:val="00F80176"/>
    <w:rsid w:val="00F86855"/>
    <w:rsid w:val="00F9038B"/>
    <w:rsid w:val="00F91B99"/>
    <w:rsid w:val="00F92800"/>
    <w:rsid w:val="00F92C95"/>
    <w:rsid w:val="00F94774"/>
    <w:rsid w:val="00F97AB6"/>
    <w:rsid w:val="00FA0344"/>
    <w:rsid w:val="00FA105F"/>
    <w:rsid w:val="00FA663B"/>
    <w:rsid w:val="00FB0F36"/>
    <w:rsid w:val="00FB6E1F"/>
    <w:rsid w:val="00FB7560"/>
    <w:rsid w:val="00FB7C9A"/>
    <w:rsid w:val="00FC1A69"/>
    <w:rsid w:val="00FC4CC8"/>
    <w:rsid w:val="00FC53DB"/>
    <w:rsid w:val="00FC693C"/>
    <w:rsid w:val="00FD0DA4"/>
    <w:rsid w:val="00FD1BB6"/>
    <w:rsid w:val="00FD3DB9"/>
    <w:rsid w:val="00FD4F4A"/>
    <w:rsid w:val="00FE2390"/>
    <w:rsid w:val="00FE744B"/>
    <w:rsid w:val="00FF1435"/>
    <w:rsid w:val="00FF3C24"/>
    <w:rsid w:val="00FF4D6E"/>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D220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fr-FR"/>
    </w:rPr>
  </w:style>
  <w:style w:type="paragraph" w:styleId="Footer">
    <w:name w:val="footer"/>
    <w:basedOn w:val="Normal"/>
    <w:link w:val="FooterChar"/>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fr-FR"/>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fr-FR"/>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fr-FR"/>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fr-FR"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fr-FR"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fr-FR"/>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fr-FR"/>
    </w:r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basedOn w:val="DefaultParagraphFont"/>
    <w:uiPriority w:val="99"/>
    <w:semiHidden/>
    <w:unhideWhenUsed/>
    <w:rsid w:val="00AE3DD8"/>
    <w:rPr>
      <w:vertAlign w:val="superscript"/>
      <w:lang w:val="fr-FR"/>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uiPriority w:val="99"/>
    <w:rsid w:val="00AE3DD8"/>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fr-FR"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fr-FR"/>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fr-FR"/>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fr-FR"/>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fr-FR"/>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fr-FR"/>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fr-FR"/>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fr-FR"/>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oc/notifications/2025/ntf-2025-112-meetings-en.pdf" TargetMode="External"/><Relationship Id="rId47" Type="http://schemas.openxmlformats.org/officeDocument/2006/relationships/hyperlink" Target="https://www.cbd.int/doc/decisions/cop-12/cop-12-dec-28-fr.pdf" TargetMode="External"/><Relationship Id="rId63" Type="http://schemas.openxmlformats.org/officeDocument/2006/relationships/footer" Target="footer2.xml"/><Relationship Id="rId68" Type="http://schemas.openxmlformats.org/officeDocument/2006/relationships/hyperlink" Target="https://cites.org/sites/default/files/documents/SC/78/agenda/E-SC78-30.pdf" TargetMode="External"/><Relationship Id="rId16" Type="http://schemas.openxmlformats.org/officeDocument/2006/relationships/hyperlink" Target="https://www.cbd.int/decisions/mop/?m=cp-mop-11"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np-mop/?m=np-mop-05" TargetMode="External"/><Relationship Id="rId58" Type="http://schemas.openxmlformats.org/officeDocument/2006/relationships/hyperlink" Target="https://www.cbd.int/doc/decisions/cop-12/cop-12-dec-28-fr.pdf" TargetMode="External"/><Relationship Id="rId74" Type="http://schemas.openxmlformats.org/officeDocument/2006/relationships/hyperlink" Target="https://www.ramsar.org/sites/default/files/documents/library/xiv.5_review_resolutions_e.pdf" TargetMode="External"/><Relationship Id="rId79"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header" Target="header2.xm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oc/notifications/2025/ntf-2025-112-meetings-en.pdf" TargetMode="External"/><Relationship Id="rId27" Type="http://schemas.openxmlformats.org/officeDocument/2006/relationships/hyperlink" Target="https://www.cbd.int/documents/CBD/SBSTTA/27/1/ADD2" TargetMode="External"/><Relationship Id="rId30" Type="http://schemas.openxmlformats.org/officeDocument/2006/relationships/hyperlink" Target="https://www.cbd.int/doc/notifications/2025/ntf-2025-063-cp-en.pdf" TargetMode="External"/><Relationship Id="rId35" Type="http://schemas.openxmlformats.org/officeDocument/2006/relationships/hyperlink" Target="https://www.cbd.int/decisions/?id=13708" TargetMode="External"/><Relationship Id="rId43" Type="http://schemas.openxmlformats.org/officeDocument/2006/relationships/hyperlink" Target="https://www.cbd.int/doc/notifications/2025/ntf-2025-124-meetings-en.pdf" TargetMode="External"/><Relationship Id="rId48" Type="http://schemas.openxmlformats.org/officeDocument/2006/relationships/hyperlink" Target="https://www.cbd.int/documents/CBD/COP/15/INF/14" TargetMode="External"/><Relationship Id="rId56" Type="http://schemas.openxmlformats.org/officeDocument/2006/relationships/hyperlink" Target="https://www.cbd.int/documents/CBD/SBI/6/INF/11" TargetMode="External"/><Relationship Id="rId64" Type="http://schemas.openxmlformats.org/officeDocument/2006/relationships/hyperlink" Target="https://unfccc.int/sites/default/files/resource/sbi2025_inf06.pdf" TargetMode="External"/><Relationship Id="rId69" Type="http://schemas.openxmlformats.org/officeDocument/2006/relationships/hyperlink" Target="https://cites.org/sites/default/files/documents/COP/19/agenda/E-CoP19-26.pdf" TargetMode="External"/><Relationship Id="rId7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brsmeas.org/Implementation/DecisionsandDocuments/Decisions/tabid/2616/language/en-US/Default.aspx"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ecisions/mop/?m=cp-mop-11" TargetMode="External"/><Relationship Id="rId33" Type="http://schemas.openxmlformats.org/officeDocument/2006/relationships/hyperlink" Target="https://www.cbd.int/decisions/mop/?m=cp-mop-11" TargetMode="External"/><Relationship Id="rId38" Type="http://schemas.openxmlformats.org/officeDocument/2006/relationships/hyperlink" Target="https://www.cbd.int/decisions/mop/?m=cp-mop-11" TargetMode="External"/><Relationship Id="rId46" Type="http://schemas.openxmlformats.org/officeDocument/2006/relationships/hyperlink" Target="https://www.cbd.int/decisions/np-mop/?m=np-mop-05" TargetMode="External"/><Relationship Id="rId59" Type="http://schemas.openxmlformats.org/officeDocument/2006/relationships/hyperlink" Target="https://www.cbd.int/doc/decisions/np-mop-01/np-mop-01-dec-12-fr.pdf" TargetMode="External"/><Relationship Id="rId67" Type="http://schemas.openxmlformats.org/officeDocument/2006/relationships/hyperlink" Target="https://cites.org/sites/default/files/eng/cop/19/E19-CoP-Rules.pdf" TargetMode="External"/><Relationship Id="rId20" Type="http://schemas.openxmlformats.org/officeDocument/2006/relationships/hyperlink" Target="https://www.cbd.int/decisions/mop/?m=cp-mop-11" TargetMode="External"/><Relationship Id="rId41" Type="http://schemas.openxmlformats.org/officeDocument/2006/relationships/hyperlink" Target="https://www.cbd.int/documents/CBD/SBI/6/INF/10" TargetMode="External"/><Relationship Id="rId54" Type="http://schemas.openxmlformats.org/officeDocument/2006/relationships/hyperlink" Target="https://www.cbd.int/documents/CBD/SBI/6/9" TargetMode="External"/><Relationship Id="rId62" Type="http://schemas.openxmlformats.org/officeDocument/2006/relationships/footer" Target="footer1.xml"/><Relationship Id="rId70" Type="http://schemas.openxmlformats.org/officeDocument/2006/relationships/hyperlink" Target="https://cites.org/sites/default/files/documents/E-CoP19-27.pdf"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24-meetings-en.pdf" TargetMode="External"/><Relationship Id="rId28" Type="http://schemas.openxmlformats.org/officeDocument/2006/relationships/hyperlink" Target="https://www.cbd.int/documents/CBD/SB8J/1/1/ADD2/REV1" TargetMode="External"/><Relationship Id="rId36" Type="http://schemas.openxmlformats.org/officeDocument/2006/relationships/hyperlink" Target="https://www.cbd.int/documents/CBD/SBI/6/INF/9" TargetMode="External"/><Relationship Id="rId49" Type="http://schemas.openxmlformats.org/officeDocument/2006/relationships/hyperlink" Target="https://www.cbd.int/decisions/cop/?m=cop-15" TargetMode="External"/><Relationship Id="rId57" Type="http://schemas.openxmlformats.org/officeDocument/2006/relationships/hyperlink" Target="https://www.cbd.int/doc/decisions/mop-07/mop-07-dec-09-fr.pdf" TargetMode="External"/><Relationship Id="rId10" Type="http://schemas.openxmlformats.org/officeDocument/2006/relationships/footnotes" Target="footnotes.xml"/><Relationship Id="rId31" Type="http://schemas.openxmlformats.org/officeDocument/2006/relationships/hyperlink" Target="https://www.cbd.int/doc/notifications/2025/ntf-2025-068-np-en.pdf"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mop/?m=cp-mop-11" TargetMode="External"/><Relationship Id="rId60" Type="http://schemas.openxmlformats.org/officeDocument/2006/relationships/header" Target="header1.xml"/><Relationship Id="rId65" Type="http://schemas.openxmlformats.org/officeDocument/2006/relationships/hyperlink" Target="https://unfccc.int/documents/193408" TargetMode="External"/><Relationship Id="rId73" Type="http://schemas.openxmlformats.org/officeDocument/2006/relationships/hyperlink" Target="https://www.cms.int/sites/default/files/document/cms_cop12_res.12.4_scientific-council_e.pdf" TargetMode="External"/><Relationship Id="rId78" Type="http://schemas.openxmlformats.org/officeDocument/2006/relationships/footer" Target="footer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39" Type="http://schemas.openxmlformats.org/officeDocument/2006/relationships/hyperlink" Target="https://www.cbd.int/decisions/np-mop/?m=np-mop-05" TargetMode="External"/><Relationship Id="rId34" Type="http://schemas.openxmlformats.org/officeDocument/2006/relationships/hyperlink" Target="https://www.cbd.int/decisions/np-mop/?m=np-mop-05" TargetMode="External"/><Relationship Id="rId50" Type="http://schemas.openxmlformats.org/officeDocument/2006/relationships/hyperlink" Target="https://www.cbd.int/documents/CBD/SBI/6/INF/11" TargetMode="External"/><Relationship Id="rId55" Type="http://schemas.openxmlformats.org/officeDocument/2006/relationships/hyperlink" Target="https://www.cbd.int/doc/decisions/cop-12/cop-12-dec-28-fr.pdf" TargetMode="External"/><Relationship Id="rId76" Type="http://schemas.openxmlformats.org/officeDocument/2006/relationships/header" Target="header4.xml"/><Relationship Id="rId7" Type="http://schemas.openxmlformats.org/officeDocument/2006/relationships/styles" Target="styles.xml"/><Relationship Id="rId71" Type="http://schemas.openxmlformats.org/officeDocument/2006/relationships/hyperlink" Target="https://www.unccd.int/sites/default/files/2025-03/5-cop16.pdf" TargetMode="External"/><Relationship Id="rId2" Type="http://schemas.openxmlformats.org/officeDocument/2006/relationships/customXml" Target="../customXml/item2.xml"/><Relationship Id="rId29" Type="http://schemas.openxmlformats.org/officeDocument/2006/relationships/hyperlink" Target="https://www.cbd.int/doc/notifications/2025/ntf-2025-075-cbd-en.pdf" TargetMode="External"/><Relationship Id="rId24" Type="http://schemas.openxmlformats.org/officeDocument/2006/relationships/hyperlink" Target="https://www.cbd.int/decisions/cop/?m=cop-16" TargetMode="External"/><Relationship Id="rId40" Type="http://schemas.openxmlformats.org/officeDocument/2006/relationships/hyperlink" Target="https://www.cbd.int/doc/notifications/2025/ntf-2025-120-sbstta27-en.pdf" TargetMode="External"/><Relationship Id="rId45" Type="http://schemas.openxmlformats.org/officeDocument/2006/relationships/hyperlink" Target="https://www.cbd.int/decisions/mop/?m=cp-mop-11" TargetMode="External"/><Relationship Id="rId66" Type="http://schemas.openxmlformats.org/officeDocument/2006/relationships/hyperlink" Target="https://unfccc.int/sites/default/files/english_paris_agreemen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unfccc.int/sites/default/files/resource/sbi2025_inf06.pdf" TargetMode="External"/><Relationship Id="rId18" Type="http://schemas.openxmlformats.org/officeDocument/2006/relationships/hyperlink" Target="https://cites.org/sites/default/files/documents/F-CoP19-03-R3.pdf" TargetMode="External"/><Relationship Id="rId26" Type="http://schemas.openxmlformats.org/officeDocument/2006/relationships/hyperlink" Target="https://www.ramsar.org/sites/default/files/documents/library/xiv.5_review_resolutions_e.pdf" TargetMode="External"/><Relationship Id="rId3" Type="http://schemas.openxmlformats.org/officeDocument/2006/relationships/hyperlink" Target="https://www.cbd.int/decisions/mop/?m=cp-mop-11" TargetMode="External"/><Relationship Id="rId21" Type="http://schemas.openxmlformats.org/officeDocument/2006/relationships/hyperlink" Target="https://cites.org/sites/default/files/documents/E-CoP19-27.pdf" TargetMode="External"/><Relationship Id="rId7" Type="http://schemas.openxmlformats.org/officeDocument/2006/relationships/hyperlink" Target="http://www.cbd.int/sb8j/preparation"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oc/decisions/cop-08/full/cop-08-dec-fr.pdf" TargetMode="External"/><Relationship Id="rId25" Type="http://schemas.openxmlformats.org/officeDocument/2006/relationships/hyperlink" Target="https://www.cms.int/sites/default/files/document/cms_cop12_res.12.4_scientific-council_e.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oc/decisions/cop-05/full/cop-05-dec-fr.pdf" TargetMode="External"/><Relationship Id="rId20" Type="http://schemas.openxmlformats.org/officeDocument/2006/relationships/hyperlink" Target="https://cites.org/sites/default/files/documents/COP/19/agenda/E-CoP19-26.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ecisions/cop/?m=cop-16" TargetMode="External"/><Relationship Id="rId24" Type="http://schemas.openxmlformats.org/officeDocument/2006/relationships/hyperlink" Target="https://www.brsmeas.org/Implementation/DecisionsandDocuments/Decisions/tabid/2616/language/en-US/Default.aspx" TargetMode="External"/><Relationship Id="rId5" Type="http://schemas.openxmlformats.org/officeDocument/2006/relationships/hyperlink" Target="https://www.cbd.int/sbstta/preparation" TargetMode="External"/><Relationship Id="rId15" Type="http://schemas.openxmlformats.org/officeDocument/2006/relationships/hyperlink" Target="https://unfccc.int/documents/193408" TargetMode="External"/><Relationship Id="rId23" Type="http://schemas.openxmlformats.org/officeDocument/2006/relationships/hyperlink" Target="https://www.brsmeas.org/Decisionmaking/Overview/SynergiesProcess" TargetMode="External"/><Relationship Id="rId10" Type="http://schemas.openxmlformats.org/officeDocument/2006/relationships/hyperlink" Target="http://www.cbd.int/notifications/2025-112" TargetMode="External"/><Relationship Id="rId19" Type="http://schemas.openxmlformats.org/officeDocument/2006/relationships/hyperlink" Target="https://cites.org/sites/default/files/documents/SC/78/agenda/E-SC78-30.pdf" TargetMode="External"/><Relationship Id="rId4" Type="http://schemas.openxmlformats.org/officeDocument/2006/relationships/hyperlink" Target="https://www.cbd.int/decisions/np-mop/?m=np-mop-05" TargetMode="External"/><Relationship Id="rId9" Type="http://schemas.openxmlformats.org/officeDocument/2006/relationships/hyperlink" Target="https://www.cbd.int/abs/cop-mop/prep.shtml" TargetMode="External"/><Relationship Id="rId14" Type="http://schemas.openxmlformats.org/officeDocument/2006/relationships/hyperlink" Target="https://unfccc.int/sites/default/files/english_paris_agreement.pdf" TargetMode="External"/><Relationship Id="rId22" Type="http://schemas.openxmlformats.org/officeDocument/2006/relationships/hyperlink" Target="https://www.unccd.int/sites/default/files/2025-03/5-cop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472</TotalTime>
  <Pages>15</Pages>
  <Words>6889</Words>
  <Characters>44126</Characters>
  <Application>Microsoft Office Word</Application>
  <DocSecurity>0</DocSecurity>
  <Lines>367</Lines>
  <Paragraphs>101</Paragraphs>
  <ScaleCrop>false</ScaleCrop>
  <HeadingPairs>
    <vt:vector size="2" baseType="variant">
      <vt:variant>
        <vt:lpstr>Title</vt:lpstr>
      </vt:variant>
      <vt:variant>
        <vt:i4>1</vt:i4>
      </vt:variant>
    </vt:vector>
  </HeadingPairs>
  <TitlesOfParts>
    <vt:vector size="1" baseType="lpstr">
      <vt:lpstr>Options pour améliorer encore l'efficacité des réunions au titre de la Convention et de ses Protocoles</vt:lpstr>
    </vt:vector>
  </TitlesOfParts>
  <Company>SCBD</Company>
  <LinksUpToDate>false</LinksUpToDate>
  <CharactersWithSpaces>50914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pour améliorer encore l'efficacité des réunions au titre de la Convention et de ses Protocoles</dc:title>
  <dc:subject>CBD/SBI/6/9</dc:subject>
  <dc:creator>Secretariat of the Convention on Biological Diversity</dc:creator>
  <cp:keywords>Convention sur la diversité biologique</cp:keywords>
  <cp:lastModifiedBy>Mariko Nishi</cp:lastModifiedBy>
  <cp:revision>51</cp:revision>
  <cp:lastPrinted>2020-01-21T13:56:00Z</cp:lastPrinted>
  <dcterms:created xsi:type="dcterms:W3CDTF">2025-12-31T17:41:00Z</dcterms:created>
  <dcterms:modified xsi:type="dcterms:W3CDTF">2026-01-07T21:03:00Z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