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Ind w:w="-14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93"/>
        <w:gridCol w:w="1524"/>
        <w:gridCol w:w="7689"/>
      </w:tblGrid>
      <w:tr w:rsidR="00B86085" w:rsidRPr="00ED2A51" w14:paraId="222954F9" w14:textId="77777777" w:rsidTr="00072E32">
        <w:trPr>
          <w:trHeight w:val="769"/>
        </w:trPr>
        <w:tc>
          <w:tcPr>
            <w:tcW w:w="993" w:type="dxa"/>
            <w:tcBorders>
              <w:top w:val="nil"/>
              <w:left w:val="nil"/>
              <w:bottom w:val="nil"/>
              <w:right w:val="nil"/>
            </w:tcBorders>
            <w:tcMar>
              <w:top w:w="80" w:type="dxa"/>
              <w:left w:w="80" w:type="dxa"/>
              <w:bottom w:w="80" w:type="dxa"/>
              <w:right w:w="80" w:type="dxa"/>
            </w:tcMar>
            <w:vAlign w:val="bottom"/>
          </w:tcPr>
          <w:p w14:paraId="34F81573" w14:textId="77777777" w:rsidR="00B86085" w:rsidRPr="00ED2A51" w:rsidRDefault="008C738F">
            <w:pPr>
              <w:pStyle w:val="AASmallLogo"/>
            </w:pPr>
            <w:r>
              <w:rPr>
                <w:noProof/>
                <w:sz w:val="22"/>
                <w:lang w:eastAsia="ru-RU"/>
              </w:rPr>
              <w:drawing>
                <wp:inline distT="0" distB="0" distL="0" distR="0" wp14:anchorId="4529D59A" wp14:editId="70F45A9F">
                  <wp:extent cx="451127" cy="382336"/>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1"/>
                          <a:stretch>
                            <a:fillRect/>
                          </a:stretch>
                        </pic:blipFill>
                        <pic:spPr>
                          <a:xfrm>
                            <a:off x="0" y="0"/>
                            <a:ext cx="451127" cy="382336"/>
                          </a:xfrm>
                          <a:prstGeom prst="rect">
                            <a:avLst/>
                          </a:prstGeom>
                          <a:ln w="12700" cap="flat">
                            <a:noFill/>
                            <a:miter lim="400000"/>
                          </a:ln>
                          <a:effectLst/>
                        </pic:spPr>
                      </pic:pic>
                    </a:graphicData>
                  </a:graphic>
                </wp:inline>
              </w:drawing>
            </w:r>
            <w:r>
              <w:t xml:space="preserve"> </w:t>
            </w:r>
          </w:p>
        </w:tc>
        <w:tc>
          <w:tcPr>
            <w:tcW w:w="1524" w:type="dxa"/>
            <w:tcBorders>
              <w:top w:val="nil"/>
              <w:left w:val="nil"/>
              <w:bottom w:val="nil"/>
              <w:right w:val="nil"/>
            </w:tcBorders>
            <w:tcMar>
              <w:top w:w="80" w:type="dxa"/>
              <w:left w:w="80" w:type="dxa"/>
              <w:bottom w:w="80" w:type="dxa"/>
              <w:right w:w="80" w:type="dxa"/>
            </w:tcMar>
            <w:vAlign w:val="bottom"/>
          </w:tcPr>
          <w:p w14:paraId="2C5BAA41" w14:textId="1EAEB537" w:rsidR="00B86085" w:rsidRPr="00ED2A51" w:rsidRDefault="008C738F">
            <w:pPr>
              <w:pStyle w:val="AASmallLogo"/>
            </w:pPr>
            <w:r>
              <w:t xml:space="preserve"> </w:t>
            </w:r>
            <w:r w:rsidR="00BE633C">
              <w:rPr>
                <w:noProof/>
                <w:lang w:eastAsia="ru-RU"/>
              </w:rPr>
              <w:drawing>
                <wp:inline distT="0" distB="0" distL="0" distR="0" wp14:anchorId="7A10FA3D" wp14:editId="07A34C31">
                  <wp:extent cx="822960" cy="384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384175"/>
                          </a:xfrm>
                          <a:prstGeom prst="rect">
                            <a:avLst/>
                          </a:prstGeom>
                          <a:noFill/>
                        </pic:spPr>
                      </pic:pic>
                    </a:graphicData>
                  </a:graphic>
                </wp:inline>
              </w:drawing>
            </w:r>
          </w:p>
        </w:tc>
        <w:tc>
          <w:tcPr>
            <w:tcW w:w="7689" w:type="dxa"/>
            <w:tcBorders>
              <w:top w:val="nil"/>
              <w:left w:val="nil"/>
              <w:bottom w:val="nil"/>
              <w:right w:val="nil"/>
            </w:tcBorders>
            <w:tcMar>
              <w:top w:w="80" w:type="dxa"/>
              <w:left w:w="2099" w:type="dxa"/>
              <w:bottom w:w="80" w:type="dxa"/>
              <w:right w:w="80" w:type="dxa"/>
            </w:tcMar>
            <w:vAlign w:val="bottom"/>
          </w:tcPr>
          <w:p w14:paraId="539F5268" w14:textId="1A0CF2EA" w:rsidR="00B86085" w:rsidRPr="00ED2A51" w:rsidRDefault="008C738F">
            <w:pPr>
              <w:pStyle w:val="ABSymbol"/>
            </w:pPr>
            <w:r>
              <w:rPr>
                <w:sz w:val="40"/>
              </w:rPr>
              <w:t>CBD</w:t>
            </w:r>
            <w:r>
              <w:t>/COP/17/6/Add.2</w:t>
            </w:r>
          </w:p>
        </w:tc>
      </w:tr>
    </w:tbl>
    <w:p w14:paraId="26AD8B3B" w14:textId="77777777" w:rsidR="00B86085" w:rsidRPr="007E534A" w:rsidRDefault="00B86085">
      <w:pPr>
        <w:pStyle w:val="Body"/>
        <w:widowControl w:val="0"/>
        <w:rPr>
          <w:sz w:val="4"/>
          <w:szCs w:val="4"/>
          <w:lang w:val="en-GB"/>
        </w:rPr>
      </w:pPr>
    </w:p>
    <w:p w14:paraId="6AC327CE" w14:textId="77777777" w:rsidR="00B86085" w:rsidRPr="00ED2A51" w:rsidRDefault="00B86085">
      <w:pPr>
        <w:pStyle w:val="AISpacer"/>
      </w:pPr>
    </w:p>
    <w:tbl>
      <w:tblPr>
        <w:tblW w:w="10348" w:type="dxa"/>
        <w:tblInd w:w="-14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620"/>
        <w:gridCol w:w="2728"/>
      </w:tblGrid>
      <w:tr w:rsidR="00B86085" w:rsidRPr="00BA4C09" w14:paraId="2BF66541" w14:textId="77777777" w:rsidTr="00072E32">
        <w:trPr>
          <w:trHeight w:val="1883"/>
        </w:trPr>
        <w:tc>
          <w:tcPr>
            <w:tcW w:w="7620" w:type="dxa"/>
            <w:tcBorders>
              <w:top w:val="single" w:sz="8" w:space="0" w:color="000000"/>
              <w:left w:val="nil"/>
              <w:bottom w:val="single" w:sz="12" w:space="0" w:color="000000"/>
              <w:right w:val="nil"/>
            </w:tcBorders>
            <w:tcMar>
              <w:top w:w="80" w:type="dxa"/>
              <w:left w:w="80" w:type="dxa"/>
              <w:bottom w:w="80" w:type="dxa"/>
              <w:right w:w="80" w:type="dxa"/>
            </w:tcMar>
          </w:tcPr>
          <w:p w14:paraId="5BDAEDB7" w14:textId="29C9D063" w:rsidR="00B86085" w:rsidRPr="00ED2A51" w:rsidRDefault="008C738F">
            <w:pPr>
              <w:pStyle w:val="ACLargeLogo"/>
            </w:pPr>
            <w:r>
              <w:t xml:space="preserve"> </w:t>
            </w:r>
            <w:r w:rsidR="00BE633C">
              <w:rPr>
                <w:noProof/>
                <w:lang w:eastAsia="ru-RU"/>
              </w:rPr>
              <w:drawing>
                <wp:inline distT="0" distB="0" distL="0" distR="0" wp14:anchorId="3A84A136" wp14:editId="442A674D">
                  <wp:extent cx="2621280" cy="1078865"/>
                  <wp:effectExtent l="0" t="0" r="762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21280" cy="1078865"/>
                          </a:xfrm>
                          <a:prstGeom prst="rect">
                            <a:avLst/>
                          </a:prstGeom>
                          <a:noFill/>
                        </pic:spPr>
                      </pic:pic>
                    </a:graphicData>
                  </a:graphic>
                </wp:inline>
              </w:drawing>
            </w:r>
          </w:p>
        </w:tc>
        <w:tc>
          <w:tcPr>
            <w:tcW w:w="2728" w:type="dxa"/>
            <w:tcBorders>
              <w:top w:val="single" w:sz="8" w:space="0" w:color="000000"/>
              <w:left w:val="nil"/>
              <w:bottom w:val="single" w:sz="12" w:space="0" w:color="000000"/>
              <w:right w:val="nil"/>
            </w:tcBorders>
            <w:tcMar>
              <w:top w:w="80" w:type="dxa"/>
              <w:left w:w="80" w:type="dxa"/>
              <w:bottom w:w="80" w:type="dxa"/>
              <w:right w:w="80" w:type="dxa"/>
            </w:tcMar>
          </w:tcPr>
          <w:p w14:paraId="78DE6430" w14:textId="77777777" w:rsidR="00B86085" w:rsidRPr="00BE633C" w:rsidRDefault="008C738F">
            <w:pPr>
              <w:pStyle w:val="AEDistrNormal"/>
              <w:rPr>
                <w:lang w:val="en-US"/>
              </w:rPr>
            </w:pPr>
            <w:r w:rsidRPr="00BE633C">
              <w:rPr>
                <w:lang w:val="en-US"/>
              </w:rPr>
              <w:t xml:space="preserve">Distr.: General </w:t>
            </w:r>
          </w:p>
          <w:p w14:paraId="3EB65C86" w14:textId="77777777" w:rsidR="008E5A4A" w:rsidRPr="00AF494E" w:rsidRDefault="00B56E0E" w:rsidP="008E5A4A">
            <w:pPr>
              <w:pStyle w:val="AEDistrNormal"/>
              <w:rPr>
                <w:lang w:val="en-US"/>
              </w:rPr>
            </w:pPr>
            <w:r w:rsidRPr="00BE633C">
              <w:rPr>
                <w:lang w:val="en-US"/>
              </w:rPr>
              <w:t>2 September 2026</w:t>
            </w:r>
          </w:p>
          <w:p w14:paraId="5CB93B1F" w14:textId="77777777" w:rsidR="008E5A4A" w:rsidRPr="00AF494E" w:rsidRDefault="008C738F" w:rsidP="008E5A4A">
            <w:pPr>
              <w:pStyle w:val="AEDistrNormal"/>
              <w:rPr>
                <w:lang w:val="en-US"/>
              </w:rPr>
            </w:pPr>
            <w:r w:rsidRPr="00BE633C">
              <w:rPr>
                <w:lang w:val="en-US"/>
              </w:rPr>
              <w:t>Russian</w:t>
            </w:r>
          </w:p>
          <w:p w14:paraId="20DBD13A" w14:textId="491E0E9F" w:rsidR="00B86085" w:rsidRPr="00BE633C" w:rsidRDefault="008C738F" w:rsidP="008E5A4A">
            <w:pPr>
              <w:pStyle w:val="AEDistrNormal"/>
              <w:rPr>
                <w:lang w:val="en-US"/>
              </w:rPr>
            </w:pPr>
            <w:r w:rsidRPr="00BE633C">
              <w:rPr>
                <w:lang w:val="en-US"/>
              </w:rPr>
              <w:t xml:space="preserve">Original: English </w:t>
            </w:r>
          </w:p>
        </w:tc>
      </w:tr>
    </w:tbl>
    <w:p w14:paraId="26973785" w14:textId="77777777" w:rsidR="00B86085" w:rsidRPr="00BE633C" w:rsidRDefault="00B86085">
      <w:pPr>
        <w:pStyle w:val="AISpacer"/>
        <w:widowControl w:val="0"/>
        <w:rPr>
          <w:lang w:val="en-US"/>
        </w:rPr>
      </w:pPr>
    </w:p>
    <w:p w14:paraId="1239B90B" w14:textId="77777777" w:rsidR="00B86085" w:rsidRPr="00BE633C" w:rsidRDefault="00B86085">
      <w:pPr>
        <w:pStyle w:val="AISpacer"/>
        <w:rPr>
          <w:lang w:val="en-US"/>
        </w:rPr>
      </w:pPr>
    </w:p>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094"/>
        <w:gridCol w:w="4004"/>
      </w:tblGrid>
      <w:tr w:rsidR="00B86085" w:rsidRPr="00ED2A51" w14:paraId="12A536F1" w14:textId="77777777" w:rsidTr="00205266">
        <w:trPr>
          <w:trHeight w:val="1551"/>
        </w:trPr>
        <w:tc>
          <w:tcPr>
            <w:tcW w:w="6094" w:type="dxa"/>
            <w:tcBorders>
              <w:top w:val="nil"/>
              <w:left w:val="nil"/>
              <w:bottom w:val="nil"/>
              <w:right w:val="nil"/>
            </w:tcBorders>
            <w:tcMar>
              <w:top w:w="80" w:type="dxa"/>
              <w:left w:w="80" w:type="dxa"/>
              <w:bottom w:w="80" w:type="dxa"/>
              <w:right w:w="80" w:type="dxa"/>
            </w:tcMar>
          </w:tcPr>
          <w:p w14:paraId="4B7C98A9" w14:textId="77777777" w:rsidR="00B86085" w:rsidRPr="00ED2A51" w:rsidRDefault="008C738F">
            <w:pPr>
              <w:pStyle w:val="AFCorN12Bold"/>
            </w:pPr>
            <w:r>
              <w:t xml:space="preserve">Конференция Сторон Конвенции о </w:t>
            </w:r>
            <w:r>
              <w:br/>
              <w:t xml:space="preserve">биологическом разнообразии </w:t>
            </w:r>
          </w:p>
          <w:p w14:paraId="05F9780B" w14:textId="77777777" w:rsidR="00B86085" w:rsidRPr="00ED2A51" w:rsidRDefault="008C738F">
            <w:pPr>
              <w:pStyle w:val="AFCorNBold"/>
            </w:pPr>
            <w:r>
              <w:t xml:space="preserve">Семнадцатое совещание </w:t>
            </w:r>
          </w:p>
          <w:p w14:paraId="4E7F0002" w14:textId="798541B5" w:rsidR="00B86085" w:rsidRPr="00ED2A51" w:rsidRDefault="00D0754E">
            <w:pPr>
              <w:pStyle w:val="AFCorNNormal"/>
            </w:pPr>
            <w:r>
              <w:t>Ереван, 19–30 октября 2026 </w:t>
            </w:r>
            <w:r w:rsidR="008C738F">
              <w:t>года</w:t>
            </w:r>
          </w:p>
          <w:p w14:paraId="79302789" w14:textId="4C2D174B" w:rsidR="00B86085" w:rsidRPr="00ED2A51" w:rsidRDefault="008C738F">
            <w:pPr>
              <w:pStyle w:val="AFCorNNormal"/>
            </w:pPr>
            <w:r>
              <w:t>Пункт 11 предварительной повестки</w:t>
            </w:r>
            <w:r>
              <w:rPr>
                <w:rStyle w:val="FootnoteReference"/>
              </w:rPr>
              <w:footnoteReference w:customMarkFollows="1" w:id="2"/>
              <w:t>*</w:t>
            </w:r>
            <w:r>
              <w:t xml:space="preserve"> </w:t>
            </w:r>
          </w:p>
          <w:p w14:paraId="4769B8AB" w14:textId="267F4294" w:rsidR="00B86085" w:rsidRPr="00ED2A51" w:rsidRDefault="008C738F">
            <w:pPr>
              <w:pStyle w:val="AFCorNBold"/>
            </w:pPr>
            <w:r>
              <w:t xml:space="preserve">Цифровая информация о последовательностях в отношении генетических ресурсов </w:t>
            </w:r>
          </w:p>
        </w:tc>
        <w:tc>
          <w:tcPr>
            <w:tcW w:w="4004" w:type="dxa"/>
            <w:tcBorders>
              <w:top w:val="nil"/>
              <w:left w:val="nil"/>
              <w:bottom w:val="nil"/>
              <w:right w:val="nil"/>
            </w:tcBorders>
            <w:tcMar>
              <w:top w:w="80" w:type="dxa"/>
              <w:left w:w="80" w:type="dxa"/>
              <w:bottom w:w="80" w:type="dxa"/>
              <w:right w:w="80" w:type="dxa"/>
            </w:tcMar>
          </w:tcPr>
          <w:p w14:paraId="3DDE4260" w14:textId="77777777" w:rsidR="00B86085" w:rsidRPr="00ED2A51" w:rsidRDefault="00B86085" w:rsidP="00265B78">
            <w:pPr>
              <w:pStyle w:val="CBDNormal"/>
              <w:jc w:val="left"/>
            </w:pPr>
          </w:p>
        </w:tc>
      </w:tr>
    </w:tbl>
    <w:p w14:paraId="67397BC3" w14:textId="77777777" w:rsidR="00B86085" w:rsidRPr="00ED2A51" w:rsidRDefault="00B86085">
      <w:pPr>
        <w:pStyle w:val="AISpacer"/>
        <w:widowControl w:val="0"/>
      </w:pPr>
    </w:p>
    <w:p w14:paraId="234DDB3B" w14:textId="5344B940" w:rsidR="00B86085" w:rsidRPr="00ED2A51" w:rsidRDefault="008C738F">
      <w:pPr>
        <w:pStyle w:val="CBDTitle"/>
        <w:rPr>
          <w:caps/>
        </w:rPr>
      </w:pPr>
      <w:r>
        <w:t>Результаты работы Специальной группы технических экспертов по методике ассигнования средств в отношении выделения средств из Калийского фонда</w:t>
      </w:r>
      <w:r>
        <w:rPr>
          <w:caps/>
        </w:rPr>
        <w:t xml:space="preserve"> </w:t>
      </w:r>
    </w:p>
    <w:p w14:paraId="7CE035C7" w14:textId="77777777" w:rsidR="00B86085" w:rsidRPr="00ED2A51" w:rsidRDefault="008C738F">
      <w:pPr>
        <w:pStyle w:val="CBDSubTitle"/>
      </w:pPr>
      <w:r>
        <w:t>Записка секретариата</w:t>
      </w:r>
    </w:p>
    <w:p w14:paraId="7512C924" w14:textId="01BE7012" w:rsidR="00B86085" w:rsidRPr="00ED2A51" w:rsidRDefault="008C738F" w:rsidP="00994698">
      <w:pPr>
        <w:pStyle w:val="CBDNormalNumber"/>
        <w:numPr>
          <w:ilvl w:val="0"/>
          <w:numId w:val="2"/>
        </w:numPr>
      </w:pPr>
      <w:r>
        <w:t xml:space="preserve">В решении </w:t>
      </w:r>
      <w:hyperlink r:id="rId14" w:history="1">
        <w:r>
          <w:rPr>
            <w:rStyle w:val="Hyperlink0"/>
            <w:rFonts w:eastAsia="SimSun"/>
          </w:rPr>
          <w:t>16/2</w:t>
        </w:r>
      </w:hyperlink>
      <w:r>
        <w:t xml:space="preserve"> Конференция Сторон Конвенции о биологическом разнообразии на своем 16</w:t>
      </w:r>
      <w:r w:rsidR="0028704F">
        <w:noBreakHyphen/>
      </w:r>
      <w:r>
        <w:t xml:space="preserve">м совещании учредила </w:t>
      </w:r>
      <w:bookmarkStart w:id="0" w:name="_Hlk239323182"/>
      <w:r>
        <w:t>Специальную группу технических экспертов по методике ассигнования средств</w:t>
      </w:r>
      <w:bookmarkEnd w:id="0"/>
      <w:r>
        <w:t xml:space="preserve"> для разработки методики ассигнования средств Калийского фонда для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с кругом ведения, приведенным в добавлении III к приложению к этому же решению. Группе экспертов было поручено предоставить технические консультации и руководящие указания по остающимся и нерешенным вопросам, связанным с выделением средств Калийского фонда, на основе пункта 20 приложения к решению </w:t>
      </w:r>
      <w:hyperlink r:id="rId15" w:history="1">
        <w:r>
          <w:rPr>
            <w:rStyle w:val="Hyperlink0"/>
            <w:rFonts w:eastAsia="SimSun"/>
          </w:rPr>
          <w:t>16/2</w:t>
        </w:r>
      </w:hyperlink>
      <w:r>
        <w:t xml:space="preserve">, в котором затрагивается вопрос о прямых ассигнованиях Сторонам. В частности, перед Группой экспертов была поставлена задача разработать методику ассигнования средств Калийского фонда на основе критериев, изложенных в добавлении II к приложению к решению </w:t>
      </w:r>
      <w:hyperlink r:id="rId16" w:history="1">
        <w:r>
          <w:rPr>
            <w:rStyle w:val="Hyperlink"/>
          </w:rPr>
          <w:t>16/2</w:t>
        </w:r>
      </w:hyperlink>
      <w:r>
        <w:t>, для рассмотрения Конференцией Сторон на ее 17</w:t>
      </w:r>
      <w:r w:rsidR="0028704F">
        <w:noBreakHyphen/>
      </w:r>
      <w:r>
        <w:t>м совещании.</w:t>
      </w:r>
    </w:p>
    <w:p w14:paraId="6CBB5094" w14:textId="3D8CD4BE" w:rsidR="00B86085" w:rsidRPr="00ED2A51" w:rsidRDefault="008C738F">
      <w:pPr>
        <w:pStyle w:val="CBDNormalNumber"/>
        <w:numPr>
          <w:ilvl w:val="0"/>
          <w:numId w:val="2"/>
        </w:numPr>
      </w:pPr>
      <w:r>
        <w:t xml:space="preserve">В соответствии с пунктом 19 условий функционирования многостороннего механизма совместного использования выгод от применения цифровой информации о последовательностях в отношении генетических ресурсов, включая Калийский фонд, приведенных в приложении к решению </w:t>
      </w:r>
      <w:hyperlink r:id="rId17" w:history="1">
        <w:r>
          <w:rPr>
            <w:rStyle w:val="Hyperlink"/>
          </w:rPr>
          <w:t>16/2</w:t>
        </w:r>
      </w:hyperlink>
      <w:r>
        <w:t>, ожидается, что Конференция Сторон на своем 17</w:t>
      </w:r>
      <w:r w:rsidR="0028704F">
        <w:noBreakHyphen/>
      </w:r>
      <w:r>
        <w:t>м совещании определит формулу распределения на основе работы Группы экспертов. В связи с этим соответствующая формулировка была включена в элементы проекта решения, содержащиеся в документе CBD/COP/17/6, для рассмотрения Конференцией Сторон на ее 17</w:t>
      </w:r>
      <w:r w:rsidR="0028704F">
        <w:noBreakHyphen/>
      </w:r>
      <w:r>
        <w:t>м совещании.</w:t>
      </w:r>
    </w:p>
    <w:p w14:paraId="7357B4C4" w14:textId="767E5283" w:rsidR="005F2945" w:rsidRPr="00ED2A51" w:rsidRDefault="00813FD8" w:rsidP="00242CB7">
      <w:pPr>
        <w:pStyle w:val="CBDNormalNumber"/>
        <w:numPr>
          <w:ilvl w:val="0"/>
          <w:numId w:val="2"/>
        </w:numPr>
        <w:rPr>
          <w:rFonts w:ascii="Arial Unicode MS" w:hAnsi="Arial Unicode MS"/>
        </w:rPr>
        <w:sectPr w:rsidR="005F2945" w:rsidRPr="00ED2A51" w:rsidSect="00DA06F6">
          <w:headerReference w:type="even" r:id="rId18"/>
          <w:headerReference w:type="default" r:id="rId19"/>
          <w:footerReference w:type="even" r:id="rId20"/>
          <w:footerReference w:type="default" r:id="rId21"/>
          <w:headerReference w:type="first" r:id="rId22"/>
          <w:pgSz w:w="12240" w:h="15840"/>
          <w:pgMar w:top="1134" w:right="1440" w:bottom="1134" w:left="1440" w:header="709" w:footer="709" w:gutter="0"/>
          <w:cols w:space="720"/>
          <w:titlePg/>
          <w:docGrid w:linePitch="326"/>
        </w:sectPr>
      </w:pPr>
      <w:r>
        <w:lastRenderedPageBreak/>
        <w:t>Разработанная Группой экспертов методика ассигнования средств приводится в приложении к настоящему документу</w:t>
      </w:r>
      <w:r w:rsidR="00CB204A">
        <w:rPr>
          <w:rStyle w:val="FootnoteReference"/>
        </w:rPr>
        <w:footnoteReference w:id="3"/>
      </w:r>
      <w:r>
        <w:t>. Доклады и сопутствующие документы по итогам работы двух совещаний Группы экспертов доступны в Интернете</w:t>
      </w:r>
      <w:r w:rsidR="008C738F" w:rsidRPr="00ED2A51">
        <w:rPr>
          <w:rFonts w:eastAsia="Times New Roman"/>
          <w:vertAlign w:val="superscript"/>
        </w:rPr>
        <w:footnoteReference w:id="4"/>
      </w:r>
      <w:r>
        <w:t>.</w:t>
      </w:r>
    </w:p>
    <w:p w14:paraId="13A48E74" w14:textId="29CA3E50" w:rsidR="000315B5" w:rsidRPr="00ED2A51" w:rsidRDefault="00600ADE" w:rsidP="007E534A">
      <w:pPr>
        <w:pStyle w:val="CBDAnnex"/>
      </w:pPr>
      <w:r>
        <w:lastRenderedPageBreak/>
        <w:t>Приложение</w:t>
      </w:r>
    </w:p>
    <w:p w14:paraId="6EF9F953" w14:textId="4A2E4DFF" w:rsidR="00B86085" w:rsidRPr="00ED2A51" w:rsidRDefault="00600ADE" w:rsidP="007E534A">
      <w:pPr>
        <w:pStyle w:val="CBDTitle"/>
      </w:pPr>
      <w:r>
        <w:t>Методика ассигнования средств Калийского фонда</w:t>
      </w:r>
    </w:p>
    <w:p w14:paraId="06DEE5CF" w14:textId="6E163CCA" w:rsidR="00B86085" w:rsidRPr="00ED2A51" w:rsidRDefault="00667F66" w:rsidP="007E534A">
      <w:pPr>
        <w:pStyle w:val="CBDH1"/>
      </w:pPr>
      <w:r>
        <w:t>I.</w:t>
      </w:r>
      <w:r>
        <w:tab/>
        <w:t xml:space="preserve">Принципы разработки </w:t>
      </w:r>
    </w:p>
    <w:p w14:paraId="3022E508" w14:textId="2B8AFC83" w:rsidR="00B86085" w:rsidRPr="00ED2A51" w:rsidRDefault="008C738F" w:rsidP="007E534A">
      <w:pPr>
        <w:pStyle w:val="CBDNormalNumber"/>
      </w:pPr>
      <w:r>
        <w:t xml:space="preserve">Принципы разработки, краткое описание которых приводится ниже, предназначены для комплексного применения в целях содействия разработке методики ассигнования средств с учетом разнообразия путей выделения средств и их взаимосвязи с возможными объемами финансирования по линии Калийского фонда для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w:t>
      </w:r>
    </w:p>
    <w:p w14:paraId="45B92B8A" w14:textId="3ABC4135" w:rsidR="00B86085" w:rsidRPr="00ED2A51" w:rsidRDefault="008C738F" w:rsidP="007E534A">
      <w:pPr>
        <w:pStyle w:val="CBDNormalNumber"/>
      </w:pPr>
      <w:r>
        <w:t xml:space="preserve">Принципы разработаны в контексте условий функционирования и целей Калийского фонда, определенных в решениях </w:t>
      </w:r>
      <w:hyperlink r:id="rId23" w:history="1">
        <w:r>
          <w:rPr>
            <w:rStyle w:val="Hyperlink"/>
          </w:rPr>
          <w:t>15/9</w:t>
        </w:r>
      </w:hyperlink>
      <w:r>
        <w:t xml:space="preserve"> и </w:t>
      </w:r>
      <w:hyperlink r:id="rId24" w:history="1">
        <w:r>
          <w:rPr>
            <w:rStyle w:val="Hyperlink"/>
          </w:rPr>
          <w:t>16/2</w:t>
        </w:r>
      </w:hyperlink>
      <w:r>
        <w:t xml:space="preserve">. Кроме того, они призваны способствовать достижению целей Конвенции о биологическом разнообразии в Сторонах из числа развивающихся стран, в том числе путем проведения мероприятий, описанных в национальных стратегиях и планах действий по сохранению биоразнообразия, и исходят из того, что не менее половины финансирования должно быть направлено на поддержку самостоятельно определенных потребностей коренных народов и местных общин. Наконец, они также разработаны с учетом решения </w:t>
      </w:r>
      <w:hyperlink r:id="rId25" w:history="1">
        <w:r>
          <w:rPr>
            <w:rStyle w:val="Hyperlink"/>
          </w:rPr>
          <w:t>16/4</w:t>
        </w:r>
      </w:hyperlink>
      <w:r>
        <w:t xml:space="preserve"> о программе работы по осуществлению статьи 8</w:t>
      </w:r>
      <w:r w:rsidR="00AF494E">
        <w:rPr>
          <w:lang w:val="en-US"/>
        </w:rPr>
        <w:t> </w:t>
      </w:r>
      <w:r>
        <w:t xml:space="preserve">j) и других положений Конвенции, касающихся коренных народов и местных общин, на период до 2030 года, а также других соответствующих действующих и будущих решений Конференции Сторон. </w:t>
      </w:r>
    </w:p>
    <w:p w14:paraId="6BC8197B" w14:textId="74E3EF5B" w:rsidR="00B86085" w:rsidRPr="007F4F47" w:rsidRDefault="00BD5F35" w:rsidP="007E534A">
      <w:pPr>
        <w:pStyle w:val="CBDH3"/>
      </w:pPr>
      <w:r>
        <w:t>A.</w:t>
      </w:r>
      <w:r>
        <w:tab/>
        <w:t>Равенство, справедливость и результативность</w:t>
      </w:r>
    </w:p>
    <w:p w14:paraId="76868768" w14:textId="458B1AF2" w:rsidR="00B86085" w:rsidRPr="00ED2A51" w:rsidRDefault="008C738F" w:rsidP="007E534A">
      <w:pPr>
        <w:pStyle w:val="CBDNormalNumber"/>
      </w:pPr>
      <w:r>
        <w:t>Методика должна обеспечивать, чтобы ее существенные результаты в отношении распределения средств между Сторонами из числа развивающихся стран, в частности наименее развитых стран и малых островных развивающихся государств, а также Сторонами с переходной экономикой, и между коренными народами и местными общинами, включая женщин и молодежь из этих общин, были справедливыми и равноправными.</w:t>
      </w:r>
    </w:p>
    <w:p w14:paraId="2205870F" w14:textId="4703BE3A" w:rsidR="00B86085" w:rsidRPr="007F4F47" w:rsidRDefault="00BD5F35" w:rsidP="007E534A">
      <w:pPr>
        <w:pStyle w:val="CBDH3"/>
      </w:pPr>
      <w:r>
        <w:t>B.</w:t>
      </w:r>
      <w:r>
        <w:tab/>
        <w:t xml:space="preserve">Эффективность </w:t>
      </w:r>
    </w:p>
    <w:p w14:paraId="491B220A" w14:textId="065D34DF" w:rsidR="00B86085" w:rsidRPr="00ED2A51" w:rsidRDefault="008C738F" w:rsidP="007E534A">
      <w:pPr>
        <w:pStyle w:val="CBDNormalNumber"/>
      </w:pPr>
      <w:r>
        <w:t>Предпочтительно использовать имеющиеся наборы данных и индикаторы, которые являются уместными и применимыми для каждого критерия, в частности те, которые уже утверждены Конференцией Сторон, с уделением должного внимания устойчивости и ответственному хранению. Разработка новых наборов данных должна быть обеспечена надлежащими ресурсами.</w:t>
      </w:r>
    </w:p>
    <w:p w14:paraId="30F5C070" w14:textId="6D6AACA4" w:rsidR="00B86085" w:rsidRPr="007F4F47" w:rsidRDefault="00BD5F35" w:rsidP="007E534A">
      <w:pPr>
        <w:pStyle w:val="CBDH3"/>
      </w:pPr>
      <w:r>
        <w:t>C.</w:t>
      </w:r>
      <w:r>
        <w:tab/>
        <w:t xml:space="preserve">Прозрачность и доверие </w:t>
      </w:r>
    </w:p>
    <w:p w14:paraId="5EE44441" w14:textId="61D83037" w:rsidR="00B86085" w:rsidRPr="00ED2A51" w:rsidRDefault="008C738F" w:rsidP="007E534A">
      <w:pPr>
        <w:pStyle w:val="CBDNormalNumber"/>
      </w:pPr>
      <w:r>
        <w:t xml:space="preserve">Методика должна быть удобной для восприятия и доступной для широкой общественности, способствуя тем самым повышению прозрачности механизма финансирования. Она также должна быть понятной для доноров Калийского фонда из частного сектора, а также для Сторон Конвенции, коренных народов и местных общин, включая женщин и молодежь из этих общин, и всех других субъектов деятельности, имеющих отношение к многостороннему механизму и созданному в его рамках Калийскому фонду. </w:t>
      </w:r>
    </w:p>
    <w:p w14:paraId="761B5AF6" w14:textId="53CEB98B" w:rsidR="00B86085" w:rsidRPr="007F4F47" w:rsidRDefault="00BD5F35" w:rsidP="007E534A">
      <w:pPr>
        <w:pStyle w:val="CBDH3"/>
      </w:pPr>
      <w:r>
        <w:t>D.</w:t>
      </w:r>
      <w:r>
        <w:tab/>
        <w:t xml:space="preserve">Масштабируемость и долговечность </w:t>
      </w:r>
    </w:p>
    <w:p w14:paraId="127D780C" w14:textId="09E95296" w:rsidR="00B86085" w:rsidRPr="00ED2A51" w:rsidRDefault="008C738F" w:rsidP="007E534A">
      <w:pPr>
        <w:pStyle w:val="CBDNormalNumber"/>
      </w:pPr>
      <w:r>
        <w:t xml:space="preserve">Методика должна учитывать рост и адаптацию Калийского фонда с течением времени. При этом должно признаваться, что этот фонд является инновационным и развивающимся инструментом, в связи с чем в надлежащее время может потребоваться пересмотр критериев, весовых коэффициентов, минимальных и максимальных значений, а также </w:t>
      </w:r>
      <w:r>
        <w:lastRenderedPageBreak/>
        <w:t>внесение других возможных изменений и корректировок, в том числе включение соответствующих данных по мере того, как они станут пригодными для использования.</w:t>
      </w:r>
    </w:p>
    <w:p w14:paraId="5ACD23AC" w14:textId="761B69C8" w:rsidR="00B86085" w:rsidRPr="00ED2A51" w:rsidRDefault="00E74054" w:rsidP="007E534A">
      <w:pPr>
        <w:pStyle w:val="CBDH1"/>
      </w:pPr>
      <w:r>
        <w:t>II.</w:t>
      </w:r>
      <w:r>
        <w:tab/>
        <w:t>Методика ассигнования</w:t>
      </w:r>
    </w:p>
    <w:p w14:paraId="0ADE693C" w14:textId="7129BB87" w:rsidR="00B86085" w:rsidRPr="00ED2A51" w:rsidRDefault="008C738F" w:rsidP="007E534A">
      <w:pPr>
        <w:pStyle w:val="CBDNormalNumber"/>
      </w:pPr>
      <w:r>
        <w:t xml:space="preserve">В настоящей методике ассигнования учитываются принципы разработки, согласованные Специальной группой технических экспертов по методике ассигнования средств, а также критерии, установленные Конференцией Сторон. Учитывая обстоятельства создания Калийского фонда и его цели, </w:t>
      </w:r>
      <w:bookmarkStart w:id="1" w:name="_Hlk239323203"/>
      <w:r>
        <w:t xml:space="preserve">Группа </w:t>
      </w:r>
      <w:bookmarkEnd w:id="1"/>
      <w:r>
        <w:t xml:space="preserve">экспертов решила добавить четвертый критерий, обеспечивающий признание вклада традиционных знаний и коренных народов и местных общин в сохранение и устойчивое использование биоразнообразия. При разработке методики первоочередное внимание уделялось целям Калийского фонда, а также наличию данных. </w:t>
      </w:r>
    </w:p>
    <w:p w14:paraId="1177DDEB" w14:textId="546357B6" w:rsidR="00B86085" w:rsidRPr="00ED2A51" w:rsidRDefault="008C738F" w:rsidP="007E534A">
      <w:pPr>
        <w:pStyle w:val="CBDNormalNumber"/>
      </w:pPr>
      <w:r>
        <w:t xml:space="preserve">В соответствующих случаях и с учетом национальных условий не менее половины финансирования Калийского фонда должно быть направлено на поддержку самостоятельно определенных потребностей коренных народов и местных общин, как указано в пункте 21 приложения к решению </w:t>
      </w:r>
      <w:hyperlink r:id="rId26" w:history="1">
        <w:r>
          <w:rPr>
            <w:rStyle w:val="Hyperlink"/>
          </w:rPr>
          <w:t>16/2</w:t>
        </w:r>
      </w:hyperlink>
      <w:r>
        <w:t xml:space="preserve">. Настоящая методика ассигнования была разработана с учетом пункта 20 приложения к решению </w:t>
      </w:r>
      <w:hyperlink r:id="rId27" w:history="1">
        <w:r>
          <w:rPr>
            <w:rStyle w:val="Hyperlink"/>
          </w:rPr>
          <w:t>16/2</w:t>
        </w:r>
      </w:hyperlink>
      <w:r>
        <w:t>, касающегося ассигнований Сторонам, но с обеспечением гибкости, позволяющей рассматривать вопрос о ее более широком применении в соответствующих случаях.</w:t>
      </w:r>
    </w:p>
    <w:p w14:paraId="3E893FE9" w14:textId="77777777" w:rsidR="00B86085" w:rsidRPr="00ED2A51" w:rsidRDefault="008C738F" w:rsidP="007E534A">
      <w:pPr>
        <w:pStyle w:val="CBDNormalNumber"/>
      </w:pPr>
      <w:r>
        <w:t>Формула выглядит следующим образом:</w:t>
      </w:r>
    </w:p>
    <w:p w14:paraId="3265A8AF" w14:textId="77777777" w:rsidR="00B86085" w:rsidRPr="00BE633C" w:rsidRDefault="008C738F">
      <w:pPr>
        <w:pStyle w:val="Para1"/>
        <w:ind w:left="567"/>
        <w:jc w:val="center"/>
        <w:rPr>
          <w:b/>
          <w:bCs/>
          <w:lang w:val="en-US"/>
        </w:rPr>
      </w:pPr>
      <w:r w:rsidRPr="00BE633C">
        <w:rPr>
          <w:b/>
          <w:lang w:val="en-US"/>
        </w:rPr>
        <w:t xml:space="preserve">B </w:t>
      </w:r>
      <w:r w:rsidRPr="00BE633C">
        <w:rPr>
          <w:lang w:val="en-US"/>
        </w:rPr>
        <w:t>+</w:t>
      </w:r>
      <w:r w:rsidRPr="00BE633C">
        <w:rPr>
          <w:b/>
          <w:lang w:val="en-US"/>
        </w:rPr>
        <w:t xml:space="preserve"> w1*C</w:t>
      </w:r>
      <w:r w:rsidRPr="00BE633C">
        <w:rPr>
          <w:b/>
          <w:vertAlign w:val="subscript"/>
          <w:lang w:val="en-US"/>
        </w:rPr>
        <w:t>A</w:t>
      </w:r>
      <w:r w:rsidRPr="00BE633C">
        <w:rPr>
          <w:b/>
          <w:lang w:val="en-US"/>
        </w:rPr>
        <w:t xml:space="preserve"> + w2*C</w:t>
      </w:r>
      <w:r w:rsidRPr="00BE633C">
        <w:rPr>
          <w:b/>
          <w:vertAlign w:val="subscript"/>
          <w:lang w:val="en-US"/>
        </w:rPr>
        <w:t>B</w:t>
      </w:r>
      <w:r w:rsidRPr="00BE633C">
        <w:rPr>
          <w:b/>
          <w:lang w:val="en-US"/>
        </w:rPr>
        <w:t xml:space="preserve"> + w3*C</w:t>
      </w:r>
      <w:r w:rsidRPr="00BE633C">
        <w:rPr>
          <w:b/>
          <w:vertAlign w:val="subscript"/>
          <w:lang w:val="en-US"/>
        </w:rPr>
        <w:t>C</w:t>
      </w:r>
      <w:r w:rsidRPr="00BE633C">
        <w:rPr>
          <w:b/>
          <w:lang w:val="en-US"/>
        </w:rPr>
        <w:t xml:space="preserve"> + w4*C</w:t>
      </w:r>
      <w:r w:rsidRPr="00BE633C">
        <w:rPr>
          <w:b/>
          <w:vertAlign w:val="subscript"/>
          <w:lang w:val="en-US"/>
        </w:rPr>
        <w:t xml:space="preserve">D </w:t>
      </w:r>
      <w:r w:rsidRPr="007E534A">
        <w:rPr>
          <w:vertAlign w:val="superscript"/>
          <w:lang w:val="en-GB"/>
        </w:rPr>
        <w:footnoteReference w:id="5"/>
      </w:r>
    </w:p>
    <w:p w14:paraId="01050FA7" w14:textId="14FA1C5F" w:rsidR="00B86085" w:rsidRPr="00ED2A51" w:rsidRDefault="008C738F" w:rsidP="007E534A">
      <w:pPr>
        <w:pStyle w:val="CBDNormalNumber"/>
      </w:pPr>
      <w:r>
        <w:t>Расчет объема ассигнований начинается с вычисления базовой величины равенства (B). Расчет базовой величины равенства (B) зависит от выбранного варианта набора данных для критерия (c), как поясняется ниже. После расчета базовой величины равенства приведенные ниже наборы данных используются с равными весовыми коэффициентами. Затем эти две суммы по каждой половине средств складываются для формирования объема ассигнований каждой страны</w:t>
      </w:r>
      <w:r w:rsidR="0028704F">
        <w:noBreakHyphen/>
      </w:r>
      <w:r>
        <w:t>получателя.</w:t>
      </w:r>
    </w:p>
    <w:p w14:paraId="3A36377C" w14:textId="417400B3" w:rsidR="00B86085" w:rsidRPr="00ED2A51" w:rsidRDefault="008C738F" w:rsidP="007E534A">
      <w:pPr>
        <w:pStyle w:val="CBDNormalNumber"/>
      </w:pPr>
      <w:r>
        <w:t>Используются следующие наборы данных по критериям:</w:t>
      </w:r>
    </w:p>
    <w:p w14:paraId="4CFB6444" w14:textId="695C5E4D" w:rsidR="00B86085" w:rsidRPr="00ED2A51" w:rsidRDefault="008C738F" w:rsidP="007E534A">
      <w:pPr>
        <w:pStyle w:val="CBDNormalNumber"/>
        <w:numPr>
          <w:ilvl w:val="1"/>
          <w:numId w:val="40"/>
        </w:numPr>
      </w:pPr>
      <w:r>
        <w:t xml:space="preserve">критерий (а): индекс выгод для биоразнообразия Глобального экологического фонда (данные за период восьмого пополнения целевого фонда Глобального экологического фонда на глобальном уровне); </w:t>
      </w:r>
    </w:p>
    <w:p w14:paraId="6342704C" w14:textId="78AF317D" w:rsidR="00B86085" w:rsidRPr="00ED2A51" w:rsidRDefault="008C738F" w:rsidP="007E534A">
      <w:pPr>
        <w:pStyle w:val="CBDNormalNumber"/>
        <w:numPr>
          <w:ilvl w:val="1"/>
          <w:numId w:val="40"/>
        </w:numPr>
      </w:pPr>
      <w:r>
        <w:t>критерий (b): в настоящее время равен нулю и включен в качестве позиции</w:t>
      </w:r>
      <w:r w:rsidR="0028704F">
        <w:noBreakHyphen/>
      </w:r>
      <w:r>
        <w:t xml:space="preserve">заполнителя до тех пор, пока данные не станут применимыми. Затем формула будет скорректирована для сохранения равного веса критериев; </w:t>
      </w:r>
    </w:p>
    <w:p w14:paraId="06DB0D86" w14:textId="589DCABF" w:rsidR="00B86085" w:rsidRPr="00ED2A51" w:rsidRDefault="008C738F" w:rsidP="007E534A">
      <w:pPr>
        <w:pStyle w:val="CBDNormalNumber"/>
        <w:numPr>
          <w:ilvl w:val="1"/>
          <w:numId w:val="40"/>
        </w:numPr>
      </w:pPr>
      <w:r>
        <w:t xml:space="preserve">критерий (с): на рассмотрение и для принятия решения Конференции Сторон предлагаются два варианта в отношении источников данных с указанием различий в расчете базовой величины равенства: </w:t>
      </w:r>
    </w:p>
    <w:p w14:paraId="1CA26F1A" w14:textId="788FC539" w:rsidR="00B86085" w:rsidRPr="00ED2A51" w:rsidRDefault="008C738F" w:rsidP="007E534A">
      <w:pPr>
        <w:pStyle w:val="CBDNormalNumber"/>
        <w:numPr>
          <w:ilvl w:val="2"/>
          <w:numId w:val="40"/>
        </w:numPr>
      </w:pPr>
      <w:r>
        <w:t>вариант 1: нормализованный инвертированный валовой национальный доход на душу населения с учетом корректирующей меры в отношении наименее развитых стран и малых островных развивающихся государств при определении базового объема ассигнований;</w:t>
      </w:r>
    </w:p>
    <w:p w14:paraId="1E8CEC5F" w14:textId="135D5BA4" w:rsidR="00B86085" w:rsidRPr="00ED2A51" w:rsidRDefault="008C738F" w:rsidP="00181CFD">
      <w:pPr>
        <w:pStyle w:val="CBDNormalNumber"/>
        <w:numPr>
          <w:ilvl w:val="2"/>
          <w:numId w:val="40"/>
        </w:numPr>
      </w:pPr>
      <w:r>
        <w:lastRenderedPageBreak/>
        <w:t>вариант 2: формула с инвертированной шкалой взносов Организации Объединенных Наций с использованием диапазонного подхода, как изложено в рабочем документе</w:t>
      </w:r>
      <w:r w:rsidRPr="00ED2A51">
        <w:rPr>
          <w:vertAlign w:val="superscript"/>
        </w:rPr>
        <w:footnoteReference w:id="6"/>
      </w:r>
      <w:r>
        <w:t xml:space="preserve"> и представлено в таблице 1; </w:t>
      </w:r>
    </w:p>
    <w:p w14:paraId="01EDD7CD" w14:textId="5ECABF7A" w:rsidR="00D47825" w:rsidRPr="00E50731" w:rsidRDefault="00D47825" w:rsidP="007E534A">
      <w:pPr>
        <w:pStyle w:val="CBDTableTitle"/>
      </w:pPr>
      <w:r>
        <w:rPr>
          <w:b w:val="0"/>
        </w:rPr>
        <w:t>Таблица 1</w:t>
      </w:r>
      <w:r>
        <w:t xml:space="preserve"> </w:t>
      </w:r>
      <w:r>
        <w:br/>
        <w:t>Шестидиапазонная конфигурация на основе формулы с инвертированной шкалой взносов Организации Объединенных Наций</w:t>
      </w:r>
    </w:p>
    <w:tbl>
      <w:tblPr>
        <w:tblW w:w="0" w:type="auto"/>
        <w:tblInd w:w="375" w:type="dxa"/>
        <w:shd w:val="clear" w:color="auto" w:fill="CED7E7"/>
        <w:tblLayout w:type="fixed"/>
        <w:tblLook w:val="04A0" w:firstRow="1" w:lastRow="0" w:firstColumn="1" w:lastColumn="0" w:noHBand="0" w:noVBand="1"/>
      </w:tblPr>
      <w:tblGrid>
        <w:gridCol w:w="2070"/>
        <w:gridCol w:w="2700"/>
        <w:gridCol w:w="2506"/>
        <w:gridCol w:w="1811"/>
      </w:tblGrid>
      <w:tr w:rsidR="00B86085" w:rsidRPr="00ED2A51" w14:paraId="1BE13FEE" w14:textId="77777777" w:rsidTr="007E534A">
        <w:tc>
          <w:tcPr>
            <w:tcW w:w="2070" w:type="dxa"/>
            <w:tcBorders>
              <w:top w:val="single" w:sz="4" w:space="0" w:color="auto"/>
              <w:bottom w:val="single" w:sz="4" w:space="0" w:color="auto"/>
            </w:tcBorders>
            <w:tcMar>
              <w:top w:w="80" w:type="dxa"/>
              <w:left w:w="80" w:type="dxa"/>
              <w:bottom w:w="80" w:type="dxa"/>
              <w:right w:w="80" w:type="dxa"/>
            </w:tcMar>
          </w:tcPr>
          <w:p w14:paraId="1F54CDA2" w14:textId="77777777" w:rsidR="00B86085" w:rsidRPr="007E534A" w:rsidRDefault="008C738F" w:rsidP="007E534A">
            <w:pPr>
              <w:pStyle w:val="CBDTableNormal"/>
              <w:spacing w:after="40"/>
              <w:jc w:val="right"/>
              <w:rPr>
                <w:i/>
                <w:iCs/>
              </w:rPr>
            </w:pPr>
            <w:r>
              <w:rPr>
                <w:i/>
              </w:rPr>
              <w:t>Диапазон</w:t>
            </w:r>
          </w:p>
        </w:tc>
        <w:tc>
          <w:tcPr>
            <w:tcW w:w="2700" w:type="dxa"/>
            <w:tcBorders>
              <w:top w:val="single" w:sz="4" w:space="0" w:color="auto"/>
              <w:bottom w:val="single" w:sz="4" w:space="0" w:color="auto"/>
            </w:tcBorders>
            <w:tcMar>
              <w:top w:w="80" w:type="dxa"/>
              <w:left w:w="80" w:type="dxa"/>
              <w:bottom w:w="80" w:type="dxa"/>
              <w:right w:w="80" w:type="dxa"/>
            </w:tcMar>
          </w:tcPr>
          <w:p w14:paraId="13618085" w14:textId="3B1EB508" w:rsidR="00B86085" w:rsidRPr="007E534A" w:rsidRDefault="008C738F" w:rsidP="007E534A">
            <w:pPr>
              <w:pStyle w:val="CBDTableNormal"/>
              <w:spacing w:after="40"/>
              <w:jc w:val="right"/>
              <w:rPr>
                <w:i/>
                <w:iCs/>
              </w:rPr>
            </w:pPr>
            <w:r>
              <w:rPr>
                <w:i/>
              </w:rPr>
              <w:t>Диапазон начисленных долей по шкале Организации Объединенных Наций (в процентах)</w:t>
            </w:r>
          </w:p>
        </w:tc>
        <w:tc>
          <w:tcPr>
            <w:tcW w:w="2506" w:type="dxa"/>
            <w:tcBorders>
              <w:top w:val="single" w:sz="4" w:space="0" w:color="auto"/>
              <w:bottom w:val="single" w:sz="4" w:space="0" w:color="auto"/>
            </w:tcBorders>
            <w:tcMar>
              <w:top w:w="80" w:type="dxa"/>
              <w:left w:w="80" w:type="dxa"/>
              <w:bottom w:w="80" w:type="dxa"/>
              <w:right w:w="80" w:type="dxa"/>
            </w:tcMar>
          </w:tcPr>
          <w:p w14:paraId="1E8C186E" w14:textId="77777777" w:rsidR="00B86085" w:rsidRPr="007E534A" w:rsidRDefault="008C738F" w:rsidP="007E534A">
            <w:pPr>
              <w:pStyle w:val="CBDTableNormal"/>
              <w:spacing w:after="40"/>
              <w:jc w:val="right"/>
              <w:rPr>
                <w:i/>
                <w:iCs/>
              </w:rPr>
            </w:pPr>
            <w:r>
              <w:rPr>
                <w:i/>
              </w:rPr>
              <w:t>Весовой коэффициент</w:t>
            </w:r>
          </w:p>
        </w:tc>
        <w:tc>
          <w:tcPr>
            <w:tcW w:w="1811" w:type="dxa"/>
            <w:tcBorders>
              <w:top w:val="single" w:sz="4" w:space="0" w:color="auto"/>
              <w:bottom w:val="single" w:sz="4" w:space="0" w:color="auto"/>
            </w:tcBorders>
            <w:tcMar>
              <w:top w:w="80" w:type="dxa"/>
              <w:left w:w="80" w:type="dxa"/>
              <w:bottom w:w="80" w:type="dxa"/>
              <w:right w:w="80" w:type="dxa"/>
            </w:tcMar>
          </w:tcPr>
          <w:p w14:paraId="7F91EA95" w14:textId="5FDE63B1" w:rsidR="00B86085" w:rsidRPr="007E534A" w:rsidRDefault="008C738F" w:rsidP="007E534A">
            <w:pPr>
              <w:pStyle w:val="CBDTableNormal"/>
              <w:spacing w:after="40"/>
              <w:jc w:val="right"/>
              <w:rPr>
                <w:i/>
                <w:iCs/>
              </w:rPr>
            </w:pPr>
            <w:r>
              <w:rPr>
                <w:i/>
              </w:rPr>
              <w:t>Отношение к диапазону 1</w:t>
            </w:r>
          </w:p>
        </w:tc>
      </w:tr>
      <w:tr w:rsidR="00B86085" w:rsidRPr="00ED2A51" w14:paraId="5BB528AB" w14:textId="77777777" w:rsidTr="007E534A">
        <w:tc>
          <w:tcPr>
            <w:tcW w:w="2070" w:type="dxa"/>
            <w:tcBorders>
              <w:top w:val="single" w:sz="4" w:space="0" w:color="auto"/>
            </w:tcBorders>
            <w:tcMar>
              <w:top w:w="80" w:type="dxa"/>
              <w:left w:w="80" w:type="dxa"/>
              <w:bottom w:w="80" w:type="dxa"/>
              <w:right w:w="80" w:type="dxa"/>
            </w:tcMar>
          </w:tcPr>
          <w:p w14:paraId="2B5E5339" w14:textId="77777777" w:rsidR="00B86085" w:rsidRPr="007E534A" w:rsidRDefault="008C738F" w:rsidP="007E534A">
            <w:pPr>
              <w:pStyle w:val="CBDTableNormal"/>
              <w:spacing w:before="0" w:after="0"/>
              <w:jc w:val="right"/>
            </w:pPr>
            <w:r>
              <w:t>1</w:t>
            </w:r>
          </w:p>
        </w:tc>
        <w:tc>
          <w:tcPr>
            <w:tcW w:w="2700" w:type="dxa"/>
            <w:tcBorders>
              <w:top w:val="single" w:sz="4" w:space="0" w:color="auto"/>
            </w:tcBorders>
            <w:shd w:val="clear" w:color="auto" w:fill="FFFFFF"/>
            <w:tcMar>
              <w:top w:w="80" w:type="dxa"/>
              <w:left w:w="80" w:type="dxa"/>
              <w:bottom w:w="80" w:type="dxa"/>
              <w:right w:w="80" w:type="dxa"/>
            </w:tcMar>
          </w:tcPr>
          <w:p w14:paraId="5CAB694D" w14:textId="71A3727C" w:rsidR="00B86085" w:rsidRPr="007E534A" w:rsidRDefault="008C738F" w:rsidP="007E534A">
            <w:pPr>
              <w:pStyle w:val="CBDTableNormal"/>
              <w:spacing w:before="0" w:after="0"/>
              <w:jc w:val="right"/>
            </w:pPr>
            <w:r>
              <w:t>≤ 0,001</w:t>
            </w:r>
          </w:p>
        </w:tc>
        <w:tc>
          <w:tcPr>
            <w:tcW w:w="2506" w:type="dxa"/>
            <w:tcBorders>
              <w:top w:val="single" w:sz="4" w:space="0" w:color="auto"/>
            </w:tcBorders>
            <w:shd w:val="clear" w:color="auto" w:fill="FFFFFF"/>
            <w:tcMar>
              <w:top w:w="80" w:type="dxa"/>
              <w:left w:w="80" w:type="dxa"/>
              <w:bottom w:w="80" w:type="dxa"/>
              <w:right w:w="80" w:type="dxa"/>
            </w:tcMar>
          </w:tcPr>
          <w:p w14:paraId="36F3A6A2" w14:textId="77777777" w:rsidR="00B86085" w:rsidRPr="007E534A" w:rsidRDefault="008C738F" w:rsidP="007E534A">
            <w:pPr>
              <w:pStyle w:val="CBDTableNormal"/>
              <w:spacing w:before="0" w:after="0"/>
              <w:jc w:val="right"/>
            </w:pPr>
            <w:r>
              <w:t>1,50</w:t>
            </w:r>
          </w:p>
        </w:tc>
        <w:tc>
          <w:tcPr>
            <w:tcW w:w="1811" w:type="dxa"/>
            <w:tcBorders>
              <w:top w:val="single" w:sz="4" w:space="0" w:color="auto"/>
            </w:tcBorders>
            <w:shd w:val="clear" w:color="auto" w:fill="FFFFFF"/>
            <w:tcMar>
              <w:top w:w="80" w:type="dxa"/>
              <w:left w:w="80" w:type="dxa"/>
              <w:bottom w:w="80" w:type="dxa"/>
              <w:right w:w="80" w:type="dxa"/>
            </w:tcMar>
          </w:tcPr>
          <w:p w14:paraId="3C4C71C3" w14:textId="77777777" w:rsidR="00B86085" w:rsidRPr="007E534A" w:rsidRDefault="008C738F" w:rsidP="007E534A">
            <w:pPr>
              <w:pStyle w:val="CBDTableNormal"/>
              <w:spacing w:before="0" w:after="0"/>
              <w:jc w:val="right"/>
            </w:pPr>
            <w:r>
              <w:t>1,00</w:t>
            </w:r>
          </w:p>
        </w:tc>
      </w:tr>
      <w:tr w:rsidR="00B86085" w:rsidRPr="00ED2A51" w14:paraId="6D816DF0" w14:textId="77777777" w:rsidTr="007E534A">
        <w:tc>
          <w:tcPr>
            <w:tcW w:w="2070" w:type="dxa"/>
            <w:tcMar>
              <w:top w:w="80" w:type="dxa"/>
              <w:left w:w="80" w:type="dxa"/>
              <w:bottom w:w="80" w:type="dxa"/>
              <w:right w:w="80" w:type="dxa"/>
            </w:tcMar>
          </w:tcPr>
          <w:p w14:paraId="4FE6185D" w14:textId="77777777" w:rsidR="00B86085" w:rsidRPr="007E534A" w:rsidRDefault="008C738F" w:rsidP="007E534A">
            <w:pPr>
              <w:pStyle w:val="CBDTableNormal"/>
              <w:spacing w:before="0" w:after="0"/>
              <w:jc w:val="right"/>
            </w:pPr>
            <w:r>
              <w:t>2</w:t>
            </w:r>
          </w:p>
        </w:tc>
        <w:tc>
          <w:tcPr>
            <w:tcW w:w="2700" w:type="dxa"/>
            <w:shd w:val="clear" w:color="auto" w:fill="FFFFFF"/>
            <w:tcMar>
              <w:top w:w="80" w:type="dxa"/>
              <w:left w:w="80" w:type="dxa"/>
              <w:bottom w:w="80" w:type="dxa"/>
              <w:right w:w="80" w:type="dxa"/>
            </w:tcMar>
          </w:tcPr>
          <w:p w14:paraId="4941855F" w14:textId="266C028C" w:rsidR="00B86085" w:rsidRPr="007E534A" w:rsidRDefault="008C738F" w:rsidP="007E534A">
            <w:pPr>
              <w:pStyle w:val="CBDTableNormal"/>
              <w:spacing w:before="0" w:after="0"/>
              <w:jc w:val="right"/>
            </w:pPr>
            <w:r>
              <w:t>0,001–0,010</w:t>
            </w:r>
          </w:p>
        </w:tc>
        <w:tc>
          <w:tcPr>
            <w:tcW w:w="2506" w:type="dxa"/>
            <w:shd w:val="clear" w:color="auto" w:fill="FFFFFF"/>
            <w:tcMar>
              <w:top w:w="80" w:type="dxa"/>
              <w:left w:w="80" w:type="dxa"/>
              <w:bottom w:w="80" w:type="dxa"/>
              <w:right w:w="80" w:type="dxa"/>
            </w:tcMar>
          </w:tcPr>
          <w:p w14:paraId="71A66254" w14:textId="77777777" w:rsidR="00B86085" w:rsidRPr="007E534A" w:rsidRDefault="008C738F" w:rsidP="007E534A">
            <w:pPr>
              <w:pStyle w:val="CBDTableNormal"/>
              <w:spacing w:before="0" w:after="0"/>
              <w:jc w:val="right"/>
            </w:pPr>
            <w:r>
              <w:t>1,30</w:t>
            </w:r>
          </w:p>
        </w:tc>
        <w:tc>
          <w:tcPr>
            <w:tcW w:w="1811" w:type="dxa"/>
            <w:shd w:val="clear" w:color="auto" w:fill="FFFFFF"/>
            <w:tcMar>
              <w:top w:w="80" w:type="dxa"/>
              <w:left w:w="80" w:type="dxa"/>
              <w:bottom w:w="80" w:type="dxa"/>
              <w:right w:w="80" w:type="dxa"/>
            </w:tcMar>
          </w:tcPr>
          <w:p w14:paraId="17172209" w14:textId="77777777" w:rsidR="00B86085" w:rsidRPr="007E534A" w:rsidRDefault="008C738F" w:rsidP="007E534A">
            <w:pPr>
              <w:pStyle w:val="CBDTableNormal"/>
              <w:spacing w:before="0" w:after="0"/>
              <w:jc w:val="right"/>
            </w:pPr>
            <w:r>
              <w:t>0,87</w:t>
            </w:r>
          </w:p>
        </w:tc>
      </w:tr>
      <w:tr w:rsidR="00B86085" w:rsidRPr="00ED2A51" w14:paraId="40C76EEC" w14:textId="77777777" w:rsidTr="007E534A">
        <w:tc>
          <w:tcPr>
            <w:tcW w:w="2070" w:type="dxa"/>
            <w:tcMar>
              <w:top w:w="80" w:type="dxa"/>
              <w:left w:w="80" w:type="dxa"/>
              <w:bottom w:w="80" w:type="dxa"/>
              <w:right w:w="80" w:type="dxa"/>
            </w:tcMar>
          </w:tcPr>
          <w:p w14:paraId="196372A5" w14:textId="77777777" w:rsidR="00B86085" w:rsidRPr="007E534A" w:rsidRDefault="008C738F" w:rsidP="007E534A">
            <w:pPr>
              <w:pStyle w:val="CBDTableNormal"/>
              <w:spacing w:before="0" w:after="0"/>
              <w:jc w:val="right"/>
            </w:pPr>
            <w:r>
              <w:t>3</w:t>
            </w:r>
          </w:p>
        </w:tc>
        <w:tc>
          <w:tcPr>
            <w:tcW w:w="2700" w:type="dxa"/>
            <w:shd w:val="clear" w:color="auto" w:fill="FFFFFF"/>
            <w:tcMar>
              <w:top w:w="80" w:type="dxa"/>
              <w:left w:w="80" w:type="dxa"/>
              <w:bottom w:w="80" w:type="dxa"/>
              <w:right w:w="80" w:type="dxa"/>
            </w:tcMar>
          </w:tcPr>
          <w:p w14:paraId="1731F158" w14:textId="18AA864F" w:rsidR="00B86085" w:rsidRPr="007E534A" w:rsidRDefault="008C738F" w:rsidP="007E534A">
            <w:pPr>
              <w:pStyle w:val="CBDTableNormal"/>
              <w:spacing w:before="0" w:after="0"/>
              <w:jc w:val="right"/>
            </w:pPr>
            <w:r>
              <w:t>0,01–0,100</w:t>
            </w:r>
          </w:p>
        </w:tc>
        <w:tc>
          <w:tcPr>
            <w:tcW w:w="2506" w:type="dxa"/>
            <w:shd w:val="clear" w:color="auto" w:fill="FFFFFF"/>
            <w:tcMar>
              <w:top w:w="80" w:type="dxa"/>
              <w:left w:w="80" w:type="dxa"/>
              <w:bottom w:w="80" w:type="dxa"/>
              <w:right w:w="80" w:type="dxa"/>
            </w:tcMar>
          </w:tcPr>
          <w:p w14:paraId="720488CB" w14:textId="77777777" w:rsidR="00B86085" w:rsidRPr="007E534A" w:rsidRDefault="008C738F" w:rsidP="007E534A">
            <w:pPr>
              <w:pStyle w:val="CBDTableNormal"/>
              <w:spacing w:before="0" w:after="0"/>
              <w:jc w:val="right"/>
            </w:pPr>
            <w:r>
              <w:t>1,10</w:t>
            </w:r>
          </w:p>
        </w:tc>
        <w:tc>
          <w:tcPr>
            <w:tcW w:w="1811" w:type="dxa"/>
            <w:shd w:val="clear" w:color="auto" w:fill="FFFFFF"/>
            <w:tcMar>
              <w:top w:w="80" w:type="dxa"/>
              <w:left w:w="80" w:type="dxa"/>
              <w:bottom w:w="80" w:type="dxa"/>
              <w:right w:w="80" w:type="dxa"/>
            </w:tcMar>
          </w:tcPr>
          <w:p w14:paraId="3300CD0E" w14:textId="77777777" w:rsidR="00B86085" w:rsidRPr="007E534A" w:rsidRDefault="008C738F" w:rsidP="007E534A">
            <w:pPr>
              <w:pStyle w:val="CBDTableNormal"/>
              <w:spacing w:before="0" w:after="0"/>
              <w:jc w:val="right"/>
            </w:pPr>
            <w:r>
              <w:t>0,73</w:t>
            </w:r>
          </w:p>
        </w:tc>
      </w:tr>
      <w:tr w:rsidR="00B86085" w:rsidRPr="00ED2A51" w14:paraId="214D5FC0" w14:textId="77777777" w:rsidTr="007E534A">
        <w:tc>
          <w:tcPr>
            <w:tcW w:w="2070" w:type="dxa"/>
            <w:tcMar>
              <w:top w:w="80" w:type="dxa"/>
              <w:left w:w="80" w:type="dxa"/>
              <w:bottom w:w="80" w:type="dxa"/>
              <w:right w:w="80" w:type="dxa"/>
            </w:tcMar>
          </w:tcPr>
          <w:p w14:paraId="3DF72F99" w14:textId="77777777" w:rsidR="00B86085" w:rsidRPr="007E534A" w:rsidRDefault="008C738F" w:rsidP="007E534A">
            <w:pPr>
              <w:pStyle w:val="CBDTableNormal"/>
              <w:spacing w:before="0" w:after="0"/>
              <w:jc w:val="right"/>
            </w:pPr>
            <w:r>
              <w:t>4</w:t>
            </w:r>
          </w:p>
        </w:tc>
        <w:tc>
          <w:tcPr>
            <w:tcW w:w="2700" w:type="dxa"/>
            <w:shd w:val="clear" w:color="auto" w:fill="FFFFFF"/>
            <w:tcMar>
              <w:top w:w="80" w:type="dxa"/>
              <w:left w:w="80" w:type="dxa"/>
              <w:bottom w:w="80" w:type="dxa"/>
              <w:right w:w="80" w:type="dxa"/>
            </w:tcMar>
          </w:tcPr>
          <w:p w14:paraId="4EE9CE95" w14:textId="60EF492F" w:rsidR="00B86085" w:rsidRPr="007E534A" w:rsidRDefault="008C738F" w:rsidP="007E534A">
            <w:pPr>
              <w:pStyle w:val="CBDTableNormal"/>
              <w:spacing w:before="0" w:after="0"/>
              <w:jc w:val="right"/>
            </w:pPr>
            <w:r>
              <w:t>0,1–1,000</w:t>
            </w:r>
          </w:p>
        </w:tc>
        <w:tc>
          <w:tcPr>
            <w:tcW w:w="2506" w:type="dxa"/>
            <w:shd w:val="clear" w:color="auto" w:fill="FFFFFF"/>
            <w:tcMar>
              <w:top w:w="80" w:type="dxa"/>
              <w:left w:w="80" w:type="dxa"/>
              <w:bottom w:w="80" w:type="dxa"/>
              <w:right w:w="80" w:type="dxa"/>
            </w:tcMar>
          </w:tcPr>
          <w:p w14:paraId="7AA70756" w14:textId="77777777" w:rsidR="00B86085" w:rsidRPr="007E534A" w:rsidRDefault="008C738F" w:rsidP="007E534A">
            <w:pPr>
              <w:pStyle w:val="CBDTableNormal"/>
              <w:spacing w:before="0" w:after="0"/>
              <w:jc w:val="right"/>
            </w:pPr>
            <w:r>
              <w:t>0,95</w:t>
            </w:r>
          </w:p>
        </w:tc>
        <w:tc>
          <w:tcPr>
            <w:tcW w:w="1811" w:type="dxa"/>
            <w:shd w:val="clear" w:color="auto" w:fill="FFFFFF"/>
            <w:tcMar>
              <w:top w:w="80" w:type="dxa"/>
              <w:left w:w="80" w:type="dxa"/>
              <w:bottom w:w="80" w:type="dxa"/>
              <w:right w:w="80" w:type="dxa"/>
            </w:tcMar>
          </w:tcPr>
          <w:p w14:paraId="74D16CF1" w14:textId="77777777" w:rsidR="00B86085" w:rsidRPr="007E534A" w:rsidRDefault="008C738F" w:rsidP="007E534A">
            <w:pPr>
              <w:pStyle w:val="CBDTableNormal"/>
              <w:spacing w:before="0" w:after="0"/>
              <w:jc w:val="right"/>
            </w:pPr>
            <w:r>
              <w:t>0,63</w:t>
            </w:r>
          </w:p>
        </w:tc>
      </w:tr>
      <w:tr w:rsidR="00B86085" w:rsidRPr="00ED2A51" w14:paraId="28A58891" w14:textId="77777777" w:rsidTr="007E534A">
        <w:tc>
          <w:tcPr>
            <w:tcW w:w="2070" w:type="dxa"/>
            <w:tcMar>
              <w:top w:w="80" w:type="dxa"/>
              <w:left w:w="80" w:type="dxa"/>
              <w:bottom w:w="80" w:type="dxa"/>
              <w:right w:w="80" w:type="dxa"/>
            </w:tcMar>
          </w:tcPr>
          <w:p w14:paraId="305F0884" w14:textId="77777777" w:rsidR="00B86085" w:rsidRPr="007E534A" w:rsidRDefault="008C738F" w:rsidP="007E534A">
            <w:pPr>
              <w:pStyle w:val="CBDTableNormal"/>
              <w:spacing w:before="0" w:after="0"/>
              <w:jc w:val="right"/>
            </w:pPr>
            <w:r>
              <w:t>5</w:t>
            </w:r>
          </w:p>
        </w:tc>
        <w:tc>
          <w:tcPr>
            <w:tcW w:w="2700" w:type="dxa"/>
            <w:shd w:val="clear" w:color="auto" w:fill="FFFFFF"/>
            <w:tcMar>
              <w:top w:w="80" w:type="dxa"/>
              <w:left w:w="80" w:type="dxa"/>
              <w:bottom w:w="80" w:type="dxa"/>
              <w:right w:w="80" w:type="dxa"/>
            </w:tcMar>
          </w:tcPr>
          <w:p w14:paraId="48D67988" w14:textId="56D76AA9" w:rsidR="00B86085" w:rsidRPr="007E534A" w:rsidRDefault="008C738F" w:rsidP="007E534A">
            <w:pPr>
              <w:pStyle w:val="CBDTableNormal"/>
              <w:spacing w:before="0" w:after="0"/>
              <w:jc w:val="right"/>
            </w:pPr>
            <w:r>
              <w:t>1,0–10,000</w:t>
            </w:r>
          </w:p>
        </w:tc>
        <w:tc>
          <w:tcPr>
            <w:tcW w:w="2506" w:type="dxa"/>
            <w:shd w:val="clear" w:color="auto" w:fill="FFFFFF"/>
            <w:tcMar>
              <w:top w:w="80" w:type="dxa"/>
              <w:left w:w="80" w:type="dxa"/>
              <w:bottom w:w="80" w:type="dxa"/>
              <w:right w:w="80" w:type="dxa"/>
            </w:tcMar>
          </w:tcPr>
          <w:p w14:paraId="67013E7B" w14:textId="77777777" w:rsidR="00B86085" w:rsidRPr="007E534A" w:rsidRDefault="008C738F" w:rsidP="007E534A">
            <w:pPr>
              <w:pStyle w:val="CBDTableNormal"/>
              <w:spacing w:before="0" w:after="0"/>
              <w:jc w:val="right"/>
            </w:pPr>
            <w:r>
              <w:t>0,75</w:t>
            </w:r>
          </w:p>
        </w:tc>
        <w:tc>
          <w:tcPr>
            <w:tcW w:w="1811" w:type="dxa"/>
            <w:shd w:val="clear" w:color="auto" w:fill="FFFFFF"/>
            <w:tcMar>
              <w:top w:w="80" w:type="dxa"/>
              <w:left w:w="80" w:type="dxa"/>
              <w:bottom w:w="80" w:type="dxa"/>
              <w:right w:w="80" w:type="dxa"/>
            </w:tcMar>
          </w:tcPr>
          <w:p w14:paraId="35C6D9FD" w14:textId="77777777" w:rsidR="00B86085" w:rsidRPr="007E534A" w:rsidRDefault="008C738F" w:rsidP="007E534A">
            <w:pPr>
              <w:pStyle w:val="CBDTableNormal"/>
              <w:spacing w:before="0" w:after="0"/>
              <w:jc w:val="right"/>
            </w:pPr>
            <w:r>
              <w:t>0,50</w:t>
            </w:r>
          </w:p>
        </w:tc>
      </w:tr>
      <w:tr w:rsidR="00B86085" w:rsidRPr="00ED2A51" w14:paraId="055554DC" w14:textId="77777777" w:rsidTr="007E534A">
        <w:tc>
          <w:tcPr>
            <w:tcW w:w="2070" w:type="dxa"/>
            <w:tcBorders>
              <w:bottom w:val="single" w:sz="4" w:space="0" w:color="auto"/>
            </w:tcBorders>
            <w:tcMar>
              <w:top w:w="80" w:type="dxa"/>
              <w:left w:w="80" w:type="dxa"/>
              <w:bottom w:w="80" w:type="dxa"/>
              <w:right w:w="80" w:type="dxa"/>
            </w:tcMar>
          </w:tcPr>
          <w:p w14:paraId="7174EB5B" w14:textId="77777777" w:rsidR="00B86085" w:rsidRPr="007E534A" w:rsidRDefault="008C738F" w:rsidP="007E534A">
            <w:pPr>
              <w:pStyle w:val="CBDTableNormal"/>
              <w:spacing w:before="0" w:after="0"/>
              <w:jc w:val="right"/>
            </w:pPr>
            <w:r>
              <w:t>6</w:t>
            </w:r>
          </w:p>
        </w:tc>
        <w:tc>
          <w:tcPr>
            <w:tcW w:w="2700" w:type="dxa"/>
            <w:tcBorders>
              <w:bottom w:val="single" w:sz="4" w:space="0" w:color="auto"/>
            </w:tcBorders>
            <w:shd w:val="clear" w:color="auto" w:fill="FFFFFF"/>
            <w:tcMar>
              <w:top w:w="80" w:type="dxa"/>
              <w:left w:w="80" w:type="dxa"/>
              <w:bottom w:w="80" w:type="dxa"/>
              <w:right w:w="80" w:type="dxa"/>
            </w:tcMar>
          </w:tcPr>
          <w:p w14:paraId="2D75E33E" w14:textId="2123C663" w:rsidR="00B86085" w:rsidRPr="007E534A" w:rsidRDefault="008C738F" w:rsidP="007E534A">
            <w:pPr>
              <w:pStyle w:val="CBDTableNormal"/>
              <w:spacing w:before="0" w:after="0"/>
              <w:jc w:val="right"/>
            </w:pPr>
            <w:r>
              <w:t>&gt; 10,000</w:t>
            </w:r>
          </w:p>
        </w:tc>
        <w:tc>
          <w:tcPr>
            <w:tcW w:w="2506" w:type="dxa"/>
            <w:tcBorders>
              <w:bottom w:val="single" w:sz="4" w:space="0" w:color="auto"/>
            </w:tcBorders>
            <w:shd w:val="clear" w:color="auto" w:fill="FFFFFF"/>
            <w:tcMar>
              <w:top w:w="80" w:type="dxa"/>
              <w:left w:w="80" w:type="dxa"/>
              <w:bottom w:w="80" w:type="dxa"/>
              <w:right w:w="80" w:type="dxa"/>
            </w:tcMar>
          </w:tcPr>
          <w:p w14:paraId="1E9B8BA1" w14:textId="77777777" w:rsidR="00B86085" w:rsidRPr="007E534A" w:rsidRDefault="008C738F" w:rsidP="007E534A">
            <w:pPr>
              <w:pStyle w:val="CBDTableNormal"/>
              <w:spacing w:before="0" w:after="0"/>
              <w:jc w:val="right"/>
            </w:pPr>
            <w:r>
              <w:t>0,40</w:t>
            </w:r>
          </w:p>
        </w:tc>
        <w:tc>
          <w:tcPr>
            <w:tcW w:w="1811" w:type="dxa"/>
            <w:tcBorders>
              <w:bottom w:val="single" w:sz="4" w:space="0" w:color="auto"/>
            </w:tcBorders>
            <w:shd w:val="clear" w:color="auto" w:fill="FFFFFF"/>
            <w:tcMar>
              <w:top w:w="80" w:type="dxa"/>
              <w:left w:w="80" w:type="dxa"/>
              <w:bottom w:w="80" w:type="dxa"/>
              <w:right w:w="80" w:type="dxa"/>
            </w:tcMar>
          </w:tcPr>
          <w:p w14:paraId="50486B9D" w14:textId="77777777" w:rsidR="00B86085" w:rsidRPr="007E534A" w:rsidRDefault="008C738F" w:rsidP="007E534A">
            <w:pPr>
              <w:pStyle w:val="CBDTableNormal"/>
              <w:spacing w:before="0" w:after="0"/>
              <w:jc w:val="right"/>
            </w:pPr>
            <w:r>
              <w:t>0,27</w:t>
            </w:r>
          </w:p>
        </w:tc>
      </w:tr>
    </w:tbl>
    <w:p w14:paraId="4BD633C0" w14:textId="16575694" w:rsidR="00B86085" w:rsidRPr="00ED2A51" w:rsidRDefault="008C738F" w:rsidP="007E534A">
      <w:pPr>
        <w:pStyle w:val="CBDNormalNumber"/>
        <w:numPr>
          <w:ilvl w:val="1"/>
          <w:numId w:val="40"/>
        </w:numPr>
      </w:pPr>
      <w:r>
        <w:t>Различие подходов к определению базовой величины равенства заключается в следующем:</w:t>
      </w:r>
    </w:p>
    <w:p w14:paraId="738C23E4" w14:textId="540236F4" w:rsidR="00B86085" w:rsidRPr="00ED2A51" w:rsidRDefault="008C738F" w:rsidP="007E534A">
      <w:pPr>
        <w:pStyle w:val="CBDNormalNumber"/>
        <w:numPr>
          <w:ilvl w:val="2"/>
          <w:numId w:val="40"/>
        </w:numPr>
      </w:pPr>
      <w:r>
        <w:t>в случае варианта 1: если в методике используется нормализованный инвертированный валовой национальный доход на душу населения, то базовая величина равенства рассчитывается с уделением особого внимания малым островным развивающимся государствам и наименее развитым странам. Использование валового национального дохода для критерия (c) приводит к необъективным результатам в отношении наименее развитых стран и малых островных развивающихся государств, в связи с чем при расчете базовой величины равенства вводится поправочный коэффициент. Для данного расчета исчисление базовой величины равенства производится в два этапа: B = половина имеющихся средств распределяется поровну между всеми Сторонами, являющимися странами</w:t>
      </w:r>
      <w:r w:rsidR="0028704F">
        <w:noBreakHyphen/>
      </w:r>
      <w:r>
        <w:t>получателями, в качестве стандартного условия. Затем наименее развитым странам и малым островным развивающимся государствам добавляется 25 процентов от этой базовой величины</w:t>
      </w:r>
      <w:r w:rsidRPr="00ED2A51">
        <w:rPr>
          <w:vertAlign w:val="superscript"/>
        </w:rPr>
        <w:footnoteReference w:id="7"/>
      </w:r>
      <w:r>
        <w:t xml:space="preserve">; </w:t>
      </w:r>
    </w:p>
    <w:p w14:paraId="6249C52E" w14:textId="476EBED0" w:rsidR="00B86085" w:rsidRPr="00ED2A51" w:rsidRDefault="008C738F" w:rsidP="007E534A">
      <w:pPr>
        <w:pStyle w:val="CBDNormalNumber"/>
        <w:numPr>
          <w:ilvl w:val="2"/>
          <w:numId w:val="40"/>
        </w:numPr>
      </w:pPr>
      <w:r>
        <w:t>в случае варианта 2: если в методике используется формула с инвертированной шкалой взносов, общий объем имеющихся средств должен быть разделен пополам, а первая половина средств — распределена поровну между всеми Сторонами, являющимися странами</w:t>
      </w:r>
      <w:r w:rsidR="0028704F">
        <w:noBreakHyphen/>
      </w:r>
      <w:r>
        <w:t>получателями, что соответствует базовой величине равенства, исчисляемой по формуле: В = половина имеющихся средств/общее число Сторон, являющихся странами</w:t>
      </w:r>
      <w:r w:rsidR="0028704F">
        <w:noBreakHyphen/>
      </w:r>
      <w:r>
        <w:t>получателями</w:t>
      </w:r>
      <w:r w:rsidRPr="00ED2A51">
        <w:rPr>
          <w:vertAlign w:val="superscript"/>
        </w:rPr>
        <w:footnoteReference w:id="8"/>
      </w:r>
      <w:r>
        <w:t>.</w:t>
      </w:r>
    </w:p>
    <w:p w14:paraId="431E705E" w14:textId="1E982E81" w:rsidR="00B86085" w:rsidRPr="00ED2A51" w:rsidRDefault="008C738F" w:rsidP="007E534A">
      <w:pPr>
        <w:pStyle w:val="CBDNormalNumber"/>
      </w:pPr>
      <w:r>
        <w:lastRenderedPageBreak/>
        <w:t>После исчисления базовой величины равенства по любому из вариантов остаток средств затем рассчитывается по оставшейся части формулы. Затем эти две суммы по каждой части средств складываются для формирования объема ассигнований каждой страны</w:t>
      </w:r>
      <w:r w:rsidR="0028704F">
        <w:noBreakHyphen/>
      </w:r>
      <w:r>
        <w:t>получателя:</w:t>
      </w:r>
    </w:p>
    <w:p w14:paraId="01C9AD41" w14:textId="1ACD3764" w:rsidR="00B86085" w:rsidRPr="00ED2A51" w:rsidRDefault="008C738F" w:rsidP="007E534A">
      <w:pPr>
        <w:pStyle w:val="CBDNormalNumber"/>
        <w:numPr>
          <w:ilvl w:val="1"/>
          <w:numId w:val="40"/>
        </w:numPr>
      </w:pPr>
      <w:r>
        <w:t>критерий (d):</w:t>
      </w:r>
      <w:r w:rsidRPr="00ED2A51">
        <w:rPr>
          <w:vertAlign w:val="superscript"/>
        </w:rPr>
        <w:footnoteReference w:id="9"/>
      </w:r>
      <w:r>
        <w:t xml:space="preserve"> индикатор 21.CT.3 (данные, лежащие в основе </w:t>
      </w:r>
      <w:bookmarkStart w:id="2" w:name="_Hlk239327268"/>
      <w:r>
        <w:t>индекса языкового разнообразия</w:t>
      </w:r>
      <w:bookmarkEnd w:id="2"/>
      <w:r>
        <w:t xml:space="preserve">); ко всем критериям будут применяться равные весовые коэффициенты; </w:t>
      </w:r>
    </w:p>
    <w:p w14:paraId="310847B1" w14:textId="6A8C8830" w:rsidR="00B86085" w:rsidRPr="00ED2A51" w:rsidRDefault="008C738F" w:rsidP="007E534A">
      <w:pPr>
        <w:pStyle w:val="CBDNormalNumber"/>
        <w:numPr>
          <w:ilvl w:val="1"/>
          <w:numId w:val="40"/>
        </w:numPr>
      </w:pPr>
      <w:r>
        <w:t>результат применения формулы, добавленный к базовому объему ассигнований на основе равенства, считается общим объемом ассигнований для каждой Стороны, являющейся страной</w:t>
      </w:r>
      <w:r w:rsidR="0028704F">
        <w:noBreakHyphen/>
      </w:r>
      <w:r>
        <w:t xml:space="preserve">получателем, как показано в таблице 2; </w:t>
      </w:r>
    </w:p>
    <w:p w14:paraId="25B32A2C" w14:textId="27B87DF2" w:rsidR="00B86085" w:rsidRPr="00ED2A51" w:rsidRDefault="008C738F" w:rsidP="007E534A">
      <w:pPr>
        <w:pStyle w:val="CBDNormalNumber"/>
        <w:numPr>
          <w:ilvl w:val="1"/>
          <w:numId w:val="40"/>
        </w:numPr>
      </w:pPr>
      <w:r>
        <w:t>информация о направлениях дальнейшей работы представлена в разделе ниже.</w:t>
      </w:r>
    </w:p>
    <w:p w14:paraId="65658E6F" w14:textId="6BC4833B" w:rsidR="00B86085" w:rsidRPr="00ED2A51" w:rsidRDefault="008C738F" w:rsidP="007E534A">
      <w:pPr>
        <w:pStyle w:val="CBDNormalNumber"/>
      </w:pPr>
      <w:r>
        <w:t xml:space="preserve">Результаты применения обоих вариантов, заложенных в модели, проиллюстрированы в таблице 2. </w:t>
      </w:r>
    </w:p>
    <w:p w14:paraId="3BA51452" w14:textId="7C5DCBC8" w:rsidR="002E749E" w:rsidRPr="007E534A" w:rsidRDefault="002E749E" w:rsidP="007E534A">
      <w:pPr>
        <w:pStyle w:val="CBDTableTitle"/>
        <w:tabs>
          <w:tab w:val="clear" w:pos="1134"/>
        </w:tabs>
        <w:spacing w:after="0"/>
        <w:rPr>
          <w:b w:val="0"/>
          <w:bCs/>
        </w:rPr>
      </w:pPr>
      <w:r>
        <w:rPr>
          <w:b w:val="0"/>
        </w:rPr>
        <w:t xml:space="preserve">Таблица 2 </w:t>
      </w:r>
    </w:p>
    <w:p w14:paraId="7779ADFA" w14:textId="3B2CEC62" w:rsidR="002E749E" w:rsidRPr="007E534A" w:rsidRDefault="002E749E" w:rsidP="007E534A">
      <w:pPr>
        <w:pStyle w:val="CBDTableTitle"/>
        <w:tabs>
          <w:tab w:val="clear" w:pos="1134"/>
        </w:tabs>
        <w:spacing w:before="0"/>
      </w:pPr>
      <w:r>
        <w:t>Результаты применения формулы для выделения правительствам средств в объеме 200 млн долл. США при использовании варианта 1 или варианта 2 для критерия (с) и при равенстве критериев (a), (b) и (c)</w:t>
      </w:r>
    </w:p>
    <w:tbl>
      <w:tblPr>
        <w:tblW w:w="4899" w:type="pct"/>
        <w:tblInd w:w="108" w:type="dxa"/>
        <w:tblBorders>
          <w:top w:val="single" w:sz="4" w:space="0" w:color="auto"/>
          <w:bottom w:val="single" w:sz="4" w:space="0" w:color="auto"/>
        </w:tblBorders>
        <w:shd w:val="clear" w:color="auto" w:fill="CED7E7"/>
        <w:tblLayout w:type="fixed"/>
        <w:tblLook w:val="04A0" w:firstRow="1" w:lastRow="0" w:firstColumn="1" w:lastColumn="0" w:noHBand="0" w:noVBand="1"/>
      </w:tblPr>
      <w:tblGrid>
        <w:gridCol w:w="1170"/>
        <w:gridCol w:w="3054"/>
        <w:gridCol w:w="1465"/>
        <w:gridCol w:w="1190"/>
        <w:gridCol w:w="1648"/>
        <w:gridCol w:w="801"/>
      </w:tblGrid>
      <w:tr w:rsidR="00406269" w:rsidRPr="00ED2A51" w14:paraId="5C097AC7" w14:textId="0FC7000A" w:rsidTr="003A3A00">
        <w:trPr>
          <w:trHeight w:val="222"/>
        </w:trPr>
        <w:tc>
          <w:tcPr>
            <w:tcW w:w="1170" w:type="dxa"/>
            <w:tcBorders>
              <w:bottom w:val="nil"/>
            </w:tcBorders>
            <w:tcMar>
              <w:top w:w="80" w:type="dxa"/>
              <w:left w:w="80" w:type="dxa"/>
              <w:bottom w:w="80" w:type="dxa"/>
              <w:right w:w="80" w:type="dxa"/>
            </w:tcMar>
          </w:tcPr>
          <w:p w14:paraId="5E9E1D19" w14:textId="4860C0C8" w:rsidR="00406269" w:rsidRPr="007E534A" w:rsidRDefault="00406269" w:rsidP="007E534A">
            <w:pPr>
              <w:pStyle w:val="CBDTableNormal"/>
              <w:spacing w:before="0" w:after="0"/>
              <w:jc w:val="right"/>
              <w:rPr>
                <w:i/>
                <w:iCs/>
              </w:rPr>
            </w:pPr>
            <w:r>
              <w:rPr>
                <w:i/>
              </w:rPr>
              <w:t>Страна</w:t>
            </w:r>
            <w:r>
              <w:rPr>
                <w:vertAlign w:val="superscript"/>
              </w:rPr>
              <w:t>а</w:t>
            </w:r>
          </w:p>
        </w:tc>
        <w:tc>
          <w:tcPr>
            <w:tcW w:w="3054" w:type="dxa"/>
            <w:tcBorders>
              <w:bottom w:val="nil"/>
            </w:tcBorders>
            <w:tcMar>
              <w:top w:w="80" w:type="dxa"/>
              <w:left w:w="80" w:type="dxa"/>
              <w:bottom w:w="80" w:type="dxa"/>
              <w:right w:w="80" w:type="dxa"/>
            </w:tcMar>
          </w:tcPr>
          <w:p w14:paraId="72CF418A" w14:textId="77777777" w:rsidR="00406269" w:rsidRPr="007E534A" w:rsidRDefault="00406269" w:rsidP="007E534A">
            <w:pPr>
              <w:pStyle w:val="CBDTableNormal"/>
              <w:spacing w:before="0" w:after="0"/>
              <w:jc w:val="right"/>
              <w:rPr>
                <w:i/>
                <w:iCs/>
              </w:rPr>
            </w:pPr>
            <w:r>
              <w:rPr>
                <w:i/>
              </w:rPr>
              <w:t>Характеристика</w:t>
            </w:r>
          </w:p>
        </w:tc>
        <w:tc>
          <w:tcPr>
            <w:tcW w:w="2655" w:type="dxa"/>
            <w:gridSpan w:val="2"/>
            <w:tcBorders>
              <w:top w:val="single" w:sz="4" w:space="0" w:color="auto"/>
              <w:bottom w:val="single" w:sz="4" w:space="0" w:color="auto"/>
            </w:tcBorders>
            <w:tcMar>
              <w:top w:w="80" w:type="dxa"/>
              <w:left w:w="80" w:type="dxa"/>
              <w:bottom w:w="80" w:type="dxa"/>
              <w:right w:w="80" w:type="dxa"/>
            </w:tcMar>
          </w:tcPr>
          <w:p w14:paraId="721048A3" w14:textId="42D08DC6" w:rsidR="00406269" w:rsidRPr="00444EFF" w:rsidRDefault="00406269" w:rsidP="007E534A">
            <w:pPr>
              <w:pStyle w:val="CBDTableNormal"/>
              <w:spacing w:before="0" w:after="0"/>
              <w:jc w:val="center"/>
              <w:rPr>
                <w:i/>
                <w:iCs/>
              </w:rPr>
            </w:pPr>
            <w:r>
              <w:rPr>
                <w:i/>
              </w:rPr>
              <w:t>Формула при варианте 1</w:t>
            </w:r>
            <w:r>
              <w:rPr>
                <w:vertAlign w:val="superscript"/>
              </w:rPr>
              <w:t>b</w:t>
            </w:r>
          </w:p>
        </w:tc>
        <w:tc>
          <w:tcPr>
            <w:tcW w:w="2449" w:type="dxa"/>
            <w:gridSpan w:val="2"/>
            <w:tcBorders>
              <w:top w:val="single" w:sz="4" w:space="0" w:color="auto"/>
              <w:bottom w:val="single" w:sz="4" w:space="0" w:color="auto"/>
            </w:tcBorders>
            <w:tcMar>
              <w:top w:w="80" w:type="dxa"/>
              <w:left w:w="80" w:type="dxa"/>
              <w:bottom w:w="80" w:type="dxa"/>
              <w:right w:w="80" w:type="dxa"/>
            </w:tcMar>
          </w:tcPr>
          <w:p w14:paraId="60593C9F" w14:textId="55DBCBF5" w:rsidR="00406269" w:rsidRPr="00406269" w:rsidRDefault="00406269" w:rsidP="00B430F9">
            <w:pPr>
              <w:pStyle w:val="CBDTableNormal"/>
              <w:spacing w:before="0" w:after="0"/>
              <w:jc w:val="right"/>
              <w:rPr>
                <w:i/>
                <w:iCs/>
              </w:rPr>
            </w:pPr>
            <w:r>
              <w:rPr>
                <w:i/>
              </w:rPr>
              <w:t>Формула при варианте 2</w:t>
            </w:r>
            <w:r>
              <w:rPr>
                <w:vertAlign w:val="superscript"/>
              </w:rPr>
              <w:t>b</w:t>
            </w:r>
          </w:p>
        </w:tc>
      </w:tr>
      <w:tr w:rsidR="00406269" w:rsidRPr="00ED2A51" w14:paraId="29DE5F8F" w14:textId="7AC8E4E5" w:rsidTr="003A3A00">
        <w:trPr>
          <w:trHeight w:val="222"/>
        </w:trPr>
        <w:tc>
          <w:tcPr>
            <w:tcW w:w="1170" w:type="dxa"/>
            <w:tcBorders>
              <w:top w:val="nil"/>
              <w:bottom w:val="single" w:sz="4" w:space="0" w:color="auto"/>
            </w:tcBorders>
            <w:tcMar>
              <w:top w:w="80" w:type="dxa"/>
              <w:left w:w="80" w:type="dxa"/>
              <w:bottom w:w="80" w:type="dxa"/>
              <w:right w:w="80" w:type="dxa"/>
            </w:tcMar>
          </w:tcPr>
          <w:p w14:paraId="3BE66DB8" w14:textId="77777777" w:rsidR="00406269" w:rsidRPr="00F75CFE" w:rsidRDefault="00406269" w:rsidP="00B430F9">
            <w:pPr>
              <w:pStyle w:val="CBDTableNormal"/>
              <w:spacing w:before="0" w:after="0"/>
              <w:jc w:val="right"/>
              <w:rPr>
                <w:lang w:val="en-GB"/>
              </w:rPr>
            </w:pPr>
          </w:p>
        </w:tc>
        <w:tc>
          <w:tcPr>
            <w:tcW w:w="3054" w:type="dxa"/>
            <w:tcBorders>
              <w:top w:val="nil"/>
              <w:bottom w:val="single" w:sz="4" w:space="0" w:color="auto"/>
            </w:tcBorders>
            <w:tcMar>
              <w:top w:w="80" w:type="dxa"/>
              <w:left w:w="80" w:type="dxa"/>
              <w:bottom w:w="80" w:type="dxa"/>
              <w:right w:w="80" w:type="dxa"/>
            </w:tcMar>
          </w:tcPr>
          <w:p w14:paraId="120C0443" w14:textId="77777777" w:rsidR="00406269" w:rsidRDefault="00406269" w:rsidP="00B430F9">
            <w:pPr>
              <w:pStyle w:val="CBDTableNormal"/>
              <w:spacing w:before="0" w:after="0"/>
              <w:jc w:val="right"/>
              <w:rPr>
                <w:lang w:val="en-GB"/>
              </w:rPr>
            </w:pPr>
          </w:p>
        </w:tc>
        <w:tc>
          <w:tcPr>
            <w:tcW w:w="1465" w:type="dxa"/>
            <w:tcBorders>
              <w:top w:val="single" w:sz="4" w:space="0" w:color="auto"/>
              <w:bottom w:val="single" w:sz="4" w:space="0" w:color="auto"/>
            </w:tcBorders>
            <w:tcMar>
              <w:top w:w="80" w:type="dxa"/>
              <w:left w:w="80" w:type="dxa"/>
              <w:bottom w:w="80" w:type="dxa"/>
              <w:right w:w="80" w:type="dxa"/>
            </w:tcMar>
          </w:tcPr>
          <w:p w14:paraId="720C3EB3" w14:textId="03A9479E" w:rsidR="00406269" w:rsidRPr="007E534A" w:rsidRDefault="00406269" w:rsidP="00B430F9">
            <w:pPr>
              <w:pStyle w:val="CBDTableNormal"/>
              <w:spacing w:before="0" w:after="0"/>
              <w:jc w:val="right"/>
              <w:rPr>
                <w:i/>
                <w:iCs/>
              </w:rPr>
            </w:pPr>
            <w:r>
              <w:rPr>
                <w:i/>
              </w:rPr>
              <w:t>В долл. США</w:t>
            </w:r>
          </w:p>
        </w:tc>
        <w:tc>
          <w:tcPr>
            <w:tcW w:w="1190" w:type="dxa"/>
            <w:tcBorders>
              <w:top w:val="single" w:sz="4" w:space="0" w:color="auto"/>
              <w:bottom w:val="single" w:sz="4" w:space="0" w:color="auto"/>
            </w:tcBorders>
          </w:tcPr>
          <w:p w14:paraId="5ACE5A5A" w14:textId="345C31FD" w:rsidR="00406269" w:rsidRPr="007E534A" w:rsidRDefault="00406269" w:rsidP="00B430F9">
            <w:pPr>
              <w:pStyle w:val="CBDTableNormal"/>
              <w:spacing w:before="0" w:after="0"/>
              <w:jc w:val="right"/>
              <w:rPr>
                <w:i/>
                <w:iCs/>
              </w:rPr>
            </w:pPr>
            <w:r>
              <w:rPr>
                <w:i/>
              </w:rPr>
              <w:t>Доля в %</w:t>
            </w:r>
          </w:p>
        </w:tc>
        <w:tc>
          <w:tcPr>
            <w:tcW w:w="1648" w:type="dxa"/>
            <w:tcBorders>
              <w:top w:val="single" w:sz="4" w:space="0" w:color="auto"/>
              <w:bottom w:val="single" w:sz="4" w:space="0" w:color="auto"/>
            </w:tcBorders>
            <w:tcMar>
              <w:top w:w="80" w:type="dxa"/>
              <w:left w:w="80" w:type="dxa"/>
              <w:bottom w:w="80" w:type="dxa"/>
              <w:right w:w="80" w:type="dxa"/>
            </w:tcMar>
          </w:tcPr>
          <w:p w14:paraId="396D1C2B" w14:textId="4A4B174D" w:rsidR="00406269" w:rsidRPr="007E534A" w:rsidRDefault="00406269" w:rsidP="00B430F9">
            <w:pPr>
              <w:pStyle w:val="CBDTableNormal"/>
              <w:spacing w:before="0" w:after="0"/>
              <w:jc w:val="right"/>
              <w:rPr>
                <w:i/>
                <w:iCs/>
              </w:rPr>
            </w:pPr>
            <w:r>
              <w:rPr>
                <w:i/>
              </w:rPr>
              <w:t>В долл. США</w:t>
            </w:r>
          </w:p>
        </w:tc>
        <w:tc>
          <w:tcPr>
            <w:tcW w:w="801" w:type="dxa"/>
            <w:tcBorders>
              <w:top w:val="single" w:sz="4" w:space="0" w:color="auto"/>
              <w:bottom w:val="single" w:sz="4" w:space="0" w:color="auto"/>
            </w:tcBorders>
          </w:tcPr>
          <w:p w14:paraId="0802246C" w14:textId="1FFB27C6" w:rsidR="00406269" w:rsidRPr="007E534A" w:rsidRDefault="00406269" w:rsidP="00B430F9">
            <w:pPr>
              <w:pStyle w:val="CBDTableNormal"/>
              <w:spacing w:before="0" w:after="0"/>
              <w:jc w:val="right"/>
              <w:rPr>
                <w:i/>
                <w:iCs/>
              </w:rPr>
            </w:pPr>
            <w:r>
              <w:rPr>
                <w:i/>
              </w:rPr>
              <w:t>Доля в %</w:t>
            </w:r>
          </w:p>
        </w:tc>
      </w:tr>
      <w:tr w:rsidR="00406269" w:rsidRPr="00ED2A51" w14:paraId="6F1D0887" w14:textId="0ECDCBF1" w:rsidTr="003A3A00">
        <w:trPr>
          <w:trHeight w:val="222"/>
        </w:trPr>
        <w:tc>
          <w:tcPr>
            <w:tcW w:w="1170" w:type="dxa"/>
            <w:tcBorders>
              <w:top w:val="single" w:sz="4" w:space="0" w:color="auto"/>
            </w:tcBorders>
            <w:tcMar>
              <w:top w:w="80" w:type="dxa"/>
              <w:left w:w="80" w:type="dxa"/>
              <w:bottom w:w="80" w:type="dxa"/>
              <w:right w:w="80" w:type="dxa"/>
            </w:tcMar>
          </w:tcPr>
          <w:p w14:paraId="72B7FA15" w14:textId="77777777" w:rsidR="00406269" w:rsidRPr="007E534A" w:rsidRDefault="00406269" w:rsidP="007E534A">
            <w:pPr>
              <w:pStyle w:val="CBDTableNormal"/>
              <w:spacing w:before="0" w:after="0"/>
              <w:jc w:val="right"/>
            </w:pPr>
            <w:r>
              <w:t>Страна А</w:t>
            </w:r>
          </w:p>
        </w:tc>
        <w:tc>
          <w:tcPr>
            <w:tcW w:w="3054" w:type="dxa"/>
            <w:tcBorders>
              <w:top w:val="single" w:sz="4" w:space="0" w:color="auto"/>
            </w:tcBorders>
            <w:tcMar>
              <w:top w:w="80" w:type="dxa"/>
              <w:left w:w="80" w:type="dxa"/>
              <w:bottom w:w="80" w:type="dxa"/>
              <w:right w:w="80" w:type="dxa"/>
            </w:tcMar>
          </w:tcPr>
          <w:p w14:paraId="1701F703" w14:textId="7998934E" w:rsidR="00406269" w:rsidRPr="007E534A" w:rsidRDefault="00406269" w:rsidP="007E534A">
            <w:pPr>
              <w:pStyle w:val="CBDTableNormal"/>
              <w:spacing w:before="0" w:after="0"/>
              <w:jc w:val="right"/>
            </w:pPr>
            <w:r>
              <w:t>Высокий уровень дохода/богатое биоразнообразие</w:t>
            </w:r>
          </w:p>
        </w:tc>
        <w:tc>
          <w:tcPr>
            <w:tcW w:w="1465" w:type="dxa"/>
            <w:tcBorders>
              <w:top w:val="single" w:sz="4" w:space="0" w:color="auto"/>
            </w:tcBorders>
            <w:tcMar>
              <w:top w:w="80" w:type="dxa"/>
              <w:left w:w="80" w:type="dxa"/>
              <w:bottom w:w="80" w:type="dxa"/>
              <w:right w:w="80" w:type="dxa"/>
            </w:tcMar>
          </w:tcPr>
          <w:p w14:paraId="416DD979" w14:textId="15E25D38" w:rsidR="00406269" w:rsidRPr="007E534A" w:rsidRDefault="00406269" w:rsidP="007E534A">
            <w:pPr>
              <w:pStyle w:val="CBDTableNormal"/>
              <w:spacing w:before="0" w:after="0"/>
              <w:jc w:val="right"/>
            </w:pPr>
            <w:r>
              <w:t>3 172 049</w:t>
            </w:r>
          </w:p>
        </w:tc>
        <w:tc>
          <w:tcPr>
            <w:tcW w:w="1190" w:type="dxa"/>
            <w:tcBorders>
              <w:top w:val="single" w:sz="4" w:space="0" w:color="auto"/>
            </w:tcBorders>
          </w:tcPr>
          <w:p w14:paraId="7A6A0A08" w14:textId="257FA958" w:rsidR="00406269" w:rsidRPr="00444EFF" w:rsidRDefault="00406269" w:rsidP="00B430F9">
            <w:pPr>
              <w:pStyle w:val="CBDTableNormal"/>
              <w:spacing w:before="0" w:after="0"/>
              <w:jc w:val="right"/>
            </w:pPr>
            <w:r>
              <w:t>1,59</w:t>
            </w:r>
          </w:p>
        </w:tc>
        <w:tc>
          <w:tcPr>
            <w:tcW w:w="1648" w:type="dxa"/>
            <w:tcBorders>
              <w:top w:val="single" w:sz="4" w:space="0" w:color="auto"/>
            </w:tcBorders>
            <w:tcMar>
              <w:top w:w="80" w:type="dxa"/>
              <w:left w:w="80" w:type="dxa"/>
              <w:bottom w:w="80" w:type="dxa"/>
              <w:right w:w="80" w:type="dxa"/>
            </w:tcMar>
          </w:tcPr>
          <w:p w14:paraId="2E3CD751" w14:textId="0E8006E2" w:rsidR="00406269" w:rsidRPr="007E534A" w:rsidRDefault="00406269" w:rsidP="007E534A">
            <w:pPr>
              <w:pStyle w:val="CBDTableNormal"/>
              <w:spacing w:before="0" w:after="0"/>
              <w:jc w:val="right"/>
            </w:pPr>
            <w:r>
              <w:t xml:space="preserve">1 743 925 </w:t>
            </w:r>
          </w:p>
        </w:tc>
        <w:tc>
          <w:tcPr>
            <w:tcW w:w="801" w:type="dxa"/>
            <w:tcBorders>
              <w:top w:val="single" w:sz="4" w:space="0" w:color="auto"/>
            </w:tcBorders>
          </w:tcPr>
          <w:p w14:paraId="08158970" w14:textId="40319E84" w:rsidR="00406269" w:rsidRPr="00406269" w:rsidRDefault="00406269" w:rsidP="00B430F9">
            <w:pPr>
              <w:pStyle w:val="CBDTableNormal"/>
              <w:spacing w:before="0" w:after="0"/>
              <w:jc w:val="right"/>
            </w:pPr>
            <w:r>
              <w:t>0,87</w:t>
            </w:r>
          </w:p>
        </w:tc>
      </w:tr>
      <w:tr w:rsidR="00406269" w:rsidRPr="00ED2A51" w14:paraId="7772799A" w14:textId="3EA7F1E5" w:rsidTr="003A3A00">
        <w:trPr>
          <w:trHeight w:val="222"/>
        </w:trPr>
        <w:tc>
          <w:tcPr>
            <w:tcW w:w="1170" w:type="dxa"/>
            <w:tcMar>
              <w:top w:w="80" w:type="dxa"/>
              <w:left w:w="80" w:type="dxa"/>
              <w:bottom w:w="80" w:type="dxa"/>
              <w:right w:w="80" w:type="dxa"/>
            </w:tcMar>
          </w:tcPr>
          <w:p w14:paraId="47DD1589" w14:textId="77777777" w:rsidR="00406269" w:rsidRPr="007E534A" w:rsidRDefault="00406269" w:rsidP="007E534A">
            <w:pPr>
              <w:pStyle w:val="CBDTableNormal"/>
              <w:spacing w:before="0" w:after="0"/>
              <w:jc w:val="right"/>
            </w:pPr>
            <w:r>
              <w:t>Страна B</w:t>
            </w:r>
          </w:p>
        </w:tc>
        <w:tc>
          <w:tcPr>
            <w:tcW w:w="3054" w:type="dxa"/>
            <w:tcMar>
              <w:top w:w="80" w:type="dxa"/>
              <w:left w:w="80" w:type="dxa"/>
              <w:bottom w:w="80" w:type="dxa"/>
              <w:right w:w="80" w:type="dxa"/>
            </w:tcMar>
          </w:tcPr>
          <w:p w14:paraId="078FF13B" w14:textId="48C51D10" w:rsidR="00406269" w:rsidRPr="007E534A" w:rsidRDefault="00406269" w:rsidP="007E534A">
            <w:pPr>
              <w:pStyle w:val="CBDTableNormal"/>
              <w:spacing w:before="0" w:after="0"/>
              <w:jc w:val="right"/>
            </w:pPr>
            <w:r>
              <w:t>Высокий уровень дохода/бедное биоразнообразие</w:t>
            </w:r>
          </w:p>
        </w:tc>
        <w:tc>
          <w:tcPr>
            <w:tcW w:w="1465" w:type="dxa"/>
            <w:tcMar>
              <w:top w:w="80" w:type="dxa"/>
              <w:left w:w="80" w:type="dxa"/>
              <w:bottom w:w="80" w:type="dxa"/>
              <w:right w:w="80" w:type="dxa"/>
            </w:tcMar>
          </w:tcPr>
          <w:p w14:paraId="38260A59" w14:textId="6052EA69" w:rsidR="00406269" w:rsidRPr="007E534A" w:rsidRDefault="00406269" w:rsidP="007E534A">
            <w:pPr>
              <w:pStyle w:val="CBDTableNormal"/>
              <w:spacing w:before="0" w:after="0"/>
              <w:jc w:val="right"/>
            </w:pPr>
            <w:r>
              <w:t>873 850</w:t>
            </w:r>
          </w:p>
        </w:tc>
        <w:tc>
          <w:tcPr>
            <w:tcW w:w="1190" w:type="dxa"/>
          </w:tcPr>
          <w:p w14:paraId="30D58EAC" w14:textId="66220F6E" w:rsidR="00406269" w:rsidRPr="00444EFF" w:rsidRDefault="00406269" w:rsidP="00B430F9">
            <w:pPr>
              <w:pStyle w:val="CBDTableNormal"/>
              <w:spacing w:before="0" w:after="0"/>
              <w:jc w:val="right"/>
            </w:pPr>
            <w:r>
              <w:t>0,44</w:t>
            </w:r>
          </w:p>
        </w:tc>
        <w:tc>
          <w:tcPr>
            <w:tcW w:w="1648" w:type="dxa"/>
            <w:tcMar>
              <w:top w:w="80" w:type="dxa"/>
              <w:left w:w="80" w:type="dxa"/>
              <w:bottom w:w="80" w:type="dxa"/>
              <w:right w:w="80" w:type="dxa"/>
            </w:tcMar>
          </w:tcPr>
          <w:p w14:paraId="2667CEBA" w14:textId="238FC776" w:rsidR="00406269" w:rsidRPr="007E534A" w:rsidRDefault="00406269" w:rsidP="007E534A">
            <w:pPr>
              <w:pStyle w:val="CBDTableNormal"/>
              <w:spacing w:before="0" w:after="0"/>
              <w:jc w:val="right"/>
            </w:pPr>
            <w:r>
              <w:t>1 119 371</w:t>
            </w:r>
          </w:p>
        </w:tc>
        <w:tc>
          <w:tcPr>
            <w:tcW w:w="801" w:type="dxa"/>
          </w:tcPr>
          <w:p w14:paraId="4BF7ACF1" w14:textId="78A088CB" w:rsidR="00406269" w:rsidRPr="00406269" w:rsidRDefault="00406269" w:rsidP="00B430F9">
            <w:pPr>
              <w:pStyle w:val="CBDTableNormal"/>
              <w:spacing w:before="0" w:after="0"/>
              <w:jc w:val="right"/>
            </w:pPr>
            <w:r>
              <w:t>0,56</w:t>
            </w:r>
          </w:p>
        </w:tc>
      </w:tr>
      <w:tr w:rsidR="00406269" w:rsidRPr="00ED2A51" w14:paraId="5B6E8188" w14:textId="0043B5D3" w:rsidTr="003A3A00">
        <w:trPr>
          <w:trHeight w:val="222"/>
        </w:trPr>
        <w:tc>
          <w:tcPr>
            <w:tcW w:w="1170" w:type="dxa"/>
            <w:tcMar>
              <w:top w:w="80" w:type="dxa"/>
              <w:left w:w="80" w:type="dxa"/>
              <w:bottom w:w="80" w:type="dxa"/>
              <w:right w:w="80" w:type="dxa"/>
            </w:tcMar>
          </w:tcPr>
          <w:p w14:paraId="7DB00672" w14:textId="77777777" w:rsidR="00406269" w:rsidRPr="007E534A" w:rsidRDefault="00406269" w:rsidP="007E534A">
            <w:pPr>
              <w:pStyle w:val="CBDTableNormal"/>
              <w:spacing w:before="0" w:after="0"/>
              <w:jc w:val="right"/>
            </w:pPr>
            <w:r>
              <w:t>Страна С</w:t>
            </w:r>
          </w:p>
        </w:tc>
        <w:tc>
          <w:tcPr>
            <w:tcW w:w="3054" w:type="dxa"/>
            <w:tcMar>
              <w:top w:w="80" w:type="dxa"/>
              <w:left w:w="80" w:type="dxa"/>
              <w:bottom w:w="80" w:type="dxa"/>
              <w:right w:w="80" w:type="dxa"/>
            </w:tcMar>
          </w:tcPr>
          <w:p w14:paraId="64F44D35" w14:textId="05243C20" w:rsidR="00406269" w:rsidRPr="007E534A" w:rsidRDefault="00406269" w:rsidP="007E534A">
            <w:pPr>
              <w:pStyle w:val="CBDTableNormal"/>
              <w:spacing w:before="0" w:after="0"/>
              <w:jc w:val="right"/>
            </w:pPr>
            <w:r>
              <w:t>Средний уровень дохода/богатое биоразнообразие</w:t>
            </w:r>
          </w:p>
        </w:tc>
        <w:tc>
          <w:tcPr>
            <w:tcW w:w="1465" w:type="dxa"/>
            <w:tcMar>
              <w:top w:w="80" w:type="dxa"/>
              <w:left w:w="80" w:type="dxa"/>
              <w:bottom w:w="80" w:type="dxa"/>
              <w:right w:w="80" w:type="dxa"/>
            </w:tcMar>
          </w:tcPr>
          <w:p w14:paraId="0B42C598" w14:textId="468EF77A" w:rsidR="00406269" w:rsidRPr="007E534A" w:rsidRDefault="00406269" w:rsidP="007E534A">
            <w:pPr>
              <w:pStyle w:val="CBDTableNormal"/>
              <w:spacing w:before="0" w:after="0"/>
              <w:jc w:val="right"/>
            </w:pPr>
            <w:r>
              <w:t>2 526 282</w:t>
            </w:r>
          </w:p>
        </w:tc>
        <w:tc>
          <w:tcPr>
            <w:tcW w:w="1190" w:type="dxa"/>
          </w:tcPr>
          <w:p w14:paraId="25A26CDD" w14:textId="169975FA" w:rsidR="00406269" w:rsidRPr="00444EFF" w:rsidRDefault="00406269" w:rsidP="00B430F9">
            <w:pPr>
              <w:pStyle w:val="CBDTableNormal"/>
              <w:spacing w:before="0" w:after="0"/>
              <w:jc w:val="right"/>
            </w:pPr>
            <w:r>
              <w:t>1,26</w:t>
            </w:r>
          </w:p>
        </w:tc>
        <w:tc>
          <w:tcPr>
            <w:tcW w:w="1648" w:type="dxa"/>
            <w:tcMar>
              <w:top w:w="80" w:type="dxa"/>
              <w:left w:w="80" w:type="dxa"/>
              <w:bottom w:w="80" w:type="dxa"/>
              <w:right w:w="80" w:type="dxa"/>
            </w:tcMar>
          </w:tcPr>
          <w:p w14:paraId="1BA31BCE" w14:textId="6414EF4A" w:rsidR="00406269" w:rsidRPr="007E534A" w:rsidRDefault="00406269" w:rsidP="007E534A">
            <w:pPr>
              <w:pStyle w:val="CBDTableNormal"/>
              <w:spacing w:before="0" w:after="0"/>
              <w:jc w:val="right"/>
            </w:pPr>
            <w:r>
              <w:t>1 663 419</w:t>
            </w:r>
          </w:p>
        </w:tc>
        <w:tc>
          <w:tcPr>
            <w:tcW w:w="801" w:type="dxa"/>
          </w:tcPr>
          <w:p w14:paraId="40A3227D" w14:textId="70BEDAD6" w:rsidR="00406269" w:rsidRPr="00406269" w:rsidRDefault="00406269" w:rsidP="00B430F9">
            <w:pPr>
              <w:pStyle w:val="CBDTableNormal"/>
              <w:spacing w:before="0" w:after="0"/>
              <w:jc w:val="right"/>
            </w:pPr>
            <w:r>
              <w:t>0,83</w:t>
            </w:r>
          </w:p>
        </w:tc>
      </w:tr>
      <w:tr w:rsidR="00406269" w:rsidRPr="00ED2A51" w14:paraId="222744D7" w14:textId="76C583FA" w:rsidTr="003A3A00">
        <w:trPr>
          <w:trHeight w:val="222"/>
        </w:trPr>
        <w:tc>
          <w:tcPr>
            <w:tcW w:w="1170" w:type="dxa"/>
            <w:tcMar>
              <w:top w:w="80" w:type="dxa"/>
              <w:left w:w="80" w:type="dxa"/>
              <w:bottom w:w="80" w:type="dxa"/>
              <w:right w:w="80" w:type="dxa"/>
            </w:tcMar>
          </w:tcPr>
          <w:p w14:paraId="396C1420" w14:textId="77777777" w:rsidR="00406269" w:rsidRPr="007E534A" w:rsidRDefault="00406269" w:rsidP="007E534A">
            <w:pPr>
              <w:pStyle w:val="CBDTableNormal"/>
              <w:spacing w:before="0" w:after="0"/>
              <w:jc w:val="right"/>
            </w:pPr>
            <w:r>
              <w:t>Страна D</w:t>
            </w:r>
          </w:p>
        </w:tc>
        <w:tc>
          <w:tcPr>
            <w:tcW w:w="3054" w:type="dxa"/>
            <w:tcMar>
              <w:top w:w="80" w:type="dxa"/>
              <w:left w:w="80" w:type="dxa"/>
              <w:bottom w:w="80" w:type="dxa"/>
              <w:right w:w="80" w:type="dxa"/>
            </w:tcMar>
          </w:tcPr>
          <w:p w14:paraId="024CE1AD" w14:textId="5AE75BAB" w:rsidR="00406269" w:rsidRPr="007E534A" w:rsidRDefault="00406269" w:rsidP="007E534A">
            <w:pPr>
              <w:pStyle w:val="CBDTableNormal"/>
              <w:spacing w:before="0" w:after="0"/>
              <w:jc w:val="right"/>
            </w:pPr>
            <w:r>
              <w:t>Средний уровень дохода/бедное биоразнообразие</w:t>
            </w:r>
          </w:p>
        </w:tc>
        <w:tc>
          <w:tcPr>
            <w:tcW w:w="1465" w:type="dxa"/>
            <w:tcMar>
              <w:top w:w="80" w:type="dxa"/>
              <w:left w:w="80" w:type="dxa"/>
              <w:bottom w:w="80" w:type="dxa"/>
              <w:right w:w="80" w:type="dxa"/>
            </w:tcMar>
          </w:tcPr>
          <w:p w14:paraId="5A7A595A" w14:textId="00397CBB" w:rsidR="00406269" w:rsidRPr="007E534A" w:rsidRDefault="00406269" w:rsidP="007E534A">
            <w:pPr>
              <w:pStyle w:val="CBDTableNormal"/>
              <w:spacing w:before="0" w:after="0"/>
              <w:jc w:val="right"/>
            </w:pPr>
            <w:r>
              <w:t>1 042 737</w:t>
            </w:r>
          </w:p>
        </w:tc>
        <w:tc>
          <w:tcPr>
            <w:tcW w:w="1190" w:type="dxa"/>
          </w:tcPr>
          <w:p w14:paraId="79F3DAE5" w14:textId="6C6871D1" w:rsidR="00406269" w:rsidRPr="00444EFF" w:rsidRDefault="00406269" w:rsidP="00B430F9">
            <w:pPr>
              <w:pStyle w:val="CBDTableNormal"/>
              <w:spacing w:before="0" w:after="0"/>
              <w:jc w:val="right"/>
            </w:pPr>
            <w:r>
              <w:t>0,52</w:t>
            </w:r>
          </w:p>
        </w:tc>
        <w:tc>
          <w:tcPr>
            <w:tcW w:w="1648" w:type="dxa"/>
            <w:tcMar>
              <w:top w:w="80" w:type="dxa"/>
              <w:left w:w="80" w:type="dxa"/>
              <w:bottom w:w="80" w:type="dxa"/>
              <w:right w:w="80" w:type="dxa"/>
            </w:tcMar>
          </w:tcPr>
          <w:p w14:paraId="22C2B1AF" w14:textId="113AF254" w:rsidR="00406269" w:rsidRPr="007E534A" w:rsidRDefault="00406269" w:rsidP="007E534A">
            <w:pPr>
              <w:pStyle w:val="CBDTableNormal"/>
              <w:spacing w:before="0" w:after="0"/>
              <w:jc w:val="right"/>
            </w:pPr>
            <w:r>
              <w:t>1 317 650</w:t>
            </w:r>
          </w:p>
        </w:tc>
        <w:tc>
          <w:tcPr>
            <w:tcW w:w="801" w:type="dxa"/>
          </w:tcPr>
          <w:p w14:paraId="1265154B" w14:textId="60759DC7" w:rsidR="00406269" w:rsidRPr="00406269" w:rsidRDefault="00406269" w:rsidP="00B430F9">
            <w:pPr>
              <w:pStyle w:val="CBDTableNormal"/>
              <w:spacing w:before="0" w:after="0"/>
              <w:jc w:val="right"/>
            </w:pPr>
            <w:r>
              <w:t>0,66</w:t>
            </w:r>
          </w:p>
        </w:tc>
      </w:tr>
      <w:tr w:rsidR="00406269" w:rsidRPr="00ED2A51" w14:paraId="45A9E1A4" w14:textId="3BF79563" w:rsidTr="003A3A00">
        <w:trPr>
          <w:trHeight w:val="222"/>
        </w:trPr>
        <w:tc>
          <w:tcPr>
            <w:tcW w:w="1170" w:type="dxa"/>
            <w:tcMar>
              <w:top w:w="80" w:type="dxa"/>
              <w:left w:w="80" w:type="dxa"/>
              <w:bottom w:w="80" w:type="dxa"/>
              <w:right w:w="80" w:type="dxa"/>
            </w:tcMar>
          </w:tcPr>
          <w:p w14:paraId="5788C3C5" w14:textId="77777777" w:rsidR="00406269" w:rsidRPr="007E534A" w:rsidRDefault="00406269" w:rsidP="007E534A">
            <w:pPr>
              <w:pStyle w:val="CBDTableNormal"/>
              <w:spacing w:before="0" w:after="0"/>
              <w:jc w:val="right"/>
            </w:pPr>
            <w:r>
              <w:t>Страна E</w:t>
            </w:r>
          </w:p>
        </w:tc>
        <w:tc>
          <w:tcPr>
            <w:tcW w:w="3054" w:type="dxa"/>
            <w:tcMar>
              <w:top w:w="80" w:type="dxa"/>
              <w:left w:w="80" w:type="dxa"/>
              <w:bottom w:w="80" w:type="dxa"/>
              <w:right w:w="80" w:type="dxa"/>
            </w:tcMar>
          </w:tcPr>
          <w:p w14:paraId="34CB4A56" w14:textId="4F8ED8E9" w:rsidR="00406269" w:rsidRPr="007E534A" w:rsidRDefault="00406269" w:rsidP="007E534A">
            <w:pPr>
              <w:pStyle w:val="CBDTableNormal"/>
              <w:spacing w:before="0" w:after="0"/>
              <w:jc w:val="right"/>
            </w:pPr>
            <w:r>
              <w:t>Низкий уровень дохода/богатое биоразнообразие</w:t>
            </w:r>
          </w:p>
        </w:tc>
        <w:tc>
          <w:tcPr>
            <w:tcW w:w="1465" w:type="dxa"/>
            <w:tcMar>
              <w:top w:w="80" w:type="dxa"/>
              <w:left w:w="80" w:type="dxa"/>
              <w:bottom w:w="80" w:type="dxa"/>
              <w:right w:w="80" w:type="dxa"/>
            </w:tcMar>
          </w:tcPr>
          <w:p w14:paraId="75EFA30D" w14:textId="6EF08F33" w:rsidR="00406269" w:rsidRPr="007E534A" w:rsidRDefault="00406269" w:rsidP="007E534A">
            <w:pPr>
              <w:pStyle w:val="CBDTableNormal"/>
              <w:spacing w:before="0" w:after="0"/>
              <w:jc w:val="right"/>
            </w:pPr>
            <w:r>
              <w:t>2 735 509</w:t>
            </w:r>
          </w:p>
        </w:tc>
        <w:tc>
          <w:tcPr>
            <w:tcW w:w="1190" w:type="dxa"/>
          </w:tcPr>
          <w:p w14:paraId="1972AD42" w14:textId="58E11206" w:rsidR="00406269" w:rsidRPr="00444EFF" w:rsidRDefault="00406269" w:rsidP="00B430F9">
            <w:pPr>
              <w:pStyle w:val="CBDTableNormal"/>
              <w:spacing w:before="0" w:after="0"/>
              <w:jc w:val="right"/>
            </w:pPr>
            <w:r>
              <w:t>1,37</w:t>
            </w:r>
          </w:p>
        </w:tc>
        <w:tc>
          <w:tcPr>
            <w:tcW w:w="1648" w:type="dxa"/>
            <w:tcMar>
              <w:top w:w="80" w:type="dxa"/>
              <w:left w:w="80" w:type="dxa"/>
              <w:bottom w:w="80" w:type="dxa"/>
              <w:right w:w="80" w:type="dxa"/>
            </w:tcMar>
          </w:tcPr>
          <w:p w14:paraId="054F1373" w14:textId="7C70B2A6" w:rsidR="00406269" w:rsidRPr="007E534A" w:rsidRDefault="00406269" w:rsidP="007E534A">
            <w:pPr>
              <w:pStyle w:val="CBDTableNormal"/>
              <w:spacing w:before="0" w:after="0"/>
              <w:jc w:val="right"/>
            </w:pPr>
            <w:r>
              <w:t>1 667 462</w:t>
            </w:r>
          </w:p>
        </w:tc>
        <w:tc>
          <w:tcPr>
            <w:tcW w:w="801" w:type="dxa"/>
          </w:tcPr>
          <w:p w14:paraId="242AC664" w14:textId="2A927474" w:rsidR="00406269" w:rsidRPr="00406269" w:rsidRDefault="00406269" w:rsidP="00B430F9">
            <w:pPr>
              <w:pStyle w:val="CBDTableNormal"/>
              <w:spacing w:before="0" w:after="0"/>
              <w:jc w:val="right"/>
            </w:pPr>
            <w:r>
              <w:t>0,83</w:t>
            </w:r>
          </w:p>
        </w:tc>
      </w:tr>
      <w:tr w:rsidR="00406269" w:rsidRPr="00ED2A51" w14:paraId="32D4C509" w14:textId="757EB370" w:rsidTr="003A3A00">
        <w:trPr>
          <w:trHeight w:val="222"/>
        </w:trPr>
        <w:tc>
          <w:tcPr>
            <w:tcW w:w="1170" w:type="dxa"/>
            <w:tcMar>
              <w:top w:w="80" w:type="dxa"/>
              <w:left w:w="80" w:type="dxa"/>
              <w:bottom w:w="80" w:type="dxa"/>
              <w:right w:w="80" w:type="dxa"/>
            </w:tcMar>
          </w:tcPr>
          <w:p w14:paraId="214239A1" w14:textId="77777777" w:rsidR="00406269" w:rsidRPr="007E534A" w:rsidRDefault="00406269" w:rsidP="007E534A">
            <w:pPr>
              <w:pStyle w:val="CBDTableNormal"/>
              <w:spacing w:before="0" w:after="0"/>
              <w:jc w:val="right"/>
            </w:pPr>
            <w:r>
              <w:t>Страна F</w:t>
            </w:r>
          </w:p>
        </w:tc>
        <w:tc>
          <w:tcPr>
            <w:tcW w:w="3054" w:type="dxa"/>
            <w:tcMar>
              <w:top w:w="80" w:type="dxa"/>
              <w:left w:w="80" w:type="dxa"/>
              <w:bottom w:w="80" w:type="dxa"/>
              <w:right w:w="80" w:type="dxa"/>
            </w:tcMar>
          </w:tcPr>
          <w:p w14:paraId="04A9A24B" w14:textId="4C4217F9" w:rsidR="00406269" w:rsidRPr="007E534A" w:rsidRDefault="00406269" w:rsidP="007E534A">
            <w:pPr>
              <w:pStyle w:val="CBDTableNormal"/>
              <w:spacing w:before="0" w:after="0"/>
              <w:jc w:val="right"/>
            </w:pPr>
            <w:r>
              <w:t>Низкий уровень дохода/бедное биоразнообразие</w:t>
            </w:r>
          </w:p>
        </w:tc>
        <w:tc>
          <w:tcPr>
            <w:tcW w:w="1465" w:type="dxa"/>
            <w:tcMar>
              <w:top w:w="80" w:type="dxa"/>
              <w:left w:w="80" w:type="dxa"/>
              <w:bottom w:w="80" w:type="dxa"/>
              <w:right w:w="80" w:type="dxa"/>
            </w:tcMar>
          </w:tcPr>
          <w:p w14:paraId="7AC3D1B0" w14:textId="34DAEA19" w:rsidR="00406269" w:rsidRPr="007E534A" w:rsidRDefault="00406269" w:rsidP="007E534A">
            <w:pPr>
              <w:pStyle w:val="CBDTableNormal"/>
              <w:spacing w:before="0" w:after="0"/>
              <w:jc w:val="right"/>
            </w:pPr>
            <w:r>
              <w:t>1 666 411</w:t>
            </w:r>
          </w:p>
        </w:tc>
        <w:tc>
          <w:tcPr>
            <w:tcW w:w="1190" w:type="dxa"/>
          </w:tcPr>
          <w:p w14:paraId="12B1718A" w14:textId="33C01BD4" w:rsidR="00406269" w:rsidRPr="00444EFF" w:rsidRDefault="00406269" w:rsidP="00B430F9">
            <w:pPr>
              <w:pStyle w:val="CBDTableNormal"/>
              <w:spacing w:before="0" w:after="0"/>
              <w:jc w:val="right"/>
            </w:pPr>
            <w:r>
              <w:t>0,83</w:t>
            </w:r>
          </w:p>
        </w:tc>
        <w:tc>
          <w:tcPr>
            <w:tcW w:w="1648" w:type="dxa"/>
            <w:tcMar>
              <w:top w:w="80" w:type="dxa"/>
              <w:left w:w="80" w:type="dxa"/>
              <w:bottom w:w="80" w:type="dxa"/>
              <w:right w:w="80" w:type="dxa"/>
            </w:tcMar>
          </w:tcPr>
          <w:p w14:paraId="455040DA" w14:textId="6D0AE542" w:rsidR="00406269" w:rsidRPr="007E534A" w:rsidRDefault="00406269" w:rsidP="007E534A">
            <w:pPr>
              <w:pStyle w:val="CBDTableNormal"/>
              <w:spacing w:before="0" w:after="0"/>
              <w:jc w:val="right"/>
            </w:pPr>
            <w:r>
              <w:t>1 379 423</w:t>
            </w:r>
          </w:p>
        </w:tc>
        <w:tc>
          <w:tcPr>
            <w:tcW w:w="801" w:type="dxa"/>
          </w:tcPr>
          <w:p w14:paraId="18B6B897" w14:textId="410890F1" w:rsidR="00406269" w:rsidRPr="00406269" w:rsidRDefault="003C2EAD" w:rsidP="00B430F9">
            <w:pPr>
              <w:pStyle w:val="CBDTableNormal"/>
              <w:spacing w:before="0" w:after="0"/>
              <w:jc w:val="right"/>
            </w:pPr>
            <w:r>
              <w:t>0,69</w:t>
            </w:r>
          </w:p>
        </w:tc>
      </w:tr>
    </w:tbl>
    <w:p w14:paraId="32DAE445" w14:textId="65DC7F3A" w:rsidR="00A87F8B" w:rsidRPr="007E534A" w:rsidRDefault="000A2F17" w:rsidP="00B230A2">
      <w:pPr>
        <w:pStyle w:val="Para1"/>
        <w:widowControl w:val="0"/>
        <w:spacing w:before="0" w:after="0"/>
        <w:jc w:val="left"/>
        <w:rPr>
          <w:sz w:val="18"/>
          <w:szCs w:val="18"/>
        </w:rPr>
      </w:pPr>
      <w:r>
        <w:rPr>
          <w:sz w:val="18"/>
          <w:vertAlign w:val="superscript"/>
        </w:rPr>
        <w:t>a</w:t>
      </w:r>
      <w:r>
        <w:rPr>
          <w:color w:val="auto"/>
          <w:sz w:val="18"/>
          <w:bdr w:val="none" w:sz="0" w:space="0" w:color="auto"/>
        </w:rPr>
        <w:t xml:space="preserve"> </w:t>
      </w:r>
      <w:r>
        <w:rPr>
          <w:sz w:val="18"/>
        </w:rPr>
        <w:t xml:space="preserve">В целях наглядного представления результатов расчетов по рассматриваемым формулам прямых ассигнований странам, являющимся Сторонами, исходя из общего гипотетического объема в 200 млн долл. США, были созданы модели стран с обобщенными характеристиками, показатели которых представляют собой среднее значение по пяти реальным странам с соответствующими характеристиками, указанными во втором столбце. </w:t>
      </w:r>
    </w:p>
    <w:p w14:paraId="00C9BB43" w14:textId="250172B0" w:rsidR="004E1D0F" w:rsidRPr="007F4F47" w:rsidRDefault="000A2F17" w:rsidP="007E534A">
      <w:pPr>
        <w:pStyle w:val="Para1"/>
        <w:widowControl w:val="0"/>
        <w:spacing w:before="0" w:after="0"/>
        <w:jc w:val="left"/>
        <w:rPr>
          <w:sz w:val="18"/>
          <w:szCs w:val="18"/>
        </w:rPr>
      </w:pPr>
      <w:r>
        <w:rPr>
          <w:sz w:val="18"/>
          <w:vertAlign w:val="superscript"/>
        </w:rPr>
        <w:t xml:space="preserve">b </w:t>
      </w:r>
      <w:r>
        <w:rPr>
          <w:sz w:val="18"/>
        </w:rPr>
        <w:t xml:space="preserve">Результаты представлены в виде абсолютной величины в долларах США и в виде процентной доли от общего объема имеющихся средств. </w:t>
      </w:r>
    </w:p>
    <w:p w14:paraId="62271156" w14:textId="7C01D238" w:rsidR="00B86085" w:rsidRPr="00ED2A51" w:rsidRDefault="00E97E1D" w:rsidP="007E534A">
      <w:pPr>
        <w:pStyle w:val="CBDH1"/>
      </w:pPr>
      <w:r>
        <w:t>III.</w:t>
      </w:r>
      <w:r>
        <w:tab/>
        <w:t>Рекомендации в отношении дальнейшей работы</w:t>
      </w:r>
    </w:p>
    <w:p w14:paraId="0FD10E6D" w14:textId="0B6D7802" w:rsidR="00B86085" w:rsidRPr="00ED2A51" w:rsidRDefault="008C738F" w:rsidP="007E534A">
      <w:pPr>
        <w:pStyle w:val="CBDNormalNumber"/>
      </w:pPr>
      <w:r>
        <w:t xml:space="preserve">Группа экспертов рекомендует продолжить работу над методикой ассигнования в целях усовершенствования нынешнего подхода, использования источников данных, которые </w:t>
      </w:r>
      <w:r>
        <w:lastRenderedPageBreak/>
        <w:t xml:space="preserve">появятся в ближайшем будущем, и регулярного пересмотра этого подхода с учетом новых источников данных, более глубокого понимания целей и последствий применения данной методики, а также уроков, извлеченных в процессе внедрения действующей методики. </w:t>
      </w:r>
    </w:p>
    <w:p w14:paraId="62231A93" w14:textId="77777777" w:rsidR="00B86085" w:rsidRPr="00ED2A51" w:rsidRDefault="008C738F" w:rsidP="007E534A">
      <w:pPr>
        <w:pStyle w:val="CBDNormalNumber"/>
      </w:pPr>
      <w:r>
        <w:t>В дальнейшей работе следует учитывать конкретные допущения, лежащие в основе рекомендуемой нынешней методики:</w:t>
      </w:r>
    </w:p>
    <w:p w14:paraId="77BF7555" w14:textId="52160696" w:rsidR="00B86085" w:rsidRPr="00ED2A51" w:rsidRDefault="008C738F" w:rsidP="007E534A">
      <w:pPr>
        <w:pStyle w:val="CBDNormalNumber"/>
        <w:numPr>
          <w:ilvl w:val="1"/>
          <w:numId w:val="40"/>
        </w:numPr>
      </w:pPr>
      <w:r>
        <w:t xml:space="preserve">хотя к трем критериям, предложенным в добавлении II к приложению к решению </w:t>
      </w:r>
      <w:hyperlink r:id="rId28" w:history="1">
        <w:r>
          <w:rPr>
            <w:rStyle w:val="Hyperlink"/>
          </w:rPr>
          <w:t>16/2</w:t>
        </w:r>
      </w:hyperlink>
      <w:r>
        <w:t xml:space="preserve">, был специально добавлен критерий, касающийся мер в отношении коренных народов и местных общин, а также связанных с ними традиционных знаний, аспекты, касающиеся коренных народов и местных общин, а также традиционных знаний, подлежат учету во всех остальных критериях, поскольку они рассматриваются как вопрос более высокого уровня. Поэтому эти аспекты следует учитывать во всех нынешних и будущих критериях методики; </w:t>
      </w:r>
    </w:p>
    <w:p w14:paraId="0705285B" w14:textId="77777777" w:rsidR="00B86085" w:rsidRPr="00ED2A51" w:rsidRDefault="008C738F" w:rsidP="007E534A">
      <w:pPr>
        <w:pStyle w:val="CBDNormalNumber"/>
        <w:numPr>
          <w:ilvl w:val="1"/>
          <w:numId w:val="40"/>
        </w:numPr>
      </w:pPr>
      <w:r>
        <w:t xml:space="preserve">Методика ассигнования должна основываться на принципе добросовестности, а потенциальные риски могут быть устранены в рамках применения надлежащих гарантий, механизмов обеспечения прозрачности и периодического обзора. Например, риски, связанные с созданием порочных стимулов, следует рассматривать исходя из этого допущения. </w:t>
      </w:r>
    </w:p>
    <w:p w14:paraId="6BE9E2E1" w14:textId="67885CC5" w:rsidR="00B86085" w:rsidRPr="00ED2A51" w:rsidRDefault="008C738F" w:rsidP="007E534A">
      <w:pPr>
        <w:pStyle w:val="CBDNormalNumber"/>
      </w:pPr>
      <w:r>
        <w:t>Ниже приводится описание направлений дальнейшей работы по каждому критерию, которые Группа экспертов рекомендует Конференции Сторон.</w:t>
      </w:r>
    </w:p>
    <w:p w14:paraId="06B1B7F2" w14:textId="62822DCE" w:rsidR="00B86085" w:rsidRPr="007E534A" w:rsidRDefault="00E80611">
      <w:pPr>
        <w:pStyle w:val="Para1"/>
        <w:jc w:val="left"/>
        <w:rPr>
          <w:b/>
          <w:bCs/>
        </w:rPr>
      </w:pPr>
      <w:r>
        <w:rPr>
          <w:b/>
        </w:rPr>
        <w:t>A.</w:t>
      </w:r>
      <w:r>
        <w:rPr>
          <w:b/>
        </w:rPr>
        <w:tab/>
        <w:t>Критерий (а): критерий биоразнообразия</w:t>
      </w:r>
    </w:p>
    <w:p w14:paraId="6AEA6919" w14:textId="174CB23A" w:rsidR="00B86085" w:rsidRPr="00ED2A51" w:rsidRDefault="00F1184F" w:rsidP="007E534A">
      <w:pPr>
        <w:pStyle w:val="CBDNormalNumber"/>
      </w:pPr>
      <w:r>
        <w:t xml:space="preserve">Что касается работы в краткосрочной перспективе, то рекомендуется следующее: </w:t>
      </w:r>
    </w:p>
    <w:p w14:paraId="3DCEC809" w14:textId="34AD5AA8" w:rsidR="00B86085" w:rsidRPr="00ED2A51" w:rsidRDefault="008C738F" w:rsidP="007E534A">
      <w:pPr>
        <w:pStyle w:val="CBDNormalNumber"/>
        <w:numPr>
          <w:ilvl w:val="1"/>
          <w:numId w:val="40"/>
        </w:numPr>
      </w:pPr>
      <w:r>
        <w:t xml:space="preserve">в рамках основанной на критериях методики для критерия (а) использовать на временной основе </w:t>
      </w:r>
      <w:bookmarkStart w:id="3" w:name="_Hlk239333610"/>
      <w:bookmarkStart w:id="4" w:name="_Hlk239335140"/>
      <w:r>
        <w:t xml:space="preserve">индекс выгод для биоразнообразия </w:t>
      </w:r>
      <w:bookmarkEnd w:id="3"/>
      <w:bookmarkEnd w:id="4"/>
      <w:r>
        <w:t xml:space="preserve">Глобального экологического фонда. Обновленный набор данных за период девятого пополнения целевого фонда Глобального экологического фонда, который будет включать пресноводные виды, должен заменить текущие данные за период восьмого пополнения. Секретариату следует использовать соглашение </w:t>
      </w:r>
      <w:r w:rsidR="00DC39E1">
        <w:t>с</w:t>
      </w:r>
      <w:r>
        <w:t xml:space="preserve"> </w:t>
      </w:r>
      <w:bookmarkStart w:id="5" w:name="_Hlk239333920"/>
      <w:r>
        <w:t>Всемирным центром мониторинга охраны окружающей среды Программы Организации Объединенных Наций по окружающей среде</w:t>
      </w:r>
      <w:bookmarkEnd w:id="5"/>
      <w:r>
        <w:t xml:space="preserve"> для обновления данных по мере их поступления; </w:t>
      </w:r>
    </w:p>
    <w:p w14:paraId="40DCE6F3" w14:textId="5AC66CE0" w:rsidR="00B86085" w:rsidRPr="00ED2A51" w:rsidRDefault="009150F6" w:rsidP="007E534A">
      <w:pPr>
        <w:pStyle w:val="CBDNormalNumber"/>
        <w:numPr>
          <w:ilvl w:val="1"/>
          <w:numId w:val="40"/>
        </w:numPr>
      </w:pPr>
      <w:r>
        <w:t>проанализировать данные за девятый период пополнения на предмет:</w:t>
      </w:r>
    </w:p>
    <w:p w14:paraId="7594BE68" w14:textId="36B6B684" w:rsidR="00B86085" w:rsidRPr="00ED2A51" w:rsidRDefault="008C738F" w:rsidP="007E534A">
      <w:pPr>
        <w:pStyle w:val="CBDNormalNumber"/>
        <w:numPr>
          <w:ilvl w:val="2"/>
          <w:numId w:val="40"/>
        </w:numPr>
      </w:pPr>
      <w:r>
        <w:t>надежности;</w:t>
      </w:r>
    </w:p>
    <w:p w14:paraId="66599C95" w14:textId="25D9DF69" w:rsidR="00B86085" w:rsidRPr="00ED2A51" w:rsidRDefault="008C738F" w:rsidP="007E534A">
      <w:pPr>
        <w:pStyle w:val="CBDNormalNumber"/>
        <w:numPr>
          <w:ilvl w:val="2"/>
          <w:numId w:val="40"/>
        </w:numPr>
      </w:pPr>
      <w:r>
        <w:t>прозрачности процесса принятия решений, в частности в отношении распределения весовых коэффициентов в рамках индекса выгод для биоразнообразия.</w:t>
      </w:r>
    </w:p>
    <w:p w14:paraId="16D8E343" w14:textId="307AE559" w:rsidR="00B86085" w:rsidRPr="00ED2A51" w:rsidRDefault="00E65611" w:rsidP="007E534A">
      <w:pPr>
        <w:pStyle w:val="CBDNormalNumber"/>
      </w:pPr>
      <w:r>
        <w:t>Что касается работы в среднесрочной перспективе, то рекомендуется следующее:</w:t>
      </w:r>
    </w:p>
    <w:p w14:paraId="199340BB" w14:textId="77777777" w:rsidR="00B86085" w:rsidRPr="00ED2A51" w:rsidRDefault="008C738F" w:rsidP="007E534A">
      <w:pPr>
        <w:pStyle w:val="CBDNormalNumber"/>
        <w:numPr>
          <w:ilvl w:val="1"/>
          <w:numId w:val="40"/>
        </w:numPr>
      </w:pPr>
      <w:r>
        <w:t>создать новый набор данных по богатству биоразнообразия на основе показателей биоразнообразия в рамках Конвенции, а именно:</w:t>
      </w:r>
    </w:p>
    <w:p w14:paraId="41271309" w14:textId="75BD5FBF" w:rsidR="00B86085" w:rsidRPr="00ED2A51" w:rsidRDefault="008C738F" w:rsidP="007E534A">
      <w:pPr>
        <w:pStyle w:val="CBDNormalNumber"/>
        <w:numPr>
          <w:ilvl w:val="2"/>
          <w:numId w:val="40"/>
        </w:numPr>
      </w:pPr>
      <w:r>
        <w:t>экосистемного разнообразия;</w:t>
      </w:r>
    </w:p>
    <w:p w14:paraId="13121697" w14:textId="7D0F091C" w:rsidR="00B86085" w:rsidRPr="00ED2A51" w:rsidRDefault="008C738F" w:rsidP="007E534A">
      <w:pPr>
        <w:pStyle w:val="CBDNormalNumber"/>
        <w:numPr>
          <w:ilvl w:val="2"/>
          <w:numId w:val="40"/>
        </w:numPr>
      </w:pPr>
      <w:r>
        <w:t>видового разнообразия;</w:t>
      </w:r>
    </w:p>
    <w:p w14:paraId="37F95BEC" w14:textId="44DD7893" w:rsidR="00B86085" w:rsidRPr="00ED2A51" w:rsidRDefault="008C738F" w:rsidP="007E534A">
      <w:pPr>
        <w:pStyle w:val="CBDNormalNumber"/>
        <w:numPr>
          <w:ilvl w:val="2"/>
          <w:numId w:val="40"/>
        </w:numPr>
      </w:pPr>
      <w:r>
        <w:t>генетического разнообразия;</w:t>
      </w:r>
    </w:p>
    <w:p w14:paraId="744847FF" w14:textId="3AEEFDC3" w:rsidR="00B86085" w:rsidRPr="00ED2A51" w:rsidRDefault="004424EF" w:rsidP="007E534A">
      <w:pPr>
        <w:pStyle w:val="CBDNormalNumber"/>
        <w:numPr>
          <w:ilvl w:val="1"/>
          <w:numId w:val="40"/>
        </w:numPr>
      </w:pPr>
      <w:r>
        <w:t>включить деградацию экосистем в качестве показателя эффективности деятельности страны по охране ее биоразнообразия;</w:t>
      </w:r>
    </w:p>
    <w:p w14:paraId="13FEE49F" w14:textId="5B9C967A" w:rsidR="00B86085" w:rsidRPr="00ED2A51" w:rsidRDefault="004424EF" w:rsidP="007E534A">
      <w:pPr>
        <w:pStyle w:val="CBDNormalNumber"/>
        <w:numPr>
          <w:ilvl w:val="1"/>
          <w:numId w:val="40"/>
        </w:numPr>
      </w:pPr>
      <w:r>
        <w:t>обеспечить учет земель и территорий коренных народов и местных общин;</w:t>
      </w:r>
    </w:p>
    <w:p w14:paraId="3495594A" w14:textId="0A5CD132" w:rsidR="00B86085" w:rsidRPr="00ED2A51" w:rsidRDefault="008C738F" w:rsidP="007E534A">
      <w:pPr>
        <w:pStyle w:val="CBDNormalNumber"/>
        <w:numPr>
          <w:ilvl w:val="1"/>
          <w:numId w:val="40"/>
        </w:numPr>
      </w:pPr>
      <w:r>
        <w:t>изучить другие недавно появившиеся источники данных;</w:t>
      </w:r>
    </w:p>
    <w:p w14:paraId="608F4831" w14:textId="25D21C78" w:rsidR="00B86085" w:rsidRPr="00ED2A51" w:rsidRDefault="008C738F" w:rsidP="007E534A">
      <w:pPr>
        <w:pStyle w:val="CBDNormalNumber"/>
        <w:numPr>
          <w:ilvl w:val="1"/>
          <w:numId w:val="40"/>
        </w:numPr>
      </w:pPr>
      <w:r>
        <w:lastRenderedPageBreak/>
        <w:t xml:space="preserve">протестировать любые новые источники данных или индексов на предмет: </w:t>
      </w:r>
    </w:p>
    <w:p w14:paraId="73D1779C" w14:textId="3ACFB0D0" w:rsidR="00B86085" w:rsidRPr="00ED2A51" w:rsidRDefault="008C738F" w:rsidP="007E534A">
      <w:pPr>
        <w:pStyle w:val="CBDNormalNumber"/>
        <w:numPr>
          <w:ilvl w:val="2"/>
          <w:numId w:val="40"/>
        </w:numPr>
      </w:pPr>
      <w:r>
        <w:t>надежности;</w:t>
      </w:r>
    </w:p>
    <w:p w14:paraId="45E68685" w14:textId="77777777" w:rsidR="00B86085" w:rsidRPr="00ED2A51" w:rsidRDefault="008C738F" w:rsidP="007E534A">
      <w:pPr>
        <w:pStyle w:val="CBDNormalNumber"/>
        <w:numPr>
          <w:ilvl w:val="2"/>
          <w:numId w:val="40"/>
        </w:numPr>
      </w:pPr>
      <w:r>
        <w:t>прозрачности процесса принятия решений в отношении любого существующего индекса, утвержденного в качестве компонента этого нового индикатора.</w:t>
      </w:r>
    </w:p>
    <w:p w14:paraId="37C376E8" w14:textId="4188616E" w:rsidR="00B86085" w:rsidRPr="00ED2A51" w:rsidRDefault="008C738F" w:rsidP="007E534A">
      <w:pPr>
        <w:pStyle w:val="CBDNormalNumber"/>
      </w:pPr>
      <w:r>
        <w:t xml:space="preserve">К другим потенциальным новым источникам данных или индексов, связанных с критерием биоразнообразия, которые следует изучить, среди прочего, относятся: наборы данных по видовому и экосистемному разнообразию </w:t>
      </w:r>
      <w:bookmarkStart w:id="6" w:name="_Hlk239334621"/>
      <w:r>
        <w:t>Международного союза охраны природы и природных ресурсов</w:t>
      </w:r>
      <w:bookmarkEnd w:id="6"/>
      <w:r>
        <w:t xml:space="preserve">; набор данных консорциума LandMark по землям коренных народов; индекс мест обитания биоразнообразия Сети наблюдения за биоразнообразием Группы по наблюдению Земли; доля популяций в составе видов, эффективная численность которых превышает 500 особей; а также показатели ответственности стран за сохранение биоразнообразия, представленные на Карте жизни. </w:t>
      </w:r>
    </w:p>
    <w:p w14:paraId="60B56CE8" w14:textId="280E80F8" w:rsidR="00B86085" w:rsidRPr="007E534A" w:rsidRDefault="00E80611">
      <w:pPr>
        <w:pStyle w:val="Para1"/>
        <w:jc w:val="left"/>
        <w:rPr>
          <w:b/>
          <w:bCs/>
        </w:rPr>
      </w:pPr>
      <w:r>
        <w:rPr>
          <w:b/>
        </w:rPr>
        <w:t>B.</w:t>
      </w:r>
      <w:r>
        <w:rPr>
          <w:b/>
        </w:rPr>
        <w:tab/>
        <w:t xml:space="preserve">Критерий (b): географическое происхождение </w:t>
      </w:r>
    </w:p>
    <w:p w14:paraId="2B1FFD30" w14:textId="2736D9A3" w:rsidR="00B86085" w:rsidRPr="00ED2A51" w:rsidRDefault="008C738F" w:rsidP="007E534A">
      <w:pPr>
        <w:pStyle w:val="CBDNormalNumber"/>
      </w:pPr>
      <w:r>
        <w:t>Этот критерий был включен в формулу в качестве позиции</w:t>
      </w:r>
      <w:r w:rsidR="0028704F">
        <w:noBreakHyphen/>
      </w:r>
      <w:r>
        <w:t xml:space="preserve">заполнителя ввиду отсутствия в настоящее время применимых и объективных данных. </w:t>
      </w:r>
    </w:p>
    <w:p w14:paraId="0540EC6A" w14:textId="1FBC4982" w:rsidR="00B86085" w:rsidRPr="00ED2A51" w:rsidRDefault="00CC6F76" w:rsidP="007E534A">
      <w:pPr>
        <w:pStyle w:val="CBDNormalNumber"/>
      </w:pPr>
      <w:r>
        <w:t xml:space="preserve">Что касается работы в краткосрочной перспективе, то рекомендуется следующее: </w:t>
      </w:r>
    </w:p>
    <w:p w14:paraId="26BA470C" w14:textId="20F96B78" w:rsidR="00B86085" w:rsidRPr="00ED2A51" w:rsidRDefault="008C738F" w:rsidP="007E534A">
      <w:pPr>
        <w:pStyle w:val="CBDNormalNumber"/>
        <w:numPr>
          <w:ilvl w:val="1"/>
          <w:numId w:val="40"/>
        </w:numPr>
      </w:pPr>
      <w:r>
        <w:t>разработать программу работы в целях создания индикатора, касающегося географического происхождения генетических ресурсов, из которых была получена цифровая информация о последовательностях в отношении генетических ресурсов, содержащаяся в базе данных, для использования в методике ассигнования, с учетом:</w:t>
      </w:r>
    </w:p>
    <w:p w14:paraId="53445519" w14:textId="5FDB5878" w:rsidR="00B86085" w:rsidRPr="00ED2A51" w:rsidRDefault="00DF1C96" w:rsidP="007E534A">
      <w:pPr>
        <w:pStyle w:val="CBDNormalNumber"/>
        <w:numPr>
          <w:ilvl w:val="2"/>
          <w:numId w:val="40"/>
        </w:numPr>
      </w:pPr>
      <w:r>
        <w:t>ранее изученных источников данных;</w:t>
      </w:r>
    </w:p>
    <w:p w14:paraId="7F8193B1" w14:textId="23081F79" w:rsidR="00B86085" w:rsidRPr="00ED2A51" w:rsidRDefault="008C738F" w:rsidP="007E534A">
      <w:pPr>
        <w:pStyle w:val="CBDNormalNumber"/>
        <w:numPr>
          <w:ilvl w:val="2"/>
          <w:numId w:val="40"/>
        </w:numPr>
      </w:pPr>
      <w:r>
        <w:t xml:space="preserve">объема данных о последовательностях в Глобальном информационном фонде по биоразнообразию в разбивке по странам; </w:t>
      </w:r>
    </w:p>
    <w:p w14:paraId="290BF7EB" w14:textId="7CDDD6DF" w:rsidR="00B86085" w:rsidRPr="00ED2A51" w:rsidRDefault="008C738F" w:rsidP="007E534A">
      <w:pPr>
        <w:pStyle w:val="CBDNormalNumber"/>
        <w:numPr>
          <w:ilvl w:val="2"/>
          <w:numId w:val="40"/>
        </w:numPr>
      </w:pPr>
      <w:r>
        <w:t xml:space="preserve">количества последовательностей в публичных базах данных, содержащих информацию о географическом происхождении; </w:t>
      </w:r>
    </w:p>
    <w:p w14:paraId="4B32CD8F" w14:textId="65891CB3" w:rsidR="00B86085" w:rsidRPr="00ED2A51" w:rsidRDefault="008C738F" w:rsidP="007E534A">
      <w:pPr>
        <w:pStyle w:val="CBDNormalNumber"/>
        <w:numPr>
          <w:ilvl w:val="1"/>
          <w:numId w:val="40"/>
        </w:numPr>
      </w:pPr>
      <w:r>
        <w:t>изучить взаимосвязи критерия (b) с критерием (a) и критерием (c) с учетом возможности создания потенциальных порочных стимулов;</w:t>
      </w:r>
    </w:p>
    <w:p w14:paraId="7704C2F5" w14:textId="581EEA40" w:rsidR="00B86085" w:rsidRPr="00ED2A51" w:rsidRDefault="008C738F" w:rsidP="007E534A">
      <w:pPr>
        <w:pStyle w:val="CBDNormalNumber"/>
        <w:numPr>
          <w:ilvl w:val="1"/>
          <w:numId w:val="40"/>
        </w:numPr>
      </w:pPr>
      <w:r>
        <w:t>рассмотреть следующие вопросы, касающиеся информации в базах данных:</w:t>
      </w:r>
    </w:p>
    <w:p w14:paraId="0CB8334F" w14:textId="4B0DFA07" w:rsidR="00B86085" w:rsidRPr="00ED2A51" w:rsidRDefault="008C738F" w:rsidP="007E534A">
      <w:pPr>
        <w:pStyle w:val="CBDNormalNumber"/>
        <w:numPr>
          <w:ilvl w:val="2"/>
          <w:numId w:val="40"/>
        </w:numPr>
      </w:pPr>
      <w:r>
        <w:t>проблемы в области потенциала: сопоставление взаимосвязей между производителями последовательностей и издателями в наборе данных позволяет выявить макротенденции, касающиеся пробелов в возможностях. Для этого также могут использоваться национальные стратегии и планы действий по сохранению биологического разнообразия и национальные планы развития потенциала;</w:t>
      </w:r>
    </w:p>
    <w:p w14:paraId="11950C62" w14:textId="5B6BA5EA" w:rsidR="00B86085" w:rsidRPr="00ED2A51" w:rsidRDefault="008C738F" w:rsidP="007E534A">
      <w:pPr>
        <w:pStyle w:val="CBDNormalNumber"/>
        <w:numPr>
          <w:ilvl w:val="2"/>
          <w:numId w:val="40"/>
        </w:numPr>
      </w:pPr>
      <w:r>
        <w:t>руководство данными и подотчетность: подотчетность и прозрачность соответствующих баз данных, из которых берется информация для критерия (b), можно повысить посредством многостороннего руководства или договорных соглашений. Соответствующую информацию можно получить из карты охвата географического распределения метаданных;</w:t>
      </w:r>
    </w:p>
    <w:p w14:paraId="1E08C54C" w14:textId="723DB349" w:rsidR="00B86085" w:rsidRPr="00ED2A51" w:rsidRDefault="008C738F" w:rsidP="007E534A">
      <w:pPr>
        <w:pStyle w:val="CBDNormalNumber"/>
        <w:numPr>
          <w:ilvl w:val="2"/>
          <w:numId w:val="40"/>
        </w:numPr>
      </w:pPr>
      <w:r>
        <w:t>гармонизация стандартов: содержание метаданных, поля в формах представления данных, а также определения или термины должны быть согласованы таким образом, чтобы можно было определить страну происхождения генетических ресурсов, на основе которых была получена цифровая информация о последовательностях в отношении генетических ресурсов;</w:t>
      </w:r>
    </w:p>
    <w:p w14:paraId="5185C934" w14:textId="49D48B67" w:rsidR="00B86085" w:rsidRPr="00ED2A51" w:rsidRDefault="00155957" w:rsidP="007E534A">
      <w:pPr>
        <w:pStyle w:val="CBDNormalNumber"/>
        <w:numPr>
          <w:ilvl w:val="2"/>
          <w:numId w:val="40"/>
        </w:numPr>
      </w:pPr>
      <w:r>
        <w:lastRenderedPageBreak/>
        <w:t xml:space="preserve">включение точных географических данных или геопространственных данных, в том числе координат Глобальной системы определения местоположения: включение таких данных в соответствии с существующими и формирующимися передовыми методами в соответствующие базы данных может способствовать обеспечению суверенитета над данными; </w:t>
      </w:r>
    </w:p>
    <w:p w14:paraId="1484AC81" w14:textId="40FAE365" w:rsidR="00B86085" w:rsidRPr="00ED2A51" w:rsidRDefault="0067197B" w:rsidP="007E534A">
      <w:pPr>
        <w:pStyle w:val="CBDNormalNumber"/>
        <w:numPr>
          <w:ilvl w:val="2"/>
          <w:numId w:val="40"/>
        </w:numPr>
      </w:pPr>
      <w:r>
        <w:t xml:space="preserve">свободное, предварительное и осознанное согласие: обеспечить уважение права коренных народов и местных общин на свободное, предварительное и осознанное согласие; </w:t>
      </w:r>
    </w:p>
    <w:p w14:paraId="40DA97D2" w14:textId="36CF8C61" w:rsidR="00B86085" w:rsidRPr="00ED2A51" w:rsidRDefault="008C738F" w:rsidP="007E534A">
      <w:pPr>
        <w:pStyle w:val="CBDNormalNumber"/>
        <w:numPr>
          <w:ilvl w:val="2"/>
          <w:numId w:val="40"/>
        </w:numPr>
      </w:pPr>
      <w:r>
        <w:t>традиционные знания: в связи с использованием биокультурной или аналогичной маркировки в публичных базах данных следует рассмотреть вопрос о том, как наилучшим образом учитывать такие данные при последующих пересмотрах методики;</w:t>
      </w:r>
    </w:p>
    <w:p w14:paraId="1CFF2DA8" w14:textId="2ACBABEA" w:rsidR="00B86085" w:rsidRPr="00ED2A51" w:rsidRDefault="008C738F" w:rsidP="007E534A">
      <w:pPr>
        <w:pStyle w:val="CBDNormalNumber"/>
        <w:numPr>
          <w:ilvl w:val="1"/>
          <w:numId w:val="40"/>
        </w:numPr>
      </w:pPr>
      <w:r>
        <w:t>проанализировать цель критерия (b) в методике и рассмотреть возможность учета использования цифровых данных о последовательностях в отношении генетических ресурсов в публичных базах данных, полученных из какой</w:t>
      </w:r>
      <w:r w:rsidR="0028704F">
        <w:noBreakHyphen/>
      </w:r>
      <w:r>
        <w:t>либо страны, вместо объема данных из этой же страны, в том числе на основе информации о патентах, связанных с использованием цифровой информации о последовательностях в отношении генетических ресурсов;</w:t>
      </w:r>
    </w:p>
    <w:p w14:paraId="04873BC2" w14:textId="4A3C1E55" w:rsidR="00B86085" w:rsidRPr="00ED2A51" w:rsidRDefault="008C738F" w:rsidP="007E534A">
      <w:pPr>
        <w:pStyle w:val="CBDNormalNumber"/>
        <w:numPr>
          <w:ilvl w:val="1"/>
          <w:numId w:val="40"/>
        </w:numPr>
      </w:pPr>
      <w:r>
        <w:t>изучить способы определения того, соотносится ли генетический ресурс, из которого была получена цифровая информация о последовательности, с землями или территориями коренных народов и местных общин, в целях включения разномасштабных карт для различных видов в соответствии с местными традиционными знаниями.</w:t>
      </w:r>
    </w:p>
    <w:p w14:paraId="530C3E05" w14:textId="44597432" w:rsidR="00B86085" w:rsidRPr="00ED2A51" w:rsidRDefault="005C1326" w:rsidP="007E534A">
      <w:pPr>
        <w:pStyle w:val="CBDNormalNumber"/>
      </w:pPr>
      <w:r>
        <w:t>Изучить возможность включения данных из наборов данных консорциума LandMark в целях признания связи между генетическими данными и культурой.</w:t>
      </w:r>
    </w:p>
    <w:p w14:paraId="17B416AB" w14:textId="370DA7C9" w:rsidR="00B86085" w:rsidRPr="00ED2A51" w:rsidRDefault="008C738F" w:rsidP="007E534A">
      <w:pPr>
        <w:pStyle w:val="CBDNormalNumber"/>
      </w:pPr>
      <w:r>
        <w:t xml:space="preserve">Предоставить дополнительные разъяснения в отношении критерия (b) в ориентировочном перечне, содержащемся в добавлении II к приложению к решению </w:t>
      </w:r>
      <w:hyperlink r:id="rId29" w:history="1">
        <w:r>
          <w:rPr>
            <w:rStyle w:val="Hyperlink"/>
          </w:rPr>
          <w:t>16/2</w:t>
        </w:r>
      </w:hyperlink>
      <w:r>
        <w:t xml:space="preserve">, в частности в отношении определения «базы данных», упомянутой в пункте (b) добавления II. </w:t>
      </w:r>
    </w:p>
    <w:p w14:paraId="22F6CCE7" w14:textId="13C08CD1" w:rsidR="00B86085" w:rsidRPr="007E534A" w:rsidRDefault="00803AD9">
      <w:pPr>
        <w:pStyle w:val="Para1"/>
        <w:tabs>
          <w:tab w:val="clear" w:pos="567"/>
        </w:tabs>
        <w:jc w:val="left"/>
        <w:rPr>
          <w:b/>
          <w:bCs/>
        </w:rPr>
      </w:pPr>
      <w:r>
        <w:rPr>
          <w:b/>
        </w:rPr>
        <w:t>C.</w:t>
      </w:r>
      <w:r>
        <w:rPr>
          <w:b/>
        </w:rPr>
        <w:tab/>
        <w:t xml:space="preserve">Критерий (c): потребности в области потенциала </w:t>
      </w:r>
    </w:p>
    <w:p w14:paraId="711F819F" w14:textId="219E2FDE" w:rsidR="00B86085" w:rsidRPr="00ED2A51" w:rsidRDefault="008C738F" w:rsidP="007E534A">
      <w:pPr>
        <w:pStyle w:val="CBDNormalNumber"/>
      </w:pPr>
      <w:r>
        <w:t xml:space="preserve">Дальнейшая работа по данному критерию основывается на несоответствии между экономическим потенциалом страны, оцениваемым в настоящее время в соответствии со шкалой взносов Организации Объединенных Наций, и потенциалом страны в области сохранения и устойчивого использования своего биоразнообразия, как указано в решении </w:t>
      </w:r>
      <w:hyperlink r:id="rId30" w:history="1">
        <w:r>
          <w:rPr>
            <w:rStyle w:val="Hyperlink"/>
          </w:rPr>
          <w:t>16/2</w:t>
        </w:r>
      </w:hyperlink>
      <w:r>
        <w:t xml:space="preserve">. Соответственно, в краткосрочной перспективе следует сосредоточить усилия на следующих направлениях: </w:t>
      </w:r>
    </w:p>
    <w:p w14:paraId="60BCAA72" w14:textId="2BABC166" w:rsidR="00B86085" w:rsidRPr="00ED2A51" w:rsidRDefault="008C738F" w:rsidP="007E534A">
      <w:pPr>
        <w:pStyle w:val="CBDNormalNumber"/>
        <w:numPr>
          <w:ilvl w:val="1"/>
          <w:numId w:val="40"/>
        </w:numPr>
      </w:pPr>
      <w:r>
        <w:t xml:space="preserve">взаимосвязи критерия (а) с критерием (b) и критерием (d), включая влияние пробелов в потенциале на использование цифровой информации о последовательностях в отношении генетических ресурсов и на выгоды, получаемые от такого использования; </w:t>
      </w:r>
    </w:p>
    <w:p w14:paraId="40E3B0A7" w14:textId="710719E6" w:rsidR="00B86085" w:rsidRPr="00ED2A51" w:rsidRDefault="008C738F" w:rsidP="007E534A">
      <w:pPr>
        <w:pStyle w:val="CBDNormalNumber"/>
        <w:numPr>
          <w:ilvl w:val="1"/>
          <w:numId w:val="40"/>
        </w:numPr>
      </w:pPr>
      <w:r>
        <w:t xml:space="preserve">изучение возможности использования национальных стратегий и планов действий по сохранению биологического разнообразия и национальных планов развития потенциала в качестве адаптированного источника данных о потребностях в области потенциала с учетом существующего несоответствия в плане качества и объективности, а также риска создания порочных стимулов. </w:t>
      </w:r>
    </w:p>
    <w:p w14:paraId="79FCDD51" w14:textId="28595466" w:rsidR="00B86085" w:rsidRPr="007E534A" w:rsidRDefault="00E80611">
      <w:pPr>
        <w:pStyle w:val="Para1"/>
        <w:jc w:val="left"/>
        <w:rPr>
          <w:b/>
          <w:bCs/>
        </w:rPr>
      </w:pPr>
      <w:r>
        <w:rPr>
          <w:b/>
        </w:rPr>
        <w:t>D.</w:t>
      </w:r>
      <w:r>
        <w:rPr>
          <w:b/>
        </w:rPr>
        <w:tab/>
        <w:t xml:space="preserve">Критерий (d): традиционные знания </w:t>
      </w:r>
    </w:p>
    <w:p w14:paraId="74C366C8" w14:textId="1F88D469" w:rsidR="00B86085" w:rsidRPr="00ED2A51" w:rsidRDefault="008C738F" w:rsidP="00FD4CE8">
      <w:pPr>
        <w:pStyle w:val="CBDNormalNumber"/>
        <w:spacing w:before="100" w:after="100"/>
      </w:pPr>
      <w:r>
        <w:t>Группа экспертов включила четыре индикатора, касающиеся традиционных знаний, которые используются в рамках механизма мониторинга Куньминско</w:t>
      </w:r>
      <w:r w:rsidR="0028704F">
        <w:noBreakHyphen/>
      </w:r>
      <w:r>
        <w:t xml:space="preserve">Монреальской глобальной рамочной программы в области биоразнообразия. Однако пригодным для </w:t>
      </w:r>
      <w:r>
        <w:lastRenderedPageBreak/>
        <w:t xml:space="preserve">глобального применения и готовым к использованию был признан только индикатор 21.C.T.3, касающийся языкового разнообразия. Поэтому три оставшихся индикатора подлежат включению по мере поступления данных: </w:t>
      </w:r>
    </w:p>
    <w:p w14:paraId="074AF854" w14:textId="729A9200" w:rsidR="00B86085" w:rsidRPr="00ED2A51" w:rsidRDefault="00E463D5" w:rsidP="00FD4CE8">
      <w:pPr>
        <w:pStyle w:val="CBDNormalNumber"/>
        <w:numPr>
          <w:ilvl w:val="1"/>
          <w:numId w:val="40"/>
        </w:numPr>
        <w:spacing w:before="100" w:after="100"/>
      </w:pPr>
      <w:bookmarkStart w:id="7" w:name="_Hlk239344658"/>
      <w:r>
        <w:t xml:space="preserve">индикатор </w:t>
      </w:r>
      <w:bookmarkEnd w:id="7"/>
      <w:r>
        <w:t>22.1, касающийся изменения характера землепользования и землевладения на традиционных территориях коренных народов и местных общин;</w:t>
      </w:r>
    </w:p>
    <w:p w14:paraId="622550C2" w14:textId="2EDFF779" w:rsidR="00B86085" w:rsidRPr="00ED2A51" w:rsidRDefault="00E463D5" w:rsidP="00FD4CE8">
      <w:pPr>
        <w:pStyle w:val="CBDNormalNumber"/>
        <w:numPr>
          <w:ilvl w:val="1"/>
          <w:numId w:val="40"/>
        </w:numPr>
        <w:spacing w:before="100" w:after="100"/>
      </w:pPr>
      <w:r>
        <w:t>индикатор 9.2, касающийся доли населения, занятого традиционным трудом;</w:t>
      </w:r>
    </w:p>
    <w:p w14:paraId="4C97FCB1" w14:textId="7B506AE7" w:rsidR="00B86085" w:rsidRPr="00ED2A51" w:rsidRDefault="00E463D5" w:rsidP="00FD4CE8">
      <w:pPr>
        <w:pStyle w:val="CBDNormalNumber"/>
        <w:numPr>
          <w:ilvl w:val="1"/>
          <w:numId w:val="40"/>
        </w:numPr>
        <w:spacing w:before="100" w:after="100"/>
      </w:pPr>
      <w:r>
        <w:t>индикатор 22.b, касающийся участия и прав коренных народов и местных общин в принятии решений.</w:t>
      </w:r>
    </w:p>
    <w:p w14:paraId="7DC5E073" w14:textId="4061F7C6" w:rsidR="00B86085" w:rsidRPr="00ED2A51" w:rsidRDefault="009549D9" w:rsidP="00FD4CE8">
      <w:pPr>
        <w:pStyle w:val="CBDNormalNumber"/>
        <w:spacing w:before="100" w:after="100"/>
      </w:pPr>
      <w:r>
        <w:t>Что касается дальнейшей работы в среднесрочной перспективе, то рекомендуется следующее:</w:t>
      </w:r>
    </w:p>
    <w:p w14:paraId="2B4086ED" w14:textId="74894140" w:rsidR="00B86085" w:rsidRPr="00ED2A51" w:rsidRDefault="009549D9" w:rsidP="00FD4CE8">
      <w:pPr>
        <w:pStyle w:val="CBDNormalNumber"/>
        <w:numPr>
          <w:ilvl w:val="1"/>
          <w:numId w:val="40"/>
        </w:numPr>
        <w:spacing w:before="100" w:after="100"/>
      </w:pPr>
      <w:r>
        <w:t>дать оценку индикатора языкового разнообразия с учетом его развивающегося характера;</w:t>
      </w:r>
    </w:p>
    <w:p w14:paraId="65850232" w14:textId="509929F6" w:rsidR="00B86085" w:rsidRPr="00ED2A51" w:rsidRDefault="009549D9" w:rsidP="00FD4CE8">
      <w:pPr>
        <w:pStyle w:val="CBDNormalNumber"/>
        <w:numPr>
          <w:ilvl w:val="1"/>
          <w:numId w:val="40"/>
        </w:numPr>
        <w:spacing w:before="100" w:after="100"/>
      </w:pPr>
      <w:r>
        <w:t>изучить возможность дополнения критерия (d) показателями традиционных систем самоуправления и механизмов управления коренных народов;</w:t>
      </w:r>
    </w:p>
    <w:p w14:paraId="3AB218AC" w14:textId="2BD56BF9" w:rsidR="00B86085" w:rsidRPr="00ED2A51" w:rsidRDefault="009549D9" w:rsidP="00FD4CE8">
      <w:pPr>
        <w:pStyle w:val="CBDNormalNumber"/>
        <w:numPr>
          <w:ilvl w:val="1"/>
          <w:numId w:val="40"/>
        </w:numPr>
        <w:spacing w:before="100" w:after="100"/>
      </w:pPr>
      <w:r>
        <w:t xml:space="preserve">изучить другие источники данных, касающиеся, в частности: </w:t>
      </w:r>
      <w:bookmarkStart w:id="8" w:name="_Hlk239339617"/>
      <w:r>
        <w:t>разнообразия традиционных знаний</w:t>
      </w:r>
      <w:bookmarkEnd w:id="8"/>
      <w:r>
        <w:t xml:space="preserve">; программы работы по </w:t>
      </w:r>
      <w:r w:rsidR="00AF494E">
        <w:t>осуществлению статьи 8</w:t>
      </w:r>
      <w:r w:rsidR="00AF494E">
        <w:rPr>
          <w:lang w:val="en-US"/>
        </w:rPr>
        <w:t> </w:t>
      </w:r>
      <w:r>
        <w:t>j) и других положений Конвенции, касающихся коренных народов и местных общин, на период до 2030</w:t>
      </w:r>
      <w:r w:rsidR="008F4A93">
        <w:t> </w:t>
      </w:r>
      <w:r>
        <w:t xml:space="preserve">года; изменения характера землепользования и землевладения на традиционных территориях; работы по картированию земель коренных народов и общинных земель в рамках партнерства между Продовольственной и сельскохозяйственной организацией Объединенных Наций и консорциумом LandMark; деятельности Международного союза охраны природы по включению знаний коренных народов и местных общин в его </w:t>
      </w:r>
      <w:bookmarkStart w:id="9" w:name="_Hlk239340268"/>
      <w:r>
        <w:t xml:space="preserve">Красный список видов, находящихся под угрозой исчезновения; </w:t>
      </w:r>
      <w:bookmarkEnd w:id="9"/>
      <w:r>
        <w:t xml:space="preserve">биокультурных протоколов и научных знаний коренных народов; </w:t>
      </w:r>
      <w:r w:rsidR="0093775A" w:rsidRPr="0093775A">
        <w:t>других систем управления на основе биокультурного подхода и обычая</w:t>
      </w:r>
      <w:r>
        <w:t>; и правозащитных подходов.</w:t>
      </w:r>
    </w:p>
    <w:p w14:paraId="5D695686" w14:textId="3264CA4E" w:rsidR="00B86085" w:rsidRPr="007E534A" w:rsidRDefault="00E80611">
      <w:pPr>
        <w:pStyle w:val="Para1"/>
        <w:jc w:val="left"/>
        <w:rPr>
          <w:b/>
          <w:bCs/>
        </w:rPr>
      </w:pPr>
      <w:r>
        <w:rPr>
          <w:b/>
        </w:rPr>
        <w:t>E.</w:t>
      </w:r>
      <w:r>
        <w:rPr>
          <w:b/>
        </w:rPr>
        <w:tab/>
        <w:t>Общие рекомендации в отношении дальнейшей работы по источникам данных по критериям</w:t>
      </w:r>
    </w:p>
    <w:p w14:paraId="2D293CEE" w14:textId="6025C893" w:rsidR="00B86085" w:rsidRPr="00ED2A51" w:rsidRDefault="008C738F" w:rsidP="007E534A">
      <w:pPr>
        <w:pStyle w:val="CBDNormalNumber"/>
      </w:pPr>
      <w:r>
        <w:t>Некоторые рекомендации носят универсальный характер в отношении всех критериев и должны учитываться в дальнейшей работе или при последующих пересмотрах методики ассигнования. В их число входят следующие:</w:t>
      </w:r>
    </w:p>
    <w:p w14:paraId="22133FAB" w14:textId="1CEB0A08" w:rsidR="00B86085" w:rsidRPr="00ED2A51" w:rsidRDefault="008C738F" w:rsidP="00FD4CE8">
      <w:pPr>
        <w:pStyle w:val="CBDNormalNumber"/>
        <w:numPr>
          <w:ilvl w:val="1"/>
          <w:numId w:val="40"/>
        </w:numPr>
        <w:spacing w:before="100" w:after="100"/>
      </w:pPr>
      <w:r>
        <w:t>пересмотр весовых коэффициентов критерия по мере поступления новых или обновленных данных с учетом важности критерия или достоверности данных;</w:t>
      </w:r>
    </w:p>
    <w:p w14:paraId="577E485B" w14:textId="77777777" w:rsidR="00B86085" w:rsidRPr="00ED2A51" w:rsidRDefault="008C738F" w:rsidP="00FD4CE8">
      <w:pPr>
        <w:pStyle w:val="CBDNormalNumber"/>
        <w:numPr>
          <w:ilvl w:val="1"/>
          <w:numId w:val="40"/>
        </w:numPr>
        <w:spacing w:before="100" w:after="100"/>
      </w:pPr>
      <w:r>
        <w:t>разработка стандартов оценки надежности всех критериев;</w:t>
      </w:r>
    </w:p>
    <w:p w14:paraId="22AA9E9B" w14:textId="1C381A8C" w:rsidR="00B86085" w:rsidRPr="00ED2A51" w:rsidRDefault="008C738F" w:rsidP="00FD4CE8">
      <w:pPr>
        <w:pStyle w:val="CBDNormalNumber"/>
        <w:numPr>
          <w:ilvl w:val="1"/>
          <w:numId w:val="40"/>
        </w:numPr>
        <w:spacing w:before="100" w:after="100"/>
      </w:pPr>
      <w:r>
        <w:t xml:space="preserve">проведение анализа чувствительности формулы в целях получения информации по следующим вопросам: </w:t>
      </w:r>
    </w:p>
    <w:p w14:paraId="06936818" w14:textId="7FECA4B4" w:rsidR="00B86085" w:rsidRPr="00ED2A51" w:rsidRDefault="00FF2D03" w:rsidP="00FD4CE8">
      <w:pPr>
        <w:pStyle w:val="CBDNormalNumber"/>
        <w:numPr>
          <w:ilvl w:val="2"/>
          <w:numId w:val="40"/>
        </w:numPr>
        <w:spacing w:before="100" w:after="100"/>
      </w:pPr>
      <w:r>
        <w:t>влияние одного параметра на общий результат;</w:t>
      </w:r>
    </w:p>
    <w:p w14:paraId="600D14A4" w14:textId="6652567D" w:rsidR="00B86085" w:rsidRPr="00ED2A51" w:rsidRDefault="00FF2D03" w:rsidP="00FD4CE8">
      <w:pPr>
        <w:pStyle w:val="CBDNormalNumber"/>
        <w:numPr>
          <w:ilvl w:val="2"/>
          <w:numId w:val="40"/>
        </w:numPr>
        <w:spacing w:before="100" w:after="100"/>
      </w:pPr>
      <w:r>
        <w:t>влияние весовых коэффициентов на результат как способ проверки конкретного критерия;</w:t>
      </w:r>
    </w:p>
    <w:p w14:paraId="70DDD30F" w14:textId="318F9E88" w:rsidR="00B86085" w:rsidRPr="00ED2A51" w:rsidRDefault="008C738F" w:rsidP="00FD4CE8">
      <w:pPr>
        <w:pStyle w:val="CBDNormalNumber"/>
        <w:numPr>
          <w:ilvl w:val="1"/>
          <w:numId w:val="40"/>
        </w:numPr>
        <w:spacing w:before="100" w:after="100"/>
      </w:pPr>
      <w:r>
        <w:t xml:space="preserve">анализ руководства данными и их хранения в целях выявления потенциальных пробелов в источниках и их качестве, которые, в свою очередь, должны учитываться при использовании новых источников данных. </w:t>
      </w:r>
    </w:p>
    <w:p w14:paraId="08F6CD7B" w14:textId="7FCCE228" w:rsidR="00B86085" w:rsidRPr="00ED2A51" w:rsidRDefault="008C738F" w:rsidP="007E534A">
      <w:pPr>
        <w:pStyle w:val="CBDNormalNumber"/>
      </w:pPr>
      <w:r>
        <w:t xml:space="preserve">После проведения дальнейшей работы по критериям (a), (b) и (d), как отмечается в настоящих рекомендациях, Группа экспертов предлагает разработать индекс бережного управления биоразнообразием, охватывающий упомянутые выше критерии, который может использоваться в сочетании с формулой. </w:t>
      </w:r>
    </w:p>
    <w:p w14:paraId="7F3591DD" w14:textId="77777777" w:rsidR="00B86085" w:rsidRPr="007E534A" w:rsidRDefault="008C738F" w:rsidP="006E5E7A">
      <w:pPr>
        <w:pStyle w:val="Para1"/>
        <w:spacing w:before="0" w:after="0"/>
        <w:ind w:left="567"/>
        <w:jc w:val="center"/>
      </w:pPr>
      <w:r>
        <w:t>__________</w:t>
      </w:r>
    </w:p>
    <w:sectPr w:rsidR="00B86085" w:rsidRPr="007E534A" w:rsidSect="00693147">
      <w:footnotePr>
        <w:numRestart w:val="eachSect"/>
      </w:footnotePr>
      <w:pgSz w:w="12240" w:h="15840"/>
      <w:pgMar w:top="567" w:right="1440" w:bottom="1134" w:left="1440"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4D375" w14:textId="77777777" w:rsidR="0028184D" w:rsidRPr="00ED2A51" w:rsidRDefault="0028184D">
      <w:r w:rsidRPr="00ED2A51">
        <w:separator/>
      </w:r>
    </w:p>
  </w:endnote>
  <w:endnote w:type="continuationSeparator" w:id="0">
    <w:p w14:paraId="4D2CB47A" w14:textId="77777777" w:rsidR="0028184D" w:rsidRPr="00ED2A51" w:rsidRDefault="0028184D">
      <w:r w:rsidRPr="00ED2A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Helvetica Neue">
    <w:altName w:val="Arial"/>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9C5C4" w14:textId="05D1E472" w:rsidR="00B86085" w:rsidRPr="00ED2A51" w:rsidRDefault="008C738F">
    <w:pPr>
      <w:pStyle w:val="Footer"/>
      <w:tabs>
        <w:tab w:val="clear" w:pos="9360"/>
        <w:tab w:val="right" w:pos="9340"/>
      </w:tabs>
      <w:jc w:val="left"/>
    </w:pPr>
    <w:r w:rsidRPr="007E534A">
      <w:fldChar w:fldCharType="begin"/>
    </w:r>
    <w:r w:rsidRPr="007E534A">
      <w:instrText xml:space="preserve"> PAGE </w:instrText>
    </w:r>
    <w:r w:rsidRPr="007E534A">
      <w:fldChar w:fldCharType="separate"/>
    </w:r>
    <w:r w:rsidR="00F57B3C">
      <w:rPr>
        <w:noProof/>
      </w:rPr>
      <w:t>4</w:t>
    </w:r>
    <w:r w:rsidRPr="007E534A">
      <w:fldChar w:fldCharType="end"/>
    </w:r>
    <w:r>
      <w:t>/</w:t>
    </w:r>
    <w:fldSimple w:instr=" NUMPAGES ">
      <w:r w:rsidR="00F57B3C">
        <w:rPr>
          <w:noProof/>
        </w:rPr>
        <w:t>11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FCD23" w14:textId="77777777" w:rsidR="00B86085" w:rsidRPr="00ED2A51" w:rsidRDefault="008C738F" w:rsidP="007E534A">
    <w:pPr>
      <w:pStyle w:val="Footer"/>
      <w:tabs>
        <w:tab w:val="clear" w:pos="9360"/>
        <w:tab w:val="right" w:pos="9340"/>
      </w:tabs>
      <w:jc w:val="right"/>
    </w:pPr>
    <w:r w:rsidRPr="007E534A">
      <w:fldChar w:fldCharType="begin"/>
    </w:r>
    <w:r w:rsidRPr="007E534A">
      <w:instrText xml:space="preserve"> PAGE </w:instrText>
    </w:r>
    <w:r w:rsidRPr="007E534A">
      <w:fldChar w:fldCharType="separate"/>
    </w:r>
    <w:r w:rsidR="00F57B3C">
      <w:rPr>
        <w:noProof/>
      </w:rPr>
      <w:t>3</w:t>
    </w:r>
    <w:r w:rsidRPr="007E534A">
      <w:fldChar w:fldCharType="end"/>
    </w:r>
    <w:r>
      <w:t>/</w:t>
    </w:r>
    <w:fldSimple w:instr=" NUMPAGES ">
      <w:r w:rsidR="00F57B3C">
        <w:rPr>
          <w:noProof/>
        </w:rPr>
        <w:t>11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410DB" w14:textId="77777777" w:rsidR="0028184D" w:rsidRPr="00ED2A51" w:rsidRDefault="0028184D">
      <w:r w:rsidRPr="00ED2A51">
        <w:separator/>
      </w:r>
    </w:p>
  </w:footnote>
  <w:footnote w:type="continuationSeparator" w:id="0">
    <w:p w14:paraId="55584C80" w14:textId="77777777" w:rsidR="0028184D" w:rsidRPr="00ED2A51" w:rsidRDefault="0028184D">
      <w:r w:rsidRPr="00ED2A51">
        <w:continuationSeparator/>
      </w:r>
    </w:p>
  </w:footnote>
  <w:footnote w:type="continuationNotice" w:id="1">
    <w:p w14:paraId="1ECF3E99" w14:textId="77777777" w:rsidR="0028184D" w:rsidRPr="00ED2A51" w:rsidRDefault="0028184D"/>
  </w:footnote>
  <w:footnote w:id="2">
    <w:p w14:paraId="78E37D79" w14:textId="213E4228" w:rsidR="00205266" w:rsidRPr="00ED2A51" w:rsidRDefault="00205266">
      <w:pPr>
        <w:pStyle w:val="FootnoteText"/>
      </w:pPr>
      <w:r>
        <w:rPr>
          <w:rStyle w:val="FootnoteReference"/>
        </w:rPr>
        <w:t>*</w:t>
      </w:r>
      <w:r>
        <w:t xml:space="preserve"> </w:t>
      </w:r>
      <w:hyperlink r:id="rId1" w:history="1">
        <w:r>
          <w:rPr>
            <w:rStyle w:val="Hyperlink"/>
          </w:rPr>
          <w:t>CBD/COP/17/1/Rev.1</w:t>
        </w:r>
      </w:hyperlink>
      <w:r>
        <w:t>.</w:t>
      </w:r>
    </w:p>
  </w:footnote>
  <w:footnote w:id="3">
    <w:p w14:paraId="1C0F3F6B" w14:textId="4DFC8BA2" w:rsidR="00CB204A" w:rsidRPr="007E534A" w:rsidRDefault="00CB204A">
      <w:pPr>
        <w:pStyle w:val="FootnoteText"/>
      </w:pPr>
      <w:r>
        <w:rPr>
          <w:rStyle w:val="FootnoteReference"/>
        </w:rPr>
        <w:footnoteRef/>
      </w:r>
      <w:r>
        <w:t xml:space="preserve"> </w:t>
      </w:r>
      <w:r>
        <w:t>Методика ассигнования средств была первоначально издана без официального редактирования и содержится в приложении II к докладу о работе второго совещания Группы экспертов (</w:t>
      </w:r>
      <w:hyperlink r:id="rId2" w:history="1">
        <w:r>
          <w:rPr>
            <w:rStyle w:val="Hyperlink"/>
          </w:rPr>
          <w:t>CBD/DSI/AHTEG/2026/2/3</w:t>
        </w:r>
      </w:hyperlink>
      <w:r>
        <w:t>).</w:t>
      </w:r>
    </w:p>
  </w:footnote>
  <w:footnote w:id="4">
    <w:p w14:paraId="4638D9D1" w14:textId="03D8B033" w:rsidR="00B86085" w:rsidRPr="00ED2A51" w:rsidRDefault="008C738F">
      <w:pPr>
        <w:pStyle w:val="FootnoteText"/>
      </w:pPr>
      <w:r>
        <w:rPr>
          <w:vertAlign w:val="superscript"/>
        </w:rPr>
        <w:footnoteRef/>
      </w:r>
      <w:r>
        <w:t xml:space="preserve"> </w:t>
      </w:r>
      <w:hyperlink r:id="rId3" w:history="1">
        <w:r>
          <w:rPr>
            <w:rStyle w:val="Hyperlink0"/>
            <w:rFonts w:eastAsia="SimSun"/>
          </w:rPr>
          <w:t>www.cbd.int/meetings/DSI-AHTEG-2026-01</w:t>
        </w:r>
      </w:hyperlink>
      <w:r>
        <w:t xml:space="preserve"> и </w:t>
      </w:r>
      <w:hyperlink r:id="rId4" w:history="1">
        <w:r>
          <w:rPr>
            <w:rStyle w:val="Hyperlink0"/>
            <w:rFonts w:eastAsia="SimSun"/>
          </w:rPr>
          <w:t>www.cbd.int/meetings/DSI-AHTEG-2026-02</w:t>
        </w:r>
      </w:hyperlink>
      <w:r>
        <w:t xml:space="preserve">. </w:t>
      </w:r>
    </w:p>
  </w:footnote>
  <w:footnote w:id="5">
    <w:p w14:paraId="0CC7F5D9" w14:textId="2A3727F8" w:rsidR="00B86085" w:rsidRPr="00ED2A51" w:rsidRDefault="008C738F">
      <w:pPr>
        <w:pStyle w:val="FootnoteText"/>
        <w:jc w:val="both"/>
      </w:pPr>
      <w:r>
        <w:rPr>
          <w:b/>
          <w:bCs/>
          <w:vertAlign w:val="superscript"/>
        </w:rPr>
        <w:footnoteRef/>
      </w:r>
      <w:r>
        <w:t xml:space="preserve"> </w:t>
      </w:r>
      <w:r>
        <w:t>Где B — базовая величина равенства, w1 — весовой коэффициент один, C</w:t>
      </w:r>
      <w:r>
        <w:rPr>
          <w:vertAlign w:val="subscript"/>
        </w:rPr>
        <w:t>A</w:t>
      </w:r>
      <w:r>
        <w:t xml:space="preserve"> — </w:t>
      </w:r>
      <w:r w:rsidR="00F57B3C" w:rsidRPr="00F57B3C">
        <w:t>критерий (a) богатства биоразнообразия и иные связанные с биоразнообразием критерии</w:t>
      </w:r>
      <w:r>
        <w:t>; w2 — весовой коэффициент два; C</w:t>
      </w:r>
      <w:r>
        <w:rPr>
          <w:vertAlign w:val="subscript"/>
        </w:rPr>
        <w:t>B</w:t>
      </w:r>
      <w:r>
        <w:t xml:space="preserve"> — критерий (b), касающийся географического происхождения генетических ресурсов; w3 — весовой коэффициент три; C</w:t>
      </w:r>
      <w:r>
        <w:rPr>
          <w:vertAlign w:val="subscript"/>
        </w:rPr>
        <w:t>C</w:t>
      </w:r>
      <w:r>
        <w:t xml:space="preserve"> — критерий (c), касающийся потребностей в области потенциала для сохранения и устойчивого использования биоразнообразия; w4 — весовой коэффициент четыре; и C</w:t>
      </w:r>
      <w:r>
        <w:rPr>
          <w:vertAlign w:val="subscript"/>
        </w:rPr>
        <w:t>D</w:t>
      </w:r>
      <w:r>
        <w:t xml:space="preserve"> — критерий (d), касающийся мер, связанных с традиционными знаниями и коренными народами и местными общинами.</w:t>
      </w:r>
    </w:p>
  </w:footnote>
  <w:footnote w:id="6">
    <w:p w14:paraId="6E2F4DE9" w14:textId="6DC3E893" w:rsidR="00B86085" w:rsidRPr="00ED2A51" w:rsidRDefault="008C738F">
      <w:pPr>
        <w:pStyle w:val="FootnoteText"/>
      </w:pPr>
      <w:r>
        <w:rPr>
          <w:vertAlign w:val="superscript"/>
        </w:rPr>
        <w:footnoteRef/>
      </w:r>
      <w:r w:rsidRPr="00BE633C">
        <w:rPr>
          <w:lang w:val="en-US"/>
        </w:rPr>
        <w:t xml:space="preserve"> Paul Oldham, “Inverted UN scale of assessments formula (IUSAF): working paper on option A”, 7 May 2026. </w:t>
      </w:r>
      <w:r>
        <w:t xml:space="preserve">Размещено по адресу: </w:t>
      </w:r>
      <w:hyperlink r:id="rId5" w:history="1">
        <w:r>
          <w:rPr>
            <w:rStyle w:val="Hyperlink0"/>
            <w:rFonts w:eastAsia="SimSun"/>
          </w:rPr>
          <w:t>https://ssrn.com/abstract=6809586</w:t>
        </w:r>
      </w:hyperlink>
      <w:r>
        <w:t>.</w:t>
      </w:r>
    </w:p>
  </w:footnote>
  <w:footnote w:id="7">
    <w:p w14:paraId="27CCD9CF" w14:textId="4C9AB2A3" w:rsidR="00B86085" w:rsidRPr="00ED2A51" w:rsidRDefault="008C738F">
      <w:pPr>
        <w:pStyle w:val="FootnoteText"/>
      </w:pPr>
      <w:r>
        <w:rPr>
          <w:vertAlign w:val="superscript"/>
        </w:rPr>
        <w:footnoteRef/>
      </w:r>
      <w:r>
        <w:t xml:space="preserve"> </w:t>
      </w:r>
      <w:r>
        <w:t>Или B = F/2 (N+0,25M), где F — общий объем имеющихся средств, N — общее число Сторон, являющихся странами</w:t>
      </w:r>
      <w:r w:rsidR="0028704F">
        <w:noBreakHyphen/>
      </w:r>
      <w:r>
        <w:t>получателями, а M — число наименее развитых стран и малых островных развивающихся государств.</w:t>
      </w:r>
    </w:p>
  </w:footnote>
  <w:footnote w:id="8">
    <w:p w14:paraId="78CC9EE8" w14:textId="2800C366" w:rsidR="00B86085" w:rsidRPr="00ED2A51" w:rsidRDefault="008C738F">
      <w:pPr>
        <w:pStyle w:val="FootnoteText"/>
      </w:pPr>
      <w:r>
        <w:rPr>
          <w:vertAlign w:val="superscript"/>
        </w:rPr>
        <w:footnoteRef/>
      </w:r>
      <w:r>
        <w:t xml:space="preserve"> </w:t>
      </w:r>
      <w:r>
        <w:t xml:space="preserve">Или </w:t>
      </w:r>
      <w:r>
        <w:t>B = F/2N, где F — общий объем имеющихся средств, N — общее число Сторон, являющихся странами</w:t>
      </w:r>
      <w:r w:rsidR="0028704F">
        <w:noBreakHyphen/>
      </w:r>
      <w:r>
        <w:t>получателями.</w:t>
      </w:r>
    </w:p>
  </w:footnote>
  <w:footnote w:id="9">
    <w:p w14:paraId="5CF919C6" w14:textId="1509AEA1" w:rsidR="00B86085" w:rsidRPr="00ED2A51" w:rsidRDefault="008C738F">
      <w:pPr>
        <w:pStyle w:val="FootnoteText"/>
      </w:pPr>
      <w:r>
        <w:rPr>
          <w:vertAlign w:val="superscript"/>
        </w:rPr>
        <w:footnoteRef/>
      </w:r>
      <w:r>
        <w:t xml:space="preserve"> </w:t>
      </w:r>
      <w:r>
        <w:t>Индикаторы 22.1, касающийся изменения характера землепользования и землевладения на традиционных территориях коренных народов и местных общин; 9.2, касающийся доли населения, занятого традиционным трудом; и 22.b, касающийся участия и прав коренных народов и местных общин в принятии решений, в настоящее время являются позициями</w:t>
      </w:r>
      <w:r w:rsidR="0028704F">
        <w:noBreakHyphen/>
      </w:r>
      <w:r>
        <w:t xml:space="preserve">заполнителями, и исходные данные по ним будут включены по мере их доступности. Всем подкомпонентам присваиваются равные весовые коэффициенты.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35B63" w14:textId="77777777" w:rsidR="00B86085" w:rsidRPr="00ED2A51" w:rsidRDefault="008C738F">
    <w:pPr>
      <w:pStyle w:val="Header"/>
      <w:tabs>
        <w:tab w:val="clear" w:pos="9360"/>
        <w:tab w:val="right" w:pos="9340"/>
      </w:tabs>
      <w:spacing w:after="240"/>
    </w:pPr>
    <w:r>
      <w:t>CBD/COP/17/6/Add.2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2CC89" w14:textId="77777777" w:rsidR="00B86085" w:rsidRPr="00ED2A51" w:rsidRDefault="008C738F">
    <w:pPr>
      <w:pStyle w:val="Header"/>
      <w:tabs>
        <w:tab w:val="clear" w:pos="9360"/>
        <w:tab w:val="right" w:pos="9340"/>
      </w:tabs>
      <w:spacing w:after="240"/>
      <w:jc w:val="right"/>
    </w:pPr>
    <w:r>
      <w:t>CBD/COP/17/6/Add.2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4E6A5" w14:textId="77777777" w:rsidR="00DB5210" w:rsidRPr="00DB5210" w:rsidRDefault="00DB5210" w:rsidP="00DB521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86121"/>
    <w:multiLevelType w:val="hybridMultilevel"/>
    <w:tmpl w:val="184C8028"/>
    <w:styleLink w:val="ImportedStyle2"/>
    <w:lvl w:ilvl="0" w:tplc="E09C4024">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1B388DE6">
      <w:start w:val="1"/>
      <w:numFmt w:val="lowerLetter"/>
      <w:lvlText w:val="(%2)"/>
      <w:lvlJc w:val="left"/>
      <w:pPr>
        <w:tabs>
          <w:tab w:val="left" w:pos="360"/>
          <w:tab w:val="left" w:pos="567"/>
          <w:tab w:val="left" w:pos="1134"/>
          <w:tab w:val="num" w:pos="1440"/>
          <w:tab w:val="left" w:pos="1701"/>
          <w:tab w:val="left" w:pos="2268"/>
        </w:tabs>
        <w:ind w:left="567"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37E84ED2">
      <w:start w:val="1"/>
      <w:numFmt w:val="lowerRoman"/>
      <w:lvlText w:val="(%3)"/>
      <w:lvlJc w:val="left"/>
      <w:pPr>
        <w:tabs>
          <w:tab w:val="left" w:pos="360"/>
          <w:tab w:val="left" w:pos="567"/>
          <w:tab w:val="left" w:pos="1134"/>
          <w:tab w:val="left" w:pos="1440"/>
          <w:tab w:val="left" w:pos="1701"/>
        </w:tabs>
        <w:ind w:left="2268"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64406566">
      <w:start w:val="1"/>
      <w:numFmt w:val="decimal"/>
      <w:lvlText w:val="(%4)"/>
      <w:lvlJc w:val="left"/>
      <w:pPr>
        <w:tabs>
          <w:tab w:val="left" w:pos="360"/>
          <w:tab w:val="left" w:pos="567"/>
          <w:tab w:val="left" w:pos="1134"/>
          <w:tab w:val="left" w:pos="1440"/>
          <w:tab w:val="left" w:pos="1701"/>
          <w:tab w:val="left" w:pos="2268"/>
        </w:tabs>
        <w:ind w:left="2835"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72DCE9F4">
      <w:start w:val="1"/>
      <w:numFmt w:val="lowerLetter"/>
      <w:lvlText w:val="(%5)"/>
      <w:lvlJc w:val="left"/>
      <w:pPr>
        <w:tabs>
          <w:tab w:val="left" w:pos="360"/>
          <w:tab w:val="left" w:pos="567"/>
          <w:tab w:val="left" w:pos="1134"/>
          <w:tab w:val="left" w:pos="1440"/>
          <w:tab w:val="left" w:pos="1701"/>
          <w:tab w:val="left" w:pos="2268"/>
        </w:tabs>
        <w:ind w:left="3402"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EFD2E192">
      <w:start w:val="1"/>
      <w:numFmt w:val="lowerRoman"/>
      <w:lvlText w:val="(%6)"/>
      <w:lvlJc w:val="left"/>
      <w:pPr>
        <w:tabs>
          <w:tab w:val="left" w:pos="360"/>
          <w:tab w:val="left" w:pos="567"/>
          <w:tab w:val="left" w:pos="1134"/>
          <w:tab w:val="left" w:pos="1440"/>
          <w:tab w:val="left" w:pos="1701"/>
          <w:tab w:val="left" w:pos="2268"/>
        </w:tabs>
        <w:ind w:left="282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22989A0E">
      <w:start w:val="1"/>
      <w:numFmt w:val="decimal"/>
      <w:lvlText w:val="%7."/>
      <w:lvlJc w:val="left"/>
      <w:pPr>
        <w:tabs>
          <w:tab w:val="left" w:pos="360"/>
          <w:tab w:val="left" w:pos="567"/>
          <w:tab w:val="left" w:pos="1134"/>
          <w:tab w:val="left" w:pos="1440"/>
          <w:tab w:val="left" w:pos="1701"/>
          <w:tab w:val="left" w:pos="2268"/>
        </w:tabs>
        <w:ind w:left="318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8786BBB2">
      <w:start w:val="1"/>
      <w:numFmt w:val="lowerLetter"/>
      <w:lvlText w:val="%8."/>
      <w:lvlJc w:val="left"/>
      <w:pPr>
        <w:tabs>
          <w:tab w:val="left" w:pos="360"/>
          <w:tab w:val="left" w:pos="567"/>
          <w:tab w:val="left" w:pos="1134"/>
          <w:tab w:val="left" w:pos="1440"/>
          <w:tab w:val="left" w:pos="1701"/>
          <w:tab w:val="left" w:pos="2268"/>
        </w:tabs>
        <w:ind w:left="354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4964F5C8">
      <w:start w:val="1"/>
      <w:numFmt w:val="lowerRoman"/>
      <w:lvlText w:val="%9."/>
      <w:lvlJc w:val="left"/>
      <w:pPr>
        <w:tabs>
          <w:tab w:val="left" w:pos="360"/>
          <w:tab w:val="left" w:pos="567"/>
          <w:tab w:val="left" w:pos="1134"/>
          <w:tab w:val="left" w:pos="1440"/>
          <w:tab w:val="left" w:pos="1701"/>
          <w:tab w:val="left" w:pos="2268"/>
        </w:tabs>
        <w:ind w:left="390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B094CA1"/>
    <w:multiLevelType w:val="hybridMultilevel"/>
    <w:tmpl w:val="006A3DEA"/>
    <w:styleLink w:val="ImportedStyle3"/>
    <w:lvl w:ilvl="0" w:tplc="AE5A3C08">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B5A8A2C">
      <w:start w:val="1"/>
      <w:numFmt w:val="lowerLetter"/>
      <w:lvlText w:val="(%2)"/>
      <w:lvlJc w:val="left"/>
      <w:pPr>
        <w:ind w:left="414" w:hanging="41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272633EC">
      <w:start w:val="1"/>
      <w:numFmt w:val="lowerRoman"/>
      <w:suff w:val="nothing"/>
      <w:lvlText w:val="(%3)"/>
      <w:lvlJc w:val="left"/>
      <w:pPr>
        <w:ind w:left="1134" w:hanging="16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4F028CBE">
      <w:start w:val="1"/>
      <w:numFmt w:val="lowerRoman"/>
      <w:suff w:val="nothing"/>
      <w:lvlText w:val="(%4)"/>
      <w:lvlJc w:val="left"/>
      <w:pPr>
        <w:ind w:left="1418" w:hanging="21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CB40D6F2">
      <w:start w:val="1"/>
      <w:numFmt w:val="lowerLetter"/>
      <w:suff w:val="nothing"/>
      <w:lvlText w:val="(%5)"/>
      <w:lvlJc w:val="left"/>
      <w:pPr>
        <w:ind w:left="1701" w:hanging="26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8BA6EFC8">
      <w:start w:val="1"/>
      <w:numFmt w:val="lowerRoman"/>
      <w:lvlText w:val="(%6)"/>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823E26B0">
      <w:start w:val="1"/>
      <w:numFmt w:val="decimal"/>
      <w:lvlText w:val="%7."/>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B77E075A">
      <w:start w:val="1"/>
      <w:numFmt w:val="lowerLetter"/>
      <w:lvlText w:val="%8."/>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53B6DD30">
      <w:start w:val="1"/>
      <w:numFmt w:val="lowerRoman"/>
      <w:lvlText w:val="%9."/>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B144EF7"/>
    <w:multiLevelType w:val="hybridMultilevel"/>
    <w:tmpl w:val="07D269C8"/>
    <w:numStyleLink w:val="CBDHeadings"/>
  </w:abstractNum>
  <w:abstractNum w:abstractNumId="3" w15:restartNumberingAfterBreak="0">
    <w:nsid w:val="3A80002A"/>
    <w:multiLevelType w:val="hybridMultilevel"/>
    <w:tmpl w:val="006A3DEA"/>
    <w:numStyleLink w:val="ImportedStyle3"/>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 w15:restartNumberingAfterBreak="0">
    <w:nsid w:val="763D5E40"/>
    <w:multiLevelType w:val="hybridMultilevel"/>
    <w:tmpl w:val="184C8028"/>
    <w:numStyleLink w:val="ImportedStyle2"/>
  </w:abstractNum>
  <w:num w:numId="1" w16cid:durableId="835532140">
    <w:abstractNumId w:val="0"/>
  </w:num>
  <w:num w:numId="2" w16cid:durableId="1562903286">
    <w:abstractNumId w:val="8"/>
  </w:num>
  <w:num w:numId="3" w16cid:durableId="757289932">
    <w:abstractNumId w:val="2"/>
  </w:num>
  <w:num w:numId="4" w16cid:durableId="1405495689">
    <w:abstractNumId w:val="1"/>
  </w:num>
  <w:num w:numId="5" w16cid:durableId="1440761950">
    <w:abstractNumId w:val="3"/>
  </w:num>
  <w:num w:numId="6" w16cid:durableId="1235628459">
    <w:abstractNumId w:val="3"/>
    <w:lvlOverride w:ilvl="0">
      <w:startOverride w:val="3"/>
    </w:lvlOverride>
  </w:num>
  <w:num w:numId="7" w16cid:durableId="1453675208">
    <w:abstractNumId w:val="2"/>
    <w:lvlOverride w:ilvl="2">
      <w:startOverride w:val="2"/>
    </w:lvlOverride>
  </w:num>
  <w:num w:numId="8" w16cid:durableId="649017448">
    <w:abstractNumId w:val="8"/>
    <w:lvlOverride w:ilvl="0">
      <w:startOverride w:val="4"/>
    </w:lvlOverride>
  </w:num>
  <w:num w:numId="9" w16cid:durableId="202788614">
    <w:abstractNumId w:val="2"/>
    <w:lvlOverride w:ilvl="2">
      <w:startOverride w:val="3"/>
    </w:lvlOverride>
  </w:num>
  <w:num w:numId="10" w16cid:durableId="32388077">
    <w:abstractNumId w:val="8"/>
    <w:lvlOverride w:ilvl="0">
      <w:startOverride w:val="5"/>
    </w:lvlOverride>
  </w:num>
  <w:num w:numId="11" w16cid:durableId="350448842">
    <w:abstractNumId w:val="2"/>
    <w:lvlOverride w:ilvl="2">
      <w:startOverride w:val="4"/>
    </w:lvlOverride>
  </w:num>
  <w:num w:numId="12" w16cid:durableId="1368793311">
    <w:abstractNumId w:val="8"/>
    <w:lvlOverride w:ilvl="0">
      <w:startOverride w:val="6"/>
    </w:lvlOverride>
  </w:num>
  <w:num w:numId="13" w16cid:durableId="1007174285">
    <w:abstractNumId w:val="2"/>
    <w:lvlOverride w:ilvl="1">
      <w:startOverride w:val="2"/>
    </w:lvlOverride>
  </w:num>
  <w:num w:numId="14" w16cid:durableId="1103761771">
    <w:abstractNumId w:val="8"/>
    <w:lvlOverride w:ilvl="0">
      <w:startOverride w:val="7"/>
    </w:lvlOverride>
  </w:num>
  <w:num w:numId="15" w16cid:durableId="1995407055">
    <w:abstractNumId w:val="3"/>
    <w:lvlOverride w:ilvl="0">
      <w:startOverride w:val="5"/>
      <w:lvl w:ilvl="0" w:tplc="EE5607CC">
        <w:start w:val="5"/>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870091D4">
        <w:start w:val="1"/>
        <w:numFmt w:val="lowerLetter"/>
        <w:suff w:val="nothing"/>
        <w:lvlText w:val="(%2)"/>
        <w:lvlJc w:val="left"/>
        <w:pPr>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DBD0330C">
        <w:start w:val="1"/>
        <w:numFmt w:val="lowerRoman"/>
        <w:suff w:val="nothing"/>
        <w:lvlText w:val="(%3)"/>
        <w:lvlJc w:val="left"/>
        <w:pPr>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ACA23F1A">
        <w:start w:val="1"/>
        <w:numFmt w:val="lowerRoman"/>
        <w:suff w:val="nothing"/>
        <w:lvlText w:val="(%4)"/>
        <w:lvlJc w:val="left"/>
        <w:pPr>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CE0E894">
        <w:start w:val="1"/>
        <w:numFmt w:val="lowerLetter"/>
        <w:lvlText w:val="(%5)"/>
        <w:lvlJc w:val="left"/>
        <w:pPr>
          <w:tabs>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156C486E">
        <w:start w:val="1"/>
        <w:numFmt w:val="lowerRoman"/>
        <w:lvlText w:val="(%6)"/>
        <w:lvlJc w:val="left"/>
        <w:pPr>
          <w:tabs>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00AAA6A">
        <w:start w:val="1"/>
        <w:numFmt w:val="decimal"/>
        <w:lvlText w:val="%7."/>
        <w:lvlJc w:val="left"/>
        <w:pPr>
          <w:tabs>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E86FD64">
        <w:start w:val="1"/>
        <w:numFmt w:val="lowerLetter"/>
        <w:lvlText w:val="%8."/>
        <w:lvlJc w:val="left"/>
        <w:pPr>
          <w:tabs>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8014FA6C">
        <w:start w:val="1"/>
        <w:numFmt w:val="lowerRoman"/>
        <w:lvlText w:val="%9."/>
        <w:lvlJc w:val="left"/>
        <w:pPr>
          <w:tabs>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6" w16cid:durableId="403450401">
    <w:abstractNumId w:val="8"/>
    <w:lvlOverride w:ilvl="0">
      <w:startOverride w:val="9"/>
    </w:lvlOverride>
  </w:num>
  <w:num w:numId="17" w16cid:durableId="1220096974">
    <w:abstractNumId w:val="8"/>
    <w:lvlOverride w:ilvl="0">
      <w:lvl w:ilvl="0" w:tplc="6860984E">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4EB62AAC">
        <w:start w:val="1"/>
        <w:numFmt w:val="lowerLetter"/>
        <w:lvlText w:val="(%2)"/>
        <w:lvlJc w:val="left"/>
        <w:pPr>
          <w:tabs>
            <w:tab w:val="num" w:pos="1440"/>
          </w:tabs>
          <w:ind w:left="567"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874E485A">
        <w:start w:val="1"/>
        <w:numFmt w:val="lowerRoman"/>
        <w:lvlText w:val="(%3)"/>
        <w:lvlJc w:val="left"/>
        <w:pPr>
          <w:tabs>
            <w:tab w:val="left" w:pos="360"/>
            <w:tab w:val="left" w:pos="567"/>
            <w:tab w:val="left" w:pos="1134"/>
            <w:tab w:val="left" w:pos="1440"/>
            <w:tab w:val="left" w:pos="1701"/>
            <w:tab w:val="num" w:pos="2268"/>
          </w:tabs>
          <w:ind w:left="2535" w:hanging="83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2EAA97FA">
        <w:start w:val="1"/>
        <w:numFmt w:val="decimal"/>
        <w:lvlText w:val="(%4)"/>
        <w:lvlJc w:val="left"/>
        <w:pPr>
          <w:tabs>
            <w:tab w:val="left" w:pos="360"/>
            <w:tab w:val="left" w:pos="567"/>
            <w:tab w:val="left" w:pos="1134"/>
            <w:tab w:val="left" w:pos="1440"/>
            <w:tab w:val="left" w:pos="1701"/>
            <w:tab w:val="left" w:pos="2268"/>
            <w:tab w:val="num" w:pos="2835"/>
          </w:tabs>
          <w:ind w:left="3102" w:hanging="83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BBC062AC">
        <w:start w:val="1"/>
        <w:numFmt w:val="lowerLetter"/>
        <w:lvlText w:val="(%5)"/>
        <w:lvlJc w:val="left"/>
        <w:pPr>
          <w:tabs>
            <w:tab w:val="left" w:pos="360"/>
            <w:tab w:val="left" w:pos="567"/>
            <w:tab w:val="left" w:pos="1134"/>
            <w:tab w:val="left" w:pos="1440"/>
            <w:tab w:val="left" w:pos="1701"/>
            <w:tab w:val="left" w:pos="2268"/>
            <w:tab w:val="num" w:pos="3402"/>
          </w:tabs>
          <w:ind w:left="3669" w:hanging="83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EFEA716C">
        <w:start w:val="1"/>
        <w:numFmt w:val="lowerRoman"/>
        <w:lvlText w:val="(%6)"/>
        <w:lvlJc w:val="left"/>
        <w:pPr>
          <w:tabs>
            <w:tab w:val="left" w:pos="360"/>
            <w:tab w:val="left" w:pos="567"/>
            <w:tab w:val="left" w:pos="1134"/>
            <w:tab w:val="left" w:pos="1440"/>
            <w:tab w:val="left" w:pos="1701"/>
            <w:tab w:val="left" w:pos="2268"/>
            <w:tab w:val="num" w:pos="2826"/>
          </w:tabs>
          <w:ind w:left="3093" w:hanging="6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4F0F266">
        <w:start w:val="1"/>
        <w:numFmt w:val="decimal"/>
        <w:lvlText w:val="%7."/>
        <w:lvlJc w:val="left"/>
        <w:pPr>
          <w:tabs>
            <w:tab w:val="left" w:pos="360"/>
            <w:tab w:val="left" w:pos="567"/>
            <w:tab w:val="left" w:pos="1134"/>
            <w:tab w:val="left" w:pos="1440"/>
            <w:tab w:val="left" w:pos="1701"/>
            <w:tab w:val="left" w:pos="2268"/>
            <w:tab w:val="num" w:pos="3186"/>
          </w:tabs>
          <w:ind w:left="3453" w:hanging="6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CE4816CA">
        <w:start w:val="1"/>
        <w:numFmt w:val="lowerLetter"/>
        <w:lvlText w:val="%8."/>
        <w:lvlJc w:val="left"/>
        <w:pPr>
          <w:tabs>
            <w:tab w:val="left" w:pos="360"/>
            <w:tab w:val="left" w:pos="567"/>
            <w:tab w:val="left" w:pos="1134"/>
            <w:tab w:val="left" w:pos="1440"/>
            <w:tab w:val="left" w:pos="1701"/>
            <w:tab w:val="left" w:pos="2268"/>
            <w:tab w:val="num" w:pos="3546"/>
          </w:tabs>
          <w:ind w:left="3813" w:hanging="6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A9AA6600">
        <w:start w:val="1"/>
        <w:numFmt w:val="lowerRoman"/>
        <w:lvlText w:val="%9."/>
        <w:lvlJc w:val="left"/>
        <w:pPr>
          <w:tabs>
            <w:tab w:val="left" w:pos="360"/>
            <w:tab w:val="left" w:pos="567"/>
            <w:tab w:val="left" w:pos="1134"/>
            <w:tab w:val="left" w:pos="1440"/>
            <w:tab w:val="left" w:pos="1701"/>
            <w:tab w:val="left" w:pos="2268"/>
            <w:tab w:val="num" w:pos="3906"/>
          </w:tabs>
          <w:ind w:left="4173" w:hanging="6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8" w16cid:durableId="1772890010">
    <w:abstractNumId w:val="8"/>
    <w:lvlOverride w:ilvl="1">
      <w:startOverride w:val="4"/>
    </w:lvlOverride>
  </w:num>
  <w:num w:numId="19" w16cid:durableId="1721975370">
    <w:abstractNumId w:val="8"/>
    <w:lvlOverride w:ilvl="0">
      <w:lvl w:ilvl="0" w:tplc="6860984E">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4EB62AAC">
        <w:start w:val="1"/>
        <w:numFmt w:val="lowerLetter"/>
        <w:lvlText w:val="(%2)"/>
        <w:lvlJc w:val="left"/>
        <w:pPr>
          <w:tabs>
            <w:tab w:val="num" w:pos="1440"/>
          </w:tabs>
          <w:ind w:left="567"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874E485A">
        <w:start w:val="1"/>
        <w:numFmt w:val="lowerRoman"/>
        <w:lvlText w:val="(%3)"/>
        <w:lvlJc w:val="left"/>
        <w:pPr>
          <w:ind w:left="2268"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2EAA97FA">
        <w:start w:val="1"/>
        <w:numFmt w:val="decimal"/>
        <w:lvlText w:val="(%4)"/>
        <w:lvlJc w:val="left"/>
        <w:pPr>
          <w:ind w:left="2835"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BBC062AC">
        <w:start w:val="1"/>
        <w:numFmt w:val="lowerLetter"/>
        <w:lvlText w:val="(%5)"/>
        <w:lvlJc w:val="left"/>
        <w:pPr>
          <w:ind w:left="3402"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EFEA716C">
        <w:start w:val="1"/>
        <w:numFmt w:val="lowerRoman"/>
        <w:lvlText w:val="(%6)"/>
        <w:lvlJc w:val="left"/>
        <w:pPr>
          <w:ind w:left="282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4F0F266">
        <w:start w:val="1"/>
        <w:numFmt w:val="decimal"/>
        <w:lvlText w:val="%7."/>
        <w:lvlJc w:val="left"/>
        <w:pPr>
          <w:ind w:left="318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CE4816CA">
        <w:start w:val="1"/>
        <w:numFmt w:val="lowerLetter"/>
        <w:lvlText w:val="%8."/>
        <w:lvlJc w:val="left"/>
        <w:pPr>
          <w:ind w:left="3402" w:hanging="21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A9AA6600">
        <w:start w:val="1"/>
        <w:numFmt w:val="lowerRoman"/>
        <w:lvlText w:val="%9."/>
        <w:lvlJc w:val="left"/>
        <w:pPr>
          <w:ind w:left="390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0" w16cid:durableId="238491440">
    <w:abstractNumId w:val="3"/>
    <w:lvlOverride w:ilvl="0">
      <w:startOverride w:val="6"/>
      <w:lvl w:ilvl="0" w:tplc="EE5607CC">
        <w:start w:val="6"/>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870091D4">
        <w:start w:val="1"/>
        <w:numFmt w:val="lowerLetter"/>
        <w:suff w:val="nothing"/>
        <w:lvlText w:val="(%2)"/>
        <w:lvlJc w:val="left"/>
        <w:pPr>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DBD0330C">
        <w:start w:val="1"/>
        <w:numFmt w:val="lowerRoman"/>
        <w:suff w:val="nothing"/>
        <w:lvlText w:val="(%3)"/>
        <w:lvlJc w:val="left"/>
        <w:pPr>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ACA23F1A">
        <w:start w:val="1"/>
        <w:numFmt w:val="lowerRoman"/>
        <w:suff w:val="nothing"/>
        <w:lvlText w:val="(%4)"/>
        <w:lvlJc w:val="left"/>
        <w:pPr>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CE0E894">
        <w:start w:val="1"/>
        <w:numFmt w:val="lowerLetter"/>
        <w:lvlText w:val="(%5)"/>
        <w:lvlJc w:val="left"/>
        <w:pPr>
          <w:tabs>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156C486E">
        <w:start w:val="1"/>
        <w:numFmt w:val="lowerRoman"/>
        <w:lvlText w:val="(%6)"/>
        <w:lvlJc w:val="left"/>
        <w:pPr>
          <w:tabs>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00AAA6A">
        <w:start w:val="1"/>
        <w:numFmt w:val="decimal"/>
        <w:lvlText w:val="%7."/>
        <w:lvlJc w:val="left"/>
        <w:pPr>
          <w:tabs>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E86FD64">
        <w:start w:val="1"/>
        <w:numFmt w:val="lowerLetter"/>
        <w:lvlText w:val="%8."/>
        <w:lvlJc w:val="left"/>
        <w:pPr>
          <w:tabs>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8014FA6C">
        <w:start w:val="1"/>
        <w:numFmt w:val="lowerRoman"/>
        <w:lvlText w:val="%9."/>
        <w:lvlJc w:val="left"/>
        <w:pPr>
          <w:tabs>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1" w16cid:durableId="1871845072">
    <w:abstractNumId w:val="8"/>
    <w:lvlOverride w:ilvl="1">
      <w:startOverride w:val="1"/>
    </w:lvlOverride>
  </w:num>
  <w:num w:numId="22" w16cid:durableId="933049825">
    <w:abstractNumId w:val="2"/>
    <w:lvlOverride w:ilvl="1">
      <w:startOverride w:val="3"/>
    </w:lvlOverride>
  </w:num>
  <w:num w:numId="23" w16cid:durableId="1488013397">
    <w:abstractNumId w:val="3"/>
    <w:lvlOverride w:ilvl="0">
      <w:startOverride w:val="8"/>
      <w:lvl w:ilvl="0" w:tplc="EE5607CC">
        <w:start w:val="8"/>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870091D4">
        <w:start w:val="1"/>
        <w:numFmt w:val="lowerLetter"/>
        <w:suff w:val="nothing"/>
        <w:lvlText w:val="(%2)"/>
        <w:lvlJc w:val="left"/>
        <w:pPr>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DBD0330C">
        <w:start w:val="1"/>
        <w:numFmt w:val="lowerRoman"/>
        <w:suff w:val="nothing"/>
        <w:lvlText w:val="(%3)"/>
        <w:lvlJc w:val="left"/>
        <w:pPr>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ACA23F1A">
        <w:start w:val="1"/>
        <w:numFmt w:val="lowerRoman"/>
        <w:suff w:val="nothing"/>
        <w:lvlText w:val="(%4)"/>
        <w:lvlJc w:val="left"/>
        <w:pPr>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CE0E894">
        <w:start w:val="1"/>
        <w:numFmt w:val="lowerLetter"/>
        <w:lvlText w:val="(%5)"/>
        <w:lvlJc w:val="left"/>
        <w:pPr>
          <w:tabs>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156C486E">
        <w:start w:val="1"/>
        <w:numFmt w:val="lowerRoman"/>
        <w:lvlText w:val="(%6)"/>
        <w:lvlJc w:val="left"/>
        <w:pPr>
          <w:tabs>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00AAA6A">
        <w:start w:val="1"/>
        <w:numFmt w:val="decimal"/>
        <w:lvlText w:val="%7."/>
        <w:lvlJc w:val="left"/>
        <w:pPr>
          <w:tabs>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E86FD64">
        <w:start w:val="1"/>
        <w:numFmt w:val="lowerLetter"/>
        <w:lvlText w:val="%8."/>
        <w:lvlJc w:val="left"/>
        <w:pPr>
          <w:tabs>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8014FA6C">
        <w:start w:val="1"/>
        <w:numFmt w:val="lowerRoman"/>
        <w:lvlText w:val="%9."/>
        <w:lvlJc w:val="left"/>
        <w:pPr>
          <w:tabs>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4" w16cid:durableId="2036610434">
    <w:abstractNumId w:val="3"/>
    <w:lvlOverride w:ilvl="0">
      <w:startOverride w:val="10"/>
      <w:lvl w:ilvl="0" w:tplc="EE5607CC">
        <w:start w:val="10"/>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870091D4">
        <w:start w:val="1"/>
        <w:numFmt w:val="lowerLetter"/>
        <w:suff w:val="nothing"/>
        <w:lvlText w:val="(%2)"/>
        <w:lvlJc w:val="left"/>
        <w:pPr>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DBD0330C">
        <w:start w:val="1"/>
        <w:numFmt w:val="lowerRoman"/>
        <w:suff w:val="nothing"/>
        <w:lvlText w:val="(%3)"/>
        <w:lvlJc w:val="left"/>
        <w:pPr>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ACA23F1A">
        <w:start w:val="1"/>
        <w:numFmt w:val="lowerRoman"/>
        <w:suff w:val="nothing"/>
        <w:lvlText w:val="(%4)"/>
        <w:lvlJc w:val="left"/>
        <w:pPr>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CE0E894">
        <w:start w:val="1"/>
        <w:numFmt w:val="lowerLetter"/>
        <w:lvlText w:val="(%5)"/>
        <w:lvlJc w:val="left"/>
        <w:pPr>
          <w:tabs>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156C486E">
        <w:start w:val="1"/>
        <w:numFmt w:val="lowerRoman"/>
        <w:lvlText w:val="(%6)"/>
        <w:lvlJc w:val="left"/>
        <w:pPr>
          <w:tabs>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00AAA6A">
        <w:start w:val="1"/>
        <w:numFmt w:val="decimal"/>
        <w:lvlText w:val="%7."/>
        <w:lvlJc w:val="left"/>
        <w:pPr>
          <w:tabs>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E86FD64">
        <w:start w:val="1"/>
        <w:numFmt w:val="lowerLetter"/>
        <w:lvlText w:val="%8."/>
        <w:lvlJc w:val="left"/>
        <w:pPr>
          <w:tabs>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8014FA6C">
        <w:start w:val="1"/>
        <w:numFmt w:val="lowerRoman"/>
        <w:lvlText w:val="%9."/>
        <w:lvlJc w:val="left"/>
        <w:pPr>
          <w:tabs>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5" w16cid:durableId="1137454486">
    <w:abstractNumId w:val="8"/>
    <w:lvlOverride w:ilvl="1">
      <w:startOverride w:val="1"/>
    </w:lvlOverride>
  </w:num>
  <w:num w:numId="26" w16cid:durableId="867334877">
    <w:abstractNumId w:val="3"/>
    <w:lvlOverride w:ilvl="0">
      <w:startOverride w:val="12"/>
      <w:lvl w:ilvl="0" w:tplc="EE5607CC">
        <w:start w:val="12"/>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870091D4">
        <w:start w:val="1"/>
        <w:numFmt w:val="lowerLetter"/>
        <w:suff w:val="nothing"/>
        <w:lvlText w:val="(%2)"/>
        <w:lvlJc w:val="left"/>
        <w:pPr>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DBD0330C">
        <w:start w:val="1"/>
        <w:numFmt w:val="lowerRoman"/>
        <w:suff w:val="nothing"/>
        <w:lvlText w:val="(%3)"/>
        <w:lvlJc w:val="left"/>
        <w:pPr>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ACA23F1A">
        <w:start w:val="1"/>
        <w:numFmt w:val="lowerRoman"/>
        <w:suff w:val="nothing"/>
        <w:lvlText w:val="(%4)"/>
        <w:lvlJc w:val="left"/>
        <w:pPr>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CE0E894">
        <w:start w:val="1"/>
        <w:numFmt w:val="lowerLetter"/>
        <w:lvlText w:val="(%5)"/>
        <w:lvlJc w:val="left"/>
        <w:pPr>
          <w:tabs>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156C486E">
        <w:start w:val="1"/>
        <w:numFmt w:val="lowerRoman"/>
        <w:lvlText w:val="(%6)"/>
        <w:lvlJc w:val="left"/>
        <w:pPr>
          <w:tabs>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00AAA6A">
        <w:start w:val="1"/>
        <w:numFmt w:val="decimal"/>
        <w:lvlText w:val="%7."/>
        <w:lvlJc w:val="left"/>
        <w:pPr>
          <w:tabs>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E86FD64">
        <w:start w:val="1"/>
        <w:numFmt w:val="lowerLetter"/>
        <w:lvlText w:val="%8."/>
        <w:lvlJc w:val="left"/>
        <w:pPr>
          <w:tabs>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8014FA6C">
        <w:start w:val="1"/>
        <w:numFmt w:val="lowerRoman"/>
        <w:lvlText w:val="%9."/>
        <w:lvlJc w:val="left"/>
        <w:pPr>
          <w:tabs>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7" w16cid:durableId="1923953581">
    <w:abstractNumId w:val="8"/>
    <w:lvlOverride w:ilvl="1">
      <w:startOverride w:val="1"/>
    </w:lvlOverride>
  </w:num>
  <w:num w:numId="28" w16cid:durableId="1071850224">
    <w:abstractNumId w:val="3"/>
    <w:lvlOverride w:ilvl="0">
      <w:startOverride w:val="13"/>
      <w:lvl w:ilvl="0" w:tplc="EE5607CC">
        <w:start w:val="13"/>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870091D4">
        <w:start w:val="1"/>
        <w:numFmt w:val="lowerLetter"/>
        <w:suff w:val="nothing"/>
        <w:lvlText w:val="(%2)"/>
        <w:lvlJc w:val="left"/>
        <w:pPr>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DBD0330C">
        <w:start w:val="1"/>
        <w:numFmt w:val="lowerRoman"/>
        <w:suff w:val="nothing"/>
        <w:lvlText w:val="(%3)"/>
        <w:lvlJc w:val="left"/>
        <w:pPr>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ACA23F1A">
        <w:start w:val="1"/>
        <w:numFmt w:val="lowerRoman"/>
        <w:suff w:val="nothing"/>
        <w:lvlText w:val="(%4)"/>
        <w:lvlJc w:val="left"/>
        <w:pPr>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CE0E894">
        <w:start w:val="1"/>
        <w:numFmt w:val="lowerLetter"/>
        <w:lvlText w:val="(%5)"/>
        <w:lvlJc w:val="left"/>
        <w:pPr>
          <w:tabs>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156C486E">
        <w:start w:val="1"/>
        <w:numFmt w:val="lowerRoman"/>
        <w:lvlText w:val="(%6)"/>
        <w:lvlJc w:val="left"/>
        <w:pPr>
          <w:tabs>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00AAA6A">
        <w:start w:val="1"/>
        <w:numFmt w:val="decimal"/>
        <w:lvlText w:val="%7."/>
        <w:lvlJc w:val="left"/>
        <w:pPr>
          <w:tabs>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E86FD64">
        <w:start w:val="1"/>
        <w:numFmt w:val="lowerLetter"/>
        <w:lvlText w:val="%8."/>
        <w:lvlJc w:val="left"/>
        <w:pPr>
          <w:tabs>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8014FA6C">
        <w:start w:val="1"/>
        <w:numFmt w:val="lowerRoman"/>
        <w:lvlText w:val="%9."/>
        <w:lvlJc w:val="left"/>
        <w:pPr>
          <w:tabs>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9" w16cid:durableId="1410733855">
    <w:abstractNumId w:val="8"/>
    <w:lvlOverride w:ilvl="1">
      <w:startOverride w:val="6"/>
    </w:lvlOverride>
  </w:num>
  <w:num w:numId="30" w16cid:durableId="1391339891">
    <w:abstractNumId w:val="3"/>
    <w:lvlOverride w:ilvl="0">
      <w:startOverride w:val="16"/>
      <w:lvl w:ilvl="0" w:tplc="EE5607CC">
        <w:start w:val="16"/>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870091D4">
        <w:start w:val="1"/>
        <w:numFmt w:val="lowerLetter"/>
        <w:suff w:val="nothing"/>
        <w:lvlText w:val="(%2)"/>
        <w:lvlJc w:val="left"/>
        <w:pPr>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DBD0330C">
        <w:start w:val="1"/>
        <w:numFmt w:val="lowerRoman"/>
        <w:suff w:val="nothing"/>
        <w:lvlText w:val="(%3)"/>
        <w:lvlJc w:val="left"/>
        <w:pPr>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ACA23F1A">
        <w:start w:val="1"/>
        <w:numFmt w:val="lowerRoman"/>
        <w:suff w:val="nothing"/>
        <w:lvlText w:val="(%4)"/>
        <w:lvlJc w:val="left"/>
        <w:pPr>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CE0E894">
        <w:start w:val="1"/>
        <w:numFmt w:val="lowerLetter"/>
        <w:lvlText w:val="(%5)"/>
        <w:lvlJc w:val="left"/>
        <w:pPr>
          <w:tabs>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156C486E">
        <w:start w:val="1"/>
        <w:numFmt w:val="lowerRoman"/>
        <w:lvlText w:val="(%6)"/>
        <w:lvlJc w:val="left"/>
        <w:pPr>
          <w:tabs>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00AAA6A">
        <w:start w:val="1"/>
        <w:numFmt w:val="decimal"/>
        <w:lvlText w:val="%7."/>
        <w:lvlJc w:val="left"/>
        <w:pPr>
          <w:tabs>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E86FD64">
        <w:start w:val="1"/>
        <w:numFmt w:val="lowerLetter"/>
        <w:lvlText w:val="%8."/>
        <w:lvlJc w:val="left"/>
        <w:pPr>
          <w:tabs>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8014FA6C">
        <w:start w:val="1"/>
        <w:numFmt w:val="lowerRoman"/>
        <w:lvlText w:val="%9."/>
        <w:lvlJc w:val="left"/>
        <w:pPr>
          <w:tabs>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1" w16cid:durableId="1461460755">
    <w:abstractNumId w:val="3"/>
    <w:lvlOverride w:ilvl="0">
      <w:lvl w:ilvl="0" w:tplc="EE5607CC">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870091D4">
        <w:start w:val="1"/>
        <w:numFmt w:val="lowerLetter"/>
        <w:suff w:val="nothing"/>
        <w:lvlText w:val="(%2)"/>
        <w:lvlJc w:val="left"/>
        <w:pPr>
          <w:ind w:left="567" w:firstLine="41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DBD0330C">
        <w:start w:val="1"/>
        <w:numFmt w:val="lowerRoman"/>
        <w:suff w:val="nothing"/>
        <w:lvlText w:val="(%3)"/>
        <w:lvlJc w:val="left"/>
        <w:pPr>
          <w:ind w:left="1701" w:firstLine="40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ACA23F1A">
        <w:start w:val="1"/>
        <w:numFmt w:val="lowerRoman"/>
        <w:suff w:val="nothing"/>
        <w:lvlText w:val="(%4)"/>
        <w:lvlJc w:val="left"/>
        <w:pPr>
          <w:ind w:left="1985" w:firstLine="3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2CE0E894">
        <w:start w:val="1"/>
        <w:numFmt w:val="lowerLetter"/>
        <w:suff w:val="nothing"/>
        <w:lvlText w:val="(%5)"/>
        <w:lvlJc w:val="left"/>
        <w:pPr>
          <w:ind w:left="2268" w:firstLine="30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156C486E">
        <w:start w:val="1"/>
        <w:numFmt w:val="lowerRoman"/>
        <w:lvlText w:val="(%6)"/>
        <w:lvlJc w:val="left"/>
        <w:pPr>
          <w:tabs>
            <w:tab w:val="num" w:pos="3294"/>
          </w:tabs>
          <w:ind w:left="2727" w:firstLine="20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100AAA6A">
        <w:start w:val="1"/>
        <w:numFmt w:val="decimal"/>
        <w:lvlText w:val="%7."/>
        <w:lvlJc w:val="left"/>
        <w:pPr>
          <w:tabs>
            <w:tab w:val="num" w:pos="3654"/>
          </w:tabs>
          <w:ind w:left="3087" w:firstLine="20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4E86FD64">
        <w:start w:val="1"/>
        <w:numFmt w:val="lowerLetter"/>
        <w:lvlText w:val="%8."/>
        <w:lvlJc w:val="left"/>
        <w:pPr>
          <w:tabs>
            <w:tab w:val="num" w:pos="4014"/>
          </w:tabs>
          <w:ind w:left="3447" w:firstLine="20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014FA6C">
        <w:start w:val="1"/>
        <w:numFmt w:val="lowerRoman"/>
        <w:lvlText w:val="%9."/>
        <w:lvlJc w:val="left"/>
        <w:pPr>
          <w:tabs>
            <w:tab w:val="num" w:pos="4374"/>
          </w:tabs>
          <w:ind w:left="3807" w:firstLine="20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2" w16cid:durableId="1700398349">
    <w:abstractNumId w:val="8"/>
    <w:lvlOverride w:ilvl="1">
      <w:startOverride w:val="11"/>
    </w:lvlOverride>
  </w:num>
  <w:num w:numId="33" w16cid:durableId="133109198">
    <w:abstractNumId w:val="3"/>
    <w:lvlOverride w:ilvl="0">
      <w:startOverride w:val="20"/>
      <w:lvl w:ilvl="0" w:tplc="EE5607CC">
        <w:start w:val="20"/>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870091D4">
        <w:start w:val="1"/>
        <w:numFmt w:val="lowerLetter"/>
        <w:suff w:val="nothing"/>
        <w:lvlText w:val="(%2)"/>
        <w:lvlJc w:val="left"/>
        <w:pPr>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DBD0330C">
        <w:start w:val="1"/>
        <w:numFmt w:val="lowerRoman"/>
        <w:suff w:val="nothing"/>
        <w:lvlText w:val="(%3)"/>
        <w:lvlJc w:val="left"/>
        <w:pPr>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ACA23F1A">
        <w:start w:val="1"/>
        <w:numFmt w:val="lowerRoman"/>
        <w:suff w:val="nothing"/>
        <w:lvlText w:val="(%4)"/>
        <w:lvlJc w:val="left"/>
        <w:pPr>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CE0E894">
        <w:start w:val="1"/>
        <w:numFmt w:val="lowerLetter"/>
        <w:lvlText w:val="(%5)"/>
        <w:lvlJc w:val="left"/>
        <w:pPr>
          <w:tabs>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156C486E">
        <w:start w:val="1"/>
        <w:numFmt w:val="lowerRoman"/>
        <w:lvlText w:val="(%6)"/>
        <w:lvlJc w:val="left"/>
        <w:pPr>
          <w:tabs>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00AAA6A">
        <w:start w:val="1"/>
        <w:numFmt w:val="decimal"/>
        <w:lvlText w:val="%7."/>
        <w:lvlJc w:val="left"/>
        <w:pPr>
          <w:tabs>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E86FD64">
        <w:start w:val="1"/>
        <w:numFmt w:val="lowerLetter"/>
        <w:lvlText w:val="%8."/>
        <w:lvlJc w:val="left"/>
        <w:pPr>
          <w:tabs>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8014FA6C">
        <w:start w:val="1"/>
        <w:numFmt w:val="lowerRoman"/>
        <w:lvlText w:val="%9."/>
        <w:lvlJc w:val="left"/>
        <w:pPr>
          <w:tabs>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4" w16cid:durableId="1457946527">
    <w:abstractNumId w:val="8"/>
    <w:lvlOverride w:ilvl="1">
      <w:startOverride w:val="13"/>
    </w:lvlOverride>
  </w:num>
  <w:num w:numId="35" w16cid:durableId="1030178611">
    <w:abstractNumId w:val="3"/>
    <w:lvlOverride w:ilvl="0">
      <w:startOverride w:val="22"/>
      <w:lvl w:ilvl="0" w:tplc="EE5607CC">
        <w:start w:val="22"/>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870091D4">
        <w:start w:val="1"/>
        <w:numFmt w:val="lowerLetter"/>
        <w:suff w:val="nothing"/>
        <w:lvlText w:val="(%2)"/>
        <w:lvlJc w:val="left"/>
        <w:pPr>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DBD0330C">
        <w:start w:val="1"/>
        <w:numFmt w:val="lowerRoman"/>
        <w:suff w:val="nothing"/>
        <w:lvlText w:val="(%3)"/>
        <w:lvlJc w:val="left"/>
        <w:pPr>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ACA23F1A">
        <w:start w:val="1"/>
        <w:numFmt w:val="lowerRoman"/>
        <w:suff w:val="nothing"/>
        <w:lvlText w:val="(%4)"/>
        <w:lvlJc w:val="left"/>
        <w:pPr>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CE0E894">
        <w:start w:val="1"/>
        <w:numFmt w:val="lowerLetter"/>
        <w:lvlText w:val="(%5)"/>
        <w:lvlJc w:val="left"/>
        <w:pPr>
          <w:tabs>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156C486E">
        <w:start w:val="1"/>
        <w:numFmt w:val="lowerRoman"/>
        <w:lvlText w:val="(%6)"/>
        <w:lvlJc w:val="left"/>
        <w:pPr>
          <w:tabs>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00AAA6A">
        <w:start w:val="1"/>
        <w:numFmt w:val="decimal"/>
        <w:lvlText w:val="%7."/>
        <w:lvlJc w:val="left"/>
        <w:pPr>
          <w:tabs>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E86FD64">
        <w:start w:val="1"/>
        <w:numFmt w:val="lowerLetter"/>
        <w:lvlText w:val="%8."/>
        <w:lvlJc w:val="left"/>
        <w:pPr>
          <w:tabs>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8014FA6C">
        <w:start w:val="1"/>
        <w:numFmt w:val="lowerRoman"/>
        <w:lvlText w:val="%9."/>
        <w:lvlJc w:val="left"/>
        <w:pPr>
          <w:tabs>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6" w16cid:durableId="1177960901">
    <w:abstractNumId w:val="8"/>
    <w:lvlOverride w:ilvl="1">
      <w:startOverride w:val="4"/>
    </w:lvlOverride>
  </w:num>
  <w:num w:numId="37" w16cid:durableId="1730568954">
    <w:abstractNumId w:val="3"/>
    <w:lvlOverride w:ilvl="0">
      <w:startOverride w:val="23"/>
      <w:lvl w:ilvl="0" w:tplc="EE5607CC">
        <w:start w:val="23"/>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870091D4">
        <w:start w:val="1"/>
        <w:numFmt w:val="lowerLetter"/>
        <w:suff w:val="nothing"/>
        <w:lvlText w:val="(%2)"/>
        <w:lvlJc w:val="left"/>
        <w:pPr>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DBD0330C">
        <w:start w:val="1"/>
        <w:numFmt w:val="lowerRoman"/>
        <w:suff w:val="nothing"/>
        <w:lvlText w:val="(%3)"/>
        <w:lvlJc w:val="left"/>
        <w:pPr>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ACA23F1A">
        <w:start w:val="1"/>
        <w:numFmt w:val="lowerRoman"/>
        <w:suff w:val="nothing"/>
        <w:lvlText w:val="(%4)"/>
        <w:lvlJc w:val="left"/>
        <w:pPr>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CE0E894">
        <w:start w:val="1"/>
        <w:numFmt w:val="lowerLetter"/>
        <w:lvlText w:val="(%5)"/>
        <w:lvlJc w:val="left"/>
        <w:pPr>
          <w:tabs>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156C486E">
        <w:start w:val="1"/>
        <w:numFmt w:val="lowerRoman"/>
        <w:lvlText w:val="(%6)"/>
        <w:lvlJc w:val="left"/>
        <w:pPr>
          <w:tabs>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00AAA6A">
        <w:start w:val="1"/>
        <w:numFmt w:val="decimal"/>
        <w:lvlText w:val="%7."/>
        <w:lvlJc w:val="left"/>
        <w:pPr>
          <w:tabs>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E86FD64">
        <w:start w:val="1"/>
        <w:numFmt w:val="lowerLetter"/>
        <w:lvlText w:val="%8."/>
        <w:lvlJc w:val="left"/>
        <w:pPr>
          <w:tabs>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8014FA6C">
        <w:start w:val="1"/>
        <w:numFmt w:val="lowerRoman"/>
        <w:lvlText w:val="%9."/>
        <w:lvlJc w:val="left"/>
        <w:pPr>
          <w:tabs>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8" w16cid:durableId="10962086">
    <w:abstractNumId w:val="4"/>
  </w:num>
  <w:num w:numId="39" w16cid:durableId="1018701420">
    <w:abstractNumId w:val="6"/>
  </w:num>
  <w:num w:numId="40" w16cid:durableId="1745761169">
    <w:abstractNumId w:val="5"/>
  </w:num>
  <w:num w:numId="41" w16cid:durableId="1779135303">
    <w:abstractNumId w:val="6"/>
  </w:num>
  <w:num w:numId="42" w16cid:durableId="346904852">
    <w:abstractNumId w:val="7"/>
  </w:num>
  <w:num w:numId="43" w16cid:durableId="214507356">
    <w:abstractNumId w:val="5"/>
  </w:num>
  <w:num w:numId="44" w16cid:durableId="3363265">
    <w:abstractNumId w:val="5"/>
  </w:num>
  <w:num w:numId="45" w16cid:durableId="919022504">
    <w:abstractNumId w:val="5"/>
  </w:num>
  <w:num w:numId="46" w16cid:durableId="68384499">
    <w:abstractNumId w:val="5"/>
  </w:num>
  <w:num w:numId="47" w16cid:durableId="105513930">
    <w:abstractNumId w:val="5"/>
  </w:num>
  <w:num w:numId="48" w16cid:durableId="240527623">
    <w:abstractNumId w:val="5"/>
  </w:num>
  <w:num w:numId="49" w16cid:durableId="1837842449">
    <w:abstractNumId w:val="5"/>
  </w:num>
  <w:num w:numId="50" w16cid:durableId="569120837">
    <w:abstractNumId w:val="5"/>
  </w:num>
  <w:num w:numId="51" w16cid:durableId="871384252">
    <w:abstractNumId w:val="5"/>
  </w:num>
  <w:num w:numId="52" w16cid:durableId="758261155">
    <w:abstractNumId w:val="5"/>
  </w:num>
  <w:num w:numId="53" w16cid:durableId="1284655399">
    <w:abstractNumId w:val="5"/>
  </w:num>
  <w:num w:numId="54" w16cid:durableId="139538673">
    <w:abstractNumId w:val="5"/>
  </w:num>
  <w:num w:numId="55" w16cid:durableId="2055152293">
    <w:abstractNumId w:val="5"/>
  </w:num>
  <w:num w:numId="56" w16cid:durableId="1647588251">
    <w:abstractNumId w:val="5"/>
  </w:num>
  <w:num w:numId="57" w16cid:durableId="328145948">
    <w:abstractNumId w:val="5"/>
  </w:num>
  <w:num w:numId="58" w16cid:durableId="1419062846">
    <w:abstractNumId w:val="5"/>
  </w:num>
  <w:num w:numId="59" w16cid:durableId="1805342070">
    <w:abstractNumId w:val="5"/>
  </w:num>
  <w:num w:numId="60" w16cid:durableId="1089155158">
    <w:abstractNumId w:val="5"/>
  </w:num>
  <w:num w:numId="61" w16cid:durableId="1037586932">
    <w:abstractNumId w:val="5"/>
  </w:num>
  <w:num w:numId="62" w16cid:durableId="2142845222">
    <w:abstractNumId w:val="5"/>
  </w:num>
  <w:num w:numId="63" w16cid:durableId="299306421">
    <w:abstractNumId w:val="5"/>
  </w:num>
  <w:num w:numId="64" w16cid:durableId="524906869">
    <w:abstractNumId w:val="5"/>
  </w:num>
  <w:num w:numId="65" w16cid:durableId="1293436534">
    <w:abstractNumId w:val="5"/>
  </w:num>
  <w:num w:numId="66" w16cid:durableId="136337752">
    <w:abstractNumId w:val="5"/>
  </w:num>
  <w:num w:numId="67" w16cid:durableId="949505790">
    <w:abstractNumId w:val="5"/>
  </w:num>
  <w:num w:numId="68" w16cid:durableId="179660384">
    <w:abstractNumId w:val="5"/>
  </w:num>
  <w:num w:numId="69" w16cid:durableId="723068762">
    <w:abstractNumId w:val="5"/>
  </w:num>
  <w:num w:numId="70" w16cid:durableId="676008023">
    <w:abstractNumId w:val="5"/>
  </w:num>
  <w:num w:numId="71" w16cid:durableId="1909220668">
    <w:abstractNumId w:val="5"/>
  </w:num>
  <w:num w:numId="72" w16cid:durableId="1798446923">
    <w:abstractNumId w:val="5"/>
  </w:num>
  <w:num w:numId="73" w16cid:durableId="207841109">
    <w:abstractNumId w:val="5"/>
  </w:num>
  <w:num w:numId="74" w16cid:durableId="1926918066">
    <w:abstractNumId w:val="5"/>
  </w:num>
  <w:num w:numId="75" w16cid:durableId="852839564">
    <w:abstractNumId w:val="5"/>
  </w:num>
  <w:num w:numId="76" w16cid:durableId="1207987853">
    <w:abstractNumId w:val="5"/>
  </w:num>
  <w:num w:numId="77" w16cid:durableId="1492137267">
    <w:abstractNumId w:val="5"/>
  </w:num>
  <w:num w:numId="78" w16cid:durableId="2090491996">
    <w:abstractNumId w:val="5"/>
  </w:num>
  <w:num w:numId="79" w16cid:durableId="1876186470">
    <w:abstractNumId w:val="5"/>
  </w:num>
  <w:num w:numId="80" w16cid:durableId="899904211">
    <w:abstractNumId w:val="5"/>
  </w:num>
  <w:num w:numId="81" w16cid:durableId="1703508439">
    <w:abstractNumId w:val="5"/>
  </w:num>
  <w:num w:numId="82" w16cid:durableId="1193568792">
    <w:abstractNumId w:val="5"/>
  </w:num>
  <w:num w:numId="83" w16cid:durableId="1053702367">
    <w:abstractNumId w:val="5"/>
  </w:num>
  <w:num w:numId="84" w16cid:durableId="538206665">
    <w:abstractNumId w:val="5"/>
  </w:num>
  <w:num w:numId="85" w16cid:durableId="1199202772">
    <w:abstractNumId w:val="5"/>
  </w:num>
  <w:num w:numId="86" w16cid:durableId="428235308">
    <w:abstractNumId w:val="5"/>
  </w:num>
  <w:num w:numId="87" w16cid:durableId="572086058">
    <w:abstractNumId w:val="5"/>
  </w:num>
  <w:num w:numId="88" w16cid:durableId="396824013">
    <w:abstractNumId w:val="5"/>
  </w:num>
  <w:num w:numId="89" w16cid:durableId="449472167">
    <w:abstractNumId w:val="5"/>
  </w:num>
  <w:num w:numId="90" w16cid:durableId="2095583606">
    <w:abstractNumId w:val="5"/>
  </w:num>
  <w:num w:numId="91" w16cid:durableId="1823693970">
    <w:abstractNumId w:val="5"/>
  </w:num>
  <w:num w:numId="92" w16cid:durableId="1706173874">
    <w:abstractNumId w:val="5"/>
  </w:num>
  <w:num w:numId="93" w16cid:durableId="2102027614">
    <w:abstractNumId w:val="5"/>
  </w:num>
  <w:num w:numId="94" w16cid:durableId="543178094">
    <w:abstractNumId w:val="5"/>
  </w:num>
  <w:num w:numId="95" w16cid:durableId="272902682">
    <w:abstractNumId w:val="5"/>
  </w:num>
  <w:num w:numId="96" w16cid:durableId="509102237">
    <w:abstractNumId w:val="5"/>
  </w:num>
  <w:num w:numId="97" w16cid:durableId="550463835">
    <w:abstractNumId w:val="5"/>
  </w:num>
  <w:num w:numId="98" w16cid:durableId="997735467">
    <w:abstractNumId w:val="5"/>
  </w:num>
  <w:num w:numId="99" w16cid:durableId="1807043845">
    <w:abstractNumId w:val="5"/>
  </w:num>
  <w:num w:numId="100" w16cid:durableId="2060207312">
    <w:abstractNumId w:val="5"/>
  </w:num>
  <w:num w:numId="101" w16cid:durableId="1781221693">
    <w:abstractNumId w:val="5"/>
  </w:num>
  <w:num w:numId="102" w16cid:durableId="1350066561">
    <w:abstractNumId w:val="5"/>
  </w:num>
  <w:num w:numId="103" w16cid:durableId="1330668868">
    <w:abstractNumId w:val="5"/>
  </w:num>
  <w:num w:numId="104" w16cid:durableId="212424885">
    <w:abstractNumId w:val="5"/>
  </w:num>
  <w:num w:numId="105" w16cid:durableId="1916354369">
    <w:abstractNumId w:val="5"/>
  </w:num>
  <w:num w:numId="106" w16cid:durableId="497161098">
    <w:abstractNumId w:val="5"/>
  </w:num>
  <w:num w:numId="107" w16cid:durableId="264925710">
    <w:abstractNumId w:val="5"/>
  </w:num>
  <w:num w:numId="108" w16cid:durableId="1856847060">
    <w:abstractNumId w:val="5"/>
  </w:num>
  <w:num w:numId="109" w16cid:durableId="683559038">
    <w:abstractNumId w:val="5"/>
  </w:num>
  <w:num w:numId="110" w16cid:durableId="1331449774">
    <w:abstractNumId w:val="5"/>
  </w:num>
  <w:num w:numId="111" w16cid:durableId="2057854466">
    <w:abstractNumId w:val="5"/>
  </w:num>
  <w:num w:numId="112" w16cid:durableId="37318217">
    <w:abstractNumId w:val="5"/>
  </w:num>
  <w:num w:numId="113" w16cid:durableId="79835581">
    <w:abstractNumId w:val="5"/>
  </w:num>
  <w:num w:numId="114" w16cid:durableId="1913853508">
    <w:abstractNumId w:val="5"/>
  </w:num>
  <w:num w:numId="115" w16cid:durableId="673797500">
    <w:abstractNumId w:val="5"/>
  </w:num>
  <w:num w:numId="116" w16cid:durableId="1725987774">
    <w:abstractNumId w:val="5"/>
  </w:num>
  <w:num w:numId="117" w16cid:durableId="370040126">
    <w:abstractNumId w:val="5"/>
  </w:num>
  <w:num w:numId="118" w16cid:durableId="1323893211">
    <w:abstractNumId w:val="5"/>
  </w:num>
  <w:num w:numId="119" w16cid:durableId="1273246008">
    <w:abstractNumId w:val="5"/>
  </w:num>
  <w:num w:numId="120" w16cid:durableId="1138182197">
    <w:abstractNumId w:val="5"/>
  </w:num>
  <w:num w:numId="121" w16cid:durableId="2103455139">
    <w:abstractNumId w:val="5"/>
  </w:num>
  <w:num w:numId="122" w16cid:durableId="539363943">
    <w:abstractNumId w:val="5"/>
  </w:num>
  <w:num w:numId="123" w16cid:durableId="1111361924">
    <w:abstractNumId w:val="5"/>
  </w:num>
  <w:num w:numId="124" w16cid:durableId="1396321979">
    <w:abstractNumId w:val="5"/>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6085"/>
    <w:rsid w:val="00004A43"/>
    <w:rsid w:val="0001485D"/>
    <w:rsid w:val="00015667"/>
    <w:rsid w:val="000253FA"/>
    <w:rsid w:val="00025D29"/>
    <w:rsid w:val="00026B3B"/>
    <w:rsid w:val="000315B5"/>
    <w:rsid w:val="00031F2D"/>
    <w:rsid w:val="0003269B"/>
    <w:rsid w:val="00034647"/>
    <w:rsid w:val="0004269A"/>
    <w:rsid w:val="0005177B"/>
    <w:rsid w:val="00055824"/>
    <w:rsid w:val="0006129D"/>
    <w:rsid w:val="00062FFB"/>
    <w:rsid w:val="000649F7"/>
    <w:rsid w:val="000656ED"/>
    <w:rsid w:val="000719BC"/>
    <w:rsid w:val="00072E32"/>
    <w:rsid w:val="00077C27"/>
    <w:rsid w:val="00083338"/>
    <w:rsid w:val="00090AFA"/>
    <w:rsid w:val="00097830"/>
    <w:rsid w:val="000A1B6E"/>
    <w:rsid w:val="000A2F17"/>
    <w:rsid w:val="000A4144"/>
    <w:rsid w:val="000C0872"/>
    <w:rsid w:val="000C405B"/>
    <w:rsid w:val="000C414F"/>
    <w:rsid w:val="000D6853"/>
    <w:rsid w:val="000E478E"/>
    <w:rsid w:val="000F4AD0"/>
    <w:rsid w:val="000F60E8"/>
    <w:rsid w:val="00114676"/>
    <w:rsid w:val="001316A6"/>
    <w:rsid w:val="001521B0"/>
    <w:rsid w:val="00153495"/>
    <w:rsid w:val="00155957"/>
    <w:rsid w:val="00156BA5"/>
    <w:rsid w:val="001712AD"/>
    <w:rsid w:val="0017504D"/>
    <w:rsid w:val="00176EBE"/>
    <w:rsid w:val="0018072B"/>
    <w:rsid w:val="00181CFD"/>
    <w:rsid w:val="001943AB"/>
    <w:rsid w:val="001A0200"/>
    <w:rsid w:val="001A72BA"/>
    <w:rsid w:val="001C031B"/>
    <w:rsid w:val="001D1F63"/>
    <w:rsid w:val="001D5321"/>
    <w:rsid w:val="001E5A23"/>
    <w:rsid w:val="001F6A42"/>
    <w:rsid w:val="00205266"/>
    <w:rsid w:val="00224260"/>
    <w:rsid w:val="00227FA1"/>
    <w:rsid w:val="00241AF2"/>
    <w:rsid w:val="00242CB7"/>
    <w:rsid w:val="00260703"/>
    <w:rsid w:val="00265B78"/>
    <w:rsid w:val="0027551E"/>
    <w:rsid w:val="00277F03"/>
    <w:rsid w:val="0028184D"/>
    <w:rsid w:val="00284C67"/>
    <w:rsid w:val="0028704F"/>
    <w:rsid w:val="00287159"/>
    <w:rsid w:val="002A1C79"/>
    <w:rsid w:val="002C175A"/>
    <w:rsid w:val="002C574A"/>
    <w:rsid w:val="002C7567"/>
    <w:rsid w:val="002D48E7"/>
    <w:rsid w:val="002E30C5"/>
    <w:rsid w:val="002E749E"/>
    <w:rsid w:val="002F4881"/>
    <w:rsid w:val="00316F89"/>
    <w:rsid w:val="003170DC"/>
    <w:rsid w:val="00321B72"/>
    <w:rsid w:val="003279A4"/>
    <w:rsid w:val="003356F6"/>
    <w:rsid w:val="0034767E"/>
    <w:rsid w:val="00355243"/>
    <w:rsid w:val="0036262C"/>
    <w:rsid w:val="00370966"/>
    <w:rsid w:val="0039205F"/>
    <w:rsid w:val="00396072"/>
    <w:rsid w:val="00397CC7"/>
    <w:rsid w:val="003A3715"/>
    <w:rsid w:val="003A3A00"/>
    <w:rsid w:val="003A4F4C"/>
    <w:rsid w:val="003B3DF3"/>
    <w:rsid w:val="003C2EAD"/>
    <w:rsid w:val="003C540D"/>
    <w:rsid w:val="003D051D"/>
    <w:rsid w:val="003E0A91"/>
    <w:rsid w:val="003E10A2"/>
    <w:rsid w:val="003F5005"/>
    <w:rsid w:val="004053E5"/>
    <w:rsid w:val="00406269"/>
    <w:rsid w:val="00411C79"/>
    <w:rsid w:val="00420AD9"/>
    <w:rsid w:val="004316BE"/>
    <w:rsid w:val="004424E1"/>
    <w:rsid w:val="004424EF"/>
    <w:rsid w:val="00444EFF"/>
    <w:rsid w:val="004467C8"/>
    <w:rsid w:val="0046237B"/>
    <w:rsid w:val="00466D76"/>
    <w:rsid w:val="00467F45"/>
    <w:rsid w:val="00491D44"/>
    <w:rsid w:val="00492D62"/>
    <w:rsid w:val="00493C6D"/>
    <w:rsid w:val="004B02E3"/>
    <w:rsid w:val="004B0321"/>
    <w:rsid w:val="004B3770"/>
    <w:rsid w:val="004B4EB3"/>
    <w:rsid w:val="004B5D91"/>
    <w:rsid w:val="004B7941"/>
    <w:rsid w:val="004C3078"/>
    <w:rsid w:val="004C7209"/>
    <w:rsid w:val="004D38B2"/>
    <w:rsid w:val="004E1D0F"/>
    <w:rsid w:val="004F4860"/>
    <w:rsid w:val="00503624"/>
    <w:rsid w:val="00510B31"/>
    <w:rsid w:val="005113D1"/>
    <w:rsid w:val="0051291B"/>
    <w:rsid w:val="00514983"/>
    <w:rsid w:val="005168D8"/>
    <w:rsid w:val="00521A73"/>
    <w:rsid w:val="00527798"/>
    <w:rsid w:val="00534B21"/>
    <w:rsid w:val="005371B9"/>
    <w:rsid w:val="005474C0"/>
    <w:rsid w:val="00550AB9"/>
    <w:rsid w:val="00557B3A"/>
    <w:rsid w:val="00564F2E"/>
    <w:rsid w:val="005854CD"/>
    <w:rsid w:val="0059157B"/>
    <w:rsid w:val="005B0B75"/>
    <w:rsid w:val="005C1326"/>
    <w:rsid w:val="005D00D4"/>
    <w:rsid w:val="005D4522"/>
    <w:rsid w:val="005F07B6"/>
    <w:rsid w:val="005F1A3E"/>
    <w:rsid w:val="005F2945"/>
    <w:rsid w:val="00600ADE"/>
    <w:rsid w:val="00601270"/>
    <w:rsid w:val="00603F03"/>
    <w:rsid w:val="00606B00"/>
    <w:rsid w:val="006100A0"/>
    <w:rsid w:val="00611703"/>
    <w:rsid w:val="00617B51"/>
    <w:rsid w:val="00621FD7"/>
    <w:rsid w:val="00631A1A"/>
    <w:rsid w:val="00637C95"/>
    <w:rsid w:val="0064429C"/>
    <w:rsid w:val="00644D57"/>
    <w:rsid w:val="00653E72"/>
    <w:rsid w:val="0066143B"/>
    <w:rsid w:val="00667F66"/>
    <w:rsid w:val="0067197B"/>
    <w:rsid w:val="006719E9"/>
    <w:rsid w:val="00674B31"/>
    <w:rsid w:val="00676494"/>
    <w:rsid w:val="00680182"/>
    <w:rsid w:val="006827C7"/>
    <w:rsid w:val="00693147"/>
    <w:rsid w:val="0069471B"/>
    <w:rsid w:val="006A20E8"/>
    <w:rsid w:val="006A5E46"/>
    <w:rsid w:val="006A6E2E"/>
    <w:rsid w:val="006B060B"/>
    <w:rsid w:val="006B19C9"/>
    <w:rsid w:val="006B7851"/>
    <w:rsid w:val="006C3BED"/>
    <w:rsid w:val="006C6BD8"/>
    <w:rsid w:val="006D7268"/>
    <w:rsid w:val="006E2423"/>
    <w:rsid w:val="006E5828"/>
    <w:rsid w:val="006E5E7A"/>
    <w:rsid w:val="006F164C"/>
    <w:rsid w:val="007228DE"/>
    <w:rsid w:val="0073491E"/>
    <w:rsid w:val="00755649"/>
    <w:rsid w:val="00757D76"/>
    <w:rsid w:val="00780B14"/>
    <w:rsid w:val="00780D62"/>
    <w:rsid w:val="00791A8C"/>
    <w:rsid w:val="00794597"/>
    <w:rsid w:val="007B206F"/>
    <w:rsid w:val="007B60CC"/>
    <w:rsid w:val="007C3A74"/>
    <w:rsid w:val="007C5135"/>
    <w:rsid w:val="007D4BEB"/>
    <w:rsid w:val="007D5EF6"/>
    <w:rsid w:val="007E1A47"/>
    <w:rsid w:val="007E20B9"/>
    <w:rsid w:val="007E534A"/>
    <w:rsid w:val="007E5CBA"/>
    <w:rsid w:val="007E6A8E"/>
    <w:rsid w:val="007F265B"/>
    <w:rsid w:val="007F4F47"/>
    <w:rsid w:val="007F7D09"/>
    <w:rsid w:val="00800E8C"/>
    <w:rsid w:val="00801FE8"/>
    <w:rsid w:val="00803AD9"/>
    <w:rsid w:val="008100AA"/>
    <w:rsid w:val="00813FD8"/>
    <w:rsid w:val="0082285C"/>
    <w:rsid w:val="00822983"/>
    <w:rsid w:val="0082376A"/>
    <w:rsid w:val="00831D76"/>
    <w:rsid w:val="00834FD5"/>
    <w:rsid w:val="00834FE0"/>
    <w:rsid w:val="008374B8"/>
    <w:rsid w:val="0083751C"/>
    <w:rsid w:val="0083782F"/>
    <w:rsid w:val="008428BF"/>
    <w:rsid w:val="00852218"/>
    <w:rsid w:val="00854E65"/>
    <w:rsid w:val="00855AE7"/>
    <w:rsid w:val="0087474A"/>
    <w:rsid w:val="008948C1"/>
    <w:rsid w:val="008A0000"/>
    <w:rsid w:val="008A73BF"/>
    <w:rsid w:val="008B0EBC"/>
    <w:rsid w:val="008B3702"/>
    <w:rsid w:val="008C4A19"/>
    <w:rsid w:val="008C5108"/>
    <w:rsid w:val="008C6E64"/>
    <w:rsid w:val="008C7037"/>
    <w:rsid w:val="008C738F"/>
    <w:rsid w:val="008D1BF8"/>
    <w:rsid w:val="008D288D"/>
    <w:rsid w:val="008D2A71"/>
    <w:rsid w:val="008D3FF5"/>
    <w:rsid w:val="008D51CA"/>
    <w:rsid w:val="008E3BF4"/>
    <w:rsid w:val="008E5A4A"/>
    <w:rsid w:val="008F073E"/>
    <w:rsid w:val="008F4A93"/>
    <w:rsid w:val="009014AA"/>
    <w:rsid w:val="00910312"/>
    <w:rsid w:val="00912F70"/>
    <w:rsid w:val="009150F6"/>
    <w:rsid w:val="0092358B"/>
    <w:rsid w:val="009241D9"/>
    <w:rsid w:val="00925E6B"/>
    <w:rsid w:val="00932565"/>
    <w:rsid w:val="0093775A"/>
    <w:rsid w:val="00941251"/>
    <w:rsid w:val="009446BA"/>
    <w:rsid w:val="00945750"/>
    <w:rsid w:val="00947B32"/>
    <w:rsid w:val="009549D9"/>
    <w:rsid w:val="009666D9"/>
    <w:rsid w:val="00970ED0"/>
    <w:rsid w:val="00973E58"/>
    <w:rsid w:val="009742BD"/>
    <w:rsid w:val="009869E2"/>
    <w:rsid w:val="00987992"/>
    <w:rsid w:val="009939E6"/>
    <w:rsid w:val="00994698"/>
    <w:rsid w:val="00995409"/>
    <w:rsid w:val="00997517"/>
    <w:rsid w:val="009A15A9"/>
    <w:rsid w:val="009B0781"/>
    <w:rsid w:val="009B23D7"/>
    <w:rsid w:val="009B255D"/>
    <w:rsid w:val="009B58FA"/>
    <w:rsid w:val="009C2678"/>
    <w:rsid w:val="009C36CF"/>
    <w:rsid w:val="009D7C09"/>
    <w:rsid w:val="009E0B6F"/>
    <w:rsid w:val="009E0BF3"/>
    <w:rsid w:val="009F16F6"/>
    <w:rsid w:val="009F2324"/>
    <w:rsid w:val="009F3ABF"/>
    <w:rsid w:val="009F3F6D"/>
    <w:rsid w:val="009F78E5"/>
    <w:rsid w:val="00A00073"/>
    <w:rsid w:val="00A00E12"/>
    <w:rsid w:val="00A00FBE"/>
    <w:rsid w:val="00A03F4B"/>
    <w:rsid w:val="00A04145"/>
    <w:rsid w:val="00A1106C"/>
    <w:rsid w:val="00A111F4"/>
    <w:rsid w:val="00A1702D"/>
    <w:rsid w:val="00A24800"/>
    <w:rsid w:val="00A267B8"/>
    <w:rsid w:val="00A26A8B"/>
    <w:rsid w:val="00A26AF8"/>
    <w:rsid w:val="00A3128B"/>
    <w:rsid w:val="00A378EE"/>
    <w:rsid w:val="00A430D0"/>
    <w:rsid w:val="00A464BB"/>
    <w:rsid w:val="00A465B3"/>
    <w:rsid w:val="00A47EA6"/>
    <w:rsid w:val="00A521D0"/>
    <w:rsid w:val="00A52E9D"/>
    <w:rsid w:val="00A54AE7"/>
    <w:rsid w:val="00A624A7"/>
    <w:rsid w:val="00A634BD"/>
    <w:rsid w:val="00A65CDC"/>
    <w:rsid w:val="00A81046"/>
    <w:rsid w:val="00A835C5"/>
    <w:rsid w:val="00A87F8B"/>
    <w:rsid w:val="00A97205"/>
    <w:rsid w:val="00A979EF"/>
    <w:rsid w:val="00AA4BDB"/>
    <w:rsid w:val="00AB6070"/>
    <w:rsid w:val="00AB7408"/>
    <w:rsid w:val="00AC3CA6"/>
    <w:rsid w:val="00AD3A7F"/>
    <w:rsid w:val="00AE09F2"/>
    <w:rsid w:val="00AE56BC"/>
    <w:rsid w:val="00AE6333"/>
    <w:rsid w:val="00AE6693"/>
    <w:rsid w:val="00AF3137"/>
    <w:rsid w:val="00AF494E"/>
    <w:rsid w:val="00AF5116"/>
    <w:rsid w:val="00B01897"/>
    <w:rsid w:val="00B1167C"/>
    <w:rsid w:val="00B230A2"/>
    <w:rsid w:val="00B36C3C"/>
    <w:rsid w:val="00B430F9"/>
    <w:rsid w:val="00B51D1B"/>
    <w:rsid w:val="00B525C1"/>
    <w:rsid w:val="00B56E0E"/>
    <w:rsid w:val="00B61570"/>
    <w:rsid w:val="00B66DBF"/>
    <w:rsid w:val="00B86085"/>
    <w:rsid w:val="00BA1581"/>
    <w:rsid w:val="00BA4C09"/>
    <w:rsid w:val="00BA51A5"/>
    <w:rsid w:val="00BA5F28"/>
    <w:rsid w:val="00BB7DA1"/>
    <w:rsid w:val="00BD4202"/>
    <w:rsid w:val="00BD5F35"/>
    <w:rsid w:val="00BE201A"/>
    <w:rsid w:val="00BE3AE6"/>
    <w:rsid w:val="00BE633C"/>
    <w:rsid w:val="00BF25C4"/>
    <w:rsid w:val="00BF4073"/>
    <w:rsid w:val="00C015A7"/>
    <w:rsid w:val="00C03E9F"/>
    <w:rsid w:val="00C06154"/>
    <w:rsid w:val="00C12BFC"/>
    <w:rsid w:val="00C144A9"/>
    <w:rsid w:val="00C2252F"/>
    <w:rsid w:val="00C33199"/>
    <w:rsid w:val="00C400B2"/>
    <w:rsid w:val="00C448F7"/>
    <w:rsid w:val="00C4685D"/>
    <w:rsid w:val="00C55D71"/>
    <w:rsid w:val="00C56234"/>
    <w:rsid w:val="00C62467"/>
    <w:rsid w:val="00C727D2"/>
    <w:rsid w:val="00C843A3"/>
    <w:rsid w:val="00C868ED"/>
    <w:rsid w:val="00C95E89"/>
    <w:rsid w:val="00C96C88"/>
    <w:rsid w:val="00C97B45"/>
    <w:rsid w:val="00CA10AF"/>
    <w:rsid w:val="00CA7A04"/>
    <w:rsid w:val="00CB204A"/>
    <w:rsid w:val="00CC2147"/>
    <w:rsid w:val="00CC333E"/>
    <w:rsid w:val="00CC6F76"/>
    <w:rsid w:val="00CD1371"/>
    <w:rsid w:val="00CD4C3F"/>
    <w:rsid w:val="00CD4CBE"/>
    <w:rsid w:val="00CE164A"/>
    <w:rsid w:val="00CF13C8"/>
    <w:rsid w:val="00CF30DE"/>
    <w:rsid w:val="00D04334"/>
    <w:rsid w:val="00D047A1"/>
    <w:rsid w:val="00D0754E"/>
    <w:rsid w:val="00D12232"/>
    <w:rsid w:val="00D22CA1"/>
    <w:rsid w:val="00D2469F"/>
    <w:rsid w:val="00D32403"/>
    <w:rsid w:val="00D408C3"/>
    <w:rsid w:val="00D41B01"/>
    <w:rsid w:val="00D47825"/>
    <w:rsid w:val="00D50262"/>
    <w:rsid w:val="00D57803"/>
    <w:rsid w:val="00D6509A"/>
    <w:rsid w:val="00D967D6"/>
    <w:rsid w:val="00DA06F6"/>
    <w:rsid w:val="00DB5210"/>
    <w:rsid w:val="00DB62FF"/>
    <w:rsid w:val="00DC359B"/>
    <w:rsid w:val="00DC39E1"/>
    <w:rsid w:val="00DC4568"/>
    <w:rsid w:val="00DD6D3D"/>
    <w:rsid w:val="00DE4037"/>
    <w:rsid w:val="00DE4B7C"/>
    <w:rsid w:val="00DF0470"/>
    <w:rsid w:val="00DF1C96"/>
    <w:rsid w:val="00E06837"/>
    <w:rsid w:val="00E1391C"/>
    <w:rsid w:val="00E172C8"/>
    <w:rsid w:val="00E25A12"/>
    <w:rsid w:val="00E30436"/>
    <w:rsid w:val="00E30B7B"/>
    <w:rsid w:val="00E30BA5"/>
    <w:rsid w:val="00E35019"/>
    <w:rsid w:val="00E463D5"/>
    <w:rsid w:val="00E50731"/>
    <w:rsid w:val="00E5596A"/>
    <w:rsid w:val="00E5763C"/>
    <w:rsid w:val="00E61443"/>
    <w:rsid w:val="00E64F33"/>
    <w:rsid w:val="00E65611"/>
    <w:rsid w:val="00E73B8E"/>
    <w:rsid w:val="00E74054"/>
    <w:rsid w:val="00E80611"/>
    <w:rsid w:val="00E9056D"/>
    <w:rsid w:val="00E92507"/>
    <w:rsid w:val="00E93D7B"/>
    <w:rsid w:val="00E97E1D"/>
    <w:rsid w:val="00EA5120"/>
    <w:rsid w:val="00EA7982"/>
    <w:rsid w:val="00EB1488"/>
    <w:rsid w:val="00EC4C54"/>
    <w:rsid w:val="00ED2A51"/>
    <w:rsid w:val="00ED6210"/>
    <w:rsid w:val="00EF340D"/>
    <w:rsid w:val="00EF530E"/>
    <w:rsid w:val="00F0218C"/>
    <w:rsid w:val="00F05CDD"/>
    <w:rsid w:val="00F0648B"/>
    <w:rsid w:val="00F1046E"/>
    <w:rsid w:val="00F1184F"/>
    <w:rsid w:val="00F129DD"/>
    <w:rsid w:val="00F23476"/>
    <w:rsid w:val="00F25455"/>
    <w:rsid w:val="00F34971"/>
    <w:rsid w:val="00F442D6"/>
    <w:rsid w:val="00F5488A"/>
    <w:rsid w:val="00F550DE"/>
    <w:rsid w:val="00F57B3C"/>
    <w:rsid w:val="00F63AD9"/>
    <w:rsid w:val="00F64327"/>
    <w:rsid w:val="00F663EF"/>
    <w:rsid w:val="00F66976"/>
    <w:rsid w:val="00F7153C"/>
    <w:rsid w:val="00F75CFE"/>
    <w:rsid w:val="00F81021"/>
    <w:rsid w:val="00FA19A0"/>
    <w:rsid w:val="00FA292D"/>
    <w:rsid w:val="00FA3A50"/>
    <w:rsid w:val="00FC152F"/>
    <w:rsid w:val="00FD215A"/>
    <w:rsid w:val="00FD3B5E"/>
    <w:rsid w:val="00FD4CE8"/>
    <w:rsid w:val="00FD7CC5"/>
    <w:rsid w:val="00FF0323"/>
    <w:rsid w:val="00FF077D"/>
    <w:rsid w:val="00FF1A74"/>
    <w:rsid w:val="00FF2B06"/>
    <w:rsid w:val="00FF2D03"/>
    <w:rsid w:val="00FF449C"/>
  </w:rsids>
  <m:mathPr>
    <m:mathFont m:val="Cambria Math"/>
    <m:brkBin m:val="before"/>
    <m:brkBinSub m:val="--"/>
    <m:smallFrac m:val="0"/>
    <m:dispDef/>
    <m:lMargin m:val="0"/>
    <m:rMargin m:val="0"/>
    <m:defJc m:val="centerGroup"/>
    <m:wrapIndent m:val="1440"/>
    <m:intLim m:val="subSup"/>
    <m:naryLim m:val="undOvr"/>
  </m:mathPr>
  <w:themeFontLang w:val="en-CA"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C6EF7E"/>
  <w15:docId w15:val="{9335ADE0-45E6-4E32-B82F-E1809FE71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ru-RU"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078"/>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rFonts w:eastAsia="SimSun"/>
      <w:sz w:val="22"/>
      <w:szCs w:val="22"/>
      <w:bdr w:val="none" w:sz="0" w:space="0" w:color="auto"/>
      <w:lang w:eastAsia="en-US"/>
    </w:rPr>
  </w:style>
  <w:style w:type="paragraph" w:styleId="Heading1">
    <w:name w:val="heading 1"/>
    <w:basedOn w:val="Normal"/>
    <w:next w:val="Heading2"/>
    <w:link w:val="Heading1Char"/>
    <w:uiPriority w:val="9"/>
    <w:qFormat/>
    <w:rsid w:val="004C3078"/>
    <w:pPr>
      <w:keepNext/>
      <w:keepLines/>
      <w:numPr>
        <w:numId w:val="41"/>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4C3078"/>
    <w:pPr>
      <w:keepNext/>
      <w:keepLines/>
      <w:numPr>
        <w:ilvl w:val="1"/>
        <w:numId w:val="4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4C3078"/>
    <w:pPr>
      <w:keepNext/>
      <w:keepLines/>
      <w:numPr>
        <w:ilvl w:val="2"/>
        <w:numId w:val="41"/>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4C3078"/>
    <w:pPr>
      <w:keepNext/>
      <w:numPr>
        <w:ilvl w:val="3"/>
        <w:numId w:val="41"/>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4C3078"/>
    <w:pPr>
      <w:keepNext/>
      <w:numPr>
        <w:ilvl w:val="4"/>
        <w:numId w:val="41"/>
      </w:numPr>
      <w:spacing w:before="120" w:after="120"/>
      <w:jc w:val="left"/>
      <w:outlineLvl w:val="4"/>
    </w:pPr>
    <w:rPr>
      <w:rFonts w:eastAsiaTheme="majorEastAsia"/>
      <w:i/>
      <w:iCs/>
    </w:rPr>
  </w:style>
  <w:style w:type="paragraph" w:styleId="Heading6">
    <w:name w:val="heading 6"/>
    <w:basedOn w:val="Normal"/>
    <w:next w:val="Normal"/>
    <w:link w:val="Heading6Char"/>
    <w:semiHidden/>
    <w:rsid w:val="004C3078"/>
    <w:pPr>
      <w:keepNext/>
      <w:keepLines/>
      <w:numPr>
        <w:ilvl w:val="5"/>
        <w:numId w:val="4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4C3078"/>
    <w:pPr>
      <w:keepNext/>
      <w:keepLines/>
      <w:widowControl w:val="0"/>
      <w:numPr>
        <w:ilvl w:val="6"/>
        <w:numId w:val="4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4C3078"/>
    <w:pPr>
      <w:keepNext/>
      <w:keepLines/>
      <w:widowControl w:val="0"/>
      <w:numPr>
        <w:ilvl w:val="7"/>
        <w:numId w:val="4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4C3078"/>
    <w:pPr>
      <w:keepNext/>
      <w:widowControl w:val="0"/>
      <w:numPr>
        <w:ilvl w:val="8"/>
        <w:numId w:val="4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4C3078"/>
    <w:rPr>
      <w:rFonts w:ascii="Times New Roman" w:hAnsi="Times New Roman"/>
      <w:color w:val="0000FF" w:themeColor="hyperlink"/>
      <w:u w:val="single"/>
    </w:rPr>
  </w:style>
  <w:style w:type="paragraph" w:styleId="Header">
    <w:name w:val="header"/>
    <w:basedOn w:val="Normal"/>
    <w:link w:val="HeaderChar"/>
    <w:rsid w:val="004C3078"/>
    <w:pPr>
      <w:pBdr>
        <w:bottom w:val="single" w:sz="4" w:space="1" w:color="auto"/>
      </w:pBdr>
      <w:tabs>
        <w:tab w:val="center" w:pos="4680"/>
        <w:tab w:val="right" w:pos="9360"/>
      </w:tabs>
      <w:jc w:val="left"/>
    </w:pPr>
    <w:rPr>
      <w:sz w:val="20"/>
    </w:rPr>
  </w:style>
  <w:style w:type="paragraph" w:styleId="Footer">
    <w:name w:val="footer"/>
    <w:basedOn w:val="Normal"/>
    <w:link w:val="FooterChar"/>
    <w:rsid w:val="004C3078"/>
    <w:pPr>
      <w:tabs>
        <w:tab w:val="center" w:pos="4680"/>
        <w:tab w:val="right" w:pos="9360"/>
      </w:tabs>
    </w:pPr>
    <w:rPr>
      <w:sz w:val="20"/>
    </w:rPr>
  </w:style>
  <w:style w:type="paragraph" w:customStyle="1" w:styleId="Body">
    <w:name w:val="Body"/>
    <w:pPr>
      <w:tabs>
        <w:tab w:val="left" w:pos="567"/>
        <w:tab w:val="left" w:pos="1134"/>
        <w:tab w:val="left" w:pos="1701"/>
        <w:tab w:val="left" w:pos="2268"/>
      </w:tabs>
      <w:jc w:val="both"/>
    </w:pPr>
    <w:rPr>
      <w:rFonts w:eastAsia="Times New Roman"/>
      <w:color w:val="000000"/>
      <w:sz w:val="22"/>
      <w:szCs w:val="22"/>
      <w:u w:color="000000"/>
      <w14:textOutline w14:w="0" w14:cap="flat" w14:cmpd="sng" w14:algn="ctr">
        <w14:noFill/>
        <w14:prstDash w14:val="solid"/>
        <w14:bevel/>
      </w14:textOutline>
    </w:rPr>
  </w:style>
  <w:style w:type="paragraph" w:customStyle="1" w:styleId="AASmallLogo">
    <w:name w:val="AA_SmallLogo"/>
    <w:basedOn w:val="AEDistrNormal"/>
    <w:unhideWhenUsed/>
    <w:rsid w:val="004C3078"/>
    <w:pPr>
      <w:spacing w:before="40"/>
    </w:pPr>
    <w:rPr>
      <w:sz w:val="4"/>
    </w:rPr>
  </w:style>
  <w:style w:type="paragraph" w:customStyle="1" w:styleId="ABSymbol">
    <w:name w:val="AB_Symbol"/>
    <w:basedOn w:val="Normal"/>
    <w:qFormat/>
    <w:rsid w:val="004C307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ISpacer">
    <w:name w:val="AI_Spacer"/>
    <w:next w:val="Normal"/>
    <w:unhideWhenUsed/>
    <w:qFormat/>
    <w:rsid w:val="004C3078"/>
    <w:pPr>
      <w:pBdr>
        <w:top w:val="none" w:sz="0" w:space="0" w:color="auto"/>
        <w:left w:val="none" w:sz="0" w:space="0" w:color="auto"/>
        <w:bottom w:val="none" w:sz="0" w:space="0" w:color="auto"/>
        <w:right w:val="none" w:sz="0" w:space="0" w:color="auto"/>
        <w:between w:val="none" w:sz="0" w:space="0" w:color="auto"/>
        <w:bar w:val="none" w:sz="0" w:color="auto"/>
      </w:pBdr>
    </w:pPr>
    <w:rPr>
      <w:rFonts w:eastAsia="SimSun"/>
      <w:sz w:val="2"/>
      <w:szCs w:val="22"/>
      <w:bdr w:val="none" w:sz="0" w:space="0" w:color="auto"/>
      <w:lang w:eastAsia="en-US"/>
    </w:rPr>
  </w:style>
  <w:style w:type="paragraph" w:customStyle="1" w:styleId="ACLargeLogo">
    <w:name w:val="AC_LargeLogo"/>
    <w:basedOn w:val="AFCorNNormal"/>
    <w:next w:val="AISpacer"/>
    <w:unhideWhenUsed/>
    <w:rsid w:val="004C3078"/>
    <w:pPr>
      <w:spacing w:before="120"/>
      <w:contextualSpacing/>
    </w:pPr>
    <w:rPr>
      <w:sz w:val="8"/>
    </w:rPr>
  </w:style>
  <w:style w:type="paragraph" w:customStyle="1" w:styleId="AEDistrNormal">
    <w:name w:val="AE_DistrNormal"/>
    <w:basedOn w:val="Normal"/>
    <w:unhideWhenUsed/>
    <w:rsid w:val="004C3078"/>
    <w:pPr>
      <w:jc w:val="left"/>
    </w:pPr>
  </w:style>
  <w:style w:type="paragraph" w:customStyle="1" w:styleId="AEDistrNormal6pt">
    <w:name w:val="AE_DistrNormal6pt"/>
    <w:basedOn w:val="AEDistrNormal"/>
    <w:next w:val="AFCorNNormal"/>
    <w:unhideWhenUsed/>
    <w:qFormat/>
    <w:rsid w:val="004C3078"/>
    <w:pPr>
      <w:spacing w:before="120"/>
    </w:pPr>
  </w:style>
  <w:style w:type="paragraph" w:customStyle="1" w:styleId="AFCorNNormal">
    <w:name w:val="AF_CorNNormal"/>
    <w:basedOn w:val="Normal"/>
    <w:unhideWhenUsed/>
    <w:rsid w:val="004C3078"/>
    <w:pPr>
      <w:jc w:val="left"/>
    </w:pPr>
  </w:style>
  <w:style w:type="paragraph" w:customStyle="1" w:styleId="AFCorN12Bold">
    <w:name w:val="AF_CorN12Bold"/>
    <w:basedOn w:val="AFCorNNormal"/>
    <w:next w:val="AFCorNNormal"/>
    <w:unhideWhenUsed/>
    <w:qFormat/>
    <w:rsid w:val="004C3078"/>
    <w:rPr>
      <w:b/>
      <w:sz w:val="24"/>
    </w:rPr>
  </w:style>
  <w:style w:type="paragraph" w:customStyle="1" w:styleId="AFCorNBold">
    <w:name w:val="AF_CorNBold"/>
    <w:basedOn w:val="AFCorNNormal"/>
    <w:next w:val="AFCorNNormal"/>
    <w:unhideWhenUsed/>
    <w:qFormat/>
    <w:rsid w:val="004C3078"/>
    <w:rPr>
      <w:b/>
    </w:rPr>
  </w:style>
  <w:style w:type="paragraph" w:customStyle="1" w:styleId="CBDTitle">
    <w:name w:val="CBD_Title"/>
    <w:basedOn w:val="CBDNormal"/>
    <w:next w:val="CBDSubTitle"/>
    <w:qFormat/>
    <w:rsid w:val="004C3078"/>
    <w:pPr>
      <w:keepNext/>
      <w:keepLines/>
      <w:spacing w:before="240" w:after="240"/>
      <w:ind w:left="567"/>
      <w:jc w:val="left"/>
    </w:pPr>
    <w:rPr>
      <w:b/>
      <w:sz w:val="28"/>
    </w:rPr>
  </w:style>
  <w:style w:type="paragraph" w:customStyle="1" w:styleId="CBDSubTitle">
    <w:name w:val="CBD_SubTitle"/>
    <w:basedOn w:val="CBDNormal"/>
    <w:qFormat/>
    <w:rsid w:val="004C3078"/>
    <w:pPr>
      <w:keepNext/>
      <w:keepLines/>
      <w:spacing w:before="240" w:after="240"/>
      <w:ind w:left="567"/>
      <w:jc w:val="left"/>
    </w:pPr>
    <w:rPr>
      <w:b/>
    </w:rPr>
  </w:style>
  <w:style w:type="paragraph" w:customStyle="1" w:styleId="CBDH1">
    <w:name w:val="CBD_H1"/>
    <w:basedOn w:val="CBDNormal"/>
    <w:qFormat/>
    <w:rsid w:val="004C3078"/>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4C3078"/>
    <w:pPr>
      <w:numPr>
        <w:numId w:val="40"/>
      </w:numPr>
      <w:tabs>
        <w:tab w:val="left" w:pos="3969"/>
      </w:tabs>
      <w:spacing w:before="120" w:after="120"/>
    </w:pPr>
  </w:style>
  <w:style w:type="numbering" w:customStyle="1" w:styleId="ImportedStyle2">
    <w:name w:val="Imported Style 2"/>
    <w:pPr>
      <w:numPr>
        <w:numId w:val="1"/>
      </w:numPr>
    </w:pPr>
  </w:style>
  <w:style w:type="character" w:customStyle="1" w:styleId="Hyperlink0">
    <w:name w:val="Hyperlink.0"/>
    <w:basedOn w:val="Hyperlink"/>
    <w:rPr>
      <w:rFonts w:ascii="Times New Roman" w:eastAsia="Times New Roman" w:hAnsi="Times New Roman" w:cs="Times New Roman"/>
      <w:b w:val="0"/>
      <w:bCs w:val="0"/>
      <w:i w:val="0"/>
      <w:iCs w:val="0"/>
      <w:outline w:val="0"/>
      <w:color w:val="0000FF"/>
      <w:u w:val="single" w:color="0000FF"/>
      <w:lang w:val="ru-RU"/>
    </w:rPr>
  </w:style>
  <w:style w:type="paragraph" w:styleId="FootnoteText">
    <w:name w:val="footnote text"/>
    <w:basedOn w:val="Normal"/>
    <w:link w:val="FootnoteTextChar"/>
    <w:unhideWhenUsed/>
    <w:rsid w:val="004C3078"/>
    <w:pPr>
      <w:jc w:val="left"/>
    </w:pPr>
    <w:rPr>
      <w:sz w:val="18"/>
      <w:szCs w:val="20"/>
    </w:rPr>
  </w:style>
  <w:style w:type="numbering" w:customStyle="1" w:styleId="CBDHeadings">
    <w:name w:val="CBD_Headings"/>
    <w:basedOn w:val="ListCBD"/>
    <w:rsid w:val="004C3078"/>
    <w:pPr>
      <w:numPr>
        <w:numId w:val="39"/>
      </w:numPr>
    </w:pPr>
  </w:style>
  <w:style w:type="paragraph" w:customStyle="1" w:styleId="Para1">
    <w:name w:val="Para1"/>
    <w:pPr>
      <w:tabs>
        <w:tab w:val="left" w:pos="360"/>
        <w:tab w:val="left" w:pos="567"/>
        <w:tab w:val="left" w:pos="1134"/>
        <w:tab w:val="left" w:pos="1701"/>
        <w:tab w:val="left" w:pos="2268"/>
      </w:tabs>
      <w:spacing w:before="120" w:after="120"/>
      <w:jc w:val="both"/>
    </w:pPr>
    <w:rPr>
      <w:rFonts w:cs="Arial Unicode MS"/>
      <w:color w:val="000000"/>
      <w:sz w:val="22"/>
      <w:szCs w:val="22"/>
      <w:u w:color="000000"/>
    </w:rPr>
  </w:style>
  <w:style w:type="numbering" w:customStyle="1" w:styleId="ImportedStyle3">
    <w:name w:val="Imported Style 3"/>
    <w:pPr>
      <w:numPr>
        <w:numId w:val="4"/>
      </w:numPr>
    </w:pPr>
  </w:style>
  <w:style w:type="paragraph" w:customStyle="1" w:styleId="CBDTableNormal">
    <w:name w:val="CBD_TableNormal"/>
    <w:basedOn w:val="CBDNormal"/>
    <w:qFormat/>
    <w:rsid w:val="004C3078"/>
    <w:pPr>
      <w:spacing w:before="40" w:after="80"/>
      <w:jc w:val="left"/>
    </w:pPr>
    <w:rPr>
      <w:sz w:val="20"/>
    </w:rPr>
  </w:style>
  <w:style w:type="paragraph" w:customStyle="1" w:styleId="CBDTableTitle">
    <w:name w:val="CBD_TableTitle"/>
    <w:basedOn w:val="CBDNormal"/>
    <w:qFormat/>
    <w:rsid w:val="004C3078"/>
    <w:pPr>
      <w:keepNext/>
      <w:keepLines/>
      <w:spacing w:before="120" w:after="60"/>
      <w:ind w:left="567"/>
      <w:jc w:val="left"/>
    </w:pPr>
    <w:rPr>
      <w:b/>
    </w:rPr>
  </w:style>
  <w:style w:type="paragraph" w:styleId="Revision">
    <w:name w:val="Revision"/>
    <w:hidden/>
    <w:uiPriority w:val="99"/>
    <w:semiHidden/>
    <w:rsid w:val="009D7C0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eastAsia="en-US"/>
    </w:rPr>
  </w:style>
  <w:style w:type="character" w:styleId="CommentReference">
    <w:name w:val="annotation reference"/>
    <w:basedOn w:val="DefaultParagraphFont"/>
    <w:uiPriority w:val="99"/>
    <w:semiHidden/>
    <w:unhideWhenUsed/>
    <w:rsid w:val="004C3078"/>
    <w:rPr>
      <w:sz w:val="16"/>
      <w:szCs w:val="16"/>
    </w:rPr>
  </w:style>
  <w:style w:type="paragraph" w:styleId="CommentText">
    <w:name w:val="annotation text"/>
    <w:basedOn w:val="Normal"/>
    <w:link w:val="CommentTextChar"/>
    <w:uiPriority w:val="99"/>
    <w:semiHidden/>
    <w:rsid w:val="004C3078"/>
    <w:rPr>
      <w:sz w:val="20"/>
      <w:szCs w:val="20"/>
    </w:rPr>
  </w:style>
  <w:style w:type="character" w:customStyle="1" w:styleId="CommentTextChar">
    <w:name w:val="Comment Text Char"/>
    <w:basedOn w:val="DefaultParagraphFont"/>
    <w:link w:val="CommentText"/>
    <w:uiPriority w:val="99"/>
    <w:semiHidden/>
    <w:rsid w:val="004C3078"/>
    <w:rPr>
      <w:rFonts w:eastAsia="SimSun"/>
      <w:bdr w:val="none" w:sz="0" w:space="0" w:color="auto"/>
      <w:lang w:val="ru-RU" w:eastAsia="en-US"/>
    </w:rPr>
  </w:style>
  <w:style w:type="paragraph" w:styleId="CommentSubject">
    <w:name w:val="annotation subject"/>
    <w:basedOn w:val="CommentText"/>
    <w:next w:val="CommentText"/>
    <w:link w:val="CommentSubjectChar"/>
    <w:uiPriority w:val="99"/>
    <w:semiHidden/>
    <w:unhideWhenUsed/>
    <w:rsid w:val="004C3078"/>
    <w:rPr>
      <w:b/>
      <w:bCs/>
    </w:rPr>
  </w:style>
  <w:style w:type="character" w:customStyle="1" w:styleId="CommentSubjectChar">
    <w:name w:val="Comment Subject Char"/>
    <w:basedOn w:val="CommentTextChar"/>
    <w:link w:val="CommentSubject"/>
    <w:uiPriority w:val="99"/>
    <w:semiHidden/>
    <w:rsid w:val="004C3078"/>
    <w:rPr>
      <w:rFonts w:eastAsia="SimSun"/>
      <w:b/>
      <w:bCs/>
      <w:bdr w:val="none" w:sz="0" w:space="0" w:color="auto"/>
      <w:lang w:val="ru-RU" w:eastAsia="en-US"/>
    </w:rPr>
  </w:style>
  <w:style w:type="character" w:customStyle="1" w:styleId="UnresolvedMention1">
    <w:name w:val="Unresolved Mention1"/>
    <w:basedOn w:val="DefaultParagraphFont"/>
    <w:uiPriority w:val="99"/>
    <w:semiHidden/>
    <w:unhideWhenUsed/>
    <w:rsid w:val="00A65CDC"/>
    <w:rPr>
      <w:color w:val="605E5C"/>
      <w:shd w:val="clear" w:color="auto" w:fill="E1DFDD"/>
    </w:rPr>
  </w:style>
  <w:style w:type="character" w:styleId="FootnoteReference">
    <w:name w:val="footnote reference"/>
    <w:basedOn w:val="DefaultParagraphFont"/>
    <w:uiPriority w:val="99"/>
    <w:semiHidden/>
    <w:unhideWhenUsed/>
    <w:rsid w:val="004C3078"/>
    <w:rPr>
      <w:vertAlign w:val="superscript"/>
    </w:rPr>
  </w:style>
  <w:style w:type="paragraph" w:customStyle="1" w:styleId="AENormal">
    <w:name w:val="AE_Normal"/>
    <w:basedOn w:val="Normal"/>
    <w:rsid w:val="004C3078"/>
  </w:style>
  <w:style w:type="paragraph" w:customStyle="1" w:styleId="Annex">
    <w:name w:val="Annex"/>
    <w:basedOn w:val="Normal"/>
    <w:semiHidden/>
    <w:qFormat/>
    <w:rsid w:val="004C3078"/>
    <w:pPr>
      <w:spacing w:after="240"/>
    </w:pPr>
    <w:rPr>
      <w:b/>
      <w:sz w:val="28"/>
    </w:rPr>
  </w:style>
  <w:style w:type="paragraph" w:styleId="BodyText">
    <w:name w:val="Body Text"/>
    <w:basedOn w:val="Normal"/>
    <w:link w:val="BodyTextChar"/>
    <w:uiPriority w:val="99"/>
    <w:semiHidden/>
    <w:unhideWhenUsed/>
    <w:rsid w:val="004C3078"/>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4C3078"/>
    <w:rPr>
      <w:rFonts w:asciiTheme="minorHAnsi" w:eastAsiaTheme="minorHAnsi" w:hAnsiTheme="minorHAnsi" w:cstheme="minorBidi"/>
      <w:kern w:val="2"/>
      <w:sz w:val="22"/>
      <w:szCs w:val="22"/>
      <w:bdr w:val="none" w:sz="0" w:space="0" w:color="auto"/>
      <w:lang w:eastAsia="en-US"/>
      <w14:ligatures w14:val="standardContextual"/>
    </w:rPr>
  </w:style>
  <w:style w:type="paragraph" w:customStyle="1" w:styleId="CBDAgendaItemReport">
    <w:name w:val="CBD_AgendaItem_Report"/>
    <w:basedOn w:val="Normal"/>
    <w:qFormat/>
    <w:rsid w:val="004C3078"/>
    <w:pPr>
      <w:keepNext/>
      <w:keepLines/>
      <w:spacing w:before="240" w:after="120"/>
      <w:jc w:val="left"/>
    </w:pPr>
    <w:rPr>
      <w:b/>
      <w:sz w:val="24"/>
    </w:rPr>
  </w:style>
  <w:style w:type="paragraph" w:customStyle="1" w:styleId="CBDAgendaItem-1">
    <w:name w:val="CBD_AgendaItem-1"/>
    <w:basedOn w:val="Normal"/>
    <w:qFormat/>
    <w:rsid w:val="004C3078"/>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4C3078"/>
    <w:pPr>
      <w:ind w:left="567" w:hanging="567"/>
    </w:pPr>
    <w:rPr>
      <w:sz w:val="22"/>
    </w:rPr>
  </w:style>
  <w:style w:type="paragraph" w:customStyle="1" w:styleId="CBDAgendaItem-3">
    <w:name w:val="CBD_AgendaItem-3"/>
    <w:basedOn w:val="CBDAgendaItem-1"/>
    <w:qFormat/>
    <w:rsid w:val="004C3078"/>
    <w:pPr>
      <w:ind w:left="567" w:hanging="567"/>
    </w:pPr>
    <w:rPr>
      <w:sz w:val="20"/>
    </w:rPr>
  </w:style>
  <w:style w:type="paragraph" w:customStyle="1" w:styleId="CBDNormal">
    <w:name w:val="CBD_Normal"/>
    <w:unhideWhenUsed/>
    <w:qFormat/>
    <w:rsid w:val="004C3078"/>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 w:val="left" w:pos="2835"/>
        <w:tab w:val="left" w:pos="3402"/>
      </w:tabs>
      <w:jc w:val="both"/>
    </w:pPr>
    <w:rPr>
      <w:rFonts w:eastAsia="SimSun"/>
      <w:sz w:val="22"/>
      <w:szCs w:val="22"/>
      <w:bdr w:val="none" w:sz="0" w:space="0" w:color="auto"/>
      <w:lang w:eastAsia="en-US"/>
    </w:rPr>
  </w:style>
  <w:style w:type="paragraph" w:customStyle="1" w:styleId="CBDAnnex">
    <w:name w:val="CBD_Annex"/>
    <w:basedOn w:val="CBDNormal"/>
    <w:next w:val="CBDTitle"/>
    <w:qFormat/>
    <w:rsid w:val="004C3078"/>
    <w:pPr>
      <w:keepNext/>
      <w:keepLines/>
      <w:spacing w:after="240"/>
      <w:jc w:val="left"/>
    </w:pPr>
    <w:rPr>
      <w:b/>
      <w:sz w:val="28"/>
      <w:lang w:bidi="ar-SY"/>
    </w:rPr>
  </w:style>
  <w:style w:type="paragraph" w:customStyle="1" w:styleId="CBDDesicionAnnex">
    <w:name w:val="CBD_DesicionAnnex"/>
    <w:basedOn w:val="CBDNormal"/>
    <w:next w:val="Normal"/>
    <w:qFormat/>
    <w:rsid w:val="004C3078"/>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DesicionText">
    <w:name w:val="CBD_DesicionText"/>
    <w:basedOn w:val="CBDNormal"/>
    <w:qFormat/>
    <w:rsid w:val="004C3078"/>
    <w:pPr>
      <w:spacing w:after="120"/>
      <w:ind w:left="1134" w:firstLine="567"/>
    </w:pPr>
  </w:style>
  <w:style w:type="paragraph" w:customStyle="1" w:styleId="CBDFigureTitle">
    <w:name w:val="CBD_FigureTitle"/>
    <w:basedOn w:val="CBDNormal"/>
    <w:next w:val="Normal"/>
    <w:qFormat/>
    <w:rsid w:val="004C3078"/>
    <w:pPr>
      <w:keepNext/>
      <w:keepLines/>
      <w:spacing w:before="120" w:after="60"/>
      <w:ind w:left="567"/>
      <w:jc w:val="left"/>
    </w:pPr>
    <w:rPr>
      <w:b/>
    </w:rPr>
  </w:style>
  <w:style w:type="paragraph" w:customStyle="1" w:styleId="CBDFooter">
    <w:name w:val="CBD_Footer"/>
    <w:basedOn w:val="CBDNormal"/>
    <w:qFormat/>
    <w:rsid w:val="004C3078"/>
    <w:rPr>
      <w:sz w:val="20"/>
    </w:rPr>
  </w:style>
  <w:style w:type="paragraph" w:customStyle="1" w:styleId="CBDFootnoteText">
    <w:name w:val="CBD_Footnote_Text"/>
    <w:basedOn w:val="CBDNormal"/>
    <w:qFormat/>
    <w:rsid w:val="004C3078"/>
    <w:pPr>
      <w:jc w:val="left"/>
    </w:pPr>
    <w:rPr>
      <w:sz w:val="18"/>
    </w:rPr>
  </w:style>
  <w:style w:type="paragraph" w:customStyle="1" w:styleId="CBDH2">
    <w:name w:val="CBD_H2"/>
    <w:basedOn w:val="CBDNormal"/>
    <w:qFormat/>
    <w:rsid w:val="004C3078"/>
    <w:pPr>
      <w:keepNext/>
      <w:keepLines/>
      <w:ind w:left="567" w:hanging="567"/>
    </w:pPr>
    <w:rPr>
      <w:b/>
      <w:sz w:val="24"/>
    </w:rPr>
  </w:style>
  <w:style w:type="paragraph" w:customStyle="1" w:styleId="CBDH3">
    <w:name w:val="CBD_H3"/>
    <w:basedOn w:val="CBDNormal"/>
    <w:qFormat/>
    <w:rsid w:val="004C3078"/>
    <w:pPr>
      <w:keepNext/>
      <w:keepLines/>
      <w:spacing w:before="120" w:after="120"/>
      <w:ind w:left="567" w:hanging="567"/>
      <w:jc w:val="left"/>
    </w:pPr>
    <w:rPr>
      <w:b/>
    </w:rPr>
  </w:style>
  <w:style w:type="paragraph" w:customStyle="1" w:styleId="CBDH4">
    <w:name w:val="CBD_H4"/>
    <w:basedOn w:val="CBDNormal"/>
    <w:rsid w:val="004C3078"/>
    <w:pPr>
      <w:keepNext/>
      <w:keepLines/>
      <w:spacing w:before="120" w:after="120"/>
      <w:ind w:left="567" w:hanging="567"/>
      <w:jc w:val="left"/>
    </w:pPr>
    <w:rPr>
      <w:b/>
    </w:rPr>
  </w:style>
  <w:style w:type="paragraph" w:customStyle="1" w:styleId="CBDH5">
    <w:name w:val="CBD_H5"/>
    <w:basedOn w:val="CBDNormal"/>
    <w:qFormat/>
    <w:rsid w:val="004C3078"/>
    <w:pPr>
      <w:keepNext/>
      <w:keepLines/>
      <w:spacing w:before="120" w:after="120"/>
      <w:ind w:left="567" w:hanging="567"/>
      <w:jc w:val="left"/>
    </w:pPr>
    <w:rPr>
      <w:i/>
    </w:rPr>
  </w:style>
  <w:style w:type="paragraph" w:customStyle="1" w:styleId="CBDHeader">
    <w:name w:val="CBD_Header"/>
    <w:basedOn w:val="CBDNormal"/>
    <w:next w:val="CBDFooter"/>
    <w:qFormat/>
    <w:rsid w:val="004C3078"/>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4C3078"/>
    <w:pPr>
      <w:numPr>
        <w:numId w:val="38"/>
      </w:numPr>
    </w:pPr>
  </w:style>
  <w:style w:type="paragraph" w:customStyle="1" w:styleId="CBDNormalNoNumber">
    <w:name w:val="CBD_Normal_NoNumber"/>
    <w:basedOn w:val="CBDNormal"/>
    <w:qFormat/>
    <w:rsid w:val="004C3078"/>
    <w:pPr>
      <w:spacing w:after="120"/>
      <w:ind w:left="567"/>
    </w:pPr>
  </w:style>
  <w:style w:type="paragraph" w:customStyle="1" w:styleId="CBDpara-item">
    <w:name w:val="CBD_para-item"/>
    <w:basedOn w:val="Normal"/>
    <w:qFormat/>
    <w:rsid w:val="004C3078"/>
    <w:pPr>
      <w:tabs>
        <w:tab w:val="clear" w:pos="567"/>
      </w:tabs>
      <w:spacing w:before="120" w:after="120"/>
      <w:ind w:left="1134" w:hanging="567"/>
      <w:jc w:val="left"/>
    </w:pPr>
  </w:style>
  <w:style w:type="paragraph" w:customStyle="1" w:styleId="CBDprov-agendaItem">
    <w:name w:val="CBD_prov-agenda_Item"/>
    <w:basedOn w:val="CBDNormalNumber"/>
    <w:qFormat/>
    <w:rsid w:val="004C3078"/>
  </w:style>
  <w:style w:type="paragraph" w:customStyle="1" w:styleId="CBDRecommendText">
    <w:name w:val="CBD_RecommendText"/>
    <w:basedOn w:val="Normal"/>
    <w:qFormat/>
    <w:rsid w:val="004C3078"/>
    <w:pPr>
      <w:spacing w:after="120"/>
      <w:ind w:left="567"/>
    </w:pPr>
  </w:style>
  <w:style w:type="paragraph" w:customStyle="1" w:styleId="CBDsubpara-item">
    <w:name w:val="CBD_subpara-item"/>
    <w:basedOn w:val="CBDpara-item"/>
    <w:qFormat/>
    <w:rsid w:val="004C3078"/>
    <w:pPr>
      <w:tabs>
        <w:tab w:val="clear" w:pos="1134"/>
      </w:tabs>
      <w:ind w:left="1701"/>
    </w:pPr>
  </w:style>
  <w:style w:type="character" w:customStyle="1" w:styleId="FooterChar">
    <w:name w:val="Footer Char"/>
    <w:basedOn w:val="DefaultParagraphFont"/>
    <w:link w:val="Footer"/>
    <w:uiPriority w:val="99"/>
    <w:rsid w:val="004C3078"/>
    <w:rPr>
      <w:rFonts w:eastAsia="SimSun"/>
      <w:szCs w:val="22"/>
      <w:bdr w:val="none" w:sz="0" w:space="0" w:color="auto"/>
      <w:lang w:val="ru-RU" w:eastAsia="en-US"/>
    </w:rPr>
  </w:style>
  <w:style w:type="character" w:customStyle="1" w:styleId="FootnoteTextChar">
    <w:name w:val="Footnote Text Char"/>
    <w:basedOn w:val="DefaultParagraphFont"/>
    <w:link w:val="FootnoteText"/>
    <w:uiPriority w:val="99"/>
    <w:rsid w:val="004C3078"/>
    <w:rPr>
      <w:rFonts w:eastAsia="SimSun"/>
      <w:sz w:val="18"/>
      <w:bdr w:val="none" w:sz="0" w:space="0" w:color="auto"/>
      <w:lang w:val="ru-RU" w:eastAsia="en-US"/>
    </w:rPr>
  </w:style>
  <w:style w:type="paragraph" w:customStyle="1" w:styleId="Footnote">
    <w:name w:val="Footnote"/>
    <w:basedOn w:val="FootnoteText"/>
    <w:semiHidden/>
    <w:qFormat/>
    <w:rsid w:val="004C3078"/>
    <w:rPr>
      <w:szCs w:val="18"/>
    </w:rPr>
  </w:style>
  <w:style w:type="character" w:customStyle="1" w:styleId="HeaderChar">
    <w:name w:val="Header Char"/>
    <w:basedOn w:val="DefaultParagraphFont"/>
    <w:link w:val="Header"/>
    <w:rsid w:val="004C3078"/>
    <w:rPr>
      <w:rFonts w:eastAsia="SimSun"/>
      <w:szCs w:val="22"/>
      <w:bdr w:val="none" w:sz="0" w:space="0" w:color="auto"/>
      <w:lang w:val="ru-RU" w:eastAsia="en-US"/>
    </w:rPr>
  </w:style>
  <w:style w:type="character" w:customStyle="1" w:styleId="Heading1Char">
    <w:name w:val="Heading 1 Char"/>
    <w:basedOn w:val="DefaultParagraphFont"/>
    <w:link w:val="Heading1"/>
    <w:uiPriority w:val="9"/>
    <w:rsid w:val="004C3078"/>
    <w:rPr>
      <w:rFonts w:eastAsiaTheme="majorEastAsia" w:cstheme="majorBidi"/>
      <w:b/>
      <w:bCs/>
      <w:kern w:val="2"/>
      <w:sz w:val="28"/>
      <w:szCs w:val="32"/>
      <w:bdr w:val="none" w:sz="0" w:space="0" w:color="auto"/>
      <w:lang w:eastAsia="en-US"/>
      <w14:ligatures w14:val="standardContextual"/>
    </w:rPr>
  </w:style>
  <w:style w:type="character" w:customStyle="1" w:styleId="Heading2Char">
    <w:name w:val="Heading 2 Char"/>
    <w:basedOn w:val="DefaultParagraphFont"/>
    <w:link w:val="Heading2"/>
    <w:uiPriority w:val="9"/>
    <w:rsid w:val="004C3078"/>
    <w:rPr>
      <w:rFonts w:ascii="Times New Roman Bold" w:eastAsiaTheme="majorEastAsia" w:hAnsi="Times New Roman Bold" w:cstheme="majorBidi"/>
      <w:b/>
      <w:sz w:val="24"/>
      <w:szCs w:val="26"/>
      <w:bdr w:val="none" w:sz="0" w:space="0" w:color="auto"/>
      <w:lang w:val="ru-RU" w:eastAsia="en-US"/>
    </w:rPr>
  </w:style>
  <w:style w:type="character" w:customStyle="1" w:styleId="Heading3Char">
    <w:name w:val="Heading 3 Char"/>
    <w:basedOn w:val="DefaultParagraphFont"/>
    <w:link w:val="Heading3"/>
    <w:uiPriority w:val="9"/>
    <w:rsid w:val="004C3078"/>
    <w:rPr>
      <w:rFonts w:eastAsiaTheme="majorEastAsia"/>
      <w:b/>
      <w:bCs/>
      <w:sz w:val="22"/>
      <w:szCs w:val="22"/>
      <w:bdr w:val="none" w:sz="0" w:space="0" w:color="auto"/>
      <w:lang w:val="ru-RU" w:eastAsia="en-US"/>
    </w:rPr>
  </w:style>
  <w:style w:type="character" w:customStyle="1" w:styleId="Heading4Char">
    <w:name w:val="Heading 4 Char"/>
    <w:basedOn w:val="DefaultParagraphFont"/>
    <w:link w:val="Heading4"/>
    <w:uiPriority w:val="9"/>
    <w:rsid w:val="004C3078"/>
    <w:rPr>
      <w:rFonts w:eastAsiaTheme="majorEastAsia"/>
      <w:b/>
      <w:bCs/>
      <w:sz w:val="22"/>
      <w:szCs w:val="22"/>
      <w:bdr w:val="none" w:sz="0" w:space="0" w:color="auto"/>
      <w:lang w:val="ru-RU" w:eastAsia="en-US"/>
    </w:rPr>
  </w:style>
  <w:style w:type="character" w:customStyle="1" w:styleId="Heading5Char">
    <w:name w:val="Heading 5 Char"/>
    <w:basedOn w:val="DefaultParagraphFont"/>
    <w:link w:val="Heading5"/>
    <w:uiPriority w:val="9"/>
    <w:rsid w:val="004C3078"/>
    <w:rPr>
      <w:rFonts w:eastAsiaTheme="majorEastAsia"/>
      <w:i/>
      <w:iCs/>
      <w:sz w:val="22"/>
      <w:szCs w:val="22"/>
      <w:bdr w:val="none" w:sz="0" w:space="0" w:color="auto"/>
      <w:lang w:val="ru-RU" w:eastAsia="en-US"/>
    </w:rPr>
  </w:style>
  <w:style w:type="character" w:customStyle="1" w:styleId="Heading6Char">
    <w:name w:val="Heading 6 Char"/>
    <w:basedOn w:val="DefaultParagraphFont"/>
    <w:link w:val="Heading6"/>
    <w:semiHidden/>
    <w:rsid w:val="004C3078"/>
    <w:rPr>
      <w:rFonts w:eastAsia="SimSun"/>
      <w:bCs/>
      <w:sz w:val="24"/>
      <w:szCs w:val="22"/>
      <w:bdr w:val="none" w:sz="0" w:space="0" w:color="auto"/>
      <w:lang w:val="ru-RU" w:eastAsia="en-US"/>
    </w:rPr>
  </w:style>
  <w:style w:type="character" w:customStyle="1" w:styleId="Heading7Char">
    <w:name w:val="Heading 7 Char"/>
    <w:basedOn w:val="DefaultParagraphFont"/>
    <w:link w:val="Heading7"/>
    <w:semiHidden/>
    <w:rsid w:val="004C3078"/>
    <w:rPr>
      <w:rFonts w:eastAsia="SimSun"/>
      <w:b/>
      <w:snapToGrid w:val="0"/>
      <w:sz w:val="22"/>
      <w:szCs w:val="22"/>
      <w:u w:val="single"/>
      <w:bdr w:val="none" w:sz="0" w:space="0" w:color="auto"/>
      <w:lang w:val="ru-RU" w:eastAsia="en-US"/>
    </w:rPr>
  </w:style>
  <w:style w:type="character" w:customStyle="1" w:styleId="Heading8Char">
    <w:name w:val="Heading 8 Char"/>
    <w:basedOn w:val="DefaultParagraphFont"/>
    <w:link w:val="Heading8"/>
    <w:semiHidden/>
    <w:rsid w:val="004C3078"/>
    <w:rPr>
      <w:rFonts w:eastAsia="SimSun"/>
      <w:b/>
      <w:snapToGrid w:val="0"/>
      <w:sz w:val="22"/>
      <w:szCs w:val="22"/>
      <w:u w:val="single"/>
      <w:bdr w:val="none" w:sz="0" w:space="0" w:color="auto"/>
      <w:lang w:val="ru-RU" w:eastAsia="en-US"/>
    </w:rPr>
  </w:style>
  <w:style w:type="character" w:customStyle="1" w:styleId="Heading9Char">
    <w:name w:val="Heading 9 Char"/>
    <w:basedOn w:val="DefaultParagraphFont"/>
    <w:link w:val="Heading9"/>
    <w:semiHidden/>
    <w:rsid w:val="004C3078"/>
    <w:rPr>
      <w:rFonts w:eastAsia="SimSun"/>
      <w:snapToGrid w:val="0"/>
      <w:sz w:val="22"/>
      <w:szCs w:val="22"/>
      <w:u w:val="single"/>
      <w:bdr w:val="none" w:sz="0" w:space="0" w:color="auto"/>
      <w:lang w:val="ru-RU" w:eastAsia="en-US"/>
    </w:rPr>
  </w:style>
  <w:style w:type="paragraph" w:customStyle="1" w:styleId="Item">
    <w:name w:val="Item"/>
    <w:basedOn w:val="Normal"/>
    <w:semiHidden/>
    <w:qFormat/>
    <w:rsid w:val="004C3078"/>
    <w:pPr>
      <w:suppressLineNumbers/>
      <w:suppressAutoHyphens/>
      <w:spacing w:before="240" w:after="120"/>
      <w:jc w:val="left"/>
    </w:pPr>
    <w:rPr>
      <w:rFonts w:eastAsia="Times New Roman"/>
      <w:b/>
      <w:iCs/>
      <w:snapToGrid w:val="0"/>
      <w:kern w:val="22"/>
      <w:sz w:val="24"/>
    </w:rPr>
  </w:style>
  <w:style w:type="paragraph" w:styleId="List">
    <w:name w:val="List"/>
    <w:basedOn w:val="Normal"/>
    <w:semiHidden/>
    <w:rsid w:val="004C3078"/>
    <w:pPr>
      <w:contextualSpacing/>
    </w:pPr>
  </w:style>
  <w:style w:type="paragraph" w:styleId="ListParagraph">
    <w:name w:val="List Paragraph"/>
    <w:basedOn w:val="Normal"/>
    <w:uiPriority w:val="34"/>
    <w:qFormat/>
    <w:rsid w:val="004C3078"/>
    <w:pPr>
      <w:ind w:left="720"/>
      <w:contextualSpacing/>
    </w:pPr>
  </w:style>
  <w:style w:type="paragraph" w:styleId="TOC1">
    <w:name w:val="toc 1"/>
    <w:basedOn w:val="CBDNormal"/>
    <w:next w:val="Normal"/>
    <w:autoRedefine/>
    <w:uiPriority w:val="39"/>
    <w:unhideWhenUsed/>
    <w:rsid w:val="004C307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4C307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4C307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4C307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4C307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4C307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4C307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4C307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4C307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ED2A51"/>
    <w:rPr>
      <w:sz w:val="18"/>
      <w:szCs w:val="18"/>
    </w:rPr>
  </w:style>
  <w:style w:type="character" w:customStyle="1" w:styleId="BalloonTextChar">
    <w:name w:val="Balloon Text Char"/>
    <w:basedOn w:val="DefaultParagraphFont"/>
    <w:link w:val="BalloonText"/>
    <w:uiPriority w:val="99"/>
    <w:semiHidden/>
    <w:rsid w:val="00ED2A51"/>
    <w:rPr>
      <w:rFonts w:eastAsia="SimSun"/>
      <w:sz w:val="18"/>
      <w:szCs w:val="18"/>
      <w:bdr w:val="none" w:sz="0" w:space="0" w:color="auto"/>
      <w:lang w:val="ru-RU" w:eastAsia="en-US"/>
    </w:rPr>
  </w:style>
  <w:style w:type="character" w:styleId="FollowedHyperlink">
    <w:name w:val="FollowedHyperlink"/>
    <w:basedOn w:val="DefaultParagraphFont"/>
    <w:uiPriority w:val="99"/>
    <w:semiHidden/>
    <w:unhideWhenUsed/>
    <w:rsid w:val="00A03F4B"/>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1.xml"/><Relationship Id="rId29"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6"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6" TargetMode="Externa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3.xm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DSI-AHTEG-2026-01" TargetMode="External"/><Relationship Id="rId2" Type="http://schemas.openxmlformats.org/officeDocument/2006/relationships/hyperlink" Target="https://www.cbd.int/documents/CBD/DSI/AHTEG/2026/2/3" TargetMode="External"/><Relationship Id="rId1" Type="http://schemas.openxmlformats.org/officeDocument/2006/relationships/hyperlink" Target="https://www.cbd.int/documents/CBD/COP/17/1/REV1" TargetMode="External"/><Relationship Id="rId5" Type="http://schemas.openxmlformats.org/officeDocument/2006/relationships/hyperlink" Target="https://ssrn.com/abstract=6809586" TargetMode="External"/><Relationship Id="rId4" Type="http://schemas.openxmlformats.org/officeDocument/2006/relationships/hyperlink" Target="https://www.cbd.int/meetings/DSI-AHTEG-2026-02"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50F1E9-E45C-496E-8383-569EC7CCB5B3}">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97079DD5-068F-4E87-BA4A-034A0795C933}"/>
</file>

<file path=customXml/itemProps3.xml><?xml version="1.0" encoding="utf-8"?>
<ds:datastoreItem xmlns:ds="http://schemas.openxmlformats.org/officeDocument/2006/customXml" ds:itemID="{1CA53EA7-38E8-4EFA-A8A7-893DEB0BE4BE}">
  <ds:schemaRefs>
    <ds:schemaRef ds:uri="http://schemas.openxmlformats.org/officeDocument/2006/bibliography"/>
  </ds:schemaRefs>
</ds:datastoreItem>
</file>

<file path=customXml/itemProps4.xml><?xml version="1.0" encoding="utf-8"?>
<ds:datastoreItem xmlns:ds="http://schemas.openxmlformats.org/officeDocument/2006/customXml" ds:itemID="{C5921EE1-B8D1-491F-BEAF-C5A1D81D2F98}">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10</Pages>
  <Words>3596</Words>
  <Characters>21110</Characters>
  <Application>Microsoft Office Word</Application>
  <DocSecurity>0</DocSecurity>
  <Lines>469</Lines>
  <Paragraphs>277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Krokoz™</Company>
  <LinksUpToDate>false</LinksUpToDate>
  <CharactersWithSpaces>24429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veronique.lefebvre</dc:creator>
  <cp:lastModifiedBy>Mariko Nishi</cp:lastModifiedBy>
  <cp:revision>7</cp:revision>
  <cp:lastPrinted>2026-09-15T18:54:00Z</cp:lastPrinted>
  <dcterms:created xsi:type="dcterms:W3CDTF">2026-09-15T05:01:00Z</dcterms:created>
  <dcterms:modified xsi:type="dcterms:W3CDTF">2026-09-15T18:57:00Z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