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18" w:type="dxa"/>
        <w:tblLook w:val="04A0" w:firstRow="1" w:lastRow="0" w:firstColumn="1" w:lastColumn="0" w:noHBand="0" w:noVBand="1"/>
      </w:tblPr>
      <w:tblGrid>
        <w:gridCol w:w="976"/>
        <w:gridCol w:w="5141"/>
        <w:gridCol w:w="4090"/>
      </w:tblGrid>
      <w:tr w:rsidR="00411529" w:rsidRPr="0069383A" w14:paraId="0BE2A861" w14:textId="77777777" w:rsidTr="00CE5EBA">
        <w:trPr>
          <w:trHeight w:val="844"/>
        </w:trPr>
        <w:tc>
          <w:tcPr>
            <w:tcW w:w="976" w:type="dxa"/>
            <w:tcBorders>
              <w:bottom w:val="single" w:sz="12" w:space="0" w:color="auto"/>
            </w:tcBorders>
          </w:tcPr>
          <w:p w14:paraId="1AE89A56" w14:textId="77777777" w:rsidR="00411529" w:rsidRPr="0069383A" w:rsidRDefault="00411529" w:rsidP="00CE5EBA">
            <w:pPr>
              <w:suppressLineNumbers/>
              <w:suppressAutoHyphens/>
              <w:rPr>
                <w:kern w:val="22"/>
              </w:rPr>
            </w:pPr>
            <w:r w:rsidRPr="0069383A">
              <w:rPr>
                <w:noProof/>
                <w:kern w:val="22"/>
                <w:lang w:val="en-CA" w:eastAsia="zh-CN"/>
              </w:rPr>
              <w:drawing>
                <wp:anchor distT="0" distB="0" distL="114300" distR="114300" simplePos="0" relativeHeight="251660289" behindDoc="0" locked="0" layoutInCell="1" allowOverlap="1" wp14:anchorId="5B14BC67" wp14:editId="458CABCF">
                  <wp:simplePos x="0" y="0"/>
                  <wp:positionH relativeFrom="column">
                    <wp:posOffset>0</wp:posOffset>
                  </wp:positionH>
                  <wp:positionV relativeFrom="page">
                    <wp:posOffset>3810</wp:posOffset>
                  </wp:positionV>
                  <wp:extent cx="476250" cy="402590"/>
                  <wp:effectExtent l="0" t="0" r="0" b="0"/>
                  <wp:wrapNone/>
                  <wp:docPr id="6"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68758EDC" w14:textId="77777777" w:rsidR="00411529" w:rsidRPr="0069383A" w:rsidRDefault="00411529" w:rsidP="00CE5EBA">
            <w:pPr>
              <w:suppressLineNumbers/>
              <w:suppressAutoHyphens/>
              <w:rPr>
                <w:kern w:val="22"/>
              </w:rPr>
            </w:pPr>
            <w:r w:rsidRPr="00BB4901">
              <w:rPr>
                <w:noProof/>
                <w:lang w:val="en-CA" w:eastAsia="zh-CN"/>
              </w:rPr>
              <w:drawing>
                <wp:inline distT="0" distB="0" distL="0" distR="0" wp14:anchorId="40A80FB9" wp14:editId="0A6FF8CA">
                  <wp:extent cx="593725" cy="34099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00F681EA" w14:textId="77777777" w:rsidR="00411529" w:rsidRPr="0069383A" w:rsidRDefault="00411529" w:rsidP="00CE5EBA">
            <w:pPr>
              <w:suppressLineNumbers/>
              <w:suppressAutoHyphens/>
              <w:jc w:val="right"/>
              <w:rPr>
                <w:rFonts w:ascii="Arial" w:hAnsi="Arial" w:cs="Arial"/>
                <w:kern w:val="22"/>
                <w:sz w:val="32"/>
                <w:szCs w:val="32"/>
              </w:rPr>
            </w:pPr>
            <w:r w:rsidRPr="0069383A">
              <w:rPr>
                <w:rFonts w:ascii="Arial" w:hAnsi="Arial" w:cs="Arial"/>
                <w:kern w:val="22"/>
                <w:sz w:val="32"/>
                <w:szCs w:val="32"/>
              </w:rPr>
              <w:t>CBD</w:t>
            </w:r>
          </w:p>
        </w:tc>
      </w:tr>
      <w:tr w:rsidR="00411529" w:rsidRPr="0069383A" w14:paraId="37DE028D" w14:textId="77777777" w:rsidTr="00CE5EBA">
        <w:tc>
          <w:tcPr>
            <w:tcW w:w="6117" w:type="dxa"/>
            <w:gridSpan w:val="2"/>
            <w:tcBorders>
              <w:top w:val="single" w:sz="12" w:space="0" w:color="auto"/>
              <w:bottom w:val="single" w:sz="36" w:space="0" w:color="auto"/>
            </w:tcBorders>
            <w:vAlign w:val="center"/>
          </w:tcPr>
          <w:p w14:paraId="116257D3" w14:textId="77777777" w:rsidR="00411529" w:rsidRPr="0069383A" w:rsidRDefault="00411529" w:rsidP="00CE5EBA">
            <w:pPr>
              <w:suppressLineNumbers/>
              <w:suppressAutoHyphens/>
              <w:rPr>
                <w:color w:val="000000" w:themeColor="text1"/>
                <w:kern w:val="22"/>
                <w:szCs w:val="22"/>
              </w:rPr>
            </w:pPr>
            <w:r w:rsidRPr="0069383A">
              <w:rPr>
                <w:bCs/>
                <w:noProof/>
                <w:szCs w:val="22"/>
                <w:lang w:val="en-CA" w:eastAsia="zh-CN"/>
              </w:rPr>
              <w:drawing>
                <wp:inline distT="0" distB="0" distL="0" distR="0" wp14:anchorId="04A802ED" wp14:editId="3C84F1A6">
                  <wp:extent cx="2857500" cy="1076325"/>
                  <wp:effectExtent l="0" t="0" r="0" b="9525"/>
                  <wp:docPr id="1"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4CFFCAE" w14:textId="77777777" w:rsidR="00411529" w:rsidRPr="0069383A" w:rsidRDefault="00411529" w:rsidP="00CE5EBA">
            <w:pPr>
              <w:suppressLineNumbers/>
              <w:suppressAutoHyphens/>
              <w:ind w:left="1247"/>
              <w:rPr>
                <w:color w:val="000000" w:themeColor="text1"/>
                <w:kern w:val="22"/>
                <w:szCs w:val="22"/>
              </w:rPr>
            </w:pPr>
            <w:r w:rsidRPr="0069383A">
              <w:rPr>
                <w:color w:val="000000" w:themeColor="text1"/>
                <w:kern w:val="22"/>
                <w:szCs w:val="22"/>
              </w:rPr>
              <w:t>Distr.</w:t>
            </w:r>
          </w:p>
          <w:p w14:paraId="3A1D51D3" w14:textId="77777777" w:rsidR="00411529" w:rsidRPr="0069383A" w:rsidRDefault="00411529" w:rsidP="00CE5EBA">
            <w:pPr>
              <w:ind w:left="1215"/>
              <w:rPr>
                <w:color w:val="000000" w:themeColor="text1"/>
                <w:kern w:val="22"/>
                <w:szCs w:val="22"/>
              </w:rPr>
            </w:pPr>
            <w:r>
              <w:rPr>
                <w:caps/>
                <w:color w:val="000000" w:themeColor="text1"/>
                <w:kern w:val="22"/>
                <w:szCs w:val="22"/>
              </w:rPr>
              <w:t>GÉNÉRALE</w:t>
            </w:r>
          </w:p>
          <w:p w14:paraId="11D8ED1A" w14:textId="77777777" w:rsidR="00411529" w:rsidRPr="0069383A" w:rsidRDefault="00411529" w:rsidP="00CE5EBA">
            <w:pPr>
              <w:suppressLineNumbers/>
              <w:suppressAutoHyphens/>
              <w:ind w:left="1247"/>
              <w:rPr>
                <w:color w:val="000000" w:themeColor="text1"/>
                <w:kern w:val="22"/>
                <w:szCs w:val="22"/>
              </w:rPr>
            </w:pPr>
          </w:p>
          <w:p w14:paraId="4A0CA75B" w14:textId="5DD842B1" w:rsidR="00411529" w:rsidRDefault="00411529" w:rsidP="00CE5EBA">
            <w:pPr>
              <w:suppressLineNumbers/>
              <w:suppressAutoHyphens/>
              <w:ind w:left="1247"/>
              <w:rPr>
                <w:kern w:val="22"/>
                <w:szCs w:val="22"/>
              </w:rPr>
            </w:pPr>
            <w:r w:rsidRPr="00CD17B9">
              <w:rPr>
                <w:kern w:val="22"/>
                <w:szCs w:val="22"/>
              </w:rPr>
              <w:t>CBD/</w:t>
            </w:r>
            <w:r w:rsidR="00CE5EBA">
              <w:rPr>
                <w:kern w:val="22"/>
                <w:szCs w:val="22"/>
              </w:rPr>
              <w:t>DEC/EM/2/1</w:t>
            </w:r>
          </w:p>
          <w:p w14:paraId="627D2EA4" w14:textId="77777777" w:rsidR="00411529" w:rsidRPr="0069383A" w:rsidRDefault="00411529" w:rsidP="00CE5EBA">
            <w:pPr>
              <w:suppressLineNumbers/>
              <w:suppressAutoHyphens/>
              <w:ind w:left="1247"/>
              <w:rPr>
                <w:kern w:val="22"/>
                <w:szCs w:val="22"/>
              </w:rPr>
            </w:pPr>
            <w:r>
              <w:rPr>
                <w:kern w:val="22"/>
                <w:szCs w:val="22"/>
              </w:rPr>
              <w:t>27</w:t>
            </w:r>
            <w:r w:rsidRPr="0069383A">
              <w:rPr>
                <w:kern w:val="22"/>
                <w:szCs w:val="22"/>
              </w:rPr>
              <w:t xml:space="preserve"> novembre 2020</w:t>
            </w:r>
          </w:p>
          <w:p w14:paraId="77732896" w14:textId="77777777" w:rsidR="00411529" w:rsidRPr="0069383A" w:rsidRDefault="00411529" w:rsidP="00CE5EBA">
            <w:pPr>
              <w:suppressLineNumbers/>
              <w:suppressAutoHyphens/>
              <w:ind w:left="1247"/>
              <w:rPr>
                <w:color w:val="000000" w:themeColor="text1"/>
                <w:kern w:val="22"/>
                <w:szCs w:val="22"/>
              </w:rPr>
            </w:pPr>
          </w:p>
          <w:p w14:paraId="17E8E89F" w14:textId="77777777" w:rsidR="00411529" w:rsidRPr="0069383A" w:rsidRDefault="00411529" w:rsidP="00CE5EBA">
            <w:pPr>
              <w:ind w:left="1215"/>
              <w:rPr>
                <w:color w:val="000000" w:themeColor="text1"/>
                <w:kern w:val="22"/>
                <w:szCs w:val="22"/>
              </w:rPr>
            </w:pPr>
            <w:r w:rsidRPr="0069383A">
              <w:rPr>
                <w:color w:val="000000" w:themeColor="text1"/>
                <w:kern w:val="22"/>
                <w:szCs w:val="22"/>
              </w:rPr>
              <w:t>FRANÇAIS</w:t>
            </w:r>
          </w:p>
          <w:p w14:paraId="5D30E56A" w14:textId="77777777" w:rsidR="00411529" w:rsidRPr="0069383A" w:rsidRDefault="00411529" w:rsidP="00CE5EBA">
            <w:pPr>
              <w:suppressLineNumbers/>
              <w:suppressAutoHyphens/>
              <w:ind w:left="1247"/>
              <w:rPr>
                <w:color w:val="000000" w:themeColor="text1"/>
                <w:kern w:val="22"/>
                <w:szCs w:val="22"/>
              </w:rPr>
            </w:pPr>
            <w:r w:rsidRPr="0069383A">
              <w:rPr>
                <w:color w:val="000000" w:themeColor="text1"/>
                <w:kern w:val="22"/>
                <w:szCs w:val="22"/>
              </w:rPr>
              <w:t>ORIGINAL: ANGLAIS</w:t>
            </w:r>
          </w:p>
        </w:tc>
      </w:tr>
    </w:tbl>
    <w:p w14:paraId="349A07EA" w14:textId="77777777" w:rsidR="00411529" w:rsidRPr="0069383A" w:rsidRDefault="00411529" w:rsidP="00411529">
      <w:pPr>
        <w:pStyle w:val="NoSpacing"/>
        <w:suppressLineNumbers/>
        <w:suppressAutoHyphens/>
        <w:ind w:left="142" w:right="4682" w:hanging="142"/>
        <w:rPr>
          <w:rFonts w:ascii="Times New Roman" w:hAnsi="Times New Roman"/>
          <w:color w:val="000000" w:themeColor="text1"/>
          <w:kern w:val="20"/>
          <w:lang w:val="fr-FR"/>
        </w:rPr>
      </w:pPr>
      <w:r w:rsidRPr="0069383A">
        <w:rPr>
          <w:rFonts w:ascii="Times New Roman" w:hAnsi="Times New Roman"/>
          <w:color w:val="000000" w:themeColor="text1"/>
          <w:kern w:val="20"/>
          <w:lang w:val="fr-FR"/>
        </w:rPr>
        <w:t>CONFÉRENCE DES PARTIES À LA CONVENTION SUR LA DIVERSITÉ BIOLOGIQUE</w:t>
      </w:r>
    </w:p>
    <w:p w14:paraId="142E75A0" w14:textId="77777777" w:rsidR="00411529" w:rsidRPr="0069383A" w:rsidRDefault="00411529" w:rsidP="00411529">
      <w:pPr>
        <w:pStyle w:val="NoSpacing"/>
        <w:suppressLineNumbers/>
        <w:suppressAutoHyphens/>
        <w:ind w:left="142" w:right="4682" w:hanging="142"/>
        <w:rPr>
          <w:rFonts w:ascii="Times New Roman" w:hAnsi="Times New Roman"/>
          <w:color w:val="000000" w:themeColor="text1"/>
          <w:kern w:val="20"/>
          <w:lang w:val="fr-FR"/>
        </w:rPr>
      </w:pPr>
      <w:r w:rsidRPr="0069383A">
        <w:rPr>
          <w:rFonts w:ascii="Times New Roman" w:hAnsi="Times New Roman"/>
          <w:color w:val="000000" w:themeColor="text1"/>
          <w:kern w:val="20"/>
          <w:lang w:val="fr-FR"/>
        </w:rPr>
        <w:t>Deuxième réunion extraordinaire</w:t>
      </w:r>
    </w:p>
    <w:p w14:paraId="556337E4" w14:textId="77777777" w:rsidR="00411529" w:rsidRPr="00D37DF0" w:rsidRDefault="00411529" w:rsidP="00411529">
      <w:pPr>
        <w:suppressLineNumbers/>
        <w:suppressAutoHyphens/>
        <w:rPr>
          <w:iCs/>
          <w:kern w:val="22"/>
          <w:sz w:val="22"/>
          <w:szCs w:val="22"/>
          <w:lang w:eastAsia="ko-KR"/>
        </w:rPr>
      </w:pPr>
      <w:r w:rsidRPr="00D37DF0">
        <w:rPr>
          <w:iCs/>
          <w:kern w:val="22"/>
          <w:sz w:val="22"/>
          <w:szCs w:val="22"/>
          <w:lang w:eastAsia="ko-KR"/>
        </w:rPr>
        <w:t>Montréal (en ligne), 16-19 novembre 2020 et</w:t>
      </w:r>
    </w:p>
    <w:p w14:paraId="32C9FC03" w14:textId="598BF808" w:rsidR="00CE5EBA" w:rsidRPr="00CE5EBA" w:rsidRDefault="00411529" w:rsidP="00CE5EBA">
      <w:pPr>
        <w:keepNext/>
        <w:suppressLineNumbers/>
        <w:suppressAutoHyphens/>
        <w:kinsoku w:val="0"/>
        <w:overflowPunct w:val="0"/>
        <w:autoSpaceDE w:val="0"/>
        <w:autoSpaceDN w:val="0"/>
        <w:snapToGrid w:val="0"/>
        <w:ind w:left="142" w:right="4642" w:hanging="142"/>
        <w:outlineLvl w:val="8"/>
        <w:rPr>
          <w:kern w:val="22"/>
          <w:sz w:val="22"/>
          <w:szCs w:val="22"/>
          <w:lang w:eastAsia="ko-KR"/>
        </w:rPr>
      </w:pPr>
      <w:r w:rsidRPr="00D37DF0">
        <w:rPr>
          <w:kern w:val="22"/>
          <w:sz w:val="22"/>
          <w:szCs w:val="22"/>
          <w:lang w:eastAsia="ko-KR"/>
        </w:rPr>
        <w:t>25-27 novembre 2020 (reprise de session)</w:t>
      </w:r>
      <w:bookmarkStart w:id="0" w:name="_Toc57972490"/>
    </w:p>
    <w:p w14:paraId="69B6CDBD" w14:textId="353743C5" w:rsidR="00CE5EBA" w:rsidRPr="00CE5EBA" w:rsidRDefault="00411529" w:rsidP="00CE5EBA">
      <w:pPr>
        <w:pStyle w:val="Heading1"/>
        <w:suppressLineNumbers/>
        <w:tabs>
          <w:tab w:val="clear" w:pos="720"/>
        </w:tabs>
        <w:suppressAutoHyphens/>
        <w:kinsoku w:val="0"/>
        <w:overflowPunct w:val="0"/>
        <w:autoSpaceDE w:val="0"/>
        <w:autoSpaceDN w:val="0"/>
        <w:spacing w:after="240"/>
        <w:ind w:left="1077"/>
        <w:jc w:val="left"/>
        <w:rPr>
          <w:szCs w:val="22"/>
        </w:rPr>
      </w:pPr>
      <w:r w:rsidRPr="00411529">
        <w:rPr>
          <w:szCs w:val="22"/>
        </w:rPr>
        <w:t>DÉCISION ADOPTÉE PAR LA CONFÉRENCE DES PARTIES À LA CONVENTION SUR LA DIVERSITÉ BIOLOGIQUE LORS DE SA DEUXIÈME RÉUNION EXTRAORDINAIRE</w:t>
      </w:r>
      <w:bookmarkEnd w:id="0"/>
    </w:p>
    <w:p w14:paraId="1632EE5C" w14:textId="1A5C65B0" w:rsidR="002D7608" w:rsidRPr="005F6DCA" w:rsidRDefault="00DB0D73" w:rsidP="00A816CE">
      <w:pPr>
        <w:pStyle w:val="Heading2"/>
        <w:suppressLineNumbers/>
        <w:suppressAutoHyphens/>
        <w:kinsoku w:val="0"/>
        <w:overflowPunct w:val="0"/>
        <w:autoSpaceDE w:val="0"/>
        <w:autoSpaceDN w:val="0"/>
        <w:ind w:left="1985" w:hanging="1418"/>
        <w:jc w:val="left"/>
        <w:rPr>
          <w:szCs w:val="22"/>
        </w:rPr>
      </w:pPr>
      <w:bookmarkStart w:id="1" w:name="_Toc57972491"/>
      <w:r w:rsidRPr="00A816CE">
        <w:rPr>
          <w:i w:val="0"/>
          <w:sz w:val="22"/>
          <w:szCs w:val="22"/>
        </w:rPr>
        <w:t>EM</w:t>
      </w:r>
      <w:r w:rsidR="005A585A" w:rsidRPr="00A816CE">
        <w:rPr>
          <w:i w:val="0"/>
          <w:iCs w:val="0"/>
          <w:sz w:val="22"/>
          <w:szCs w:val="22"/>
        </w:rPr>
        <w:t>-</w:t>
      </w:r>
      <w:r w:rsidRPr="00A816CE">
        <w:rPr>
          <w:i w:val="0"/>
          <w:iCs w:val="0"/>
          <w:sz w:val="22"/>
          <w:szCs w:val="22"/>
        </w:rPr>
        <w:t>2/1.</w:t>
      </w:r>
      <w:r w:rsidRPr="00A816CE">
        <w:rPr>
          <w:i w:val="0"/>
          <w:iCs w:val="0"/>
          <w:sz w:val="22"/>
          <w:szCs w:val="22"/>
        </w:rPr>
        <w:tab/>
      </w:r>
      <w:bookmarkEnd w:id="1"/>
      <w:r w:rsidR="00411529" w:rsidRPr="00411529">
        <w:rPr>
          <w:i w:val="0"/>
          <w:sz w:val="22"/>
          <w:szCs w:val="22"/>
        </w:rPr>
        <w:t>Budget intérimaire pour le programme de travail de la Convention sur la diversité biologique, pour l'année 2021</w:t>
      </w:r>
    </w:p>
    <w:p w14:paraId="6D1B1BF2" w14:textId="77777777" w:rsidR="00E00F73" w:rsidRPr="00D37DF0" w:rsidRDefault="00E00F73" w:rsidP="00E00F73">
      <w:pPr>
        <w:pStyle w:val="ListParagraph"/>
        <w:suppressLineNumbers/>
        <w:suppressAutoHyphens/>
        <w:spacing w:before="120" w:after="120"/>
        <w:ind w:left="0" w:firstLine="720"/>
        <w:contextualSpacing w:val="0"/>
        <w:rPr>
          <w:kern w:val="22"/>
          <w:sz w:val="22"/>
          <w:szCs w:val="22"/>
        </w:rPr>
      </w:pPr>
      <w:r w:rsidRPr="00D37DF0">
        <w:rPr>
          <w:i/>
          <w:kern w:val="22"/>
          <w:sz w:val="22"/>
          <w:szCs w:val="22"/>
        </w:rPr>
        <w:t xml:space="preserve">La Conférence des Parties, </w:t>
      </w:r>
    </w:p>
    <w:p w14:paraId="440C088D" w14:textId="12355AF1" w:rsidR="00E00F73" w:rsidRPr="00D37DF0" w:rsidRDefault="00E00F73" w:rsidP="00E00F73">
      <w:pPr>
        <w:suppressLineNumbers/>
        <w:suppressAutoHyphens/>
        <w:spacing w:before="120" w:after="120"/>
        <w:ind w:firstLine="720"/>
        <w:rPr>
          <w:kern w:val="22"/>
          <w:sz w:val="22"/>
          <w:szCs w:val="22"/>
        </w:rPr>
      </w:pPr>
      <w:r w:rsidRPr="00D37DF0">
        <w:rPr>
          <w:i/>
          <w:iCs/>
          <w:kern w:val="22"/>
          <w:sz w:val="22"/>
          <w:szCs w:val="22"/>
        </w:rPr>
        <w:t xml:space="preserve">Rappelant </w:t>
      </w:r>
      <w:r w:rsidRPr="00D37DF0">
        <w:rPr>
          <w:iCs/>
          <w:kern w:val="22"/>
          <w:sz w:val="22"/>
          <w:szCs w:val="22"/>
        </w:rPr>
        <w:t xml:space="preserve">sa décision </w:t>
      </w:r>
      <w:hyperlink r:id="rId15" w:history="1">
        <w:r w:rsidRPr="00D37DF0">
          <w:rPr>
            <w:rStyle w:val="Hyperlink"/>
            <w:rFonts w:eastAsia="Arial Unicode MS"/>
            <w:iCs/>
            <w:kern w:val="22"/>
            <w:sz w:val="22"/>
            <w:szCs w:val="22"/>
          </w:rPr>
          <w:t>14/37</w:t>
        </w:r>
      </w:hyperlink>
      <w:r w:rsidRPr="00D37DF0">
        <w:rPr>
          <w:iCs/>
          <w:kern w:val="22"/>
          <w:sz w:val="22"/>
          <w:szCs w:val="22"/>
        </w:rPr>
        <w:t>, dans laquelle elle a approuvé le budget pour l'exercice biennal 2019-2020, et a demandé à la Secrétaire exécutive d'élaborer des propositions pour le budget de l'exercice biennal 2021-2022</w:t>
      </w:r>
      <w:r w:rsidRPr="00D37DF0">
        <w:rPr>
          <w:kern w:val="22"/>
          <w:sz w:val="22"/>
          <w:szCs w:val="22"/>
        </w:rPr>
        <w:t>,</w:t>
      </w:r>
    </w:p>
    <w:p w14:paraId="1CB0E9F5" w14:textId="77777777" w:rsidR="00E00F73" w:rsidRPr="00D37DF0" w:rsidRDefault="00E00F73" w:rsidP="00E00F73">
      <w:pPr>
        <w:suppressLineNumbers/>
        <w:suppressAutoHyphens/>
        <w:spacing w:before="120" w:after="120"/>
        <w:ind w:firstLine="720"/>
        <w:rPr>
          <w:kern w:val="22"/>
          <w:sz w:val="22"/>
          <w:szCs w:val="22"/>
        </w:rPr>
      </w:pPr>
      <w:r w:rsidRPr="00D37DF0">
        <w:rPr>
          <w:i/>
          <w:iCs/>
          <w:kern w:val="22"/>
          <w:sz w:val="22"/>
          <w:szCs w:val="22"/>
        </w:rPr>
        <w:t xml:space="preserve">Tenant compte </w:t>
      </w:r>
      <w:r w:rsidRPr="00D37DF0">
        <w:rPr>
          <w:iCs/>
          <w:kern w:val="22"/>
          <w:sz w:val="22"/>
          <w:szCs w:val="22"/>
        </w:rPr>
        <w:t>du fait que la quinzième réunion de la Conférence des Parties a été reportée à 2021 en raison des contraintes liées à la pandémie de COVID-19</w:t>
      </w:r>
      <w:r w:rsidRPr="00D37DF0">
        <w:rPr>
          <w:kern w:val="22"/>
          <w:sz w:val="22"/>
          <w:szCs w:val="22"/>
        </w:rPr>
        <w:t>,</w:t>
      </w:r>
    </w:p>
    <w:p w14:paraId="4A0C2296" w14:textId="77777777" w:rsidR="00E00F73" w:rsidRPr="00D37DF0" w:rsidRDefault="00E00F73" w:rsidP="00E00F73">
      <w:pPr>
        <w:suppressLineNumbers/>
        <w:suppressAutoHyphens/>
        <w:spacing w:before="120" w:after="120"/>
        <w:ind w:firstLine="720"/>
        <w:rPr>
          <w:kern w:val="22"/>
          <w:sz w:val="22"/>
          <w:szCs w:val="22"/>
        </w:rPr>
      </w:pPr>
      <w:r w:rsidRPr="00D37DF0">
        <w:rPr>
          <w:i/>
          <w:iCs/>
          <w:kern w:val="22"/>
          <w:sz w:val="22"/>
          <w:szCs w:val="22"/>
        </w:rPr>
        <w:t xml:space="preserve">Soulignant, </w:t>
      </w:r>
      <w:r w:rsidRPr="00D37DF0">
        <w:rPr>
          <w:iCs/>
          <w:kern w:val="22"/>
          <w:sz w:val="22"/>
          <w:szCs w:val="22"/>
        </w:rPr>
        <w:t>par conséquent, la nécessité de prendre des dispositions pour permettre la poursuite du fonctionnement des organes et des processus de la Convention, y compris son secrétariat et les réunions de la Conférence des Parties et de ses organes subsidiaires</w:t>
      </w:r>
      <w:r w:rsidRPr="00D37DF0">
        <w:rPr>
          <w:kern w:val="22"/>
          <w:sz w:val="22"/>
          <w:szCs w:val="22"/>
        </w:rPr>
        <w:t>,</w:t>
      </w:r>
    </w:p>
    <w:p w14:paraId="4E97B260" w14:textId="77777777" w:rsidR="00E00F73" w:rsidRPr="00D37DF0" w:rsidRDefault="00E00F73" w:rsidP="00E00F73">
      <w:pPr>
        <w:suppressLineNumbers/>
        <w:suppressAutoHyphens/>
        <w:spacing w:before="120" w:after="120"/>
        <w:ind w:firstLine="720"/>
        <w:rPr>
          <w:rFonts w:eastAsia="Malgun Gothic"/>
          <w:iCs/>
          <w:kern w:val="22"/>
          <w:sz w:val="22"/>
          <w:szCs w:val="22"/>
          <w:lang w:eastAsia="x-none"/>
        </w:rPr>
      </w:pPr>
      <w:r w:rsidRPr="00D37DF0">
        <w:rPr>
          <w:i/>
          <w:iCs/>
          <w:kern w:val="22"/>
          <w:sz w:val="22"/>
          <w:szCs w:val="22"/>
        </w:rPr>
        <w:t xml:space="preserve">Prenant note </w:t>
      </w:r>
      <w:r w:rsidRPr="00D37DF0">
        <w:rPr>
          <w:iCs/>
          <w:kern w:val="22"/>
          <w:sz w:val="22"/>
          <w:szCs w:val="22"/>
        </w:rPr>
        <w:t>de la proposition du Bureau de la Conférence des Parties tendant à ce que, à titre exceptionnel, les Parties examinent et approuvent un budget intérimaire pour 2021 selon des modalités convenues</w:t>
      </w:r>
      <w:r w:rsidRPr="00D37DF0">
        <w:rPr>
          <w:rFonts w:eastAsia="Malgun Gothic"/>
          <w:iCs/>
          <w:kern w:val="22"/>
          <w:sz w:val="22"/>
          <w:szCs w:val="22"/>
          <w:lang w:eastAsia="x-none"/>
        </w:rPr>
        <w:t>,</w:t>
      </w:r>
    </w:p>
    <w:p w14:paraId="2CA2FD92" w14:textId="77777777" w:rsidR="00E00F73" w:rsidRPr="00D37DF0" w:rsidRDefault="00E00F73" w:rsidP="00E00F73">
      <w:pPr>
        <w:pStyle w:val="ListParagraph"/>
        <w:suppressLineNumbers/>
        <w:suppressAutoHyphens/>
        <w:spacing w:before="120" w:after="120"/>
        <w:ind w:left="0" w:firstLine="720"/>
        <w:contextualSpacing w:val="0"/>
        <w:rPr>
          <w:rFonts w:eastAsia="Malgun Gothic"/>
          <w:color w:val="000000" w:themeColor="text1"/>
          <w:kern w:val="22"/>
          <w:sz w:val="22"/>
          <w:szCs w:val="22"/>
          <w:lang w:eastAsia="x-none"/>
        </w:rPr>
      </w:pPr>
      <w:r w:rsidRPr="00D37DF0">
        <w:rPr>
          <w:rFonts w:eastAsia="Malgun Gothic"/>
          <w:i/>
          <w:iCs/>
          <w:color w:val="000000" w:themeColor="text1"/>
          <w:kern w:val="22"/>
          <w:sz w:val="22"/>
          <w:szCs w:val="22"/>
          <w:lang w:eastAsia="x-none"/>
        </w:rPr>
        <w:t xml:space="preserve">Rappelant </w:t>
      </w:r>
      <w:r w:rsidRPr="00D37DF0">
        <w:rPr>
          <w:rFonts w:eastAsia="Malgun Gothic"/>
          <w:iCs/>
          <w:color w:val="000000" w:themeColor="text1"/>
          <w:kern w:val="22"/>
          <w:sz w:val="22"/>
          <w:szCs w:val="22"/>
          <w:lang w:eastAsia="x-none"/>
        </w:rPr>
        <w:t>sa décision 14/37, tableau 1b, dans laquelle deux (2) réunions du groupe de travail à composition non limitée sur le cadre mondial de la biodiversité pour l'après-2020 ont été incluses dans le budget de base, toute réunion supplémentaire devant se tenir sous réserve de la disponibilité des ressources, et notant que l'organisation de la deuxième réunion du groupe de travail à Rome, en février 2020, en raison de la  COVID-19, a des conséquences sur le financement d'une troisième réunion du groupe de travail</w:t>
      </w:r>
      <w:r w:rsidRPr="00D37DF0">
        <w:rPr>
          <w:rFonts w:eastAsia="Malgun Gothic"/>
          <w:color w:val="000000" w:themeColor="text1"/>
          <w:kern w:val="22"/>
          <w:sz w:val="22"/>
          <w:szCs w:val="22"/>
          <w:lang w:eastAsia="x-none"/>
        </w:rPr>
        <w:t>,</w:t>
      </w:r>
    </w:p>
    <w:p w14:paraId="03E684B6" w14:textId="392A8F86" w:rsidR="00E00F73" w:rsidRPr="00D37DF0" w:rsidRDefault="00E00F73" w:rsidP="00E00F73">
      <w:pPr>
        <w:suppressLineNumbers/>
        <w:suppressAutoHyphens/>
        <w:spacing w:before="120" w:after="120"/>
        <w:ind w:firstLine="720"/>
        <w:rPr>
          <w:kern w:val="22"/>
          <w:sz w:val="22"/>
          <w:szCs w:val="22"/>
        </w:rPr>
      </w:pPr>
      <w:r w:rsidRPr="00D37DF0">
        <w:rPr>
          <w:i/>
          <w:iCs/>
          <w:kern w:val="22"/>
          <w:sz w:val="22"/>
          <w:szCs w:val="22"/>
        </w:rPr>
        <w:t xml:space="preserve">Tenant compte </w:t>
      </w:r>
      <w:r w:rsidRPr="00D37DF0">
        <w:rPr>
          <w:iCs/>
          <w:kern w:val="22"/>
          <w:sz w:val="22"/>
          <w:szCs w:val="22"/>
        </w:rPr>
        <w:t>de la note d</w:t>
      </w:r>
      <w:r w:rsidR="002B2D70" w:rsidRPr="00D37DF0">
        <w:rPr>
          <w:iCs/>
          <w:kern w:val="22"/>
          <w:sz w:val="22"/>
          <w:szCs w:val="22"/>
        </w:rPr>
        <w:t>e la</w:t>
      </w:r>
      <w:r w:rsidRPr="00D37DF0">
        <w:rPr>
          <w:iCs/>
          <w:kern w:val="22"/>
          <w:sz w:val="22"/>
          <w:szCs w:val="22"/>
        </w:rPr>
        <w:t xml:space="preserve"> Secrétaire exécutive</w:t>
      </w:r>
      <w:bookmarkStart w:id="2" w:name="_Ref51446751"/>
      <w:r w:rsidRPr="00D37DF0">
        <w:rPr>
          <w:rStyle w:val="FootnoteReference"/>
          <w:kern w:val="22"/>
          <w:szCs w:val="22"/>
        </w:rPr>
        <w:footnoteReference w:id="2"/>
      </w:r>
      <w:bookmarkEnd w:id="2"/>
      <w:r w:rsidRPr="00D37DF0">
        <w:rPr>
          <w:iCs/>
          <w:kern w:val="22"/>
          <w:sz w:val="22"/>
          <w:szCs w:val="22"/>
        </w:rPr>
        <w:t>,</w:t>
      </w:r>
    </w:p>
    <w:p w14:paraId="3D7DF636" w14:textId="77777777" w:rsidR="00E00F73" w:rsidRPr="00D37DF0" w:rsidRDefault="00E00F73" w:rsidP="00E00F73">
      <w:pPr>
        <w:suppressLineNumbers/>
        <w:suppressAutoHyphens/>
        <w:spacing w:before="120" w:after="120"/>
        <w:ind w:firstLine="720"/>
        <w:rPr>
          <w:kern w:val="22"/>
          <w:sz w:val="22"/>
          <w:szCs w:val="22"/>
        </w:rPr>
      </w:pPr>
      <w:r w:rsidRPr="00D37DF0">
        <w:rPr>
          <w:i/>
          <w:iCs/>
          <w:kern w:val="22"/>
          <w:sz w:val="22"/>
          <w:szCs w:val="22"/>
        </w:rPr>
        <w:t xml:space="preserve">Reconnaissant </w:t>
      </w:r>
      <w:r w:rsidRPr="00D37DF0">
        <w:rPr>
          <w:iCs/>
          <w:kern w:val="22"/>
          <w:sz w:val="22"/>
          <w:szCs w:val="22"/>
        </w:rPr>
        <w:t>le caractère exceptionnel des circonstances découlant de la pandémie et exprimant sa solidarité avec toutes les Parties qui font face à ses conséquences humaines et économiques</w:t>
      </w:r>
      <w:r w:rsidRPr="00D37DF0">
        <w:rPr>
          <w:kern w:val="22"/>
          <w:sz w:val="22"/>
          <w:szCs w:val="22"/>
        </w:rPr>
        <w:t>,</w:t>
      </w:r>
    </w:p>
    <w:p w14:paraId="245B4305" w14:textId="77777777" w:rsidR="00E00F73" w:rsidRPr="00D37DF0" w:rsidRDefault="00E00F73" w:rsidP="00E00F73">
      <w:pPr>
        <w:suppressLineNumbers/>
        <w:suppressAutoHyphens/>
        <w:spacing w:before="120" w:after="120"/>
        <w:ind w:firstLine="720"/>
        <w:rPr>
          <w:kern w:val="22"/>
          <w:sz w:val="22"/>
          <w:szCs w:val="22"/>
        </w:rPr>
      </w:pPr>
      <w:r w:rsidRPr="00D37DF0">
        <w:rPr>
          <w:kern w:val="22"/>
          <w:sz w:val="22"/>
          <w:szCs w:val="22"/>
        </w:rPr>
        <w:lastRenderedPageBreak/>
        <w:t>1.</w:t>
      </w:r>
      <w:r w:rsidRPr="00D37DF0">
        <w:rPr>
          <w:kern w:val="22"/>
          <w:sz w:val="22"/>
          <w:szCs w:val="22"/>
        </w:rPr>
        <w:tab/>
      </w:r>
      <w:r w:rsidRPr="00D37DF0">
        <w:rPr>
          <w:i/>
          <w:kern w:val="22"/>
          <w:sz w:val="22"/>
          <w:szCs w:val="22"/>
        </w:rPr>
        <w:t xml:space="preserve">Confirme </w:t>
      </w:r>
      <w:r w:rsidRPr="00D37DF0">
        <w:rPr>
          <w:kern w:val="22"/>
          <w:sz w:val="22"/>
          <w:szCs w:val="22"/>
        </w:rPr>
        <w:t>que la présente décision complète la décision 14/37, qui reste en vigueur jusqu'à la prochaine réunion ordinaire de la Conférence des Parties, et que ses dispositions s'appliqueront également pour l'année 2021, sauf disposition contraire de la présente décision ;</w:t>
      </w:r>
    </w:p>
    <w:p w14:paraId="5C26E2A4" w14:textId="77777777" w:rsidR="00E00F73" w:rsidRPr="00D37DF0" w:rsidRDefault="00E00F73" w:rsidP="00E00F73">
      <w:pPr>
        <w:suppressLineNumbers/>
        <w:suppressAutoHyphens/>
        <w:spacing w:before="120" w:after="120"/>
        <w:ind w:firstLine="709"/>
        <w:rPr>
          <w:kern w:val="22"/>
          <w:sz w:val="22"/>
          <w:szCs w:val="22"/>
        </w:rPr>
      </w:pPr>
      <w:r w:rsidRPr="00D37DF0">
        <w:rPr>
          <w:iCs/>
          <w:kern w:val="22"/>
          <w:sz w:val="22"/>
          <w:szCs w:val="22"/>
        </w:rPr>
        <w:t>2</w:t>
      </w:r>
      <w:r w:rsidRPr="00D37DF0">
        <w:rPr>
          <w:i/>
          <w:kern w:val="22"/>
          <w:sz w:val="22"/>
          <w:szCs w:val="22"/>
        </w:rPr>
        <w:t>.</w:t>
      </w:r>
      <w:r w:rsidRPr="00D37DF0">
        <w:rPr>
          <w:i/>
          <w:kern w:val="22"/>
          <w:sz w:val="22"/>
          <w:szCs w:val="22"/>
        </w:rPr>
        <w:tab/>
        <w:t xml:space="preserve">Décide </w:t>
      </w:r>
      <w:r w:rsidRPr="00D37DF0">
        <w:rPr>
          <w:kern w:val="22"/>
          <w:sz w:val="22"/>
          <w:szCs w:val="22"/>
        </w:rPr>
        <w:t>de prolonger, jusqu'au 31 décembre 2021, ou, dans le cas où la quinzième réunion de la Conférence des Parties ne se tiendrait pas en 2021, jusqu'à la fin du mois suivant la clôture de la quinzième réunion de la Conférence des Parties, la validité des fonds alloués dans le budget 2019-2020 associés aux coûts des réunions de la Conférence des Parties et de ses organes subsidiaires qui sont reportées de l'exercice biennal 2019-2020 et autorise le report de ces fonds, estimés à 2 815 653 dollars des États-Unis à dépenser en 2021 aux fins indiquées dans le tableau 1 ci-dessous ;</w:t>
      </w:r>
    </w:p>
    <w:p w14:paraId="5AD1A6E3" w14:textId="77777777" w:rsidR="00E00F73" w:rsidRPr="00D37DF0" w:rsidRDefault="00E00F73" w:rsidP="00E00F73">
      <w:pPr>
        <w:suppressLineNumbers/>
        <w:suppressAutoHyphens/>
        <w:spacing w:before="120" w:after="120"/>
        <w:ind w:firstLine="709"/>
        <w:rPr>
          <w:kern w:val="22"/>
          <w:sz w:val="22"/>
          <w:szCs w:val="22"/>
        </w:rPr>
      </w:pPr>
      <w:r w:rsidRPr="00D37DF0">
        <w:rPr>
          <w:rFonts w:eastAsia="Malgun Gothic"/>
          <w:color w:val="000000" w:themeColor="text1"/>
          <w:kern w:val="22"/>
          <w:sz w:val="22"/>
          <w:szCs w:val="22"/>
          <w:lang w:eastAsia="x-none"/>
        </w:rPr>
        <w:t>3.</w:t>
      </w:r>
      <w:r w:rsidRPr="00D37DF0">
        <w:rPr>
          <w:rFonts w:eastAsia="Malgun Gothic"/>
          <w:i/>
          <w:iCs/>
          <w:color w:val="000000" w:themeColor="text1"/>
          <w:kern w:val="22"/>
          <w:sz w:val="22"/>
          <w:szCs w:val="22"/>
          <w:lang w:eastAsia="x-none"/>
        </w:rPr>
        <w:tab/>
        <w:t>Approuve</w:t>
      </w:r>
      <w:r w:rsidRPr="00D37DF0">
        <w:rPr>
          <w:rFonts w:eastAsia="Malgun Gothic"/>
          <w:iCs/>
          <w:color w:val="000000" w:themeColor="text1"/>
          <w:kern w:val="22"/>
          <w:sz w:val="22"/>
          <w:szCs w:val="22"/>
          <w:lang w:eastAsia="x-none"/>
        </w:rPr>
        <w:t xml:space="preserve">, à titre exceptionnel, un budget-programme de base pour la Convention pour un montant de 12 411 743 dollars des États-Unis pour l'année 2021, représentant 74 % du budget intérimaire intégré de 16 772 626 dollars des États-Unis pour l'année 2021, aux fins indiquées dans les tableaux 2a et 2b ci-dessous </w:t>
      </w:r>
      <w:r w:rsidRPr="00D37DF0">
        <w:rPr>
          <w:rFonts w:eastAsia="Malgun Gothic"/>
          <w:color w:val="000000" w:themeColor="text1"/>
          <w:kern w:val="22"/>
          <w:sz w:val="22"/>
          <w:szCs w:val="22"/>
          <w:lang w:eastAsia="x-none"/>
        </w:rPr>
        <w:t>;</w:t>
      </w:r>
    </w:p>
    <w:p w14:paraId="37FC2F3A" w14:textId="77777777" w:rsidR="00E00F73" w:rsidRPr="00D37DF0" w:rsidRDefault="00E00F73" w:rsidP="00E00F73">
      <w:pPr>
        <w:suppressLineNumbers/>
        <w:suppressAutoHyphens/>
        <w:spacing w:before="120" w:after="120"/>
        <w:ind w:firstLine="709"/>
        <w:rPr>
          <w:kern w:val="22"/>
          <w:sz w:val="22"/>
          <w:szCs w:val="22"/>
        </w:rPr>
      </w:pPr>
      <w:r w:rsidRPr="00D37DF0">
        <w:rPr>
          <w:kern w:val="22"/>
          <w:sz w:val="22"/>
          <w:szCs w:val="22"/>
        </w:rPr>
        <w:t>4.</w:t>
      </w:r>
      <w:r w:rsidRPr="00D37DF0">
        <w:rPr>
          <w:rFonts w:eastAsia="Malgun Gothic"/>
          <w:i/>
          <w:color w:val="000000" w:themeColor="text1"/>
          <w:kern w:val="22"/>
          <w:sz w:val="22"/>
          <w:szCs w:val="22"/>
          <w:lang w:eastAsia="ko-KR"/>
        </w:rPr>
        <w:tab/>
        <w:t xml:space="preserve">Décide </w:t>
      </w:r>
      <w:r w:rsidRPr="00D37DF0">
        <w:rPr>
          <w:rFonts w:eastAsia="Malgun Gothic"/>
          <w:color w:val="000000" w:themeColor="text1"/>
          <w:kern w:val="22"/>
          <w:sz w:val="22"/>
          <w:szCs w:val="22"/>
          <w:lang w:eastAsia="ko-KR"/>
        </w:rPr>
        <w:t xml:space="preserve">de partager tous les coûts des services de secrétariat entre la Convention, le Protocole de Cartagena et le Protocole de Nagoya selon un ratio de 74:15:11 pour l'année 2021 </w:t>
      </w:r>
      <w:r w:rsidRPr="00D37DF0">
        <w:rPr>
          <w:rFonts w:eastAsia="Malgun Gothic"/>
          <w:color w:val="000000" w:themeColor="text1"/>
          <w:kern w:val="22"/>
          <w:sz w:val="22"/>
          <w:szCs w:val="22"/>
          <w:lang w:eastAsia="x-none"/>
        </w:rPr>
        <w:t>;</w:t>
      </w:r>
    </w:p>
    <w:p w14:paraId="60AC98F6" w14:textId="77777777" w:rsidR="00E00F73" w:rsidRPr="00D37DF0" w:rsidRDefault="00E00F73" w:rsidP="00E00F73">
      <w:pPr>
        <w:suppressLineNumbers/>
        <w:suppressAutoHyphens/>
        <w:spacing w:before="120" w:after="120"/>
        <w:ind w:firstLine="709"/>
        <w:rPr>
          <w:kern w:val="22"/>
          <w:sz w:val="22"/>
          <w:szCs w:val="22"/>
        </w:rPr>
      </w:pPr>
      <w:r w:rsidRPr="00D37DF0">
        <w:rPr>
          <w:kern w:val="22"/>
          <w:sz w:val="22"/>
          <w:szCs w:val="22"/>
        </w:rPr>
        <w:t>5.</w:t>
      </w:r>
      <w:r w:rsidRPr="00D37DF0">
        <w:rPr>
          <w:i/>
          <w:color w:val="000000" w:themeColor="text1"/>
          <w:kern w:val="22"/>
          <w:sz w:val="22"/>
          <w:szCs w:val="22"/>
        </w:rPr>
        <w:tab/>
        <w:t xml:space="preserve">Exprime </w:t>
      </w:r>
      <w:r w:rsidRPr="00D37DF0">
        <w:rPr>
          <w:color w:val="000000" w:themeColor="text1"/>
          <w:kern w:val="22"/>
          <w:sz w:val="22"/>
          <w:szCs w:val="22"/>
        </w:rPr>
        <w:t>sa gratitude au Gouvernement du Canada en tant que pays hôte pour son soutien renouvelé au secrétariat, et se félicite de la contribution de 2 072 000 dollars canadiens pour l'année 2021 du pays hôte et de la province de Québec pour la location et les coûts associés du secrétariat à Montréal, à répartir selon un ratio de 74:15:11 et pour compenser les contributions des Parties à la Convention, au Protocole de Cartagena et au Protocole de Nagoya, respectivement, pour l'année 2021 ;</w:t>
      </w:r>
    </w:p>
    <w:p w14:paraId="58750DDA" w14:textId="77777777" w:rsidR="00E00F73" w:rsidRPr="00D37DF0" w:rsidRDefault="00E00F73" w:rsidP="00E00F73">
      <w:pPr>
        <w:suppressLineNumbers/>
        <w:suppressAutoHyphens/>
        <w:spacing w:before="120" w:after="120"/>
        <w:ind w:firstLine="709"/>
        <w:rPr>
          <w:kern w:val="22"/>
          <w:sz w:val="22"/>
          <w:szCs w:val="22"/>
        </w:rPr>
      </w:pPr>
      <w:r w:rsidRPr="00D37DF0">
        <w:rPr>
          <w:rFonts w:eastAsia="Malgun Gothic"/>
          <w:iCs/>
          <w:color w:val="000000" w:themeColor="text1"/>
          <w:kern w:val="22"/>
          <w:sz w:val="22"/>
          <w:szCs w:val="22"/>
          <w:lang w:eastAsia="x-none"/>
        </w:rPr>
        <w:t>6.</w:t>
      </w:r>
      <w:r w:rsidRPr="00D37DF0">
        <w:rPr>
          <w:rFonts w:eastAsia="Malgun Gothic"/>
          <w:i/>
          <w:color w:val="000000" w:themeColor="text1"/>
          <w:kern w:val="22"/>
          <w:sz w:val="22"/>
          <w:szCs w:val="22"/>
          <w:lang w:eastAsia="x-none"/>
        </w:rPr>
        <w:tab/>
        <w:t xml:space="preserve">Adopte </w:t>
      </w:r>
      <w:r w:rsidRPr="00D37DF0">
        <w:rPr>
          <w:rFonts w:eastAsia="Malgun Gothic"/>
          <w:color w:val="000000" w:themeColor="text1"/>
          <w:kern w:val="22"/>
          <w:sz w:val="22"/>
          <w:szCs w:val="22"/>
          <w:lang w:eastAsia="x-none"/>
        </w:rPr>
        <w:t>le barème des quotes-parts aux fins de la répartition des dépenses pour 2021, conformément au barème des quotes-parts actuel des Nations Unies, tel qu'il figure dans les tableaux 4 ci-dessous ;</w:t>
      </w:r>
    </w:p>
    <w:p w14:paraId="1DA14109" w14:textId="77777777" w:rsidR="00E00F73" w:rsidRPr="00D37DF0" w:rsidRDefault="00E00F73" w:rsidP="00E00F73">
      <w:pPr>
        <w:suppressLineNumbers/>
        <w:suppressAutoHyphens/>
        <w:spacing w:before="120" w:after="120"/>
        <w:ind w:firstLine="709"/>
        <w:rPr>
          <w:sz w:val="22"/>
          <w:szCs w:val="22"/>
        </w:rPr>
      </w:pPr>
      <w:r w:rsidRPr="00D37DF0">
        <w:rPr>
          <w:iCs/>
          <w:color w:val="000000" w:themeColor="text1"/>
          <w:kern w:val="22"/>
          <w:sz w:val="22"/>
          <w:szCs w:val="22"/>
          <w:lang w:eastAsia="fr-FR"/>
        </w:rPr>
        <w:t>7.</w:t>
      </w:r>
      <w:r w:rsidRPr="00D37DF0">
        <w:rPr>
          <w:i/>
          <w:color w:val="000000" w:themeColor="text1"/>
          <w:kern w:val="22"/>
          <w:sz w:val="22"/>
          <w:szCs w:val="22"/>
          <w:lang w:eastAsia="fr-FR"/>
        </w:rPr>
        <w:tab/>
        <w:t xml:space="preserve">Adopte </w:t>
      </w:r>
      <w:r w:rsidRPr="00D37DF0">
        <w:rPr>
          <w:color w:val="000000" w:themeColor="text1"/>
          <w:kern w:val="22"/>
          <w:sz w:val="22"/>
          <w:szCs w:val="22"/>
          <w:lang w:eastAsia="fr-FR"/>
        </w:rPr>
        <w:t>également le tableau des effectifs (tableau 3) du secrétariat pour l'année 2021, devant être utilisé à des fins d'évaluation des coûts pour établir le budget global</w:t>
      </w:r>
      <w:r w:rsidRPr="00D37DF0">
        <w:rPr>
          <w:rFonts w:eastAsia="Malgun Gothic"/>
          <w:color w:val="000000" w:themeColor="text1"/>
          <w:kern w:val="22"/>
          <w:sz w:val="22"/>
          <w:szCs w:val="22"/>
          <w:lang w:eastAsia="ko-KR"/>
        </w:rPr>
        <w:t xml:space="preserve"> ;</w:t>
      </w:r>
    </w:p>
    <w:p w14:paraId="4E48ABC5" w14:textId="77777777" w:rsidR="00E00F73" w:rsidRPr="00D37DF0" w:rsidRDefault="00E00F73" w:rsidP="00E00F73">
      <w:pPr>
        <w:suppressLineNumbers/>
        <w:suppressAutoHyphens/>
        <w:spacing w:before="120" w:after="120"/>
        <w:ind w:firstLine="709"/>
        <w:rPr>
          <w:kern w:val="22"/>
          <w:sz w:val="22"/>
          <w:szCs w:val="22"/>
        </w:rPr>
      </w:pPr>
      <w:r w:rsidRPr="00D37DF0">
        <w:rPr>
          <w:sz w:val="22"/>
          <w:szCs w:val="22"/>
        </w:rPr>
        <w:t xml:space="preserve">8. </w:t>
      </w:r>
      <w:r w:rsidRPr="00D37DF0">
        <w:rPr>
          <w:sz w:val="22"/>
          <w:szCs w:val="22"/>
        </w:rPr>
        <w:tab/>
      </w:r>
      <w:r w:rsidRPr="00D37DF0">
        <w:rPr>
          <w:i/>
          <w:iCs/>
          <w:sz w:val="22"/>
          <w:szCs w:val="22"/>
        </w:rPr>
        <w:t xml:space="preserve">Demande </w:t>
      </w:r>
      <w:r w:rsidRPr="00D37DF0">
        <w:rPr>
          <w:iCs/>
          <w:sz w:val="22"/>
          <w:szCs w:val="22"/>
        </w:rPr>
        <w:t>au Directeur exécutif du Programme des Nations Unies pour l'environnement de fournir des informations pertinentes en vue d'un examen du poste de Secrétaire exécutive adjointe de la Conférence des Parties lors de sa quinzième réunion, pour considération dans le contexte des besoins globaux en personnel du secrétariat ;</w:t>
      </w:r>
    </w:p>
    <w:p w14:paraId="54F27291" w14:textId="77777777" w:rsidR="00E00F73" w:rsidRPr="00D37DF0" w:rsidRDefault="00E00F73" w:rsidP="00E00F73">
      <w:pPr>
        <w:suppressLineNumbers/>
        <w:suppressAutoHyphens/>
        <w:spacing w:before="120" w:after="120"/>
        <w:ind w:firstLine="709"/>
        <w:rPr>
          <w:rFonts w:eastAsia="Malgun Gothic"/>
          <w:color w:val="000000" w:themeColor="text1"/>
          <w:kern w:val="22"/>
          <w:sz w:val="22"/>
          <w:szCs w:val="22"/>
          <w:lang w:eastAsia="x-none"/>
        </w:rPr>
      </w:pPr>
      <w:bookmarkStart w:id="3" w:name="_Hlk54002604"/>
      <w:r w:rsidRPr="00D37DF0">
        <w:rPr>
          <w:rFonts w:eastAsia="Malgun Gothic"/>
          <w:iCs/>
          <w:color w:val="000000" w:themeColor="text1"/>
          <w:kern w:val="22"/>
          <w:sz w:val="22"/>
          <w:szCs w:val="22"/>
          <w:lang w:eastAsia="x-none"/>
        </w:rPr>
        <w:t>9.</w:t>
      </w:r>
      <w:r w:rsidRPr="00D37DF0">
        <w:rPr>
          <w:rFonts w:eastAsia="Malgun Gothic"/>
          <w:i/>
          <w:color w:val="000000" w:themeColor="text1"/>
          <w:kern w:val="22"/>
          <w:sz w:val="22"/>
          <w:szCs w:val="22"/>
          <w:lang w:eastAsia="x-none"/>
        </w:rPr>
        <w:tab/>
        <w:t xml:space="preserve">Autorise </w:t>
      </w:r>
      <w:r w:rsidRPr="00D37DF0">
        <w:rPr>
          <w:rFonts w:eastAsia="Malgun Gothic"/>
          <w:color w:val="000000" w:themeColor="text1"/>
          <w:kern w:val="22"/>
          <w:sz w:val="22"/>
          <w:szCs w:val="22"/>
          <w:lang w:eastAsia="x-none"/>
        </w:rPr>
        <w:t>la Secrétaire exécutive à engager des dépenses jusqu'à concurrence du budget approuvé, en utilisant les ressources de trésorerie disponibles, y compris les soldes non dépensés, les contributions des exercices financiers précédents et les recettes accessoires, conformément aux décisions de la Conférence des Parties et au Règlement financier et aux règles de gestion financière du Programme des Nations Unies pour l'environnement ;</w:t>
      </w:r>
    </w:p>
    <w:bookmarkEnd w:id="3"/>
    <w:p w14:paraId="742201E2" w14:textId="77777777" w:rsidR="00E00F73" w:rsidRPr="00D37DF0" w:rsidRDefault="00E00F73" w:rsidP="00E00F73">
      <w:pPr>
        <w:suppressLineNumbers/>
        <w:suppressAutoHyphens/>
        <w:spacing w:before="120" w:after="120"/>
        <w:ind w:firstLine="709"/>
        <w:rPr>
          <w:rFonts w:eastAsia="Malgun Gothic"/>
          <w:color w:val="000000" w:themeColor="text1"/>
          <w:kern w:val="22"/>
          <w:sz w:val="22"/>
          <w:szCs w:val="22"/>
          <w:lang w:eastAsia="x-none"/>
        </w:rPr>
      </w:pPr>
      <w:r w:rsidRPr="00D37DF0">
        <w:rPr>
          <w:rFonts w:eastAsia="Malgun Gothic"/>
          <w:iCs/>
          <w:color w:val="000000" w:themeColor="text1"/>
          <w:kern w:val="22"/>
          <w:sz w:val="22"/>
          <w:szCs w:val="22"/>
          <w:lang w:eastAsia="x-none"/>
        </w:rPr>
        <w:t>10.</w:t>
      </w:r>
      <w:r w:rsidRPr="00D37DF0">
        <w:rPr>
          <w:rFonts w:eastAsia="Malgun Gothic"/>
          <w:i/>
          <w:color w:val="000000" w:themeColor="text1"/>
          <w:kern w:val="22"/>
          <w:sz w:val="22"/>
          <w:szCs w:val="22"/>
          <w:lang w:eastAsia="x-none"/>
        </w:rPr>
        <w:tab/>
        <w:t xml:space="preserve">Autorise </w:t>
      </w:r>
      <w:r w:rsidRPr="00D37DF0">
        <w:rPr>
          <w:rFonts w:eastAsia="Malgun Gothic"/>
          <w:color w:val="000000" w:themeColor="text1"/>
          <w:kern w:val="22"/>
          <w:sz w:val="22"/>
          <w:szCs w:val="22"/>
          <w:lang w:eastAsia="x-none"/>
        </w:rPr>
        <w:t>également la Secrétaire exécutive à transférer les ressources des programmes vers chacune des principales lignes de crédit figurant dans le tableau 2b ci-dessous jusqu'à un total de 15 pour cent du budget total du programme, à condition qu'une autre limite de 25 pour cent au maximum de chacune de ces lignes de crédit s'applique;</w:t>
      </w:r>
    </w:p>
    <w:p w14:paraId="57AF39CE" w14:textId="77777777" w:rsidR="00E00F73" w:rsidRPr="00D37DF0" w:rsidRDefault="00E00F73" w:rsidP="00E00F73">
      <w:pPr>
        <w:suppressLineNumbers/>
        <w:suppressAutoHyphens/>
        <w:spacing w:before="120" w:after="120"/>
        <w:ind w:firstLine="709"/>
        <w:rPr>
          <w:rFonts w:eastAsia="Malgun Gothic"/>
          <w:color w:val="000000" w:themeColor="text1"/>
          <w:kern w:val="22"/>
          <w:sz w:val="22"/>
          <w:szCs w:val="22"/>
          <w:lang w:eastAsia="x-none"/>
        </w:rPr>
      </w:pPr>
      <w:r w:rsidRPr="00D37DF0">
        <w:rPr>
          <w:rFonts w:eastAsia="Malgun Gothic"/>
          <w:color w:val="000000" w:themeColor="text1"/>
          <w:kern w:val="22"/>
          <w:sz w:val="22"/>
          <w:szCs w:val="22"/>
          <w:lang w:eastAsia="x-none"/>
        </w:rPr>
        <w:t>11.</w:t>
      </w:r>
      <w:r w:rsidRPr="00D37DF0">
        <w:rPr>
          <w:rFonts w:eastAsia="Malgun Gothic"/>
          <w:color w:val="000000" w:themeColor="text1"/>
          <w:kern w:val="22"/>
          <w:sz w:val="22"/>
          <w:szCs w:val="22"/>
          <w:lang w:eastAsia="x-none"/>
        </w:rPr>
        <w:tab/>
      </w:r>
      <w:r w:rsidRPr="00D37DF0">
        <w:rPr>
          <w:i/>
          <w:iCs/>
          <w:kern w:val="22"/>
          <w:sz w:val="22"/>
          <w:szCs w:val="22"/>
        </w:rPr>
        <w:t xml:space="preserve">Reconnaît </w:t>
      </w:r>
      <w:r w:rsidRPr="00D37DF0">
        <w:rPr>
          <w:iCs/>
          <w:kern w:val="22"/>
          <w:sz w:val="22"/>
          <w:szCs w:val="22"/>
        </w:rPr>
        <w:t>les circonstances extraordinaires liées à la pandémie et convient, à titre exceptionnel, de déroger à la note de bas de page 4 du tableau 1b de la décision 14/37 et d'autoriser l'utilisation d'un montant maximum de 395 500 dollars provenant des réserves pour la troisième réunion du groupe de travail sur le cadre mondial de la biodiversité pour l'après-2020 afin de soutenir la mise en place de celui-ci si un financement volontaire ne peut être trouvé d'ici le 31 décembre 2020</w:t>
      </w:r>
      <w:r w:rsidRPr="00D37DF0">
        <w:rPr>
          <w:rFonts w:eastAsia="Malgun Gothic"/>
          <w:color w:val="000000" w:themeColor="text1"/>
          <w:kern w:val="22"/>
          <w:sz w:val="22"/>
          <w:szCs w:val="22"/>
          <w:lang w:eastAsia="x-none"/>
        </w:rPr>
        <w:t xml:space="preserve"> ;</w:t>
      </w:r>
    </w:p>
    <w:p w14:paraId="784973AB" w14:textId="77777777" w:rsidR="00E00F73" w:rsidRPr="00D37DF0" w:rsidRDefault="00E00F73" w:rsidP="00E00F73">
      <w:pPr>
        <w:suppressLineNumbers/>
        <w:suppressAutoHyphens/>
        <w:spacing w:before="120" w:after="120"/>
        <w:ind w:firstLine="709"/>
        <w:rPr>
          <w:rFonts w:eastAsia="Malgun Gothic"/>
          <w:kern w:val="22"/>
          <w:sz w:val="22"/>
          <w:szCs w:val="22"/>
          <w:lang w:eastAsia="x-none"/>
        </w:rPr>
      </w:pPr>
      <w:r w:rsidRPr="00D37DF0">
        <w:rPr>
          <w:rFonts w:eastAsia="Malgun Gothic"/>
          <w:kern w:val="22"/>
          <w:sz w:val="22"/>
          <w:szCs w:val="22"/>
          <w:lang w:eastAsia="x-none"/>
        </w:rPr>
        <w:t>12.</w:t>
      </w:r>
      <w:r w:rsidRPr="00D37DF0">
        <w:rPr>
          <w:rFonts w:eastAsia="Malgun Gothic"/>
          <w:kern w:val="22"/>
          <w:sz w:val="22"/>
          <w:szCs w:val="22"/>
          <w:lang w:eastAsia="x-none"/>
        </w:rPr>
        <w:tab/>
      </w:r>
      <w:r w:rsidRPr="00D37DF0">
        <w:rPr>
          <w:rFonts w:eastAsia="Malgun Gothic"/>
          <w:iCs/>
          <w:kern w:val="22"/>
          <w:sz w:val="22"/>
          <w:szCs w:val="22"/>
          <w:lang w:eastAsia="x-none"/>
        </w:rPr>
        <w:t>Demande à la Secrétaire exécutive de poursuivre activement les appels à contributions volontaires jusqu'à cette date</w:t>
      </w:r>
      <w:r w:rsidRPr="00D37DF0">
        <w:rPr>
          <w:rFonts w:eastAsia="Malgun Gothic"/>
          <w:kern w:val="22"/>
          <w:sz w:val="22"/>
          <w:szCs w:val="22"/>
          <w:lang w:eastAsia="x-none"/>
        </w:rPr>
        <w:t xml:space="preserve"> ;</w:t>
      </w:r>
    </w:p>
    <w:p w14:paraId="34E74D2D" w14:textId="77777777" w:rsidR="00E00F73" w:rsidRPr="00D37DF0" w:rsidRDefault="00E00F73" w:rsidP="00E00F73">
      <w:pPr>
        <w:suppressLineNumbers/>
        <w:suppressAutoHyphens/>
        <w:spacing w:before="120" w:after="120"/>
        <w:ind w:firstLine="709"/>
        <w:rPr>
          <w:kern w:val="22"/>
          <w:sz w:val="22"/>
          <w:szCs w:val="22"/>
        </w:rPr>
      </w:pPr>
      <w:r w:rsidRPr="00D37DF0">
        <w:rPr>
          <w:rFonts w:eastAsia="Malgun Gothic"/>
          <w:iCs/>
          <w:color w:val="000000" w:themeColor="text1"/>
          <w:kern w:val="22"/>
          <w:sz w:val="22"/>
          <w:szCs w:val="22"/>
          <w:lang w:eastAsia="x-none"/>
        </w:rPr>
        <w:t>13.</w:t>
      </w:r>
      <w:r w:rsidRPr="00D37DF0">
        <w:rPr>
          <w:rFonts w:eastAsia="Malgun Gothic"/>
          <w:i/>
          <w:color w:val="000000" w:themeColor="text1"/>
          <w:kern w:val="22"/>
          <w:sz w:val="22"/>
          <w:szCs w:val="22"/>
          <w:lang w:eastAsia="x-none"/>
        </w:rPr>
        <w:tab/>
        <w:t xml:space="preserve">Invite </w:t>
      </w:r>
      <w:r w:rsidRPr="00D37DF0">
        <w:rPr>
          <w:rFonts w:eastAsia="Malgun Gothic"/>
          <w:color w:val="000000" w:themeColor="text1"/>
          <w:kern w:val="22"/>
          <w:sz w:val="22"/>
          <w:szCs w:val="22"/>
          <w:lang w:eastAsia="x-none"/>
        </w:rPr>
        <w:t xml:space="preserve">toutes les Parties à la Convention à noter que les contributions aux budgets des programmes de base (BY, BG et BB) sont dues au 1er janvier de l'année pour laquelle ces contributions ont </w:t>
      </w:r>
      <w:r w:rsidRPr="00D37DF0">
        <w:rPr>
          <w:rFonts w:eastAsia="Malgun Gothic"/>
          <w:color w:val="000000" w:themeColor="text1"/>
          <w:kern w:val="22"/>
          <w:sz w:val="22"/>
          <w:szCs w:val="22"/>
          <w:lang w:eastAsia="x-none"/>
        </w:rPr>
        <w:lastRenderedPageBreak/>
        <w:t>été budgétisées et à les payer rapidement, et demande à ce que les Parties soient notifiées du montant de leurs contributions le plus tôt possible au cours de l'année précédant celle où les contributions sont dues ;</w:t>
      </w:r>
    </w:p>
    <w:p w14:paraId="28887A1C" w14:textId="77777777" w:rsidR="00E00F73" w:rsidRPr="00D37DF0" w:rsidRDefault="00E00F73" w:rsidP="00E00F73">
      <w:pPr>
        <w:suppressLineNumbers/>
        <w:suppressAutoHyphens/>
        <w:spacing w:before="120" w:after="120"/>
        <w:ind w:firstLine="709"/>
        <w:rPr>
          <w:kern w:val="22"/>
          <w:sz w:val="22"/>
          <w:szCs w:val="22"/>
        </w:rPr>
      </w:pPr>
      <w:r w:rsidRPr="00D37DF0">
        <w:rPr>
          <w:iCs/>
          <w:color w:val="000000" w:themeColor="text1"/>
          <w:kern w:val="22"/>
          <w:sz w:val="22"/>
          <w:szCs w:val="22"/>
          <w:lang w:eastAsia="x-none"/>
        </w:rPr>
        <w:t>14.</w:t>
      </w:r>
      <w:r w:rsidRPr="00D37DF0">
        <w:rPr>
          <w:i/>
          <w:color w:val="000000" w:themeColor="text1"/>
          <w:kern w:val="22"/>
          <w:sz w:val="22"/>
          <w:szCs w:val="22"/>
          <w:lang w:eastAsia="x-none"/>
        </w:rPr>
        <w:tab/>
        <w:t xml:space="preserve">Note avec préoccupation </w:t>
      </w:r>
      <w:r w:rsidRPr="00D37DF0">
        <w:rPr>
          <w:color w:val="000000" w:themeColor="text1"/>
          <w:kern w:val="22"/>
          <w:sz w:val="22"/>
          <w:szCs w:val="22"/>
          <w:lang w:eastAsia="x-none"/>
        </w:rPr>
        <w:t>qu'un certain nombre de Parties n'ont pas payé leurs contributions aux budgets de base (fonds d'affectation spéciale BY, BG et BB) pour 2020 et les années précédentes, y compris les Parties qui n'ont jamais payé leurs contributions, et souligne l'urgence pour le secrétariat de réaliser des économies et de trouver des fonds pour mener à bien ses opérations dans des circonstances incertaines</w:t>
      </w:r>
      <w:r w:rsidRPr="00D37DF0">
        <w:rPr>
          <w:color w:val="000000" w:themeColor="text1"/>
          <w:kern w:val="22"/>
          <w:sz w:val="22"/>
          <w:szCs w:val="22"/>
          <w:lang w:eastAsia="ko-KR"/>
        </w:rPr>
        <w:t xml:space="preserve"> ;</w:t>
      </w:r>
    </w:p>
    <w:p w14:paraId="16C157F2" w14:textId="77777777" w:rsidR="00E00F73" w:rsidRPr="00D37DF0" w:rsidRDefault="00E00F73" w:rsidP="00E00F73">
      <w:pPr>
        <w:suppressLineNumbers/>
        <w:suppressAutoHyphens/>
        <w:spacing w:before="120" w:after="120"/>
        <w:ind w:firstLine="709"/>
        <w:rPr>
          <w:kern w:val="22"/>
          <w:sz w:val="22"/>
          <w:szCs w:val="22"/>
        </w:rPr>
      </w:pPr>
      <w:r w:rsidRPr="00D37DF0">
        <w:rPr>
          <w:iCs/>
          <w:color w:val="000000" w:themeColor="text1"/>
          <w:kern w:val="22"/>
          <w:sz w:val="22"/>
          <w:szCs w:val="22"/>
          <w:lang w:eastAsia="ko-KR"/>
        </w:rPr>
        <w:t>15.</w:t>
      </w:r>
      <w:r w:rsidRPr="00D37DF0">
        <w:rPr>
          <w:i/>
          <w:color w:val="000000" w:themeColor="text1"/>
          <w:kern w:val="22"/>
          <w:sz w:val="22"/>
          <w:szCs w:val="22"/>
          <w:lang w:eastAsia="ko-KR"/>
        </w:rPr>
        <w:tab/>
        <w:t xml:space="preserve">Note </w:t>
      </w:r>
      <w:r w:rsidRPr="00D37DF0">
        <w:rPr>
          <w:color w:val="000000" w:themeColor="text1"/>
          <w:kern w:val="22"/>
          <w:sz w:val="22"/>
          <w:szCs w:val="22"/>
          <w:lang w:eastAsia="ko-KR"/>
        </w:rPr>
        <w:t xml:space="preserve">que les fonds d'affectation spéciale de la Convention et de ses protocoles (BY, BG et BB) devraient être prorogés pour une période de deux ans commençant le 1er janvier 2022 et se terminant le 31 décembre 2023, et prie le Directeur exécutif du Programme des Nations Unies pour l'environnement de demander à l'Assemblée des Nations Unies pour l'environnement d'approuver leur prorogation </w:t>
      </w:r>
      <w:r w:rsidRPr="00D37DF0">
        <w:rPr>
          <w:rFonts w:eastAsia="Malgun Gothic"/>
          <w:color w:val="000000" w:themeColor="text1"/>
          <w:kern w:val="22"/>
          <w:sz w:val="22"/>
          <w:szCs w:val="22"/>
          <w:lang w:eastAsia="ko-KR"/>
        </w:rPr>
        <w:t>;</w:t>
      </w:r>
    </w:p>
    <w:p w14:paraId="1257953D" w14:textId="77777777" w:rsidR="00E00F73" w:rsidRPr="00D37DF0" w:rsidRDefault="00E00F73" w:rsidP="00E00F73">
      <w:pPr>
        <w:suppressLineNumbers/>
        <w:suppressAutoHyphens/>
        <w:spacing w:before="120" w:after="120"/>
        <w:ind w:firstLine="709"/>
        <w:rPr>
          <w:kern w:val="22"/>
          <w:sz w:val="22"/>
          <w:szCs w:val="22"/>
        </w:rPr>
      </w:pPr>
      <w:r w:rsidRPr="00D37DF0">
        <w:rPr>
          <w:kern w:val="22"/>
          <w:sz w:val="22"/>
          <w:szCs w:val="22"/>
        </w:rPr>
        <w:t>16.</w:t>
      </w:r>
      <w:r w:rsidRPr="00D37DF0">
        <w:rPr>
          <w:i/>
          <w:color w:val="000000"/>
          <w:kern w:val="22"/>
          <w:sz w:val="22"/>
          <w:szCs w:val="22"/>
          <w:lang w:eastAsia="ko-KR"/>
        </w:rPr>
        <w:tab/>
        <w:t xml:space="preserve">Note </w:t>
      </w:r>
      <w:r w:rsidRPr="00D37DF0">
        <w:rPr>
          <w:color w:val="000000"/>
          <w:kern w:val="22"/>
          <w:sz w:val="22"/>
          <w:szCs w:val="22"/>
          <w:lang w:eastAsia="ko-KR"/>
        </w:rPr>
        <w:t xml:space="preserve">que les fonds d'affectation spéciale volontaires (BE, BZ, VB) de la Convention et de ses protocoles devraient être prorogés pour une période de quatre ans commençant le 1er janvier 2022 et se terminant le 31 décembre 2025, et prie le Directeur exécutif du Programme des Nations Unies pour l'environnement de demander à l'Assemblée des Nations Unies pour l'environnement d'approuver leur prorogation </w:t>
      </w:r>
      <w:r w:rsidRPr="00D37DF0">
        <w:rPr>
          <w:rFonts w:eastAsia="Malgun Gothic"/>
          <w:color w:val="000000"/>
          <w:kern w:val="22"/>
          <w:sz w:val="22"/>
          <w:szCs w:val="22"/>
          <w:lang w:eastAsia="ko-KR"/>
        </w:rPr>
        <w:t>;</w:t>
      </w:r>
    </w:p>
    <w:p w14:paraId="45051316" w14:textId="77777777" w:rsidR="00E00F73" w:rsidRPr="00D37DF0" w:rsidRDefault="00E00F73" w:rsidP="00E00F73">
      <w:pPr>
        <w:suppressLineNumbers/>
        <w:suppressAutoHyphens/>
        <w:spacing w:before="120" w:after="120"/>
        <w:ind w:firstLine="709"/>
        <w:rPr>
          <w:kern w:val="22"/>
          <w:sz w:val="22"/>
          <w:szCs w:val="22"/>
        </w:rPr>
      </w:pPr>
      <w:r w:rsidRPr="00D37DF0">
        <w:rPr>
          <w:kern w:val="22"/>
          <w:sz w:val="22"/>
          <w:szCs w:val="22"/>
        </w:rPr>
        <w:t>17.</w:t>
      </w:r>
      <w:r w:rsidRPr="00D37DF0">
        <w:rPr>
          <w:i/>
          <w:iCs/>
          <w:kern w:val="22"/>
          <w:sz w:val="22"/>
          <w:szCs w:val="22"/>
        </w:rPr>
        <w:tab/>
        <w:t xml:space="preserve">Affirme </w:t>
      </w:r>
      <w:r w:rsidRPr="00D37DF0">
        <w:rPr>
          <w:iCs/>
          <w:kern w:val="22"/>
          <w:sz w:val="22"/>
          <w:szCs w:val="22"/>
        </w:rPr>
        <w:t>que la présente décision est sans préjudice des autres décisions qui seront prises par la Conférence des parties à sa quinzième réunion, et convient d'examiner, à sa prochaine réunion ordinaire, les modalités de suivi des décisions budgétaires pendant la période intersessions</w:t>
      </w:r>
      <w:r w:rsidRPr="00D37DF0">
        <w:rPr>
          <w:kern w:val="22"/>
          <w:sz w:val="22"/>
          <w:szCs w:val="22"/>
        </w:rPr>
        <w:t xml:space="preserve"> ;</w:t>
      </w:r>
    </w:p>
    <w:p w14:paraId="6EBA093B" w14:textId="77777777" w:rsidR="00E00F73" w:rsidRPr="00D37DF0" w:rsidRDefault="00E00F73" w:rsidP="00E00F73">
      <w:pPr>
        <w:suppressLineNumbers/>
        <w:suppressAutoHyphens/>
        <w:spacing w:before="120" w:after="120"/>
        <w:ind w:firstLine="709"/>
        <w:rPr>
          <w:kern w:val="22"/>
          <w:sz w:val="22"/>
          <w:szCs w:val="22"/>
        </w:rPr>
      </w:pPr>
      <w:r w:rsidRPr="00D37DF0">
        <w:rPr>
          <w:kern w:val="22"/>
          <w:sz w:val="22"/>
          <w:szCs w:val="22"/>
        </w:rPr>
        <w:t>18.</w:t>
      </w:r>
      <w:r w:rsidRPr="00D37DF0">
        <w:rPr>
          <w:i/>
          <w:iCs/>
          <w:kern w:val="22"/>
          <w:sz w:val="22"/>
          <w:szCs w:val="22"/>
        </w:rPr>
        <w:tab/>
        <w:t xml:space="preserve">Demande </w:t>
      </w:r>
      <w:r w:rsidRPr="00D37DF0">
        <w:rPr>
          <w:iCs/>
          <w:kern w:val="22"/>
          <w:sz w:val="22"/>
          <w:szCs w:val="22"/>
        </w:rPr>
        <w:t xml:space="preserve">à la Secrétaire exécutive </w:t>
      </w:r>
      <w:r w:rsidRPr="00D37DF0">
        <w:rPr>
          <w:kern w:val="22"/>
          <w:sz w:val="22"/>
          <w:szCs w:val="22"/>
        </w:rPr>
        <w:t>:</w:t>
      </w:r>
    </w:p>
    <w:p w14:paraId="72011F41" w14:textId="77777777" w:rsidR="00E00F73" w:rsidRPr="00D37DF0" w:rsidRDefault="00E00F73" w:rsidP="00E00F73">
      <w:pPr>
        <w:pStyle w:val="ListParagraph"/>
        <w:numPr>
          <w:ilvl w:val="1"/>
          <w:numId w:val="89"/>
        </w:numPr>
        <w:suppressLineNumbers/>
        <w:suppressAutoHyphens/>
        <w:spacing w:before="120" w:after="120"/>
        <w:ind w:left="0" w:firstLine="720"/>
        <w:contextualSpacing w:val="0"/>
        <w:jc w:val="both"/>
        <w:rPr>
          <w:kern w:val="22"/>
          <w:sz w:val="22"/>
          <w:szCs w:val="22"/>
        </w:rPr>
      </w:pPr>
      <w:r w:rsidRPr="00D37DF0">
        <w:rPr>
          <w:kern w:val="22"/>
          <w:sz w:val="22"/>
          <w:szCs w:val="22"/>
        </w:rPr>
        <w:t>De tenir compte de la présente décision lors de l'élaboration des propositions budgétaires pour l'exercice 2021-2022, conformément au paragraphe 48 de la décision 14/37 ;</w:t>
      </w:r>
    </w:p>
    <w:p w14:paraId="30190683" w14:textId="50819FF5" w:rsidR="00E00F73" w:rsidRPr="00D37DF0" w:rsidRDefault="00E00F73" w:rsidP="00E00F73">
      <w:pPr>
        <w:pStyle w:val="ListParagraph"/>
        <w:numPr>
          <w:ilvl w:val="1"/>
          <w:numId w:val="89"/>
        </w:numPr>
        <w:suppressLineNumbers/>
        <w:suppressAutoHyphens/>
        <w:spacing w:before="120" w:after="120"/>
        <w:ind w:left="0" w:firstLine="720"/>
        <w:contextualSpacing w:val="0"/>
        <w:jc w:val="both"/>
        <w:rPr>
          <w:bCs/>
          <w:kern w:val="22"/>
          <w:sz w:val="22"/>
          <w:szCs w:val="22"/>
        </w:rPr>
      </w:pPr>
      <w:r w:rsidRPr="00D37DF0">
        <w:rPr>
          <w:kern w:val="22"/>
          <w:sz w:val="22"/>
          <w:szCs w:val="22"/>
        </w:rPr>
        <w:t>D'élaborer également des propositions budgétaires pour la période 202</w:t>
      </w:r>
      <w:r w:rsidR="00C50699">
        <w:rPr>
          <w:kern w:val="22"/>
          <w:sz w:val="22"/>
          <w:szCs w:val="22"/>
        </w:rPr>
        <w:t>1</w:t>
      </w:r>
      <w:r w:rsidRPr="00D37DF0">
        <w:rPr>
          <w:kern w:val="22"/>
          <w:sz w:val="22"/>
          <w:szCs w:val="22"/>
        </w:rPr>
        <w:t>-202</w:t>
      </w:r>
      <w:r w:rsidR="00C50699">
        <w:rPr>
          <w:kern w:val="22"/>
          <w:sz w:val="22"/>
          <w:szCs w:val="22"/>
        </w:rPr>
        <w:t>3</w:t>
      </w:r>
      <w:r w:rsidRPr="00D37DF0">
        <w:rPr>
          <w:kern w:val="22"/>
          <w:sz w:val="22"/>
          <w:szCs w:val="22"/>
        </w:rPr>
        <w:t>, en attendant une décision de la Conférence des Parties et de la Conférence des Parties siégeant en tant que réunion des Parties aux Protocoles de Cartagena et de Nagoya concernant les dates de leurs seizième, onzième et cinquième réunions, respectivement.</w:t>
      </w:r>
    </w:p>
    <w:p w14:paraId="4B1B99D8" w14:textId="3E026AB7" w:rsidR="00E00F73" w:rsidRDefault="00E00F73" w:rsidP="00E00F73">
      <w:bookmarkStart w:id="4" w:name="_Hlk55478516"/>
    </w:p>
    <w:tbl>
      <w:tblPr>
        <w:tblW w:w="9360" w:type="dxa"/>
        <w:tblLook w:val="04A0" w:firstRow="1" w:lastRow="0" w:firstColumn="1" w:lastColumn="0" w:noHBand="0" w:noVBand="1"/>
      </w:tblPr>
      <w:tblGrid>
        <w:gridCol w:w="4620"/>
        <w:gridCol w:w="1032"/>
        <w:gridCol w:w="1540"/>
        <w:gridCol w:w="1196"/>
        <w:gridCol w:w="972"/>
      </w:tblGrid>
      <w:tr w:rsidR="00E00F73" w:rsidRPr="001B3BD7" w14:paraId="09BE50A7" w14:textId="77777777" w:rsidTr="00CE5EBA">
        <w:trPr>
          <w:trHeight w:val="585"/>
        </w:trPr>
        <w:tc>
          <w:tcPr>
            <w:tcW w:w="9360" w:type="dxa"/>
            <w:gridSpan w:val="5"/>
            <w:tcBorders>
              <w:top w:val="nil"/>
              <w:left w:val="nil"/>
              <w:bottom w:val="nil"/>
              <w:right w:val="nil"/>
            </w:tcBorders>
            <w:shd w:val="clear" w:color="auto" w:fill="auto"/>
            <w:vAlign w:val="center"/>
            <w:hideMark/>
          </w:tcPr>
          <w:p w14:paraId="7CE9CD87" w14:textId="77777777" w:rsidR="00E00F73" w:rsidRPr="00D37DF0" w:rsidRDefault="00E00F73" w:rsidP="00CE5EBA">
            <w:pPr>
              <w:rPr>
                <w:b/>
                <w:bCs/>
                <w:color w:val="000000"/>
                <w:sz w:val="22"/>
                <w:szCs w:val="22"/>
              </w:rPr>
            </w:pPr>
            <w:r w:rsidRPr="00D37DF0">
              <w:rPr>
                <w:b/>
                <w:bCs/>
                <w:color w:val="000000"/>
                <w:sz w:val="22"/>
                <w:szCs w:val="22"/>
              </w:rPr>
              <w:t>Tableau 1</w:t>
            </w:r>
          </w:p>
          <w:p w14:paraId="307EC0FC" w14:textId="77777777" w:rsidR="00E00F73" w:rsidRPr="0069383A" w:rsidRDefault="00E00F73" w:rsidP="00CE5EBA">
            <w:pPr>
              <w:rPr>
                <w:rFonts w:ascii="Calibri" w:hAnsi="Calibri" w:cs="Calibri"/>
                <w:b/>
                <w:bCs/>
                <w:color w:val="000000"/>
                <w:szCs w:val="22"/>
              </w:rPr>
            </w:pPr>
            <w:r w:rsidRPr="00D37DF0">
              <w:rPr>
                <w:b/>
                <w:bCs/>
                <w:color w:val="000000"/>
                <w:sz w:val="22"/>
                <w:szCs w:val="22"/>
              </w:rPr>
              <w:t>Budget intégré relatif aux fonds d'affectation spéciale de la Convention sur la diversité biologique et de ses protocoles pour 2019-2020</w:t>
            </w:r>
          </w:p>
        </w:tc>
      </w:tr>
      <w:tr w:rsidR="00E00F73" w:rsidRPr="0069383A" w14:paraId="77F1FCA7" w14:textId="77777777" w:rsidTr="00CE5EBA">
        <w:trPr>
          <w:trHeight w:val="1020"/>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6528C69F" w14:textId="77777777" w:rsidR="00E00F73" w:rsidRPr="00DB4921" w:rsidRDefault="00E00F73" w:rsidP="00CE5EBA">
            <w:pPr>
              <w:jc w:val="center"/>
              <w:rPr>
                <w:b/>
                <w:bCs/>
                <w:i/>
                <w:iCs/>
                <w:color w:val="000000"/>
                <w:sz w:val="20"/>
                <w:szCs w:val="20"/>
              </w:rPr>
            </w:pPr>
            <w:r w:rsidRPr="00DB4921">
              <w:rPr>
                <w:b/>
                <w:bCs/>
                <w:i/>
                <w:iCs/>
                <w:color w:val="000000"/>
                <w:sz w:val="20"/>
                <w:szCs w:val="20"/>
              </w:rPr>
              <w:t>Poste de dépense (Milliers de dollars des États-Unis)</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8A530" w14:textId="77777777" w:rsidR="00E00F73" w:rsidRPr="00DB4921" w:rsidRDefault="00E00F73" w:rsidP="00CE5EBA">
            <w:pPr>
              <w:jc w:val="center"/>
              <w:rPr>
                <w:b/>
                <w:bCs/>
                <w:i/>
                <w:iCs/>
                <w:color w:val="000000"/>
                <w:sz w:val="20"/>
                <w:szCs w:val="20"/>
              </w:rPr>
            </w:pPr>
            <w:r w:rsidRPr="00DB4921">
              <w:rPr>
                <w:b/>
                <w:bCs/>
                <w:i/>
                <w:iCs/>
                <w:color w:val="000000"/>
                <w:sz w:val="20"/>
                <w:szCs w:val="20"/>
              </w:rPr>
              <w:t>Budget total approuvé</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2BC62411" w14:textId="77777777" w:rsidR="00E00F73" w:rsidRPr="00DB4921" w:rsidRDefault="00E00F73" w:rsidP="00CE5EBA">
            <w:pPr>
              <w:jc w:val="center"/>
              <w:rPr>
                <w:b/>
                <w:bCs/>
                <w:i/>
                <w:iCs/>
                <w:color w:val="000000"/>
                <w:sz w:val="20"/>
                <w:szCs w:val="20"/>
              </w:rPr>
            </w:pPr>
            <w:r w:rsidRPr="00DB4921">
              <w:rPr>
                <w:b/>
                <w:bCs/>
                <w:i/>
                <w:iCs/>
                <w:color w:val="000000"/>
                <w:sz w:val="20"/>
                <w:szCs w:val="20"/>
              </w:rPr>
              <w:t>Estimation des dépenses totales (1er janvier 2019-31 décembre 2020))</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6B625CCA" w14:textId="77777777" w:rsidR="00E00F73" w:rsidRPr="00DB4921" w:rsidRDefault="00E00F73" w:rsidP="00CE5EBA">
            <w:pPr>
              <w:jc w:val="center"/>
              <w:rPr>
                <w:b/>
                <w:bCs/>
                <w:i/>
                <w:iCs/>
                <w:color w:val="000000"/>
                <w:sz w:val="20"/>
                <w:szCs w:val="20"/>
              </w:rPr>
            </w:pPr>
            <w:r w:rsidRPr="00DB4921">
              <w:rPr>
                <w:b/>
                <w:bCs/>
                <w:i/>
                <w:iCs/>
                <w:color w:val="000000"/>
                <w:sz w:val="20"/>
                <w:szCs w:val="20"/>
              </w:rPr>
              <w:t>Estimation des reports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378EAF90" w14:textId="77777777" w:rsidR="00E00F73" w:rsidRPr="00DB4921" w:rsidRDefault="00E00F73" w:rsidP="00CE5EBA">
            <w:pPr>
              <w:jc w:val="center"/>
              <w:rPr>
                <w:b/>
                <w:bCs/>
                <w:i/>
                <w:iCs/>
                <w:color w:val="000000"/>
                <w:sz w:val="20"/>
                <w:szCs w:val="20"/>
              </w:rPr>
            </w:pPr>
            <w:r w:rsidRPr="00DB4921">
              <w:rPr>
                <w:b/>
                <w:bCs/>
                <w:i/>
                <w:iCs/>
                <w:color w:val="000000"/>
                <w:sz w:val="20"/>
                <w:szCs w:val="20"/>
              </w:rPr>
              <w:t>Variance</w:t>
            </w:r>
          </w:p>
        </w:tc>
      </w:tr>
      <w:tr w:rsidR="00E00F73" w:rsidRPr="0069383A" w14:paraId="41994E4E"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9768E9A" w14:textId="77777777" w:rsidR="00E00F73" w:rsidRPr="00DB4921" w:rsidRDefault="00E00F73" w:rsidP="00CE5EBA">
            <w:pPr>
              <w:rPr>
                <w:color w:val="000000"/>
                <w:sz w:val="20"/>
                <w:szCs w:val="20"/>
              </w:rPr>
            </w:pPr>
            <w:r w:rsidRPr="00DB4921">
              <w:rPr>
                <w:color w:val="000000"/>
                <w:sz w:val="20"/>
                <w:szCs w:val="20"/>
              </w:rPr>
              <w:t xml:space="preserve">A. Dépenses de personnel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4496E34" w14:textId="77777777" w:rsidR="00E00F73" w:rsidRPr="00DB4921" w:rsidRDefault="00E00F73" w:rsidP="00CE5EBA">
            <w:pPr>
              <w:jc w:val="right"/>
              <w:rPr>
                <w:color w:val="000000"/>
                <w:sz w:val="20"/>
                <w:szCs w:val="20"/>
              </w:rPr>
            </w:pPr>
            <w:r w:rsidRPr="00DB4921">
              <w:rPr>
                <w:color w:val="000000"/>
                <w:sz w:val="20"/>
                <w:szCs w:val="20"/>
              </w:rPr>
              <w:t>23 080,5</w:t>
            </w:r>
          </w:p>
        </w:tc>
        <w:tc>
          <w:tcPr>
            <w:tcW w:w="1550" w:type="dxa"/>
            <w:tcBorders>
              <w:top w:val="nil"/>
              <w:left w:val="nil"/>
              <w:bottom w:val="single" w:sz="4" w:space="0" w:color="auto"/>
              <w:right w:val="single" w:sz="4" w:space="0" w:color="auto"/>
            </w:tcBorders>
            <w:shd w:val="clear" w:color="auto" w:fill="auto"/>
            <w:vAlign w:val="center"/>
            <w:hideMark/>
          </w:tcPr>
          <w:p w14:paraId="4015ACF0" w14:textId="77777777" w:rsidR="00E00F73" w:rsidRPr="00DB4921" w:rsidRDefault="00E00F73" w:rsidP="00CE5EBA">
            <w:pPr>
              <w:jc w:val="right"/>
              <w:rPr>
                <w:color w:val="000000"/>
                <w:sz w:val="20"/>
                <w:szCs w:val="20"/>
              </w:rPr>
            </w:pPr>
            <w:r w:rsidRPr="00DB4921">
              <w:rPr>
                <w:color w:val="000000"/>
                <w:sz w:val="20"/>
                <w:szCs w:val="20"/>
              </w:rPr>
              <w:t>20 100,0</w:t>
            </w:r>
          </w:p>
        </w:tc>
        <w:tc>
          <w:tcPr>
            <w:tcW w:w="1198" w:type="dxa"/>
            <w:tcBorders>
              <w:top w:val="nil"/>
              <w:left w:val="nil"/>
              <w:bottom w:val="single" w:sz="4" w:space="0" w:color="auto"/>
              <w:right w:val="single" w:sz="4" w:space="0" w:color="auto"/>
            </w:tcBorders>
            <w:shd w:val="clear" w:color="auto" w:fill="auto"/>
            <w:vAlign w:val="center"/>
            <w:hideMark/>
          </w:tcPr>
          <w:p w14:paraId="1A984A55"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5F685BDE" w14:textId="77777777" w:rsidR="00E00F73" w:rsidRPr="00DB4921" w:rsidRDefault="00E00F73" w:rsidP="00CE5EBA">
            <w:pPr>
              <w:jc w:val="right"/>
              <w:rPr>
                <w:color w:val="000000"/>
                <w:sz w:val="20"/>
                <w:szCs w:val="20"/>
              </w:rPr>
            </w:pPr>
            <w:r w:rsidRPr="00DB4921">
              <w:rPr>
                <w:color w:val="000000"/>
                <w:sz w:val="20"/>
                <w:szCs w:val="20"/>
              </w:rPr>
              <w:t>2 980,5</w:t>
            </w:r>
          </w:p>
        </w:tc>
      </w:tr>
      <w:tr w:rsidR="00E00F73" w:rsidRPr="0069383A" w14:paraId="38BCA0E3"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15DED70" w14:textId="77777777" w:rsidR="00E00F73" w:rsidRPr="00DB4921" w:rsidRDefault="00E00F73" w:rsidP="00CE5EBA">
            <w:pPr>
              <w:rPr>
                <w:color w:val="000000"/>
                <w:sz w:val="20"/>
                <w:szCs w:val="20"/>
              </w:rPr>
            </w:pPr>
            <w:r w:rsidRPr="00DB4921">
              <w:rPr>
                <w:color w:val="000000"/>
                <w:sz w:val="20"/>
                <w:szCs w:val="20"/>
              </w:rPr>
              <w:t xml:space="preserve">B. Réunion du Bureau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B6AB920" w14:textId="77777777" w:rsidR="00E00F73" w:rsidRPr="00DB4921" w:rsidRDefault="00E00F73" w:rsidP="00CE5EBA">
            <w:pPr>
              <w:jc w:val="right"/>
              <w:rPr>
                <w:color w:val="000000"/>
                <w:sz w:val="20"/>
                <w:szCs w:val="20"/>
              </w:rPr>
            </w:pPr>
            <w:r w:rsidRPr="00DB4921">
              <w:rPr>
                <w:color w:val="000000"/>
                <w:sz w:val="20"/>
                <w:szCs w:val="20"/>
              </w:rPr>
              <w:t>365,0</w:t>
            </w:r>
          </w:p>
        </w:tc>
        <w:tc>
          <w:tcPr>
            <w:tcW w:w="1550" w:type="dxa"/>
            <w:tcBorders>
              <w:top w:val="nil"/>
              <w:left w:val="nil"/>
              <w:bottom w:val="single" w:sz="4" w:space="0" w:color="auto"/>
              <w:right w:val="single" w:sz="4" w:space="0" w:color="auto"/>
            </w:tcBorders>
            <w:shd w:val="clear" w:color="auto" w:fill="auto"/>
            <w:vAlign w:val="center"/>
            <w:hideMark/>
          </w:tcPr>
          <w:p w14:paraId="484CFFDA" w14:textId="77777777" w:rsidR="00E00F73" w:rsidRPr="00DB4921" w:rsidRDefault="00E00F73" w:rsidP="00CE5EBA">
            <w:pPr>
              <w:jc w:val="right"/>
              <w:rPr>
                <w:color w:val="000000"/>
                <w:sz w:val="20"/>
                <w:szCs w:val="20"/>
              </w:rPr>
            </w:pPr>
            <w:r w:rsidRPr="00DB4921">
              <w:rPr>
                <w:color w:val="000000"/>
                <w:sz w:val="20"/>
                <w:szCs w:val="20"/>
              </w:rPr>
              <w:t>200,0</w:t>
            </w:r>
          </w:p>
        </w:tc>
        <w:tc>
          <w:tcPr>
            <w:tcW w:w="1198" w:type="dxa"/>
            <w:tcBorders>
              <w:top w:val="nil"/>
              <w:left w:val="nil"/>
              <w:bottom w:val="single" w:sz="4" w:space="0" w:color="auto"/>
              <w:right w:val="single" w:sz="4" w:space="0" w:color="auto"/>
            </w:tcBorders>
            <w:shd w:val="clear" w:color="auto" w:fill="auto"/>
            <w:vAlign w:val="center"/>
            <w:hideMark/>
          </w:tcPr>
          <w:p w14:paraId="4D003885" w14:textId="77777777" w:rsidR="00E00F73" w:rsidRPr="00DB4921" w:rsidRDefault="00E00F73" w:rsidP="00CE5EBA">
            <w:pPr>
              <w:jc w:val="right"/>
              <w:rPr>
                <w:color w:val="000000"/>
                <w:sz w:val="20"/>
                <w:szCs w:val="20"/>
              </w:rPr>
            </w:pPr>
            <w:r w:rsidRPr="00DB4921">
              <w:rPr>
                <w:color w:val="000000"/>
                <w:sz w:val="20"/>
                <w:szCs w:val="20"/>
              </w:rPr>
              <w:t>165,0</w:t>
            </w:r>
          </w:p>
        </w:tc>
        <w:tc>
          <w:tcPr>
            <w:tcW w:w="897" w:type="dxa"/>
            <w:tcBorders>
              <w:top w:val="nil"/>
              <w:left w:val="nil"/>
              <w:bottom w:val="single" w:sz="4" w:space="0" w:color="auto"/>
              <w:right w:val="single" w:sz="4" w:space="0" w:color="auto"/>
            </w:tcBorders>
            <w:shd w:val="clear" w:color="auto" w:fill="auto"/>
            <w:vAlign w:val="center"/>
            <w:hideMark/>
          </w:tcPr>
          <w:p w14:paraId="1C85167E"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6EE4E57A"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774F863" w14:textId="77777777" w:rsidR="00E00F73" w:rsidRPr="00DB4921" w:rsidRDefault="00E00F73" w:rsidP="00CE5EBA">
            <w:pPr>
              <w:rPr>
                <w:color w:val="000000"/>
                <w:sz w:val="20"/>
                <w:szCs w:val="20"/>
              </w:rPr>
            </w:pPr>
            <w:r w:rsidRPr="00DB4921">
              <w:rPr>
                <w:color w:val="000000"/>
                <w:sz w:val="20"/>
                <w:szCs w:val="20"/>
              </w:rPr>
              <w:t>C. Voyages en mission</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D69B23A" w14:textId="77777777" w:rsidR="00E00F73" w:rsidRPr="00DB4921" w:rsidRDefault="00E00F73" w:rsidP="00CE5EBA">
            <w:pPr>
              <w:jc w:val="right"/>
              <w:rPr>
                <w:color w:val="000000"/>
                <w:sz w:val="20"/>
                <w:szCs w:val="20"/>
              </w:rPr>
            </w:pPr>
            <w:r w:rsidRPr="00DB4921">
              <w:rPr>
                <w:color w:val="000000"/>
                <w:sz w:val="20"/>
                <w:szCs w:val="20"/>
              </w:rPr>
              <w:t>800,0</w:t>
            </w:r>
          </w:p>
        </w:tc>
        <w:tc>
          <w:tcPr>
            <w:tcW w:w="1550" w:type="dxa"/>
            <w:tcBorders>
              <w:top w:val="nil"/>
              <w:left w:val="nil"/>
              <w:bottom w:val="single" w:sz="4" w:space="0" w:color="auto"/>
              <w:right w:val="single" w:sz="4" w:space="0" w:color="auto"/>
            </w:tcBorders>
            <w:shd w:val="clear" w:color="auto" w:fill="auto"/>
            <w:vAlign w:val="center"/>
            <w:hideMark/>
          </w:tcPr>
          <w:p w14:paraId="7AE720C0" w14:textId="77777777" w:rsidR="00E00F73" w:rsidRPr="00DB4921" w:rsidRDefault="00E00F73" w:rsidP="00CE5EBA">
            <w:pPr>
              <w:jc w:val="right"/>
              <w:rPr>
                <w:color w:val="000000"/>
                <w:sz w:val="20"/>
                <w:szCs w:val="20"/>
              </w:rPr>
            </w:pPr>
            <w:r w:rsidRPr="00DB4921">
              <w:rPr>
                <w:color w:val="000000"/>
                <w:sz w:val="20"/>
                <w:szCs w:val="20"/>
              </w:rPr>
              <w:t>559,6</w:t>
            </w:r>
          </w:p>
        </w:tc>
        <w:tc>
          <w:tcPr>
            <w:tcW w:w="1198" w:type="dxa"/>
            <w:tcBorders>
              <w:top w:val="nil"/>
              <w:left w:val="nil"/>
              <w:bottom w:val="single" w:sz="4" w:space="0" w:color="auto"/>
              <w:right w:val="single" w:sz="4" w:space="0" w:color="auto"/>
            </w:tcBorders>
            <w:shd w:val="clear" w:color="auto" w:fill="auto"/>
            <w:vAlign w:val="center"/>
            <w:hideMark/>
          </w:tcPr>
          <w:p w14:paraId="0FE0631C"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2E46D84E" w14:textId="77777777" w:rsidR="00E00F73" w:rsidRPr="00DB4921" w:rsidRDefault="00E00F73" w:rsidP="00CE5EBA">
            <w:pPr>
              <w:jc w:val="right"/>
              <w:rPr>
                <w:color w:val="000000"/>
                <w:sz w:val="20"/>
                <w:szCs w:val="20"/>
              </w:rPr>
            </w:pPr>
            <w:r w:rsidRPr="00DB4921">
              <w:rPr>
                <w:color w:val="000000"/>
                <w:sz w:val="20"/>
                <w:szCs w:val="20"/>
              </w:rPr>
              <w:t>240,4</w:t>
            </w:r>
          </w:p>
        </w:tc>
      </w:tr>
      <w:tr w:rsidR="00E00F73" w:rsidRPr="0069383A" w14:paraId="4E77FEA2"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E445B8D" w14:textId="77777777" w:rsidR="00E00F73" w:rsidRPr="00DB4921" w:rsidRDefault="00E00F73" w:rsidP="00CE5EBA">
            <w:pPr>
              <w:rPr>
                <w:color w:val="000000"/>
                <w:sz w:val="20"/>
                <w:szCs w:val="20"/>
              </w:rPr>
            </w:pPr>
            <w:r w:rsidRPr="00DB4921">
              <w:rPr>
                <w:color w:val="000000"/>
                <w:sz w:val="20"/>
                <w:szCs w:val="20"/>
              </w:rPr>
              <w:t>D. Consultants/sous-traitants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F790F27" w14:textId="77777777" w:rsidR="00E00F73" w:rsidRPr="00DB4921" w:rsidRDefault="00E00F73" w:rsidP="00CE5EBA">
            <w:pPr>
              <w:jc w:val="right"/>
              <w:rPr>
                <w:color w:val="000000"/>
                <w:sz w:val="20"/>
                <w:szCs w:val="20"/>
              </w:rPr>
            </w:pPr>
            <w:r w:rsidRPr="00DB4921">
              <w:rPr>
                <w:color w:val="000000"/>
                <w:sz w:val="20"/>
                <w:szCs w:val="20"/>
              </w:rPr>
              <w:t>100,0</w:t>
            </w:r>
          </w:p>
        </w:tc>
        <w:tc>
          <w:tcPr>
            <w:tcW w:w="1550" w:type="dxa"/>
            <w:tcBorders>
              <w:top w:val="nil"/>
              <w:left w:val="nil"/>
              <w:bottom w:val="single" w:sz="4" w:space="0" w:color="auto"/>
              <w:right w:val="single" w:sz="4" w:space="0" w:color="auto"/>
            </w:tcBorders>
            <w:shd w:val="clear" w:color="auto" w:fill="auto"/>
            <w:vAlign w:val="center"/>
            <w:hideMark/>
          </w:tcPr>
          <w:p w14:paraId="624750B0" w14:textId="77777777" w:rsidR="00E00F73" w:rsidRPr="00DB4921" w:rsidRDefault="00E00F73" w:rsidP="00CE5EBA">
            <w:pPr>
              <w:jc w:val="right"/>
              <w:rPr>
                <w:color w:val="000000"/>
                <w:sz w:val="20"/>
                <w:szCs w:val="20"/>
              </w:rPr>
            </w:pPr>
            <w:r w:rsidRPr="00DB4921">
              <w:rPr>
                <w:color w:val="000000"/>
                <w:sz w:val="20"/>
                <w:szCs w:val="20"/>
              </w:rPr>
              <w:t>100,0</w:t>
            </w:r>
          </w:p>
        </w:tc>
        <w:tc>
          <w:tcPr>
            <w:tcW w:w="1198" w:type="dxa"/>
            <w:tcBorders>
              <w:top w:val="nil"/>
              <w:left w:val="nil"/>
              <w:bottom w:val="single" w:sz="4" w:space="0" w:color="auto"/>
              <w:right w:val="single" w:sz="4" w:space="0" w:color="auto"/>
            </w:tcBorders>
            <w:shd w:val="clear" w:color="auto" w:fill="auto"/>
            <w:vAlign w:val="center"/>
            <w:hideMark/>
          </w:tcPr>
          <w:p w14:paraId="64EF6426"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4EE1FB71"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10FF5B9E"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C706BDC" w14:textId="77777777" w:rsidR="00E00F73" w:rsidRPr="00DB4921" w:rsidRDefault="00E00F73" w:rsidP="00CE5EBA">
            <w:pPr>
              <w:rPr>
                <w:color w:val="000000"/>
                <w:sz w:val="20"/>
                <w:szCs w:val="20"/>
              </w:rPr>
            </w:pPr>
            <w:r w:rsidRPr="00DB4921">
              <w:rPr>
                <w:color w:val="000000"/>
                <w:sz w:val="20"/>
                <w:szCs w:val="20"/>
              </w:rPr>
              <w:t>E. Matériel de sensibilisation du public/communications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FE6BD0D" w14:textId="77777777" w:rsidR="00E00F73" w:rsidRPr="00DB4921" w:rsidRDefault="00E00F73" w:rsidP="00CE5EBA">
            <w:pPr>
              <w:jc w:val="right"/>
              <w:rPr>
                <w:color w:val="000000"/>
                <w:sz w:val="20"/>
                <w:szCs w:val="20"/>
              </w:rPr>
            </w:pPr>
            <w:r w:rsidRPr="00DB4921">
              <w:rPr>
                <w:color w:val="000000"/>
                <w:sz w:val="20"/>
                <w:szCs w:val="20"/>
              </w:rPr>
              <w:t>100,0</w:t>
            </w:r>
          </w:p>
        </w:tc>
        <w:tc>
          <w:tcPr>
            <w:tcW w:w="1550" w:type="dxa"/>
            <w:tcBorders>
              <w:top w:val="nil"/>
              <w:left w:val="nil"/>
              <w:bottom w:val="single" w:sz="4" w:space="0" w:color="auto"/>
              <w:right w:val="single" w:sz="4" w:space="0" w:color="auto"/>
            </w:tcBorders>
            <w:shd w:val="clear" w:color="auto" w:fill="auto"/>
            <w:vAlign w:val="center"/>
            <w:hideMark/>
          </w:tcPr>
          <w:p w14:paraId="41EF6561" w14:textId="77777777" w:rsidR="00E00F73" w:rsidRPr="00DB4921" w:rsidRDefault="00E00F73" w:rsidP="00CE5EBA">
            <w:pPr>
              <w:jc w:val="right"/>
              <w:rPr>
                <w:color w:val="000000"/>
                <w:sz w:val="20"/>
                <w:szCs w:val="20"/>
              </w:rPr>
            </w:pPr>
            <w:r w:rsidRPr="00DB4921">
              <w:rPr>
                <w:color w:val="000000"/>
                <w:sz w:val="20"/>
                <w:szCs w:val="20"/>
              </w:rPr>
              <w:t>100,0</w:t>
            </w:r>
          </w:p>
        </w:tc>
        <w:tc>
          <w:tcPr>
            <w:tcW w:w="1198" w:type="dxa"/>
            <w:tcBorders>
              <w:top w:val="nil"/>
              <w:left w:val="nil"/>
              <w:bottom w:val="single" w:sz="4" w:space="0" w:color="auto"/>
              <w:right w:val="single" w:sz="4" w:space="0" w:color="auto"/>
            </w:tcBorders>
            <w:shd w:val="clear" w:color="auto" w:fill="auto"/>
            <w:vAlign w:val="center"/>
            <w:hideMark/>
          </w:tcPr>
          <w:p w14:paraId="181102EC"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5FA9D28D"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1593B54D"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F6A818F" w14:textId="77777777" w:rsidR="00E00F73" w:rsidRPr="00DB4921" w:rsidRDefault="00E00F73" w:rsidP="00CE5EBA">
            <w:pPr>
              <w:rPr>
                <w:color w:val="000000"/>
                <w:sz w:val="20"/>
                <w:szCs w:val="20"/>
              </w:rPr>
            </w:pPr>
            <w:r w:rsidRPr="00DB4921">
              <w:rPr>
                <w:color w:val="000000"/>
                <w:sz w:val="20"/>
                <w:szCs w:val="20"/>
              </w:rPr>
              <w:t>F. Assistance temporaire/heures supplémentaires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3F91787" w14:textId="77777777" w:rsidR="00E00F73" w:rsidRPr="00DB4921" w:rsidRDefault="00E00F73" w:rsidP="00CE5EBA">
            <w:pPr>
              <w:jc w:val="right"/>
              <w:rPr>
                <w:color w:val="000000"/>
                <w:sz w:val="20"/>
                <w:szCs w:val="20"/>
              </w:rPr>
            </w:pPr>
            <w:r w:rsidRPr="00DB4921">
              <w:rPr>
                <w:color w:val="000000"/>
                <w:sz w:val="20"/>
                <w:szCs w:val="20"/>
              </w:rPr>
              <w:t>200,0</w:t>
            </w:r>
          </w:p>
        </w:tc>
        <w:tc>
          <w:tcPr>
            <w:tcW w:w="1550" w:type="dxa"/>
            <w:tcBorders>
              <w:top w:val="nil"/>
              <w:left w:val="nil"/>
              <w:bottom w:val="single" w:sz="4" w:space="0" w:color="auto"/>
              <w:right w:val="single" w:sz="4" w:space="0" w:color="auto"/>
            </w:tcBorders>
            <w:shd w:val="clear" w:color="auto" w:fill="auto"/>
            <w:vAlign w:val="center"/>
            <w:hideMark/>
          </w:tcPr>
          <w:p w14:paraId="260861F2" w14:textId="77777777" w:rsidR="00E00F73" w:rsidRPr="00DB4921" w:rsidRDefault="00E00F73" w:rsidP="00CE5EBA">
            <w:pPr>
              <w:jc w:val="right"/>
              <w:rPr>
                <w:color w:val="000000"/>
                <w:sz w:val="20"/>
                <w:szCs w:val="20"/>
              </w:rPr>
            </w:pPr>
            <w:r w:rsidRPr="00DB4921">
              <w:rPr>
                <w:color w:val="000000"/>
                <w:sz w:val="20"/>
                <w:szCs w:val="20"/>
              </w:rPr>
              <w:t>200,0</w:t>
            </w:r>
          </w:p>
        </w:tc>
        <w:tc>
          <w:tcPr>
            <w:tcW w:w="1198" w:type="dxa"/>
            <w:tcBorders>
              <w:top w:val="nil"/>
              <w:left w:val="nil"/>
              <w:bottom w:val="single" w:sz="4" w:space="0" w:color="auto"/>
              <w:right w:val="single" w:sz="4" w:space="0" w:color="auto"/>
            </w:tcBorders>
            <w:shd w:val="clear" w:color="auto" w:fill="auto"/>
            <w:vAlign w:val="center"/>
            <w:hideMark/>
          </w:tcPr>
          <w:p w14:paraId="2AA25AD4"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31834FA8"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3F2E959A"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E9F1992" w14:textId="77777777" w:rsidR="00E00F73" w:rsidRPr="00DB4921" w:rsidRDefault="00E00F73" w:rsidP="00CE5EBA">
            <w:pPr>
              <w:rPr>
                <w:color w:val="000000"/>
                <w:sz w:val="20"/>
                <w:szCs w:val="20"/>
              </w:rPr>
            </w:pPr>
            <w:r w:rsidRPr="00DB4921">
              <w:rPr>
                <w:color w:val="000000"/>
                <w:sz w:val="20"/>
                <w:szCs w:val="20"/>
              </w:rPr>
              <w:t>G. Formation</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8A4E4A3" w14:textId="77777777" w:rsidR="00E00F73" w:rsidRPr="00DB4921" w:rsidRDefault="00E00F73" w:rsidP="00CE5EBA">
            <w:pPr>
              <w:jc w:val="right"/>
              <w:rPr>
                <w:color w:val="000000"/>
                <w:sz w:val="20"/>
                <w:szCs w:val="20"/>
              </w:rPr>
            </w:pPr>
            <w:r w:rsidRPr="00DB4921">
              <w:rPr>
                <w:color w:val="000000"/>
                <w:sz w:val="20"/>
                <w:szCs w:val="20"/>
              </w:rPr>
              <w:t>10,0</w:t>
            </w:r>
          </w:p>
        </w:tc>
        <w:tc>
          <w:tcPr>
            <w:tcW w:w="1550" w:type="dxa"/>
            <w:tcBorders>
              <w:top w:val="nil"/>
              <w:left w:val="nil"/>
              <w:bottom w:val="single" w:sz="4" w:space="0" w:color="auto"/>
              <w:right w:val="single" w:sz="4" w:space="0" w:color="auto"/>
            </w:tcBorders>
            <w:shd w:val="clear" w:color="auto" w:fill="auto"/>
            <w:vAlign w:val="center"/>
            <w:hideMark/>
          </w:tcPr>
          <w:p w14:paraId="08E3F897" w14:textId="77777777" w:rsidR="00E00F73" w:rsidRPr="00DB4921" w:rsidRDefault="00E00F73" w:rsidP="00CE5EBA">
            <w:pPr>
              <w:jc w:val="right"/>
              <w:rPr>
                <w:color w:val="000000"/>
                <w:sz w:val="20"/>
                <w:szCs w:val="20"/>
              </w:rPr>
            </w:pPr>
            <w:r w:rsidRPr="00DB4921">
              <w:rPr>
                <w:color w:val="000000"/>
                <w:sz w:val="20"/>
                <w:szCs w:val="20"/>
              </w:rPr>
              <w:t>10,0</w:t>
            </w:r>
          </w:p>
        </w:tc>
        <w:tc>
          <w:tcPr>
            <w:tcW w:w="1198" w:type="dxa"/>
            <w:tcBorders>
              <w:top w:val="nil"/>
              <w:left w:val="nil"/>
              <w:bottom w:val="single" w:sz="4" w:space="0" w:color="auto"/>
              <w:right w:val="single" w:sz="4" w:space="0" w:color="auto"/>
            </w:tcBorders>
            <w:shd w:val="clear" w:color="auto" w:fill="auto"/>
            <w:vAlign w:val="center"/>
            <w:hideMark/>
          </w:tcPr>
          <w:p w14:paraId="2CC47540"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07D2DB2A"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0D9859FE"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92E0963" w14:textId="77777777" w:rsidR="00E00F73" w:rsidRPr="00DB4921" w:rsidRDefault="00E00F73" w:rsidP="00CE5EBA">
            <w:pPr>
              <w:rPr>
                <w:color w:val="000000"/>
                <w:sz w:val="20"/>
                <w:szCs w:val="20"/>
              </w:rPr>
            </w:pPr>
            <w:r w:rsidRPr="00DB4921">
              <w:rPr>
                <w:color w:val="000000"/>
                <w:sz w:val="20"/>
                <w:szCs w:val="20"/>
              </w:rPr>
              <w:t>H. Traduction du site Internet du Centre d’échange/projets du site Internet</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62B1000" w14:textId="77777777" w:rsidR="00E00F73" w:rsidRPr="00DB4921" w:rsidRDefault="00E00F73" w:rsidP="00CE5EBA">
            <w:pPr>
              <w:jc w:val="right"/>
              <w:rPr>
                <w:color w:val="000000"/>
                <w:sz w:val="20"/>
                <w:szCs w:val="20"/>
              </w:rPr>
            </w:pPr>
            <w:r w:rsidRPr="00DB4921">
              <w:rPr>
                <w:color w:val="000000"/>
                <w:sz w:val="20"/>
                <w:szCs w:val="20"/>
              </w:rPr>
              <w:t>130,0</w:t>
            </w:r>
          </w:p>
        </w:tc>
        <w:tc>
          <w:tcPr>
            <w:tcW w:w="1550" w:type="dxa"/>
            <w:tcBorders>
              <w:top w:val="nil"/>
              <w:left w:val="nil"/>
              <w:bottom w:val="single" w:sz="4" w:space="0" w:color="auto"/>
              <w:right w:val="single" w:sz="4" w:space="0" w:color="auto"/>
            </w:tcBorders>
            <w:shd w:val="clear" w:color="auto" w:fill="auto"/>
            <w:vAlign w:val="center"/>
            <w:hideMark/>
          </w:tcPr>
          <w:p w14:paraId="6D11C5B6" w14:textId="77777777" w:rsidR="00E00F73" w:rsidRPr="00DB4921" w:rsidRDefault="00E00F73" w:rsidP="00CE5EBA">
            <w:pPr>
              <w:jc w:val="right"/>
              <w:rPr>
                <w:color w:val="000000"/>
                <w:sz w:val="20"/>
                <w:szCs w:val="20"/>
              </w:rPr>
            </w:pPr>
            <w:r w:rsidRPr="00DB4921">
              <w:rPr>
                <w:color w:val="000000"/>
                <w:sz w:val="20"/>
                <w:szCs w:val="20"/>
              </w:rPr>
              <w:t>130,0</w:t>
            </w:r>
          </w:p>
        </w:tc>
        <w:tc>
          <w:tcPr>
            <w:tcW w:w="1198" w:type="dxa"/>
            <w:tcBorders>
              <w:top w:val="nil"/>
              <w:left w:val="nil"/>
              <w:bottom w:val="single" w:sz="4" w:space="0" w:color="auto"/>
              <w:right w:val="single" w:sz="4" w:space="0" w:color="auto"/>
            </w:tcBorders>
            <w:shd w:val="clear" w:color="auto" w:fill="auto"/>
            <w:vAlign w:val="center"/>
            <w:hideMark/>
          </w:tcPr>
          <w:p w14:paraId="5DDABEBE"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2BD460F5"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77E49E4D"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8C12796" w14:textId="77777777" w:rsidR="00E00F73" w:rsidRPr="00DB4921" w:rsidRDefault="00E00F73" w:rsidP="00CE5EBA">
            <w:pPr>
              <w:rPr>
                <w:color w:val="000000"/>
                <w:sz w:val="20"/>
                <w:szCs w:val="20"/>
              </w:rPr>
            </w:pPr>
            <w:r w:rsidRPr="00DB4921">
              <w:rPr>
                <w:color w:val="000000"/>
                <w:sz w:val="20"/>
                <w:szCs w:val="20"/>
              </w:rPr>
              <w:t>I. Réunions</w:t>
            </w:r>
            <w:r w:rsidRPr="00DB4921">
              <w:rPr>
                <w:color w:val="000000"/>
                <w:sz w:val="20"/>
                <w:szCs w:val="20"/>
                <w:vertAlign w:val="superscript"/>
              </w:rPr>
              <w:t>1</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51875D1" w14:textId="77777777" w:rsidR="00E00F73" w:rsidRPr="00DB4921" w:rsidRDefault="00E00F73" w:rsidP="00CE5EBA">
            <w:pPr>
              <w:jc w:val="right"/>
              <w:rPr>
                <w:color w:val="000000"/>
                <w:sz w:val="20"/>
                <w:szCs w:val="20"/>
              </w:rPr>
            </w:pPr>
            <w:r w:rsidRPr="00DB4921">
              <w:rPr>
                <w:color w:val="000000"/>
                <w:sz w:val="20"/>
                <w:szCs w:val="20"/>
              </w:rPr>
              <w:t>3 688,0</w:t>
            </w:r>
          </w:p>
        </w:tc>
        <w:tc>
          <w:tcPr>
            <w:tcW w:w="1550" w:type="dxa"/>
            <w:tcBorders>
              <w:top w:val="nil"/>
              <w:left w:val="nil"/>
              <w:bottom w:val="single" w:sz="4" w:space="0" w:color="auto"/>
              <w:right w:val="single" w:sz="4" w:space="0" w:color="auto"/>
            </w:tcBorders>
            <w:shd w:val="clear" w:color="auto" w:fill="auto"/>
            <w:vAlign w:val="center"/>
            <w:hideMark/>
          </w:tcPr>
          <w:p w14:paraId="666CA1F9" w14:textId="77777777" w:rsidR="00E00F73" w:rsidRPr="00DB4921" w:rsidRDefault="00E00F73" w:rsidP="00CE5EBA">
            <w:pPr>
              <w:jc w:val="right"/>
              <w:rPr>
                <w:color w:val="000000"/>
                <w:sz w:val="20"/>
                <w:szCs w:val="20"/>
              </w:rPr>
            </w:pPr>
            <w:r w:rsidRPr="00DB4921">
              <w:rPr>
                <w:color w:val="000000"/>
                <w:sz w:val="20"/>
                <w:szCs w:val="20"/>
              </w:rPr>
              <w:t>845,8</w:t>
            </w:r>
          </w:p>
        </w:tc>
        <w:tc>
          <w:tcPr>
            <w:tcW w:w="1198" w:type="dxa"/>
            <w:tcBorders>
              <w:top w:val="nil"/>
              <w:left w:val="nil"/>
              <w:bottom w:val="single" w:sz="4" w:space="0" w:color="auto"/>
              <w:right w:val="single" w:sz="4" w:space="0" w:color="auto"/>
            </w:tcBorders>
            <w:shd w:val="clear" w:color="auto" w:fill="auto"/>
            <w:vAlign w:val="center"/>
            <w:hideMark/>
          </w:tcPr>
          <w:p w14:paraId="708EBF7F" w14:textId="77777777" w:rsidR="00E00F73" w:rsidRPr="00DB4921" w:rsidRDefault="00E00F73" w:rsidP="00CE5EBA">
            <w:pPr>
              <w:jc w:val="right"/>
              <w:rPr>
                <w:color w:val="000000"/>
                <w:sz w:val="20"/>
                <w:szCs w:val="20"/>
              </w:rPr>
            </w:pPr>
            <w:r w:rsidRPr="00DB4921">
              <w:rPr>
                <w:color w:val="000000"/>
                <w:sz w:val="20"/>
                <w:szCs w:val="20"/>
              </w:rPr>
              <w:t>2 842,2</w:t>
            </w:r>
          </w:p>
        </w:tc>
        <w:tc>
          <w:tcPr>
            <w:tcW w:w="897" w:type="dxa"/>
            <w:tcBorders>
              <w:top w:val="nil"/>
              <w:left w:val="nil"/>
              <w:bottom w:val="single" w:sz="4" w:space="0" w:color="auto"/>
              <w:right w:val="single" w:sz="4" w:space="0" w:color="auto"/>
            </w:tcBorders>
            <w:shd w:val="clear" w:color="auto" w:fill="auto"/>
            <w:vAlign w:val="center"/>
            <w:hideMark/>
          </w:tcPr>
          <w:p w14:paraId="2F555683"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2AA0CC13"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899F174" w14:textId="77777777" w:rsidR="00E00F73" w:rsidRPr="00DB4921" w:rsidRDefault="00E00F73" w:rsidP="00CE5EBA">
            <w:pPr>
              <w:rPr>
                <w:color w:val="000000"/>
                <w:sz w:val="20"/>
                <w:szCs w:val="20"/>
              </w:rPr>
            </w:pPr>
            <w:r w:rsidRPr="00DB4921">
              <w:rPr>
                <w:color w:val="000000"/>
                <w:sz w:val="20"/>
                <w:szCs w:val="20"/>
              </w:rPr>
              <w:lastRenderedPageBreak/>
              <w:t>J. Réunion d’experts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4D09DD2" w14:textId="77777777" w:rsidR="00E00F73" w:rsidRPr="00DB4921" w:rsidRDefault="00E00F73" w:rsidP="00CE5EBA">
            <w:pPr>
              <w:jc w:val="right"/>
              <w:rPr>
                <w:color w:val="000000"/>
                <w:sz w:val="20"/>
                <w:szCs w:val="20"/>
              </w:rPr>
            </w:pPr>
            <w:r w:rsidRPr="00DB4921">
              <w:rPr>
                <w:color w:val="000000"/>
                <w:sz w:val="20"/>
                <w:szCs w:val="20"/>
              </w:rPr>
              <w:t>320,0</w:t>
            </w:r>
          </w:p>
        </w:tc>
        <w:tc>
          <w:tcPr>
            <w:tcW w:w="1550" w:type="dxa"/>
            <w:tcBorders>
              <w:top w:val="nil"/>
              <w:left w:val="nil"/>
              <w:bottom w:val="single" w:sz="4" w:space="0" w:color="auto"/>
              <w:right w:val="single" w:sz="4" w:space="0" w:color="auto"/>
            </w:tcBorders>
            <w:shd w:val="clear" w:color="auto" w:fill="auto"/>
            <w:vAlign w:val="center"/>
            <w:hideMark/>
          </w:tcPr>
          <w:p w14:paraId="32436159" w14:textId="77777777" w:rsidR="00E00F73" w:rsidRPr="00DB4921" w:rsidRDefault="00E00F73" w:rsidP="00CE5EBA">
            <w:pPr>
              <w:jc w:val="right"/>
              <w:rPr>
                <w:color w:val="000000"/>
                <w:sz w:val="20"/>
                <w:szCs w:val="20"/>
              </w:rPr>
            </w:pPr>
            <w:r w:rsidRPr="00DB4921">
              <w:rPr>
                <w:color w:val="000000"/>
                <w:sz w:val="20"/>
                <w:szCs w:val="20"/>
              </w:rPr>
              <w:t>83,7</w:t>
            </w:r>
          </w:p>
        </w:tc>
        <w:tc>
          <w:tcPr>
            <w:tcW w:w="1198" w:type="dxa"/>
            <w:tcBorders>
              <w:top w:val="nil"/>
              <w:left w:val="nil"/>
              <w:bottom w:val="single" w:sz="4" w:space="0" w:color="auto"/>
              <w:right w:val="single" w:sz="4" w:space="0" w:color="auto"/>
            </w:tcBorders>
            <w:shd w:val="clear" w:color="auto" w:fill="auto"/>
            <w:vAlign w:val="center"/>
            <w:hideMark/>
          </w:tcPr>
          <w:p w14:paraId="5DFA67ED" w14:textId="77777777" w:rsidR="00E00F73" w:rsidRPr="00DB4921" w:rsidRDefault="00E00F73" w:rsidP="00CE5EBA">
            <w:pPr>
              <w:jc w:val="right"/>
              <w:rPr>
                <w:color w:val="000000"/>
                <w:sz w:val="20"/>
                <w:szCs w:val="20"/>
              </w:rPr>
            </w:pPr>
            <w:r w:rsidRPr="00DB4921">
              <w:rPr>
                <w:color w:val="000000"/>
                <w:sz w:val="20"/>
                <w:szCs w:val="20"/>
              </w:rPr>
              <w:t>150,0</w:t>
            </w:r>
          </w:p>
        </w:tc>
        <w:tc>
          <w:tcPr>
            <w:tcW w:w="897" w:type="dxa"/>
            <w:tcBorders>
              <w:top w:val="nil"/>
              <w:left w:val="nil"/>
              <w:bottom w:val="single" w:sz="4" w:space="0" w:color="auto"/>
              <w:right w:val="single" w:sz="4" w:space="0" w:color="auto"/>
            </w:tcBorders>
            <w:shd w:val="clear" w:color="auto" w:fill="auto"/>
            <w:vAlign w:val="center"/>
            <w:hideMark/>
          </w:tcPr>
          <w:p w14:paraId="6A71CBB5" w14:textId="77777777" w:rsidR="00E00F73" w:rsidRPr="00DB4921" w:rsidRDefault="00E00F73" w:rsidP="00CE5EBA">
            <w:pPr>
              <w:jc w:val="right"/>
              <w:rPr>
                <w:color w:val="000000"/>
                <w:sz w:val="20"/>
                <w:szCs w:val="20"/>
              </w:rPr>
            </w:pPr>
            <w:r w:rsidRPr="00DB4921">
              <w:rPr>
                <w:color w:val="000000"/>
                <w:sz w:val="20"/>
                <w:szCs w:val="20"/>
              </w:rPr>
              <w:t>86,3</w:t>
            </w:r>
          </w:p>
        </w:tc>
      </w:tr>
      <w:tr w:rsidR="00E00F73" w:rsidRPr="0069383A" w14:paraId="76D80786"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5C1CF43" w14:textId="77777777" w:rsidR="00E00F73" w:rsidRPr="00DB4921" w:rsidRDefault="00E00F73" w:rsidP="00CE5EBA">
            <w:pPr>
              <w:rPr>
                <w:color w:val="000000"/>
                <w:sz w:val="20"/>
                <w:szCs w:val="20"/>
              </w:rPr>
            </w:pPr>
            <w:r w:rsidRPr="00DB4921">
              <w:rPr>
                <w:color w:val="000000"/>
                <w:sz w:val="20"/>
                <w:szCs w:val="20"/>
              </w:rPr>
              <w:t>K. Réunions extraordinaires concernant l'après-202</w:t>
            </w:r>
            <w:r w:rsidRPr="00DB4921">
              <w:rPr>
                <w:color w:val="000000"/>
                <w:sz w:val="20"/>
                <w:szCs w:val="20"/>
                <w:vertAlign w:val="superscript"/>
              </w:rPr>
              <w:t>2</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7393FCB" w14:textId="77777777" w:rsidR="00E00F73" w:rsidRPr="00DB4921" w:rsidRDefault="00E00F73" w:rsidP="00CE5EBA">
            <w:pPr>
              <w:jc w:val="right"/>
              <w:rPr>
                <w:color w:val="000000"/>
                <w:sz w:val="20"/>
                <w:szCs w:val="20"/>
              </w:rPr>
            </w:pPr>
            <w:r w:rsidRPr="00DB4921">
              <w:rPr>
                <w:color w:val="000000"/>
                <w:sz w:val="20"/>
                <w:szCs w:val="20"/>
              </w:rPr>
              <w:t>1 310,0</w:t>
            </w:r>
          </w:p>
        </w:tc>
        <w:tc>
          <w:tcPr>
            <w:tcW w:w="1550" w:type="dxa"/>
            <w:tcBorders>
              <w:top w:val="nil"/>
              <w:left w:val="nil"/>
              <w:bottom w:val="single" w:sz="4" w:space="0" w:color="auto"/>
              <w:right w:val="single" w:sz="4" w:space="0" w:color="auto"/>
            </w:tcBorders>
            <w:shd w:val="clear" w:color="auto" w:fill="auto"/>
            <w:vAlign w:val="center"/>
            <w:hideMark/>
          </w:tcPr>
          <w:p w14:paraId="5A510B5D" w14:textId="77777777" w:rsidR="00E00F73" w:rsidRPr="00DB4921" w:rsidRDefault="00E00F73" w:rsidP="00CE5EBA">
            <w:pPr>
              <w:jc w:val="right"/>
              <w:rPr>
                <w:color w:val="000000"/>
                <w:sz w:val="20"/>
                <w:szCs w:val="20"/>
              </w:rPr>
            </w:pPr>
            <w:r w:rsidRPr="00DB4921">
              <w:rPr>
                <w:color w:val="000000"/>
                <w:sz w:val="20"/>
                <w:szCs w:val="20"/>
              </w:rPr>
              <w:t>1 100,0</w:t>
            </w:r>
          </w:p>
        </w:tc>
        <w:tc>
          <w:tcPr>
            <w:tcW w:w="1198" w:type="dxa"/>
            <w:tcBorders>
              <w:top w:val="nil"/>
              <w:left w:val="nil"/>
              <w:bottom w:val="single" w:sz="4" w:space="0" w:color="auto"/>
              <w:right w:val="single" w:sz="4" w:space="0" w:color="auto"/>
            </w:tcBorders>
            <w:shd w:val="clear" w:color="auto" w:fill="auto"/>
            <w:vAlign w:val="center"/>
            <w:hideMark/>
          </w:tcPr>
          <w:p w14:paraId="722DC699" w14:textId="77777777" w:rsidR="00E00F73" w:rsidRPr="00DB4921" w:rsidRDefault="00E00F73" w:rsidP="00CE5EBA">
            <w:pPr>
              <w:jc w:val="right"/>
              <w:rPr>
                <w:color w:val="000000"/>
                <w:sz w:val="20"/>
                <w:szCs w:val="20"/>
              </w:rPr>
            </w:pPr>
            <w:r w:rsidRPr="00DB4921">
              <w:rPr>
                <w:color w:val="000000"/>
                <w:sz w:val="20"/>
                <w:szCs w:val="20"/>
              </w:rPr>
              <w:t>210,0</w:t>
            </w:r>
          </w:p>
        </w:tc>
        <w:tc>
          <w:tcPr>
            <w:tcW w:w="897" w:type="dxa"/>
            <w:tcBorders>
              <w:top w:val="nil"/>
              <w:left w:val="nil"/>
              <w:bottom w:val="single" w:sz="4" w:space="0" w:color="auto"/>
              <w:right w:val="single" w:sz="4" w:space="0" w:color="auto"/>
            </w:tcBorders>
            <w:shd w:val="clear" w:color="auto" w:fill="auto"/>
            <w:vAlign w:val="center"/>
            <w:hideMark/>
          </w:tcPr>
          <w:p w14:paraId="6128D749"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74472366"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8A5911F" w14:textId="77777777" w:rsidR="00E00F73" w:rsidRPr="00DB4921" w:rsidRDefault="00E00F73" w:rsidP="00CE5EBA">
            <w:pPr>
              <w:rPr>
                <w:color w:val="000000"/>
                <w:sz w:val="20"/>
                <w:szCs w:val="20"/>
              </w:rPr>
            </w:pPr>
            <w:r w:rsidRPr="00DB4921">
              <w:rPr>
                <w:color w:val="000000"/>
                <w:sz w:val="20"/>
                <w:szCs w:val="20"/>
              </w:rPr>
              <w:t>L. Loyer et dépenses connexes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2BD2C66" w14:textId="77777777" w:rsidR="00E00F73" w:rsidRPr="00DB4921" w:rsidRDefault="00E00F73" w:rsidP="00CE5EBA">
            <w:pPr>
              <w:jc w:val="right"/>
              <w:rPr>
                <w:color w:val="000000"/>
                <w:sz w:val="20"/>
                <w:szCs w:val="20"/>
              </w:rPr>
            </w:pPr>
            <w:r w:rsidRPr="00DB4921">
              <w:rPr>
                <w:color w:val="000000"/>
                <w:sz w:val="20"/>
                <w:szCs w:val="20"/>
              </w:rPr>
              <w:t>2 652,9</w:t>
            </w:r>
          </w:p>
        </w:tc>
        <w:tc>
          <w:tcPr>
            <w:tcW w:w="1550" w:type="dxa"/>
            <w:tcBorders>
              <w:top w:val="nil"/>
              <w:left w:val="nil"/>
              <w:bottom w:val="single" w:sz="4" w:space="0" w:color="auto"/>
              <w:right w:val="single" w:sz="4" w:space="0" w:color="auto"/>
            </w:tcBorders>
            <w:shd w:val="clear" w:color="auto" w:fill="auto"/>
            <w:vAlign w:val="center"/>
            <w:hideMark/>
          </w:tcPr>
          <w:p w14:paraId="0E5D329A" w14:textId="77777777" w:rsidR="00E00F73" w:rsidRPr="00DB4921" w:rsidRDefault="00E00F73" w:rsidP="00CE5EBA">
            <w:pPr>
              <w:jc w:val="right"/>
              <w:rPr>
                <w:color w:val="000000"/>
                <w:sz w:val="20"/>
                <w:szCs w:val="20"/>
              </w:rPr>
            </w:pPr>
            <w:r w:rsidRPr="00DB4921">
              <w:rPr>
                <w:color w:val="000000"/>
                <w:sz w:val="20"/>
                <w:szCs w:val="20"/>
              </w:rPr>
              <w:t>2 652,9</w:t>
            </w:r>
          </w:p>
        </w:tc>
        <w:tc>
          <w:tcPr>
            <w:tcW w:w="1198" w:type="dxa"/>
            <w:tcBorders>
              <w:top w:val="nil"/>
              <w:left w:val="nil"/>
              <w:bottom w:val="single" w:sz="4" w:space="0" w:color="auto"/>
              <w:right w:val="single" w:sz="4" w:space="0" w:color="auto"/>
            </w:tcBorders>
            <w:shd w:val="clear" w:color="auto" w:fill="auto"/>
            <w:vAlign w:val="center"/>
            <w:hideMark/>
          </w:tcPr>
          <w:p w14:paraId="286B06DA"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2CF2A8EC"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5C962243"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825ECB3" w14:textId="77777777" w:rsidR="00E00F73" w:rsidRPr="00DB4921" w:rsidRDefault="00E00F73" w:rsidP="00CE5EBA">
            <w:pPr>
              <w:rPr>
                <w:color w:val="000000"/>
                <w:sz w:val="20"/>
                <w:szCs w:val="20"/>
              </w:rPr>
            </w:pPr>
            <w:r w:rsidRPr="00DB4921">
              <w:rPr>
                <w:color w:val="000000"/>
                <w:sz w:val="20"/>
                <w:szCs w:val="20"/>
              </w:rPr>
              <w:t>M. Frais généraux de fonctionnement</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1F6778E" w14:textId="77777777" w:rsidR="00E00F73" w:rsidRPr="00DB4921" w:rsidRDefault="00E00F73" w:rsidP="00CE5EBA">
            <w:pPr>
              <w:jc w:val="right"/>
              <w:rPr>
                <w:color w:val="000000"/>
                <w:sz w:val="20"/>
                <w:szCs w:val="20"/>
              </w:rPr>
            </w:pPr>
            <w:r w:rsidRPr="00DB4921">
              <w:rPr>
                <w:color w:val="000000"/>
                <w:sz w:val="20"/>
                <w:szCs w:val="20"/>
              </w:rPr>
              <w:t>1 453,2</w:t>
            </w:r>
          </w:p>
        </w:tc>
        <w:tc>
          <w:tcPr>
            <w:tcW w:w="1550" w:type="dxa"/>
            <w:tcBorders>
              <w:top w:val="nil"/>
              <w:left w:val="nil"/>
              <w:bottom w:val="single" w:sz="4" w:space="0" w:color="auto"/>
              <w:right w:val="single" w:sz="4" w:space="0" w:color="auto"/>
            </w:tcBorders>
            <w:shd w:val="clear" w:color="auto" w:fill="auto"/>
            <w:vAlign w:val="center"/>
            <w:hideMark/>
          </w:tcPr>
          <w:p w14:paraId="375544F9" w14:textId="77777777" w:rsidR="00E00F73" w:rsidRPr="00DB4921" w:rsidRDefault="00E00F73" w:rsidP="00CE5EBA">
            <w:pPr>
              <w:jc w:val="right"/>
              <w:rPr>
                <w:color w:val="000000"/>
                <w:sz w:val="20"/>
                <w:szCs w:val="20"/>
              </w:rPr>
            </w:pPr>
            <w:r w:rsidRPr="00DB4921">
              <w:rPr>
                <w:color w:val="000000"/>
                <w:sz w:val="20"/>
                <w:szCs w:val="20"/>
              </w:rPr>
              <w:t>1 453,2</w:t>
            </w:r>
          </w:p>
        </w:tc>
        <w:tc>
          <w:tcPr>
            <w:tcW w:w="1198" w:type="dxa"/>
            <w:tcBorders>
              <w:top w:val="nil"/>
              <w:left w:val="nil"/>
              <w:bottom w:val="single" w:sz="4" w:space="0" w:color="auto"/>
              <w:right w:val="single" w:sz="4" w:space="0" w:color="auto"/>
            </w:tcBorders>
            <w:shd w:val="clear" w:color="auto" w:fill="auto"/>
            <w:vAlign w:val="center"/>
            <w:hideMark/>
          </w:tcPr>
          <w:p w14:paraId="5D43DBBF" w14:textId="77777777" w:rsidR="00E00F73" w:rsidRPr="00DB4921" w:rsidRDefault="00E00F73" w:rsidP="00CE5EBA">
            <w:pPr>
              <w:jc w:val="right"/>
              <w:rPr>
                <w:color w:val="000000"/>
                <w:sz w:val="20"/>
                <w:szCs w:val="20"/>
              </w:rPr>
            </w:pPr>
            <w:r w:rsidRPr="00DB4921">
              <w:rPr>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0F521FAE" w14:textId="77777777" w:rsidR="00E00F73" w:rsidRPr="00DB4921" w:rsidRDefault="00E00F73" w:rsidP="00CE5EBA">
            <w:pPr>
              <w:jc w:val="right"/>
              <w:rPr>
                <w:color w:val="000000"/>
                <w:sz w:val="20"/>
                <w:szCs w:val="20"/>
              </w:rPr>
            </w:pPr>
            <w:r w:rsidRPr="00DB4921">
              <w:rPr>
                <w:color w:val="000000"/>
                <w:sz w:val="20"/>
                <w:szCs w:val="20"/>
              </w:rPr>
              <w:t> </w:t>
            </w:r>
          </w:p>
        </w:tc>
      </w:tr>
      <w:tr w:rsidR="00E00F73" w:rsidRPr="0069383A" w14:paraId="195F2D19"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6AD4C32" w14:textId="77777777" w:rsidR="00E00F73" w:rsidRPr="00DB4921" w:rsidRDefault="00E00F73" w:rsidP="00CE5EBA">
            <w:pPr>
              <w:rPr>
                <w:b/>
                <w:color w:val="000000"/>
                <w:sz w:val="20"/>
                <w:szCs w:val="20"/>
              </w:rPr>
            </w:pPr>
            <w:r w:rsidRPr="00DB4921">
              <w:rPr>
                <w:b/>
                <w:color w:val="000000"/>
                <w:sz w:val="20"/>
                <w:szCs w:val="20"/>
              </w:rPr>
              <w:t>Sous-total (I)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4150C433" w14:textId="77777777" w:rsidR="00E00F73" w:rsidRPr="00DB4921" w:rsidRDefault="00E00F73" w:rsidP="00CE5EBA">
            <w:pPr>
              <w:jc w:val="right"/>
              <w:rPr>
                <w:b/>
                <w:bCs/>
                <w:color w:val="000000"/>
                <w:sz w:val="20"/>
                <w:szCs w:val="20"/>
              </w:rPr>
            </w:pPr>
            <w:r w:rsidRPr="00DB4921">
              <w:rPr>
                <w:b/>
                <w:bCs/>
                <w:color w:val="000000"/>
                <w:sz w:val="20"/>
                <w:szCs w:val="20"/>
              </w:rPr>
              <w:t>34 209,6</w:t>
            </w:r>
          </w:p>
        </w:tc>
        <w:tc>
          <w:tcPr>
            <w:tcW w:w="1550" w:type="dxa"/>
            <w:tcBorders>
              <w:top w:val="nil"/>
              <w:left w:val="nil"/>
              <w:bottom w:val="single" w:sz="4" w:space="0" w:color="auto"/>
              <w:right w:val="single" w:sz="4" w:space="0" w:color="auto"/>
            </w:tcBorders>
            <w:shd w:val="clear" w:color="auto" w:fill="auto"/>
            <w:vAlign w:val="center"/>
            <w:hideMark/>
          </w:tcPr>
          <w:p w14:paraId="5283AE8B" w14:textId="77777777" w:rsidR="00E00F73" w:rsidRPr="00DB4921" w:rsidRDefault="00E00F73" w:rsidP="00CE5EBA">
            <w:pPr>
              <w:jc w:val="right"/>
              <w:rPr>
                <w:b/>
                <w:bCs/>
                <w:color w:val="000000"/>
                <w:sz w:val="20"/>
                <w:szCs w:val="20"/>
              </w:rPr>
            </w:pPr>
            <w:r w:rsidRPr="00DB4921">
              <w:rPr>
                <w:b/>
                <w:bCs/>
                <w:color w:val="000000"/>
                <w:sz w:val="20"/>
                <w:szCs w:val="20"/>
              </w:rPr>
              <w:t>27 532,2</w:t>
            </w:r>
          </w:p>
        </w:tc>
        <w:tc>
          <w:tcPr>
            <w:tcW w:w="1198" w:type="dxa"/>
            <w:tcBorders>
              <w:top w:val="nil"/>
              <w:left w:val="nil"/>
              <w:bottom w:val="single" w:sz="4" w:space="0" w:color="auto"/>
              <w:right w:val="single" w:sz="4" w:space="0" w:color="auto"/>
            </w:tcBorders>
            <w:shd w:val="clear" w:color="auto" w:fill="auto"/>
            <w:vAlign w:val="center"/>
            <w:hideMark/>
          </w:tcPr>
          <w:p w14:paraId="20CBF86B" w14:textId="77777777" w:rsidR="00E00F73" w:rsidRPr="00DB4921" w:rsidRDefault="00E00F73" w:rsidP="00CE5EBA">
            <w:pPr>
              <w:jc w:val="right"/>
              <w:rPr>
                <w:b/>
                <w:bCs/>
                <w:color w:val="000000"/>
                <w:sz w:val="20"/>
                <w:szCs w:val="20"/>
              </w:rPr>
            </w:pPr>
            <w:r w:rsidRPr="00DB4921">
              <w:rPr>
                <w:b/>
                <w:bCs/>
                <w:color w:val="000000"/>
                <w:sz w:val="20"/>
                <w:szCs w:val="20"/>
              </w:rPr>
              <w:t>3 367,2</w:t>
            </w:r>
          </w:p>
        </w:tc>
        <w:tc>
          <w:tcPr>
            <w:tcW w:w="897" w:type="dxa"/>
            <w:tcBorders>
              <w:top w:val="nil"/>
              <w:left w:val="nil"/>
              <w:bottom w:val="single" w:sz="4" w:space="0" w:color="auto"/>
              <w:right w:val="single" w:sz="4" w:space="0" w:color="auto"/>
            </w:tcBorders>
            <w:shd w:val="clear" w:color="auto" w:fill="auto"/>
            <w:vAlign w:val="center"/>
            <w:hideMark/>
          </w:tcPr>
          <w:p w14:paraId="4C05E641" w14:textId="77777777" w:rsidR="00E00F73" w:rsidRPr="00DB4921" w:rsidRDefault="00E00F73" w:rsidP="00CE5EBA">
            <w:pPr>
              <w:jc w:val="right"/>
              <w:rPr>
                <w:b/>
                <w:bCs/>
                <w:color w:val="000000"/>
                <w:sz w:val="20"/>
                <w:szCs w:val="20"/>
              </w:rPr>
            </w:pPr>
            <w:r w:rsidRPr="00DB4921">
              <w:rPr>
                <w:b/>
                <w:bCs/>
                <w:color w:val="000000"/>
                <w:sz w:val="20"/>
                <w:szCs w:val="20"/>
              </w:rPr>
              <w:t>3 307,2</w:t>
            </w:r>
          </w:p>
        </w:tc>
      </w:tr>
      <w:tr w:rsidR="00E00F73" w:rsidRPr="0069383A" w14:paraId="6760D087"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351D79E" w14:textId="77777777" w:rsidR="00E00F73" w:rsidRPr="00DB4921" w:rsidRDefault="00E00F73" w:rsidP="00CE5EBA">
            <w:pPr>
              <w:rPr>
                <w:b/>
                <w:color w:val="000000"/>
                <w:sz w:val="20"/>
                <w:szCs w:val="20"/>
              </w:rPr>
            </w:pPr>
            <w:r w:rsidRPr="00DB4921">
              <w:rPr>
                <w:b/>
                <w:color w:val="000000"/>
                <w:sz w:val="20"/>
                <w:szCs w:val="20"/>
              </w:rPr>
              <w:t>II. Dépenses d’appui au programme (13%)</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5C9C9CD" w14:textId="77777777" w:rsidR="00E00F73" w:rsidRPr="00DB4921" w:rsidRDefault="00E00F73" w:rsidP="00CE5EBA">
            <w:pPr>
              <w:jc w:val="right"/>
              <w:rPr>
                <w:color w:val="000000"/>
                <w:sz w:val="20"/>
                <w:szCs w:val="20"/>
              </w:rPr>
            </w:pPr>
            <w:r w:rsidRPr="00DB4921">
              <w:rPr>
                <w:color w:val="000000"/>
                <w:sz w:val="20"/>
                <w:szCs w:val="20"/>
              </w:rPr>
              <w:t>4 447,2</w:t>
            </w:r>
          </w:p>
        </w:tc>
        <w:tc>
          <w:tcPr>
            <w:tcW w:w="1550" w:type="dxa"/>
            <w:tcBorders>
              <w:top w:val="nil"/>
              <w:left w:val="nil"/>
              <w:bottom w:val="single" w:sz="4" w:space="0" w:color="auto"/>
              <w:right w:val="single" w:sz="4" w:space="0" w:color="auto"/>
            </w:tcBorders>
            <w:shd w:val="clear" w:color="auto" w:fill="auto"/>
            <w:vAlign w:val="center"/>
            <w:hideMark/>
          </w:tcPr>
          <w:p w14:paraId="494F8B9F" w14:textId="77777777" w:rsidR="00E00F73" w:rsidRPr="00DB4921" w:rsidRDefault="00E00F73" w:rsidP="00CE5EBA">
            <w:pPr>
              <w:jc w:val="right"/>
              <w:rPr>
                <w:color w:val="000000"/>
                <w:sz w:val="20"/>
                <w:szCs w:val="20"/>
              </w:rPr>
            </w:pPr>
            <w:r w:rsidRPr="00DB4921">
              <w:rPr>
                <w:color w:val="000000"/>
                <w:sz w:val="20"/>
                <w:szCs w:val="20"/>
              </w:rPr>
              <w:t>3 579,6</w:t>
            </w:r>
          </w:p>
        </w:tc>
        <w:tc>
          <w:tcPr>
            <w:tcW w:w="1198" w:type="dxa"/>
            <w:tcBorders>
              <w:top w:val="nil"/>
              <w:left w:val="nil"/>
              <w:bottom w:val="single" w:sz="4" w:space="0" w:color="auto"/>
              <w:right w:val="single" w:sz="4" w:space="0" w:color="auto"/>
            </w:tcBorders>
            <w:shd w:val="clear" w:color="auto" w:fill="auto"/>
            <w:vAlign w:val="center"/>
            <w:hideMark/>
          </w:tcPr>
          <w:p w14:paraId="0BAC3DEA" w14:textId="77777777" w:rsidR="00E00F73" w:rsidRPr="00DB4921" w:rsidRDefault="00E00F73" w:rsidP="00CE5EBA">
            <w:pPr>
              <w:jc w:val="right"/>
              <w:rPr>
                <w:color w:val="000000"/>
                <w:sz w:val="20"/>
                <w:szCs w:val="20"/>
              </w:rPr>
            </w:pPr>
            <w:r w:rsidRPr="00DB4921">
              <w:rPr>
                <w:color w:val="000000"/>
                <w:sz w:val="20"/>
                <w:szCs w:val="20"/>
              </w:rPr>
              <w:t>437,7</w:t>
            </w:r>
          </w:p>
        </w:tc>
        <w:tc>
          <w:tcPr>
            <w:tcW w:w="897" w:type="dxa"/>
            <w:tcBorders>
              <w:top w:val="nil"/>
              <w:left w:val="nil"/>
              <w:bottom w:val="single" w:sz="4" w:space="0" w:color="auto"/>
              <w:right w:val="single" w:sz="4" w:space="0" w:color="auto"/>
            </w:tcBorders>
            <w:shd w:val="clear" w:color="auto" w:fill="auto"/>
            <w:vAlign w:val="center"/>
            <w:hideMark/>
          </w:tcPr>
          <w:p w14:paraId="69CFE3BE" w14:textId="77777777" w:rsidR="00E00F73" w:rsidRPr="00DB4921" w:rsidRDefault="00E00F73" w:rsidP="00CE5EBA">
            <w:pPr>
              <w:jc w:val="right"/>
              <w:rPr>
                <w:color w:val="000000"/>
                <w:sz w:val="20"/>
                <w:szCs w:val="20"/>
              </w:rPr>
            </w:pPr>
            <w:r w:rsidRPr="00DB4921">
              <w:rPr>
                <w:color w:val="000000"/>
                <w:sz w:val="20"/>
                <w:szCs w:val="20"/>
              </w:rPr>
              <w:t>429,9</w:t>
            </w:r>
          </w:p>
        </w:tc>
      </w:tr>
      <w:tr w:rsidR="00E00F73" w:rsidRPr="0069383A" w14:paraId="2E521C93"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82CC973" w14:textId="77777777" w:rsidR="00E00F73" w:rsidRPr="00DB4921" w:rsidRDefault="00E00F73" w:rsidP="00CE5EBA">
            <w:pPr>
              <w:rPr>
                <w:b/>
                <w:color w:val="000000"/>
                <w:sz w:val="20"/>
                <w:szCs w:val="20"/>
              </w:rPr>
            </w:pPr>
            <w:r w:rsidRPr="00DB4921">
              <w:rPr>
                <w:b/>
                <w:color w:val="000000"/>
                <w:sz w:val="20"/>
                <w:szCs w:val="20"/>
              </w:rPr>
              <w:t>Sous-total (I + II)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393904AA" w14:textId="77777777" w:rsidR="00E00F73" w:rsidRPr="00DB4921" w:rsidRDefault="00E00F73" w:rsidP="00CE5EBA">
            <w:pPr>
              <w:jc w:val="right"/>
              <w:rPr>
                <w:b/>
                <w:bCs/>
                <w:color w:val="000000"/>
                <w:sz w:val="20"/>
                <w:szCs w:val="20"/>
              </w:rPr>
            </w:pPr>
            <w:r w:rsidRPr="00DB4921">
              <w:rPr>
                <w:b/>
                <w:bCs/>
                <w:color w:val="000000"/>
                <w:sz w:val="20"/>
                <w:szCs w:val="20"/>
              </w:rPr>
              <w:t>38 656,8</w:t>
            </w:r>
          </w:p>
        </w:tc>
        <w:tc>
          <w:tcPr>
            <w:tcW w:w="1550" w:type="dxa"/>
            <w:tcBorders>
              <w:top w:val="nil"/>
              <w:left w:val="nil"/>
              <w:bottom w:val="single" w:sz="4" w:space="0" w:color="auto"/>
              <w:right w:val="single" w:sz="4" w:space="0" w:color="auto"/>
            </w:tcBorders>
            <w:shd w:val="clear" w:color="auto" w:fill="auto"/>
            <w:vAlign w:val="center"/>
            <w:hideMark/>
          </w:tcPr>
          <w:p w14:paraId="5B74B6F6" w14:textId="77777777" w:rsidR="00E00F73" w:rsidRPr="00DB4921" w:rsidRDefault="00E00F73" w:rsidP="00CE5EBA">
            <w:pPr>
              <w:jc w:val="right"/>
              <w:rPr>
                <w:b/>
                <w:bCs/>
                <w:color w:val="000000"/>
                <w:sz w:val="20"/>
                <w:szCs w:val="20"/>
              </w:rPr>
            </w:pPr>
            <w:r w:rsidRPr="00DB4921">
              <w:rPr>
                <w:b/>
                <w:bCs/>
                <w:color w:val="000000"/>
                <w:sz w:val="20"/>
                <w:szCs w:val="20"/>
              </w:rPr>
              <w:t>31 114,8</w:t>
            </w:r>
          </w:p>
        </w:tc>
        <w:tc>
          <w:tcPr>
            <w:tcW w:w="1198" w:type="dxa"/>
            <w:tcBorders>
              <w:top w:val="nil"/>
              <w:left w:val="nil"/>
              <w:bottom w:val="single" w:sz="4" w:space="0" w:color="auto"/>
              <w:right w:val="single" w:sz="4" w:space="0" w:color="auto"/>
            </w:tcBorders>
            <w:shd w:val="clear" w:color="auto" w:fill="auto"/>
            <w:vAlign w:val="center"/>
            <w:hideMark/>
          </w:tcPr>
          <w:p w14:paraId="279BE6F7" w14:textId="77777777" w:rsidR="00E00F73" w:rsidRPr="00DB4921" w:rsidRDefault="00E00F73" w:rsidP="00CE5EBA">
            <w:pPr>
              <w:jc w:val="right"/>
              <w:rPr>
                <w:b/>
                <w:bCs/>
                <w:color w:val="000000"/>
                <w:sz w:val="20"/>
                <w:szCs w:val="20"/>
              </w:rPr>
            </w:pPr>
            <w:r w:rsidRPr="00DB4921">
              <w:rPr>
                <w:b/>
                <w:bCs/>
                <w:color w:val="000000"/>
                <w:sz w:val="20"/>
                <w:szCs w:val="20"/>
              </w:rPr>
              <w:t>3 804,9</w:t>
            </w:r>
          </w:p>
        </w:tc>
        <w:tc>
          <w:tcPr>
            <w:tcW w:w="897" w:type="dxa"/>
            <w:tcBorders>
              <w:top w:val="nil"/>
              <w:left w:val="nil"/>
              <w:bottom w:val="single" w:sz="4" w:space="0" w:color="auto"/>
              <w:right w:val="single" w:sz="4" w:space="0" w:color="auto"/>
            </w:tcBorders>
            <w:shd w:val="clear" w:color="auto" w:fill="auto"/>
            <w:vAlign w:val="center"/>
            <w:hideMark/>
          </w:tcPr>
          <w:p w14:paraId="22F86547" w14:textId="77777777" w:rsidR="00E00F73" w:rsidRPr="00DB4921" w:rsidRDefault="00E00F73" w:rsidP="00CE5EBA">
            <w:pPr>
              <w:jc w:val="right"/>
              <w:rPr>
                <w:b/>
                <w:bCs/>
                <w:color w:val="000000"/>
                <w:sz w:val="20"/>
                <w:szCs w:val="20"/>
              </w:rPr>
            </w:pPr>
            <w:r w:rsidRPr="00DB4921">
              <w:rPr>
                <w:b/>
                <w:bCs/>
                <w:color w:val="000000"/>
                <w:sz w:val="20"/>
                <w:szCs w:val="20"/>
              </w:rPr>
              <w:t>3 737,1</w:t>
            </w:r>
          </w:p>
        </w:tc>
      </w:tr>
      <w:tr w:rsidR="00E00F73" w:rsidRPr="0069383A" w14:paraId="6B5E50D7" w14:textId="77777777" w:rsidTr="00CE5EBA">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F1F0DB1" w14:textId="77777777" w:rsidR="00E00F73" w:rsidRPr="00DB4921" w:rsidRDefault="00E00F73" w:rsidP="00CE5EBA">
            <w:pPr>
              <w:rPr>
                <w:b/>
                <w:color w:val="000000"/>
                <w:sz w:val="20"/>
                <w:szCs w:val="20"/>
              </w:rPr>
            </w:pPr>
            <w:r w:rsidRPr="00DB4921">
              <w:rPr>
                <w:b/>
                <w:color w:val="000000"/>
                <w:sz w:val="20"/>
                <w:szCs w:val="20"/>
              </w:rPr>
              <w:t xml:space="preserve">III. Réserve de trésorerie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55D146C" w14:textId="77777777" w:rsidR="00E00F73" w:rsidRPr="00DB4921" w:rsidRDefault="00E00F73" w:rsidP="00CE5EBA">
            <w:pPr>
              <w:jc w:val="right"/>
              <w:rPr>
                <w:color w:val="000000"/>
                <w:sz w:val="20"/>
                <w:szCs w:val="20"/>
              </w:rPr>
            </w:pPr>
            <w:r w:rsidRPr="00DB4921">
              <w:rPr>
                <w:color w:val="000000"/>
                <w:sz w:val="20"/>
                <w:szCs w:val="20"/>
              </w:rPr>
              <w:t>187,3</w:t>
            </w:r>
          </w:p>
        </w:tc>
        <w:tc>
          <w:tcPr>
            <w:tcW w:w="1550" w:type="dxa"/>
            <w:tcBorders>
              <w:top w:val="nil"/>
              <w:left w:val="nil"/>
              <w:bottom w:val="single" w:sz="4" w:space="0" w:color="auto"/>
              <w:right w:val="single" w:sz="4" w:space="0" w:color="auto"/>
            </w:tcBorders>
            <w:shd w:val="clear" w:color="auto" w:fill="auto"/>
            <w:vAlign w:val="center"/>
            <w:hideMark/>
          </w:tcPr>
          <w:p w14:paraId="5EE533E5" w14:textId="77777777" w:rsidR="00E00F73" w:rsidRPr="00DB4921" w:rsidRDefault="00E00F73" w:rsidP="00CE5EBA">
            <w:pPr>
              <w:jc w:val="right"/>
              <w:rPr>
                <w:color w:val="000000"/>
                <w:sz w:val="20"/>
                <w:szCs w:val="20"/>
              </w:rPr>
            </w:pPr>
            <w:r w:rsidRPr="00DB4921">
              <w:rPr>
                <w:color w:val="000000"/>
                <w:sz w:val="20"/>
                <w:szCs w:val="20"/>
              </w:rPr>
              <w:t>187,3</w:t>
            </w:r>
          </w:p>
        </w:tc>
        <w:tc>
          <w:tcPr>
            <w:tcW w:w="1198" w:type="dxa"/>
            <w:tcBorders>
              <w:top w:val="nil"/>
              <w:left w:val="nil"/>
              <w:bottom w:val="single" w:sz="4" w:space="0" w:color="auto"/>
              <w:right w:val="single" w:sz="4" w:space="0" w:color="auto"/>
            </w:tcBorders>
            <w:shd w:val="clear" w:color="auto" w:fill="auto"/>
            <w:vAlign w:val="center"/>
            <w:hideMark/>
          </w:tcPr>
          <w:p w14:paraId="1A04CF08" w14:textId="77777777" w:rsidR="00E00F73" w:rsidRPr="00DB4921" w:rsidRDefault="00E00F73" w:rsidP="00CE5EBA">
            <w:pPr>
              <w:jc w:val="right"/>
              <w:rPr>
                <w:b/>
                <w:bCs/>
                <w:color w:val="000000"/>
                <w:sz w:val="20"/>
                <w:szCs w:val="20"/>
              </w:rPr>
            </w:pPr>
            <w:r w:rsidRPr="00DB4921">
              <w:rPr>
                <w:b/>
                <w:bCs/>
                <w:color w:val="000000"/>
                <w:sz w:val="20"/>
                <w:szCs w:val="20"/>
              </w:rPr>
              <w:t> </w:t>
            </w:r>
          </w:p>
        </w:tc>
        <w:tc>
          <w:tcPr>
            <w:tcW w:w="897" w:type="dxa"/>
            <w:tcBorders>
              <w:top w:val="nil"/>
              <w:left w:val="nil"/>
              <w:bottom w:val="single" w:sz="4" w:space="0" w:color="auto"/>
              <w:right w:val="single" w:sz="4" w:space="0" w:color="auto"/>
            </w:tcBorders>
            <w:shd w:val="clear" w:color="auto" w:fill="auto"/>
            <w:vAlign w:val="center"/>
            <w:hideMark/>
          </w:tcPr>
          <w:p w14:paraId="45871C87" w14:textId="77777777" w:rsidR="00E00F73" w:rsidRPr="00DB4921" w:rsidRDefault="00E00F73" w:rsidP="00CE5EBA">
            <w:pPr>
              <w:jc w:val="right"/>
              <w:rPr>
                <w:b/>
                <w:bCs/>
                <w:color w:val="000000"/>
                <w:sz w:val="20"/>
                <w:szCs w:val="20"/>
              </w:rPr>
            </w:pPr>
            <w:r w:rsidRPr="00DB4921">
              <w:rPr>
                <w:b/>
                <w:bCs/>
                <w:color w:val="000000"/>
                <w:sz w:val="20"/>
                <w:szCs w:val="20"/>
              </w:rPr>
              <w:t> </w:t>
            </w:r>
          </w:p>
        </w:tc>
      </w:tr>
      <w:tr w:rsidR="00E00F73" w:rsidRPr="0069383A" w14:paraId="790DB695" w14:textId="77777777" w:rsidTr="00CE5EBA">
        <w:trPr>
          <w:trHeight w:val="319"/>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1C50343B" w14:textId="77777777" w:rsidR="00E00F73" w:rsidRPr="00DB4921" w:rsidRDefault="00E00F73" w:rsidP="00CE5EBA">
            <w:pPr>
              <w:rPr>
                <w:b/>
                <w:color w:val="000000"/>
                <w:sz w:val="20"/>
                <w:szCs w:val="20"/>
              </w:rPr>
            </w:pPr>
            <w:r w:rsidRPr="00DB4921">
              <w:rPr>
                <w:b/>
                <w:color w:val="000000"/>
                <w:sz w:val="20"/>
                <w:szCs w:val="20"/>
              </w:rPr>
              <w:t>Total (I + II + II)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0731B" w14:textId="77777777" w:rsidR="00E00F73" w:rsidRPr="00DB4921" w:rsidRDefault="00E00F73" w:rsidP="00CE5EBA">
            <w:pPr>
              <w:jc w:val="right"/>
              <w:rPr>
                <w:b/>
                <w:bCs/>
                <w:color w:val="000000"/>
                <w:sz w:val="20"/>
                <w:szCs w:val="20"/>
              </w:rPr>
            </w:pPr>
            <w:r w:rsidRPr="00DB4921">
              <w:rPr>
                <w:b/>
                <w:bCs/>
                <w:color w:val="000000"/>
                <w:sz w:val="20"/>
                <w:szCs w:val="20"/>
              </w:rPr>
              <w:t>38 844,1</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627CAB13" w14:textId="77777777" w:rsidR="00E00F73" w:rsidRPr="00DB4921" w:rsidRDefault="00E00F73" w:rsidP="00CE5EBA">
            <w:pPr>
              <w:jc w:val="right"/>
              <w:rPr>
                <w:b/>
                <w:bCs/>
                <w:color w:val="000000"/>
                <w:sz w:val="20"/>
                <w:szCs w:val="20"/>
              </w:rPr>
            </w:pPr>
            <w:r w:rsidRPr="00DB4921">
              <w:rPr>
                <w:b/>
                <w:bCs/>
                <w:color w:val="000000"/>
                <w:sz w:val="20"/>
                <w:szCs w:val="20"/>
              </w:rPr>
              <w:t>31 302,1</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63BBD0B1" w14:textId="77777777" w:rsidR="00E00F73" w:rsidRPr="00DB4921" w:rsidRDefault="00E00F73" w:rsidP="00CE5EBA">
            <w:pPr>
              <w:jc w:val="right"/>
              <w:rPr>
                <w:b/>
                <w:bCs/>
                <w:color w:val="000000"/>
                <w:sz w:val="20"/>
                <w:szCs w:val="20"/>
              </w:rPr>
            </w:pPr>
            <w:r w:rsidRPr="00DB4921">
              <w:rPr>
                <w:b/>
                <w:bCs/>
                <w:color w:val="000000"/>
                <w:sz w:val="20"/>
                <w:szCs w:val="20"/>
              </w:rPr>
              <w:t>3 804,9</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3741F982" w14:textId="77777777" w:rsidR="00E00F73" w:rsidRPr="00DB4921" w:rsidRDefault="00E00F73" w:rsidP="00CE5EBA">
            <w:pPr>
              <w:jc w:val="right"/>
              <w:rPr>
                <w:b/>
                <w:bCs/>
                <w:color w:val="000000"/>
                <w:sz w:val="20"/>
                <w:szCs w:val="20"/>
              </w:rPr>
            </w:pPr>
            <w:r w:rsidRPr="00DB4921">
              <w:rPr>
                <w:b/>
                <w:bCs/>
                <w:color w:val="000000"/>
                <w:sz w:val="20"/>
                <w:szCs w:val="20"/>
              </w:rPr>
              <w:t>3 737,1</w:t>
            </w:r>
          </w:p>
        </w:tc>
      </w:tr>
      <w:tr w:rsidR="00E00F73" w:rsidRPr="0069383A" w14:paraId="455FFA5B" w14:textId="77777777" w:rsidTr="00CE5EBA">
        <w:trPr>
          <w:trHeight w:val="319"/>
        </w:trPr>
        <w:tc>
          <w:tcPr>
            <w:tcW w:w="4682" w:type="dxa"/>
            <w:tcBorders>
              <w:top w:val="single" w:sz="4" w:space="0" w:color="auto"/>
              <w:left w:val="single" w:sz="4" w:space="0" w:color="auto"/>
              <w:bottom w:val="single" w:sz="4" w:space="0" w:color="auto"/>
              <w:right w:val="nil"/>
            </w:tcBorders>
            <w:shd w:val="clear" w:color="auto" w:fill="auto"/>
            <w:vAlign w:val="center"/>
          </w:tcPr>
          <w:p w14:paraId="1E22617A" w14:textId="77777777" w:rsidR="00E00F73" w:rsidRPr="00DB4921" w:rsidRDefault="00E00F73" w:rsidP="00CE5EBA">
            <w:pPr>
              <w:rPr>
                <w:b/>
                <w:bCs/>
                <w:color w:val="000000"/>
                <w:sz w:val="20"/>
                <w:szCs w:val="20"/>
              </w:rPr>
            </w:pPr>
            <w:r w:rsidRPr="00DB4921">
              <w:rPr>
                <w:b/>
                <w:bCs/>
                <w:color w:val="000000"/>
                <w:sz w:val="20"/>
                <w:szCs w:val="20"/>
              </w:rPr>
              <w:t>Part de la Convention (74%)</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280235CD" w14:textId="77777777" w:rsidR="00E00F73" w:rsidRPr="00DB4921" w:rsidRDefault="00E00F73" w:rsidP="00CE5EBA">
            <w:pPr>
              <w:jc w:val="right"/>
              <w:rPr>
                <w:b/>
                <w:bCs/>
                <w:color w:val="000000"/>
                <w:sz w:val="20"/>
                <w:szCs w:val="20"/>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77D6C0F3" w14:textId="77777777" w:rsidR="00E00F73" w:rsidRPr="00DB4921" w:rsidRDefault="00E00F73" w:rsidP="00CE5EBA">
            <w:pPr>
              <w:jc w:val="right"/>
              <w:rPr>
                <w:b/>
                <w:bCs/>
                <w:color w:val="000000"/>
                <w:sz w:val="20"/>
                <w:szCs w:val="20"/>
              </w:rPr>
            </w:pPr>
          </w:p>
        </w:tc>
        <w:tc>
          <w:tcPr>
            <w:tcW w:w="1198" w:type="dxa"/>
            <w:tcBorders>
              <w:top w:val="single" w:sz="4" w:space="0" w:color="auto"/>
              <w:left w:val="nil"/>
              <w:bottom w:val="single" w:sz="4" w:space="0" w:color="auto"/>
              <w:right w:val="single" w:sz="4" w:space="0" w:color="auto"/>
            </w:tcBorders>
            <w:shd w:val="clear" w:color="auto" w:fill="auto"/>
            <w:vAlign w:val="center"/>
          </w:tcPr>
          <w:p w14:paraId="04B5356C" w14:textId="60AF691B" w:rsidR="00E00F73" w:rsidRPr="00DB4921" w:rsidRDefault="00E00F73" w:rsidP="00CE5EBA">
            <w:pPr>
              <w:jc w:val="right"/>
              <w:rPr>
                <w:b/>
                <w:bCs/>
                <w:color w:val="000000"/>
                <w:sz w:val="20"/>
                <w:szCs w:val="20"/>
              </w:rPr>
            </w:pPr>
            <w:r w:rsidRPr="00DB4921">
              <w:rPr>
                <w:b/>
                <w:bCs/>
                <w:color w:val="000000"/>
                <w:sz w:val="20"/>
                <w:szCs w:val="20"/>
              </w:rPr>
              <w:t>2 815,6</w:t>
            </w:r>
          </w:p>
        </w:tc>
        <w:tc>
          <w:tcPr>
            <w:tcW w:w="897" w:type="dxa"/>
            <w:tcBorders>
              <w:top w:val="single" w:sz="4" w:space="0" w:color="auto"/>
              <w:left w:val="nil"/>
              <w:bottom w:val="single" w:sz="4" w:space="0" w:color="auto"/>
              <w:right w:val="single" w:sz="4" w:space="0" w:color="auto"/>
            </w:tcBorders>
            <w:shd w:val="clear" w:color="auto" w:fill="auto"/>
            <w:vAlign w:val="center"/>
          </w:tcPr>
          <w:p w14:paraId="36CF2F8D" w14:textId="77777777" w:rsidR="00E00F73" w:rsidRPr="00DB4921" w:rsidRDefault="00E00F73" w:rsidP="00CE5EBA">
            <w:pPr>
              <w:jc w:val="right"/>
              <w:rPr>
                <w:b/>
                <w:bCs/>
                <w:color w:val="000000"/>
                <w:sz w:val="20"/>
                <w:szCs w:val="20"/>
              </w:rPr>
            </w:pPr>
          </w:p>
        </w:tc>
      </w:tr>
      <w:bookmarkEnd w:id="4"/>
    </w:tbl>
    <w:p w14:paraId="0E144F80" w14:textId="77777777" w:rsidR="00E00F73" w:rsidRPr="0069383A" w:rsidRDefault="00E00F73" w:rsidP="00E00F73">
      <w:pPr>
        <w:rPr>
          <w:kern w:val="20"/>
          <w:sz w:val="16"/>
          <w:szCs w:val="16"/>
        </w:rPr>
      </w:pPr>
    </w:p>
    <w:p w14:paraId="3C3A9E31" w14:textId="77777777" w:rsidR="00E00F73" w:rsidRPr="0069383A" w:rsidRDefault="00E00F73" w:rsidP="00E00F73">
      <w:pPr>
        <w:rPr>
          <w:kern w:val="20"/>
          <w:sz w:val="16"/>
          <w:szCs w:val="16"/>
        </w:rPr>
      </w:pPr>
      <w:bookmarkStart w:id="5" w:name="_Hlk55478532"/>
      <w:r w:rsidRPr="0069383A">
        <w:rPr>
          <w:kern w:val="20"/>
          <w:sz w:val="16"/>
          <w:szCs w:val="16"/>
        </w:rPr>
        <w:t>1/ Réunions à financer sur le report</w:t>
      </w:r>
    </w:p>
    <w:p w14:paraId="2FD39C96" w14:textId="77777777" w:rsidR="00E00F73" w:rsidRPr="0069383A" w:rsidRDefault="00E00F73" w:rsidP="00E00F73">
      <w:pPr>
        <w:rPr>
          <w:kern w:val="20"/>
          <w:sz w:val="16"/>
          <w:szCs w:val="16"/>
        </w:rPr>
      </w:pPr>
      <w:r w:rsidRPr="0069383A">
        <w:rPr>
          <w:kern w:val="20"/>
          <w:sz w:val="16"/>
          <w:szCs w:val="16"/>
        </w:rPr>
        <w:t>- Vingt-quatrième réunion de l'Organe subsidiaire chargé de fournir des avis scientifiques, techniques et technologiques</w:t>
      </w:r>
    </w:p>
    <w:p w14:paraId="642AF7B6" w14:textId="77777777" w:rsidR="00E00F73" w:rsidRPr="0069383A" w:rsidRDefault="00E00F73" w:rsidP="00E00F73">
      <w:pPr>
        <w:rPr>
          <w:kern w:val="20"/>
          <w:sz w:val="16"/>
          <w:szCs w:val="16"/>
        </w:rPr>
      </w:pPr>
      <w:r w:rsidRPr="0069383A">
        <w:rPr>
          <w:kern w:val="20"/>
          <w:sz w:val="16"/>
          <w:szCs w:val="16"/>
        </w:rPr>
        <w:t>- Troisième réunion de l'Organe subsidiaire chargé de l'application</w:t>
      </w:r>
    </w:p>
    <w:p w14:paraId="5F6DFD6C" w14:textId="77777777" w:rsidR="00E00F73" w:rsidRPr="0069383A" w:rsidRDefault="00E00F73" w:rsidP="00E00F73">
      <w:pPr>
        <w:rPr>
          <w:kern w:val="20"/>
          <w:sz w:val="16"/>
          <w:szCs w:val="16"/>
        </w:rPr>
      </w:pPr>
      <w:r w:rsidRPr="0069383A">
        <w:rPr>
          <w:kern w:val="20"/>
          <w:sz w:val="16"/>
          <w:szCs w:val="16"/>
        </w:rPr>
        <w:t xml:space="preserve">- Quinzième réunion de la Conférence des Parties à la Convention / Dixième réunion des Parties au Protocole de Cartagena / Quatrième réunion des Parties au Protocole de Nagoya tenues simultanément. </w:t>
      </w:r>
    </w:p>
    <w:p w14:paraId="199FFF30" w14:textId="77777777" w:rsidR="00E00F73" w:rsidRPr="0069383A" w:rsidRDefault="00E00F73" w:rsidP="00E00F73">
      <w:pPr>
        <w:rPr>
          <w:kern w:val="20"/>
          <w:sz w:val="16"/>
          <w:szCs w:val="16"/>
        </w:rPr>
      </w:pPr>
      <w:r w:rsidRPr="0069383A">
        <w:rPr>
          <w:kern w:val="20"/>
          <w:sz w:val="16"/>
          <w:szCs w:val="16"/>
        </w:rPr>
        <w:t>- Sessions virtuelles spéciales pour la vingt-quatrième réunion de l'Organe subsidiaire chargé de fournir des avis scientifiques, techniques et technologiques et la troisième réunion de l'Organe subsidiaire chargé de l'application</w:t>
      </w:r>
    </w:p>
    <w:p w14:paraId="2A0D9DF2" w14:textId="77777777" w:rsidR="00E00F73" w:rsidRPr="0069383A" w:rsidRDefault="00E00F73" w:rsidP="00E00F73">
      <w:pPr>
        <w:rPr>
          <w:kern w:val="20"/>
          <w:sz w:val="16"/>
          <w:szCs w:val="16"/>
        </w:rPr>
      </w:pPr>
      <w:r w:rsidRPr="0069383A">
        <w:rPr>
          <w:kern w:val="20"/>
          <w:sz w:val="16"/>
          <w:szCs w:val="16"/>
        </w:rPr>
        <w:t>-Réunion informelle virtuelle de deux jours de pré-session (septembre 2020)</w:t>
      </w:r>
    </w:p>
    <w:p w14:paraId="677107A8" w14:textId="77777777" w:rsidR="00E00F73" w:rsidRPr="0069383A" w:rsidRDefault="00E00F73" w:rsidP="00E00F73">
      <w:pPr>
        <w:rPr>
          <w:kern w:val="20"/>
          <w:sz w:val="16"/>
          <w:szCs w:val="16"/>
        </w:rPr>
      </w:pPr>
      <w:r w:rsidRPr="0069383A">
        <w:rPr>
          <w:kern w:val="20"/>
          <w:sz w:val="16"/>
          <w:szCs w:val="16"/>
        </w:rPr>
        <w:t xml:space="preserve">- Réunion virtuelle de 6 jours de pré-session pour la vingt-quatrième réunion de l'Organe subsidiaire chargé de fournir des avis scientifiques, techniques et technologiques </w:t>
      </w:r>
    </w:p>
    <w:p w14:paraId="763FA174" w14:textId="77777777" w:rsidR="00E00F73" w:rsidRPr="0069383A" w:rsidRDefault="00E00F73" w:rsidP="00E00F73">
      <w:pPr>
        <w:rPr>
          <w:kern w:val="20"/>
          <w:sz w:val="16"/>
          <w:szCs w:val="16"/>
        </w:rPr>
      </w:pPr>
      <w:r w:rsidRPr="0069383A">
        <w:rPr>
          <w:kern w:val="20"/>
          <w:sz w:val="16"/>
          <w:szCs w:val="16"/>
        </w:rPr>
        <w:t>- Réunion virtuelle de 6 jours de pré-session pour la troisième réunion de l'Organe subsidiaire chargé de l'application</w:t>
      </w:r>
    </w:p>
    <w:p w14:paraId="0221CECA" w14:textId="77777777" w:rsidR="00E00F73" w:rsidRPr="0069383A" w:rsidRDefault="00E00F73" w:rsidP="00E00F73">
      <w:pPr>
        <w:rPr>
          <w:kern w:val="20"/>
          <w:sz w:val="16"/>
          <w:szCs w:val="16"/>
        </w:rPr>
      </w:pPr>
      <w:r w:rsidRPr="0069383A">
        <w:rPr>
          <w:kern w:val="20"/>
          <w:sz w:val="16"/>
          <w:szCs w:val="16"/>
        </w:rPr>
        <w:t>- Ainsi que toute réunion supplémentaire de pré-session de l'Organe subsidiaire chargé de fournir des avis scientifiques et techniques  et de l'Organe subsidiaire chargé de l'application qui pourrait être décidée</w:t>
      </w:r>
    </w:p>
    <w:p w14:paraId="6606C15F" w14:textId="77777777" w:rsidR="00E00F73" w:rsidRPr="0069383A" w:rsidRDefault="00E00F73" w:rsidP="00E00F73"/>
    <w:p w14:paraId="2C3536E0" w14:textId="77777777" w:rsidR="00E00F73" w:rsidRPr="0069383A" w:rsidRDefault="00E00F73" w:rsidP="00E00F73">
      <w:r w:rsidRPr="0069383A">
        <w:rPr>
          <w:color w:val="000000"/>
          <w:kern w:val="20"/>
          <w:sz w:val="16"/>
          <w:szCs w:val="16"/>
        </w:rPr>
        <w:t>2/ Une réunion extraordinaire sur le Cadre mondial de la biodiversité pour l'après-2020 à financer grâce au report de la ligne K</w:t>
      </w:r>
    </w:p>
    <w:bookmarkEnd w:id="5"/>
    <w:p w14:paraId="1087064C" w14:textId="77777777" w:rsidR="00E00F73" w:rsidRPr="0069383A" w:rsidRDefault="00E00F73" w:rsidP="00E00F73">
      <w:pPr>
        <w:suppressLineNumbers/>
        <w:suppressAutoHyphens/>
        <w:spacing w:before="120" w:after="120"/>
        <w:rPr>
          <w:bCs/>
          <w:kern w:val="22"/>
          <w:szCs w:val="22"/>
        </w:rPr>
      </w:pPr>
    </w:p>
    <w:p w14:paraId="270939B3" w14:textId="77777777" w:rsidR="00E00F73" w:rsidRDefault="00E00F73" w:rsidP="00E00F73">
      <w:pPr>
        <w:spacing w:after="160" w:line="259" w:lineRule="auto"/>
        <w:rPr>
          <w:b/>
          <w:kern w:val="22"/>
          <w:szCs w:val="22"/>
        </w:rPr>
      </w:pPr>
      <w:r>
        <w:rPr>
          <w:b/>
          <w:kern w:val="22"/>
          <w:szCs w:val="22"/>
        </w:rPr>
        <w:br w:type="page"/>
      </w:r>
    </w:p>
    <w:p w14:paraId="27F74253" w14:textId="77777777" w:rsidR="00E00F73" w:rsidRPr="00D37DF0" w:rsidRDefault="00E00F73" w:rsidP="00E00F73">
      <w:pPr>
        <w:suppressLineNumbers/>
        <w:suppressAutoHyphens/>
        <w:spacing w:before="120" w:after="120"/>
        <w:rPr>
          <w:b/>
          <w:kern w:val="22"/>
          <w:sz w:val="22"/>
          <w:szCs w:val="22"/>
        </w:rPr>
      </w:pPr>
      <w:r w:rsidRPr="00D37DF0">
        <w:rPr>
          <w:b/>
          <w:kern w:val="22"/>
          <w:sz w:val="22"/>
          <w:szCs w:val="22"/>
        </w:rPr>
        <w:lastRenderedPageBreak/>
        <w:t>Tableau 2a</w:t>
      </w:r>
    </w:p>
    <w:tbl>
      <w:tblPr>
        <w:tblW w:w="9777" w:type="dxa"/>
        <w:tblLook w:val="04A0" w:firstRow="1" w:lastRow="0" w:firstColumn="1" w:lastColumn="0" w:noHBand="0" w:noVBand="1"/>
      </w:tblPr>
      <w:tblGrid>
        <w:gridCol w:w="6014"/>
        <w:gridCol w:w="3763"/>
      </w:tblGrid>
      <w:tr w:rsidR="00E00F73" w:rsidRPr="00D37DF0" w14:paraId="5B272635" w14:textId="77777777" w:rsidTr="00CE5EBA">
        <w:trPr>
          <w:trHeight w:val="397"/>
        </w:trPr>
        <w:tc>
          <w:tcPr>
            <w:tcW w:w="9777" w:type="dxa"/>
            <w:gridSpan w:val="2"/>
            <w:tcBorders>
              <w:top w:val="nil"/>
              <w:left w:val="nil"/>
              <w:bottom w:val="single" w:sz="4" w:space="0" w:color="auto"/>
              <w:right w:val="nil"/>
            </w:tcBorders>
            <w:shd w:val="clear" w:color="auto" w:fill="auto"/>
            <w:vAlign w:val="center"/>
            <w:hideMark/>
          </w:tcPr>
          <w:p w14:paraId="53B829C4" w14:textId="77777777" w:rsidR="00E00F73" w:rsidRPr="00D37DF0" w:rsidRDefault="00E00F73" w:rsidP="00CE5EBA">
            <w:pPr>
              <w:rPr>
                <w:b/>
                <w:bCs/>
                <w:color w:val="000000"/>
                <w:sz w:val="22"/>
                <w:szCs w:val="22"/>
              </w:rPr>
            </w:pPr>
            <w:bookmarkStart w:id="6" w:name="_Hlk55478548"/>
            <w:r w:rsidRPr="00D37DF0">
              <w:rPr>
                <w:b/>
                <w:bCs/>
                <w:color w:val="000000"/>
                <w:sz w:val="22"/>
                <w:szCs w:val="22"/>
              </w:rPr>
              <w:t>Budget intérimaire intégré relatif aux fonds d'affectation spéciale de la Convention sur la diversité biologique et de ses protocoles pour 2021</w:t>
            </w:r>
          </w:p>
        </w:tc>
      </w:tr>
      <w:tr w:rsidR="00E00F73" w:rsidRPr="001B3BD7" w14:paraId="69B5F5E6" w14:textId="77777777" w:rsidTr="00CE5EBA">
        <w:trPr>
          <w:trHeight w:val="42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7F1AF93" w14:textId="77777777" w:rsidR="00E00F73" w:rsidRPr="002B2D70" w:rsidRDefault="00E00F73" w:rsidP="00CE5EBA">
            <w:pPr>
              <w:jc w:val="center"/>
              <w:rPr>
                <w:i/>
                <w:iCs/>
                <w:color w:val="000000"/>
                <w:sz w:val="20"/>
                <w:szCs w:val="20"/>
              </w:rPr>
            </w:pPr>
            <w:r w:rsidRPr="002B2D70">
              <w:rPr>
                <w:i/>
                <w:iCs/>
                <w:color w:val="000000"/>
                <w:sz w:val="20"/>
                <w:szCs w:val="20"/>
              </w:rPr>
              <w:t>Poste de dépense</w:t>
            </w:r>
          </w:p>
        </w:tc>
        <w:tc>
          <w:tcPr>
            <w:tcW w:w="3763" w:type="dxa"/>
            <w:tcBorders>
              <w:top w:val="nil"/>
              <w:left w:val="nil"/>
              <w:bottom w:val="single" w:sz="4" w:space="0" w:color="auto"/>
              <w:right w:val="single" w:sz="4" w:space="0" w:color="auto"/>
            </w:tcBorders>
            <w:shd w:val="clear" w:color="auto" w:fill="auto"/>
            <w:vAlign w:val="center"/>
            <w:hideMark/>
          </w:tcPr>
          <w:p w14:paraId="5DE95897" w14:textId="77777777" w:rsidR="00E00F73" w:rsidRPr="002B2D70" w:rsidRDefault="00E00F73" w:rsidP="00CE5EBA">
            <w:pPr>
              <w:jc w:val="center"/>
              <w:rPr>
                <w:i/>
                <w:iCs/>
                <w:color w:val="000000"/>
                <w:sz w:val="16"/>
                <w:szCs w:val="16"/>
              </w:rPr>
            </w:pPr>
            <w:r w:rsidRPr="002B2D70">
              <w:rPr>
                <w:i/>
                <w:iCs/>
                <w:color w:val="000000"/>
                <w:sz w:val="20"/>
                <w:szCs w:val="20"/>
              </w:rPr>
              <w:t>2021</w:t>
            </w:r>
          </w:p>
          <w:p w14:paraId="5BF88FEA" w14:textId="77777777" w:rsidR="00E00F73" w:rsidRPr="002B2D70" w:rsidRDefault="00E00F73" w:rsidP="00CE5EBA">
            <w:pPr>
              <w:jc w:val="center"/>
              <w:rPr>
                <w:i/>
                <w:iCs/>
                <w:color w:val="000000"/>
                <w:sz w:val="20"/>
                <w:szCs w:val="20"/>
              </w:rPr>
            </w:pPr>
            <w:r w:rsidRPr="002B2D70">
              <w:rPr>
                <w:i/>
                <w:iCs/>
                <w:color w:val="000000"/>
                <w:sz w:val="16"/>
                <w:szCs w:val="16"/>
              </w:rPr>
              <w:t>(Milliers de dollars des États-Unis)</w:t>
            </w:r>
          </w:p>
        </w:tc>
      </w:tr>
      <w:tr w:rsidR="00E00F73" w:rsidRPr="0069383A" w14:paraId="2497A9EE"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4A755FF" w14:textId="77777777" w:rsidR="00E00F73" w:rsidRPr="00DB4921" w:rsidRDefault="00E00F73" w:rsidP="00CE5EBA">
            <w:pPr>
              <w:rPr>
                <w:color w:val="000000"/>
                <w:sz w:val="20"/>
                <w:szCs w:val="20"/>
              </w:rPr>
            </w:pPr>
            <w:r w:rsidRPr="00DB4921">
              <w:rPr>
                <w:color w:val="000000"/>
                <w:sz w:val="20"/>
                <w:szCs w:val="18"/>
              </w:rPr>
              <w:t xml:space="preserve">A. Dépenses de personnel </w:t>
            </w:r>
          </w:p>
        </w:tc>
        <w:tc>
          <w:tcPr>
            <w:tcW w:w="3763" w:type="dxa"/>
            <w:tcBorders>
              <w:top w:val="nil"/>
              <w:left w:val="nil"/>
              <w:bottom w:val="single" w:sz="4" w:space="0" w:color="auto"/>
              <w:right w:val="single" w:sz="4" w:space="0" w:color="auto"/>
            </w:tcBorders>
            <w:shd w:val="clear" w:color="auto" w:fill="auto"/>
            <w:noWrap/>
            <w:vAlign w:val="center"/>
            <w:hideMark/>
          </w:tcPr>
          <w:p w14:paraId="229AB828" w14:textId="77777777" w:rsidR="00E00F73" w:rsidRPr="00DB4921" w:rsidRDefault="00E00F73" w:rsidP="00CE5EBA">
            <w:pPr>
              <w:jc w:val="right"/>
              <w:rPr>
                <w:color w:val="000000"/>
                <w:sz w:val="20"/>
                <w:szCs w:val="20"/>
              </w:rPr>
            </w:pPr>
            <w:r w:rsidRPr="00DB4921">
              <w:rPr>
                <w:color w:val="000000"/>
                <w:sz w:val="20"/>
                <w:szCs w:val="20"/>
              </w:rPr>
              <w:t>11 936,80</w:t>
            </w:r>
          </w:p>
        </w:tc>
      </w:tr>
      <w:tr w:rsidR="00E00F73" w:rsidRPr="0069383A" w14:paraId="4597F405"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95EC94E" w14:textId="77777777" w:rsidR="00E00F73" w:rsidRPr="00DB4921" w:rsidRDefault="00E00F73" w:rsidP="00CE5EBA">
            <w:pPr>
              <w:rPr>
                <w:color w:val="000000"/>
                <w:sz w:val="20"/>
                <w:szCs w:val="20"/>
              </w:rPr>
            </w:pPr>
            <w:r w:rsidRPr="00DB4921">
              <w:rPr>
                <w:color w:val="000000"/>
                <w:sz w:val="20"/>
                <w:szCs w:val="18"/>
              </w:rPr>
              <w:t xml:space="preserve">B. Réunion du Bureau </w:t>
            </w:r>
          </w:p>
        </w:tc>
        <w:tc>
          <w:tcPr>
            <w:tcW w:w="3763" w:type="dxa"/>
            <w:tcBorders>
              <w:top w:val="nil"/>
              <w:left w:val="nil"/>
              <w:bottom w:val="single" w:sz="4" w:space="0" w:color="auto"/>
              <w:right w:val="single" w:sz="4" w:space="0" w:color="auto"/>
            </w:tcBorders>
            <w:shd w:val="clear" w:color="auto" w:fill="auto"/>
            <w:noWrap/>
            <w:vAlign w:val="center"/>
            <w:hideMark/>
          </w:tcPr>
          <w:p w14:paraId="745D97DD" w14:textId="77777777" w:rsidR="00E00F73" w:rsidRPr="00DB4921" w:rsidRDefault="00E00F73" w:rsidP="00CE5EBA">
            <w:pPr>
              <w:jc w:val="right"/>
              <w:rPr>
                <w:color w:val="000000"/>
                <w:sz w:val="20"/>
                <w:szCs w:val="20"/>
              </w:rPr>
            </w:pPr>
            <w:r w:rsidRPr="00DB4921">
              <w:rPr>
                <w:color w:val="000000"/>
                <w:sz w:val="20"/>
                <w:szCs w:val="20"/>
              </w:rPr>
              <w:t>0,00</w:t>
            </w:r>
          </w:p>
        </w:tc>
      </w:tr>
      <w:tr w:rsidR="00E00F73" w:rsidRPr="0069383A" w14:paraId="56DFB82B"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1792BAC" w14:textId="77777777" w:rsidR="00E00F73" w:rsidRPr="00DB4921" w:rsidRDefault="00E00F73" w:rsidP="00CE5EBA">
            <w:pPr>
              <w:rPr>
                <w:color w:val="000000"/>
                <w:sz w:val="20"/>
                <w:szCs w:val="20"/>
              </w:rPr>
            </w:pPr>
            <w:r w:rsidRPr="00DB4921">
              <w:rPr>
                <w:color w:val="000000"/>
                <w:sz w:val="20"/>
                <w:szCs w:val="18"/>
              </w:rPr>
              <w:t>C. Voyages en mission</w:t>
            </w:r>
          </w:p>
        </w:tc>
        <w:tc>
          <w:tcPr>
            <w:tcW w:w="3763" w:type="dxa"/>
            <w:tcBorders>
              <w:top w:val="nil"/>
              <w:left w:val="nil"/>
              <w:bottom w:val="single" w:sz="4" w:space="0" w:color="auto"/>
              <w:right w:val="single" w:sz="4" w:space="0" w:color="auto"/>
            </w:tcBorders>
            <w:shd w:val="clear" w:color="auto" w:fill="auto"/>
            <w:noWrap/>
            <w:vAlign w:val="center"/>
            <w:hideMark/>
          </w:tcPr>
          <w:p w14:paraId="508D46BE" w14:textId="77777777" w:rsidR="00E00F73" w:rsidRPr="00DB4921" w:rsidRDefault="00E00F73" w:rsidP="00CE5EBA">
            <w:pPr>
              <w:jc w:val="right"/>
              <w:rPr>
                <w:color w:val="000000"/>
                <w:sz w:val="20"/>
                <w:szCs w:val="20"/>
              </w:rPr>
            </w:pPr>
            <w:r w:rsidRPr="00DB4921">
              <w:rPr>
                <w:color w:val="000000"/>
                <w:sz w:val="20"/>
                <w:szCs w:val="20"/>
              </w:rPr>
              <w:t>275,00</w:t>
            </w:r>
          </w:p>
        </w:tc>
      </w:tr>
      <w:tr w:rsidR="00E00F73" w:rsidRPr="0069383A" w14:paraId="2ACB5066"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FA93EF5" w14:textId="77777777" w:rsidR="00E00F73" w:rsidRPr="00DB4921" w:rsidRDefault="00E00F73" w:rsidP="00CE5EBA">
            <w:pPr>
              <w:rPr>
                <w:color w:val="000000"/>
                <w:sz w:val="20"/>
                <w:szCs w:val="20"/>
              </w:rPr>
            </w:pPr>
            <w:r w:rsidRPr="00DB4921">
              <w:rPr>
                <w:color w:val="000000"/>
                <w:sz w:val="20"/>
                <w:szCs w:val="18"/>
              </w:rPr>
              <w:t>D. Consultants/sous-traitants</w:t>
            </w:r>
          </w:p>
        </w:tc>
        <w:tc>
          <w:tcPr>
            <w:tcW w:w="3763" w:type="dxa"/>
            <w:tcBorders>
              <w:top w:val="nil"/>
              <w:left w:val="nil"/>
              <w:bottom w:val="single" w:sz="4" w:space="0" w:color="auto"/>
              <w:right w:val="single" w:sz="4" w:space="0" w:color="auto"/>
            </w:tcBorders>
            <w:shd w:val="clear" w:color="auto" w:fill="auto"/>
            <w:noWrap/>
            <w:vAlign w:val="center"/>
            <w:hideMark/>
          </w:tcPr>
          <w:p w14:paraId="7AE12813" w14:textId="77777777" w:rsidR="00E00F73" w:rsidRPr="00DB4921" w:rsidRDefault="00E00F73" w:rsidP="00CE5EBA">
            <w:pPr>
              <w:jc w:val="right"/>
              <w:rPr>
                <w:color w:val="000000"/>
                <w:sz w:val="20"/>
                <w:szCs w:val="20"/>
              </w:rPr>
            </w:pPr>
            <w:r w:rsidRPr="00DB4921">
              <w:rPr>
                <w:color w:val="000000"/>
                <w:sz w:val="20"/>
                <w:szCs w:val="20"/>
              </w:rPr>
              <w:t>50,00</w:t>
            </w:r>
          </w:p>
        </w:tc>
      </w:tr>
      <w:tr w:rsidR="00E00F73" w:rsidRPr="0069383A" w14:paraId="7DCA5BE8"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4D81752" w14:textId="77777777" w:rsidR="00E00F73" w:rsidRPr="00DB4921" w:rsidRDefault="00E00F73" w:rsidP="00CE5EBA">
            <w:pPr>
              <w:rPr>
                <w:color w:val="000000"/>
                <w:sz w:val="20"/>
                <w:szCs w:val="20"/>
              </w:rPr>
            </w:pPr>
            <w:r w:rsidRPr="00DB4921">
              <w:rPr>
                <w:color w:val="000000"/>
                <w:sz w:val="20"/>
                <w:szCs w:val="18"/>
              </w:rPr>
              <w:t>E. Matériel de sensibilisation du public/communications</w:t>
            </w:r>
          </w:p>
        </w:tc>
        <w:tc>
          <w:tcPr>
            <w:tcW w:w="3763" w:type="dxa"/>
            <w:tcBorders>
              <w:top w:val="nil"/>
              <w:left w:val="nil"/>
              <w:bottom w:val="single" w:sz="4" w:space="0" w:color="auto"/>
              <w:right w:val="single" w:sz="4" w:space="0" w:color="auto"/>
            </w:tcBorders>
            <w:shd w:val="clear" w:color="auto" w:fill="auto"/>
            <w:noWrap/>
            <w:vAlign w:val="center"/>
            <w:hideMark/>
          </w:tcPr>
          <w:p w14:paraId="01037C76" w14:textId="77777777" w:rsidR="00E00F73" w:rsidRPr="00DB4921" w:rsidRDefault="00E00F73" w:rsidP="00CE5EBA">
            <w:pPr>
              <w:jc w:val="right"/>
              <w:rPr>
                <w:color w:val="000000"/>
                <w:sz w:val="20"/>
                <w:szCs w:val="20"/>
              </w:rPr>
            </w:pPr>
            <w:r w:rsidRPr="00DB4921">
              <w:rPr>
                <w:color w:val="000000"/>
                <w:sz w:val="20"/>
                <w:szCs w:val="20"/>
              </w:rPr>
              <w:t>50,00</w:t>
            </w:r>
          </w:p>
        </w:tc>
      </w:tr>
      <w:tr w:rsidR="00E00F73" w:rsidRPr="0069383A" w14:paraId="5A43BD85"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734D774" w14:textId="77777777" w:rsidR="00E00F73" w:rsidRPr="00DB4921" w:rsidRDefault="00E00F73" w:rsidP="00CE5EBA">
            <w:pPr>
              <w:rPr>
                <w:color w:val="000000"/>
                <w:sz w:val="20"/>
                <w:szCs w:val="20"/>
              </w:rPr>
            </w:pPr>
            <w:r w:rsidRPr="00DB4921">
              <w:rPr>
                <w:color w:val="000000"/>
                <w:sz w:val="20"/>
                <w:szCs w:val="18"/>
              </w:rPr>
              <w:t>F. Assistance temporaire/heures supplémentaires</w:t>
            </w:r>
          </w:p>
        </w:tc>
        <w:tc>
          <w:tcPr>
            <w:tcW w:w="3763" w:type="dxa"/>
            <w:tcBorders>
              <w:top w:val="nil"/>
              <w:left w:val="nil"/>
              <w:bottom w:val="single" w:sz="4" w:space="0" w:color="auto"/>
              <w:right w:val="single" w:sz="4" w:space="0" w:color="auto"/>
            </w:tcBorders>
            <w:shd w:val="clear" w:color="auto" w:fill="auto"/>
            <w:noWrap/>
            <w:vAlign w:val="center"/>
            <w:hideMark/>
          </w:tcPr>
          <w:p w14:paraId="213A7268" w14:textId="77777777" w:rsidR="00E00F73" w:rsidRPr="00DB4921" w:rsidRDefault="00E00F73" w:rsidP="00CE5EBA">
            <w:pPr>
              <w:jc w:val="right"/>
              <w:rPr>
                <w:color w:val="000000"/>
                <w:sz w:val="20"/>
                <w:szCs w:val="20"/>
              </w:rPr>
            </w:pPr>
            <w:r w:rsidRPr="00DB4921">
              <w:rPr>
                <w:color w:val="000000"/>
                <w:sz w:val="20"/>
                <w:szCs w:val="20"/>
              </w:rPr>
              <w:t>100,00</w:t>
            </w:r>
          </w:p>
        </w:tc>
      </w:tr>
      <w:tr w:rsidR="00E00F73" w:rsidRPr="0069383A" w14:paraId="18C837D2"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3CA8AEE" w14:textId="77777777" w:rsidR="00E00F73" w:rsidRPr="00DB4921" w:rsidRDefault="00E00F73" w:rsidP="00CE5EBA">
            <w:pPr>
              <w:rPr>
                <w:color w:val="000000"/>
                <w:sz w:val="20"/>
                <w:szCs w:val="20"/>
              </w:rPr>
            </w:pPr>
            <w:r w:rsidRPr="00DB4921">
              <w:rPr>
                <w:color w:val="000000"/>
                <w:sz w:val="20"/>
                <w:szCs w:val="18"/>
              </w:rPr>
              <w:t>G. Formation</w:t>
            </w:r>
          </w:p>
        </w:tc>
        <w:tc>
          <w:tcPr>
            <w:tcW w:w="3763" w:type="dxa"/>
            <w:tcBorders>
              <w:top w:val="nil"/>
              <w:left w:val="nil"/>
              <w:bottom w:val="single" w:sz="4" w:space="0" w:color="auto"/>
              <w:right w:val="single" w:sz="4" w:space="0" w:color="auto"/>
            </w:tcBorders>
            <w:shd w:val="clear" w:color="auto" w:fill="auto"/>
            <w:noWrap/>
            <w:vAlign w:val="center"/>
            <w:hideMark/>
          </w:tcPr>
          <w:p w14:paraId="3C40B0B7" w14:textId="77777777" w:rsidR="00E00F73" w:rsidRPr="00DB4921" w:rsidRDefault="00E00F73" w:rsidP="00CE5EBA">
            <w:pPr>
              <w:jc w:val="right"/>
              <w:rPr>
                <w:color w:val="000000"/>
                <w:sz w:val="20"/>
                <w:szCs w:val="20"/>
              </w:rPr>
            </w:pPr>
            <w:r w:rsidRPr="00DB4921">
              <w:rPr>
                <w:color w:val="000000"/>
                <w:sz w:val="20"/>
                <w:szCs w:val="20"/>
              </w:rPr>
              <w:t>5,00</w:t>
            </w:r>
          </w:p>
        </w:tc>
      </w:tr>
      <w:tr w:rsidR="00E00F73" w:rsidRPr="0069383A" w14:paraId="1C129F42"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41236E0" w14:textId="77777777" w:rsidR="00E00F73" w:rsidRPr="00DB4921" w:rsidRDefault="00E00F73" w:rsidP="00CE5EBA">
            <w:pPr>
              <w:rPr>
                <w:color w:val="000000"/>
                <w:sz w:val="20"/>
                <w:szCs w:val="20"/>
              </w:rPr>
            </w:pPr>
            <w:r w:rsidRPr="00DB4921">
              <w:rPr>
                <w:color w:val="000000"/>
                <w:sz w:val="20"/>
                <w:szCs w:val="18"/>
              </w:rPr>
              <w:t>H. Traduction du site Internet du Centre d’échange/projets du site Internet</w:t>
            </w:r>
          </w:p>
        </w:tc>
        <w:tc>
          <w:tcPr>
            <w:tcW w:w="3763" w:type="dxa"/>
            <w:tcBorders>
              <w:top w:val="nil"/>
              <w:left w:val="nil"/>
              <w:bottom w:val="single" w:sz="4" w:space="0" w:color="auto"/>
              <w:right w:val="single" w:sz="4" w:space="0" w:color="auto"/>
            </w:tcBorders>
            <w:shd w:val="clear" w:color="auto" w:fill="auto"/>
            <w:noWrap/>
            <w:vAlign w:val="center"/>
            <w:hideMark/>
          </w:tcPr>
          <w:p w14:paraId="59D00312" w14:textId="77777777" w:rsidR="00E00F73" w:rsidRPr="00DB4921" w:rsidRDefault="00E00F73" w:rsidP="00CE5EBA">
            <w:pPr>
              <w:jc w:val="right"/>
              <w:rPr>
                <w:color w:val="000000"/>
                <w:sz w:val="20"/>
                <w:szCs w:val="20"/>
              </w:rPr>
            </w:pPr>
            <w:r w:rsidRPr="00DB4921">
              <w:rPr>
                <w:color w:val="000000"/>
                <w:sz w:val="20"/>
                <w:szCs w:val="20"/>
              </w:rPr>
              <w:t>65,00</w:t>
            </w:r>
          </w:p>
        </w:tc>
      </w:tr>
      <w:tr w:rsidR="00E00F73" w:rsidRPr="0069383A" w14:paraId="71BBF957" w14:textId="77777777" w:rsidTr="00CE5EBA">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1747907" w14:textId="77777777" w:rsidR="00E00F73" w:rsidRPr="00DB4921" w:rsidRDefault="00E00F73" w:rsidP="00CE5EBA">
            <w:pPr>
              <w:rPr>
                <w:color w:val="000000"/>
                <w:sz w:val="20"/>
                <w:szCs w:val="20"/>
              </w:rPr>
            </w:pPr>
            <w:r w:rsidRPr="00DB4921">
              <w:rPr>
                <w:color w:val="000000"/>
                <w:sz w:val="20"/>
                <w:szCs w:val="18"/>
              </w:rPr>
              <w:t>I. Réunions</w:t>
            </w:r>
            <w:r w:rsidRPr="00DB4921">
              <w:rPr>
                <w:color w:val="000000"/>
                <w:sz w:val="20"/>
                <w:szCs w:val="18"/>
                <w:vertAlign w:val="superscript"/>
              </w:rPr>
              <w:t>1</w:t>
            </w:r>
          </w:p>
        </w:tc>
        <w:tc>
          <w:tcPr>
            <w:tcW w:w="3763" w:type="dxa"/>
            <w:tcBorders>
              <w:top w:val="nil"/>
              <w:left w:val="nil"/>
              <w:bottom w:val="single" w:sz="4" w:space="0" w:color="auto"/>
              <w:right w:val="single" w:sz="4" w:space="0" w:color="auto"/>
            </w:tcBorders>
            <w:shd w:val="clear" w:color="auto" w:fill="auto"/>
            <w:noWrap/>
            <w:vAlign w:val="center"/>
            <w:hideMark/>
          </w:tcPr>
          <w:p w14:paraId="3C53B10C" w14:textId="77777777" w:rsidR="00E00F73" w:rsidRPr="00DB4921" w:rsidRDefault="00E00F73" w:rsidP="00CE5EBA">
            <w:pPr>
              <w:jc w:val="right"/>
              <w:rPr>
                <w:color w:val="000000"/>
                <w:sz w:val="20"/>
                <w:szCs w:val="20"/>
              </w:rPr>
            </w:pPr>
            <w:r w:rsidRPr="00DB4921">
              <w:rPr>
                <w:color w:val="000000"/>
                <w:sz w:val="20"/>
                <w:szCs w:val="20"/>
              </w:rPr>
              <w:t>271,80</w:t>
            </w:r>
          </w:p>
        </w:tc>
      </w:tr>
      <w:tr w:rsidR="00E00F73" w:rsidRPr="0069383A" w14:paraId="4A538439"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3597298" w14:textId="77777777" w:rsidR="00E00F73" w:rsidRPr="00DB4921" w:rsidRDefault="00E00F73" w:rsidP="00CE5EBA">
            <w:pPr>
              <w:rPr>
                <w:color w:val="000000"/>
                <w:sz w:val="20"/>
                <w:szCs w:val="20"/>
              </w:rPr>
            </w:pPr>
            <w:r w:rsidRPr="00DB4921">
              <w:rPr>
                <w:color w:val="000000"/>
                <w:sz w:val="20"/>
                <w:szCs w:val="18"/>
              </w:rPr>
              <w:t>J. Réunion d’experts</w:t>
            </w:r>
          </w:p>
        </w:tc>
        <w:tc>
          <w:tcPr>
            <w:tcW w:w="3763" w:type="dxa"/>
            <w:tcBorders>
              <w:top w:val="nil"/>
              <w:left w:val="nil"/>
              <w:bottom w:val="single" w:sz="4" w:space="0" w:color="auto"/>
              <w:right w:val="single" w:sz="4" w:space="0" w:color="auto"/>
            </w:tcBorders>
            <w:shd w:val="clear" w:color="auto" w:fill="auto"/>
            <w:noWrap/>
            <w:vAlign w:val="center"/>
            <w:hideMark/>
          </w:tcPr>
          <w:p w14:paraId="298E11F4" w14:textId="77777777" w:rsidR="00E00F73" w:rsidRPr="00DB4921" w:rsidRDefault="00E00F73" w:rsidP="00CE5EBA">
            <w:pPr>
              <w:jc w:val="right"/>
              <w:rPr>
                <w:color w:val="000000"/>
                <w:sz w:val="20"/>
                <w:szCs w:val="20"/>
              </w:rPr>
            </w:pPr>
            <w:r w:rsidRPr="00DB4921">
              <w:rPr>
                <w:color w:val="000000"/>
                <w:sz w:val="20"/>
                <w:szCs w:val="20"/>
              </w:rPr>
              <w:t>0,00</w:t>
            </w:r>
          </w:p>
        </w:tc>
      </w:tr>
      <w:tr w:rsidR="00E00F73" w:rsidRPr="0069383A" w14:paraId="66EBC4E4" w14:textId="77777777" w:rsidTr="00CE5EBA">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1045C99" w14:textId="77777777" w:rsidR="00E00F73" w:rsidRPr="00DB4921" w:rsidRDefault="00E00F73" w:rsidP="00CE5EBA">
            <w:pPr>
              <w:rPr>
                <w:color w:val="000000"/>
                <w:sz w:val="20"/>
                <w:szCs w:val="20"/>
              </w:rPr>
            </w:pPr>
            <w:r w:rsidRPr="00DB4921">
              <w:rPr>
                <w:color w:val="000000"/>
                <w:sz w:val="20"/>
                <w:szCs w:val="18"/>
              </w:rPr>
              <w:t>K. Réunions extraordinaires concernant l'après-202</w:t>
            </w:r>
            <w:r w:rsidRPr="00DB4921">
              <w:rPr>
                <w:color w:val="000000"/>
                <w:sz w:val="20"/>
                <w:szCs w:val="18"/>
                <w:vertAlign w:val="superscript"/>
              </w:rPr>
              <w:t>2</w:t>
            </w:r>
          </w:p>
        </w:tc>
        <w:tc>
          <w:tcPr>
            <w:tcW w:w="3763" w:type="dxa"/>
            <w:tcBorders>
              <w:top w:val="nil"/>
              <w:left w:val="nil"/>
              <w:bottom w:val="single" w:sz="4" w:space="0" w:color="auto"/>
              <w:right w:val="single" w:sz="4" w:space="0" w:color="auto"/>
            </w:tcBorders>
            <w:shd w:val="clear" w:color="auto" w:fill="auto"/>
            <w:noWrap/>
            <w:vAlign w:val="center"/>
            <w:hideMark/>
          </w:tcPr>
          <w:p w14:paraId="1F60FD8D" w14:textId="77777777" w:rsidR="00E00F73" w:rsidRPr="00DB4921" w:rsidRDefault="00E00F73" w:rsidP="00CE5EBA">
            <w:pPr>
              <w:jc w:val="right"/>
              <w:rPr>
                <w:color w:val="000000"/>
                <w:sz w:val="20"/>
                <w:szCs w:val="20"/>
              </w:rPr>
            </w:pPr>
            <w:r w:rsidRPr="00DB4921">
              <w:rPr>
                <w:color w:val="000000"/>
                <w:sz w:val="20"/>
                <w:szCs w:val="20"/>
              </w:rPr>
              <w:t>350,00</w:t>
            </w:r>
          </w:p>
        </w:tc>
      </w:tr>
      <w:tr w:rsidR="00E00F73" w:rsidRPr="0069383A" w14:paraId="1F59E9D8"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DED4CC8" w14:textId="77777777" w:rsidR="00E00F73" w:rsidRPr="00DB4921" w:rsidRDefault="00E00F73" w:rsidP="00CE5EBA">
            <w:pPr>
              <w:rPr>
                <w:color w:val="000000"/>
                <w:sz w:val="20"/>
                <w:szCs w:val="20"/>
              </w:rPr>
            </w:pPr>
            <w:r w:rsidRPr="00DB4921">
              <w:rPr>
                <w:color w:val="000000"/>
                <w:sz w:val="20"/>
                <w:szCs w:val="18"/>
              </w:rPr>
              <w:t>L. Loyer et dépenses connexes</w:t>
            </w:r>
          </w:p>
        </w:tc>
        <w:tc>
          <w:tcPr>
            <w:tcW w:w="3763" w:type="dxa"/>
            <w:tcBorders>
              <w:top w:val="nil"/>
              <w:left w:val="nil"/>
              <w:bottom w:val="single" w:sz="4" w:space="0" w:color="auto"/>
              <w:right w:val="single" w:sz="4" w:space="0" w:color="auto"/>
            </w:tcBorders>
            <w:shd w:val="clear" w:color="auto" w:fill="auto"/>
            <w:noWrap/>
            <w:vAlign w:val="center"/>
            <w:hideMark/>
          </w:tcPr>
          <w:p w14:paraId="13A79709" w14:textId="77777777" w:rsidR="00E00F73" w:rsidRPr="00DB4921" w:rsidRDefault="00E00F73" w:rsidP="00CE5EBA">
            <w:pPr>
              <w:jc w:val="right"/>
              <w:rPr>
                <w:color w:val="000000"/>
                <w:sz w:val="20"/>
                <w:szCs w:val="20"/>
              </w:rPr>
            </w:pPr>
            <w:r w:rsidRPr="00DB4921">
              <w:rPr>
                <w:color w:val="000000"/>
                <w:sz w:val="20"/>
                <w:szCs w:val="20"/>
              </w:rPr>
              <w:t>1 358,20</w:t>
            </w:r>
          </w:p>
        </w:tc>
      </w:tr>
      <w:tr w:rsidR="00E00F73" w:rsidRPr="0069383A" w14:paraId="02C1C003"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76CD870" w14:textId="77777777" w:rsidR="00E00F73" w:rsidRPr="00DB4921" w:rsidRDefault="00E00F73" w:rsidP="00CE5EBA">
            <w:pPr>
              <w:rPr>
                <w:color w:val="000000"/>
                <w:sz w:val="20"/>
                <w:szCs w:val="20"/>
              </w:rPr>
            </w:pPr>
            <w:r w:rsidRPr="00DB4921">
              <w:rPr>
                <w:color w:val="000000"/>
                <w:sz w:val="20"/>
                <w:szCs w:val="18"/>
              </w:rPr>
              <w:t>M. Frais généraux de fonctionnement</w:t>
            </w:r>
          </w:p>
        </w:tc>
        <w:tc>
          <w:tcPr>
            <w:tcW w:w="3763" w:type="dxa"/>
            <w:tcBorders>
              <w:top w:val="nil"/>
              <w:left w:val="nil"/>
              <w:bottom w:val="single" w:sz="4" w:space="0" w:color="auto"/>
              <w:right w:val="single" w:sz="4" w:space="0" w:color="auto"/>
            </w:tcBorders>
            <w:shd w:val="clear" w:color="auto" w:fill="auto"/>
            <w:noWrap/>
            <w:vAlign w:val="center"/>
            <w:hideMark/>
          </w:tcPr>
          <w:p w14:paraId="05B819C8" w14:textId="77777777" w:rsidR="00E00F73" w:rsidRPr="00DB4921" w:rsidRDefault="00E00F73" w:rsidP="00CE5EBA">
            <w:pPr>
              <w:jc w:val="right"/>
              <w:rPr>
                <w:color w:val="000000"/>
                <w:sz w:val="20"/>
                <w:szCs w:val="20"/>
              </w:rPr>
            </w:pPr>
            <w:r w:rsidRPr="00DB4921">
              <w:rPr>
                <w:color w:val="000000"/>
                <w:sz w:val="20"/>
                <w:szCs w:val="20"/>
              </w:rPr>
              <w:t>726,60</w:t>
            </w:r>
          </w:p>
        </w:tc>
      </w:tr>
      <w:tr w:rsidR="00E00F73" w:rsidRPr="0069383A" w14:paraId="5865F539"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DEFE8F6" w14:textId="77777777" w:rsidR="00E00F73" w:rsidRPr="00DB4921" w:rsidRDefault="00E00F73" w:rsidP="00CE5EBA">
            <w:pPr>
              <w:rPr>
                <w:b/>
                <w:bCs/>
                <w:color w:val="000000"/>
                <w:sz w:val="20"/>
                <w:szCs w:val="20"/>
              </w:rPr>
            </w:pPr>
            <w:r w:rsidRPr="00DB4921">
              <w:rPr>
                <w:b/>
                <w:color w:val="000000"/>
                <w:sz w:val="20"/>
                <w:szCs w:val="18"/>
              </w:rPr>
              <w:t>Sous-total (I)</w:t>
            </w:r>
          </w:p>
        </w:tc>
        <w:tc>
          <w:tcPr>
            <w:tcW w:w="3763" w:type="dxa"/>
            <w:tcBorders>
              <w:top w:val="nil"/>
              <w:left w:val="nil"/>
              <w:bottom w:val="single" w:sz="4" w:space="0" w:color="auto"/>
              <w:right w:val="single" w:sz="4" w:space="0" w:color="auto"/>
            </w:tcBorders>
            <w:shd w:val="clear" w:color="auto" w:fill="auto"/>
            <w:vAlign w:val="center"/>
            <w:hideMark/>
          </w:tcPr>
          <w:p w14:paraId="57C91636" w14:textId="77777777" w:rsidR="00E00F73" w:rsidRPr="00DB4921" w:rsidRDefault="00E00F73" w:rsidP="00CE5EBA">
            <w:pPr>
              <w:jc w:val="right"/>
              <w:rPr>
                <w:b/>
                <w:bCs/>
                <w:color w:val="000000"/>
                <w:sz w:val="20"/>
                <w:szCs w:val="20"/>
              </w:rPr>
            </w:pPr>
            <w:r w:rsidRPr="00DB4921">
              <w:rPr>
                <w:b/>
                <w:bCs/>
                <w:color w:val="000000"/>
                <w:sz w:val="20"/>
                <w:szCs w:val="20"/>
              </w:rPr>
              <w:t>15 188,40</w:t>
            </w:r>
          </w:p>
        </w:tc>
      </w:tr>
      <w:tr w:rsidR="00E00F73" w:rsidRPr="0069383A" w14:paraId="0AA17080"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A7D8337" w14:textId="77777777" w:rsidR="00E00F73" w:rsidRPr="00DB4921" w:rsidRDefault="00E00F73" w:rsidP="00CE5EBA">
            <w:pPr>
              <w:rPr>
                <w:b/>
                <w:bCs/>
                <w:color w:val="000000"/>
                <w:sz w:val="20"/>
                <w:szCs w:val="20"/>
              </w:rPr>
            </w:pPr>
            <w:r w:rsidRPr="00DB4921">
              <w:rPr>
                <w:b/>
                <w:color w:val="000000"/>
                <w:sz w:val="20"/>
                <w:szCs w:val="18"/>
              </w:rPr>
              <w:t>II, Dépenses d’appui au programme (13%)</w:t>
            </w:r>
          </w:p>
        </w:tc>
        <w:tc>
          <w:tcPr>
            <w:tcW w:w="3763" w:type="dxa"/>
            <w:tcBorders>
              <w:top w:val="nil"/>
              <w:left w:val="nil"/>
              <w:bottom w:val="single" w:sz="4" w:space="0" w:color="auto"/>
              <w:right w:val="single" w:sz="4" w:space="0" w:color="auto"/>
            </w:tcBorders>
            <w:shd w:val="clear" w:color="auto" w:fill="auto"/>
            <w:vAlign w:val="center"/>
            <w:hideMark/>
          </w:tcPr>
          <w:p w14:paraId="1C1FCA52" w14:textId="77777777" w:rsidR="00E00F73" w:rsidRPr="00DB4921" w:rsidRDefault="00E00F73" w:rsidP="00CE5EBA">
            <w:pPr>
              <w:jc w:val="right"/>
              <w:rPr>
                <w:color w:val="000000"/>
                <w:sz w:val="20"/>
                <w:szCs w:val="20"/>
              </w:rPr>
            </w:pPr>
            <w:r w:rsidRPr="00DB4921">
              <w:rPr>
                <w:color w:val="000000"/>
                <w:sz w:val="20"/>
                <w:szCs w:val="20"/>
              </w:rPr>
              <w:t>1 974,49</w:t>
            </w:r>
          </w:p>
        </w:tc>
      </w:tr>
      <w:tr w:rsidR="00E00F73" w:rsidRPr="0069383A" w14:paraId="495D46A4"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E65A7A1" w14:textId="77777777" w:rsidR="00E00F73" w:rsidRPr="00DB4921" w:rsidRDefault="00E00F73" w:rsidP="00CE5EBA">
            <w:pPr>
              <w:rPr>
                <w:b/>
                <w:bCs/>
                <w:color w:val="000000"/>
                <w:sz w:val="20"/>
                <w:szCs w:val="20"/>
              </w:rPr>
            </w:pPr>
            <w:r w:rsidRPr="00DB4921">
              <w:rPr>
                <w:b/>
                <w:color w:val="000000"/>
                <w:sz w:val="20"/>
                <w:szCs w:val="18"/>
              </w:rPr>
              <w:t>Sous-total (I + II)</w:t>
            </w:r>
          </w:p>
        </w:tc>
        <w:tc>
          <w:tcPr>
            <w:tcW w:w="3763" w:type="dxa"/>
            <w:tcBorders>
              <w:top w:val="nil"/>
              <w:left w:val="nil"/>
              <w:bottom w:val="single" w:sz="4" w:space="0" w:color="auto"/>
              <w:right w:val="single" w:sz="4" w:space="0" w:color="auto"/>
            </w:tcBorders>
            <w:shd w:val="clear" w:color="auto" w:fill="auto"/>
            <w:vAlign w:val="center"/>
            <w:hideMark/>
          </w:tcPr>
          <w:p w14:paraId="4CDCB01E" w14:textId="77777777" w:rsidR="00E00F73" w:rsidRPr="00DB4921" w:rsidRDefault="00E00F73" w:rsidP="00CE5EBA">
            <w:pPr>
              <w:jc w:val="right"/>
              <w:rPr>
                <w:b/>
                <w:bCs/>
                <w:color w:val="000000"/>
                <w:sz w:val="20"/>
                <w:szCs w:val="20"/>
              </w:rPr>
            </w:pPr>
            <w:r w:rsidRPr="00DB4921">
              <w:rPr>
                <w:b/>
                <w:bCs/>
                <w:color w:val="000000"/>
                <w:sz w:val="20"/>
                <w:szCs w:val="20"/>
              </w:rPr>
              <w:t>17 162,89</w:t>
            </w:r>
          </w:p>
        </w:tc>
      </w:tr>
      <w:tr w:rsidR="00E00F73" w:rsidRPr="0069383A" w14:paraId="1941899E"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A6BCFF5" w14:textId="77777777" w:rsidR="00E00F73" w:rsidRPr="00DB4921" w:rsidRDefault="00E00F73" w:rsidP="00CE5EBA">
            <w:pPr>
              <w:rPr>
                <w:b/>
                <w:bCs/>
                <w:color w:val="000000"/>
                <w:sz w:val="20"/>
                <w:szCs w:val="20"/>
              </w:rPr>
            </w:pPr>
            <w:r w:rsidRPr="00DB4921">
              <w:rPr>
                <w:b/>
                <w:color w:val="000000"/>
                <w:sz w:val="20"/>
                <w:szCs w:val="18"/>
              </w:rPr>
              <w:t xml:space="preserve">III. Réserve de trésorerie </w:t>
            </w:r>
          </w:p>
        </w:tc>
        <w:tc>
          <w:tcPr>
            <w:tcW w:w="3763" w:type="dxa"/>
            <w:tcBorders>
              <w:top w:val="nil"/>
              <w:left w:val="nil"/>
              <w:bottom w:val="single" w:sz="4" w:space="0" w:color="auto"/>
              <w:right w:val="single" w:sz="4" w:space="0" w:color="auto"/>
            </w:tcBorders>
            <w:shd w:val="clear" w:color="auto" w:fill="auto"/>
            <w:vAlign w:val="center"/>
            <w:hideMark/>
          </w:tcPr>
          <w:p w14:paraId="35159D55" w14:textId="77777777" w:rsidR="00E00F73" w:rsidRPr="00DB4921" w:rsidRDefault="00E00F73" w:rsidP="00CE5EBA">
            <w:pPr>
              <w:jc w:val="right"/>
              <w:rPr>
                <w:b/>
                <w:bCs/>
                <w:sz w:val="20"/>
                <w:szCs w:val="20"/>
              </w:rPr>
            </w:pPr>
            <w:r w:rsidRPr="00DB4921">
              <w:rPr>
                <w:b/>
                <w:bCs/>
                <w:sz w:val="20"/>
                <w:szCs w:val="20"/>
              </w:rPr>
              <w:t>(390,27)</w:t>
            </w:r>
          </w:p>
        </w:tc>
      </w:tr>
      <w:tr w:rsidR="00E00F73" w:rsidRPr="0069383A" w14:paraId="10F4AE62"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2492DAC" w14:textId="77777777" w:rsidR="00E00F73" w:rsidRPr="00DB4921" w:rsidRDefault="00E00F73" w:rsidP="00CE5EBA">
            <w:pPr>
              <w:rPr>
                <w:b/>
                <w:bCs/>
                <w:color w:val="000000"/>
                <w:sz w:val="20"/>
                <w:szCs w:val="20"/>
              </w:rPr>
            </w:pPr>
            <w:r w:rsidRPr="00DB4921">
              <w:rPr>
                <w:b/>
                <w:color w:val="000000"/>
                <w:sz w:val="20"/>
                <w:szCs w:val="18"/>
              </w:rPr>
              <w:t>Total (I + II + II)</w:t>
            </w:r>
          </w:p>
        </w:tc>
        <w:tc>
          <w:tcPr>
            <w:tcW w:w="3763" w:type="dxa"/>
            <w:tcBorders>
              <w:top w:val="nil"/>
              <w:left w:val="nil"/>
              <w:bottom w:val="single" w:sz="4" w:space="0" w:color="auto"/>
              <w:right w:val="single" w:sz="4" w:space="0" w:color="auto"/>
            </w:tcBorders>
            <w:shd w:val="clear" w:color="auto" w:fill="auto"/>
            <w:vAlign w:val="center"/>
            <w:hideMark/>
          </w:tcPr>
          <w:p w14:paraId="4C69C699" w14:textId="77777777" w:rsidR="00E00F73" w:rsidRPr="00DB4921" w:rsidRDefault="00E00F73" w:rsidP="00CE5EBA">
            <w:pPr>
              <w:jc w:val="right"/>
              <w:rPr>
                <w:b/>
                <w:bCs/>
                <w:color w:val="000000"/>
                <w:sz w:val="20"/>
                <w:szCs w:val="20"/>
              </w:rPr>
            </w:pPr>
            <w:r w:rsidRPr="00DB4921">
              <w:rPr>
                <w:b/>
                <w:bCs/>
                <w:color w:val="000000"/>
                <w:sz w:val="20"/>
                <w:szCs w:val="20"/>
              </w:rPr>
              <w:t>16 772,63</w:t>
            </w:r>
          </w:p>
        </w:tc>
      </w:tr>
      <w:tr w:rsidR="00E00F73" w:rsidRPr="0069383A" w14:paraId="7920B014"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5D2A512" w14:textId="77777777" w:rsidR="00E00F73" w:rsidRPr="00DB4921" w:rsidRDefault="00E00F73" w:rsidP="00CE5EBA">
            <w:pPr>
              <w:rPr>
                <w:color w:val="000000"/>
                <w:sz w:val="20"/>
                <w:szCs w:val="20"/>
              </w:rPr>
            </w:pPr>
            <w:r w:rsidRPr="00DB4921">
              <w:rPr>
                <w:b/>
                <w:bCs/>
                <w:color w:val="000000"/>
                <w:sz w:val="20"/>
                <w:szCs w:val="18"/>
              </w:rPr>
              <w:t>Part de la Convention (74%)</w:t>
            </w:r>
          </w:p>
        </w:tc>
        <w:tc>
          <w:tcPr>
            <w:tcW w:w="3763" w:type="dxa"/>
            <w:tcBorders>
              <w:top w:val="nil"/>
              <w:left w:val="nil"/>
              <w:bottom w:val="single" w:sz="4" w:space="0" w:color="auto"/>
              <w:right w:val="single" w:sz="4" w:space="0" w:color="auto"/>
            </w:tcBorders>
            <w:shd w:val="clear" w:color="auto" w:fill="auto"/>
            <w:vAlign w:val="center"/>
            <w:hideMark/>
          </w:tcPr>
          <w:p w14:paraId="4D13513F" w14:textId="77777777" w:rsidR="00E00F73" w:rsidRPr="00DB4921" w:rsidRDefault="00E00F73" w:rsidP="00CE5EBA">
            <w:pPr>
              <w:jc w:val="right"/>
              <w:rPr>
                <w:color w:val="000000"/>
                <w:sz w:val="20"/>
                <w:szCs w:val="20"/>
              </w:rPr>
            </w:pPr>
            <w:r w:rsidRPr="00DB4921">
              <w:rPr>
                <w:color w:val="000000"/>
                <w:sz w:val="20"/>
                <w:szCs w:val="20"/>
              </w:rPr>
              <w:t>12 411,74</w:t>
            </w:r>
          </w:p>
        </w:tc>
      </w:tr>
      <w:tr w:rsidR="00E00F73" w:rsidRPr="0069383A" w14:paraId="19402DA1"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760FF96E" w14:textId="77777777" w:rsidR="00E00F73" w:rsidRPr="00DB4921" w:rsidRDefault="00E00F73" w:rsidP="00CE5EBA">
            <w:pPr>
              <w:rPr>
                <w:color w:val="000000"/>
                <w:sz w:val="20"/>
                <w:szCs w:val="20"/>
              </w:rPr>
            </w:pPr>
            <w:r w:rsidRPr="00DB4921">
              <w:rPr>
                <w:sz w:val="20"/>
              </w:rPr>
              <w:t>Moins :  Contribution du pays d'accueil</w:t>
            </w:r>
          </w:p>
        </w:tc>
        <w:tc>
          <w:tcPr>
            <w:tcW w:w="3763" w:type="dxa"/>
            <w:tcBorders>
              <w:top w:val="nil"/>
              <w:left w:val="nil"/>
              <w:bottom w:val="single" w:sz="4" w:space="0" w:color="auto"/>
              <w:right w:val="single" w:sz="4" w:space="0" w:color="auto"/>
            </w:tcBorders>
            <w:shd w:val="clear" w:color="auto" w:fill="auto"/>
            <w:vAlign w:val="center"/>
            <w:hideMark/>
          </w:tcPr>
          <w:p w14:paraId="5DE0EF10" w14:textId="77777777" w:rsidR="00E00F73" w:rsidRPr="00DB4921" w:rsidRDefault="00E00F73" w:rsidP="00CE5EBA">
            <w:pPr>
              <w:jc w:val="right"/>
              <w:rPr>
                <w:color w:val="000000"/>
                <w:sz w:val="20"/>
                <w:szCs w:val="20"/>
              </w:rPr>
            </w:pPr>
            <w:r w:rsidRPr="00DB4921">
              <w:rPr>
                <w:color w:val="000000"/>
                <w:sz w:val="20"/>
                <w:szCs w:val="20"/>
              </w:rPr>
              <w:t>(1 135,75)</w:t>
            </w:r>
          </w:p>
        </w:tc>
      </w:tr>
      <w:tr w:rsidR="00E00F73" w:rsidRPr="0069383A" w14:paraId="39F5D9DC"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4E2333C8" w14:textId="77777777" w:rsidR="00E00F73" w:rsidRPr="00DB4921" w:rsidRDefault="00E00F73" w:rsidP="00CE5EBA">
            <w:pPr>
              <w:rPr>
                <w:color w:val="000000"/>
                <w:sz w:val="20"/>
                <w:szCs w:val="20"/>
              </w:rPr>
            </w:pPr>
            <w:r w:rsidRPr="00DB4921">
              <w:rPr>
                <w:sz w:val="20"/>
              </w:rPr>
              <w:t>Moins : Utilisation des réserves pour les réunions extraordinaires</w:t>
            </w:r>
          </w:p>
        </w:tc>
        <w:tc>
          <w:tcPr>
            <w:tcW w:w="3763" w:type="dxa"/>
            <w:tcBorders>
              <w:top w:val="nil"/>
              <w:left w:val="nil"/>
              <w:bottom w:val="single" w:sz="4" w:space="0" w:color="auto"/>
              <w:right w:val="single" w:sz="4" w:space="0" w:color="auto"/>
            </w:tcBorders>
            <w:shd w:val="clear" w:color="auto" w:fill="auto"/>
            <w:vAlign w:val="center"/>
            <w:hideMark/>
          </w:tcPr>
          <w:p w14:paraId="378665A2" w14:textId="77777777" w:rsidR="00E00F73" w:rsidRPr="00DB4921" w:rsidRDefault="00E00F73" w:rsidP="00CE5EBA">
            <w:pPr>
              <w:jc w:val="right"/>
              <w:rPr>
                <w:color w:val="000000"/>
                <w:sz w:val="20"/>
                <w:szCs w:val="20"/>
              </w:rPr>
            </w:pPr>
            <w:r w:rsidRPr="00DB4921">
              <w:rPr>
                <w:color w:val="000000"/>
                <w:sz w:val="20"/>
                <w:szCs w:val="20"/>
              </w:rPr>
              <w:t>(292,67)</w:t>
            </w:r>
          </w:p>
        </w:tc>
      </w:tr>
      <w:tr w:rsidR="00E00F73" w:rsidRPr="0069383A" w14:paraId="0C2DC22A" w14:textId="77777777" w:rsidTr="00CE5EBA">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27B396E1" w14:textId="77777777" w:rsidR="00E00F73" w:rsidRPr="0069383A" w:rsidRDefault="00E00F73" w:rsidP="00CE5EBA">
            <w:pPr>
              <w:rPr>
                <w:b/>
                <w:bCs/>
                <w:color w:val="000000"/>
                <w:sz w:val="20"/>
                <w:szCs w:val="20"/>
              </w:rPr>
            </w:pPr>
            <w:r w:rsidRPr="00DB24BC">
              <w:rPr>
                <w:b/>
                <w:sz w:val="20"/>
              </w:rPr>
              <w:t>Total net (montant à partager entre les parties)</w:t>
            </w:r>
          </w:p>
        </w:tc>
        <w:tc>
          <w:tcPr>
            <w:tcW w:w="3763" w:type="dxa"/>
            <w:tcBorders>
              <w:top w:val="nil"/>
              <w:left w:val="nil"/>
              <w:bottom w:val="single" w:sz="4" w:space="0" w:color="auto"/>
              <w:right w:val="single" w:sz="4" w:space="0" w:color="auto"/>
            </w:tcBorders>
            <w:shd w:val="clear" w:color="auto" w:fill="auto"/>
            <w:vAlign w:val="center"/>
            <w:hideMark/>
          </w:tcPr>
          <w:p w14:paraId="2FAFF3EE" w14:textId="77777777" w:rsidR="00E00F73" w:rsidRPr="0069383A" w:rsidRDefault="00E00F73" w:rsidP="00CE5EBA">
            <w:pPr>
              <w:jc w:val="right"/>
              <w:rPr>
                <w:b/>
                <w:bCs/>
                <w:color w:val="000000"/>
                <w:sz w:val="20"/>
                <w:szCs w:val="20"/>
              </w:rPr>
            </w:pPr>
            <w:r w:rsidRPr="0069383A">
              <w:rPr>
                <w:b/>
                <w:bCs/>
                <w:color w:val="000000"/>
                <w:sz w:val="20"/>
                <w:szCs w:val="20"/>
              </w:rPr>
              <w:t>10 983,32</w:t>
            </w:r>
          </w:p>
        </w:tc>
      </w:tr>
      <w:tr w:rsidR="00E00F73" w:rsidRPr="0069383A" w14:paraId="73FF235D" w14:textId="77777777" w:rsidTr="00CE5EBA">
        <w:trPr>
          <w:trHeight w:val="70"/>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27E6A6C" w14:textId="77777777" w:rsidR="00E00F73" w:rsidRPr="0069383A" w:rsidRDefault="00E00F73" w:rsidP="00CE5EBA">
            <w:pPr>
              <w:rPr>
                <w:color w:val="000000"/>
                <w:sz w:val="20"/>
                <w:szCs w:val="20"/>
              </w:rPr>
            </w:pPr>
            <w:r w:rsidRPr="0069383A">
              <w:rPr>
                <w:color w:val="000000"/>
                <w:sz w:val="20"/>
                <w:szCs w:val="20"/>
              </w:rPr>
              <w:t> </w:t>
            </w:r>
          </w:p>
        </w:tc>
        <w:tc>
          <w:tcPr>
            <w:tcW w:w="3763" w:type="dxa"/>
            <w:tcBorders>
              <w:top w:val="nil"/>
              <w:left w:val="nil"/>
              <w:bottom w:val="single" w:sz="4" w:space="0" w:color="auto"/>
              <w:right w:val="single" w:sz="4" w:space="0" w:color="auto"/>
            </w:tcBorders>
            <w:shd w:val="clear" w:color="auto" w:fill="auto"/>
            <w:vAlign w:val="center"/>
            <w:hideMark/>
          </w:tcPr>
          <w:p w14:paraId="56C58EAB" w14:textId="77777777" w:rsidR="00E00F73" w:rsidRPr="0069383A" w:rsidRDefault="00E00F73" w:rsidP="00CE5EBA">
            <w:pPr>
              <w:jc w:val="right"/>
              <w:rPr>
                <w:color w:val="000000"/>
                <w:sz w:val="20"/>
                <w:szCs w:val="20"/>
              </w:rPr>
            </w:pPr>
            <w:r w:rsidRPr="0069383A">
              <w:rPr>
                <w:color w:val="000000"/>
                <w:sz w:val="20"/>
                <w:szCs w:val="20"/>
              </w:rPr>
              <w:t> </w:t>
            </w:r>
          </w:p>
        </w:tc>
      </w:tr>
    </w:tbl>
    <w:p w14:paraId="1DFCA08C" w14:textId="77777777" w:rsidR="00E00F73" w:rsidRPr="0069383A" w:rsidRDefault="00E00F73" w:rsidP="00E00F73">
      <w:pPr>
        <w:rPr>
          <w:kern w:val="20"/>
          <w:sz w:val="16"/>
          <w:szCs w:val="16"/>
        </w:rPr>
      </w:pPr>
      <w:bookmarkStart w:id="7" w:name="_Hlk55478568"/>
      <w:bookmarkEnd w:id="6"/>
      <w:r w:rsidRPr="0069383A">
        <w:rPr>
          <w:kern w:val="20"/>
          <w:sz w:val="16"/>
          <w:szCs w:val="16"/>
        </w:rPr>
        <w:t>1/ Réunions à financer sur le budget intérimaire pour 2021 en complément du report selon le tableau 1 ci-dessus</w:t>
      </w:r>
    </w:p>
    <w:p w14:paraId="7FA7D4C6" w14:textId="77777777" w:rsidR="00E00F73" w:rsidRPr="0069383A" w:rsidRDefault="00E00F73" w:rsidP="00E00F73">
      <w:pPr>
        <w:rPr>
          <w:kern w:val="20"/>
          <w:sz w:val="16"/>
          <w:szCs w:val="16"/>
        </w:rPr>
      </w:pPr>
      <w:r w:rsidRPr="0069383A">
        <w:rPr>
          <w:kern w:val="20"/>
          <w:sz w:val="16"/>
          <w:szCs w:val="16"/>
        </w:rPr>
        <w:t>- Vingt-quatrième réunion de l'Organe subsidiaire chargé de fournir des avis scientifiques, techniques et technologiques</w:t>
      </w:r>
    </w:p>
    <w:p w14:paraId="649ABFCA" w14:textId="77777777" w:rsidR="00E00F73" w:rsidRPr="0069383A" w:rsidRDefault="00E00F73" w:rsidP="00E00F73">
      <w:pPr>
        <w:rPr>
          <w:kern w:val="20"/>
          <w:sz w:val="16"/>
          <w:szCs w:val="16"/>
        </w:rPr>
      </w:pPr>
      <w:r w:rsidRPr="0069383A">
        <w:rPr>
          <w:kern w:val="20"/>
          <w:sz w:val="16"/>
          <w:szCs w:val="16"/>
        </w:rPr>
        <w:t>- Troisième réunion de l'Organe subsidiaire chargé de l'application</w:t>
      </w:r>
    </w:p>
    <w:p w14:paraId="1FBC9EFF" w14:textId="77777777" w:rsidR="00E00F73" w:rsidRPr="0069383A" w:rsidRDefault="00E00F73" w:rsidP="00E00F73">
      <w:pPr>
        <w:rPr>
          <w:kern w:val="20"/>
          <w:sz w:val="16"/>
          <w:szCs w:val="16"/>
        </w:rPr>
      </w:pPr>
      <w:r w:rsidRPr="0069383A">
        <w:rPr>
          <w:kern w:val="20"/>
          <w:sz w:val="16"/>
          <w:szCs w:val="16"/>
        </w:rPr>
        <w:t xml:space="preserve">- Quinzième réunion de la Conférence des Parties à la Convention / Dixième réunion des Parties au Protocole de Cartagena / Quatrième réunion des Parties au Protocole de Nagoya tenues simultanément. </w:t>
      </w:r>
    </w:p>
    <w:p w14:paraId="222C64B8" w14:textId="77777777" w:rsidR="00E00F73" w:rsidRPr="0069383A" w:rsidRDefault="00E00F73" w:rsidP="00E00F73">
      <w:pPr>
        <w:rPr>
          <w:kern w:val="20"/>
          <w:sz w:val="16"/>
          <w:szCs w:val="16"/>
        </w:rPr>
      </w:pPr>
      <w:r w:rsidRPr="0069383A">
        <w:rPr>
          <w:kern w:val="20"/>
          <w:sz w:val="16"/>
          <w:szCs w:val="16"/>
        </w:rPr>
        <w:t xml:space="preserve">- Sessions virtuelles spéciales pour la vingt-quatrième réunion de l'Organe subsidiaire chargé de fournir des avis scientifiques, techniques et technologiques et la troisième réunion de l'Organe subsidiaire chargé de l'application </w:t>
      </w:r>
    </w:p>
    <w:p w14:paraId="1C20B6A5" w14:textId="77777777" w:rsidR="00E00F73" w:rsidRPr="0069383A" w:rsidRDefault="00E00F73" w:rsidP="00E00F73">
      <w:pPr>
        <w:rPr>
          <w:kern w:val="20"/>
          <w:sz w:val="16"/>
          <w:szCs w:val="16"/>
        </w:rPr>
      </w:pPr>
      <w:r w:rsidRPr="0069383A">
        <w:rPr>
          <w:kern w:val="20"/>
          <w:sz w:val="16"/>
          <w:szCs w:val="16"/>
        </w:rPr>
        <w:t>- Réunion informelle virtuelle de deux jours de pré-session (septembre 2020)</w:t>
      </w:r>
    </w:p>
    <w:p w14:paraId="2E0B9C94" w14:textId="77777777" w:rsidR="00E00F73" w:rsidRPr="0069383A" w:rsidRDefault="00E00F73" w:rsidP="00E00F73">
      <w:pPr>
        <w:rPr>
          <w:kern w:val="20"/>
          <w:sz w:val="16"/>
          <w:szCs w:val="16"/>
        </w:rPr>
      </w:pPr>
      <w:r w:rsidRPr="0069383A">
        <w:rPr>
          <w:kern w:val="20"/>
          <w:sz w:val="16"/>
          <w:szCs w:val="16"/>
        </w:rPr>
        <w:t xml:space="preserve">- Réunion virtuelle de 6 jours de pré-session pour la vingt-quatrième réunion de l'Organe subsidiaire chargé de fournir des avis scientifiques, techniques et technologiques </w:t>
      </w:r>
    </w:p>
    <w:p w14:paraId="0E829BEE" w14:textId="77777777" w:rsidR="00E00F73" w:rsidRPr="0069383A" w:rsidRDefault="00E00F73" w:rsidP="00E00F73">
      <w:pPr>
        <w:rPr>
          <w:kern w:val="20"/>
          <w:sz w:val="16"/>
          <w:szCs w:val="16"/>
        </w:rPr>
      </w:pPr>
      <w:r w:rsidRPr="0069383A">
        <w:rPr>
          <w:kern w:val="20"/>
          <w:sz w:val="16"/>
          <w:szCs w:val="16"/>
        </w:rPr>
        <w:t>- Réunion virtuelle de 6 jours de pré-session pour la troisième réunion de l'Organe subsidiaire chargé de l'application</w:t>
      </w:r>
    </w:p>
    <w:p w14:paraId="43A4BBD9" w14:textId="77777777" w:rsidR="00E00F73" w:rsidRPr="0069383A" w:rsidRDefault="00E00F73" w:rsidP="00E00F73">
      <w:pPr>
        <w:rPr>
          <w:kern w:val="20"/>
          <w:sz w:val="16"/>
          <w:szCs w:val="16"/>
        </w:rPr>
      </w:pPr>
      <w:r w:rsidRPr="0069383A">
        <w:rPr>
          <w:kern w:val="20"/>
          <w:sz w:val="16"/>
          <w:szCs w:val="16"/>
        </w:rPr>
        <w:t>- Ainsi que toute réunion supplémentaire de pré-session de l'Organe subsidiaire chargé de fournir des avis scientifiques et techniques  et de l'Organe subsidiaire chargé de l'application qui pourrait être décidée</w:t>
      </w:r>
    </w:p>
    <w:p w14:paraId="21C74B20" w14:textId="77777777" w:rsidR="00E00F73" w:rsidRPr="0069383A" w:rsidRDefault="00E00F73" w:rsidP="00E00F73">
      <w:pPr>
        <w:rPr>
          <w:kern w:val="20"/>
          <w:sz w:val="16"/>
          <w:szCs w:val="16"/>
        </w:rPr>
      </w:pPr>
    </w:p>
    <w:p w14:paraId="7599D58D" w14:textId="77777777" w:rsidR="00E00F73" w:rsidRPr="0069383A" w:rsidRDefault="00E00F73" w:rsidP="00E00F73"/>
    <w:p w14:paraId="29A274A4" w14:textId="77777777" w:rsidR="00E00F73" w:rsidRPr="0069383A" w:rsidRDefault="00E00F73" w:rsidP="00E00F73">
      <w:r w:rsidRPr="0069383A">
        <w:rPr>
          <w:color w:val="000000"/>
          <w:kern w:val="20"/>
          <w:sz w:val="16"/>
          <w:szCs w:val="16"/>
        </w:rPr>
        <w:t xml:space="preserve">2/ Une réunion extraordinaire sur le Cadre mondial de la biodiversité pour l'après-2020 </w:t>
      </w:r>
    </w:p>
    <w:bookmarkEnd w:id="7"/>
    <w:p w14:paraId="58617924" w14:textId="77777777" w:rsidR="00E00F73" w:rsidRPr="0069383A" w:rsidRDefault="00E00F73" w:rsidP="00E00F73">
      <w:pPr>
        <w:suppressLineNumbers/>
        <w:suppressAutoHyphens/>
        <w:spacing w:before="120" w:after="120"/>
        <w:rPr>
          <w:bCs/>
          <w:kern w:val="22"/>
          <w:szCs w:val="22"/>
        </w:rPr>
      </w:pPr>
    </w:p>
    <w:p w14:paraId="2E713172" w14:textId="77777777" w:rsidR="00E00F73" w:rsidRPr="00D37DF0" w:rsidRDefault="00E00F73" w:rsidP="00E00F73">
      <w:pPr>
        <w:keepNext/>
        <w:keepLines/>
        <w:suppressLineNumbers/>
        <w:suppressAutoHyphens/>
        <w:spacing w:before="240" w:after="120"/>
        <w:ind w:left="851"/>
        <w:rPr>
          <w:kern w:val="22"/>
          <w:sz w:val="22"/>
          <w:szCs w:val="22"/>
        </w:rPr>
      </w:pPr>
      <w:bookmarkStart w:id="8" w:name="_Hlk55553031"/>
      <w:r w:rsidRPr="00D37DF0">
        <w:rPr>
          <w:b/>
          <w:bCs/>
          <w:kern w:val="22"/>
          <w:sz w:val="22"/>
          <w:szCs w:val="22"/>
        </w:rPr>
        <w:lastRenderedPageBreak/>
        <w:t>Tableau 2b</w:t>
      </w:r>
      <w:r w:rsidRPr="00D37DF0">
        <w:rPr>
          <w:b/>
          <w:bCs/>
          <w:kern w:val="22"/>
          <w:sz w:val="22"/>
          <w:szCs w:val="22"/>
        </w:rPr>
        <w:br/>
        <w:t>Exigences en matière de ressources pour chaque division au titre des budgets de base intégrés pour l'année 2021</w:t>
      </w:r>
      <w:r w:rsidRPr="00D37DF0">
        <w:rPr>
          <w:b/>
          <w:bCs/>
          <w:kern w:val="22"/>
          <w:sz w:val="22"/>
          <w:szCs w:val="22"/>
        </w:rPr>
        <w:br/>
      </w:r>
      <w:r w:rsidRPr="00D37DF0">
        <w:rPr>
          <w:i/>
          <w:iCs/>
          <w:color w:val="000000" w:themeColor="text1"/>
          <w:kern w:val="22"/>
          <w:sz w:val="22"/>
          <w:szCs w:val="22"/>
        </w:rPr>
        <w:t>(Milliers de dollars des États-Unis)</w:t>
      </w:r>
    </w:p>
    <w:tbl>
      <w:tblPr>
        <w:tblW w:w="6160" w:type="dxa"/>
        <w:jc w:val="center"/>
        <w:tblLook w:val="04A0" w:firstRow="1" w:lastRow="0" w:firstColumn="1" w:lastColumn="0" w:noHBand="0" w:noVBand="1"/>
      </w:tblPr>
      <w:tblGrid>
        <w:gridCol w:w="4520"/>
        <w:gridCol w:w="1640"/>
      </w:tblGrid>
      <w:tr w:rsidR="00E00F73" w:rsidRPr="0069383A" w14:paraId="10CD8080" w14:textId="77777777" w:rsidTr="00CE5EBA">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4782B450" w14:textId="77777777" w:rsidR="00E00F73" w:rsidRPr="0069383A" w:rsidRDefault="00E00F73" w:rsidP="00CE5EBA">
            <w:pPr>
              <w:keepNext/>
              <w:keepLines/>
              <w:suppressLineNumbers/>
              <w:suppressAutoHyphens/>
              <w:rPr>
                <w:i/>
                <w:iCs/>
                <w:color w:val="000000" w:themeColor="text1"/>
                <w:kern w:val="22"/>
                <w:szCs w:val="22"/>
              </w:rPr>
            </w:pPr>
          </w:p>
        </w:tc>
        <w:tc>
          <w:tcPr>
            <w:tcW w:w="1640" w:type="dxa"/>
            <w:tcBorders>
              <w:top w:val="single" w:sz="12" w:space="0" w:color="auto"/>
              <w:left w:val="nil"/>
            </w:tcBorders>
            <w:shd w:val="clear" w:color="auto" w:fill="auto"/>
            <w:vAlign w:val="center"/>
            <w:hideMark/>
          </w:tcPr>
          <w:p w14:paraId="7C4C28FE" w14:textId="77777777" w:rsidR="00E00F73" w:rsidRPr="0069383A" w:rsidRDefault="00E00F73" w:rsidP="00CE5EBA">
            <w:pPr>
              <w:keepNext/>
              <w:keepLines/>
              <w:suppressLineNumbers/>
              <w:suppressAutoHyphens/>
              <w:jc w:val="center"/>
              <w:rPr>
                <w:i/>
                <w:color w:val="000000" w:themeColor="text1"/>
                <w:kern w:val="22"/>
                <w:szCs w:val="22"/>
              </w:rPr>
            </w:pPr>
            <w:r w:rsidRPr="0069383A">
              <w:rPr>
                <w:i/>
                <w:color w:val="000000" w:themeColor="text1"/>
                <w:kern w:val="22"/>
                <w:szCs w:val="22"/>
              </w:rPr>
              <w:t>2021</w:t>
            </w:r>
          </w:p>
        </w:tc>
      </w:tr>
      <w:tr w:rsidR="00E00F73" w:rsidRPr="0069383A" w14:paraId="7CC0AEFC" w14:textId="77777777" w:rsidTr="00CE5EBA">
        <w:trPr>
          <w:cantSplit/>
          <w:jc w:val="center"/>
        </w:trPr>
        <w:tc>
          <w:tcPr>
            <w:tcW w:w="4520" w:type="dxa"/>
            <w:tcBorders>
              <w:top w:val="single" w:sz="8" w:space="0" w:color="auto"/>
              <w:left w:val="nil"/>
              <w:bottom w:val="nil"/>
              <w:right w:val="nil"/>
            </w:tcBorders>
            <w:shd w:val="clear" w:color="auto" w:fill="auto"/>
            <w:hideMark/>
          </w:tcPr>
          <w:p w14:paraId="36C77B74" w14:textId="77777777" w:rsidR="00E00F73" w:rsidRPr="00DB24BC" w:rsidRDefault="00E00F73" w:rsidP="00CE5EBA">
            <w:pPr>
              <w:keepNext/>
              <w:keepLines/>
              <w:suppressLineNumbers/>
              <w:suppressAutoHyphens/>
              <w:rPr>
                <w:b/>
                <w:color w:val="000000" w:themeColor="text1"/>
                <w:kern w:val="22"/>
                <w:sz w:val="22"/>
                <w:szCs w:val="22"/>
              </w:rPr>
            </w:pPr>
            <w:r w:rsidRPr="00DB24BC">
              <w:rPr>
                <w:b/>
                <w:bCs/>
                <w:color w:val="000000" w:themeColor="text1"/>
                <w:kern w:val="22"/>
                <w:sz w:val="22"/>
                <w:szCs w:val="22"/>
              </w:rPr>
              <w:t>I. Programmes :</w:t>
            </w:r>
          </w:p>
        </w:tc>
        <w:tc>
          <w:tcPr>
            <w:tcW w:w="1640" w:type="dxa"/>
            <w:tcBorders>
              <w:top w:val="single" w:sz="8" w:space="0" w:color="auto"/>
              <w:left w:val="nil"/>
              <w:bottom w:val="nil"/>
              <w:right w:val="nil"/>
            </w:tcBorders>
            <w:shd w:val="clear" w:color="auto" w:fill="auto"/>
            <w:vAlign w:val="center"/>
            <w:hideMark/>
          </w:tcPr>
          <w:p w14:paraId="1DD7D986" w14:textId="77777777" w:rsidR="00E00F73" w:rsidRPr="00DB24BC" w:rsidRDefault="00E00F73" w:rsidP="00CE5EBA">
            <w:pPr>
              <w:keepNext/>
              <w:keepLines/>
              <w:suppressLineNumbers/>
              <w:suppressAutoHyphens/>
              <w:jc w:val="right"/>
              <w:rPr>
                <w:color w:val="000000" w:themeColor="text1"/>
                <w:kern w:val="22"/>
                <w:sz w:val="22"/>
                <w:szCs w:val="22"/>
              </w:rPr>
            </w:pPr>
          </w:p>
        </w:tc>
      </w:tr>
      <w:tr w:rsidR="00E00F73" w:rsidRPr="0069383A" w14:paraId="39A21DA4" w14:textId="77777777" w:rsidTr="00CE5EBA">
        <w:trPr>
          <w:trHeight w:val="288"/>
          <w:jc w:val="center"/>
        </w:trPr>
        <w:tc>
          <w:tcPr>
            <w:tcW w:w="4520" w:type="dxa"/>
            <w:tcBorders>
              <w:top w:val="nil"/>
              <w:left w:val="nil"/>
              <w:bottom w:val="nil"/>
              <w:right w:val="nil"/>
            </w:tcBorders>
            <w:shd w:val="clear" w:color="auto" w:fill="auto"/>
            <w:hideMark/>
          </w:tcPr>
          <w:p w14:paraId="0705FA6D"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 xml:space="preserve">  Bureau de la Secrétaire exécutive </w:t>
            </w:r>
          </w:p>
        </w:tc>
        <w:tc>
          <w:tcPr>
            <w:tcW w:w="1640" w:type="dxa"/>
            <w:tcBorders>
              <w:top w:val="nil"/>
              <w:left w:val="nil"/>
              <w:bottom w:val="nil"/>
              <w:right w:val="nil"/>
            </w:tcBorders>
            <w:shd w:val="clear" w:color="auto" w:fill="auto"/>
            <w:hideMark/>
          </w:tcPr>
          <w:p w14:paraId="0B64EB43" w14:textId="77777777" w:rsidR="00E00F73" w:rsidRPr="00DB24BC" w:rsidRDefault="00E00F73" w:rsidP="00CE5EBA">
            <w:pPr>
              <w:keepNext/>
              <w:keepLines/>
              <w:suppressLineNumbers/>
              <w:suppressAutoHyphens/>
              <w:ind w:right="289"/>
              <w:jc w:val="right"/>
              <w:rPr>
                <w:color w:val="000000" w:themeColor="text1"/>
                <w:kern w:val="22"/>
                <w:sz w:val="22"/>
                <w:szCs w:val="22"/>
              </w:rPr>
            </w:pPr>
            <w:r w:rsidRPr="00DB24BC">
              <w:rPr>
                <w:color w:val="000000" w:themeColor="text1"/>
                <w:kern w:val="22"/>
                <w:sz w:val="22"/>
                <w:szCs w:val="22"/>
              </w:rPr>
              <w:t>2 404,4</w:t>
            </w:r>
          </w:p>
        </w:tc>
      </w:tr>
      <w:tr w:rsidR="00E00F73" w:rsidRPr="0069383A" w14:paraId="4D6585E9" w14:textId="77777777" w:rsidTr="00CE5EBA">
        <w:trPr>
          <w:trHeight w:val="288"/>
          <w:jc w:val="center"/>
        </w:trPr>
        <w:tc>
          <w:tcPr>
            <w:tcW w:w="4520" w:type="dxa"/>
            <w:tcBorders>
              <w:top w:val="nil"/>
              <w:left w:val="nil"/>
              <w:bottom w:val="nil"/>
              <w:right w:val="nil"/>
            </w:tcBorders>
            <w:shd w:val="clear" w:color="auto" w:fill="auto"/>
            <w:hideMark/>
          </w:tcPr>
          <w:p w14:paraId="1B57EE2D"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 xml:space="preserve">  Protocoles APA et BS</w:t>
            </w:r>
          </w:p>
        </w:tc>
        <w:tc>
          <w:tcPr>
            <w:tcW w:w="1640" w:type="dxa"/>
            <w:tcBorders>
              <w:top w:val="nil"/>
              <w:left w:val="nil"/>
              <w:bottom w:val="nil"/>
              <w:right w:val="nil"/>
            </w:tcBorders>
            <w:shd w:val="clear" w:color="auto" w:fill="auto"/>
            <w:hideMark/>
          </w:tcPr>
          <w:p w14:paraId="175906C6" w14:textId="77777777" w:rsidR="00E00F73" w:rsidRPr="00DB24BC" w:rsidRDefault="00E00F73" w:rsidP="00CE5EBA">
            <w:pPr>
              <w:keepNext/>
              <w:keepLines/>
              <w:suppressLineNumbers/>
              <w:suppressAutoHyphens/>
              <w:ind w:right="289"/>
              <w:jc w:val="right"/>
              <w:rPr>
                <w:color w:val="000000" w:themeColor="text1"/>
                <w:kern w:val="22"/>
                <w:sz w:val="22"/>
                <w:szCs w:val="22"/>
              </w:rPr>
            </w:pPr>
            <w:r w:rsidRPr="00DB24BC">
              <w:rPr>
                <w:color w:val="000000" w:themeColor="text1"/>
                <w:kern w:val="22"/>
                <w:sz w:val="22"/>
                <w:szCs w:val="22"/>
              </w:rPr>
              <w:t>2 283,4</w:t>
            </w:r>
          </w:p>
        </w:tc>
      </w:tr>
      <w:tr w:rsidR="00E00F73" w:rsidRPr="0069383A" w14:paraId="528AEA5B" w14:textId="77777777" w:rsidTr="00CE5EBA">
        <w:trPr>
          <w:trHeight w:val="288"/>
          <w:jc w:val="center"/>
        </w:trPr>
        <w:tc>
          <w:tcPr>
            <w:tcW w:w="4520" w:type="dxa"/>
            <w:tcBorders>
              <w:top w:val="nil"/>
              <w:left w:val="nil"/>
              <w:bottom w:val="nil"/>
              <w:right w:val="nil"/>
            </w:tcBorders>
            <w:shd w:val="clear" w:color="auto" w:fill="auto"/>
            <w:hideMark/>
          </w:tcPr>
          <w:p w14:paraId="4ACF2D63" w14:textId="77777777" w:rsidR="00E00F73" w:rsidRPr="00DB24BC" w:rsidRDefault="00E00F73" w:rsidP="00CE5EBA">
            <w:pPr>
              <w:keepNext/>
              <w:keepLines/>
              <w:suppressLineNumbers/>
              <w:suppressAutoHyphens/>
              <w:rPr>
                <w:color w:val="000000" w:themeColor="text1"/>
                <w:spacing w:val="-6"/>
                <w:kern w:val="22"/>
                <w:sz w:val="22"/>
                <w:szCs w:val="22"/>
              </w:rPr>
            </w:pPr>
            <w:r w:rsidRPr="00DB24BC">
              <w:rPr>
                <w:color w:val="000000" w:themeColor="text1"/>
                <w:kern w:val="22"/>
                <w:sz w:val="22"/>
                <w:szCs w:val="22"/>
              </w:rPr>
              <w:t xml:space="preserve">  Division de la science, de la société et de l'avenir durable</w:t>
            </w:r>
          </w:p>
        </w:tc>
        <w:tc>
          <w:tcPr>
            <w:tcW w:w="1640" w:type="dxa"/>
            <w:tcBorders>
              <w:top w:val="nil"/>
              <w:left w:val="nil"/>
              <w:bottom w:val="nil"/>
              <w:right w:val="nil"/>
            </w:tcBorders>
            <w:shd w:val="clear" w:color="auto" w:fill="auto"/>
            <w:hideMark/>
          </w:tcPr>
          <w:p w14:paraId="090CFE78" w14:textId="77777777" w:rsidR="00E00F73" w:rsidRPr="00DB24BC" w:rsidRDefault="00E00F73" w:rsidP="00CE5EBA">
            <w:pPr>
              <w:keepNext/>
              <w:keepLines/>
              <w:suppressLineNumbers/>
              <w:suppressAutoHyphens/>
              <w:ind w:right="289"/>
              <w:jc w:val="right"/>
              <w:rPr>
                <w:color w:val="000000" w:themeColor="text1"/>
                <w:kern w:val="22"/>
                <w:sz w:val="22"/>
                <w:szCs w:val="22"/>
              </w:rPr>
            </w:pPr>
            <w:r w:rsidRPr="00DB24BC">
              <w:rPr>
                <w:color w:val="000000" w:themeColor="text1"/>
                <w:kern w:val="22"/>
                <w:sz w:val="22"/>
                <w:szCs w:val="22"/>
              </w:rPr>
              <w:t>3 316,75</w:t>
            </w:r>
          </w:p>
        </w:tc>
      </w:tr>
      <w:tr w:rsidR="00E00F73" w:rsidRPr="0069383A" w14:paraId="008F47F6" w14:textId="77777777" w:rsidTr="00CE5EBA">
        <w:trPr>
          <w:trHeight w:val="300"/>
          <w:jc w:val="center"/>
        </w:trPr>
        <w:tc>
          <w:tcPr>
            <w:tcW w:w="4520" w:type="dxa"/>
            <w:tcBorders>
              <w:top w:val="nil"/>
              <w:left w:val="nil"/>
              <w:bottom w:val="single" w:sz="8" w:space="0" w:color="auto"/>
              <w:right w:val="nil"/>
            </w:tcBorders>
            <w:shd w:val="clear" w:color="auto" w:fill="auto"/>
            <w:hideMark/>
          </w:tcPr>
          <w:p w14:paraId="364D77B5"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 xml:space="preserve">  Division du soutien à la mise en œuvre</w:t>
            </w:r>
          </w:p>
        </w:tc>
        <w:tc>
          <w:tcPr>
            <w:tcW w:w="1640" w:type="dxa"/>
            <w:tcBorders>
              <w:top w:val="nil"/>
              <w:left w:val="nil"/>
              <w:bottom w:val="single" w:sz="8" w:space="0" w:color="auto"/>
              <w:right w:val="nil"/>
            </w:tcBorders>
            <w:shd w:val="clear" w:color="auto" w:fill="auto"/>
            <w:hideMark/>
          </w:tcPr>
          <w:p w14:paraId="54F61BA4" w14:textId="77777777" w:rsidR="00E00F73" w:rsidRPr="00DB24BC" w:rsidRDefault="00E00F73" w:rsidP="00CE5EBA">
            <w:pPr>
              <w:keepNext/>
              <w:keepLines/>
              <w:suppressLineNumbers/>
              <w:suppressAutoHyphens/>
              <w:ind w:right="289"/>
              <w:jc w:val="right"/>
              <w:rPr>
                <w:color w:val="000000" w:themeColor="text1"/>
                <w:kern w:val="22"/>
                <w:sz w:val="22"/>
                <w:szCs w:val="22"/>
              </w:rPr>
            </w:pPr>
            <w:r w:rsidRPr="00DB24BC">
              <w:rPr>
                <w:color w:val="000000" w:themeColor="text1"/>
                <w:kern w:val="22"/>
                <w:sz w:val="22"/>
                <w:szCs w:val="22"/>
              </w:rPr>
              <w:t>4 262,15</w:t>
            </w:r>
          </w:p>
        </w:tc>
      </w:tr>
      <w:tr w:rsidR="00E00F73" w:rsidRPr="0069383A" w14:paraId="0C464C6C" w14:textId="77777777" w:rsidTr="00CE5EBA">
        <w:trPr>
          <w:trHeight w:val="300"/>
          <w:jc w:val="center"/>
        </w:trPr>
        <w:tc>
          <w:tcPr>
            <w:tcW w:w="4520" w:type="dxa"/>
            <w:tcBorders>
              <w:top w:val="nil"/>
              <w:left w:val="nil"/>
              <w:bottom w:val="single" w:sz="8" w:space="0" w:color="auto"/>
              <w:right w:val="nil"/>
            </w:tcBorders>
            <w:shd w:val="clear" w:color="auto" w:fill="auto"/>
            <w:hideMark/>
          </w:tcPr>
          <w:p w14:paraId="13C852A1" w14:textId="77777777" w:rsidR="00E00F73" w:rsidRPr="00DB24BC" w:rsidRDefault="00E00F73" w:rsidP="00CE5EBA">
            <w:pPr>
              <w:keepNext/>
              <w:keepLines/>
              <w:suppressLineNumbers/>
              <w:suppressAutoHyphens/>
              <w:rPr>
                <w:b/>
                <w:color w:val="000000" w:themeColor="text1"/>
                <w:kern w:val="22"/>
                <w:sz w:val="22"/>
                <w:szCs w:val="22"/>
              </w:rPr>
            </w:pPr>
            <w:r w:rsidRPr="00DB24BC">
              <w:rPr>
                <w:b/>
                <w:bCs/>
                <w:color w:val="000000" w:themeColor="text1"/>
                <w:kern w:val="22"/>
                <w:sz w:val="22"/>
                <w:szCs w:val="22"/>
              </w:rPr>
              <w:t>II. Administration, finances et services de conférence</w:t>
            </w:r>
          </w:p>
        </w:tc>
        <w:tc>
          <w:tcPr>
            <w:tcW w:w="1640" w:type="dxa"/>
            <w:tcBorders>
              <w:top w:val="nil"/>
              <w:left w:val="nil"/>
              <w:bottom w:val="single" w:sz="8" w:space="0" w:color="auto"/>
              <w:right w:val="nil"/>
            </w:tcBorders>
            <w:shd w:val="clear" w:color="auto" w:fill="auto"/>
            <w:hideMark/>
          </w:tcPr>
          <w:p w14:paraId="0716AF0D" w14:textId="77777777" w:rsidR="00E00F73" w:rsidRPr="00DB24BC" w:rsidRDefault="00E00F73" w:rsidP="00CE5EBA">
            <w:pPr>
              <w:keepNext/>
              <w:keepLines/>
              <w:suppressLineNumbers/>
              <w:suppressAutoHyphens/>
              <w:ind w:right="289"/>
              <w:jc w:val="right"/>
              <w:rPr>
                <w:color w:val="000000" w:themeColor="text1"/>
                <w:kern w:val="22"/>
                <w:sz w:val="22"/>
                <w:szCs w:val="22"/>
              </w:rPr>
            </w:pPr>
            <w:r w:rsidRPr="00DB24BC">
              <w:rPr>
                <w:color w:val="000000" w:themeColor="text1"/>
                <w:kern w:val="22"/>
                <w:sz w:val="22"/>
                <w:szCs w:val="22"/>
              </w:rPr>
              <w:t>2 921,7</w:t>
            </w:r>
          </w:p>
        </w:tc>
      </w:tr>
      <w:tr w:rsidR="00E00F73" w:rsidRPr="0069383A" w14:paraId="073B8DA6" w14:textId="77777777" w:rsidTr="00CE5EBA">
        <w:trPr>
          <w:trHeight w:val="300"/>
          <w:jc w:val="center"/>
        </w:trPr>
        <w:tc>
          <w:tcPr>
            <w:tcW w:w="4520" w:type="dxa"/>
            <w:tcBorders>
              <w:top w:val="nil"/>
              <w:left w:val="nil"/>
              <w:bottom w:val="single" w:sz="12" w:space="0" w:color="auto"/>
              <w:right w:val="nil"/>
            </w:tcBorders>
            <w:shd w:val="clear" w:color="auto" w:fill="auto"/>
            <w:hideMark/>
          </w:tcPr>
          <w:p w14:paraId="7FEE7A06" w14:textId="77777777" w:rsidR="00E00F73" w:rsidRPr="00DB24BC" w:rsidRDefault="00E00F73" w:rsidP="00CE5EBA">
            <w:pPr>
              <w:keepNext/>
              <w:keepLines/>
              <w:suppressLineNumbers/>
              <w:suppressAutoHyphens/>
              <w:rPr>
                <w:b/>
                <w:color w:val="000000" w:themeColor="text1"/>
                <w:kern w:val="22"/>
                <w:sz w:val="22"/>
                <w:szCs w:val="22"/>
              </w:rPr>
            </w:pPr>
            <w:r w:rsidRPr="00DB24BC">
              <w:rPr>
                <w:b/>
                <w:bCs/>
                <w:color w:val="000000" w:themeColor="text1"/>
                <w:kern w:val="22"/>
                <w:sz w:val="22"/>
                <w:szCs w:val="22"/>
              </w:rPr>
              <w:t>Sous-total</w:t>
            </w:r>
          </w:p>
        </w:tc>
        <w:tc>
          <w:tcPr>
            <w:tcW w:w="1640" w:type="dxa"/>
            <w:tcBorders>
              <w:top w:val="nil"/>
              <w:left w:val="nil"/>
              <w:bottom w:val="single" w:sz="12" w:space="0" w:color="auto"/>
              <w:right w:val="nil"/>
            </w:tcBorders>
            <w:shd w:val="clear" w:color="auto" w:fill="auto"/>
            <w:hideMark/>
          </w:tcPr>
          <w:p w14:paraId="7ACC35DE" w14:textId="77777777" w:rsidR="00E00F73" w:rsidRPr="00DB24BC" w:rsidRDefault="00E00F73" w:rsidP="00CE5EBA">
            <w:pPr>
              <w:keepNext/>
              <w:keepLines/>
              <w:suppressLineNumbers/>
              <w:suppressAutoHyphens/>
              <w:ind w:right="289"/>
              <w:jc w:val="right"/>
              <w:rPr>
                <w:b/>
                <w:color w:val="000000" w:themeColor="text1"/>
                <w:kern w:val="22"/>
                <w:sz w:val="22"/>
                <w:szCs w:val="22"/>
              </w:rPr>
            </w:pPr>
            <w:r w:rsidRPr="00DB24BC">
              <w:rPr>
                <w:b/>
                <w:color w:val="000000" w:themeColor="text1"/>
                <w:kern w:val="22"/>
                <w:sz w:val="22"/>
                <w:szCs w:val="22"/>
              </w:rPr>
              <w:t>15 188,40</w:t>
            </w:r>
          </w:p>
        </w:tc>
      </w:tr>
      <w:tr w:rsidR="00E00F73" w:rsidRPr="0069383A" w14:paraId="4ADE27D6" w14:textId="77777777" w:rsidTr="00CE5EBA">
        <w:trPr>
          <w:trHeight w:val="300"/>
          <w:jc w:val="center"/>
        </w:trPr>
        <w:tc>
          <w:tcPr>
            <w:tcW w:w="4520" w:type="dxa"/>
            <w:tcBorders>
              <w:top w:val="nil"/>
              <w:left w:val="nil"/>
              <w:bottom w:val="nil"/>
              <w:right w:val="nil"/>
            </w:tcBorders>
            <w:shd w:val="clear" w:color="auto" w:fill="auto"/>
            <w:hideMark/>
          </w:tcPr>
          <w:p w14:paraId="12B5C07F"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 xml:space="preserve">Frais de soutien au programme </w:t>
            </w:r>
          </w:p>
        </w:tc>
        <w:tc>
          <w:tcPr>
            <w:tcW w:w="1640" w:type="dxa"/>
            <w:tcBorders>
              <w:top w:val="nil"/>
              <w:left w:val="nil"/>
              <w:bottom w:val="nil"/>
              <w:right w:val="nil"/>
            </w:tcBorders>
            <w:shd w:val="clear" w:color="auto" w:fill="auto"/>
            <w:hideMark/>
          </w:tcPr>
          <w:p w14:paraId="61A67B89" w14:textId="77777777" w:rsidR="00E00F73" w:rsidRPr="00DB24BC" w:rsidRDefault="00E00F73" w:rsidP="00CE5EBA">
            <w:pPr>
              <w:keepNext/>
              <w:keepLines/>
              <w:suppressLineNumbers/>
              <w:suppressAutoHyphens/>
              <w:ind w:right="289"/>
              <w:jc w:val="right"/>
              <w:rPr>
                <w:color w:val="000000" w:themeColor="text1"/>
                <w:kern w:val="22"/>
                <w:sz w:val="22"/>
                <w:szCs w:val="22"/>
              </w:rPr>
            </w:pPr>
            <w:r w:rsidRPr="00DB24BC">
              <w:rPr>
                <w:color w:val="000000" w:themeColor="text1"/>
                <w:kern w:val="22"/>
                <w:sz w:val="22"/>
                <w:szCs w:val="22"/>
              </w:rPr>
              <w:t>1 974,49</w:t>
            </w:r>
          </w:p>
        </w:tc>
      </w:tr>
      <w:tr w:rsidR="00E00F73" w:rsidRPr="0069383A" w14:paraId="487A8D81" w14:textId="77777777" w:rsidTr="00CE5EBA">
        <w:trPr>
          <w:trHeight w:val="300"/>
          <w:jc w:val="center"/>
        </w:trPr>
        <w:tc>
          <w:tcPr>
            <w:tcW w:w="4520" w:type="dxa"/>
            <w:tcBorders>
              <w:top w:val="nil"/>
              <w:left w:val="nil"/>
              <w:bottom w:val="single" w:sz="8" w:space="0" w:color="auto"/>
              <w:right w:val="nil"/>
            </w:tcBorders>
            <w:shd w:val="clear" w:color="auto" w:fill="auto"/>
            <w:hideMark/>
          </w:tcPr>
          <w:p w14:paraId="47AB1A41" w14:textId="77777777" w:rsidR="00E00F73" w:rsidRPr="00DB24BC" w:rsidRDefault="00E00F73" w:rsidP="00CE5EBA">
            <w:pPr>
              <w:keepNext/>
              <w:keepLines/>
              <w:suppressLineNumbers/>
              <w:suppressAutoHyphens/>
              <w:rPr>
                <w:b/>
                <w:color w:val="000000" w:themeColor="text1"/>
                <w:kern w:val="22"/>
                <w:sz w:val="22"/>
                <w:szCs w:val="22"/>
              </w:rPr>
            </w:pPr>
            <w:r w:rsidRPr="00DB24BC">
              <w:rPr>
                <w:b/>
                <w:bCs/>
                <w:color w:val="000000" w:themeColor="text1"/>
                <w:kern w:val="22"/>
                <w:sz w:val="22"/>
                <w:szCs w:val="22"/>
              </w:rPr>
              <w:t xml:space="preserve">III. Réserve de trésorerie </w:t>
            </w:r>
          </w:p>
        </w:tc>
        <w:tc>
          <w:tcPr>
            <w:tcW w:w="1640" w:type="dxa"/>
            <w:tcBorders>
              <w:top w:val="nil"/>
              <w:left w:val="nil"/>
              <w:bottom w:val="single" w:sz="8" w:space="0" w:color="auto"/>
              <w:right w:val="nil"/>
            </w:tcBorders>
            <w:shd w:val="clear" w:color="auto" w:fill="auto"/>
            <w:hideMark/>
          </w:tcPr>
          <w:p w14:paraId="0A1AFD78" w14:textId="77777777" w:rsidR="00E00F73" w:rsidRPr="00DB24BC" w:rsidRDefault="00E00F73" w:rsidP="00CE5EBA">
            <w:pPr>
              <w:keepNext/>
              <w:keepLines/>
              <w:suppressLineNumbers/>
              <w:suppressAutoHyphens/>
              <w:ind w:right="289"/>
              <w:jc w:val="right"/>
              <w:rPr>
                <w:color w:val="000000" w:themeColor="text1"/>
                <w:kern w:val="22"/>
                <w:sz w:val="22"/>
                <w:szCs w:val="22"/>
              </w:rPr>
            </w:pPr>
            <w:r w:rsidRPr="00DB24BC">
              <w:rPr>
                <w:color w:val="000000" w:themeColor="text1"/>
                <w:kern w:val="22"/>
                <w:sz w:val="22"/>
                <w:szCs w:val="22"/>
              </w:rPr>
              <w:t>(390,27)</w:t>
            </w:r>
          </w:p>
        </w:tc>
      </w:tr>
      <w:tr w:rsidR="00E00F73" w:rsidRPr="0069383A" w14:paraId="652E175C" w14:textId="77777777" w:rsidTr="00CE5EBA">
        <w:trPr>
          <w:trHeight w:val="300"/>
          <w:jc w:val="center"/>
        </w:trPr>
        <w:tc>
          <w:tcPr>
            <w:tcW w:w="4520" w:type="dxa"/>
            <w:tcBorders>
              <w:top w:val="nil"/>
              <w:left w:val="nil"/>
              <w:bottom w:val="single" w:sz="4" w:space="0" w:color="auto"/>
              <w:right w:val="nil"/>
            </w:tcBorders>
            <w:shd w:val="clear" w:color="auto" w:fill="auto"/>
            <w:hideMark/>
          </w:tcPr>
          <w:p w14:paraId="20936E73" w14:textId="77777777" w:rsidR="00E00F73" w:rsidRPr="00DB24BC" w:rsidRDefault="00E00F73" w:rsidP="00CE5EBA">
            <w:pPr>
              <w:keepNext/>
              <w:keepLines/>
              <w:suppressLineNumbers/>
              <w:suppressAutoHyphens/>
              <w:rPr>
                <w:b/>
                <w:color w:val="000000" w:themeColor="text1"/>
                <w:kern w:val="22"/>
                <w:sz w:val="22"/>
                <w:szCs w:val="22"/>
              </w:rPr>
            </w:pPr>
            <w:r w:rsidRPr="00DB24BC">
              <w:rPr>
                <w:b/>
                <w:bCs/>
                <w:color w:val="000000" w:themeColor="text1"/>
                <w:kern w:val="22"/>
                <w:sz w:val="22"/>
                <w:szCs w:val="22"/>
              </w:rPr>
              <w:t>Total</w:t>
            </w:r>
          </w:p>
        </w:tc>
        <w:tc>
          <w:tcPr>
            <w:tcW w:w="1640" w:type="dxa"/>
            <w:tcBorders>
              <w:top w:val="nil"/>
              <w:left w:val="nil"/>
              <w:bottom w:val="single" w:sz="4" w:space="0" w:color="auto"/>
              <w:right w:val="nil"/>
            </w:tcBorders>
            <w:shd w:val="clear" w:color="auto" w:fill="auto"/>
            <w:hideMark/>
          </w:tcPr>
          <w:p w14:paraId="5300EA6C" w14:textId="77777777" w:rsidR="00E00F73" w:rsidRPr="00DB24BC" w:rsidRDefault="00E00F73" w:rsidP="00CE5EBA">
            <w:pPr>
              <w:keepNext/>
              <w:keepLines/>
              <w:suppressLineNumbers/>
              <w:suppressAutoHyphens/>
              <w:ind w:right="289"/>
              <w:jc w:val="right"/>
              <w:rPr>
                <w:b/>
                <w:color w:val="000000" w:themeColor="text1"/>
                <w:kern w:val="22"/>
                <w:sz w:val="22"/>
                <w:szCs w:val="22"/>
              </w:rPr>
            </w:pPr>
            <w:r w:rsidRPr="00DB24BC">
              <w:rPr>
                <w:b/>
                <w:color w:val="000000" w:themeColor="text1"/>
                <w:kern w:val="22"/>
                <w:sz w:val="22"/>
                <w:szCs w:val="22"/>
              </w:rPr>
              <w:t>16 772,63</w:t>
            </w:r>
          </w:p>
        </w:tc>
      </w:tr>
      <w:tr w:rsidR="00E00F73" w:rsidRPr="0069383A" w14:paraId="6A46AC39" w14:textId="77777777" w:rsidTr="00CE5EBA">
        <w:trPr>
          <w:trHeight w:val="300"/>
          <w:jc w:val="center"/>
        </w:trPr>
        <w:tc>
          <w:tcPr>
            <w:tcW w:w="4520" w:type="dxa"/>
            <w:tcBorders>
              <w:top w:val="single" w:sz="4" w:space="0" w:color="auto"/>
              <w:bottom w:val="single" w:sz="4" w:space="0" w:color="auto"/>
              <w:right w:val="nil"/>
            </w:tcBorders>
            <w:shd w:val="clear" w:color="auto" w:fill="auto"/>
          </w:tcPr>
          <w:p w14:paraId="3443145E"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Part de la Convention dans le budget intégré (74%)</w:t>
            </w:r>
          </w:p>
        </w:tc>
        <w:tc>
          <w:tcPr>
            <w:tcW w:w="1640" w:type="dxa"/>
            <w:tcBorders>
              <w:top w:val="single" w:sz="4" w:space="0" w:color="auto"/>
              <w:left w:val="nil"/>
              <w:bottom w:val="single" w:sz="4" w:space="0" w:color="auto"/>
            </w:tcBorders>
            <w:shd w:val="clear" w:color="auto" w:fill="auto"/>
          </w:tcPr>
          <w:p w14:paraId="0C711BDD" w14:textId="77777777" w:rsidR="00E00F73" w:rsidRPr="00DB24BC" w:rsidRDefault="00E00F73" w:rsidP="00CE5EBA">
            <w:pPr>
              <w:keepNext/>
              <w:keepLines/>
              <w:suppressLineNumbers/>
              <w:suppressAutoHyphens/>
              <w:ind w:right="289"/>
              <w:jc w:val="right"/>
              <w:rPr>
                <w:bCs/>
                <w:color w:val="000000" w:themeColor="text1"/>
                <w:kern w:val="22"/>
                <w:sz w:val="22"/>
                <w:szCs w:val="22"/>
              </w:rPr>
            </w:pPr>
            <w:r w:rsidRPr="00DB24BC">
              <w:rPr>
                <w:bCs/>
                <w:color w:val="000000" w:themeColor="text1"/>
                <w:kern w:val="22"/>
                <w:sz w:val="22"/>
                <w:szCs w:val="22"/>
              </w:rPr>
              <w:t>12 411,74</w:t>
            </w:r>
          </w:p>
        </w:tc>
      </w:tr>
      <w:tr w:rsidR="00E00F73" w:rsidRPr="0069383A" w14:paraId="347BA66F" w14:textId="77777777" w:rsidTr="00CE5EBA">
        <w:trPr>
          <w:trHeight w:val="300"/>
          <w:jc w:val="center"/>
        </w:trPr>
        <w:tc>
          <w:tcPr>
            <w:tcW w:w="4520" w:type="dxa"/>
            <w:tcBorders>
              <w:top w:val="single" w:sz="4" w:space="0" w:color="auto"/>
              <w:left w:val="nil"/>
              <w:bottom w:val="single" w:sz="4" w:space="0" w:color="auto"/>
              <w:right w:val="nil"/>
            </w:tcBorders>
            <w:shd w:val="clear" w:color="auto" w:fill="auto"/>
          </w:tcPr>
          <w:p w14:paraId="3449F6BA"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Moins : Contribution du pays d'accueil</w:t>
            </w:r>
          </w:p>
        </w:tc>
        <w:tc>
          <w:tcPr>
            <w:tcW w:w="1640" w:type="dxa"/>
            <w:tcBorders>
              <w:top w:val="single" w:sz="4" w:space="0" w:color="auto"/>
              <w:left w:val="nil"/>
              <w:bottom w:val="single" w:sz="4" w:space="0" w:color="auto"/>
              <w:right w:val="nil"/>
            </w:tcBorders>
            <w:shd w:val="clear" w:color="auto" w:fill="auto"/>
          </w:tcPr>
          <w:p w14:paraId="148B0641" w14:textId="77777777" w:rsidR="00E00F73" w:rsidRPr="00DB24BC" w:rsidRDefault="00E00F73" w:rsidP="00CE5EBA">
            <w:pPr>
              <w:keepNext/>
              <w:keepLines/>
              <w:suppressLineNumbers/>
              <w:suppressAutoHyphens/>
              <w:ind w:right="289"/>
              <w:jc w:val="right"/>
              <w:rPr>
                <w:bCs/>
                <w:color w:val="000000" w:themeColor="text1"/>
                <w:kern w:val="22"/>
                <w:sz w:val="22"/>
                <w:szCs w:val="22"/>
              </w:rPr>
            </w:pPr>
            <w:r w:rsidRPr="00DB24BC">
              <w:rPr>
                <w:bCs/>
                <w:color w:val="000000" w:themeColor="text1"/>
                <w:kern w:val="22"/>
                <w:sz w:val="22"/>
                <w:szCs w:val="22"/>
              </w:rPr>
              <w:t>(1 135,75)</w:t>
            </w:r>
          </w:p>
        </w:tc>
      </w:tr>
      <w:tr w:rsidR="00E00F73" w:rsidRPr="0069383A" w14:paraId="680D02EB" w14:textId="77777777" w:rsidTr="00CE5EBA">
        <w:trPr>
          <w:trHeight w:val="300"/>
          <w:jc w:val="center"/>
        </w:trPr>
        <w:tc>
          <w:tcPr>
            <w:tcW w:w="4520" w:type="dxa"/>
            <w:tcBorders>
              <w:top w:val="single" w:sz="4" w:space="0" w:color="auto"/>
              <w:left w:val="nil"/>
              <w:bottom w:val="single" w:sz="4" w:space="0" w:color="auto"/>
              <w:right w:val="nil"/>
            </w:tcBorders>
            <w:shd w:val="clear" w:color="auto" w:fill="auto"/>
          </w:tcPr>
          <w:p w14:paraId="06ACBA5B"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Moins : Utilisation de la réserve pour une réunion extraordinaire</w:t>
            </w:r>
          </w:p>
        </w:tc>
        <w:tc>
          <w:tcPr>
            <w:tcW w:w="1640" w:type="dxa"/>
            <w:tcBorders>
              <w:top w:val="single" w:sz="4" w:space="0" w:color="auto"/>
              <w:left w:val="nil"/>
              <w:bottom w:val="single" w:sz="4" w:space="0" w:color="auto"/>
              <w:right w:val="nil"/>
            </w:tcBorders>
            <w:shd w:val="clear" w:color="auto" w:fill="auto"/>
          </w:tcPr>
          <w:p w14:paraId="2B75FA38" w14:textId="77777777" w:rsidR="00E00F73" w:rsidRPr="00DB24BC" w:rsidRDefault="00E00F73" w:rsidP="00CE5EBA">
            <w:pPr>
              <w:keepNext/>
              <w:keepLines/>
              <w:suppressLineNumbers/>
              <w:suppressAutoHyphens/>
              <w:ind w:right="289"/>
              <w:jc w:val="right"/>
              <w:rPr>
                <w:bCs/>
                <w:color w:val="000000" w:themeColor="text1"/>
                <w:kern w:val="22"/>
                <w:sz w:val="22"/>
                <w:szCs w:val="22"/>
              </w:rPr>
            </w:pPr>
            <w:r w:rsidRPr="00DB24BC">
              <w:rPr>
                <w:bCs/>
                <w:color w:val="000000" w:themeColor="text1"/>
                <w:kern w:val="22"/>
                <w:sz w:val="22"/>
                <w:szCs w:val="22"/>
              </w:rPr>
              <w:t>(292,67)</w:t>
            </w:r>
          </w:p>
        </w:tc>
      </w:tr>
      <w:tr w:rsidR="00E00F73" w:rsidRPr="0069383A" w14:paraId="560CD0A1" w14:textId="77777777" w:rsidTr="00CE5EBA">
        <w:trPr>
          <w:trHeight w:val="300"/>
          <w:jc w:val="center"/>
        </w:trPr>
        <w:tc>
          <w:tcPr>
            <w:tcW w:w="4520" w:type="dxa"/>
            <w:tcBorders>
              <w:top w:val="single" w:sz="4" w:space="0" w:color="auto"/>
              <w:left w:val="nil"/>
              <w:bottom w:val="single" w:sz="8" w:space="0" w:color="auto"/>
              <w:right w:val="nil"/>
            </w:tcBorders>
            <w:shd w:val="clear" w:color="auto" w:fill="auto"/>
          </w:tcPr>
          <w:p w14:paraId="5635E3A3" w14:textId="77777777" w:rsidR="00E00F73" w:rsidRPr="00DB24BC" w:rsidRDefault="00E00F73" w:rsidP="00CE5EBA">
            <w:pPr>
              <w:keepNext/>
              <w:keepLines/>
              <w:suppressLineNumbers/>
              <w:suppressAutoHyphens/>
              <w:rPr>
                <w:b/>
                <w:color w:val="000000" w:themeColor="text1"/>
                <w:kern w:val="22"/>
                <w:sz w:val="22"/>
                <w:szCs w:val="22"/>
              </w:rPr>
            </w:pPr>
            <w:r w:rsidRPr="00DB24BC">
              <w:rPr>
                <w:b/>
                <w:color w:val="000000" w:themeColor="text1"/>
                <w:kern w:val="22"/>
                <w:sz w:val="22"/>
                <w:szCs w:val="22"/>
              </w:rPr>
              <w:t>Montant net à partager entre les Parties</w:t>
            </w:r>
          </w:p>
        </w:tc>
        <w:tc>
          <w:tcPr>
            <w:tcW w:w="1640" w:type="dxa"/>
            <w:tcBorders>
              <w:top w:val="single" w:sz="4" w:space="0" w:color="auto"/>
              <w:left w:val="nil"/>
              <w:bottom w:val="single" w:sz="8" w:space="0" w:color="auto"/>
              <w:right w:val="nil"/>
            </w:tcBorders>
            <w:shd w:val="clear" w:color="auto" w:fill="auto"/>
          </w:tcPr>
          <w:p w14:paraId="6C6ABE20" w14:textId="77777777" w:rsidR="00E00F73" w:rsidRPr="00DB24BC" w:rsidRDefault="00E00F73" w:rsidP="00CE5EBA">
            <w:pPr>
              <w:keepNext/>
              <w:keepLines/>
              <w:suppressLineNumbers/>
              <w:suppressAutoHyphens/>
              <w:ind w:right="289"/>
              <w:jc w:val="right"/>
              <w:rPr>
                <w:bCs/>
                <w:color w:val="000000" w:themeColor="text1"/>
                <w:kern w:val="22"/>
                <w:sz w:val="22"/>
                <w:szCs w:val="22"/>
              </w:rPr>
            </w:pPr>
            <w:r w:rsidRPr="00DB24BC">
              <w:rPr>
                <w:b/>
                <w:color w:val="000000" w:themeColor="text1"/>
                <w:kern w:val="22"/>
                <w:sz w:val="22"/>
                <w:szCs w:val="22"/>
              </w:rPr>
              <w:t>10 983,32</w:t>
            </w:r>
          </w:p>
        </w:tc>
      </w:tr>
    </w:tbl>
    <w:bookmarkEnd w:id="8"/>
    <w:p w14:paraId="44AC85D5" w14:textId="77777777" w:rsidR="00E00F73" w:rsidRPr="0069383A" w:rsidRDefault="00E00F73" w:rsidP="00E00F73">
      <w:pPr>
        <w:suppressLineNumbers/>
        <w:suppressAutoHyphens/>
        <w:spacing w:before="120" w:after="120"/>
        <w:rPr>
          <w:bCs/>
          <w:kern w:val="22"/>
          <w:szCs w:val="22"/>
        </w:rPr>
      </w:pPr>
      <w:r w:rsidRPr="0069383A">
        <w:rPr>
          <w:bCs/>
          <w:kern w:val="22"/>
          <w:szCs w:val="22"/>
        </w:rPr>
        <w:t xml:space="preserve"> </w:t>
      </w:r>
    </w:p>
    <w:p w14:paraId="299711F3" w14:textId="77777777" w:rsidR="00E00F73" w:rsidRPr="00D37DF0" w:rsidRDefault="00E00F73" w:rsidP="00E00F73">
      <w:pPr>
        <w:pStyle w:val="Default"/>
        <w:keepNext/>
        <w:keepLines/>
        <w:suppressLineNumbers/>
        <w:suppressAutoHyphens/>
        <w:jc w:val="both"/>
        <w:rPr>
          <w:b/>
          <w:kern w:val="22"/>
          <w:sz w:val="22"/>
          <w:szCs w:val="22"/>
          <w:lang w:val="fr-FR"/>
        </w:rPr>
      </w:pPr>
      <w:r w:rsidRPr="00D37DF0">
        <w:rPr>
          <w:b/>
          <w:kern w:val="22"/>
          <w:sz w:val="22"/>
          <w:szCs w:val="22"/>
          <w:lang w:val="fr-FR"/>
        </w:rPr>
        <w:t xml:space="preserve">Tableau 3 </w:t>
      </w:r>
    </w:p>
    <w:p w14:paraId="23985B64" w14:textId="77777777" w:rsidR="00E00F73" w:rsidRPr="00D37DF0" w:rsidRDefault="00E00F73" w:rsidP="00E00F73">
      <w:pPr>
        <w:keepNext/>
        <w:rPr>
          <w:b/>
          <w:kern w:val="22"/>
          <w:sz w:val="22"/>
          <w:szCs w:val="22"/>
        </w:rPr>
      </w:pPr>
      <w:r w:rsidRPr="00D37DF0">
        <w:rPr>
          <w:b/>
          <w:color w:val="000000" w:themeColor="text1"/>
          <w:kern w:val="22"/>
          <w:sz w:val="22"/>
          <w:szCs w:val="22"/>
          <w:lang w:eastAsia="de-CH"/>
        </w:rPr>
        <w:t>Besoins en personnel du Secrétariat à partir des budgets de base de la Convention et de ses Protocoles 2021</w:t>
      </w:r>
    </w:p>
    <w:tbl>
      <w:tblPr>
        <w:tblW w:w="5458" w:type="dxa"/>
        <w:jc w:val="center"/>
        <w:tblLook w:val="04A0" w:firstRow="1" w:lastRow="0" w:firstColumn="1" w:lastColumn="0" w:noHBand="0" w:noVBand="1"/>
      </w:tblPr>
      <w:tblGrid>
        <w:gridCol w:w="3651"/>
        <w:gridCol w:w="1807"/>
      </w:tblGrid>
      <w:tr w:rsidR="00E00F73" w:rsidRPr="0069383A" w14:paraId="05D7C12F" w14:textId="77777777" w:rsidTr="00CE5EBA">
        <w:trPr>
          <w:cantSplit/>
          <w:jc w:val="center"/>
        </w:trPr>
        <w:tc>
          <w:tcPr>
            <w:tcW w:w="3651" w:type="dxa"/>
            <w:tcBorders>
              <w:top w:val="nil"/>
              <w:left w:val="nil"/>
              <w:bottom w:val="single" w:sz="8" w:space="0" w:color="auto"/>
              <w:right w:val="nil"/>
            </w:tcBorders>
            <w:shd w:val="clear" w:color="auto" w:fill="auto"/>
            <w:vAlign w:val="center"/>
            <w:hideMark/>
          </w:tcPr>
          <w:p w14:paraId="26F6C314" w14:textId="77777777" w:rsidR="00E00F73" w:rsidRPr="00DB24BC" w:rsidRDefault="00E00F73" w:rsidP="00CE5EBA">
            <w:pPr>
              <w:keepNext/>
              <w:keepLines/>
              <w:suppressLineNumbers/>
              <w:suppressAutoHyphens/>
              <w:jc w:val="center"/>
              <w:rPr>
                <w:i/>
                <w:iCs/>
                <w:color w:val="000000" w:themeColor="text1"/>
                <w:kern w:val="22"/>
                <w:sz w:val="22"/>
                <w:szCs w:val="22"/>
              </w:rPr>
            </w:pPr>
          </w:p>
          <w:p w14:paraId="63A68F22" w14:textId="77777777" w:rsidR="00E00F73" w:rsidRPr="00DB24BC" w:rsidRDefault="00E00F73" w:rsidP="00CE5EBA">
            <w:pPr>
              <w:keepNext/>
              <w:keepLines/>
              <w:suppressLineNumbers/>
              <w:suppressAutoHyphens/>
              <w:jc w:val="center"/>
              <w:rPr>
                <w:i/>
                <w:color w:val="000000" w:themeColor="text1"/>
                <w:kern w:val="22"/>
                <w:sz w:val="22"/>
                <w:szCs w:val="22"/>
              </w:rPr>
            </w:pPr>
            <w:r w:rsidRPr="00DB24BC">
              <w:rPr>
                <w:i/>
                <w:iCs/>
                <w:color w:val="000000" w:themeColor="text1"/>
                <w:kern w:val="22"/>
                <w:sz w:val="22"/>
                <w:szCs w:val="22"/>
              </w:rPr>
              <w:t>Niveau et catégorie</w:t>
            </w:r>
          </w:p>
        </w:tc>
        <w:tc>
          <w:tcPr>
            <w:tcW w:w="1807" w:type="dxa"/>
            <w:tcBorders>
              <w:top w:val="nil"/>
              <w:left w:val="nil"/>
              <w:bottom w:val="single" w:sz="8" w:space="0" w:color="auto"/>
              <w:right w:val="nil"/>
            </w:tcBorders>
            <w:shd w:val="clear" w:color="auto" w:fill="auto"/>
            <w:vAlign w:val="center"/>
            <w:hideMark/>
          </w:tcPr>
          <w:p w14:paraId="07CE0663" w14:textId="77777777" w:rsidR="00E00F73" w:rsidRPr="0069383A" w:rsidRDefault="00E00F73" w:rsidP="00CE5EBA">
            <w:pPr>
              <w:keepNext/>
              <w:keepLines/>
              <w:suppressLineNumbers/>
              <w:suppressAutoHyphens/>
              <w:jc w:val="center"/>
              <w:rPr>
                <w:i/>
                <w:color w:val="000000" w:themeColor="text1"/>
                <w:kern w:val="22"/>
                <w:szCs w:val="22"/>
              </w:rPr>
            </w:pPr>
            <w:r w:rsidRPr="0069383A">
              <w:rPr>
                <w:i/>
                <w:color w:val="000000" w:themeColor="text1"/>
                <w:kern w:val="22"/>
                <w:szCs w:val="22"/>
              </w:rPr>
              <w:t>Proposé 2021</w:t>
            </w:r>
          </w:p>
        </w:tc>
      </w:tr>
      <w:tr w:rsidR="00E00F73" w:rsidRPr="001B3BD7" w14:paraId="2597D32B" w14:textId="77777777" w:rsidTr="00CE5EBA">
        <w:trPr>
          <w:trHeight w:val="288"/>
          <w:jc w:val="center"/>
        </w:trPr>
        <w:tc>
          <w:tcPr>
            <w:tcW w:w="3651" w:type="dxa"/>
            <w:tcBorders>
              <w:top w:val="nil"/>
              <w:left w:val="nil"/>
              <w:bottom w:val="nil"/>
              <w:right w:val="nil"/>
            </w:tcBorders>
            <w:shd w:val="clear" w:color="auto" w:fill="auto"/>
            <w:noWrap/>
            <w:vAlign w:val="center"/>
            <w:hideMark/>
          </w:tcPr>
          <w:p w14:paraId="411AEAE9" w14:textId="77777777" w:rsidR="00E00F73" w:rsidRPr="00DB24BC" w:rsidRDefault="00E00F73" w:rsidP="00CE5EBA">
            <w:pPr>
              <w:keepNext/>
              <w:keepLines/>
              <w:suppressLineNumbers/>
              <w:suppressAutoHyphens/>
              <w:rPr>
                <w:b/>
                <w:color w:val="000000" w:themeColor="text1"/>
                <w:kern w:val="22"/>
                <w:sz w:val="22"/>
                <w:szCs w:val="22"/>
              </w:rPr>
            </w:pPr>
            <w:r w:rsidRPr="00DB24BC">
              <w:rPr>
                <w:b/>
                <w:color w:val="000000" w:themeColor="text1"/>
                <w:kern w:val="22"/>
                <w:sz w:val="22"/>
                <w:szCs w:val="22"/>
              </w:rPr>
              <w:t>Administrateurs et fonctionnaires de rang supérieur</w:t>
            </w:r>
          </w:p>
        </w:tc>
        <w:tc>
          <w:tcPr>
            <w:tcW w:w="1807" w:type="dxa"/>
            <w:tcBorders>
              <w:top w:val="nil"/>
              <w:left w:val="nil"/>
              <w:bottom w:val="nil"/>
              <w:right w:val="nil"/>
            </w:tcBorders>
            <w:shd w:val="clear" w:color="auto" w:fill="auto"/>
            <w:vAlign w:val="center"/>
            <w:hideMark/>
          </w:tcPr>
          <w:p w14:paraId="40B2C762" w14:textId="77777777" w:rsidR="00E00F73" w:rsidRPr="0069383A" w:rsidRDefault="00E00F73" w:rsidP="00CE5EBA">
            <w:pPr>
              <w:keepNext/>
              <w:keepLines/>
              <w:suppressLineNumbers/>
              <w:suppressAutoHyphens/>
              <w:rPr>
                <w:color w:val="000000" w:themeColor="text1"/>
                <w:kern w:val="22"/>
                <w:szCs w:val="22"/>
              </w:rPr>
            </w:pPr>
          </w:p>
        </w:tc>
      </w:tr>
      <w:tr w:rsidR="00E00F73" w:rsidRPr="0069383A" w14:paraId="5D2E565C" w14:textId="77777777" w:rsidTr="00CE5EBA">
        <w:trPr>
          <w:trHeight w:val="288"/>
          <w:jc w:val="center"/>
        </w:trPr>
        <w:tc>
          <w:tcPr>
            <w:tcW w:w="3651" w:type="dxa"/>
            <w:tcBorders>
              <w:top w:val="nil"/>
              <w:left w:val="nil"/>
              <w:bottom w:val="nil"/>
              <w:right w:val="nil"/>
            </w:tcBorders>
            <w:shd w:val="clear" w:color="auto" w:fill="auto"/>
            <w:vAlign w:val="center"/>
            <w:hideMark/>
          </w:tcPr>
          <w:p w14:paraId="4C8CE6EC"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ASG</w:t>
            </w:r>
          </w:p>
        </w:tc>
        <w:tc>
          <w:tcPr>
            <w:tcW w:w="1807" w:type="dxa"/>
            <w:tcBorders>
              <w:top w:val="nil"/>
              <w:left w:val="nil"/>
              <w:bottom w:val="nil"/>
              <w:right w:val="nil"/>
            </w:tcBorders>
            <w:shd w:val="clear" w:color="auto" w:fill="auto"/>
            <w:vAlign w:val="center"/>
            <w:hideMark/>
          </w:tcPr>
          <w:p w14:paraId="5483BE74" w14:textId="77777777" w:rsidR="00E00F73" w:rsidRPr="0069383A" w:rsidRDefault="00E00F73" w:rsidP="00CE5EBA">
            <w:pPr>
              <w:keepNext/>
              <w:keepLines/>
              <w:suppressLineNumbers/>
              <w:suppressAutoHyphens/>
              <w:ind w:right="674"/>
              <w:jc w:val="right"/>
              <w:rPr>
                <w:color w:val="000000" w:themeColor="text1"/>
                <w:kern w:val="22"/>
                <w:szCs w:val="22"/>
              </w:rPr>
            </w:pPr>
            <w:r w:rsidRPr="0069383A">
              <w:rPr>
                <w:color w:val="000000" w:themeColor="text1"/>
                <w:kern w:val="22"/>
                <w:szCs w:val="22"/>
              </w:rPr>
              <w:t>1</w:t>
            </w:r>
          </w:p>
        </w:tc>
      </w:tr>
      <w:tr w:rsidR="00E00F73" w:rsidRPr="0069383A" w14:paraId="7296D4A7" w14:textId="77777777" w:rsidTr="00CE5EBA">
        <w:trPr>
          <w:trHeight w:val="288"/>
          <w:jc w:val="center"/>
        </w:trPr>
        <w:tc>
          <w:tcPr>
            <w:tcW w:w="3651" w:type="dxa"/>
            <w:tcBorders>
              <w:top w:val="nil"/>
              <w:left w:val="nil"/>
              <w:bottom w:val="nil"/>
              <w:right w:val="nil"/>
            </w:tcBorders>
            <w:shd w:val="clear" w:color="auto" w:fill="auto"/>
            <w:vAlign w:val="center"/>
            <w:hideMark/>
          </w:tcPr>
          <w:p w14:paraId="55B3E8AE"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D-1</w:t>
            </w:r>
          </w:p>
        </w:tc>
        <w:tc>
          <w:tcPr>
            <w:tcW w:w="1807" w:type="dxa"/>
            <w:tcBorders>
              <w:top w:val="nil"/>
              <w:left w:val="nil"/>
              <w:bottom w:val="nil"/>
              <w:right w:val="nil"/>
            </w:tcBorders>
            <w:shd w:val="clear" w:color="auto" w:fill="auto"/>
            <w:vAlign w:val="center"/>
            <w:hideMark/>
          </w:tcPr>
          <w:p w14:paraId="71F22C35" w14:textId="77777777" w:rsidR="00E00F73" w:rsidRPr="0069383A" w:rsidRDefault="00E00F73" w:rsidP="00CE5EBA">
            <w:pPr>
              <w:keepNext/>
              <w:keepLines/>
              <w:suppressLineNumbers/>
              <w:suppressAutoHyphens/>
              <w:ind w:right="674"/>
              <w:jc w:val="right"/>
              <w:rPr>
                <w:color w:val="000000" w:themeColor="text1"/>
                <w:kern w:val="22"/>
                <w:szCs w:val="22"/>
              </w:rPr>
            </w:pPr>
            <w:r w:rsidRPr="0069383A">
              <w:rPr>
                <w:color w:val="000000" w:themeColor="text1"/>
                <w:kern w:val="22"/>
                <w:szCs w:val="22"/>
              </w:rPr>
              <w:t>3</w:t>
            </w:r>
          </w:p>
        </w:tc>
      </w:tr>
      <w:tr w:rsidR="00E00F73" w:rsidRPr="0069383A" w14:paraId="6C6973A3" w14:textId="77777777" w:rsidTr="00CE5EBA">
        <w:trPr>
          <w:trHeight w:val="288"/>
          <w:jc w:val="center"/>
        </w:trPr>
        <w:tc>
          <w:tcPr>
            <w:tcW w:w="3651" w:type="dxa"/>
            <w:tcBorders>
              <w:top w:val="nil"/>
              <w:left w:val="nil"/>
              <w:bottom w:val="nil"/>
              <w:right w:val="nil"/>
            </w:tcBorders>
            <w:shd w:val="clear" w:color="auto" w:fill="auto"/>
            <w:vAlign w:val="center"/>
            <w:hideMark/>
          </w:tcPr>
          <w:p w14:paraId="1F68FDFC"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P-5</w:t>
            </w:r>
          </w:p>
        </w:tc>
        <w:tc>
          <w:tcPr>
            <w:tcW w:w="1807" w:type="dxa"/>
            <w:tcBorders>
              <w:top w:val="nil"/>
              <w:left w:val="nil"/>
              <w:bottom w:val="nil"/>
              <w:right w:val="nil"/>
            </w:tcBorders>
            <w:shd w:val="clear" w:color="auto" w:fill="auto"/>
            <w:vAlign w:val="center"/>
            <w:hideMark/>
          </w:tcPr>
          <w:p w14:paraId="19E47501" w14:textId="77777777" w:rsidR="00E00F73" w:rsidRPr="0069383A" w:rsidRDefault="00E00F73" w:rsidP="00CE5EBA">
            <w:pPr>
              <w:keepNext/>
              <w:keepLines/>
              <w:suppressLineNumbers/>
              <w:suppressAutoHyphens/>
              <w:ind w:right="674"/>
              <w:jc w:val="right"/>
              <w:rPr>
                <w:color w:val="000000" w:themeColor="text1"/>
                <w:kern w:val="22"/>
                <w:szCs w:val="22"/>
              </w:rPr>
            </w:pPr>
            <w:r w:rsidRPr="0069383A">
              <w:rPr>
                <w:color w:val="000000" w:themeColor="text1"/>
                <w:kern w:val="22"/>
                <w:szCs w:val="22"/>
              </w:rPr>
              <w:t>10</w:t>
            </w:r>
          </w:p>
        </w:tc>
      </w:tr>
      <w:tr w:rsidR="00E00F73" w:rsidRPr="0069383A" w14:paraId="7A178CC8" w14:textId="77777777" w:rsidTr="00CE5EBA">
        <w:trPr>
          <w:trHeight w:val="288"/>
          <w:jc w:val="center"/>
        </w:trPr>
        <w:tc>
          <w:tcPr>
            <w:tcW w:w="3651" w:type="dxa"/>
            <w:tcBorders>
              <w:top w:val="nil"/>
              <w:left w:val="nil"/>
              <w:bottom w:val="nil"/>
              <w:right w:val="nil"/>
            </w:tcBorders>
            <w:shd w:val="clear" w:color="auto" w:fill="auto"/>
            <w:vAlign w:val="center"/>
            <w:hideMark/>
          </w:tcPr>
          <w:p w14:paraId="248630F9"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P-4</w:t>
            </w:r>
          </w:p>
        </w:tc>
        <w:tc>
          <w:tcPr>
            <w:tcW w:w="1807" w:type="dxa"/>
            <w:tcBorders>
              <w:top w:val="nil"/>
              <w:left w:val="nil"/>
              <w:bottom w:val="nil"/>
              <w:right w:val="nil"/>
            </w:tcBorders>
            <w:shd w:val="clear" w:color="auto" w:fill="auto"/>
            <w:vAlign w:val="center"/>
            <w:hideMark/>
          </w:tcPr>
          <w:p w14:paraId="4B118491" w14:textId="77777777" w:rsidR="00E00F73" w:rsidRPr="0069383A" w:rsidRDefault="00E00F73" w:rsidP="00CE5EBA">
            <w:pPr>
              <w:keepNext/>
              <w:keepLines/>
              <w:suppressLineNumbers/>
              <w:suppressAutoHyphens/>
              <w:ind w:right="674"/>
              <w:jc w:val="right"/>
              <w:rPr>
                <w:color w:val="000000" w:themeColor="text1"/>
                <w:kern w:val="22"/>
                <w:szCs w:val="22"/>
              </w:rPr>
            </w:pPr>
            <w:r w:rsidRPr="0069383A">
              <w:rPr>
                <w:color w:val="000000" w:themeColor="text1"/>
                <w:kern w:val="22"/>
                <w:szCs w:val="22"/>
              </w:rPr>
              <w:t>12</w:t>
            </w:r>
          </w:p>
        </w:tc>
      </w:tr>
      <w:tr w:rsidR="00E00F73" w:rsidRPr="0069383A" w14:paraId="0C16C1AF" w14:textId="77777777" w:rsidTr="00CE5EBA">
        <w:trPr>
          <w:trHeight w:val="288"/>
          <w:jc w:val="center"/>
        </w:trPr>
        <w:tc>
          <w:tcPr>
            <w:tcW w:w="3651" w:type="dxa"/>
            <w:tcBorders>
              <w:top w:val="nil"/>
              <w:left w:val="nil"/>
              <w:bottom w:val="nil"/>
              <w:right w:val="nil"/>
            </w:tcBorders>
            <w:shd w:val="clear" w:color="auto" w:fill="auto"/>
            <w:vAlign w:val="center"/>
            <w:hideMark/>
          </w:tcPr>
          <w:p w14:paraId="7480DA40"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P-3</w:t>
            </w:r>
          </w:p>
        </w:tc>
        <w:tc>
          <w:tcPr>
            <w:tcW w:w="1807" w:type="dxa"/>
            <w:tcBorders>
              <w:top w:val="nil"/>
              <w:left w:val="nil"/>
              <w:bottom w:val="nil"/>
              <w:right w:val="nil"/>
            </w:tcBorders>
            <w:shd w:val="clear" w:color="auto" w:fill="auto"/>
            <w:vAlign w:val="center"/>
            <w:hideMark/>
          </w:tcPr>
          <w:p w14:paraId="0E41C45C" w14:textId="77777777" w:rsidR="00E00F73" w:rsidRPr="0069383A" w:rsidRDefault="00E00F73" w:rsidP="00CE5EBA">
            <w:pPr>
              <w:keepNext/>
              <w:keepLines/>
              <w:suppressLineNumbers/>
              <w:suppressAutoHyphens/>
              <w:ind w:right="674"/>
              <w:jc w:val="right"/>
              <w:rPr>
                <w:color w:val="000000" w:themeColor="text1"/>
                <w:kern w:val="22"/>
                <w:szCs w:val="22"/>
              </w:rPr>
            </w:pPr>
            <w:r w:rsidRPr="0069383A">
              <w:rPr>
                <w:color w:val="000000" w:themeColor="text1"/>
                <w:kern w:val="22"/>
                <w:szCs w:val="22"/>
              </w:rPr>
              <w:t>14</w:t>
            </w:r>
          </w:p>
        </w:tc>
      </w:tr>
      <w:tr w:rsidR="00E00F73" w:rsidRPr="0069383A" w14:paraId="452A8D83" w14:textId="77777777" w:rsidTr="00CE5EBA">
        <w:trPr>
          <w:trHeight w:val="300"/>
          <w:jc w:val="center"/>
        </w:trPr>
        <w:tc>
          <w:tcPr>
            <w:tcW w:w="3651" w:type="dxa"/>
            <w:tcBorders>
              <w:top w:val="nil"/>
              <w:left w:val="nil"/>
              <w:bottom w:val="nil"/>
              <w:right w:val="nil"/>
            </w:tcBorders>
            <w:shd w:val="clear" w:color="auto" w:fill="auto"/>
            <w:vAlign w:val="center"/>
            <w:hideMark/>
          </w:tcPr>
          <w:p w14:paraId="60111C42" w14:textId="77777777" w:rsidR="00E00F73" w:rsidRPr="00DB24BC" w:rsidRDefault="00E00F73" w:rsidP="00CE5EBA">
            <w:pPr>
              <w:keepNext/>
              <w:keepLines/>
              <w:suppressLineNumbers/>
              <w:suppressAutoHyphens/>
              <w:rPr>
                <w:color w:val="000000" w:themeColor="text1"/>
                <w:kern w:val="22"/>
                <w:sz w:val="22"/>
                <w:szCs w:val="22"/>
              </w:rPr>
            </w:pPr>
            <w:r w:rsidRPr="00DB24BC">
              <w:rPr>
                <w:color w:val="000000" w:themeColor="text1"/>
                <w:kern w:val="22"/>
                <w:sz w:val="22"/>
                <w:szCs w:val="22"/>
              </w:rPr>
              <w:t>P-2/1</w:t>
            </w:r>
          </w:p>
        </w:tc>
        <w:tc>
          <w:tcPr>
            <w:tcW w:w="1807" w:type="dxa"/>
            <w:tcBorders>
              <w:top w:val="nil"/>
              <w:left w:val="nil"/>
              <w:bottom w:val="nil"/>
              <w:right w:val="nil"/>
            </w:tcBorders>
            <w:shd w:val="clear" w:color="auto" w:fill="auto"/>
            <w:vAlign w:val="center"/>
            <w:hideMark/>
          </w:tcPr>
          <w:p w14:paraId="0B75E6F9" w14:textId="77777777" w:rsidR="00E00F73" w:rsidRPr="0069383A" w:rsidRDefault="00E00F73" w:rsidP="00CE5EBA">
            <w:pPr>
              <w:keepNext/>
              <w:keepLines/>
              <w:suppressLineNumbers/>
              <w:suppressAutoHyphens/>
              <w:ind w:right="674"/>
              <w:jc w:val="right"/>
              <w:rPr>
                <w:color w:val="000000" w:themeColor="text1"/>
                <w:kern w:val="22"/>
                <w:szCs w:val="22"/>
              </w:rPr>
            </w:pPr>
            <w:r w:rsidRPr="0069383A">
              <w:rPr>
                <w:color w:val="000000" w:themeColor="text1"/>
                <w:kern w:val="22"/>
                <w:szCs w:val="22"/>
              </w:rPr>
              <w:t>9</w:t>
            </w:r>
          </w:p>
        </w:tc>
      </w:tr>
      <w:tr w:rsidR="00E00F73" w:rsidRPr="0069383A" w14:paraId="2B6B514E" w14:textId="77777777" w:rsidTr="00CE5EBA">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0C83B721" w14:textId="77777777" w:rsidR="00E00F73" w:rsidRPr="00DB24BC" w:rsidRDefault="00E00F73" w:rsidP="00CE5EBA">
            <w:pPr>
              <w:keepNext/>
              <w:keepLines/>
              <w:suppressLineNumbers/>
              <w:suppressAutoHyphens/>
              <w:rPr>
                <w:b/>
                <w:color w:val="000000" w:themeColor="text1"/>
                <w:kern w:val="22"/>
                <w:sz w:val="22"/>
                <w:szCs w:val="22"/>
              </w:rPr>
            </w:pPr>
            <w:r w:rsidRPr="00DB24BC">
              <w:rPr>
                <w:b/>
                <w:bCs/>
                <w:color w:val="000000" w:themeColor="text1"/>
                <w:kern w:val="22"/>
                <w:sz w:val="22"/>
                <w:szCs w:val="22"/>
              </w:rPr>
              <w:t>Sous-total</w:t>
            </w:r>
          </w:p>
        </w:tc>
        <w:tc>
          <w:tcPr>
            <w:tcW w:w="1807" w:type="dxa"/>
            <w:tcBorders>
              <w:top w:val="single" w:sz="8" w:space="0" w:color="auto"/>
              <w:left w:val="nil"/>
              <w:bottom w:val="single" w:sz="8" w:space="0" w:color="auto"/>
              <w:right w:val="nil"/>
            </w:tcBorders>
            <w:shd w:val="clear" w:color="auto" w:fill="auto"/>
            <w:vAlign w:val="center"/>
            <w:hideMark/>
          </w:tcPr>
          <w:p w14:paraId="34152CFA" w14:textId="77777777" w:rsidR="00E00F73" w:rsidRPr="0069383A" w:rsidRDefault="00E00F73" w:rsidP="00CE5EBA">
            <w:pPr>
              <w:keepNext/>
              <w:keepLines/>
              <w:suppressLineNumbers/>
              <w:suppressAutoHyphens/>
              <w:ind w:right="674"/>
              <w:jc w:val="right"/>
              <w:rPr>
                <w:b/>
                <w:color w:val="000000" w:themeColor="text1"/>
                <w:kern w:val="22"/>
                <w:szCs w:val="22"/>
              </w:rPr>
            </w:pPr>
            <w:r w:rsidRPr="0069383A">
              <w:rPr>
                <w:b/>
                <w:color w:val="000000" w:themeColor="text1"/>
                <w:kern w:val="22"/>
                <w:szCs w:val="22"/>
              </w:rPr>
              <w:t>49</w:t>
            </w:r>
          </w:p>
        </w:tc>
      </w:tr>
      <w:tr w:rsidR="00E00F73" w:rsidRPr="0069383A" w14:paraId="6AF02F78" w14:textId="77777777" w:rsidTr="00CE5EBA">
        <w:trPr>
          <w:trHeight w:val="300"/>
          <w:jc w:val="center"/>
        </w:trPr>
        <w:tc>
          <w:tcPr>
            <w:tcW w:w="3651" w:type="dxa"/>
            <w:tcBorders>
              <w:top w:val="nil"/>
              <w:left w:val="nil"/>
              <w:bottom w:val="single" w:sz="8" w:space="0" w:color="auto"/>
              <w:right w:val="nil"/>
            </w:tcBorders>
            <w:shd w:val="clear" w:color="auto" w:fill="auto"/>
            <w:vAlign w:val="center"/>
            <w:hideMark/>
          </w:tcPr>
          <w:p w14:paraId="4F1AF90C" w14:textId="77777777" w:rsidR="00E00F73" w:rsidRPr="00DB24BC" w:rsidRDefault="00E00F73" w:rsidP="00CE5EBA">
            <w:pPr>
              <w:keepNext/>
              <w:keepLines/>
              <w:suppressLineNumbers/>
              <w:suppressAutoHyphens/>
              <w:rPr>
                <w:b/>
                <w:color w:val="000000" w:themeColor="text1"/>
                <w:kern w:val="22"/>
                <w:sz w:val="22"/>
                <w:szCs w:val="22"/>
              </w:rPr>
            </w:pPr>
            <w:r w:rsidRPr="00DB24BC">
              <w:rPr>
                <w:b/>
                <w:bCs/>
                <w:color w:val="000000" w:themeColor="text1"/>
                <w:kern w:val="22"/>
                <w:sz w:val="22"/>
                <w:szCs w:val="22"/>
              </w:rPr>
              <w:t>Services généraux</w:t>
            </w:r>
          </w:p>
        </w:tc>
        <w:tc>
          <w:tcPr>
            <w:tcW w:w="1807" w:type="dxa"/>
            <w:tcBorders>
              <w:top w:val="nil"/>
              <w:left w:val="nil"/>
              <w:bottom w:val="single" w:sz="8" w:space="0" w:color="auto"/>
              <w:right w:val="nil"/>
            </w:tcBorders>
            <w:shd w:val="clear" w:color="auto" w:fill="auto"/>
            <w:vAlign w:val="center"/>
            <w:hideMark/>
          </w:tcPr>
          <w:p w14:paraId="58D127C9" w14:textId="77777777" w:rsidR="00E00F73" w:rsidRPr="0069383A" w:rsidRDefault="00E00F73" w:rsidP="00CE5EBA">
            <w:pPr>
              <w:keepNext/>
              <w:keepLines/>
              <w:suppressLineNumbers/>
              <w:suppressAutoHyphens/>
              <w:ind w:right="674"/>
              <w:jc w:val="right"/>
              <w:rPr>
                <w:color w:val="000000" w:themeColor="text1"/>
                <w:kern w:val="22"/>
                <w:szCs w:val="22"/>
              </w:rPr>
            </w:pPr>
            <w:r w:rsidRPr="0069383A">
              <w:rPr>
                <w:color w:val="000000" w:themeColor="text1"/>
                <w:kern w:val="22"/>
                <w:szCs w:val="22"/>
              </w:rPr>
              <w:t>29</w:t>
            </w:r>
          </w:p>
        </w:tc>
      </w:tr>
      <w:tr w:rsidR="00E00F73" w:rsidRPr="0069383A" w14:paraId="666D3E32" w14:textId="77777777" w:rsidTr="00CE5EBA">
        <w:trPr>
          <w:trHeight w:val="300"/>
          <w:jc w:val="center"/>
        </w:trPr>
        <w:tc>
          <w:tcPr>
            <w:tcW w:w="3651" w:type="dxa"/>
            <w:tcBorders>
              <w:top w:val="nil"/>
              <w:left w:val="nil"/>
              <w:bottom w:val="single" w:sz="12" w:space="0" w:color="auto"/>
              <w:right w:val="nil"/>
            </w:tcBorders>
            <w:shd w:val="clear" w:color="auto" w:fill="auto"/>
            <w:vAlign w:val="center"/>
            <w:hideMark/>
          </w:tcPr>
          <w:p w14:paraId="1B5A0C8D" w14:textId="77777777" w:rsidR="00E00F73" w:rsidRPr="00DB24BC" w:rsidRDefault="00E00F73" w:rsidP="00CE5EBA">
            <w:pPr>
              <w:keepNext/>
              <w:keepLines/>
              <w:suppressLineNumbers/>
              <w:suppressAutoHyphens/>
              <w:rPr>
                <w:b/>
                <w:color w:val="000000" w:themeColor="text1"/>
                <w:kern w:val="22"/>
                <w:sz w:val="22"/>
                <w:szCs w:val="22"/>
              </w:rPr>
            </w:pPr>
            <w:r w:rsidRPr="00DB24BC">
              <w:rPr>
                <w:b/>
                <w:bCs/>
                <w:color w:val="000000" w:themeColor="text1"/>
                <w:kern w:val="22"/>
                <w:sz w:val="22"/>
                <w:szCs w:val="22"/>
              </w:rPr>
              <w:t>Total</w:t>
            </w:r>
          </w:p>
        </w:tc>
        <w:tc>
          <w:tcPr>
            <w:tcW w:w="1807" w:type="dxa"/>
            <w:tcBorders>
              <w:top w:val="nil"/>
              <w:left w:val="nil"/>
              <w:bottom w:val="single" w:sz="12" w:space="0" w:color="auto"/>
              <w:right w:val="nil"/>
            </w:tcBorders>
            <w:shd w:val="clear" w:color="auto" w:fill="auto"/>
            <w:vAlign w:val="center"/>
            <w:hideMark/>
          </w:tcPr>
          <w:p w14:paraId="68A03DBC" w14:textId="77777777" w:rsidR="00E00F73" w:rsidRPr="0069383A" w:rsidRDefault="00E00F73" w:rsidP="00CE5EBA">
            <w:pPr>
              <w:keepNext/>
              <w:keepLines/>
              <w:suppressLineNumbers/>
              <w:suppressAutoHyphens/>
              <w:ind w:right="674"/>
              <w:jc w:val="right"/>
              <w:rPr>
                <w:b/>
                <w:color w:val="000000" w:themeColor="text1"/>
                <w:kern w:val="22"/>
                <w:szCs w:val="22"/>
              </w:rPr>
            </w:pPr>
            <w:r w:rsidRPr="0069383A">
              <w:rPr>
                <w:b/>
                <w:color w:val="000000" w:themeColor="text1"/>
                <w:kern w:val="22"/>
                <w:szCs w:val="22"/>
              </w:rPr>
              <w:t>78</w:t>
            </w:r>
          </w:p>
        </w:tc>
      </w:tr>
    </w:tbl>
    <w:p w14:paraId="07F7E965" w14:textId="77777777" w:rsidR="00E00F73" w:rsidRDefault="00E00F73" w:rsidP="00E00F73">
      <w:pPr>
        <w:suppressLineNumbers/>
        <w:suppressAutoHyphens/>
        <w:spacing w:before="120" w:after="120"/>
        <w:rPr>
          <w:bCs/>
          <w:kern w:val="22"/>
          <w:szCs w:val="22"/>
        </w:rPr>
      </w:pPr>
    </w:p>
    <w:p w14:paraId="6E5DCE3F" w14:textId="77777777" w:rsidR="008D5847" w:rsidRDefault="008D5847">
      <w:pPr>
        <w:rPr>
          <w:rFonts w:eastAsiaTheme="minorEastAsia"/>
          <w:b/>
          <w:kern w:val="22"/>
          <w:sz w:val="22"/>
          <w:szCs w:val="22"/>
        </w:rPr>
      </w:pPr>
      <w:r>
        <w:rPr>
          <w:rFonts w:eastAsiaTheme="minorEastAsia"/>
          <w:b/>
          <w:kern w:val="22"/>
          <w:sz w:val="22"/>
          <w:szCs w:val="22"/>
        </w:rPr>
        <w:br w:type="page"/>
      </w:r>
    </w:p>
    <w:p w14:paraId="4CC18A61" w14:textId="61896112" w:rsidR="00E00F73" w:rsidRPr="00D37DF0" w:rsidRDefault="00E00F73" w:rsidP="00E00F73">
      <w:pPr>
        <w:keepNext/>
        <w:suppressLineNumbers/>
        <w:suppressAutoHyphens/>
        <w:autoSpaceDE w:val="0"/>
        <w:autoSpaceDN w:val="0"/>
        <w:adjustRightInd w:val="0"/>
        <w:ind w:left="113"/>
        <w:rPr>
          <w:rFonts w:eastAsiaTheme="minorEastAsia"/>
          <w:b/>
          <w:kern w:val="22"/>
          <w:sz w:val="22"/>
          <w:szCs w:val="22"/>
        </w:rPr>
      </w:pPr>
      <w:r w:rsidRPr="00D37DF0">
        <w:rPr>
          <w:rFonts w:eastAsiaTheme="minorEastAsia"/>
          <w:b/>
          <w:kern w:val="22"/>
          <w:sz w:val="22"/>
          <w:szCs w:val="22"/>
        </w:rPr>
        <w:lastRenderedPageBreak/>
        <w:t>Tableau 4</w:t>
      </w:r>
    </w:p>
    <w:p w14:paraId="37E6780A" w14:textId="77777777" w:rsidR="00E00F73" w:rsidRPr="00D37DF0" w:rsidRDefault="00E00F73" w:rsidP="00E00F73">
      <w:pPr>
        <w:keepNext/>
        <w:suppressLineNumbers/>
        <w:suppressAutoHyphens/>
        <w:autoSpaceDE w:val="0"/>
        <w:autoSpaceDN w:val="0"/>
        <w:adjustRightInd w:val="0"/>
        <w:ind w:left="113"/>
        <w:rPr>
          <w:rFonts w:eastAsiaTheme="minorEastAsia"/>
          <w:b/>
          <w:bCs/>
          <w:kern w:val="22"/>
          <w:sz w:val="22"/>
          <w:szCs w:val="22"/>
        </w:rPr>
      </w:pPr>
      <w:r w:rsidRPr="00D37DF0">
        <w:rPr>
          <w:rFonts w:eastAsiaTheme="minorEastAsia"/>
          <w:b/>
          <w:kern w:val="22"/>
          <w:sz w:val="22"/>
          <w:szCs w:val="22"/>
        </w:rPr>
        <w:t>Contributions au Fonds d'affectation spéciale de la Convention sur la diversité biologique pour 202</w:t>
      </w:r>
      <w:r w:rsidRPr="00D37DF0">
        <w:rPr>
          <w:rFonts w:eastAsiaTheme="minorEastAsia"/>
          <w:b/>
          <w:bCs/>
          <w:kern w:val="22"/>
          <w:sz w:val="22"/>
          <w:szCs w:val="22"/>
        </w:rPr>
        <w:t>1</w:t>
      </w:r>
    </w:p>
    <w:p w14:paraId="1F97F871" w14:textId="77777777" w:rsidR="00E00F73" w:rsidRPr="00465D75" w:rsidRDefault="00E00F73" w:rsidP="00E00F73">
      <w:pPr>
        <w:keepNext/>
        <w:suppressLineNumbers/>
        <w:suppressAutoHyphens/>
        <w:autoSpaceDE w:val="0"/>
        <w:autoSpaceDN w:val="0"/>
        <w:adjustRightInd w:val="0"/>
        <w:ind w:left="113"/>
        <w:rPr>
          <w:rFonts w:eastAsiaTheme="minorEastAsia"/>
          <w:b/>
          <w:bCs/>
          <w:kern w:val="22"/>
          <w:szCs w:val="22"/>
        </w:rPr>
      </w:pPr>
    </w:p>
    <w:tbl>
      <w:tblPr>
        <w:tblW w:w="9680" w:type="dxa"/>
        <w:tblInd w:w="93" w:type="dxa"/>
        <w:tblLook w:val="04A0" w:firstRow="1" w:lastRow="0" w:firstColumn="1" w:lastColumn="0" w:noHBand="0" w:noVBand="1"/>
      </w:tblPr>
      <w:tblGrid>
        <w:gridCol w:w="4940"/>
        <w:gridCol w:w="1580"/>
        <w:gridCol w:w="1580"/>
        <w:gridCol w:w="1580"/>
      </w:tblGrid>
      <w:tr w:rsidR="00205EDC" w:rsidRPr="008D5847" w14:paraId="06E4C479" w14:textId="77777777" w:rsidTr="00205EDC">
        <w:trPr>
          <w:trHeight w:val="816"/>
          <w:tblHead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78467" w14:textId="77777777" w:rsidR="00205EDC" w:rsidRPr="002C5DDA" w:rsidRDefault="00205EDC" w:rsidP="00CE5EBA">
            <w:pPr>
              <w:jc w:val="center"/>
              <w:rPr>
                <w:b/>
                <w:bCs/>
                <w:kern w:val="22"/>
                <w:sz w:val="20"/>
                <w:szCs w:val="22"/>
              </w:rPr>
            </w:pPr>
            <w:r w:rsidRPr="002C5DDA">
              <w:rPr>
                <w:b/>
                <w:bCs/>
                <w:kern w:val="22"/>
                <w:sz w:val="20"/>
                <w:szCs w:val="22"/>
              </w:rPr>
              <w:t>Partie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D6F5D40" w14:textId="77777777" w:rsidR="00205EDC" w:rsidRPr="002C5DDA" w:rsidRDefault="00205EDC" w:rsidP="00CE5EBA">
            <w:pPr>
              <w:jc w:val="center"/>
              <w:rPr>
                <w:b/>
                <w:bCs/>
                <w:color w:val="000000"/>
                <w:kern w:val="22"/>
                <w:sz w:val="20"/>
                <w:szCs w:val="22"/>
              </w:rPr>
            </w:pPr>
            <w:r w:rsidRPr="002C5DDA">
              <w:rPr>
                <w:b/>
                <w:bCs/>
                <w:color w:val="000000"/>
                <w:kern w:val="22"/>
                <w:sz w:val="20"/>
                <w:szCs w:val="22"/>
              </w:rPr>
              <w:t xml:space="preserve">Barème des quotes-parts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459476C" w14:textId="77777777" w:rsidR="00205EDC" w:rsidRPr="002C5DDA" w:rsidRDefault="00205EDC" w:rsidP="00CE5EBA">
            <w:pPr>
              <w:jc w:val="center"/>
              <w:rPr>
                <w:b/>
                <w:bCs/>
                <w:color w:val="000000"/>
                <w:kern w:val="22"/>
                <w:sz w:val="20"/>
                <w:szCs w:val="22"/>
              </w:rPr>
            </w:pPr>
            <w:r w:rsidRPr="002C5DDA">
              <w:rPr>
                <w:b/>
                <w:bCs/>
                <w:color w:val="000000"/>
                <w:kern w:val="22"/>
                <w:sz w:val="20"/>
                <w:szCs w:val="22"/>
              </w:rPr>
              <w:t>Barème assorti d’un plafond de 22% ; aucun PMA ne paie plus de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015FF02" w14:textId="77777777" w:rsidR="00205EDC" w:rsidRPr="002C5DDA" w:rsidRDefault="00205EDC" w:rsidP="00CE5EBA">
            <w:pPr>
              <w:jc w:val="center"/>
              <w:rPr>
                <w:b/>
                <w:bCs/>
                <w:color w:val="000000"/>
                <w:kern w:val="22"/>
                <w:sz w:val="20"/>
                <w:szCs w:val="22"/>
              </w:rPr>
            </w:pPr>
            <w:r w:rsidRPr="002C5DDA">
              <w:rPr>
                <w:b/>
                <w:bCs/>
                <w:color w:val="000000"/>
                <w:kern w:val="22"/>
                <w:sz w:val="20"/>
                <w:szCs w:val="22"/>
              </w:rPr>
              <w:t>Contributions au 1</w:t>
            </w:r>
            <w:r w:rsidRPr="002C5DDA">
              <w:rPr>
                <w:b/>
                <w:bCs/>
                <w:color w:val="000000"/>
                <w:kern w:val="22"/>
                <w:sz w:val="20"/>
                <w:szCs w:val="22"/>
                <w:vertAlign w:val="superscript"/>
              </w:rPr>
              <w:t>er</w:t>
            </w:r>
            <w:r w:rsidRPr="002C5DDA">
              <w:rPr>
                <w:b/>
                <w:bCs/>
                <w:color w:val="000000"/>
                <w:kern w:val="22"/>
                <w:sz w:val="20"/>
                <w:szCs w:val="22"/>
              </w:rPr>
              <w:t xml:space="preserve"> janvier 2021</w:t>
            </w:r>
          </w:p>
        </w:tc>
      </w:tr>
      <w:tr w:rsidR="00205EDC" w:rsidRPr="008D5847" w14:paraId="5995469B"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1521A25" w14:textId="77777777" w:rsidR="00205EDC" w:rsidRPr="008D5847" w:rsidRDefault="00205EDC" w:rsidP="00CE5EBA">
            <w:pPr>
              <w:rPr>
                <w:color w:val="000000"/>
                <w:kern w:val="22"/>
                <w:sz w:val="22"/>
                <w:szCs w:val="22"/>
              </w:rPr>
            </w:pPr>
            <w:r w:rsidRPr="008D5847">
              <w:rPr>
                <w:color w:val="000000"/>
                <w:kern w:val="22"/>
                <w:sz w:val="22"/>
                <w:szCs w:val="22"/>
              </w:rPr>
              <w:t>Afghanistan</w:t>
            </w:r>
          </w:p>
        </w:tc>
        <w:tc>
          <w:tcPr>
            <w:tcW w:w="1580" w:type="dxa"/>
            <w:tcBorders>
              <w:top w:val="nil"/>
              <w:left w:val="nil"/>
              <w:bottom w:val="single" w:sz="4" w:space="0" w:color="auto"/>
              <w:right w:val="single" w:sz="4" w:space="0" w:color="auto"/>
            </w:tcBorders>
            <w:shd w:val="clear" w:color="auto" w:fill="auto"/>
            <w:vAlign w:val="center"/>
            <w:hideMark/>
          </w:tcPr>
          <w:p w14:paraId="15C1BC29"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007 </w:t>
            </w:r>
          </w:p>
        </w:tc>
        <w:tc>
          <w:tcPr>
            <w:tcW w:w="1580" w:type="dxa"/>
            <w:tcBorders>
              <w:top w:val="nil"/>
              <w:left w:val="nil"/>
              <w:bottom w:val="single" w:sz="4" w:space="0" w:color="auto"/>
              <w:right w:val="single" w:sz="4" w:space="0" w:color="auto"/>
            </w:tcBorders>
            <w:shd w:val="clear" w:color="auto" w:fill="auto"/>
            <w:noWrap/>
            <w:vAlign w:val="center"/>
            <w:hideMark/>
          </w:tcPr>
          <w:p w14:paraId="445C25A5"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1E1CFFFD" w14:textId="77777777" w:rsidR="00205EDC" w:rsidRPr="008D5847" w:rsidRDefault="00205EDC" w:rsidP="00CE5EBA">
            <w:pPr>
              <w:jc w:val="right"/>
              <w:rPr>
                <w:color w:val="000000"/>
                <w:kern w:val="22"/>
                <w:sz w:val="22"/>
                <w:szCs w:val="22"/>
              </w:rPr>
            </w:pPr>
            <w:r w:rsidRPr="008D5847">
              <w:rPr>
                <w:color w:val="000000"/>
                <w:kern w:val="22"/>
                <w:sz w:val="22"/>
                <w:szCs w:val="22"/>
              </w:rPr>
              <w:t>961</w:t>
            </w:r>
          </w:p>
        </w:tc>
      </w:tr>
      <w:tr w:rsidR="00205EDC" w:rsidRPr="00DB24BC" w14:paraId="4742F60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EC27CE7" w14:textId="77777777" w:rsidR="00205EDC" w:rsidRPr="00DB24BC" w:rsidRDefault="00205EDC" w:rsidP="00CE5EBA">
            <w:pPr>
              <w:rPr>
                <w:color w:val="000000"/>
                <w:kern w:val="22"/>
                <w:sz w:val="22"/>
                <w:szCs w:val="22"/>
              </w:rPr>
            </w:pPr>
            <w:r w:rsidRPr="00DB24BC">
              <w:rPr>
                <w:sz w:val="22"/>
                <w:szCs w:val="22"/>
              </w:rPr>
              <w:t>Afrique du Sud</w:t>
            </w:r>
          </w:p>
        </w:tc>
        <w:tc>
          <w:tcPr>
            <w:tcW w:w="1580" w:type="dxa"/>
            <w:tcBorders>
              <w:top w:val="nil"/>
              <w:left w:val="nil"/>
              <w:bottom w:val="single" w:sz="4" w:space="0" w:color="auto"/>
              <w:right w:val="single" w:sz="4" w:space="0" w:color="auto"/>
            </w:tcBorders>
            <w:shd w:val="clear" w:color="auto" w:fill="auto"/>
            <w:vAlign w:val="center"/>
            <w:hideMark/>
          </w:tcPr>
          <w:p w14:paraId="163E868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485 </w:t>
            </w:r>
          </w:p>
        </w:tc>
        <w:tc>
          <w:tcPr>
            <w:tcW w:w="1580" w:type="dxa"/>
            <w:tcBorders>
              <w:top w:val="nil"/>
              <w:left w:val="nil"/>
              <w:bottom w:val="single" w:sz="4" w:space="0" w:color="auto"/>
              <w:right w:val="single" w:sz="4" w:space="0" w:color="auto"/>
            </w:tcBorders>
            <w:shd w:val="clear" w:color="auto" w:fill="auto"/>
            <w:noWrap/>
            <w:vAlign w:val="center"/>
            <w:hideMark/>
          </w:tcPr>
          <w:p w14:paraId="77BBD65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606 </w:t>
            </w:r>
          </w:p>
        </w:tc>
        <w:tc>
          <w:tcPr>
            <w:tcW w:w="1580" w:type="dxa"/>
            <w:tcBorders>
              <w:top w:val="nil"/>
              <w:left w:val="nil"/>
              <w:bottom w:val="single" w:sz="4" w:space="0" w:color="auto"/>
              <w:right w:val="single" w:sz="4" w:space="0" w:color="auto"/>
            </w:tcBorders>
            <w:shd w:val="clear" w:color="auto" w:fill="auto"/>
            <w:noWrap/>
            <w:vAlign w:val="center"/>
            <w:hideMark/>
          </w:tcPr>
          <w:p w14:paraId="7C1B8825" w14:textId="77777777" w:rsidR="00205EDC" w:rsidRPr="00DB24BC" w:rsidRDefault="00205EDC" w:rsidP="00CE5EBA">
            <w:pPr>
              <w:jc w:val="right"/>
              <w:rPr>
                <w:color w:val="000000"/>
                <w:kern w:val="22"/>
                <w:sz w:val="22"/>
                <w:szCs w:val="22"/>
              </w:rPr>
            </w:pPr>
            <w:r w:rsidRPr="00DB24BC">
              <w:rPr>
                <w:color w:val="000000"/>
                <w:kern w:val="22"/>
                <w:sz w:val="22"/>
                <w:szCs w:val="22"/>
              </w:rPr>
              <w:t>66 598</w:t>
            </w:r>
          </w:p>
        </w:tc>
      </w:tr>
      <w:tr w:rsidR="00205EDC" w:rsidRPr="008D5847" w14:paraId="7060C474"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EE5CE8C" w14:textId="77777777" w:rsidR="00205EDC" w:rsidRPr="008D5847" w:rsidRDefault="00205EDC" w:rsidP="00CE5EBA">
            <w:pPr>
              <w:rPr>
                <w:color w:val="000000"/>
                <w:kern w:val="22"/>
                <w:sz w:val="22"/>
                <w:szCs w:val="22"/>
              </w:rPr>
            </w:pPr>
            <w:r w:rsidRPr="008D5847">
              <w:rPr>
                <w:color w:val="000000"/>
                <w:kern w:val="22"/>
                <w:sz w:val="22"/>
                <w:szCs w:val="22"/>
              </w:rPr>
              <w:t>Albanie</w:t>
            </w:r>
          </w:p>
        </w:tc>
        <w:tc>
          <w:tcPr>
            <w:tcW w:w="1580" w:type="dxa"/>
            <w:tcBorders>
              <w:top w:val="nil"/>
              <w:left w:val="nil"/>
              <w:bottom w:val="single" w:sz="4" w:space="0" w:color="auto"/>
              <w:right w:val="single" w:sz="4" w:space="0" w:color="auto"/>
            </w:tcBorders>
            <w:shd w:val="clear" w:color="auto" w:fill="auto"/>
            <w:vAlign w:val="center"/>
            <w:hideMark/>
          </w:tcPr>
          <w:p w14:paraId="0131C6CD"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6DA45659"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54919728" w14:textId="77777777" w:rsidR="00205EDC" w:rsidRPr="008D5847" w:rsidRDefault="00205EDC" w:rsidP="00CE5EBA">
            <w:pPr>
              <w:jc w:val="right"/>
              <w:rPr>
                <w:color w:val="000000"/>
                <w:kern w:val="22"/>
                <w:sz w:val="22"/>
                <w:szCs w:val="22"/>
              </w:rPr>
            </w:pPr>
            <w:r w:rsidRPr="008D5847">
              <w:rPr>
                <w:color w:val="000000"/>
                <w:kern w:val="22"/>
                <w:sz w:val="22"/>
                <w:szCs w:val="22"/>
              </w:rPr>
              <w:t>1 099</w:t>
            </w:r>
          </w:p>
        </w:tc>
      </w:tr>
      <w:tr w:rsidR="00205EDC" w:rsidRPr="008D5847" w14:paraId="75D9FF06"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B5D77B2" w14:textId="77777777" w:rsidR="00205EDC" w:rsidRPr="008D5847" w:rsidRDefault="00205EDC" w:rsidP="00CE5EBA">
            <w:pPr>
              <w:rPr>
                <w:color w:val="000000"/>
                <w:kern w:val="22"/>
                <w:sz w:val="22"/>
                <w:szCs w:val="22"/>
              </w:rPr>
            </w:pPr>
            <w:r w:rsidRPr="008D5847">
              <w:rPr>
                <w:color w:val="000000"/>
                <w:kern w:val="22"/>
                <w:sz w:val="22"/>
                <w:szCs w:val="22"/>
              </w:rPr>
              <w:t>Algérie</w:t>
            </w:r>
          </w:p>
        </w:tc>
        <w:tc>
          <w:tcPr>
            <w:tcW w:w="1580" w:type="dxa"/>
            <w:tcBorders>
              <w:top w:val="nil"/>
              <w:left w:val="nil"/>
              <w:bottom w:val="single" w:sz="4" w:space="0" w:color="auto"/>
              <w:right w:val="single" w:sz="4" w:space="0" w:color="auto"/>
            </w:tcBorders>
            <w:shd w:val="clear" w:color="auto" w:fill="auto"/>
            <w:vAlign w:val="center"/>
            <w:hideMark/>
          </w:tcPr>
          <w:p w14:paraId="5BC5D4AF"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138 </w:t>
            </w:r>
          </w:p>
        </w:tc>
        <w:tc>
          <w:tcPr>
            <w:tcW w:w="1580" w:type="dxa"/>
            <w:tcBorders>
              <w:top w:val="nil"/>
              <w:left w:val="nil"/>
              <w:bottom w:val="single" w:sz="4" w:space="0" w:color="auto"/>
              <w:right w:val="single" w:sz="4" w:space="0" w:color="auto"/>
            </w:tcBorders>
            <w:shd w:val="clear" w:color="auto" w:fill="auto"/>
            <w:noWrap/>
            <w:vAlign w:val="center"/>
            <w:hideMark/>
          </w:tcPr>
          <w:p w14:paraId="4F7D226D"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173 </w:t>
            </w:r>
          </w:p>
        </w:tc>
        <w:tc>
          <w:tcPr>
            <w:tcW w:w="1580" w:type="dxa"/>
            <w:tcBorders>
              <w:top w:val="nil"/>
              <w:left w:val="nil"/>
              <w:bottom w:val="single" w:sz="4" w:space="0" w:color="auto"/>
              <w:right w:val="single" w:sz="4" w:space="0" w:color="auto"/>
            </w:tcBorders>
            <w:shd w:val="clear" w:color="auto" w:fill="auto"/>
            <w:noWrap/>
            <w:vAlign w:val="center"/>
            <w:hideMark/>
          </w:tcPr>
          <w:p w14:paraId="0E9E9C2C" w14:textId="77777777" w:rsidR="00205EDC" w:rsidRPr="008D5847" w:rsidRDefault="00205EDC" w:rsidP="00CE5EBA">
            <w:pPr>
              <w:jc w:val="right"/>
              <w:rPr>
                <w:color w:val="000000"/>
                <w:kern w:val="22"/>
                <w:sz w:val="22"/>
                <w:szCs w:val="22"/>
              </w:rPr>
            </w:pPr>
            <w:r w:rsidRPr="008D5847">
              <w:rPr>
                <w:color w:val="000000"/>
                <w:kern w:val="22"/>
                <w:sz w:val="22"/>
                <w:szCs w:val="22"/>
              </w:rPr>
              <w:t>18 950</w:t>
            </w:r>
          </w:p>
        </w:tc>
      </w:tr>
      <w:tr w:rsidR="00205EDC" w:rsidRPr="00DB24BC" w14:paraId="45B96B0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7198E7A" w14:textId="77777777" w:rsidR="00205EDC" w:rsidRPr="00DB24BC" w:rsidRDefault="00205EDC" w:rsidP="00CE5EBA">
            <w:pPr>
              <w:rPr>
                <w:color w:val="000000"/>
                <w:kern w:val="22"/>
                <w:sz w:val="22"/>
                <w:szCs w:val="22"/>
              </w:rPr>
            </w:pPr>
            <w:r w:rsidRPr="00DB24BC">
              <w:rPr>
                <w:sz w:val="22"/>
                <w:szCs w:val="22"/>
              </w:rPr>
              <w:t>Allemagne</w:t>
            </w:r>
          </w:p>
        </w:tc>
        <w:tc>
          <w:tcPr>
            <w:tcW w:w="1580" w:type="dxa"/>
            <w:tcBorders>
              <w:top w:val="nil"/>
              <w:left w:val="nil"/>
              <w:bottom w:val="single" w:sz="4" w:space="0" w:color="auto"/>
              <w:right w:val="single" w:sz="4" w:space="0" w:color="auto"/>
            </w:tcBorders>
            <w:shd w:val="clear" w:color="auto" w:fill="auto"/>
            <w:vAlign w:val="center"/>
            <w:hideMark/>
          </w:tcPr>
          <w:p w14:paraId="3A7BBD8E" w14:textId="77777777" w:rsidR="00205EDC" w:rsidRPr="00DB24BC" w:rsidRDefault="00205EDC" w:rsidP="00CE5EBA">
            <w:pPr>
              <w:jc w:val="right"/>
              <w:rPr>
                <w:color w:val="000000"/>
                <w:kern w:val="22"/>
                <w:sz w:val="22"/>
                <w:szCs w:val="22"/>
              </w:rPr>
            </w:pPr>
            <w:r w:rsidRPr="00DB24BC">
              <w:rPr>
                <w:color w:val="000000"/>
                <w:kern w:val="22"/>
                <w:sz w:val="22"/>
                <w:szCs w:val="22"/>
              </w:rPr>
              <w:t>6</w:t>
            </w:r>
            <w:r>
              <w:rPr>
                <w:color w:val="000000"/>
                <w:kern w:val="22"/>
                <w:sz w:val="22"/>
                <w:szCs w:val="22"/>
              </w:rPr>
              <w:t>,</w:t>
            </w:r>
            <w:r w:rsidRPr="00DB24BC">
              <w:rPr>
                <w:color w:val="000000"/>
                <w:kern w:val="22"/>
                <w:sz w:val="22"/>
                <w:szCs w:val="22"/>
              </w:rPr>
              <w:t xml:space="preserve">090 </w:t>
            </w:r>
          </w:p>
        </w:tc>
        <w:tc>
          <w:tcPr>
            <w:tcW w:w="1580" w:type="dxa"/>
            <w:tcBorders>
              <w:top w:val="nil"/>
              <w:left w:val="nil"/>
              <w:bottom w:val="single" w:sz="4" w:space="0" w:color="auto"/>
              <w:right w:val="single" w:sz="4" w:space="0" w:color="auto"/>
            </w:tcBorders>
            <w:shd w:val="clear" w:color="auto" w:fill="auto"/>
            <w:noWrap/>
            <w:vAlign w:val="center"/>
            <w:hideMark/>
          </w:tcPr>
          <w:p w14:paraId="3823C541" w14:textId="77777777" w:rsidR="00205EDC" w:rsidRPr="00DB24BC" w:rsidRDefault="00205EDC" w:rsidP="00CE5EBA">
            <w:pPr>
              <w:jc w:val="right"/>
              <w:rPr>
                <w:color w:val="000000"/>
                <w:kern w:val="22"/>
                <w:sz w:val="22"/>
                <w:szCs w:val="22"/>
              </w:rPr>
            </w:pPr>
            <w:r w:rsidRPr="00DB24BC">
              <w:rPr>
                <w:color w:val="000000"/>
                <w:kern w:val="22"/>
                <w:sz w:val="22"/>
                <w:szCs w:val="22"/>
              </w:rPr>
              <w:t>7</w:t>
            </w:r>
            <w:r>
              <w:rPr>
                <w:color w:val="000000"/>
                <w:kern w:val="22"/>
                <w:sz w:val="22"/>
                <w:szCs w:val="22"/>
              </w:rPr>
              <w:t>,</w:t>
            </w:r>
            <w:r w:rsidRPr="00DB24BC">
              <w:rPr>
                <w:color w:val="000000"/>
                <w:kern w:val="22"/>
                <w:sz w:val="22"/>
                <w:szCs w:val="22"/>
              </w:rPr>
              <w:t xml:space="preserve">614 </w:t>
            </w:r>
          </w:p>
        </w:tc>
        <w:tc>
          <w:tcPr>
            <w:tcW w:w="1580" w:type="dxa"/>
            <w:tcBorders>
              <w:top w:val="nil"/>
              <w:left w:val="nil"/>
              <w:bottom w:val="single" w:sz="4" w:space="0" w:color="auto"/>
              <w:right w:val="single" w:sz="4" w:space="0" w:color="auto"/>
            </w:tcBorders>
            <w:shd w:val="clear" w:color="auto" w:fill="auto"/>
            <w:noWrap/>
            <w:vAlign w:val="center"/>
            <w:hideMark/>
          </w:tcPr>
          <w:p w14:paraId="4F533231" w14:textId="77777777" w:rsidR="00205EDC" w:rsidRPr="00DB24BC" w:rsidRDefault="00205EDC" w:rsidP="00CE5EBA">
            <w:pPr>
              <w:jc w:val="right"/>
              <w:rPr>
                <w:color w:val="000000"/>
                <w:kern w:val="22"/>
                <w:sz w:val="22"/>
                <w:szCs w:val="22"/>
              </w:rPr>
            </w:pPr>
            <w:r w:rsidRPr="00DB24BC">
              <w:rPr>
                <w:color w:val="000000"/>
                <w:kern w:val="22"/>
                <w:sz w:val="22"/>
                <w:szCs w:val="22"/>
              </w:rPr>
              <w:t>836 255</w:t>
            </w:r>
          </w:p>
        </w:tc>
      </w:tr>
      <w:tr w:rsidR="00205EDC" w:rsidRPr="008D5847" w14:paraId="4D2AA36F"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54AB9BC" w14:textId="77777777" w:rsidR="00205EDC" w:rsidRPr="008D5847" w:rsidRDefault="00205EDC" w:rsidP="00CE5EBA">
            <w:pPr>
              <w:rPr>
                <w:color w:val="000000"/>
                <w:kern w:val="22"/>
                <w:sz w:val="22"/>
                <w:szCs w:val="22"/>
              </w:rPr>
            </w:pPr>
            <w:r w:rsidRPr="008D5847">
              <w:rPr>
                <w:color w:val="000000"/>
                <w:kern w:val="22"/>
                <w:sz w:val="22"/>
                <w:szCs w:val="22"/>
              </w:rPr>
              <w:t>Andorre</w:t>
            </w:r>
          </w:p>
        </w:tc>
        <w:tc>
          <w:tcPr>
            <w:tcW w:w="1580" w:type="dxa"/>
            <w:tcBorders>
              <w:top w:val="nil"/>
              <w:left w:val="nil"/>
              <w:bottom w:val="single" w:sz="4" w:space="0" w:color="auto"/>
              <w:right w:val="single" w:sz="4" w:space="0" w:color="auto"/>
            </w:tcBorders>
            <w:shd w:val="clear" w:color="auto" w:fill="auto"/>
            <w:vAlign w:val="center"/>
            <w:hideMark/>
          </w:tcPr>
          <w:p w14:paraId="4EC4603A"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5EAC5F85"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15D951FA" w14:textId="77777777" w:rsidR="00205EDC" w:rsidRPr="008D5847" w:rsidRDefault="00205EDC" w:rsidP="00CE5EBA">
            <w:pPr>
              <w:jc w:val="right"/>
              <w:rPr>
                <w:color w:val="000000"/>
                <w:kern w:val="22"/>
                <w:sz w:val="22"/>
                <w:szCs w:val="22"/>
              </w:rPr>
            </w:pPr>
            <w:r w:rsidRPr="008D5847">
              <w:rPr>
                <w:color w:val="000000"/>
                <w:kern w:val="22"/>
                <w:sz w:val="22"/>
                <w:szCs w:val="22"/>
              </w:rPr>
              <w:t>687</w:t>
            </w:r>
          </w:p>
        </w:tc>
      </w:tr>
      <w:tr w:rsidR="00205EDC" w:rsidRPr="008D5847" w14:paraId="758A973F"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7CCBB54" w14:textId="77777777" w:rsidR="00205EDC" w:rsidRPr="008D5847" w:rsidRDefault="00205EDC" w:rsidP="00CE5EBA">
            <w:pPr>
              <w:rPr>
                <w:color w:val="000000"/>
                <w:kern w:val="22"/>
                <w:sz w:val="22"/>
                <w:szCs w:val="22"/>
              </w:rPr>
            </w:pPr>
            <w:r w:rsidRPr="008D5847">
              <w:rPr>
                <w:color w:val="000000"/>
                <w:kern w:val="22"/>
                <w:sz w:val="22"/>
                <w:szCs w:val="22"/>
              </w:rPr>
              <w:t>Angola</w:t>
            </w:r>
          </w:p>
        </w:tc>
        <w:tc>
          <w:tcPr>
            <w:tcW w:w="1580" w:type="dxa"/>
            <w:tcBorders>
              <w:top w:val="nil"/>
              <w:left w:val="nil"/>
              <w:bottom w:val="single" w:sz="4" w:space="0" w:color="auto"/>
              <w:right w:val="single" w:sz="4" w:space="0" w:color="auto"/>
            </w:tcBorders>
            <w:shd w:val="clear" w:color="auto" w:fill="auto"/>
            <w:vAlign w:val="center"/>
            <w:hideMark/>
          </w:tcPr>
          <w:p w14:paraId="043B75D6"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78245101"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24449165" w14:textId="77777777" w:rsidR="00205EDC" w:rsidRPr="008D5847" w:rsidRDefault="00205EDC" w:rsidP="00CE5EBA">
            <w:pPr>
              <w:jc w:val="right"/>
              <w:rPr>
                <w:color w:val="000000"/>
                <w:kern w:val="22"/>
                <w:sz w:val="22"/>
                <w:szCs w:val="22"/>
              </w:rPr>
            </w:pPr>
            <w:r w:rsidRPr="008D5847">
              <w:rPr>
                <w:color w:val="000000"/>
                <w:kern w:val="22"/>
                <w:sz w:val="22"/>
                <w:szCs w:val="22"/>
              </w:rPr>
              <w:t>1 098</w:t>
            </w:r>
          </w:p>
        </w:tc>
      </w:tr>
      <w:tr w:rsidR="00205EDC" w:rsidRPr="008D5847" w14:paraId="4ACBA338"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0D937A2" w14:textId="77777777" w:rsidR="00205EDC" w:rsidRPr="008D5847" w:rsidRDefault="00205EDC" w:rsidP="00CE5EBA">
            <w:pPr>
              <w:rPr>
                <w:color w:val="000000"/>
                <w:kern w:val="22"/>
                <w:sz w:val="22"/>
                <w:szCs w:val="22"/>
              </w:rPr>
            </w:pPr>
            <w:r w:rsidRPr="008D5847">
              <w:rPr>
                <w:color w:val="000000"/>
                <w:kern w:val="22"/>
                <w:sz w:val="22"/>
                <w:szCs w:val="22"/>
              </w:rPr>
              <w:t>Antigua-et-Barbuda</w:t>
            </w:r>
          </w:p>
        </w:tc>
        <w:tc>
          <w:tcPr>
            <w:tcW w:w="1580" w:type="dxa"/>
            <w:tcBorders>
              <w:top w:val="nil"/>
              <w:left w:val="nil"/>
              <w:bottom w:val="single" w:sz="4" w:space="0" w:color="auto"/>
              <w:right w:val="single" w:sz="4" w:space="0" w:color="auto"/>
            </w:tcBorders>
            <w:shd w:val="clear" w:color="auto" w:fill="auto"/>
            <w:vAlign w:val="center"/>
            <w:hideMark/>
          </w:tcPr>
          <w:p w14:paraId="0838237D"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6CB61985"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20FDFC7A" w14:textId="77777777" w:rsidR="00205EDC" w:rsidRPr="008D5847" w:rsidRDefault="00205EDC" w:rsidP="00CE5EBA">
            <w:pPr>
              <w:jc w:val="right"/>
              <w:rPr>
                <w:color w:val="000000"/>
                <w:kern w:val="22"/>
                <w:sz w:val="22"/>
                <w:szCs w:val="22"/>
              </w:rPr>
            </w:pPr>
            <w:r w:rsidRPr="008D5847">
              <w:rPr>
                <w:color w:val="000000"/>
                <w:kern w:val="22"/>
                <w:sz w:val="22"/>
                <w:szCs w:val="22"/>
              </w:rPr>
              <w:t>275</w:t>
            </w:r>
          </w:p>
        </w:tc>
      </w:tr>
      <w:tr w:rsidR="00205EDC" w:rsidRPr="00DB24BC" w14:paraId="3015F0D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1417F74" w14:textId="77777777" w:rsidR="00205EDC" w:rsidRPr="00DB24BC" w:rsidRDefault="00205EDC" w:rsidP="00CE5EBA">
            <w:pPr>
              <w:rPr>
                <w:color w:val="000000"/>
                <w:kern w:val="22"/>
                <w:sz w:val="22"/>
                <w:szCs w:val="22"/>
              </w:rPr>
            </w:pPr>
            <w:r w:rsidRPr="00DB24BC">
              <w:rPr>
                <w:sz w:val="22"/>
                <w:szCs w:val="22"/>
              </w:rPr>
              <w:t>Arabie Saoudite</w:t>
            </w:r>
          </w:p>
        </w:tc>
        <w:tc>
          <w:tcPr>
            <w:tcW w:w="1580" w:type="dxa"/>
            <w:tcBorders>
              <w:top w:val="nil"/>
              <w:left w:val="nil"/>
              <w:bottom w:val="single" w:sz="4" w:space="0" w:color="auto"/>
              <w:right w:val="single" w:sz="4" w:space="0" w:color="auto"/>
            </w:tcBorders>
            <w:shd w:val="clear" w:color="auto" w:fill="auto"/>
            <w:vAlign w:val="center"/>
            <w:hideMark/>
          </w:tcPr>
          <w:p w14:paraId="48C32C0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27CECC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D9534C4"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8D5847" w14:paraId="3ED6FFAC"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4C523F9" w14:textId="77777777" w:rsidR="00205EDC" w:rsidRPr="008D5847" w:rsidRDefault="00205EDC" w:rsidP="00CE5EBA">
            <w:pPr>
              <w:rPr>
                <w:color w:val="000000"/>
                <w:kern w:val="22"/>
                <w:sz w:val="22"/>
                <w:szCs w:val="22"/>
              </w:rPr>
            </w:pPr>
            <w:r w:rsidRPr="008D5847">
              <w:rPr>
                <w:color w:val="000000"/>
                <w:kern w:val="22"/>
                <w:sz w:val="22"/>
                <w:szCs w:val="22"/>
              </w:rPr>
              <w:t>Argentine</w:t>
            </w:r>
          </w:p>
        </w:tc>
        <w:tc>
          <w:tcPr>
            <w:tcW w:w="1580" w:type="dxa"/>
            <w:tcBorders>
              <w:top w:val="nil"/>
              <w:left w:val="nil"/>
              <w:bottom w:val="single" w:sz="4" w:space="0" w:color="auto"/>
              <w:right w:val="single" w:sz="4" w:space="0" w:color="auto"/>
            </w:tcBorders>
            <w:shd w:val="clear" w:color="auto" w:fill="auto"/>
            <w:vAlign w:val="center"/>
            <w:hideMark/>
          </w:tcPr>
          <w:p w14:paraId="2A01E651"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915 </w:t>
            </w:r>
          </w:p>
        </w:tc>
        <w:tc>
          <w:tcPr>
            <w:tcW w:w="1580" w:type="dxa"/>
            <w:tcBorders>
              <w:top w:val="nil"/>
              <w:left w:val="nil"/>
              <w:bottom w:val="single" w:sz="4" w:space="0" w:color="auto"/>
              <w:right w:val="single" w:sz="4" w:space="0" w:color="auto"/>
            </w:tcBorders>
            <w:shd w:val="clear" w:color="auto" w:fill="auto"/>
            <w:noWrap/>
            <w:vAlign w:val="center"/>
            <w:hideMark/>
          </w:tcPr>
          <w:p w14:paraId="25ED899E" w14:textId="77777777" w:rsidR="00205EDC" w:rsidRPr="008D5847" w:rsidRDefault="00205EDC" w:rsidP="00CE5EBA">
            <w:pPr>
              <w:jc w:val="right"/>
              <w:rPr>
                <w:color w:val="000000"/>
                <w:kern w:val="22"/>
                <w:sz w:val="22"/>
                <w:szCs w:val="22"/>
              </w:rPr>
            </w:pPr>
            <w:r w:rsidRPr="008D5847">
              <w:rPr>
                <w:color w:val="000000"/>
                <w:kern w:val="22"/>
                <w:sz w:val="22"/>
                <w:szCs w:val="22"/>
              </w:rPr>
              <w:t>1</w:t>
            </w:r>
            <w:r>
              <w:rPr>
                <w:color w:val="000000"/>
                <w:kern w:val="22"/>
                <w:sz w:val="22"/>
                <w:szCs w:val="22"/>
              </w:rPr>
              <w:t>,</w:t>
            </w:r>
            <w:r w:rsidRPr="008D5847">
              <w:rPr>
                <w:color w:val="000000"/>
                <w:kern w:val="22"/>
                <w:sz w:val="22"/>
                <w:szCs w:val="22"/>
              </w:rPr>
              <w:t xml:space="preserve">144 </w:t>
            </w:r>
          </w:p>
        </w:tc>
        <w:tc>
          <w:tcPr>
            <w:tcW w:w="1580" w:type="dxa"/>
            <w:tcBorders>
              <w:top w:val="nil"/>
              <w:left w:val="nil"/>
              <w:bottom w:val="single" w:sz="4" w:space="0" w:color="auto"/>
              <w:right w:val="single" w:sz="4" w:space="0" w:color="auto"/>
            </w:tcBorders>
            <w:shd w:val="clear" w:color="auto" w:fill="auto"/>
            <w:noWrap/>
            <w:vAlign w:val="center"/>
            <w:hideMark/>
          </w:tcPr>
          <w:p w14:paraId="24C54439" w14:textId="77777777" w:rsidR="00205EDC" w:rsidRPr="008D5847" w:rsidRDefault="00205EDC" w:rsidP="00CE5EBA">
            <w:pPr>
              <w:jc w:val="right"/>
              <w:rPr>
                <w:color w:val="000000"/>
                <w:kern w:val="22"/>
                <w:sz w:val="22"/>
                <w:szCs w:val="22"/>
              </w:rPr>
            </w:pPr>
            <w:r w:rsidRPr="008D5847">
              <w:rPr>
                <w:color w:val="000000"/>
                <w:kern w:val="22"/>
                <w:sz w:val="22"/>
                <w:szCs w:val="22"/>
              </w:rPr>
              <w:t>125 644</w:t>
            </w:r>
          </w:p>
        </w:tc>
      </w:tr>
      <w:tr w:rsidR="00205EDC" w:rsidRPr="008D5847" w14:paraId="570DD0AD"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91B2F77" w14:textId="77777777" w:rsidR="00205EDC" w:rsidRPr="008D5847" w:rsidRDefault="00205EDC" w:rsidP="00CE5EBA">
            <w:pPr>
              <w:rPr>
                <w:color w:val="000000"/>
                <w:kern w:val="22"/>
                <w:sz w:val="22"/>
                <w:szCs w:val="22"/>
              </w:rPr>
            </w:pPr>
            <w:r w:rsidRPr="008D5847">
              <w:rPr>
                <w:color w:val="000000"/>
                <w:kern w:val="22"/>
                <w:sz w:val="22"/>
                <w:szCs w:val="22"/>
              </w:rPr>
              <w:t>Arménie</w:t>
            </w:r>
          </w:p>
        </w:tc>
        <w:tc>
          <w:tcPr>
            <w:tcW w:w="1580" w:type="dxa"/>
            <w:tcBorders>
              <w:top w:val="nil"/>
              <w:left w:val="nil"/>
              <w:bottom w:val="single" w:sz="4" w:space="0" w:color="auto"/>
              <w:right w:val="single" w:sz="4" w:space="0" w:color="auto"/>
            </w:tcBorders>
            <w:shd w:val="clear" w:color="auto" w:fill="auto"/>
            <w:vAlign w:val="center"/>
            <w:hideMark/>
          </w:tcPr>
          <w:p w14:paraId="02F8DB19"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007 </w:t>
            </w:r>
          </w:p>
        </w:tc>
        <w:tc>
          <w:tcPr>
            <w:tcW w:w="1580" w:type="dxa"/>
            <w:tcBorders>
              <w:top w:val="nil"/>
              <w:left w:val="nil"/>
              <w:bottom w:val="single" w:sz="4" w:space="0" w:color="auto"/>
              <w:right w:val="single" w:sz="4" w:space="0" w:color="auto"/>
            </w:tcBorders>
            <w:shd w:val="clear" w:color="auto" w:fill="auto"/>
            <w:noWrap/>
            <w:vAlign w:val="center"/>
            <w:hideMark/>
          </w:tcPr>
          <w:p w14:paraId="1FFA1305"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57B85E7D" w14:textId="77777777" w:rsidR="00205EDC" w:rsidRPr="008D5847" w:rsidRDefault="00205EDC" w:rsidP="00CE5EBA">
            <w:pPr>
              <w:jc w:val="right"/>
              <w:rPr>
                <w:color w:val="000000"/>
                <w:kern w:val="22"/>
                <w:sz w:val="22"/>
                <w:szCs w:val="22"/>
              </w:rPr>
            </w:pPr>
            <w:r w:rsidRPr="008D5847">
              <w:rPr>
                <w:color w:val="000000"/>
                <w:kern w:val="22"/>
                <w:sz w:val="22"/>
                <w:szCs w:val="22"/>
              </w:rPr>
              <w:t>961</w:t>
            </w:r>
          </w:p>
        </w:tc>
      </w:tr>
      <w:tr w:rsidR="00205EDC" w:rsidRPr="008D5847" w14:paraId="7259CE3C"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80B72EF" w14:textId="77777777" w:rsidR="00205EDC" w:rsidRPr="008D5847" w:rsidRDefault="00205EDC" w:rsidP="00CE5EBA">
            <w:pPr>
              <w:rPr>
                <w:color w:val="000000"/>
                <w:kern w:val="22"/>
                <w:sz w:val="22"/>
                <w:szCs w:val="22"/>
              </w:rPr>
            </w:pPr>
            <w:r w:rsidRPr="008D5847">
              <w:rPr>
                <w:color w:val="000000"/>
                <w:kern w:val="22"/>
                <w:sz w:val="22"/>
                <w:szCs w:val="22"/>
              </w:rPr>
              <w:t>Australie</w:t>
            </w:r>
          </w:p>
        </w:tc>
        <w:tc>
          <w:tcPr>
            <w:tcW w:w="1580" w:type="dxa"/>
            <w:tcBorders>
              <w:top w:val="nil"/>
              <w:left w:val="nil"/>
              <w:bottom w:val="single" w:sz="4" w:space="0" w:color="auto"/>
              <w:right w:val="single" w:sz="4" w:space="0" w:color="auto"/>
            </w:tcBorders>
            <w:shd w:val="clear" w:color="auto" w:fill="auto"/>
            <w:vAlign w:val="center"/>
            <w:hideMark/>
          </w:tcPr>
          <w:p w14:paraId="7A451EDA" w14:textId="77777777" w:rsidR="00205EDC" w:rsidRPr="008D5847" w:rsidRDefault="00205EDC" w:rsidP="00CE5EBA">
            <w:pPr>
              <w:jc w:val="right"/>
              <w:rPr>
                <w:color w:val="000000"/>
                <w:kern w:val="22"/>
                <w:sz w:val="22"/>
                <w:szCs w:val="22"/>
              </w:rPr>
            </w:pPr>
            <w:r w:rsidRPr="008D5847">
              <w:rPr>
                <w:color w:val="000000"/>
                <w:kern w:val="22"/>
                <w:sz w:val="22"/>
                <w:szCs w:val="22"/>
              </w:rPr>
              <w:t>2</w:t>
            </w:r>
            <w:r>
              <w:rPr>
                <w:color w:val="000000"/>
                <w:kern w:val="22"/>
                <w:sz w:val="22"/>
                <w:szCs w:val="22"/>
              </w:rPr>
              <w:t>,</w:t>
            </w:r>
            <w:r w:rsidRPr="008D5847">
              <w:rPr>
                <w:color w:val="000000"/>
                <w:kern w:val="22"/>
                <w:sz w:val="22"/>
                <w:szCs w:val="22"/>
              </w:rPr>
              <w:t xml:space="preserve">210 </w:t>
            </w:r>
          </w:p>
        </w:tc>
        <w:tc>
          <w:tcPr>
            <w:tcW w:w="1580" w:type="dxa"/>
            <w:tcBorders>
              <w:top w:val="nil"/>
              <w:left w:val="nil"/>
              <w:bottom w:val="single" w:sz="4" w:space="0" w:color="auto"/>
              <w:right w:val="single" w:sz="4" w:space="0" w:color="auto"/>
            </w:tcBorders>
            <w:shd w:val="clear" w:color="auto" w:fill="auto"/>
            <w:noWrap/>
            <w:vAlign w:val="center"/>
            <w:hideMark/>
          </w:tcPr>
          <w:p w14:paraId="48BD7DD7" w14:textId="77777777" w:rsidR="00205EDC" w:rsidRPr="008D5847" w:rsidRDefault="00205EDC" w:rsidP="00CE5EBA">
            <w:pPr>
              <w:jc w:val="right"/>
              <w:rPr>
                <w:color w:val="000000"/>
                <w:kern w:val="22"/>
                <w:sz w:val="22"/>
                <w:szCs w:val="22"/>
              </w:rPr>
            </w:pPr>
            <w:r w:rsidRPr="008D5847">
              <w:rPr>
                <w:color w:val="000000"/>
                <w:kern w:val="22"/>
                <w:sz w:val="22"/>
                <w:szCs w:val="22"/>
              </w:rPr>
              <w:t>2</w:t>
            </w:r>
            <w:r>
              <w:rPr>
                <w:color w:val="000000"/>
                <w:kern w:val="22"/>
                <w:sz w:val="22"/>
                <w:szCs w:val="22"/>
              </w:rPr>
              <w:t>,</w:t>
            </w:r>
            <w:r w:rsidRPr="008D5847">
              <w:rPr>
                <w:color w:val="000000"/>
                <w:kern w:val="22"/>
                <w:sz w:val="22"/>
                <w:szCs w:val="22"/>
              </w:rPr>
              <w:t xml:space="preserve">763 </w:t>
            </w:r>
          </w:p>
        </w:tc>
        <w:tc>
          <w:tcPr>
            <w:tcW w:w="1580" w:type="dxa"/>
            <w:tcBorders>
              <w:top w:val="nil"/>
              <w:left w:val="nil"/>
              <w:bottom w:val="single" w:sz="4" w:space="0" w:color="auto"/>
              <w:right w:val="single" w:sz="4" w:space="0" w:color="auto"/>
            </w:tcBorders>
            <w:shd w:val="clear" w:color="auto" w:fill="auto"/>
            <w:noWrap/>
            <w:vAlign w:val="center"/>
            <w:hideMark/>
          </w:tcPr>
          <w:p w14:paraId="289189A2" w14:textId="77777777" w:rsidR="00205EDC" w:rsidRPr="008D5847" w:rsidRDefault="00205EDC" w:rsidP="00CE5EBA">
            <w:pPr>
              <w:jc w:val="right"/>
              <w:rPr>
                <w:color w:val="000000"/>
                <w:kern w:val="22"/>
                <w:sz w:val="22"/>
                <w:szCs w:val="22"/>
              </w:rPr>
            </w:pPr>
            <w:r w:rsidRPr="008D5847">
              <w:rPr>
                <w:color w:val="000000"/>
                <w:kern w:val="22"/>
                <w:sz w:val="22"/>
                <w:szCs w:val="22"/>
              </w:rPr>
              <w:t>303 469</w:t>
            </w:r>
          </w:p>
        </w:tc>
      </w:tr>
      <w:tr w:rsidR="00205EDC" w:rsidRPr="008D5847" w14:paraId="3B1F621E"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A49D173" w14:textId="77777777" w:rsidR="00205EDC" w:rsidRPr="008D5847" w:rsidRDefault="00205EDC" w:rsidP="00CE5EBA">
            <w:pPr>
              <w:rPr>
                <w:color w:val="000000"/>
                <w:kern w:val="22"/>
                <w:sz w:val="22"/>
                <w:szCs w:val="22"/>
              </w:rPr>
            </w:pPr>
            <w:r w:rsidRPr="008D5847">
              <w:rPr>
                <w:color w:val="000000"/>
                <w:kern w:val="22"/>
                <w:sz w:val="22"/>
                <w:szCs w:val="22"/>
              </w:rPr>
              <w:t>Autriche</w:t>
            </w:r>
          </w:p>
        </w:tc>
        <w:tc>
          <w:tcPr>
            <w:tcW w:w="1580" w:type="dxa"/>
            <w:tcBorders>
              <w:top w:val="nil"/>
              <w:left w:val="nil"/>
              <w:bottom w:val="single" w:sz="4" w:space="0" w:color="auto"/>
              <w:right w:val="single" w:sz="4" w:space="0" w:color="auto"/>
            </w:tcBorders>
            <w:shd w:val="clear" w:color="auto" w:fill="auto"/>
            <w:vAlign w:val="center"/>
            <w:hideMark/>
          </w:tcPr>
          <w:p w14:paraId="7CF51A24"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677 </w:t>
            </w:r>
          </w:p>
        </w:tc>
        <w:tc>
          <w:tcPr>
            <w:tcW w:w="1580" w:type="dxa"/>
            <w:tcBorders>
              <w:top w:val="nil"/>
              <w:left w:val="nil"/>
              <w:bottom w:val="single" w:sz="4" w:space="0" w:color="auto"/>
              <w:right w:val="single" w:sz="4" w:space="0" w:color="auto"/>
            </w:tcBorders>
            <w:shd w:val="clear" w:color="auto" w:fill="auto"/>
            <w:noWrap/>
            <w:vAlign w:val="center"/>
            <w:hideMark/>
          </w:tcPr>
          <w:p w14:paraId="61F8D089"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846 </w:t>
            </w:r>
          </w:p>
        </w:tc>
        <w:tc>
          <w:tcPr>
            <w:tcW w:w="1580" w:type="dxa"/>
            <w:tcBorders>
              <w:top w:val="nil"/>
              <w:left w:val="nil"/>
              <w:bottom w:val="single" w:sz="4" w:space="0" w:color="auto"/>
              <w:right w:val="single" w:sz="4" w:space="0" w:color="auto"/>
            </w:tcBorders>
            <w:shd w:val="clear" w:color="auto" w:fill="auto"/>
            <w:noWrap/>
            <w:vAlign w:val="center"/>
            <w:hideMark/>
          </w:tcPr>
          <w:p w14:paraId="2165028B" w14:textId="77777777" w:rsidR="00205EDC" w:rsidRPr="008D5847" w:rsidRDefault="00205EDC" w:rsidP="00CE5EBA">
            <w:pPr>
              <w:jc w:val="right"/>
              <w:rPr>
                <w:color w:val="000000"/>
                <w:kern w:val="22"/>
                <w:sz w:val="22"/>
                <w:szCs w:val="22"/>
              </w:rPr>
            </w:pPr>
            <w:r w:rsidRPr="008D5847">
              <w:rPr>
                <w:color w:val="000000"/>
                <w:kern w:val="22"/>
                <w:sz w:val="22"/>
                <w:szCs w:val="22"/>
              </w:rPr>
              <w:t>92 963</w:t>
            </w:r>
          </w:p>
        </w:tc>
      </w:tr>
      <w:tr w:rsidR="00205EDC" w:rsidRPr="008D5847" w14:paraId="715B0362"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E03E7A6" w14:textId="77777777" w:rsidR="00205EDC" w:rsidRPr="008D5847" w:rsidRDefault="00205EDC" w:rsidP="00CE5EBA">
            <w:pPr>
              <w:rPr>
                <w:color w:val="000000"/>
                <w:kern w:val="22"/>
                <w:sz w:val="22"/>
                <w:szCs w:val="22"/>
              </w:rPr>
            </w:pPr>
            <w:r w:rsidRPr="008D5847">
              <w:rPr>
                <w:color w:val="000000"/>
                <w:kern w:val="22"/>
                <w:sz w:val="22"/>
                <w:szCs w:val="22"/>
              </w:rPr>
              <w:t>Azerbaïdjan</w:t>
            </w:r>
          </w:p>
        </w:tc>
        <w:tc>
          <w:tcPr>
            <w:tcW w:w="1580" w:type="dxa"/>
            <w:tcBorders>
              <w:top w:val="nil"/>
              <w:left w:val="nil"/>
              <w:bottom w:val="single" w:sz="4" w:space="0" w:color="auto"/>
              <w:right w:val="single" w:sz="4" w:space="0" w:color="auto"/>
            </w:tcBorders>
            <w:shd w:val="clear" w:color="auto" w:fill="auto"/>
            <w:vAlign w:val="center"/>
            <w:hideMark/>
          </w:tcPr>
          <w:p w14:paraId="36DAA179"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049 </w:t>
            </w:r>
          </w:p>
        </w:tc>
        <w:tc>
          <w:tcPr>
            <w:tcW w:w="1580" w:type="dxa"/>
            <w:tcBorders>
              <w:top w:val="nil"/>
              <w:left w:val="nil"/>
              <w:bottom w:val="single" w:sz="4" w:space="0" w:color="auto"/>
              <w:right w:val="single" w:sz="4" w:space="0" w:color="auto"/>
            </w:tcBorders>
            <w:shd w:val="clear" w:color="auto" w:fill="auto"/>
            <w:noWrap/>
            <w:vAlign w:val="center"/>
            <w:hideMark/>
          </w:tcPr>
          <w:p w14:paraId="7C717472"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061 </w:t>
            </w:r>
          </w:p>
        </w:tc>
        <w:tc>
          <w:tcPr>
            <w:tcW w:w="1580" w:type="dxa"/>
            <w:tcBorders>
              <w:top w:val="nil"/>
              <w:left w:val="nil"/>
              <w:bottom w:val="single" w:sz="4" w:space="0" w:color="auto"/>
              <w:right w:val="single" w:sz="4" w:space="0" w:color="auto"/>
            </w:tcBorders>
            <w:shd w:val="clear" w:color="auto" w:fill="auto"/>
            <w:noWrap/>
            <w:vAlign w:val="center"/>
            <w:hideMark/>
          </w:tcPr>
          <w:p w14:paraId="278D4349" w14:textId="77777777" w:rsidR="00205EDC" w:rsidRPr="008D5847" w:rsidRDefault="00205EDC" w:rsidP="00CE5EBA">
            <w:pPr>
              <w:jc w:val="right"/>
              <w:rPr>
                <w:color w:val="000000"/>
                <w:kern w:val="22"/>
                <w:sz w:val="22"/>
                <w:szCs w:val="22"/>
              </w:rPr>
            </w:pPr>
            <w:r w:rsidRPr="008D5847">
              <w:rPr>
                <w:color w:val="000000"/>
                <w:kern w:val="22"/>
                <w:sz w:val="22"/>
                <w:szCs w:val="22"/>
              </w:rPr>
              <w:t>6 728</w:t>
            </w:r>
          </w:p>
        </w:tc>
      </w:tr>
      <w:tr w:rsidR="00205EDC" w:rsidRPr="008D5847" w14:paraId="2A973CC0"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B9DCBD3" w14:textId="77777777" w:rsidR="00205EDC" w:rsidRPr="008D5847" w:rsidRDefault="00205EDC" w:rsidP="00CE5EBA">
            <w:pPr>
              <w:rPr>
                <w:color w:val="000000"/>
                <w:kern w:val="22"/>
                <w:sz w:val="22"/>
                <w:szCs w:val="22"/>
              </w:rPr>
            </w:pPr>
            <w:r w:rsidRPr="008D5847">
              <w:rPr>
                <w:color w:val="000000"/>
                <w:kern w:val="22"/>
                <w:sz w:val="22"/>
                <w:szCs w:val="22"/>
              </w:rPr>
              <w:t>Bahamas</w:t>
            </w:r>
          </w:p>
        </w:tc>
        <w:tc>
          <w:tcPr>
            <w:tcW w:w="1580" w:type="dxa"/>
            <w:tcBorders>
              <w:top w:val="nil"/>
              <w:left w:val="nil"/>
              <w:bottom w:val="single" w:sz="4" w:space="0" w:color="auto"/>
              <w:right w:val="single" w:sz="4" w:space="0" w:color="auto"/>
            </w:tcBorders>
            <w:shd w:val="clear" w:color="auto" w:fill="auto"/>
            <w:vAlign w:val="center"/>
            <w:hideMark/>
          </w:tcPr>
          <w:p w14:paraId="7FA135FD"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018 </w:t>
            </w:r>
          </w:p>
        </w:tc>
        <w:tc>
          <w:tcPr>
            <w:tcW w:w="1580" w:type="dxa"/>
            <w:tcBorders>
              <w:top w:val="nil"/>
              <w:left w:val="nil"/>
              <w:bottom w:val="single" w:sz="4" w:space="0" w:color="auto"/>
              <w:right w:val="single" w:sz="4" w:space="0" w:color="auto"/>
            </w:tcBorders>
            <w:shd w:val="clear" w:color="auto" w:fill="auto"/>
            <w:noWrap/>
            <w:vAlign w:val="center"/>
            <w:hideMark/>
          </w:tcPr>
          <w:p w14:paraId="66A13108"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023 </w:t>
            </w:r>
          </w:p>
        </w:tc>
        <w:tc>
          <w:tcPr>
            <w:tcW w:w="1580" w:type="dxa"/>
            <w:tcBorders>
              <w:top w:val="nil"/>
              <w:left w:val="nil"/>
              <w:bottom w:val="single" w:sz="4" w:space="0" w:color="auto"/>
              <w:right w:val="single" w:sz="4" w:space="0" w:color="auto"/>
            </w:tcBorders>
            <w:shd w:val="clear" w:color="auto" w:fill="auto"/>
            <w:noWrap/>
            <w:vAlign w:val="center"/>
            <w:hideMark/>
          </w:tcPr>
          <w:p w14:paraId="50E2DF24" w14:textId="77777777" w:rsidR="00205EDC" w:rsidRPr="008D5847" w:rsidRDefault="00205EDC" w:rsidP="00CE5EBA">
            <w:pPr>
              <w:jc w:val="right"/>
              <w:rPr>
                <w:color w:val="000000"/>
                <w:kern w:val="22"/>
                <w:sz w:val="22"/>
                <w:szCs w:val="22"/>
              </w:rPr>
            </w:pPr>
            <w:r w:rsidRPr="008D5847">
              <w:rPr>
                <w:color w:val="000000"/>
                <w:kern w:val="22"/>
                <w:sz w:val="22"/>
                <w:szCs w:val="22"/>
              </w:rPr>
              <w:t>2 472</w:t>
            </w:r>
          </w:p>
        </w:tc>
      </w:tr>
      <w:tr w:rsidR="00205EDC" w:rsidRPr="008D5847" w14:paraId="54F966E3"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7024EF8" w14:textId="77777777" w:rsidR="00205EDC" w:rsidRPr="008D5847" w:rsidRDefault="00205EDC" w:rsidP="00CE5EBA">
            <w:pPr>
              <w:rPr>
                <w:color w:val="000000"/>
                <w:kern w:val="22"/>
                <w:sz w:val="22"/>
                <w:szCs w:val="22"/>
              </w:rPr>
            </w:pPr>
            <w:r w:rsidRPr="008D5847">
              <w:rPr>
                <w:color w:val="000000"/>
                <w:kern w:val="22"/>
                <w:sz w:val="22"/>
                <w:szCs w:val="22"/>
              </w:rPr>
              <w:t>Bahreïn</w:t>
            </w:r>
          </w:p>
        </w:tc>
        <w:tc>
          <w:tcPr>
            <w:tcW w:w="1580" w:type="dxa"/>
            <w:tcBorders>
              <w:top w:val="nil"/>
              <w:left w:val="nil"/>
              <w:bottom w:val="single" w:sz="4" w:space="0" w:color="auto"/>
              <w:right w:val="single" w:sz="4" w:space="0" w:color="auto"/>
            </w:tcBorders>
            <w:shd w:val="clear" w:color="auto" w:fill="auto"/>
            <w:vAlign w:val="center"/>
            <w:hideMark/>
          </w:tcPr>
          <w:p w14:paraId="7E9C42ED"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050 </w:t>
            </w:r>
          </w:p>
        </w:tc>
        <w:tc>
          <w:tcPr>
            <w:tcW w:w="1580" w:type="dxa"/>
            <w:tcBorders>
              <w:top w:val="nil"/>
              <w:left w:val="nil"/>
              <w:bottom w:val="single" w:sz="4" w:space="0" w:color="auto"/>
              <w:right w:val="single" w:sz="4" w:space="0" w:color="auto"/>
            </w:tcBorders>
            <w:shd w:val="clear" w:color="auto" w:fill="auto"/>
            <w:noWrap/>
            <w:vAlign w:val="center"/>
            <w:hideMark/>
          </w:tcPr>
          <w:p w14:paraId="4BC07F33"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063 </w:t>
            </w:r>
          </w:p>
        </w:tc>
        <w:tc>
          <w:tcPr>
            <w:tcW w:w="1580" w:type="dxa"/>
            <w:tcBorders>
              <w:top w:val="nil"/>
              <w:left w:val="nil"/>
              <w:bottom w:val="single" w:sz="4" w:space="0" w:color="auto"/>
              <w:right w:val="single" w:sz="4" w:space="0" w:color="auto"/>
            </w:tcBorders>
            <w:shd w:val="clear" w:color="auto" w:fill="auto"/>
            <w:noWrap/>
            <w:vAlign w:val="center"/>
            <w:hideMark/>
          </w:tcPr>
          <w:p w14:paraId="32DCA02B" w14:textId="77777777" w:rsidR="00205EDC" w:rsidRPr="008D5847" w:rsidRDefault="00205EDC" w:rsidP="00CE5EBA">
            <w:pPr>
              <w:jc w:val="right"/>
              <w:rPr>
                <w:color w:val="000000"/>
                <w:kern w:val="22"/>
                <w:sz w:val="22"/>
                <w:szCs w:val="22"/>
              </w:rPr>
            </w:pPr>
            <w:r w:rsidRPr="008D5847">
              <w:rPr>
                <w:color w:val="000000"/>
                <w:kern w:val="22"/>
                <w:sz w:val="22"/>
                <w:szCs w:val="22"/>
              </w:rPr>
              <w:t>6 866</w:t>
            </w:r>
          </w:p>
        </w:tc>
      </w:tr>
      <w:tr w:rsidR="00205EDC" w:rsidRPr="008D5847" w14:paraId="730527F3"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EED076D" w14:textId="77777777" w:rsidR="00205EDC" w:rsidRPr="008D5847" w:rsidRDefault="00205EDC" w:rsidP="00CE5EBA">
            <w:pPr>
              <w:rPr>
                <w:color w:val="000000"/>
                <w:kern w:val="22"/>
                <w:sz w:val="22"/>
                <w:szCs w:val="22"/>
              </w:rPr>
            </w:pPr>
            <w:r w:rsidRPr="008D5847">
              <w:rPr>
                <w:color w:val="000000"/>
                <w:kern w:val="22"/>
                <w:sz w:val="22"/>
                <w:szCs w:val="22"/>
              </w:rPr>
              <w:t>Bangladesh</w:t>
            </w:r>
          </w:p>
        </w:tc>
        <w:tc>
          <w:tcPr>
            <w:tcW w:w="1580" w:type="dxa"/>
            <w:tcBorders>
              <w:top w:val="nil"/>
              <w:left w:val="nil"/>
              <w:bottom w:val="single" w:sz="4" w:space="0" w:color="auto"/>
              <w:right w:val="single" w:sz="4" w:space="0" w:color="auto"/>
            </w:tcBorders>
            <w:shd w:val="clear" w:color="auto" w:fill="auto"/>
            <w:vAlign w:val="center"/>
            <w:hideMark/>
          </w:tcPr>
          <w:p w14:paraId="6642CF31"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2C13688A"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7F9E3285" w14:textId="77777777" w:rsidR="00205EDC" w:rsidRPr="008D5847" w:rsidRDefault="00205EDC" w:rsidP="00CE5EBA">
            <w:pPr>
              <w:jc w:val="right"/>
              <w:rPr>
                <w:color w:val="000000"/>
                <w:kern w:val="22"/>
                <w:sz w:val="22"/>
                <w:szCs w:val="22"/>
              </w:rPr>
            </w:pPr>
            <w:r w:rsidRPr="008D5847">
              <w:rPr>
                <w:color w:val="000000"/>
                <w:kern w:val="22"/>
                <w:sz w:val="22"/>
                <w:szCs w:val="22"/>
              </w:rPr>
              <w:t>1 098</w:t>
            </w:r>
          </w:p>
        </w:tc>
      </w:tr>
      <w:tr w:rsidR="00205EDC" w:rsidRPr="008D5847" w14:paraId="52B2526E"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7DA9D6D" w14:textId="77777777" w:rsidR="00205EDC" w:rsidRPr="008D5847" w:rsidRDefault="00205EDC" w:rsidP="00CE5EBA">
            <w:pPr>
              <w:rPr>
                <w:color w:val="000000"/>
                <w:kern w:val="22"/>
                <w:sz w:val="22"/>
                <w:szCs w:val="22"/>
              </w:rPr>
            </w:pPr>
            <w:r w:rsidRPr="008D5847">
              <w:rPr>
                <w:color w:val="000000"/>
                <w:kern w:val="22"/>
                <w:sz w:val="22"/>
                <w:szCs w:val="22"/>
              </w:rPr>
              <w:t>Barbade</w:t>
            </w:r>
          </w:p>
        </w:tc>
        <w:tc>
          <w:tcPr>
            <w:tcW w:w="1580" w:type="dxa"/>
            <w:tcBorders>
              <w:top w:val="nil"/>
              <w:left w:val="nil"/>
              <w:bottom w:val="single" w:sz="4" w:space="0" w:color="auto"/>
              <w:right w:val="single" w:sz="4" w:space="0" w:color="auto"/>
            </w:tcBorders>
            <w:shd w:val="clear" w:color="auto" w:fill="auto"/>
            <w:vAlign w:val="center"/>
            <w:hideMark/>
          </w:tcPr>
          <w:p w14:paraId="08D613BA"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007 </w:t>
            </w:r>
          </w:p>
        </w:tc>
        <w:tc>
          <w:tcPr>
            <w:tcW w:w="1580" w:type="dxa"/>
            <w:tcBorders>
              <w:top w:val="nil"/>
              <w:left w:val="nil"/>
              <w:bottom w:val="single" w:sz="4" w:space="0" w:color="auto"/>
              <w:right w:val="single" w:sz="4" w:space="0" w:color="auto"/>
            </w:tcBorders>
            <w:shd w:val="clear" w:color="auto" w:fill="auto"/>
            <w:noWrap/>
            <w:vAlign w:val="center"/>
            <w:hideMark/>
          </w:tcPr>
          <w:p w14:paraId="17BF71BB"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267ADE63" w14:textId="77777777" w:rsidR="00205EDC" w:rsidRPr="008D5847" w:rsidRDefault="00205EDC" w:rsidP="00CE5EBA">
            <w:pPr>
              <w:jc w:val="right"/>
              <w:rPr>
                <w:color w:val="000000"/>
                <w:kern w:val="22"/>
                <w:sz w:val="22"/>
                <w:szCs w:val="22"/>
              </w:rPr>
            </w:pPr>
            <w:r w:rsidRPr="008D5847">
              <w:rPr>
                <w:color w:val="000000"/>
                <w:kern w:val="22"/>
                <w:sz w:val="22"/>
                <w:szCs w:val="22"/>
              </w:rPr>
              <w:t>961</w:t>
            </w:r>
          </w:p>
        </w:tc>
      </w:tr>
      <w:tr w:rsidR="00205EDC" w:rsidRPr="008D5847" w14:paraId="4982E9ED"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E113754" w14:textId="77777777" w:rsidR="00205EDC" w:rsidRPr="008D5847" w:rsidRDefault="00205EDC" w:rsidP="00CE5EBA">
            <w:pPr>
              <w:rPr>
                <w:color w:val="000000"/>
                <w:kern w:val="22"/>
                <w:sz w:val="22"/>
                <w:szCs w:val="22"/>
              </w:rPr>
            </w:pPr>
            <w:r w:rsidRPr="008D5847">
              <w:rPr>
                <w:color w:val="000000"/>
                <w:kern w:val="22"/>
                <w:sz w:val="22"/>
                <w:szCs w:val="22"/>
              </w:rPr>
              <w:t>Belgique</w:t>
            </w:r>
          </w:p>
        </w:tc>
        <w:tc>
          <w:tcPr>
            <w:tcW w:w="1580" w:type="dxa"/>
            <w:tcBorders>
              <w:top w:val="nil"/>
              <w:left w:val="nil"/>
              <w:bottom w:val="single" w:sz="4" w:space="0" w:color="auto"/>
              <w:right w:val="single" w:sz="4" w:space="0" w:color="auto"/>
            </w:tcBorders>
            <w:shd w:val="clear" w:color="auto" w:fill="auto"/>
            <w:vAlign w:val="center"/>
            <w:hideMark/>
          </w:tcPr>
          <w:p w14:paraId="1584648A"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821 </w:t>
            </w:r>
          </w:p>
        </w:tc>
        <w:tc>
          <w:tcPr>
            <w:tcW w:w="1580" w:type="dxa"/>
            <w:tcBorders>
              <w:top w:val="nil"/>
              <w:left w:val="nil"/>
              <w:bottom w:val="single" w:sz="4" w:space="0" w:color="auto"/>
              <w:right w:val="single" w:sz="4" w:space="0" w:color="auto"/>
            </w:tcBorders>
            <w:shd w:val="clear" w:color="auto" w:fill="auto"/>
            <w:noWrap/>
            <w:vAlign w:val="center"/>
            <w:hideMark/>
          </w:tcPr>
          <w:p w14:paraId="1311BF81" w14:textId="77777777" w:rsidR="00205EDC" w:rsidRPr="008D5847" w:rsidRDefault="00205EDC" w:rsidP="00CE5EBA">
            <w:pPr>
              <w:jc w:val="right"/>
              <w:rPr>
                <w:color w:val="000000"/>
                <w:kern w:val="22"/>
                <w:sz w:val="22"/>
                <w:szCs w:val="22"/>
              </w:rPr>
            </w:pPr>
            <w:r w:rsidRPr="008D5847">
              <w:rPr>
                <w:color w:val="000000"/>
                <w:kern w:val="22"/>
                <w:sz w:val="22"/>
                <w:szCs w:val="22"/>
              </w:rPr>
              <w:t>1</w:t>
            </w:r>
            <w:r>
              <w:rPr>
                <w:color w:val="000000"/>
                <w:kern w:val="22"/>
                <w:sz w:val="22"/>
                <w:szCs w:val="22"/>
              </w:rPr>
              <w:t>,</w:t>
            </w:r>
            <w:r w:rsidRPr="008D5847">
              <w:rPr>
                <w:color w:val="000000"/>
                <w:kern w:val="22"/>
                <w:sz w:val="22"/>
                <w:szCs w:val="22"/>
              </w:rPr>
              <w:t xml:space="preserve">026 </w:t>
            </w:r>
          </w:p>
        </w:tc>
        <w:tc>
          <w:tcPr>
            <w:tcW w:w="1580" w:type="dxa"/>
            <w:tcBorders>
              <w:top w:val="nil"/>
              <w:left w:val="nil"/>
              <w:bottom w:val="single" w:sz="4" w:space="0" w:color="auto"/>
              <w:right w:val="single" w:sz="4" w:space="0" w:color="auto"/>
            </w:tcBorders>
            <w:shd w:val="clear" w:color="auto" w:fill="auto"/>
            <w:noWrap/>
            <w:vAlign w:val="center"/>
            <w:hideMark/>
          </w:tcPr>
          <w:p w14:paraId="2AEC6246" w14:textId="77777777" w:rsidR="00205EDC" w:rsidRPr="008D5847" w:rsidRDefault="00205EDC" w:rsidP="00CE5EBA">
            <w:pPr>
              <w:jc w:val="right"/>
              <w:rPr>
                <w:color w:val="000000"/>
                <w:kern w:val="22"/>
                <w:sz w:val="22"/>
                <w:szCs w:val="22"/>
              </w:rPr>
            </w:pPr>
            <w:r w:rsidRPr="008D5847">
              <w:rPr>
                <w:color w:val="000000"/>
                <w:kern w:val="22"/>
                <w:sz w:val="22"/>
                <w:szCs w:val="22"/>
              </w:rPr>
              <w:t>112 737</w:t>
            </w:r>
          </w:p>
        </w:tc>
      </w:tr>
      <w:tr w:rsidR="00205EDC" w:rsidRPr="008D5847" w14:paraId="5F84610D"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E55026A" w14:textId="77777777" w:rsidR="00205EDC" w:rsidRPr="008D5847" w:rsidRDefault="00205EDC" w:rsidP="00CE5EBA">
            <w:pPr>
              <w:rPr>
                <w:color w:val="000000"/>
                <w:kern w:val="22"/>
                <w:sz w:val="22"/>
                <w:szCs w:val="22"/>
              </w:rPr>
            </w:pPr>
            <w:r w:rsidRPr="008D5847">
              <w:rPr>
                <w:color w:val="000000"/>
                <w:kern w:val="22"/>
                <w:sz w:val="22"/>
                <w:szCs w:val="22"/>
              </w:rPr>
              <w:t>Belize</w:t>
            </w:r>
          </w:p>
        </w:tc>
        <w:tc>
          <w:tcPr>
            <w:tcW w:w="1580" w:type="dxa"/>
            <w:tcBorders>
              <w:top w:val="nil"/>
              <w:left w:val="nil"/>
              <w:bottom w:val="single" w:sz="4" w:space="0" w:color="auto"/>
              <w:right w:val="single" w:sz="4" w:space="0" w:color="auto"/>
            </w:tcBorders>
            <w:shd w:val="clear" w:color="auto" w:fill="auto"/>
            <w:vAlign w:val="center"/>
            <w:hideMark/>
          </w:tcPr>
          <w:p w14:paraId="5E4A63C3"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6E22613"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CDB98DF" w14:textId="77777777" w:rsidR="00205EDC" w:rsidRPr="008D5847" w:rsidRDefault="00205EDC" w:rsidP="00CE5EBA">
            <w:pPr>
              <w:jc w:val="right"/>
              <w:rPr>
                <w:color w:val="000000"/>
                <w:kern w:val="22"/>
                <w:sz w:val="22"/>
                <w:szCs w:val="22"/>
              </w:rPr>
            </w:pPr>
            <w:r w:rsidRPr="008D5847">
              <w:rPr>
                <w:color w:val="000000"/>
                <w:kern w:val="22"/>
                <w:sz w:val="22"/>
                <w:szCs w:val="22"/>
              </w:rPr>
              <w:t>137</w:t>
            </w:r>
          </w:p>
        </w:tc>
      </w:tr>
      <w:tr w:rsidR="00205EDC" w:rsidRPr="008D5847" w14:paraId="3D398051"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48C18D8" w14:textId="77777777" w:rsidR="00205EDC" w:rsidRPr="008D5847" w:rsidRDefault="00205EDC" w:rsidP="00CE5EBA">
            <w:pPr>
              <w:rPr>
                <w:color w:val="000000"/>
                <w:kern w:val="22"/>
                <w:sz w:val="22"/>
                <w:szCs w:val="22"/>
              </w:rPr>
            </w:pPr>
            <w:r w:rsidRPr="008D5847">
              <w:rPr>
                <w:color w:val="000000"/>
                <w:kern w:val="22"/>
                <w:sz w:val="22"/>
                <w:szCs w:val="22"/>
              </w:rPr>
              <w:t>Bénin</w:t>
            </w:r>
          </w:p>
        </w:tc>
        <w:tc>
          <w:tcPr>
            <w:tcW w:w="1580" w:type="dxa"/>
            <w:tcBorders>
              <w:top w:val="nil"/>
              <w:left w:val="nil"/>
              <w:bottom w:val="single" w:sz="4" w:space="0" w:color="auto"/>
              <w:right w:val="single" w:sz="4" w:space="0" w:color="auto"/>
            </w:tcBorders>
            <w:shd w:val="clear" w:color="auto" w:fill="auto"/>
            <w:vAlign w:val="center"/>
            <w:hideMark/>
          </w:tcPr>
          <w:p w14:paraId="3DA2109A"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0D63C0C9"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46E79485" w14:textId="77777777" w:rsidR="00205EDC" w:rsidRPr="008D5847" w:rsidRDefault="00205EDC" w:rsidP="00CE5EBA">
            <w:pPr>
              <w:jc w:val="right"/>
              <w:rPr>
                <w:color w:val="000000"/>
                <w:kern w:val="22"/>
                <w:sz w:val="22"/>
                <w:szCs w:val="22"/>
              </w:rPr>
            </w:pPr>
            <w:r w:rsidRPr="008D5847">
              <w:rPr>
                <w:color w:val="000000"/>
                <w:kern w:val="22"/>
                <w:sz w:val="22"/>
                <w:szCs w:val="22"/>
              </w:rPr>
              <w:t>412</w:t>
            </w:r>
          </w:p>
        </w:tc>
      </w:tr>
      <w:tr w:rsidR="00205EDC" w:rsidRPr="008D5847" w14:paraId="0AA2CAD2"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1FC80A3" w14:textId="77777777" w:rsidR="00205EDC" w:rsidRPr="008D5847" w:rsidRDefault="00205EDC" w:rsidP="00CE5EBA">
            <w:pPr>
              <w:rPr>
                <w:color w:val="000000"/>
                <w:kern w:val="22"/>
                <w:sz w:val="22"/>
                <w:szCs w:val="22"/>
              </w:rPr>
            </w:pPr>
            <w:r w:rsidRPr="008D5847">
              <w:rPr>
                <w:color w:val="000000"/>
                <w:kern w:val="22"/>
                <w:sz w:val="22"/>
                <w:szCs w:val="22"/>
              </w:rPr>
              <w:t>Bhoutan</w:t>
            </w:r>
          </w:p>
        </w:tc>
        <w:tc>
          <w:tcPr>
            <w:tcW w:w="1580" w:type="dxa"/>
            <w:tcBorders>
              <w:top w:val="nil"/>
              <w:left w:val="nil"/>
              <w:bottom w:val="single" w:sz="4" w:space="0" w:color="auto"/>
              <w:right w:val="single" w:sz="4" w:space="0" w:color="auto"/>
            </w:tcBorders>
            <w:shd w:val="clear" w:color="auto" w:fill="auto"/>
            <w:vAlign w:val="center"/>
            <w:hideMark/>
          </w:tcPr>
          <w:p w14:paraId="2EDFC58F"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9AAB858"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56EE70F" w14:textId="77777777" w:rsidR="00205EDC" w:rsidRPr="008D5847" w:rsidRDefault="00205EDC" w:rsidP="00CE5EBA">
            <w:pPr>
              <w:jc w:val="right"/>
              <w:rPr>
                <w:color w:val="000000"/>
                <w:kern w:val="22"/>
                <w:sz w:val="22"/>
                <w:szCs w:val="22"/>
              </w:rPr>
            </w:pPr>
            <w:r w:rsidRPr="008D5847">
              <w:rPr>
                <w:color w:val="000000"/>
                <w:kern w:val="22"/>
                <w:sz w:val="22"/>
                <w:szCs w:val="22"/>
              </w:rPr>
              <w:t>137</w:t>
            </w:r>
          </w:p>
        </w:tc>
      </w:tr>
      <w:tr w:rsidR="00205EDC" w:rsidRPr="008D5847" w14:paraId="3756D046"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24B9FC0" w14:textId="77777777" w:rsidR="00205EDC" w:rsidRPr="008D5847" w:rsidRDefault="00205EDC" w:rsidP="00CE5EBA">
            <w:pPr>
              <w:rPr>
                <w:color w:val="000000"/>
                <w:kern w:val="22"/>
                <w:sz w:val="22"/>
                <w:szCs w:val="22"/>
              </w:rPr>
            </w:pPr>
            <w:r w:rsidRPr="008D5847">
              <w:rPr>
                <w:color w:val="000000"/>
                <w:kern w:val="22"/>
                <w:sz w:val="22"/>
                <w:szCs w:val="22"/>
              </w:rPr>
              <w:t>Biélorussie</w:t>
            </w:r>
          </w:p>
        </w:tc>
        <w:tc>
          <w:tcPr>
            <w:tcW w:w="1580" w:type="dxa"/>
            <w:tcBorders>
              <w:top w:val="nil"/>
              <w:left w:val="nil"/>
              <w:bottom w:val="single" w:sz="4" w:space="0" w:color="auto"/>
              <w:right w:val="single" w:sz="4" w:space="0" w:color="auto"/>
            </w:tcBorders>
            <w:shd w:val="clear" w:color="auto" w:fill="auto"/>
            <w:vAlign w:val="center"/>
            <w:hideMark/>
          </w:tcPr>
          <w:p w14:paraId="4A3C4AD6"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049 </w:t>
            </w:r>
          </w:p>
        </w:tc>
        <w:tc>
          <w:tcPr>
            <w:tcW w:w="1580" w:type="dxa"/>
            <w:tcBorders>
              <w:top w:val="nil"/>
              <w:left w:val="nil"/>
              <w:bottom w:val="single" w:sz="4" w:space="0" w:color="auto"/>
              <w:right w:val="single" w:sz="4" w:space="0" w:color="auto"/>
            </w:tcBorders>
            <w:shd w:val="clear" w:color="auto" w:fill="auto"/>
            <w:noWrap/>
            <w:vAlign w:val="center"/>
            <w:hideMark/>
          </w:tcPr>
          <w:p w14:paraId="060FD587"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061 </w:t>
            </w:r>
          </w:p>
        </w:tc>
        <w:tc>
          <w:tcPr>
            <w:tcW w:w="1580" w:type="dxa"/>
            <w:tcBorders>
              <w:top w:val="nil"/>
              <w:left w:val="nil"/>
              <w:bottom w:val="single" w:sz="4" w:space="0" w:color="auto"/>
              <w:right w:val="single" w:sz="4" w:space="0" w:color="auto"/>
            </w:tcBorders>
            <w:shd w:val="clear" w:color="auto" w:fill="auto"/>
            <w:noWrap/>
            <w:vAlign w:val="center"/>
            <w:hideMark/>
          </w:tcPr>
          <w:p w14:paraId="287F5118" w14:textId="77777777" w:rsidR="00205EDC" w:rsidRPr="008D5847" w:rsidRDefault="00205EDC" w:rsidP="00CE5EBA">
            <w:pPr>
              <w:jc w:val="right"/>
              <w:rPr>
                <w:color w:val="000000"/>
                <w:kern w:val="22"/>
                <w:sz w:val="22"/>
                <w:szCs w:val="22"/>
              </w:rPr>
            </w:pPr>
            <w:r w:rsidRPr="008D5847">
              <w:rPr>
                <w:color w:val="000000"/>
                <w:kern w:val="22"/>
                <w:sz w:val="22"/>
                <w:szCs w:val="22"/>
              </w:rPr>
              <w:t>6 728</w:t>
            </w:r>
          </w:p>
        </w:tc>
      </w:tr>
      <w:tr w:rsidR="00205EDC" w:rsidRPr="008D5847" w14:paraId="75AA9F79"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880DD02" w14:textId="77777777" w:rsidR="00205EDC" w:rsidRPr="008D5847" w:rsidRDefault="00205EDC" w:rsidP="00CE5EBA">
            <w:pPr>
              <w:rPr>
                <w:color w:val="000000"/>
                <w:kern w:val="22"/>
                <w:sz w:val="22"/>
                <w:szCs w:val="22"/>
              </w:rPr>
            </w:pPr>
            <w:r w:rsidRPr="008D5847">
              <w:rPr>
                <w:color w:val="000000"/>
                <w:kern w:val="22"/>
                <w:sz w:val="22"/>
                <w:szCs w:val="22"/>
              </w:rPr>
              <w:t>Bolivie (État plurinational de)</w:t>
            </w:r>
          </w:p>
        </w:tc>
        <w:tc>
          <w:tcPr>
            <w:tcW w:w="1580" w:type="dxa"/>
            <w:tcBorders>
              <w:top w:val="nil"/>
              <w:left w:val="nil"/>
              <w:bottom w:val="single" w:sz="4" w:space="0" w:color="auto"/>
              <w:right w:val="single" w:sz="4" w:space="0" w:color="auto"/>
            </w:tcBorders>
            <w:shd w:val="clear" w:color="auto" w:fill="auto"/>
            <w:vAlign w:val="center"/>
            <w:hideMark/>
          </w:tcPr>
          <w:p w14:paraId="22AB4575"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016 </w:t>
            </w:r>
          </w:p>
        </w:tc>
        <w:tc>
          <w:tcPr>
            <w:tcW w:w="1580" w:type="dxa"/>
            <w:tcBorders>
              <w:top w:val="nil"/>
              <w:left w:val="nil"/>
              <w:bottom w:val="single" w:sz="4" w:space="0" w:color="auto"/>
              <w:right w:val="single" w:sz="4" w:space="0" w:color="auto"/>
            </w:tcBorders>
            <w:shd w:val="clear" w:color="auto" w:fill="auto"/>
            <w:noWrap/>
            <w:vAlign w:val="center"/>
            <w:hideMark/>
          </w:tcPr>
          <w:p w14:paraId="1F946808"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020 </w:t>
            </w:r>
          </w:p>
        </w:tc>
        <w:tc>
          <w:tcPr>
            <w:tcW w:w="1580" w:type="dxa"/>
            <w:tcBorders>
              <w:top w:val="nil"/>
              <w:left w:val="nil"/>
              <w:bottom w:val="single" w:sz="4" w:space="0" w:color="auto"/>
              <w:right w:val="single" w:sz="4" w:space="0" w:color="auto"/>
            </w:tcBorders>
            <w:shd w:val="clear" w:color="auto" w:fill="auto"/>
            <w:noWrap/>
            <w:vAlign w:val="center"/>
            <w:hideMark/>
          </w:tcPr>
          <w:p w14:paraId="1B67BC2C" w14:textId="77777777" w:rsidR="00205EDC" w:rsidRPr="008D5847" w:rsidRDefault="00205EDC" w:rsidP="00CE5EBA">
            <w:pPr>
              <w:jc w:val="right"/>
              <w:rPr>
                <w:color w:val="000000"/>
                <w:kern w:val="22"/>
                <w:sz w:val="22"/>
                <w:szCs w:val="22"/>
              </w:rPr>
            </w:pPr>
            <w:r w:rsidRPr="008D5847">
              <w:rPr>
                <w:color w:val="000000"/>
                <w:kern w:val="22"/>
                <w:sz w:val="22"/>
                <w:szCs w:val="22"/>
              </w:rPr>
              <w:t>2 197</w:t>
            </w:r>
          </w:p>
        </w:tc>
      </w:tr>
      <w:tr w:rsidR="00205EDC" w:rsidRPr="008D5847" w14:paraId="41C31C70"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DB4EDB4" w14:textId="77777777" w:rsidR="00205EDC" w:rsidRPr="008D5847" w:rsidRDefault="00205EDC" w:rsidP="00CE5EBA">
            <w:pPr>
              <w:rPr>
                <w:color w:val="000000"/>
                <w:kern w:val="22"/>
                <w:sz w:val="22"/>
                <w:szCs w:val="22"/>
              </w:rPr>
            </w:pPr>
            <w:r w:rsidRPr="008D5847">
              <w:rPr>
                <w:color w:val="000000"/>
                <w:kern w:val="22"/>
                <w:sz w:val="22"/>
                <w:szCs w:val="22"/>
              </w:rPr>
              <w:t>Bosnie-Herzégovine</w:t>
            </w:r>
          </w:p>
        </w:tc>
        <w:tc>
          <w:tcPr>
            <w:tcW w:w="1580" w:type="dxa"/>
            <w:tcBorders>
              <w:top w:val="nil"/>
              <w:left w:val="nil"/>
              <w:bottom w:val="single" w:sz="4" w:space="0" w:color="auto"/>
              <w:right w:val="single" w:sz="4" w:space="0" w:color="auto"/>
            </w:tcBorders>
            <w:shd w:val="clear" w:color="auto" w:fill="auto"/>
            <w:vAlign w:val="center"/>
            <w:hideMark/>
          </w:tcPr>
          <w:p w14:paraId="110FD8E7"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012 </w:t>
            </w:r>
          </w:p>
        </w:tc>
        <w:tc>
          <w:tcPr>
            <w:tcW w:w="1580" w:type="dxa"/>
            <w:tcBorders>
              <w:top w:val="nil"/>
              <w:left w:val="nil"/>
              <w:bottom w:val="single" w:sz="4" w:space="0" w:color="auto"/>
              <w:right w:val="single" w:sz="4" w:space="0" w:color="auto"/>
            </w:tcBorders>
            <w:shd w:val="clear" w:color="auto" w:fill="auto"/>
            <w:noWrap/>
            <w:vAlign w:val="center"/>
            <w:hideMark/>
          </w:tcPr>
          <w:p w14:paraId="2800C679"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015 </w:t>
            </w:r>
          </w:p>
        </w:tc>
        <w:tc>
          <w:tcPr>
            <w:tcW w:w="1580" w:type="dxa"/>
            <w:tcBorders>
              <w:top w:val="nil"/>
              <w:left w:val="nil"/>
              <w:bottom w:val="single" w:sz="4" w:space="0" w:color="auto"/>
              <w:right w:val="single" w:sz="4" w:space="0" w:color="auto"/>
            </w:tcBorders>
            <w:shd w:val="clear" w:color="auto" w:fill="auto"/>
            <w:noWrap/>
            <w:vAlign w:val="center"/>
            <w:hideMark/>
          </w:tcPr>
          <w:p w14:paraId="40CADE68" w14:textId="77777777" w:rsidR="00205EDC" w:rsidRPr="008D5847" w:rsidRDefault="00205EDC" w:rsidP="00CE5EBA">
            <w:pPr>
              <w:jc w:val="right"/>
              <w:rPr>
                <w:color w:val="000000"/>
                <w:kern w:val="22"/>
                <w:sz w:val="22"/>
                <w:szCs w:val="22"/>
              </w:rPr>
            </w:pPr>
            <w:r w:rsidRPr="008D5847">
              <w:rPr>
                <w:color w:val="000000"/>
                <w:kern w:val="22"/>
                <w:sz w:val="22"/>
                <w:szCs w:val="22"/>
              </w:rPr>
              <w:t>1 648</w:t>
            </w:r>
          </w:p>
        </w:tc>
      </w:tr>
      <w:tr w:rsidR="00205EDC" w:rsidRPr="008D5847" w14:paraId="504665A3"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526DAA9" w14:textId="77777777" w:rsidR="00205EDC" w:rsidRPr="008D5847" w:rsidRDefault="00205EDC" w:rsidP="00CE5EBA">
            <w:pPr>
              <w:rPr>
                <w:color w:val="000000"/>
                <w:kern w:val="22"/>
                <w:sz w:val="22"/>
                <w:szCs w:val="22"/>
              </w:rPr>
            </w:pPr>
            <w:r w:rsidRPr="008D5847">
              <w:rPr>
                <w:color w:val="000000"/>
                <w:kern w:val="22"/>
                <w:sz w:val="22"/>
                <w:szCs w:val="22"/>
              </w:rPr>
              <w:t>Botswana</w:t>
            </w:r>
          </w:p>
        </w:tc>
        <w:tc>
          <w:tcPr>
            <w:tcW w:w="1580" w:type="dxa"/>
            <w:tcBorders>
              <w:top w:val="nil"/>
              <w:left w:val="nil"/>
              <w:bottom w:val="single" w:sz="4" w:space="0" w:color="auto"/>
              <w:right w:val="single" w:sz="4" w:space="0" w:color="auto"/>
            </w:tcBorders>
            <w:shd w:val="clear" w:color="auto" w:fill="auto"/>
            <w:vAlign w:val="center"/>
            <w:hideMark/>
          </w:tcPr>
          <w:p w14:paraId="6E9F8DC3"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014 </w:t>
            </w:r>
          </w:p>
        </w:tc>
        <w:tc>
          <w:tcPr>
            <w:tcW w:w="1580" w:type="dxa"/>
            <w:tcBorders>
              <w:top w:val="nil"/>
              <w:left w:val="nil"/>
              <w:bottom w:val="single" w:sz="4" w:space="0" w:color="auto"/>
              <w:right w:val="single" w:sz="4" w:space="0" w:color="auto"/>
            </w:tcBorders>
            <w:shd w:val="clear" w:color="auto" w:fill="auto"/>
            <w:noWrap/>
            <w:vAlign w:val="center"/>
            <w:hideMark/>
          </w:tcPr>
          <w:p w14:paraId="7A0E6227"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018 </w:t>
            </w:r>
          </w:p>
        </w:tc>
        <w:tc>
          <w:tcPr>
            <w:tcW w:w="1580" w:type="dxa"/>
            <w:tcBorders>
              <w:top w:val="nil"/>
              <w:left w:val="nil"/>
              <w:bottom w:val="single" w:sz="4" w:space="0" w:color="auto"/>
              <w:right w:val="single" w:sz="4" w:space="0" w:color="auto"/>
            </w:tcBorders>
            <w:shd w:val="clear" w:color="auto" w:fill="auto"/>
            <w:noWrap/>
            <w:vAlign w:val="center"/>
            <w:hideMark/>
          </w:tcPr>
          <w:p w14:paraId="14D87D2A" w14:textId="77777777" w:rsidR="00205EDC" w:rsidRPr="008D5847" w:rsidRDefault="00205EDC" w:rsidP="00CE5EBA">
            <w:pPr>
              <w:jc w:val="right"/>
              <w:rPr>
                <w:color w:val="000000"/>
                <w:kern w:val="22"/>
                <w:sz w:val="22"/>
                <w:szCs w:val="22"/>
              </w:rPr>
            </w:pPr>
            <w:r w:rsidRPr="008D5847">
              <w:rPr>
                <w:color w:val="000000"/>
                <w:kern w:val="22"/>
                <w:sz w:val="22"/>
                <w:szCs w:val="22"/>
              </w:rPr>
              <w:t>1 922</w:t>
            </w:r>
          </w:p>
        </w:tc>
      </w:tr>
      <w:tr w:rsidR="00205EDC" w:rsidRPr="008D5847" w14:paraId="3550BCAC"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7B5EC97" w14:textId="77777777" w:rsidR="00205EDC" w:rsidRPr="008D5847" w:rsidRDefault="00205EDC" w:rsidP="00CE5EBA">
            <w:pPr>
              <w:rPr>
                <w:color w:val="000000"/>
                <w:kern w:val="22"/>
                <w:sz w:val="22"/>
                <w:szCs w:val="22"/>
              </w:rPr>
            </w:pPr>
            <w:r w:rsidRPr="008D5847">
              <w:rPr>
                <w:color w:val="000000"/>
                <w:kern w:val="22"/>
                <w:sz w:val="22"/>
                <w:szCs w:val="22"/>
              </w:rPr>
              <w:t>Brésil</w:t>
            </w:r>
          </w:p>
        </w:tc>
        <w:tc>
          <w:tcPr>
            <w:tcW w:w="1580" w:type="dxa"/>
            <w:tcBorders>
              <w:top w:val="nil"/>
              <w:left w:val="nil"/>
              <w:bottom w:val="single" w:sz="4" w:space="0" w:color="auto"/>
              <w:right w:val="single" w:sz="4" w:space="0" w:color="auto"/>
            </w:tcBorders>
            <w:shd w:val="clear" w:color="auto" w:fill="auto"/>
            <w:vAlign w:val="center"/>
            <w:hideMark/>
          </w:tcPr>
          <w:p w14:paraId="5942368B" w14:textId="77777777" w:rsidR="00205EDC" w:rsidRPr="008D5847" w:rsidRDefault="00205EDC" w:rsidP="00CE5EBA">
            <w:pPr>
              <w:jc w:val="right"/>
              <w:rPr>
                <w:color w:val="000000"/>
                <w:kern w:val="22"/>
                <w:sz w:val="22"/>
                <w:szCs w:val="22"/>
              </w:rPr>
            </w:pPr>
            <w:r w:rsidRPr="008D5847">
              <w:rPr>
                <w:color w:val="000000"/>
                <w:kern w:val="22"/>
                <w:sz w:val="22"/>
                <w:szCs w:val="22"/>
              </w:rPr>
              <w:t>2</w:t>
            </w:r>
            <w:r>
              <w:rPr>
                <w:color w:val="000000"/>
                <w:kern w:val="22"/>
                <w:sz w:val="22"/>
                <w:szCs w:val="22"/>
              </w:rPr>
              <w:t>,</w:t>
            </w:r>
            <w:r w:rsidRPr="008D5847">
              <w:rPr>
                <w:color w:val="000000"/>
                <w:kern w:val="22"/>
                <w:sz w:val="22"/>
                <w:szCs w:val="22"/>
              </w:rPr>
              <w:t xml:space="preserve">948 </w:t>
            </w:r>
          </w:p>
        </w:tc>
        <w:tc>
          <w:tcPr>
            <w:tcW w:w="1580" w:type="dxa"/>
            <w:tcBorders>
              <w:top w:val="nil"/>
              <w:left w:val="nil"/>
              <w:bottom w:val="single" w:sz="4" w:space="0" w:color="auto"/>
              <w:right w:val="single" w:sz="4" w:space="0" w:color="auto"/>
            </w:tcBorders>
            <w:shd w:val="clear" w:color="auto" w:fill="auto"/>
            <w:noWrap/>
            <w:vAlign w:val="center"/>
            <w:hideMark/>
          </w:tcPr>
          <w:p w14:paraId="5C335C98" w14:textId="77777777" w:rsidR="00205EDC" w:rsidRPr="008D5847" w:rsidRDefault="00205EDC" w:rsidP="00CE5EBA">
            <w:pPr>
              <w:jc w:val="right"/>
              <w:rPr>
                <w:color w:val="000000"/>
                <w:kern w:val="22"/>
                <w:sz w:val="22"/>
                <w:szCs w:val="22"/>
              </w:rPr>
            </w:pPr>
            <w:r w:rsidRPr="008D5847">
              <w:rPr>
                <w:color w:val="000000"/>
                <w:kern w:val="22"/>
                <w:sz w:val="22"/>
                <w:szCs w:val="22"/>
              </w:rPr>
              <w:t>3</w:t>
            </w:r>
            <w:r>
              <w:rPr>
                <w:color w:val="000000"/>
                <w:kern w:val="22"/>
                <w:sz w:val="22"/>
                <w:szCs w:val="22"/>
              </w:rPr>
              <w:t>,</w:t>
            </w:r>
            <w:r w:rsidRPr="008D5847">
              <w:rPr>
                <w:color w:val="000000"/>
                <w:kern w:val="22"/>
                <w:sz w:val="22"/>
                <w:szCs w:val="22"/>
              </w:rPr>
              <w:t xml:space="preserve">686 </w:t>
            </w:r>
          </w:p>
        </w:tc>
        <w:tc>
          <w:tcPr>
            <w:tcW w:w="1580" w:type="dxa"/>
            <w:tcBorders>
              <w:top w:val="nil"/>
              <w:left w:val="nil"/>
              <w:bottom w:val="single" w:sz="4" w:space="0" w:color="auto"/>
              <w:right w:val="single" w:sz="4" w:space="0" w:color="auto"/>
            </w:tcBorders>
            <w:shd w:val="clear" w:color="auto" w:fill="auto"/>
            <w:noWrap/>
            <w:vAlign w:val="center"/>
            <w:hideMark/>
          </w:tcPr>
          <w:p w14:paraId="397414DA" w14:textId="77777777" w:rsidR="00205EDC" w:rsidRPr="008D5847" w:rsidRDefault="00205EDC" w:rsidP="00CE5EBA">
            <w:pPr>
              <w:jc w:val="right"/>
              <w:rPr>
                <w:color w:val="000000"/>
                <w:kern w:val="22"/>
                <w:sz w:val="22"/>
                <w:szCs w:val="22"/>
              </w:rPr>
            </w:pPr>
            <w:r w:rsidRPr="008D5847">
              <w:rPr>
                <w:color w:val="000000"/>
                <w:kern w:val="22"/>
                <w:sz w:val="22"/>
                <w:szCs w:val="22"/>
              </w:rPr>
              <w:t>404 808</w:t>
            </w:r>
          </w:p>
        </w:tc>
      </w:tr>
      <w:tr w:rsidR="00205EDC" w:rsidRPr="008D5847" w14:paraId="50006EB8"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562E547" w14:textId="77777777" w:rsidR="00205EDC" w:rsidRPr="008D5847" w:rsidRDefault="00205EDC" w:rsidP="00CE5EBA">
            <w:pPr>
              <w:rPr>
                <w:color w:val="000000"/>
                <w:kern w:val="22"/>
                <w:sz w:val="22"/>
                <w:szCs w:val="22"/>
              </w:rPr>
            </w:pPr>
            <w:r w:rsidRPr="008D5847">
              <w:rPr>
                <w:color w:val="000000"/>
                <w:kern w:val="22"/>
                <w:sz w:val="22"/>
                <w:szCs w:val="22"/>
              </w:rPr>
              <w:t>Brunei Darussalam</w:t>
            </w:r>
          </w:p>
        </w:tc>
        <w:tc>
          <w:tcPr>
            <w:tcW w:w="1580" w:type="dxa"/>
            <w:tcBorders>
              <w:top w:val="nil"/>
              <w:left w:val="nil"/>
              <w:bottom w:val="single" w:sz="4" w:space="0" w:color="auto"/>
              <w:right w:val="single" w:sz="4" w:space="0" w:color="auto"/>
            </w:tcBorders>
            <w:shd w:val="clear" w:color="auto" w:fill="auto"/>
            <w:vAlign w:val="center"/>
            <w:hideMark/>
          </w:tcPr>
          <w:p w14:paraId="6E02C9FA"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025 </w:t>
            </w:r>
          </w:p>
        </w:tc>
        <w:tc>
          <w:tcPr>
            <w:tcW w:w="1580" w:type="dxa"/>
            <w:tcBorders>
              <w:top w:val="nil"/>
              <w:left w:val="nil"/>
              <w:bottom w:val="single" w:sz="4" w:space="0" w:color="auto"/>
              <w:right w:val="single" w:sz="4" w:space="0" w:color="auto"/>
            </w:tcBorders>
            <w:shd w:val="clear" w:color="auto" w:fill="auto"/>
            <w:noWrap/>
            <w:vAlign w:val="center"/>
            <w:hideMark/>
          </w:tcPr>
          <w:p w14:paraId="7C0B7F51"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031 </w:t>
            </w:r>
          </w:p>
        </w:tc>
        <w:tc>
          <w:tcPr>
            <w:tcW w:w="1580" w:type="dxa"/>
            <w:tcBorders>
              <w:top w:val="nil"/>
              <w:left w:val="nil"/>
              <w:bottom w:val="single" w:sz="4" w:space="0" w:color="auto"/>
              <w:right w:val="single" w:sz="4" w:space="0" w:color="auto"/>
            </w:tcBorders>
            <w:shd w:val="clear" w:color="auto" w:fill="auto"/>
            <w:noWrap/>
            <w:vAlign w:val="center"/>
            <w:hideMark/>
          </w:tcPr>
          <w:p w14:paraId="60203E3C" w14:textId="77777777" w:rsidR="00205EDC" w:rsidRPr="008D5847" w:rsidRDefault="00205EDC" w:rsidP="00CE5EBA">
            <w:pPr>
              <w:jc w:val="right"/>
              <w:rPr>
                <w:color w:val="000000"/>
                <w:kern w:val="22"/>
                <w:sz w:val="22"/>
                <w:szCs w:val="22"/>
              </w:rPr>
            </w:pPr>
            <w:r w:rsidRPr="008D5847">
              <w:rPr>
                <w:color w:val="000000"/>
                <w:kern w:val="22"/>
                <w:sz w:val="22"/>
                <w:szCs w:val="22"/>
              </w:rPr>
              <w:t>3 433</w:t>
            </w:r>
          </w:p>
        </w:tc>
      </w:tr>
      <w:tr w:rsidR="00205EDC" w:rsidRPr="008D5847" w14:paraId="3553EFA7"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BA46A67" w14:textId="77777777" w:rsidR="00205EDC" w:rsidRPr="008D5847" w:rsidRDefault="00205EDC" w:rsidP="00CE5EBA">
            <w:pPr>
              <w:rPr>
                <w:color w:val="000000"/>
                <w:kern w:val="22"/>
                <w:sz w:val="22"/>
                <w:szCs w:val="22"/>
              </w:rPr>
            </w:pPr>
            <w:r w:rsidRPr="008D5847">
              <w:rPr>
                <w:color w:val="000000"/>
                <w:kern w:val="22"/>
                <w:sz w:val="22"/>
                <w:szCs w:val="22"/>
              </w:rPr>
              <w:t>Bulgarie</w:t>
            </w:r>
          </w:p>
        </w:tc>
        <w:tc>
          <w:tcPr>
            <w:tcW w:w="1580" w:type="dxa"/>
            <w:tcBorders>
              <w:top w:val="nil"/>
              <w:left w:val="nil"/>
              <w:bottom w:val="single" w:sz="4" w:space="0" w:color="auto"/>
              <w:right w:val="single" w:sz="4" w:space="0" w:color="auto"/>
            </w:tcBorders>
            <w:shd w:val="clear" w:color="auto" w:fill="auto"/>
            <w:vAlign w:val="center"/>
            <w:hideMark/>
          </w:tcPr>
          <w:p w14:paraId="2D92B7ED"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046 </w:t>
            </w:r>
          </w:p>
        </w:tc>
        <w:tc>
          <w:tcPr>
            <w:tcW w:w="1580" w:type="dxa"/>
            <w:tcBorders>
              <w:top w:val="nil"/>
              <w:left w:val="nil"/>
              <w:bottom w:val="single" w:sz="4" w:space="0" w:color="auto"/>
              <w:right w:val="single" w:sz="4" w:space="0" w:color="auto"/>
            </w:tcBorders>
            <w:shd w:val="clear" w:color="auto" w:fill="auto"/>
            <w:noWrap/>
            <w:vAlign w:val="center"/>
            <w:hideMark/>
          </w:tcPr>
          <w:p w14:paraId="70A6D603"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058 </w:t>
            </w:r>
          </w:p>
        </w:tc>
        <w:tc>
          <w:tcPr>
            <w:tcW w:w="1580" w:type="dxa"/>
            <w:tcBorders>
              <w:top w:val="nil"/>
              <w:left w:val="nil"/>
              <w:bottom w:val="single" w:sz="4" w:space="0" w:color="auto"/>
              <w:right w:val="single" w:sz="4" w:space="0" w:color="auto"/>
            </w:tcBorders>
            <w:shd w:val="clear" w:color="auto" w:fill="auto"/>
            <w:noWrap/>
            <w:vAlign w:val="center"/>
            <w:hideMark/>
          </w:tcPr>
          <w:p w14:paraId="4B6D25E7" w14:textId="77777777" w:rsidR="00205EDC" w:rsidRPr="008D5847" w:rsidRDefault="00205EDC" w:rsidP="00CE5EBA">
            <w:pPr>
              <w:jc w:val="right"/>
              <w:rPr>
                <w:color w:val="000000"/>
                <w:kern w:val="22"/>
                <w:sz w:val="22"/>
                <w:szCs w:val="22"/>
              </w:rPr>
            </w:pPr>
            <w:r w:rsidRPr="008D5847">
              <w:rPr>
                <w:color w:val="000000"/>
                <w:kern w:val="22"/>
                <w:sz w:val="22"/>
                <w:szCs w:val="22"/>
              </w:rPr>
              <w:t>6 317</w:t>
            </w:r>
          </w:p>
        </w:tc>
      </w:tr>
      <w:tr w:rsidR="00205EDC" w:rsidRPr="008D5847" w14:paraId="43DB5DE4"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01DA03F" w14:textId="77777777" w:rsidR="00205EDC" w:rsidRPr="008D5847" w:rsidRDefault="00205EDC" w:rsidP="00CE5EBA">
            <w:pPr>
              <w:rPr>
                <w:color w:val="000000"/>
                <w:kern w:val="22"/>
                <w:sz w:val="22"/>
                <w:szCs w:val="22"/>
              </w:rPr>
            </w:pPr>
            <w:r w:rsidRPr="008D5847">
              <w:rPr>
                <w:color w:val="000000"/>
                <w:kern w:val="22"/>
                <w:sz w:val="22"/>
                <w:szCs w:val="22"/>
              </w:rPr>
              <w:t>Burkina Faso</w:t>
            </w:r>
          </w:p>
        </w:tc>
        <w:tc>
          <w:tcPr>
            <w:tcW w:w="1580" w:type="dxa"/>
            <w:tcBorders>
              <w:top w:val="nil"/>
              <w:left w:val="nil"/>
              <w:bottom w:val="single" w:sz="4" w:space="0" w:color="auto"/>
              <w:right w:val="single" w:sz="4" w:space="0" w:color="auto"/>
            </w:tcBorders>
            <w:shd w:val="clear" w:color="auto" w:fill="auto"/>
            <w:vAlign w:val="center"/>
            <w:hideMark/>
          </w:tcPr>
          <w:p w14:paraId="3B999523"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0DFB2A1F"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778BA8E5" w14:textId="77777777" w:rsidR="00205EDC" w:rsidRPr="008D5847" w:rsidRDefault="00205EDC" w:rsidP="00CE5EBA">
            <w:pPr>
              <w:jc w:val="right"/>
              <w:rPr>
                <w:color w:val="000000"/>
                <w:kern w:val="22"/>
                <w:sz w:val="22"/>
                <w:szCs w:val="22"/>
              </w:rPr>
            </w:pPr>
            <w:r w:rsidRPr="008D5847">
              <w:rPr>
                <w:color w:val="000000"/>
                <w:kern w:val="22"/>
                <w:sz w:val="22"/>
                <w:szCs w:val="22"/>
              </w:rPr>
              <w:t>412</w:t>
            </w:r>
          </w:p>
        </w:tc>
      </w:tr>
      <w:tr w:rsidR="00205EDC" w:rsidRPr="008D5847" w14:paraId="2B526944" w14:textId="77777777" w:rsidTr="0011698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1ADC1AE" w14:textId="77777777" w:rsidR="00205EDC" w:rsidRPr="008D5847" w:rsidRDefault="00205EDC" w:rsidP="00CE5EBA">
            <w:pPr>
              <w:rPr>
                <w:color w:val="000000"/>
                <w:kern w:val="22"/>
                <w:sz w:val="22"/>
                <w:szCs w:val="22"/>
              </w:rPr>
            </w:pPr>
            <w:r w:rsidRPr="008D5847">
              <w:rPr>
                <w:color w:val="000000"/>
                <w:kern w:val="22"/>
                <w:sz w:val="22"/>
                <w:szCs w:val="22"/>
              </w:rPr>
              <w:t>Burundi</w:t>
            </w:r>
          </w:p>
        </w:tc>
        <w:tc>
          <w:tcPr>
            <w:tcW w:w="1580" w:type="dxa"/>
            <w:tcBorders>
              <w:top w:val="nil"/>
              <w:left w:val="nil"/>
              <w:bottom w:val="single" w:sz="4" w:space="0" w:color="auto"/>
              <w:right w:val="single" w:sz="4" w:space="0" w:color="auto"/>
            </w:tcBorders>
            <w:shd w:val="clear" w:color="auto" w:fill="auto"/>
            <w:vAlign w:val="center"/>
            <w:hideMark/>
          </w:tcPr>
          <w:p w14:paraId="11EBFF7D"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5B518A2" w14:textId="77777777" w:rsidR="00205EDC" w:rsidRPr="008D5847" w:rsidRDefault="00205EDC" w:rsidP="00CE5EBA">
            <w:pPr>
              <w:jc w:val="right"/>
              <w:rPr>
                <w:color w:val="000000"/>
                <w:kern w:val="22"/>
                <w:sz w:val="22"/>
                <w:szCs w:val="22"/>
              </w:rPr>
            </w:pPr>
            <w:r w:rsidRPr="008D5847">
              <w:rPr>
                <w:color w:val="000000"/>
                <w:kern w:val="22"/>
                <w:sz w:val="22"/>
                <w:szCs w:val="22"/>
              </w:rPr>
              <w:t>0</w:t>
            </w:r>
            <w:r>
              <w:rPr>
                <w:color w:val="000000"/>
                <w:kern w:val="22"/>
                <w:sz w:val="22"/>
                <w:szCs w:val="22"/>
              </w:rPr>
              <w:t>,</w:t>
            </w:r>
            <w:r w:rsidRPr="008D5847">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F7EB780" w14:textId="77777777" w:rsidR="00205EDC" w:rsidRPr="008D5847" w:rsidRDefault="00205EDC" w:rsidP="00CE5EBA">
            <w:pPr>
              <w:jc w:val="right"/>
              <w:rPr>
                <w:color w:val="000000"/>
                <w:kern w:val="22"/>
                <w:sz w:val="22"/>
                <w:szCs w:val="22"/>
              </w:rPr>
            </w:pPr>
            <w:r w:rsidRPr="008D5847">
              <w:rPr>
                <w:color w:val="000000"/>
                <w:kern w:val="22"/>
                <w:sz w:val="22"/>
                <w:szCs w:val="22"/>
              </w:rPr>
              <w:t>137</w:t>
            </w:r>
          </w:p>
        </w:tc>
      </w:tr>
      <w:tr w:rsidR="00205EDC" w:rsidRPr="00CF06A4" w14:paraId="02527D2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39D1F49" w14:textId="77777777" w:rsidR="00205EDC" w:rsidRPr="00CF06A4" w:rsidRDefault="00205EDC" w:rsidP="00CE5EBA">
            <w:pPr>
              <w:rPr>
                <w:color w:val="000000"/>
                <w:kern w:val="22"/>
                <w:sz w:val="22"/>
                <w:szCs w:val="20"/>
              </w:rPr>
            </w:pPr>
            <w:r w:rsidRPr="00CF06A4">
              <w:rPr>
                <w:sz w:val="22"/>
                <w:szCs w:val="20"/>
              </w:rPr>
              <w:t>Cambodge</w:t>
            </w:r>
          </w:p>
        </w:tc>
        <w:tc>
          <w:tcPr>
            <w:tcW w:w="1580" w:type="dxa"/>
            <w:tcBorders>
              <w:top w:val="nil"/>
              <w:left w:val="nil"/>
              <w:bottom w:val="single" w:sz="4" w:space="0" w:color="auto"/>
              <w:right w:val="single" w:sz="4" w:space="0" w:color="auto"/>
            </w:tcBorders>
            <w:shd w:val="clear" w:color="auto" w:fill="auto"/>
            <w:vAlign w:val="center"/>
            <w:hideMark/>
          </w:tcPr>
          <w:p w14:paraId="0DC5F53C"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7E5DBDBC"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6D44C550" w14:textId="77777777" w:rsidR="00205EDC" w:rsidRPr="00CF06A4" w:rsidRDefault="00205EDC" w:rsidP="00CE5EBA">
            <w:pPr>
              <w:jc w:val="right"/>
              <w:rPr>
                <w:color w:val="000000"/>
                <w:kern w:val="22"/>
                <w:sz w:val="22"/>
                <w:szCs w:val="20"/>
              </w:rPr>
            </w:pPr>
            <w:r w:rsidRPr="00CF06A4">
              <w:rPr>
                <w:color w:val="000000"/>
                <w:kern w:val="22"/>
                <w:sz w:val="22"/>
                <w:szCs w:val="20"/>
              </w:rPr>
              <w:t>824</w:t>
            </w:r>
          </w:p>
        </w:tc>
      </w:tr>
      <w:tr w:rsidR="00205EDC" w:rsidRPr="00CF06A4" w14:paraId="6479D71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19935F0" w14:textId="77777777" w:rsidR="00205EDC" w:rsidRPr="00CF06A4" w:rsidRDefault="00205EDC" w:rsidP="00CE5EBA">
            <w:pPr>
              <w:rPr>
                <w:color w:val="000000"/>
                <w:kern w:val="22"/>
                <w:sz w:val="22"/>
                <w:szCs w:val="20"/>
              </w:rPr>
            </w:pPr>
            <w:r w:rsidRPr="00CF06A4">
              <w:rPr>
                <w:sz w:val="22"/>
                <w:szCs w:val="20"/>
              </w:rPr>
              <w:t>Cameroun</w:t>
            </w:r>
          </w:p>
        </w:tc>
        <w:tc>
          <w:tcPr>
            <w:tcW w:w="1580" w:type="dxa"/>
            <w:tcBorders>
              <w:top w:val="nil"/>
              <w:left w:val="nil"/>
              <w:bottom w:val="single" w:sz="4" w:space="0" w:color="auto"/>
              <w:right w:val="single" w:sz="4" w:space="0" w:color="auto"/>
            </w:tcBorders>
            <w:shd w:val="clear" w:color="auto" w:fill="auto"/>
            <w:vAlign w:val="center"/>
            <w:hideMark/>
          </w:tcPr>
          <w:p w14:paraId="5DB70511"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013 </w:t>
            </w:r>
          </w:p>
        </w:tc>
        <w:tc>
          <w:tcPr>
            <w:tcW w:w="1580" w:type="dxa"/>
            <w:tcBorders>
              <w:top w:val="nil"/>
              <w:left w:val="nil"/>
              <w:bottom w:val="single" w:sz="4" w:space="0" w:color="auto"/>
              <w:right w:val="single" w:sz="4" w:space="0" w:color="auto"/>
            </w:tcBorders>
            <w:shd w:val="clear" w:color="auto" w:fill="auto"/>
            <w:noWrap/>
            <w:vAlign w:val="center"/>
            <w:hideMark/>
          </w:tcPr>
          <w:p w14:paraId="514A3597"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016 </w:t>
            </w:r>
          </w:p>
        </w:tc>
        <w:tc>
          <w:tcPr>
            <w:tcW w:w="1580" w:type="dxa"/>
            <w:tcBorders>
              <w:top w:val="nil"/>
              <w:left w:val="nil"/>
              <w:bottom w:val="single" w:sz="4" w:space="0" w:color="auto"/>
              <w:right w:val="single" w:sz="4" w:space="0" w:color="auto"/>
            </w:tcBorders>
            <w:shd w:val="clear" w:color="auto" w:fill="auto"/>
            <w:noWrap/>
            <w:vAlign w:val="center"/>
            <w:hideMark/>
          </w:tcPr>
          <w:p w14:paraId="26F6C896" w14:textId="77777777" w:rsidR="00205EDC" w:rsidRPr="00CF06A4" w:rsidRDefault="00205EDC" w:rsidP="00CE5EBA">
            <w:pPr>
              <w:jc w:val="right"/>
              <w:rPr>
                <w:color w:val="000000"/>
                <w:kern w:val="22"/>
                <w:sz w:val="22"/>
                <w:szCs w:val="20"/>
              </w:rPr>
            </w:pPr>
            <w:r w:rsidRPr="00CF06A4">
              <w:rPr>
                <w:color w:val="000000"/>
                <w:kern w:val="22"/>
                <w:sz w:val="22"/>
                <w:szCs w:val="20"/>
              </w:rPr>
              <w:t>1 785</w:t>
            </w:r>
          </w:p>
        </w:tc>
      </w:tr>
      <w:tr w:rsidR="00205EDC" w:rsidRPr="00CF06A4" w14:paraId="7FD7173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13D7AD4" w14:textId="77777777" w:rsidR="00205EDC" w:rsidRPr="00CF06A4" w:rsidRDefault="00205EDC" w:rsidP="00CE5EBA">
            <w:pPr>
              <w:rPr>
                <w:color w:val="000000"/>
                <w:kern w:val="22"/>
                <w:sz w:val="22"/>
                <w:szCs w:val="20"/>
              </w:rPr>
            </w:pPr>
            <w:r w:rsidRPr="00CF06A4">
              <w:rPr>
                <w:sz w:val="22"/>
                <w:szCs w:val="20"/>
              </w:rPr>
              <w:t>Canada</w:t>
            </w:r>
          </w:p>
        </w:tc>
        <w:tc>
          <w:tcPr>
            <w:tcW w:w="1580" w:type="dxa"/>
            <w:tcBorders>
              <w:top w:val="nil"/>
              <w:left w:val="nil"/>
              <w:bottom w:val="single" w:sz="4" w:space="0" w:color="auto"/>
              <w:right w:val="single" w:sz="4" w:space="0" w:color="auto"/>
            </w:tcBorders>
            <w:shd w:val="clear" w:color="auto" w:fill="auto"/>
            <w:vAlign w:val="center"/>
            <w:hideMark/>
          </w:tcPr>
          <w:p w14:paraId="1E9DD8F4" w14:textId="77777777" w:rsidR="00205EDC" w:rsidRPr="00CF06A4" w:rsidRDefault="00205EDC" w:rsidP="00CE5EBA">
            <w:pPr>
              <w:jc w:val="right"/>
              <w:rPr>
                <w:color w:val="000000"/>
                <w:kern w:val="22"/>
                <w:sz w:val="22"/>
                <w:szCs w:val="20"/>
              </w:rPr>
            </w:pPr>
            <w:r w:rsidRPr="00CF06A4">
              <w:rPr>
                <w:color w:val="000000"/>
                <w:kern w:val="22"/>
                <w:sz w:val="22"/>
                <w:szCs w:val="20"/>
              </w:rPr>
              <w:t>2</w:t>
            </w:r>
            <w:r>
              <w:rPr>
                <w:color w:val="000000"/>
                <w:kern w:val="22"/>
                <w:sz w:val="22"/>
                <w:szCs w:val="20"/>
              </w:rPr>
              <w:t>,</w:t>
            </w:r>
            <w:r w:rsidRPr="00CF06A4">
              <w:rPr>
                <w:color w:val="000000"/>
                <w:kern w:val="22"/>
                <w:sz w:val="22"/>
                <w:szCs w:val="20"/>
              </w:rPr>
              <w:t xml:space="preserve">734 </w:t>
            </w:r>
          </w:p>
        </w:tc>
        <w:tc>
          <w:tcPr>
            <w:tcW w:w="1580" w:type="dxa"/>
            <w:tcBorders>
              <w:top w:val="nil"/>
              <w:left w:val="nil"/>
              <w:bottom w:val="single" w:sz="4" w:space="0" w:color="auto"/>
              <w:right w:val="single" w:sz="4" w:space="0" w:color="auto"/>
            </w:tcBorders>
            <w:shd w:val="clear" w:color="auto" w:fill="auto"/>
            <w:noWrap/>
            <w:vAlign w:val="center"/>
            <w:hideMark/>
          </w:tcPr>
          <w:p w14:paraId="2898DC7D" w14:textId="77777777" w:rsidR="00205EDC" w:rsidRPr="00CF06A4" w:rsidRDefault="00205EDC" w:rsidP="00CE5EBA">
            <w:pPr>
              <w:jc w:val="right"/>
              <w:rPr>
                <w:color w:val="000000"/>
                <w:kern w:val="22"/>
                <w:sz w:val="22"/>
                <w:szCs w:val="20"/>
              </w:rPr>
            </w:pPr>
            <w:r w:rsidRPr="00CF06A4">
              <w:rPr>
                <w:color w:val="000000"/>
                <w:kern w:val="22"/>
                <w:sz w:val="22"/>
                <w:szCs w:val="20"/>
              </w:rPr>
              <w:t>3</w:t>
            </w:r>
            <w:r>
              <w:rPr>
                <w:color w:val="000000"/>
                <w:kern w:val="22"/>
                <w:sz w:val="22"/>
                <w:szCs w:val="20"/>
              </w:rPr>
              <w:t>,</w:t>
            </w:r>
            <w:r w:rsidRPr="00CF06A4">
              <w:rPr>
                <w:color w:val="000000"/>
                <w:kern w:val="22"/>
                <w:sz w:val="22"/>
                <w:szCs w:val="20"/>
              </w:rPr>
              <w:t xml:space="preserve">418 </w:t>
            </w:r>
          </w:p>
        </w:tc>
        <w:tc>
          <w:tcPr>
            <w:tcW w:w="1580" w:type="dxa"/>
            <w:tcBorders>
              <w:top w:val="nil"/>
              <w:left w:val="nil"/>
              <w:bottom w:val="single" w:sz="4" w:space="0" w:color="auto"/>
              <w:right w:val="single" w:sz="4" w:space="0" w:color="auto"/>
            </w:tcBorders>
            <w:shd w:val="clear" w:color="auto" w:fill="auto"/>
            <w:noWrap/>
            <w:vAlign w:val="center"/>
            <w:hideMark/>
          </w:tcPr>
          <w:p w14:paraId="0B4F64B4" w14:textId="77777777" w:rsidR="00205EDC" w:rsidRPr="00CF06A4" w:rsidRDefault="00205EDC" w:rsidP="00CE5EBA">
            <w:pPr>
              <w:jc w:val="right"/>
              <w:rPr>
                <w:color w:val="000000"/>
                <w:kern w:val="22"/>
                <w:sz w:val="22"/>
                <w:szCs w:val="20"/>
              </w:rPr>
            </w:pPr>
            <w:r w:rsidRPr="00CF06A4">
              <w:rPr>
                <w:color w:val="000000"/>
                <w:kern w:val="22"/>
                <w:sz w:val="22"/>
                <w:szCs w:val="20"/>
              </w:rPr>
              <w:t>375 422</w:t>
            </w:r>
          </w:p>
        </w:tc>
      </w:tr>
      <w:tr w:rsidR="00205EDC" w:rsidRPr="00CF06A4" w14:paraId="463F168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9A1AFC7" w14:textId="77777777" w:rsidR="00205EDC" w:rsidRPr="00CF06A4" w:rsidRDefault="00205EDC" w:rsidP="00CE5EBA">
            <w:pPr>
              <w:rPr>
                <w:color w:val="000000"/>
                <w:kern w:val="22"/>
                <w:sz w:val="22"/>
                <w:szCs w:val="20"/>
              </w:rPr>
            </w:pPr>
            <w:r w:rsidRPr="00CF06A4">
              <w:rPr>
                <w:sz w:val="22"/>
                <w:szCs w:val="20"/>
              </w:rPr>
              <w:t>Cap-Vert</w:t>
            </w:r>
          </w:p>
        </w:tc>
        <w:tc>
          <w:tcPr>
            <w:tcW w:w="1580" w:type="dxa"/>
            <w:tcBorders>
              <w:top w:val="nil"/>
              <w:left w:val="nil"/>
              <w:bottom w:val="single" w:sz="4" w:space="0" w:color="auto"/>
              <w:right w:val="single" w:sz="4" w:space="0" w:color="auto"/>
            </w:tcBorders>
            <w:shd w:val="clear" w:color="auto" w:fill="auto"/>
            <w:vAlign w:val="center"/>
            <w:hideMark/>
          </w:tcPr>
          <w:p w14:paraId="4AE16499"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43DD0C6F"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1232E9C6" w14:textId="77777777" w:rsidR="00205EDC" w:rsidRPr="00CF06A4" w:rsidRDefault="00205EDC" w:rsidP="00CE5EBA">
            <w:pPr>
              <w:jc w:val="right"/>
              <w:rPr>
                <w:color w:val="000000"/>
                <w:kern w:val="22"/>
                <w:sz w:val="22"/>
                <w:szCs w:val="20"/>
              </w:rPr>
            </w:pPr>
            <w:r w:rsidRPr="00CF06A4">
              <w:rPr>
                <w:color w:val="000000"/>
                <w:kern w:val="22"/>
                <w:sz w:val="22"/>
                <w:szCs w:val="20"/>
              </w:rPr>
              <w:t>137</w:t>
            </w:r>
          </w:p>
        </w:tc>
      </w:tr>
      <w:tr w:rsidR="00205EDC" w:rsidRPr="00CF06A4" w14:paraId="7291128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D507C27" w14:textId="77777777" w:rsidR="00205EDC" w:rsidRPr="00CF06A4" w:rsidRDefault="00205EDC" w:rsidP="00CE5EBA">
            <w:pPr>
              <w:rPr>
                <w:color w:val="000000"/>
                <w:kern w:val="22"/>
                <w:sz w:val="22"/>
                <w:szCs w:val="20"/>
              </w:rPr>
            </w:pPr>
            <w:r w:rsidRPr="00CF06A4">
              <w:rPr>
                <w:sz w:val="22"/>
                <w:szCs w:val="20"/>
              </w:rPr>
              <w:t>Chili</w:t>
            </w:r>
          </w:p>
        </w:tc>
        <w:tc>
          <w:tcPr>
            <w:tcW w:w="1580" w:type="dxa"/>
            <w:tcBorders>
              <w:top w:val="nil"/>
              <w:left w:val="nil"/>
              <w:bottom w:val="single" w:sz="4" w:space="0" w:color="auto"/>
              <w:right w:val="single" w:sz="4" w:space="0" w:color="auto"/>
            </w:tcBorders>
            <w:shd w:val="clear" w:color="auto" w:fill="auto"/>
            <w:vAlign w:val="center"/>
            <w:hideMark/>
          </w:tcPr>
          <w:p w14:paraId="13B7E413"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407 </w:t>
            </w:r>
          </w:p>
        </w:tc>
        <w:tc>
          <w:tcPr>
            <w:tcW w:w="1580" w:type="dxa"/>
            <w:tcBorders>
              <w:top w:val="nil"/>
              <w:left w:val="nil"/>
              <w:bottom w:val="single" w:sz="4" w:space="0" w:color="auto"/>
              <w:right w:val="single" w:sz="4" w:space="0" w:color="auto"/>
            </w:tcBorders>
            <w:shd w:val="clear" w:color="auto" w:fill="auto"/>
            <w:noWrap/>
            <w:vAlign w:val="center"/>
            <w:hideMark/>
          </w:tcPr>
          <w:p w14:paraId="10B562C7"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509 </w:t>
            </w:r>
          </w:p>
        </w:tc>
        <w:tc>
          <w:tcPr>
            <w:tcW w:w="1580" w:type="dxa"/>
            <w:tcBorders>
              <w:top w:val="nil"/>
              <w:left w:val="nil"/>
              <w:bottom w:val="single" w:sz="4" w:space="0" w:color="auto"/>
              <w:right w:val="single" w:sz="4" w:space="0" w:color="auto"/>
            </w:tcBorders>
            <w:shd w:val="clear" w:color="auto" w:fill="auto"/>
            <w:noWrap/>
            <w:vAlign w:val="center"/>
            <w:hideMark/>
          </w:tcPr>
          <w:p w14:paraId="199B36C6" w14:textId="77777777" w:rsidR="00205EDC" w:rsidRPr="00CF06A4" w:rsidRDefault="00205EDC" w:rsidP="00CE5EBA">
            <w:pPr>
              <w:jc w:val="right"/>
              <w:rPr>
                <w:color w:val="000000"/>
                <w:kern w:val="22"/>
                <w:sz w:val="22"/>
                <w:szCs w:val="20"/>
              </w:rPr>
            </w:pPr>
            <w:r w:rsidRPr="00CF06A4">
              <w:rPr>
                <w:color w:val="000000"/>
                <w:kern w:val="22"/>
                <w:sz w:val="22"/>
                <w:szCs w:val="20"/>
              </w:rPr>
              <w:t>55 888</w:t>
            </w:r>
          </w:p>
        </w:tc>
      </w:tr>
      <w:tr w:rsidR="00205EDC" w:rsidRPr="00CF06A4" w14:paraId="4D04A1E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280EBFC" w14:textId="77777777" w:rsidR="00205EDC" w:rsidRPr="00CF06A4" w:rsidRDefault="00205EDC" w:rsidP="00CE5EBA">
            <w:pPr>
              <w:rPr>
                <w:color w:val="000000"/>
                <w:kern w:val="22"/>
                <w:sz w:val="22"/>
                <w:szCs w:val="20"/>
              </w:rPr>
            </w:pPr>
            <w:r w:rsidRPr="00CF06A4">
              <w:rPr>
                <w:sz w:val="22"/>
                <w:szCs w:val="20"/>
              </w:rPr>
              <w:t>Chine</w:t>
            </w:r>
          </w:p>
        </w:tc>
        <w:tc>
          <w:tcPr>
            <w:tcW w:w="1580" w:type="dxa"/>
            <w:tcBorders>
              <w:top w:val="nil"/>
              <w:left w:val="nil"/>
              <w:bottom w:val="single" w:sz="4" w:space="0" w:color="auto"/>
              <w:right w:val="single" w:sz="4" w:space="0" w:color="auto"/>
            </w:tcBorders>
            <w:shd w:val="clear" w:color="auto" w:fill="auto"/>
            <w:vAlign w:val="center"/>
            <w:hideMark/>
          </w:tcPr>
          <w:p w14:paraId="66E9F0B2" w14:textId="77777777" w:rsidR="00205EDC" w:rsidRPr="00CF06A4" w:rsidRDefault="00205EDC" w:rsidP="00CE5EBA">
            <w:pPr>
              <w:jc w:val="right"/>
              <w:rPr>
                <w:color w:val="000000"/>
                <w:kern w:val="22"/>
                <w:sz w:val="22"/>
                <w:szCs w:val="20"/>
              </w:rPr>
            </w:pPr>
            <w:r w:rsidRPr="00CF06A4">
              <w:rPr>
                <w:color w:val="000000"/>
                <w:kern w:val="22"/>
                <w:sz w:val="22"/>
                <w:szCs w:val="20"/>
              </w:rPr>
              <w:t>12</w:t>
            </w:r>
            <w:r>
              <w:rPr>
                <w:color w:val="000000"/>
                <w:kern w:val="22"/>
                <w:sz w:val="22"/>
                <w:szCs w:val="20"/>
              </w:rPr>
              <w:t>,</w:t>
            </w:r>
            <w:r w:rsidRPr="00CF06A4">
              <w:rPr>
                <w:color w:val="000000"/>
                <w:kern w:val="22"/>
                <w:sz w:val="22"/>
                <w:szCs w:val="20"/>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37C3C7D0" w14:textId="77777777" w:rsidR="00205EDC" w:rsidRPr="00CF06A4" w:rsidRDefault="00205EDC" w:rsidP="00CE5EBA">
            <w:pPr>
              <w:jc w:val="right"/>
              <w:rPr>
                <w:color w:val="000000"/>
                <w:kern w:val="22"/>
                <w:sz w:val="22"/>
                <w:szCs w:val="20"/>
              </w:rPr>
            </w:pPr>
            <w:r w:rsidRPr="00CF06A4">
              <w:rPr>
                <w:color w:val="000000"/>
                <w:kern w:val="22"/>
                <w:sz w:val="22"/>
                <w:szCs w:val="20"/>
              </w:rPr>
              <w:t>15</w:t>
            </w:r>
            <w:r>
              <w:rPr>
                <w:color w:val="000000"/>
                <w:kern w:val="22"/>
                <w:sz w:val="22"/>
                <w:szCs w:val="20"/>
              </w:rPr>
              <w:t>,</w:t>
            </w:r>
            <w:r w:rsidRPr="00CF06A4">
              <w:rPr>
                <w:color w:val="000000"/>
                <w:kern w:val="22"/>
                <w:sz w:val="22"/>
                <w:szCs w:val="20"/>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6CD546A9" w14:textId="77777777" w:rsidR="00205EDC" w:rsidRPr="00CF06A4" w:rsidRDefault="00205EDC" w:rsidP="00CE5EBA">
            <w:pPr>
              <w:jc w:val="right"/>
              <w:rPr>
                <w:color w:val="000000"/>
                <w:kern w:val="22"/>
                <w:sz w:val="22"/>
                <w:szCs w:val="20"/>
              </w:rPr>
            </w:pPr>
            <w:r w:rsidRPr="00CF06A4">
              <w:rPr>
                <w:color w:val="000000"/>
                <w:kern w:val="22"/>
                <w:sz w:val="22"/>
                <w:szCs w:val="20"/>
              </w:rPr>
              <w:t>1 648 481</w:t>
            </w:r>
          </w:p>
        </w:tc>
      </w:tr>
      <w:tr w:rsidR="00205EDC" w:rsidRPr="00CF06A4" w14:paraId="76F4FE39"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5C3F2F5" w14:textId="77777777" w:rsidR="00205EDC" w:rsidRPr="00CF06A4" w:rsidRDefault="00205EDC" w:rsidP="00CE5EBA">
            <w:pPr>
              <w:rPr>
                <w:color w:val="000000"/>
                <w:kern w:val="22"/>
                <w:sz w:val="22"/>
                <w:szCs w:val="20"/>
              </w:rPr>
            </w:pPr>
            <w:r w:rsidRPr="00CF06A4">
              <w:rPr>
                <w:sz w:val="22"/>
                <w:szCs w:val="20"/>
              </w:rPr>
              <w:lastRenderedPageBreak/>
              <w:t>Chypre</w:t>
            </w:r>
          </w:p>
        </w:tc>
        <w:tc>
          <w:tcPr>
            <w:tcW w:w="1580" w:type="dxa"/>
            <w:tcBorders>
              <w:top w:val="nil"/>
              <w:left w:val="nil"/>
              <w:bottom w:val="single" w:sz="4" w:space="0" w:color="auto"/>
              <w:right w:val="single" w:sz="4" w:space="0" w:color="auto"/>
            </w:tcBorders>
            <w:shd w:val="clear" w:color="auto" w:fill="auto"/>
            <w:vAlign w:val="center"/>
            <w:hideMark/>
          </w:tcPr>
          <w:p w14:paraId="094C8B42"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036 </w:t>
            </w:r>
          </w:p>
        </w:tc>
        <w:tc>
          <w:tcPr>
            <w:tcW w:w="1580" w:type="dxa"/>
            <w:tcBorders>
              <w:top w:val="nil"/>
              <w:left w:val="nil"/>
              <w:bottom w:val="single" w:sz="4" w:space="0" w:color="auto"/>
              <w:right w:val="single" w:sz="4" w:space="0" w:color="auto"/>
            </w:tcBorders>
            <w:shd w:val="clear" w:color="auto" w:fill="auto"/>
            <w:noWrap/>
            <w:vAlign w:val="center"/>
            <w:hideMark/>
          </w:tcPr>
          <w:p w14:paraId="588705D1"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045 </w:t>
            </w:r>
          </w:p>
        </w:tc>
        <w:tc>
          <w:tcPr>
            <w:tcW w:w="1580" w:type="dxa"/>
            <w:tcBorders>
              <w:top w:val="nil"/>
              <w:left w:val="nil"/>
              <w:bottom w:val="single" w:sz="4" w:space="0" w:color="auto"/>
              <w:right w:val="single" w:sz="4" w:space="0" w:color="auto"/>
            </w:tcBorders>
            <w:shd w:val="clear" w:color="auto" w:fill="auto"/>
            <w:noWrap/>
            <w:vAlign w:val="center"/>
            <w:hideMark/>
          </w:tcPr>
          <w:p w14:paraId="4EF70E86" w14:textId="77777777" w:rsidR="00205EDC" w:rsidRPr="00CF06A4" w:rsidRDefault="00205EDC" w:rsidP="00CE5EBA">
            <w:pPr>
              <w:jc w:val="right"/>
              <w:rPr>
                <w:color w:val="000000"/>
                <w:kern w:val="22"/>
                <w:sz w:val="22"/>
                <w:szCs w:val="20"/>
              </w:rPr>
            </w:pPr>
            <w:r w:rsidRPr="00CF06A4">
              <w:rPr>
                <w:color w:val="000000"/>
                <w:kern w:val="22"/>
                <w:sz w:val="22"/>
                <w:szCs w:val="20"/>
              </w:rPr>
              <w:t>4 943</w:t>
            </w:r>
          </w:p>
        </w:tc>
      </w:tr>
      <w:tr w:rsidR="00205EDC" w:rsidRPr="00CF06A4" w14:paraId="09F37C7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FC9BEDA" w14:textId="77777777" w:rsidR="00205EDC" w:rsidRPr="00CF06A4" w:rsidRDefault="00205EDC" w:rsidP="00CE5EBA">
            <w:pPr>
              <w:rPr>
                <w:color w:val="000000"/>
                <w:kern w:val="22"/>
                <w:sz w:val="22"/>
                <w:szCs w:val="20"/>
              </w:rPr>
            </w:pPr>
            <w:r w:rsidRPr="00CF06A4">
              <w:rPr>
                <w:sz w:val="22"/>
                <w:szCs w:val="20"/>
              </w:rPr>
              <w:t>Colombie</w:t>
            </w:r>
          </w:p>
        </w:tc>
        <w:tc>
          <w:tcPr>
            <w:tcW w:w="1580" w:type="dxa"/>
            <w:tcBorders>
              <w:top w:val="nil"/>
              <w:left w:val="nil"/>
              <w:bottom w:val="single" w:sz="4" w:space="0" w:color="auto"/>
              <w:right w:val="single" w:sz="4" w:space="0" w:color="auto"/>
            </w:tcBorders>
            <w:shd w:val="clear" w:color="auto" w:fill="auto"/>
            <w:vAlign w:val="center"/>
            <w:hideMark/>
          </w:tcPr>
          <w:p w14:paraId="69AB8BA2"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288 </w:t>
            </w:r>
          </w:p>
        </w:tc>
        <w:tc>
          <w:tcPr>
            <w:tcW w:w="1580" w:type="dxa"/>
            <w:tcBorders>
              <w:top w:val="nil"/>
              <w:left w:val="nil"/>
              <w:bottom w:val="single" w:sz="4" w:space="0" w:color="auto"/>
              <w:right w:val="single" w:sz="4" w:space="0" w:color="auto"/>
            </w:tcBorders>
            <w:shd w:val="clear" w:color="auto" w:fill="auto"/>
            <w:noWrap/>
            <w:vAlign w:val="center"/>
            <w:hideMark/>
          </w:tcPr>
          <w:p w14:paraId="7518A8E7"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360 </w:t>
            </w:r>
          </w:p>
        </w:tc>
        <w:tc>
          <w:tcPr>
            <w:tcW w:w="1580" w:type="dxa"/>
            <w:tcBorders>
              <w:top w:val="nil"/>
              <w:left w:val="nil"/>
              <w:bottom w:val="single" w:sz="4" w:space="0" w:color="auto"/>
              <w:right w:val="single" w:sz="4" w:space="0" w:color="auto"/>
            </w:tcBorders>
            <w:shd w:val="clear" w:color="auto" w:fill="auto"/>
            <w:noWrap/>
            <w:vAlign w:val="center"/>
            <w:hideMark/>
          </w:tcPr>
          <w:p w14:paraId="4E14AB11" w14:textId="77777777" w:rsidR="00205EDC" w:rsidRPr="00CF06A4" w:rsidRDefault="00205EDC" w:rsidP="00CE5EBA">
            <w:pPr>
              <w:jc w:val="right"/>
              <w:rPr>
                <w:color w:val="000000"/>
                <w:kern w:val="22"/>
                <w:sz w:val="22"/>
                <w:szCs w:val="20"/>
              </w:rPr>
            </w:pPr>
            <w:r w:rsidRPr="00CF06A4">
              <w:rPr>
                <w:color w:val="000000"/>
                <w:kern w:val="22"/>
                <w:sz w:val="22"/>
                <w:szCs w:val="20"/>
              </w:rPr>
              <w:t>39 547</w:t>
            </w:r>
          </w:p>
        </w:tc>
      </w:tr>
      <w:tr w:rsidR="00205EDC" w:rsidRPr="00CF06A4" w14:paraId="18AB3E6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CFB0ADE" w14:textId="77777777" w:rsidR="00205EDC" w:rsidRPr="00CF06A4" w:rsidRDefault="00205EDC" w:rsidP="00CE5EBA">
            <w:pPr>
              <w:rPr>
                <w:color w:val="000000"/>
                <w:kern w:val="22"/>
                <w:sz w:val="22"/>
                <w:szCs w:val="20"/>
              </w:rPr>
            </w:pPr>
            <w:r w:rsidRPr="00CF06A4">
              <w:rPr>
                <w:sz w:val="22"/>
                <w:szCs w:val="20"/>
              </w:rPr>
              <w:t>Comores</w:t>
            </w:r>
          </w:p>
        </w:tc>
        <w:tc>
          <w:tcPr>
            <w:tcW w:w="1580" w:type="dxa"/>
            <w:tcBorders>
              <w:top w:val="nil"/>
              <w:left w:val="nil"/>
              <w:bottom w:val="single" w:sz="4" w:space="0" w:color="auto"/>
              <w:right w:val="single" w:sz="4" w:space="0" w:color="auto"/>
            </w:tcBorders>
            <w:shd w:val="clear" w:color="auto" w:fill="auto"/>
            <w:vAlign w:val="center"/>
            <w:hideMark/>
          </w:tcPr>
          <w:p w14:paraId="25DCC97B"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22A3D91"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49889AE6" w14:textId="77777777" w:rsidR="00205EDC" w:rsidRPr="00CF06A4" w:rsidRDefault="00205EDC" w:rsidP="00CE5EBA">
            <w:pPr>
              <w:jc w:val="right"/>
              <w:rPr>
                <w:color w:val="000000"/>
                <w:kern w:val="22"/>
                <w:sz w:val="22"/>
                <w:szCs w:val="20"/>
              </w:rPr>
            </w:pPr>
            <w:r w:rsidRPr="00CF06A4">
              <w:rPr>
                <w:color w:val="000000"/>
                <w:kern w:val="22"/>
                <w:sz w:val="22"/>
                <w:szCs w:val="20"/>
              </w:rPr>
              <w:t>137</w:t>
            </w:r>
          </w:p>
        </w:tc>
      </w:tr>
      <w:tr w:rsidR="00205EDC" w:rsidRPr="00CF06A4" w14:paraId="56D6D68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C84B406" w14:textId="77777777" w:rsidR="00205EDC" w:rsidRPr="00CF06A4" w:rsidRDefault="00205EDC" w:rsidP="00CE5EBA">
            <w:pPr>
              <w:rPr>
                <w:color w:val="000000"/>
                <w:kern w:val="22"/>
                <w:sz w:val="22"/>
                <w:szCs w:val="20"/>
              </w:rPr>
            </w:pPr>
            <w:r w:rsidRPr="00CF06A4">
              <w:rPr>
                <w:sz w:val="22"/>
                <w:szCs w:val="20"/>
              </w:rPr>
              <w:t>Congo</w:t>
            </w:r>
          </w:p>
        </w:tc>
        <w:tc>
          <w:tcPr>
            <w:tcW w:w="1580" w:type="dxa"/>
            <w:tcBorders>
              <w:top w:val="nil"/>
              <w:left w:val="nil"/>
              <w:bottom w:val="single" w:sz="4" w:space="0" w:color="auto"/>
              <w:right w:val="single" w:sz="4" w:space="0" w:color="auto"/>
            </w:tcBorders>
            <w:shd w:val="clear" w:color="auto" w:fill="auto"/>
            <w:vAlign w:val="center"/>
            <w:hideMark/>
          </w:tcPr>
          <w:p w14:paraId="09FB5181"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09727724"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0751592D" w14:textId="77777777" w:rsidR="00205EDC" w:rsidRPr="00CF06A4" w:rsidRDefault="00205EDC" w:rsidP="00CE5EBA">
            <w:pPr>
              <w:jc w:val="right"/>
              <w:rPr>
                <w:color w:val="000000"/>
                <w:kern w:val="22"/>
                <w:sz w:val="22"/>
                <w:szCs w:val="20"/>
              </w:rPr>
            </w:pPr>
            <w:r w:rsidRPr="00CF06A4">
              <w:rPr>
                <w:color w:val="000000"/>
                <w:kern w:val="22"/>
                <w:sz w:val="22"/>
                <w:szCs w:val="20"/>
              </w:rPr>
              <w:t>824</w:t>
            </w:r>
          </w:p>
        </w:tc>
      </w:tr>
      <w:tr w:rsidR="00205EDC" w:rsidRPr="00CF06A4" w14:paraId="1681E82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AF2032B" w14:textId="77777777" w:rsidR="00205EDC" w:rsidRPr="00CF06A4" w:rsidRDefault="00205EDC" w:rsidP="00CE5EBA">
            <w:pPr>
              <w:rPr>
                <w:color w:val="000000"/>
                <w:kern w:val="22"/>
                <w:sz w:val="22"/>
                <w:szCs w:val="20"/>
              </w:rPr>
            </w:pPr>
            <w:r w:rsidRPr="00CF06A4">
              <w:rPr>
                <w:sz w:val="22"/>
                <w:szCs w:val="20"/>
              </w:rPr>
              <w:t>Costa Rica</w:t>
            </w:r>
          </w:p>
        </w:tc>
        <w:tc>
          <w:tcPr>
            <w:tcW w:w="1580" w:type="dxa"/>
            <w:tcBorders>
              <w:top w:val="nil"/>
              <w:left w:val="nil"/>
              <w:bottom w:val="single" w:sz="4" w:space="0" w:color="auto"/>
              <w:right w:val="single" w:sz="4" w:space="0" w:color="auto"/>
            </w:tcBorders>
            <w:shd w:val="clear" w:color="auto" w:fill="auto"/>
            <w:vAlign w:val="center"/>
            <w:hideMark/>
          </w:tcPr>
          <w:p w14:paraId="01704C96"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062 </w:t>
            </w:r>
          </w:p>
        </w:tc>
        <w:tc>
          <w:tcPr>
            <w:tcW w:w="1580" w:type="dxa"/>
            <w:tcBorders>
              <w:top w:val="nil"/>
              <w:left w:val="nil"/>
              <w:bottom w:val="single" w:sz="4" w:space="0" w:color="auto"/>
              <w:right w:val="single" w:sz="4" w:space="0" w:color="auto"/>
            </w:tcBorders>
            <w:shd w:val="clear" w:color="auto" w:fill="auto"/>
            <w:noWrap/>
            <w:vAlign w:val="center"/>
            <w:hideMark/>
          </w:tcPr>
          <w:p w14:paraId="4C36C04D"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078 </w:t>
            </w:r>
          </w:p>
        </w:tc>
        <w:tc>
          <w:tcPr>
            <w:tcW w:w="1580" w:type="dxa"/>
            <w:tcBorders>
              <w:top w:val="nil"/>
              <w:left w:val="nil"/>
              <w:bottom w:val="single" w:sz="4" w:space="0" w:color="auto"/>
              <w:right w:val="single" w:sz="4" w:space="0" w:color="auto"/>
            </w:tcBorders>
            <w:shd w:val="clear" w:color="auto" w:fill="auto"/>
            <w:noWrap/>
            <w:vAlign w:val="center"/>
            <w:hideMark/>
          </w:tcPr>
          <w:p w14:paraId="6B7C3173" w14:textId="77777777" w:rsidR="00205EDC" w:rsidRPr="00CF06A4" w:rsidRDefault="00205EDC" w:rsidP="00CE5EBA">
            <w:pPr>
              <w:jc w:val="right"/>
              <w:rPr>
                <w:color w:val="000000"/>
                <w:kern w:val="22"/>
                <w:sz w:val="22"/>
                <w:szCs w:val="20"/>
              </w:rPr>
            </w:pPr>
            <w:r w:rsidRPr="00CF06A4">
              <w:rPr>
                <w:color w:val="000000"/>
                <w:kern w:val="22"/>
                <w:sz w:val="22"/>
                <w:szCs w:val="20"/>
              </w:rPr>
              <w:t>8 514</w:t>
            </w:r>
          </w:p>
        </w:tc>
      </w:tr>
      <w:tr w:rsidR="00205EDC" w:rsidRPr="00CF06A4" w14:paraId="2F9DD79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0B44F94" w14:textId="77777777" w:rsidR="00205EDC" w:rsidRPr="00CF06A4" w:rsidRDefault="00205EDC" w:rsidP="00CE5EBA">
            <w:pPr>
              <w:rPr>
                <w:color w:val="000000"/>
                <w:kern w:val="22"/>
                <w:sz w:val="22"/>
                <w:szCs w:val="20"/>
              </w:rPr>
            </w:pPr>
            <w:r w:rsidRPr="00CF06A4">
              <w:rPr>
                <w:sz w:val="22"/>
                <w:szCs w:val="20"/>
              </w:rPr>
              <w:t>Côte d'Ivoire</w:t>
            </w:r>
          </w:p>
        </w:tc>
        <w:tc>
          <w:tcPr>
            <w:tcW w:w="1580" w:type="dxa"/>
            <w:tcBorders>
              <w:top w:val="nil"/>
              <w:left w:val="nil"/>
              <w:bottom w:val="single" w:sz="4" w:space="0" w:color="auto"/>
              <w:right w:val="single" w:sz="4" w:space="0" w:color="auto"/>
            </w:tcBorders>
            <w:shd w:val="clear" w:color="auto" w:fill="auto"/>
            <w:vAlign w:val="center"/>
            <w:hideMark/>
          </w:tcPr>
          <w:p w14:paraId="705D9CB5"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013 </w:t>
            </w:r>
          </w:p>
        </w:tc>
        <w:tc>
          <w:tcPr>
            <w:tcW w:w="1580" w:type="dxa"/>
            <w:tcBorders>
              <w:top w:val="nil"/>
              <w:left w:val="nil"/>
              <w:bottom w:val="single" w:sz="4" w:space="0" w:color="auto"/>
              <w:right w:val="single" w:sz="4" w:space="0" w:color="auto"/>
            </w:tcBorders>
            <w:shd w:val="clear" w:color="auto" w:fill="auto"/>
            <w:noWrap/>
            <w:vAlign w:val="center"/>
            <w:hideMark/>
          </w:tcPr>
          <w:p w14:paraId="5251B195"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016 </w:t>
            </w:r>
          </w:p>
        </w:tc>
        <w:tc>
          <w:tcPr>
            <w:tcW w:w="1580" w:type="dxa"/>
            <w:tcBorders>
              <w:top w:val="nil"/>
              <w:left w:val="nil"/>
              <w:bottom w:val="single" w:sz="4" w:space="0" w:color="auto"/>
              <w:right w:val="single" w:sz="4" w:space="0" w:color="auto"/>
            </w:tcBorders>
            <w:shd w:val="clear" w:color="auto" w:fill="auto"/>
            <w:noWrap/>
            <w:vAlign w:val="center"/>
            <w:hideMark/>
          </w:tcPr>
          <w:p w14:paraId="23167547" w14:textId="77777777" w:rsidR="00205EDC" w:rsidRPr="00CF06A4" w:rsidRDefault="00205EDC" w:rsidP="00CE5EBA">
            <w:pPr>
              <w:jc w:val="right"/>
              <w:rPr>
                <w:color w:val="000000"/>
                <w:kern w:val="22"/>
                <w:sz w:val="22"/>
                <w:szCs w:val="20"/>
              </w:rPr>
            </w:pPr>
            <w:r w:rsidRPr="00CF06A4">
              <w:rPr>
                <w:color w:val="000000"/>
                <w:kern w:val="22"/>
                <w:sz w:val="22"/>
                <w:szCs w:val="20"/>
              </w:rPr>
              <w:t>1 785</w:t>
            </w:r>
          </w:p>
        </w:tc>
      </w:tr>
      <w:tr w:rsidR="00205EDC" w:rsidRPr="00CF06A4" w14:paraId="559D7EE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564C1E7" w14:textId="77777777" w:rsidR="00205EDC" w:rsidRPr="00CF06A4" w:rsidRDefault="00205EDC" w:rsidP="00CE5EBA">
            <w:pPr>
              <w:rPr>
                <w:color w:val="000000"/>
                <w:kern w:val="22"/>
                <w:sz w:val="22"/>
                <w:szCs w:val="20"/>
              </w:rPr>
            </w:pPr>
            <w:r w:rsidRPr="00CF06A4">
              <w:rPr>
                <w:sz w:val="22"/>
                <w:szCs w:val="20"/>
              </w:rPr>
              <w:t>Croatie</w:t>
            </w:r>
          </w:p>
        </w:tc>
        <w:tc>
          <w:tcPr>
            <w:tcW w:w="1580" w:type="dxa"/>
            <w:tcBorders>
              <w:top w:val="nil"/>
              <w:left w:val="nil"/>
              <w:bottom w:val="single" w:sz="4" w:space="0" w:color="auto"/>
              <w:right w:val="single" w:sz="4" w:space="0" w:color="auto"/>
            </w:tcBorders>
            <w:shd w:val="clear" w:color="auto" w:fill="auto"/>
            <w:vAlign w:val="center"/>
            <w:hideMark/>
          </w:tcPr>
          <w:p w14:paraId="156F9309"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077 </w:t>
            </w:r>
          </w:p>
        </w:tc>
        <w:tc>
          <w:tcPr>
            <w:tcW w:w="1580" w:type="dxa"/>
            <w:tcBorders>
              <w:top w:val="nil"/>
              <w:left w:val="nil"/>
              <w:bottom w:val="single" w:sz="4" w:space="0" w:color="auto"/>
              <w:right w:val="single" w:sz="4" w:space="0" w:color="auto"/>
            </w:tcBorders>
            <w:shd w:val="clear" w:color="auto" w:fill="auto"/>
            <w:noWrap/>
            <w:vAlign w:val="center"/>
            <w:hideMark/>
          </w:tcPr>
          <w:p w14:paraId="74688B1F"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096 </w:t>
            </w:r>
          </w:p>
        </w:tc>
        <w:tc>
          <w:tcPr>
            <w:tcW w:w="1580" w:type="dxa"/>
            <w:tcBorders>
              <w:top w:val="nil"/>
              <w:left w:val="nil"/>
              <w:bottom w:val="single" w:sz="4" w:space="0" w:color="auto"/>
              <w:right w:val="single" w:sz="4" w:space="0" w:color="auto"/>
            </w:tcBorders>
            <w:shd w:val="clear" w:color="auto" w:fill="auto"/>
            <w:noWrap/>
            <w:vAlign w:val="center"/>
            <w:hideMark/>
          </w:tcPr>
          <w:p w14:paraId="69AE0FB5" w14:textId="77777777" w:rsidR="00205EDC" w:rsidRPr="00CF06A4" w:rsidRDefault="00205EDC" w:rsidP="00CE5EBA">
            <w:pPr>
              <w:jc w:val="right"/>
              <w:rPr>
                <w:color w:val="000000"/>
                <w:kern w:val="22"/>
                <w:sz w:val="22"/>
                <w:szCs w:val="20"/>
              </w:rPr>
            </w:pPr>
            <w:r w:rsidRPr="00CF06A4">
              <w:rPr>
                <w:color w:val="000000"/>
                <w:kern w:val="22"/>
                <w:sz w:val="22"/>
                <w:szCs w:val="20"/>
              </w:rPr>
              <w:t>10 573</w:t>
            </w:r>
          </w:p>
        </w:tc>
      </w:tr>
      <w:tr w:rsidR="00205EDC" w:rsidRPr="00CF06A4" w14:paraId="24A0E2E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6193557" w14:textId="77777777" w:rsidR="00205EDC" w:rsidRPr="00CF06A4" w:rsidRDefault="00205EDC" w:rsidP="00CE5EBA">
            <w:pPr>
              <w:rPr>
                <w:color w:val="000000"/>
                <w:kern w:val="22"/>
                <w:sz w:val="22"/>
                <w:szCs w:val="20"/>
              </w:rPr>
            </w:pPr>
            <w:r w:rsidRPr="00CF06A4">
              <w:rPr>
                <w:sz w:val="22"/>
                <w:szCs w:val="20"/>
              </w:rPr>
              <w:t>Cuba</w:t>
            </w:r>
          </w:p>
        </w:tc>
        <w:tc>
          <w:tcPr>
            <w:tcW w:w="1580" w:type="dxa"/>
            <w:tcBorders>
              <w:top w:val="nil"/>
              <w:left w:val="nil"/>
              <w:bottom w:val="single" w:sz="4" w:space="0" w:color="auto"/>
              <w:right w:val="single" w:sz="4" w:space="0" w:color="auto"/>
            </w:tcBorders>
            <w:shd w:val="clear" w:color="auto" w:fill="auto"/>
            <w:vAlign w:val="center"/>
            <w:hideMark/>
          </w:tcPr>
          <w:p w14:paraId="601FF58A"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080 </w:t>
            </w:r>
          </w:p>
        </w:tc>
        <w:tc>
          <w:tcPr>
            <w:tcW w:w="1580" w:type="dxa"/>
            <w:tcBorders>
              <w:top w:val="nil"/>
              <w:left w:val="nil"/>
              <w:bottom w:val="single" w:sz="4" w:space="0" w:color="auto"/>
              <w:right w:val="single" w:sz="4" w:space="0" w:color="auto"/>
            </w:tcBorders>
            <w:shd w:val="clear" w:color="auto" w:fill="auto"/>
            <w:noWrap/>
            <w:vAlign w:val="center"/>
            <w:hideMark/>
          </w:tcPr>
          <w:p w14:paraId="451B8C0B"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100 </w:t>
            </w:r>
          </w:p>
        </w:tc>
        <w:tc>
          <w:tcPr>
            <w:tcW w:w="1580" w:type="dxa"/>
            <w:tcBorders>
              <w:top w:val="nil"/>
              <w:left w:val="nil"/>
              <w:bottom w:val="single" w:sz="4" w:space="0" w:color="auto"/>
              <w:right w:val="single" w:sz="4" w:space="0" w:color="auto"/>
            </w:tcBorders>
            <w:shd w:val="clear" w:color="auto" w:fill="auto"/>
            <w:noWrap/>
            <w:vAlign w:val="center"/>
            <w:hideMark/>
          </w:tcPr>
          <w:p w14:paraId="4CD864D3" w14:textId="77777777" w:rsidR="00205EDC" w:rsidRPr="00CF06A4" w:rsidRDefault="00205EDC" w:rsidP="00CE5EBA">
            <w:pPr>
              <w:jc w:val="right"/>
              <w:rPr>
                <w:color w:val="000000"/>
                <w:kern w:val="22"/>
                <w:sz w:val="22"/>
                <w:szCs w:val="20"/>
              </w:rPr>
            </w:pPr>
            <w:r w:rsidRPr="00CF06A4">
              <w:rPr>
                <w:color w:val="000000"/>
                <w:kern w:val="22"/>
                <w:sz w:val="22"/>
                <w:szCs w:val="20"/>
              </w:rPr>
              <w:t>10 985</w:t>
            </w:r>
          </w:p>
        </w:tc>
      </w:tr>
      <w:tr w:rsidR="00205EDC" w:rsidRPr="00CF06A4" w14:paraId="6779F2D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B2D48C7" w14:textId="77777777" w:rsidR="00205EDC" w:rsidRPr="00CF06A4" w:rsidRDefault="00205EDC" w:rsidP="00CE5EBA">
            <w:pPr>
              <w:rPr>
                <w:color w:val="000000"/>
                <w:kern w:val="22"/>
                <w:sz w:val="22"/>
                <w:szCs w:val="20"/>
              </w:rPr>
            </w:pPr>
            <w:r w:rsidRPr="00CF06A4">
              <w:rPr>
                <w:sz w:val="22"/>
                <w:szCs w:val="20"/>
              </w:rPr>
              <w:t>Danemark</w:t>
            </w:r>
          </w:p>
        </w:tc>
        <w:tc>
          <w:tcPr>
            <w:tcW w:w="1580" w:type="dxa"/>
            <w:tcBorders>
              <w:top w:val="nil"/>
              <w:left w:val="nil"/>
              <w:bottom w:val="single" w:sz="4" w:space="0" w:color="auto"/>
              <w:right w:val="single" w:sz="4" w:space="0" w:color="auto"/>
            </w:tcBorders>
            <w:shd w:val="clear" w:color="auto" w:fill="auto"/>
            <w:vAlign w:val="center"/>
            <w:hideMark/>
          </w:tcPr>
          <w:p w14:paraId="234DCF1D"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554 </w:t>
            </w:r>
          </w:p>
        </w:tc>
        <w:tc>
          <w:tcPr>
            <w:tcW w:w="1580" w:type="dxa"/>
            <w:tcBorders>
              <w:top w:val="nil"/>
              <w:left w:val="nil"/>
              <w:bottom w:val="single" w:sz="4" w:space="0" w:color="auto"/>
              <w:right w:val="single" w:sz="4" w:space="0" w:color="auto"/>
            </w:tcBorders>
            <w:shd w:val="clear" w:color="auto" w:fill="auto"/>
            <w:noWrap/>
            <w:vAlign w:val="center"/>
            <w:hideMark/>
          </w:tcPr>
          <w:p w14:paraId="7B0F56AF"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693 </w:t>
            </w:r>
          </w:p>
        </w:tc>
        <w:tc>
          <w:tcPr>
            <w:tcW w:w="1580" w:type="dxa"/>
            <w:tcBorders>
              <w:top w:val="nil"/>
              <w:left w:val="nil"/>
              <w:bottom w:val="single" w:sz="4" w:space="0" w:color="auto"/>
              <w:right w:val="single" w:sz="4" w:space="0" w:color="auto"/>
            </w:tcBorders>
            <w:shd w:val="clear" w:color="auto" w:fill="auto"/>
            <w:noWrap/>
            <w:vAlign w:val="center"/>
            <w:hideMark/>
          </w:tcPr>
          <w:p w14:paraId="167D7EE6" w14:textId="77777777" w:rsidR="00205EDC" w:rsidRPr="00CF06A4" w:rsidRDefault="00205EDC" w:rsidP="00CE5EBA">
            <w:pPr>
              <w:jc w:val="right"/>
              <w:rPr>
                <w:color w:val="000000"/>
                <w:kern w:val="22"/>
                <w:sz w:val="22"/>
                <w:szCs w:val="20"/>
              </w:rPr>
            </w:pPr>
            <w:r w:rsidRPr="00CF06A4">
              <w:rPr>
                <w:color w:val="000000"/>
                <w:kern w:val="22"/>
                <w:sz w:val="22"/>
                <w:szCs w:val="20"/>
              </w:rPr>
              <w:t>76 073</w:t>
            </w:r>
          </w:p>
        </w:tc>
      </w:tr>
      <w:tr w:rsidR="00205EDC" w:rsidRPr="00CF06A4" w14:paraId="5B483F3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C658E79" w14:textId="77777777" w:rsidR="00205EDC" w:rsidRPr="00CF06A4" w:rsidRDefault="00205EDC" w:rsidP="00CE5EBA">
            <w:pPr>
              <w:rPr>
                <w:color w:val="000000"/>
                <w:kern w:val="22"/>
                <w:sz w:val="22"/>
                <w:szCs w:val="20"/>
              </w:rPr>
            </w:pPr>
            <w:r w:rsidRPr="00CF06A4">
              <w:rPr>
                <w:sz w:val="22"/>
                <w:szCs w:val="20"/>
              </w:rPr>
              <w:t>Djibouti</w:t>
            </w:r>
          </w:p>
        </w:tc>
        <w:tc>
          <w:tcPr>
            <w:tcW w:w="1580" w:type="dxa"/>
            <w:tcBorders>
              <w:top w:val="nil"/>
              <w:left w:val="nil"/>
              <w:bottom w:val="single" w:sz="4" w:space="0" w:color="auto"/>
              <w:right w:val="single" w:sz="4" w:space="0" w:color="auto"/>
            </w:tcBorders>
            <w:shd w:val="clear" w:color="auto" w:fill="auto"/>
            <w:vAlign w:val="center"/>
            <w:hideMark/>
          </w:tcPr>
          <w:p w14:paraId="6F17A187"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789CB59F"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EF07F16" w14:textId="77777777" w:rsidR="00205EDC" w:rsidRPr="00CF06A4" w:rsidRDefault="00205EDC" w:rsidP="00CE5EBA">
            <w:pPr>
              <w:jc w:val="right"/>
              <w:rPr>
                <w:color w:val="000000"/>
                <w:kern w:val="22"/>
                <w:sz w:val="22"/>
                <w:szCs w:val="20"/>
              </w:rPr>
            </w:pPr>
            <w:r w:rsidRPr="00CF06A4">
              <w:rPr>
                <w:color w:val="000000"/>
                <w:kern w:val="22"/>
                <w:sz w:val="22"/>
                <w:szCs w:val="20"/>
              </w:rPr>
              <w:t>137</w:t>
            </w:r>
          </w:p>
        </w:tc>
      </w:tr>
      <w:tr w:rsidR="00205EDC" w:rsidRPr="00CF06A4" w14:paraId="45AEC41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DAEF59A" w14:textId="77777777" w:rsidR="00205EDC" w:rsidRPr="00CF06A4" w:rsidRDefault="00205EDC" w:rsidP="00CE5EBA">
            <w:pPr>
              <w:rPr>
                <w:color w:val="000000"/>
                <w:kern w:val="22"/>
                <w:sz w:val="22"/>
                <w:szCs w:val="20"/>
              </w:rPr>
            </w:pPr>
            <w:r w:rsidRPr="00CF06A4">
              <w:rPr>
                <w:sz w:val="22"/>
                <w:szCs w:val="20"/>
              </w:rPr>
              <w:t>Dominique</w:t>
            </w:r>
          </w:p>
        </w:tc>
        <w:tc>
          <w:tcPr>
            <w:tcW w:w="1580" w:type="dxa"/>
            <w:tcBorders>
              <w:top w:val="nil"/>
              <w:left w:val="nil"/>
              <w:bottom w:val="single" w:sz="4" w:space="0" w:color="auto"/>
              <w:right w:val="single" w:sz="4" w:space="0" w:color="auto"/>
            </w:tcBorders>
            <w:shd w:val="clear" w:color="auto" w:fill="auto"/>
            <w:vAlign w:val="center"/>
            <w:hideMark/>
          </w:tcPr>
          <w:p w14:paraId="3C110B1C"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74E3F5E1"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85CA83B" w14:textId="77777777" w:rsidR="00205EDC" w:rsidRPr="00CF06A4" w:rsidRDefault="00205EDC" w:rsidP="00CE5EBA">
            <w:pPr>
              <w:jc w:val="right"/>
              <w:rPr>
                <w:color w:val="000000"/>
                <w:kern w:val="22"/>
                <w:sz w:val="22"/>
                <w:szCs w:val="20"/>
              </w:rPr>
            </w:pPr>
            <w:r w:rsidRPr="00CF06A4">
              <w:rPr>
                <w:color w:val="000000"/>
                <w:kern w:val="22"/>
                <w:sz w:val="22"/>
                <w:szCs w:val="20"/>
              </w:rPr>
              <w:t>137</w:t>
            </w:r>
          </w:p>
        </w:tc>
      </w:tr>
      <w:tr w:rsidR="00205EDC" w:rsidRPr="00CF06A4" w14:paraId="1D46855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CA4717A" w14:textId="77777777" w:rsidR="00205EDC" w:rsidRPr="00CF06A4" w:rsidRDefault="00205EDC" w:rsidP="00CE5EBA">
            <w:pPr>
              <w:rPr>
                <w:color w:val="000000"/>
                <w:kern w:val="22"/>
                <w:sz w:val="22"/>
                <w:szCs w:val="20"/>
              </w:rPr>
            </w:pPr>
            <w:r w:rsidRPr="00CF06A4">
              <w:rPr>
                <w:sz w:val="22"/>
                <w:szCs w:val="20"/>
              </w:rPr>
              <w:t>Égypte</w:t>
            </w:r>
          </w:p>
        </w:tc>
        <w:tc>
          <w:tcPr>
            <w:tcW w:w="1580" w:type="dxa"/>
            <w:tcBorders>
              <w:top w:val="nil"/>
              <w:left w:val="nil"/>
              <w:bottom w:val="single" w:sz="4" w:space="0" w:color="auto"/>
              <w:right w:val="single" w:sz="4" w:space="0" w:color="auto"/>
            </w:tcBorders>
            <w:shd w:val="clear" w:color="auto" w:fill="auto"/>
            <w:vAlign w:val="center"/>
            <w:hideMark/>
          </w:tcPr>
          <w:p w14:paraId="2BA24318"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186 </w:t>
            </w:r>
          </w:p>
        </w:tc>
        <w:tc>
          <w:tcPr>
            <w:tcW w:w="1580" w:type="dxa"/>
            <w:tcBorders>
              <w:top w:val="nil"/>
              <w:left w:val="nil"/>
              <w:bottom w:val="single" w:sz="4" w:space="0" w:color="auto"/>
              <w:right w:val="single" w:sz="4" w:space="0" w:color="auto"/>
            </w:tcBorders>
            <w:shd w:val="clear" w:color="auto" w:fill="auto"/>
            <w:noWrap/>
            <w:vAlign w:val="center"/>
            <w:hideMark/>
          </w:tcPr>
          <w:p w14:paraId="0AF4A72B"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233 </w:t>
            </w:r>
          </w:p>
        </w:tc>
        <w:tc>
          <w:tcPr>
            <w:tcW w:w="1580" w:type="dxa"/>
            <w:tcBorders>
              <w:top w:val="nil"/>
              <w:left w:val="nil"/>
              <w:bottom w:val="single" w:sz="4" w:space="0" w:color="auto"/>
              <w:right w:val="single" w:sz="4" w:space="0" w:color="auto"/>
            </w:tcBorders>
            <w:shd w:val="clear" w:color="auto" w:fill="auto"/>
            <w:noWrap/>
            <w:vAlign w:val="center"/>
            <w:hideMark/>
          </w:tcPr>
          <w:p w14:paraId="66BDDFFB" w14:textId="77777777" w:rsidR="00205EDC" w:rsidRPr="00CF06A4" w:rsidRDefault="00205EDC" w:rsidP="00CE5EBA">
            <w:pPr>
              <w:jc w:val="right"/>
              <w:rPr>
                <w:color w:val="000000"/>
                <w:kern w:val="22"/>
                <w:sz w:val="22"/>
                <w:szCs w:val="20"/>
              </w:rPr>
            </w:pPr>
            <w:r w:rsidRPr="00CF06A4">
              <w:rPr>
                <w:color w:val="000000"/>
                <w:kern w:val="22"/>
                <w:sz w:val="22"/>
                <w:szCs w:val="20"/>
              </w:rPr>
              <w:t>25 541</w:t>
            </w:r>
          </w:p>
        </w:tc>
      </w:tr>
      <w:tr w:rsidR="00205EDC" w:rsidRPr="00DB24BC" w14:paraId="639CCB6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5761653" w14:textId="77777777" w:rsidR="00205EDC" w:rsidRPr="00DB24BC" w:rsidRDefault="00205EDC" w:rsidP="00CE5EBA">
            <w:pPr>
              <w:rPr>
                <w:color w:val="000000"/>
                <w:kern w:val="22"/>
                <w:sz w:val="22"/>
                <w:szCs w:val="22"/>
              </w:rPr>
            </w:pPr>
            <w:r w:rsidRPr="00DB24BC">
              <w:rPr>
                <w:sz w:val="22"/>
                <w:szCs w:val="22"/>
              </w:rPr>
              <w:t>Émirats arabes unis</w:t>
            </w:r>
          </w:p>
        </w:tc>
        <w:tc>
          <w:tcPr>
            <w:tcW w:w="1580" w:type="dxa"/>
            <w:tcBorders>
              <w:top w:val="nil"/>
              <w:left w:val="nil"/>
              <w:bottom w:val="single" w:sz="4" w:space="0" w:color="auto"/>
              <w:right w:val="single" w:sz="4" w:space="0" w:color="auto"/>
            </w:tcBorders>
            <w:shd w:val="clear" w:color="auto" w:fill="auto"/>
            <w:vAlign w:val="center"/>
            <w:hideMark/>
          </w:tcPr>
          <w:p w14:paraId="0E433F1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616 </w:t>
            </w:r>
          </w:p>
        </w:tc>
        <w:tc>
          <w:tcPr>
            <w:tcW w:w="1580" w:type="dxa"/>
            <w:tcBorders>
              <w:top w:val="nil"/>
              <w:left w:val="nil"/>
              <w:bottom w:val="single" w:sz="4" w:space="0" w:color="auto"/>
              <w:right w:val="single" w:sz="4" w:space="0" w:color="auto"/>
            </w:tcBorders>
            <w:shd w:val="clear" w:color="auto" w:fill="auto"/>
            <w:noWrap/>
            <w:vAlign w:val="center"/>
            <w:hideMark/>
          </w:tcPr>
          <w:p w14:paraId="44D79C5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770 </w:t>
            </w:r>
          </w:p>
        </w:tc>
        <w:tc>
          <w:tcPr>
            <w:tcW w:w="1580" w:type="dxa"/>
            <w:tcBorders>
              <w:top w:val="nil"/>
              <w:left w:val="nil"/>
              <w:bottom w:val="single" w:sz="4" w:space="0" w:color="auto"/>
              <w:right w:val="single" w:sz="4" w:space="0" w:color="auto"/>
            </w:tcBorders>
            <w:shd w:val="clear" w:color="auto" w:fill="auto"/>
            <w:noWrap/>
            <w:vAlign w:val="center"/>
            <w:hideMark/>
          </w:tcPr>
          <w:p w14:paraId="1E956051" w14:textId="77777777" w:rsidR="00205EDC" w:rsidRPr="00DB24BC" w:rsidRDefault="00205EDC" w:rsidP="00CE5EBA">
            <w:pPr>
              <w:jc w:val="right"/>
              <w:rPr>
                <w:color w:val="000000"/>
                <w:kern w:val="22"/>
                <w:sz w:val="22"/>
                <w:szCs w:val="22"/>
              </w:rPr>
            </w:pPr>
            <w:r w:rsidRPr="00DB24BC">
              <w:rPr>
                <w:color w:val="000000"/>
                <w:kern w:val="22"/>
                <w:sz w:val="22"/>
                <w:szCs w:val="22"/>
              </w:rPr>
              <w:t>84 587</w:t>
            </w:r>
          </w:p>
        </w:tc>
      </w:tr>
      <w:tr w:rsidR="00205EDC" w:rsidRPr="00CF06A4" w14:paraId="2138893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1352A28" w14:textId="77777777" w:rsidR="00205EDC" w:rsidRPr="00CF06A4" w:rsidRDefault="00205EDC" w:rsidP="00CE5EBA">
            <w:pPr>
              <w:rPr>
                <w:color w:val="000000"/>
                <w:kern w:val="22"/>
                <w:sz w:val="22"/>
                <w:szCs w:val="20"/>
              </w:rPr>
            </w:pPr>
            <w:r w:rsidRPr="00CF06A4">
              <w:rPr>
                <w:sz w:val="22"/>
                <w:szCs w:val="20"/>
              </w:rPr>
              <w:t>Équateur</w:t>
            </w:r>
          </w:p>
        </w:tc>
        <w:tc>
          <w:tcPr>
            <w:tcW w:w="1580" w:type="dxa"/>
            <w:tcBorders>
              <w:top w:val="nil"/>
              <w:left w:val="nil"/>
              <w:bottom w:val="single" w:sz="4" w:space="0" w:color="auto"/>
              <w:right w:val="single" w:sz="4" w:space="0" w:color="auto"/>
            </w:tcBorders>
            <w:shd w:val="clear" w:color="auto" w:fill="auto"/>
            <w:vAlign w:val="center"/>
            <w:hideMark/>
          </w:tcPr>
          <w:p w14:paraId="3F9F0949"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080 </w:t>
            </w:r>
          </w:p>
        </w:tc>
        <w:tc>
          <w:tcPr>
            <w:tcW w:w="1580" w:type="dxa"/>
            <w:tcBorders>
              <w:top w:val="nil"/>
              <w:left w:val="nil"/>
              <w:bottom w:val="single" w:sz="4" w:space="0" w:color="auto"/>
              <w:right w:val="single" w:sz="4" w:space="0" w:color="auto"/>
            </w:tcBorders>
            <w:shd w:val="clear" w:color="auto" w:fill="auto"/>
            <w:noWrap/>
            <w:vAlign w:val="center"/>
            <w:hideMark/>
          </w:tcPr>
          <w:p w14:paraId="53341DAB"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100 </w:t>
            </w:r>
          </w:p>
        </w:tc>
        <w:tc>
          <w:tcPr>
            <w:tcW w:w="1580" w:type="dxa"/>
            <w:tcBorders>
              <w:top w:val="nil"/>
              <w:left w:val="nil"/>
              <w:bottom w:val="single" w:sz="4" w:space="0" w:color="auto"/>
              <w:right w:val="single" w:sz="4" w:space="0" w:color="auto"/>
            </w:tcBorders>
            <w:shd w:val="clear" w:color="auto" w:fill="auto"/>
            <w:noWrap/>
            <w:vAlign w:val="center"/>
            <w:hideMark/>
          </w:tcPr>
          <w:p w14:paraId="11631565" w14:textId="77777777" w:rsidR="00205EDC" w:rsidRPr="00CF06A4" w:rsidRDefault="00205EDC" w:rsidP="00CE5EBA">
            <w:pPr>
              <w:jc w:val="right"/>
              <w:rPr>
                <w:color w:val="000000"/>
                <w:kern w:val="22"/>
                <w:sz w:val="22"/>
                <w:szCs w:val="20"/>
              </w:rPr>
            </w:pPr>
            <w:r w:rsidRPr="00CF06A4">
              <w:rPr>
                <w:color w:val="000000"/>
                <w:kern w:val="22"/>
                <w:sz w:val="22"/>
                <w:szCs w:val="20"/>
              </w:rPr>
              <w:t>10 985</w:t>
            </w:r>
          </w:p>
        </w:tc>
      </w:tr>
      <w:tr w:rsidR="00205EDC" w:rsidRPr="00DB24BC" w14:paraId="28A4D84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0F53F21" w14:textId="77777777" w:rsidR="00205EDC" w:rsidRPr="00DB24BC" w:rsidRDefault="00205EDC" w:rsidP="00CE5EBA">
            <w:pPr>
              <w:rPr>
                <w:color w:val="000000"/>
                <w:kern w:val="22"/>
                <w:sz w:val="22"/>
                <w:szCs w:val="22"/>
              </w:rPr>
            </w:pPr>
            <w:r w:rsidRPr="00DB24BC">
              <w:rPr>
                <w:sz w:val="22"/>
                <w:szCs w:val="22"/>
              </w:rPr>
              <w:t>Érythrée</w:t>
            </w:r>
          </w:p>
        </w:tc>
        <w:tc>
          <w:tcPr>
            <w:tcW w:w="1580" w:type="dxa"/>
            <w:tcBorders>
              <w:top w:val="nil"/>
              <w:left w:val="nil"/>
              <w:bottom w:val="single" w:sz="4" w:space="0" w:color="auto"/>
              <w:right w:val="single" w:sz="4" w:space="0" w:color="auto"/>
            </w:tcBorders>
            <w:shd w:val="clear" w:color="auto" w:fill="auto"/>
            <w:vAlign w:val="center"/>
            <w:hideMark/>
          </w:tcPr>
          <w:p w14:paraId="2B838C4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70A9A84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37AAA5BB"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7BC8C6F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70980AB" w14:textId="77777777" w:rsidR="00205EDC" w:rsidRPr="00DB24BC" w:rsidRDefault="00205EDC" w:rsidP="00CE5EBA">
            <w:pPr>
              <w:rPr>
                <w:color w:val="000000"/>
                <w:kern w:val="22"/>
                <w:sz w:val="22"/>
                <w:szCs w:val="22"/>
              </w:rPr>
            </w:pPr>
            <w:r w:rsidRPr="00DB24BC">
              <w:rPr>
                <w:sz w:val="22"/>
                <w:szCs w:val="22"/>
              </w:rPr>
              <w:t>Espagne</w:t>
            </w:r>
          </w:p>
        </w:tc>
        <w:tc>
          <w:tcPr>
            <w:tcW w:w="1580" w:type="dxa"/>
            <w:tcBorders>
              <w:top w:val="nil"/>
              <w:left w:val="nil"/>
              <w:bottom w:val="single" w:sz="4" w:space="0" w:color="auto"/>
              <w:right w:val="single" w:sz="4" w:space="0" w:color="auto"/>
            </w:tcBorders>
            <w:shd w:val="clear" w:color="auto" w:fill="auto"/>
            <w:vAlign w:val="center"/>
            <w:hideMark/>
          </w:tcPr>
          <w:p w14:paraId="229A036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076 </w:t>
            </w:r>
          </w:p>
        </w:tc>
        <w:tc>
          <w:tcPr>
            <w:tcW w:w="1580" w:type="dxa"/>
            <w:tcBorders>
              <w:top w:val="nil"/>
              <w:left w:val="nil"/>
              <w:bottom w:val="single" w:sz="4" w:space="0" w:color="auto"/>
              <w:right w:val="single" w:sz="4" w:space="0" w:color="auto"/>
            </w:tcBorders>
            <w:shd w:val="clear" w:color="auto" w:fill="auto"/>
            <w:noWrap/>
            <w:vAlign w:val="center"/>
            <w:hideMark/>
          </w:tcPr>
          <w:p w14:paraId="098153B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095 </w:t>
            </w:r>
          </w:p>
        </w:tc>
        <w:tc>
          <w:tcPr>
            <w:tcW w:w="1580" w:type="dxa"/>
            <w:tcBorders>
              <w:top w:val="nil"/>
              <w:left w:val="nil"/>
              <w:bottom w:val="single" w:sz="4" w:space="0" w:color="auto"/>
              <w:right w:val="single" w:sz="4" w:space="0" w:color="auto"/>
            </w:tcBorders>
            <w:shd w:val="clear" w:color="auto" w:fill="auto"/>
            <w:noWrap/>
            <w:vAlign w:val="center"/>
            <w:hideMark/>
          </w:tcPr>
          <w:p w14:paraId="41768B3F" w14:textId="77777777" w:rsidR="00205EDC" w:rsidRPr="00DB24BC" w:rsidRDefault="00205EDC" w:rsidP="00CE5EBA">
            <w:pPr>
              <w:jc w:val="right"/>
              <w:rPr>
                <w:color w:val="000000"/>
                <w:kern w:val="22"/>
                <w:sz w:val="22"/>
                <w:szCs w:val="22"/>
              </w:rPr>
            </w:pPr>
            <w:r w:rsidRPr="00DB24BC">
              <w:rPr>
                <w:color w:val="000000"/>
                <w:kern w:val="22"/>
                <w:sz w:val="22"/>
                <w:szCs w:val="22"/>
              </w:rPr>
              <w:t>10 436</w:t>
            </w:r>
          </w:p>
        </w:tc>
      </w:tr>
      <w:tr w:rsidR="00205EDC" w:rsidRPr="00DB24BC" w14:paraId="4D53F2D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0855B07" w14:textId="77777777" w:rsidR="00205EDC" w:rsidRPr="00DB24BC" w:rsidRDefault="00205EDC" w:rsidP="00CE5EBA">
            <w:pPr>
              <w:rPr>
                <w:color w:val="000000"/>
                <w:kern w:val="22"/>
                <w:sz w:val="22"/>
                <w:szCs w:val="22"/>
              </w:rPr>
            </w:pPr>
            <w:r w:rsidRPr="00DB24BC">
              <w:rPr>
                <w:sz w:val="22"/>
                <w:szCs w:val="22"/>
              </w:rPr>
              <w:t>Estonie</w:t>
            </w:r>
          </w:p>
        </w:tc>
        <w:tc>
          <w:tcPr>
            <w:tcW w:w="1580" w:type="dxa"/>
            <w:tcBorders>
              <w:top w:val="nil"/>
              <w:left w:val="nil"/>
              <w:bottom w:val="single" w:sz="4" w:space="0" w:color="auto"/>
              <w:right w:val="single" w:sz="4" w:space="0" w:color="auto"/>
            </w:tcBorders>
            <w:shd w:val="clear" w:color="auto" w:fill="auto"/>
            <w:vAlign w:val="center"/>
            <w:hideMark/>
          </w:tcPr>
          <w:p w14:paraId="7701F40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039 </w:t>
            </w:r>
          </w:p>
        </w:tc>
        <w:tc>
          <w:tcPr>
            <w:tcW w:w="1580" w:type="dxa"/>
            <w:tcBorders>
              <w:top w:val="nil"/>
              <w:left w:val="nil"/>
              <w:bottom w:val="single" w:sz="4" w:space="0" w:color="auto"/>
              <w:right w:val="single" w:sz="4" w:space="0" w:color="auto"/>
            </w:tcBorders>
            <w:shd w:val="clear" w:color="auto" w:fill="auto"/>
            <w:noWrap/>
            <w:vAlign w:val="center"/>
            <w:hideMark/>
          </w:tcPr>
          <w:p w14:paraId="20FBC49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049 </w:t>
            </w:r>
          </w:p>
        </w:tc>
        <w:tc>
          <w:tcPr>
            <w:tcW w:w="1580" w:type="dxa"/>
            <w:tcBorders>
              <w:top w:val="nil"/>
              <w:left w:val="nil"/>
              <w:bottom w:val="single" w:sz="4" w:space="0" w:color="auto"/>
              <w:right w:val="single" w:sz="4" w:space="0" w:color="auto"/>
            </w:tcBorders>
            <w:shd w:val="clear" w:color="auto" w:fill="auto"/>
            <w:noWrap/>
            <w:vAlign w:val="center"/>
            <w:hideMark/>
          </w:tcPr>
          <w:p w14:paraId="75B21EC9" w14:textId="77777777" w:rsidR="00205EDC" w:rsidRPr="00DB24BC" w:rsidRDefault="00205EDC" w:rsidP="00CE5EBA">
            <w:pPr>
              <w:jc w:val="right"/>
              <w:rPr>
                <w:color w:val="000000"/>
                <w:kern w:val="22"/>
                <w:sz w:val="22"/>
                <w:szCs w:val="22"/>
              </w:rPr>
            </w:pPr>
            <w:r w:rsidRPr="00DB24BC">
              <w:rPr>
                <w:color w:val="000000"/>
                <w:kern w:val="22"/>
                <w:sz w:val="22"/>
                <w:szCs w:val="22"/>
              </w:rPr>
              <w:t>5 355</w:t>
            </w:r>
          </w:p>
        </w:tc>
      </w:tr>
      <w:tr w:rsidR="00205EDC" w:rsidRPr="00DB24BC" w14:paraId="711C4D6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898ED37" w14:textId="77777777" w:rsidR="00205EDC" w:rsidRPr="00DB24BC" w:rsidRDefault="00205EDC" w:rsidP="00CE5EBA">
            <w:pPr>
              <w:rPr>
                <w:color w:val="000000"/>
                <w:kern w:val="22"/>
                <w:sz w:val="22"/>
                <w:szCs w:val="22"/>
              </w:rPr>
            </w:pPr>
            <w:r w:rsidRPr="00DB24BC">
              <w:rPr>
                <w:sz w:val="22"/>
                <w:szCs w:val="22"/>
              </w:rPr>
              <w:t>Eswatini</w:t>
            </w:r>
          </w:p>
        </w:tc>
        <w:tc>
          <w:tcPr>
            <w:tcW w:w="1580" w:type="dxa"/>
            <w:tcBorders>
              <w:top w:val="nil"/>
              <w:left w:val="nil"/>
              <w:bottom w:val="single" w:sz="4" w:space="0" w:color="auto"/>
              <w:right w:val="single" w:sz="4" w:space="0" w:color="auto"/>
            </w:tcBorders>
            <w:shd w:val="clear" w:color="auto" w:fill="auto"/>
            <w:vAlign w:val="center"/>
            <w:hideMark/>
          </w:tcPr>
          <w:p w14:paraId="0DD1242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2B64EFD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5A51043C"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781854E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5D37AC8" w14:textId="77777777" w:rsidR="00205EDC" w:rsidRPr="00DB24BC" w:rsidRDefault="00205EDC" w:rsidP="00CE5EBA">
            <w:pPr>
              <w:rPr>
                <w:color w:val="000000"/>
                <w:kern w:val="22"/>
                <w:sz w:val="22"/>
                <w:szCs w:val="22"/>
              </w:rPr>
            </w:pPr>
            <w:r w:rsidRPr="00DB24BC">
              <w:rPr>
                <w:sz w:val="22"/>
                <w:szCs w:val="22"/>
              </w:rPr>
              <w:t>Éthiopie</w:t>
            </w:r>
          </w:p>
        </w:tc>
        <w:tc>
          <w:tcPr>
            <w:tcW w:w="1580" w:type="dxa"/>
            <w:tcBorders>
              <w:top w:val="nil"/>
              <w:left w:val="nil"/>
              <w:bottom w:val="single" w:sz="4" w:space="0" w:color="auto"/>
              <w:right w:val="single" w:sz="4" w:space="0" w:color="auto"/>
            </w:tcBorders>
            <w:shd w:val="clear" w:color="auto" w:fill="auto"/>
            <w:vAlign w:val="center"/>
            <w:hideMark/>
          </w:tcPr>
          <w:p w14:paraId="7D1A346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7158526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645DA88F" w14:textId="77777777" w:rsidR="00205EDC" w:rsidRPr="00DB24BC" w:rsidRDefault="00205EDC" w:rsidP="00CE5EBA">
            <w:pPr>
              <w:jc w:val="right"/>
              <w:rPr>
                <w:color w:val="000000"/>
                <w:kern w:val="22"/>
                <w:sz w:val="22"/>
                <w:szCs w:val="22"/>
              </w:rPr>
            </w:pPr>
            <w:r w:rsidRPr="00DB24BC">
              <w:rPr>
                <w:color w:val="000000"/>
                <w:kern w:val="22"/>
                <w:sz w:val="22"/>
                <w:szCs w:val="22"/>
              </w:rPr>
              <w:t>1 098</w:t>
            </w:r>
          </w:p>
        </w:tc>
      </w:tr>
      <w:tr w:rsidR="00205EDC" w:rsidRPr="00DB24BC" w14:paraId="2D84910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87D4142" w14:textId="77777777" w:rsidR="00205EDC" w:rsidRPr="00DB24BC" w:rsidRDefault="00205EDC" w:rsidP="00CE5EBA">
            <w:pPr>
              <w:rPr>
                <w:color w:val="000000"/>
                <w:kern w:val="22"/>
                <w:sz w:val="22"/>
                <w:szCs w:val="22"/>
              </w:rPr>
            </w:pPr>
            <w:r w:rsidRPr="00DB24BC">
              <w:rPr>
                <w:sz w:val="22"/>
                <w:szCs w:val="22"/>
              </w:rPr>
              <w:t>Fidji</w:t>
            </w:r>
          </w:p>
        </w:tc>
        <w:tc>
          <w:tcPr>
            <w:tcW w:w="1580" w:type="dxa"/>
            <w:tcBorders>
              <w:top w:val="nil"/>
              <w:left w:val="nil"/>
              <w:bottom w:val="single" w:sz="4" w:space="0" w:color="auto"/>
              <w:right w:val="single" w:sz="4" w:space="0" w:color="auto"/>
            </w:tcBorders>
            <w:shd w:val="clear" w:color="auto" w:fill="auto"/>
            <w:vAlign w:val="center"/>
            <w:hideMark/>
          </w:tcPr>
          <w:p w14:paraId="583D753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48C5A81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61CDC17C" w14:textId="77777777" w:rsidR="00205EDC" w:rsidRPr="00DB24BC" w:rsidRDefault="00205EDC" w:rsidP="00CE5EBA">
            <w:pPr>
              <w:jc w:val="right"/>
              <w:rPr>
                <w:color w:val="000000"/>
                <w:kern w:val="22"/>
                <w:sz w:val="22"/>
                <w:szCs w:val="22"/>
              </w:rPr>
            </w:pPr>
            <w:r w:rsidRPr="00DB24BC">
              <w:rPr>
                <w:color w:val="000000"/>
                <w:kern w:val="22"/>
                <w:sz w:val="22"/>
                <w:szCs w:val="22"/>
              </w:rPr>
              <w:t>412</w:t>
            </w:r>
          </w:p>
        </w:tc>
      </w:tr>
      <w:tr w:rsidR="00205EDC" w:rsidRPr="00DB24BC" w14:paraId="12A9129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1BDAC36" w14:textId="77777777" w:rsidR="00205EDC" w:rsidRPr="00DB24BC" w:rsidRDefault="00205EDC" w:rsidP="00CE5EBA">
            <w:pPr>
              <w:rPr>
                <w:color w:val="000000"/>
                <w:kern w:val="22"/>
                <w:sz w:val="22"/>
                <w:szCs w:val="22"/>
              </w:rPr>
            </w:pPr>
            <w:r w:rsidRPr="00DB24BC">
              <w:rPr>
                <w:sz w:val="22"/>
                <w:szCs w:val="22"/>
              </w:rPr>
              <w:t>Finlande</w:t>
            </w:r>
          </w:p>
        </w:tc>
        <w:tc>
          <w:tcPr>
            <w:tcW w:w="1580" w:type="dxa"/>
            <w:tcBorders>
              <w:top w:val="nil"/>
              <w:left w:val="nil"/>
              <w:bottom w:val="single" w:sz="4" w:space="0" w:color="auto"/>
              <w:right w:val="single" w:sz="4" w:space="0" w:color="auto"/>
            </w:tcBorders>
            <w:shd w:val="clear" w:color="auto" w:fill="auto"/>
            <w:vAlign w:val="center"/>
            <w:hideMark/>
          </w:tcPr>
          <w:p w14:paraId="7484838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421 </w:t>
            </w:r>
          </w:p>
        </w:tc>
        <w:tc>
          <w:tcPr>
            <w:tcW w:w="1580" w:type="dxa"/>
            <w:tcBorders>
              <w:top w:val="nil"/>
              <w:left w:val="nil"/>
              <w:bottom w:val="single" w:sz="4" w:space="0" w:color="auto"/>
              <w:right w:val="single" w:sz="4" w:space="0" w:color="auto"/>
            </w:tcBorders>
            <w:shd w:val="clear" w:color="auto" w:fill="auto"/>
            <w:noWrap/>
            <w:vAlign w:val="center"/>
            <w:hideMark/>
          </w:tcPr>
          <w:p w14:paraId="1AB7ED0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526 </w:t>
            </w:r>
          </w:p>
        </w:tc>
        <w:tc>
          <w:tcPr>
            <w:tcW w:w="1580" w:type="dxa"/>
            <w:tcBorders>
              <w:top w:val="nil"/>
              <w:left w:val="nil"/>
              <w:bottom w:val="single" w:sz="4" w:space="0" w:color="auto"/>
              <w:right w:val="single" w:sz="4" w:space="0" w:color="auto"/>
            </w:tcBorders>
            <w:shd w:val="clear" w:color="auto" w:fill="auto"/>
            <w:noWrap/>
            <w:vAlign w:val="center"/>
            <w:hideMark/>
          </w:tcPr>
          <w:p w14:paraId="1D0CE48F" w14:textId="77777777" w:rsidR="00205EDC" w:rsidRPr="00DB24BC" w:rsidRDefault="00205EDC" w:rsidP="00CE5EBA">
            <w:pPr>
              <w:jc w:val="right"/>
              <w:rPr>
                <w:color w:val="000000"/>
                <w:kern w:val="22"/>
                <w:sz w:val="22"/>
                <w:szCs w:val="22"/>
              </w:rPr>
            </w:pPr>
            <w:r w:rsidRPr="00DB24BC">
              <w:rPr>
                <w:color w:val="000000"/>
                <w:kern w:val="22"/>
                <w:sz w:val="22"/>
                <w:szCs w:val="22"/>
              </w:rPr>
              <w:t>57 810</w:t>
            </w:r>
          </w:p>
        </w:tc>
      </w:tr>
      <w:tr w:rsidR="00205EDC" w:rsidRPr="00DB24BC" w14:paraId="1509B54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B3A55F5" w14:textId="77777777" w:rsidR="00205EDC" w:rsidRPr="00DB24BC" w:rsidRDefault="00205EDC" w:rsidP="00CE5EBA">
            <w:pPr>
              <w:rPr>
                <w:color w:val="000000"/>
                <w:kern w:val="22"/>
                <w:sz w:val="22"/>
                <w:szCs w:val="22"/>
              </w:rPr>
            </w:pPr>
            <w:r w:rsidRPr="00DB24BC">
              <w:rPr>
                <w:sz w:val="22"/>
                <w:szCs w:val="22"/>
              </w:rPr>
              <w:t>France</w:t>
            </w:r>
          </w:p>
        </w:tc>
        <w:tc>
          <w:tcPr>
            <w:tcW w:w="1580" w:type="dxa"/>
            <w:tcBorders>
              <w:top w:val="nil"/>
              <w:left w:val="nil"/>
              <w:bottom w:val="single" w:sz="4" w:space="0" w:color="auto"/>
              <w:right w:val="single" w:sz="4" w:space="0" w:color="auto"/>
            </w:tcBorders>
            <w:shd w:val="clear" w:color="auto" w:fill="auto"/>
            <w:vAlign w:val="center"/>
            <w:hideMark/>
          </w:tcPr>
          <w:p w14:paraId="08009FED" w14:textId="77777777" w:rsidR="00205EDC" w:rsidRPr="00DB24BC" w:rsidRDefault="00205EDC" w:rsidP="00CE5EBA">
            <w:pPr>
              <w:jc w:val="right"/>
              <w:rPr>
                <w:color w:val="000000"/>
                <w:kern w:val="22"/>
                <w:sz w:val="22"/>
                <w:szCs w:val="22"/>
              </w:rPr>
            </w:pPr>
            <w:r w:rsidRPr="00DB24BC">
              <w:rPr>
                <w:color w:val="000000"/>
                <w:kern w:val="22"/>
                <w:sz w:val="22"/>
                <w:szCs w:val="22"/>
              </w:rPr>
              <w:t>4</w:t>
            </w:r>
            <w:r>
              <w:rPr>
                <w:color w:val="000000"/>
                <w:kern w:val="22"/>
                <w:sz w:val="22"/>
                <w:szCs w:val="22"/>
              </w:rPr>
              <w:t>,</w:t>
            </w:r>
            <w:r w:rsidRPr="00DB24BC">
              <w:rPr>
                <w:color w:val="000000"/>
                <w:kern w:val="22"/>
                <w:sz w:val="22"/>
                <w:szCs w:val="22"/>
              </w:rPr>
              <w:t xml:space="preserve">427 </w:t>
            </w:r>
          </w:p>
        </w:tc>
        <w:tc>
          <w:tcPr>
            <w:tcW w:w="1580" w:type="dxa"/>
            <w:tcBorders>
              <w:top w:val="nil"/>
              <w:left w:val="nil"/>
              <w:bottom w:val="single" w:sz="4" w:space="0" w:color="auto"/>
              <w:right w:val="single" w:sz="4" w:space="0" w:color="auto"/>
            </w:tcBorders>
            <w:shd w:val="clear" w:color="auto" w:fill="auto"/>
            <w:noWrap/>
            <w:vAlign w:val="center"/>
            <w:hideMark/>
          </w:tcPr>
          <w:p w14:paraId="1B040DC2" w14:textId="77777777" w:rsidR="00205EDC" w:rsidRPr="00DB24BC" w:rsidRDefault="00205EDC" w:rsidP="00CE5EBA">
            <w:pPr>
              <w:jc w:val="right"/>
              <w:rPr>
                <w:color w:val="000000"/>
                <w:kern w:val="22"/>
                <w:sz w:val="22"/>
                <w:szCs w:val="22"/>
              </w:rPr>
            </w:pPr>
            <w:r w:rsidRPr="00DB24BC">
              <w:rPr>
                <w:color w:val="000000"/>
                <w:kern w:val="22"/>
                <w:sz w:val="22"/>
                <w:szCs w:val="22"/>
              </w:rPr>
              <w:t>5</w:t>
            </w:r>
            <w:r>
              <w:rPr>
                <w:color w:val="000000"/>
                <w:kern w:val="22"/>
                <w:sz w:val="22"/>
                <w:szCs w:val="22"/>
              </w:rPr>
              <w:t>,</w:t>
            </w:r>
            <w:r w:rsidRPr="00DB24BC">
              <w:rPr>
                <w:color w:val="000000"/>
                <w:kern w:val="22"/>
                <w:sz w:val="22"/>
                <w:szCs w:val="22"/>
              </w:rPr>
              <w:t xml:space="preserve">535 </w:t>
            </w:r>
          </w:p>
        </w:tc>
        <w:tc>
          <w:tcPr>
            <w:tcW w:w="1580" w:type="dxa"/>
            <w:tcBorders>
              <w:top w:val="nil"/>
              <w:left w:val="nil"/>
              <w:bottom w:val="single" w:sz="4" w:space="0" w:color="auto"/>
              <w:right w:val="single" w:sz="4" w:space="0" w:color="auto"/>
            </w:tcBorders>
            <w:shd w:val="clear" w:color="auto" w:fill="auto"/>
            <w:noWrap/>
            <w:vAlign w:val="center"/>
            <w:hideMark/>
          </w:tcPr>
          <w:p w14:paraId="059089F8" w14:textId="77777777" w:rsidR="00205EDC" w:rsidRPr="00DB24BC" w:rsidRDefault="00205EDC" w:rsidP="00CE5EBA">
            <w:pPr>
              <w:jc w:val="right"/>
              <w:rPr>
                <w:color w:val="000000"/>
                <w:kern w:val="22"/>
                <w:sz w:val="22"/>
                <w:szCs w:val="22"/>
              </w:rPr>
            </w:pPr>
            <w:r w:rsidRPr="00DB24BC">
              <w:rPr>
                <w:color w:val="000000"/>
                <w:kern w:val="22"/>
                <w:sz w:val="22"/>
                <w:szCs w:val="22"/>
              </w:rPr>
              <w:t>607 899</w:t>
            </w:r>
          </w:p>
        </w:tc>
      </w:tr>
      <w:tr w:rsidR="00205EDC" w:rsidRPr="00DB24BC" w14:paraId="2FC404C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07D2C61" w14:textId="77777777" w:rsidR="00205EDC" w:rsidRPr="00DB24BC" w:rsidRDefault="00205EDC" w:rsidP="00CE5EBA">
            <w:pPr>
              <w:rPr>
                <w:color w:val="000000"/>
                <w:kern w:val="22"/>
                <w:sz w:val="22"/>
                <w:szCs w:val="22"/>
              </w:rPr>
            </w:pPr>
            <w:r w:rsidRPr="00DB24BC">
              <w:rPr>
                <w:sz w:val="22"/>
                <w:szCs w:val="22"/>
              </w:rPr>
              <w:t>Gabon</w:t>
            </w:r>
          </w:p>
        </w:tc>
        <w:tc>
          <w:tcPr>
            <w:tcW w:w="1580" w:type="dxa"/>
            <w:tcBorders>
              <w:top w:val="nil"/>
              <w:left w:val="nil"/>
              <w:bottom w:val="single" w:sz="4" w:space="0" w:color="auto"/>
              <w:right w:val="single" w:sz="4" w:space="0" w:color="auto"/>
            </w:tcBorders>
            <w:shd w:val="clear" w:color="auto" w:fill="auto"/>
            <w:vAlign w:val="center"/>
            <w:hideMark/>
          </w:tcPr>
          <w:p w14:paraId="4D1C642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015 </w:t>
            </w:r>
          </w:p>
        </w:tc>
        <w:tc>
          <w:tcPr>
            <w:tcW w:w="1580" w:type="dxa"/>
            <w:tcBorders>
              <w:top w:val="nil"/>
              <w:left w:val="nil"/>
              <w:bottom w:val="single" w:sz="4" w:space="0" w:color="auto"/>
              <w:right w:val="single" w:sz="4" w:space="0" w:color="auto"/>
            </w:tcBorders>
            <w:shd w:val="clear" w:color="auto" w:fill="auto"/>
            <w:noWrap/>
            <w:vAlign w:val="center"/>
            <w:hideMark/>
          </w:tcPr>
          <w:p w14:paraId="553BCB2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019 </w:t>
            </w:r>
          </w:p>
        </w:tc>
        <w:tc>
          <w:tcPr>
            <w:tcW w:w="1580" w:type="dxa"/>
            <w:tcBorders>
              <w:top w:val="nil"/>
              <w:left w:val="nil"/>
              <w:bottom w:val="single" w:sz="4" w:space="0" w:color="auto"/>
              <w:right w:val="single" w:sz="4" w:space="0" w:color="auto"/>
            </w:tcBorders>
            <w:shd w:val="clear" w:color="auto" w:fill="auto"/>
            <w:noWrap/>
            <w:vAlign w:val="center"/>
            <w:hideMark/>
          </w:tcPr>
          <w:p w14:paraId="71ED1824" w14:textId="77777777" w:rsidR="00205EDC" w:rsidRPr="00DB24BC" w:rsidRDefault="00205EDC" w:rsidP="00CE5EBA">
            <w:pPr>
              <w:jc w:val="right"/>
              <w:rPr>
                <w:color w:val="000000"/>
                <w:kern w:val="22"/>
                <w:sz w:val="22"/>
                <w:szCs w:val="22"/>
              </w:rPr>
            </w:pPr>
            <w:r w:rsidRPr="00DB24BC">
              <w:rPr>
                <w:color w:val="000000"/>
                <w:kern w:val="22"/>
                <w:sz w:val="22"/>
                <w:szCs w:val="22"/>
              </w:rPr>
              <w:t>2 060</w:t>
            </w:r>
          </w:p>
        </w:tc>
      </w:tr>
      <w:tr w:rsidR="00205EDC" w:rsidRPr="00DB24BC" w14:paraId="4FBC7A4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DF82F1F" w14:textId="77777777" w:rsidR="00205EDC" w:rsidRPr="00DB24BC" w:rsidRDefault="00205EDC" w:rsidP="00CE5EBA">
            <w:pPr>
              <w:rPr>
                <w:color w:val="000000"/>
                <w:kern w:val="22"/>
                <w:sz w:val="22"/>
                <w:szCs w:val="22"/>
              </w:rPr>
            </w:pPr>
            <w:r w:rsidRPr="00DB24BC">
              <w:rPr>
                <w:sz w:val="22"/>
                <w:szCs w:val="22"/>
              </w:rPr>
              <w:t>Gambie</w:t>
            </w:r>
          </w:p>
        </w:tc>
        <w:tc>
          <w:tcPr>
            <w:tcW w:w="1580" w:type="dxa"/>
            <w:tcBorders>
              <w:top w:val="nil"/>
              <w:left w:val="nil"/>
              <w:bottom w:val="single" w:sz="4" w:space="0" w:color="auto"/>
              <w:right w:val="single" w:sz="4" w:space="0" w:color="auto"/>
            </w:tcBorders>
            <w:shd w:val="clear" w:color="auto" w:fill="auto"/>
            <w:vAlign w:val="center"/>
            <w:hideMark/>
          </w:tcPr>
          <w:p w14:paraId="0534702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47BF9BB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1CC514D2"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6407F45C"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CAAF1C6" w14:textId="77777777" w:rsidR="00205EDC" w:rsidRPr="00DB24BC" w:rsidRDefault="00205EDC" w:rsidP="00CE5EBA">
            <w:pPr>
              <w:rPr>
                <w:color w:val="000000"/>
                <w:kern w:val="22"/>
                <w:sz w:val="22"/>
                <w:szCs w:val="22"/>
              </w:rPr>
            </w:pPr>
            <w:r w:rsidRPr="00DB24BC">
              <w:rPr>
                <w:sz w:val="22"/>
                <w:szCs w:val="22"/>
              </w:rPr>
              <w:t>Géorgie</w:t>
            </w:r>
          </w:p>
        </w:tc>
        <w:tc>
          <w:tcPr>
            <w:tcW w:w="1580" w:type="dxa"/>
            <w:tcBorders>
              <w:top w:val="nil"/>
              <w:left w:val="nil"/>
              <w:bottom w:val="single" w:sz="4" w:space="0" w:color="auto"/>
              <w:right w:val="single" w:sz="4" w:space="0" w:color="auto"/>
            </w:tcBorders>
            <w:shd w:val="clear" w:color="auto" w:fill="auto"/>
            <w:vAlign w:val="center"/>
            <w:hideMark/>
          </w:tcPr>
          <w:p w14:paraId="1509EA7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387466D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6499315F" w14:textId="77777777" w:rsidR="00205EDC" w:rsidRPr="00DB24BC" w:rsidRDefault="00205EDC" w:rsidP="00CE5EBA">
            <w:pPr>
              <w:jc w:val="right"/>
              <w:rPr>
                <w:color w:val="000000"/>
                <w:kern w:val="22"/>
                <w:sz w:val="22"/>
                <w:szCs w:val="22"/>
              </w:rPr>
            </w:pPr>
            <w:r w:rsidRPr="00DB24BC">
              <w:rPr>
                <w:color w:val="000000"/>
                <w:kern w:val="22"/>
                <w:sz w:val="22"/>
                <w:szCs w:val="22"/>
              </w:rPr>
              <w:t>1 099</w:t>
            </w:r>
          </w:p>
        </w:tc>
      </w:tr>
      <w:tr w:rsidR="00205EDC" w:rsidRPr="00DB24BC" w14:paraId="5778DB3C"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0364803" w14:textId="77777777" w:rsidR="00205EDC" w:rsidRPr="00DB24BC" w:rsidRDefault="00205EDC" w:rsidP="00CE5EBA">
            <w:pPr>
              <w:rPr>
                <w:color w:val="000000"/>
                <w:kern w:val="22"/>
                <w:sz w:val="22"/>
                <w:szCs w:val="22"/>
              </w:rPr>
            </w:pPr>
            <w:r w:rsidRPr="00DB24BC">
              <w:rPr>
                <w:sz w:val="22"/>
                <w:szCs w:val="22"/>
              </w:rPr>
              <w:t>Ghana</w:t>
            </w:r>
          </w:p>
        </w:tc>
        <w:tc>
          <w:tcPr>
            <w:tcW w:w="1580" w:type="dxa"/>
            <w:tcBorders>
              <w:top w:val="nil"/>
              <w:left w:val="nil"/>
              <w:bottom w:val="single" w:sz="4" w:space="0" w:color="auto"/>
              <w:right w:val="single" w:sz="4" w:space="0" w:color="auto"/>
            </w:tcBorders>
            <w:shd w:val="clear" w:color="auto" w:fill="auto"/>
            <w:vAlign w:val="center"/>
            <w:hideMark/>
          </w:tcPr>
          <w:p w14:paraId="5D7565B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015 </w:t>
            </w:r>
          </w:p>
        </w:tc>
        <w:tc>
          <w:tcPr>
            <w:tcW w:w="1580" w:type="dxa"/>
            <w:tcBorders>
              <w:top w:val="nil"/>
              <w:left w:val="nil"/>
              <w:bottom w:val="single" w:sz="4" w:space="0" w:color="auto"/>
              <w:right w:val="single" w:sz="4" w:space="0" w:color="auto"/>
            </w:tcBorders>
            <w:shd w:val="clear" w:color="auto" w:fill="auto"/>
            <w:noWrap/>
            <w:vAlign w:val="center"/>
            <w:hideMark/>
          </w:tcPr>
          <w:p w14:paraId="7BCC1A6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019 </w:t>
            </w:r>
          </w:p>
        </w:tc>
        <w:tc>
          <w:tcPr>
            <w:tcW w:w="1580" w:type="dxa"/>
            <w:tcBorders>
              <w:top w:val="nil"/>
              <w:left w:val="nil"/>
              <w:bottom w:val="single" w:sz="4" w:space="0" w:color="auto"/>
              <w:right w:val="single" w:sz="4" w:space="0" w:color="auto"/>
            </w:tcBorders>
            <w:shd w:val="clear" w:color="auto" w:fill="auto"/>
            <w:noWrap/>
            <w:vAlign w:val="center"/>
            <w:hideMark/>
          </w:tcPr>
          <w:p w14:paraId="601D19EF" w14:textId="77777777" w:rsidR="00205EDC" w:rsidRPr="00DB24BC" w:rsidRDefault="00205EDC" w:rsidP="00CE5EBA">
            <w:pPr>
              <w:jc w:val="right"/>
              <w:rPr>
                <w:color w:val="000000"/>
                <w:kern w:val="22"/>
                <w:sz w:val="22"/>
                <w:szCs w:val="22"/>
              </w:rPr>
            </w:pPr>
            <w:r w:rsidRPr="00DB24BC">
              <w:rPr>
                <w:color w:val="000000"/>
                <w:kern w:val="22"/>
                <w:sz w:val="22"/>
                <w:szCs w:val="22"/>
              </w:rPr>
              <w:t>2 060</w:t>
            </w:r>
          </w:p>
        </w:tc>
      </w:tr>
      <w:tr w:rsidR="00205EDC" w:rsidRPr="00DB24BC" w14:paraId="0772795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27F7ED6" w14:textId="77777777" w:rsidR="00205EDC" w:rsidRPr="00DB24BC" w:rsidRDefault="00205EDC" w:rsidP="00CE5EBA">
            <w:pPr>
              <w:rPr>
                <w:color w:val="000000"/>
                <w:kern w:val="22"/>
                <w:sz w:val="22"/>
                <w:szCs w:val="22"/>
              </w:rPr>
            </w:pPr>
            <w:r w:rsidRPr="00DB24BC">
              <w:rPr>
                <w:sz w:val="22"/>
                <w:szCs w:val="22"/>
              </w:rPr>
              <w:t>Grèce</w:t>
            </w:r>
          </w:p>
        </w:tc>
        <w:tc>
          <w:tcPr>
            <w:tcW w:w="1580" w:type="dxa"/>
            <w:tcBorders>
              <w:top w:val="nil"/>
              <w:left w:val="nil"/>
              <w:bottom w:val="single" w:sz="4" w:space="0" w:color="auto"/>
              <w:right w:val="single" w:sz="4" w:space="0" w:color="auto"/>
            </w:tcBorders>
            <w:shd w:val="clear" w:color="auto" w:fill="auto"/>
            <w:vAlign w:val="center"/>
            <w:hideMark/>
          </w:tcPr>
          <w:p w14:paraId="0031C31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366 </w:t>
            </w:r>
          </w:p>
        </w:tc>
        <w:tc>
          <w:tcPr>
            <w:tcW w:w="1580" w:type="dxa"/>
            <w:tcBorders>
              <w:top w:val="nil"/>
              <w:left w:val="nil"/>
              <w:bottom w:val="single" w:sz="4" w:space="0" w:color="auto"/>
              <w:right w:val="single" w:sz="4" w:space="0" w:color="auto"/>
            </w:tcBorders>
            <w:shd w:val="clear" w:color="auto" w:fill="auto"/>
            <w:noWrap/>
            <w:vAlign w:val="center"/>
            <w:hideMark/>
          </w:tcPr>
          <w:p w14:paraId="1017148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458 </w:t>
            </w:r>
          </w:p>
        </w:tc>
        <w:tc>
          <w:tcPr>
            <w:tcW w:w="1580" w:type="dxa"/>
            <w:tcBorders>
              <w:top w:val="nil"/>
              <w:left w:val="nil"/>
              <w:bottom w:val="single" w:sz="4" w:space="0" w:color="auto"/>
              <w:right w:val="single" w:sz="4" w:space="0" w:color="auto"/>
            </w:tcBorders>
            <w:shd w:val="clear" w:color="auto" w:fill="auto"/>
            <w:noWrap/>
            <w:vAlign w:val="center"/>
            <w:hideMark/>
          </w:tcPr>
          <w:p w14:paraId="607BC647" w14:textId="77777777" w:rsidR="00205EDC" w:rsidRPr="00DB24BC" w:rsidRDefault="00205EDC" w:rsidP="00CE5EBA">
            <w:pPr>
              <w:jc w:val="right"/>
              <w:rPr>
                <w:color w:val="000000"/>
                <w:kern w:val="22"/>
                <w:sz w:val="22"/>
                <w:szCs w:val="22"/>
              </w:rPr>
            </w:pPr>
            <w:r w:rsidRPr="00DB24BC">
              <w:rPr>
                <w:color w:val="000000"/>
                <w:kern w:val="22"/>
                <w:sz w:val="22"/>
                <w:szCs w:val="22"/>
              </w:rPr>
              <w:t>50 258</w:t>
            </w:r>
          </w:p>
        </w:tc>
      </w:tr>
      <w:tr w:rsidR="00205EDC" w:rsidRPr="00DB24BC" w14:paraId="44190AF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DA547E8" w14:textId="77777777" w:rsidR="00205EDC" w:rsidRPr="00DB24BC" w:rsidRDefault="00205EDC" w:rsidP="00CE5EBA">
            <w:pPr>
              <w:rPr>
                <w:color w:val="000000"/>
                <w:kern w:val="22"/>
                <w:sz w:val="22"/>
                <w:szCs w:val="22"/>
              </w:rPr>
            </w:pPr>
            <w:r w:rsidRPr="00DB24BC">
              <w:rPr>
                <w:sz w:val="22"/>
                <w:szCs w:val="22"/>
              </w:rPr>
              <w:t>Grenade</w:t>
            </w:r>
          </w:p>
        </w:tc>
        <w:tc>
          <w:tcPr>
            <w:tcW w:w="1580" w:type="dxa"/>
            <w:tcBorders>
              <w:top w:val="nil"/>
              <w:left w:val="nil"/>
              <w:bottom w:val="single" w:sz="4" w:space="0" w:color="auto"/>
              <w:right w:val="single" w:sz="4" w:space="0" w:color="auto"/>
            </w:tcBorders>
            <w:shd w:val="clear" w:color="auto" w:fill="auto"/>
            <w:vAlign w:val="center"/>
            <w:hideMark/>
          </w:tcPr>
          <w:p w14:paraId="58C4788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451C14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4F712EB1"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61CAF34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FC6E806" w14:textId="77777777" w:rsidR="00205EDC" w:rsidRPr="00DB24BC" w:rsidRDefault="00205EDC" w:rsidP="00CE5EBA">
            <w:pPr>
              <w:rPr>
                <w:color w:val="000000"/>
                <w:kern w:val="22"/>
                <w:sz w:val="22"/>
                <w:szCs w:val="22"/>
              </w:rPr>
            </w:pPr>
            <w:r w:rsidRPr="00DB24BC">
              <w:rPr>
                <w:sz w:val="22"/>
                <w:szCs w:val="22"/>
              </w:rPr>
              <w:t>Guatemala</w:t>
            </w:r>
          </w:p>
        </w:tc>
        <w:tc>
          <w:tcPr>
            <w:tcW w:w="1580" w:type="dxa"/>
            <w:tcBorders>
              <w:top w:val="nil"/>
              <w:left w:val="nil"/>
              <w:bottom w:val="single" w:sz="4" w:space="0" w:color="auto"/>
              <w:right w:val="single" w:sz="4" w:space="0" w:color="auto"/>
            </w:tcBorders>
            <w:shd w:val="clear" w:color="auto" w:fill="auto"/>
            <w:vAlign w:val="center"/>
            <w:hideMark/>
          </w:tcPr>
          <w:p w14:paraId="5CBFE16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036 </w:t>
            </w:r>
          </w:p>
        </w:tc>
        <w:tc>
          <w:tcPr>
            <w:tcW w:w="1580" w:type="dxa"/>
            <w:tcBorders>
              <w:top w:val="nil"/>
              <w:left w:val="nil"/>
              <w:bottom w:val="single" w:sz="4" w:space="0" w:color="auto"/>
              <w:right w:val="single" w:sz="4" w:space="0" w:color="auto"/>
            </w:tcBorders>
            <w:shd w:val="clear" w:color="auto" w:fill="auto"/>
            <w:noWrap/>
            <w:vAlign w:val="center"/>
            <w:hideMark/>
          </w:tcPr>
          <w:p w14:paraId="48381C1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045 </w:t>
            </w:r>
          </w:p>
        </w:tc>
        <w:tc>
          <w:tcPr>
            <w:tcW w:w="1580" w:type="dxa"/>
            <w:tcBorders>
              <w:top w:val="nil"/>
              <w:left w:val="nil"/>
              <w:bottom w:val="single" w:sz="4" w:space="0" w:color="auto"/>
              <w:right w:val="single" w:sz="4" w:space="0" w:color="auto"/>
            </w:tcBorders>
            <w:shd w:val="clear" w:color="auto" w:fill="auto"/>
            <w:noWrap/>
            <w:vAlign w:val="center"/>
            <w:hideMark/>
          </w:tcPr>
          <w:p w14:paraId="2B9A841C" w14:textId="77777777" w:rsidR="00205EDC" w:rsidRPr="00DB24BC" w:rsidRDefault="00205EDC" w:rsidP="00CE5EBA">
            <w:pPr>
              <w:jc w:val="right"/>
              <w:rPr>
                <w:color w:val="000000"/>
                <w:kern w:val="22"/>
                <w:sz w:val="22"/>
                <w:szCs w:val="22"/>
              </w:rPr>
            </w:pPr>
            <w:r w:rsidRPr="00DB24BC">
              <w:rPr>
                <w:color w:val="000000"/>
                <w:kern w:val="22"/>
                <w:sz w:val="22"/>
                <w:szCs w:val="22"/>
              </w:rPr>
              <w:t>4 943</w:t>
            </w:r>
          </w:p>
        </w:tc>
      </w:tr>
      <w:tr w:rsidR="00205EDC" w:rsidRPr="00DB24BC" w14:paraId="2B6EBDB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1E39ABF" w14:textId="77777777" w:rsidR="00205EDC" w:rsidRPr="00DB24BC" w:rsidRDefault="00205EDC" w:rsidP="00CE5EBA">
            <w:pPr>
              <w:rPr>
                <w:color w:val="000000"/>
                <w:kern w:val="22"/>
                <w:sz w:val="22"/>
                <w:szCs w:val="22"/>
              </w:rPr>
            </w:pPr>
            <w:r w:rsidRPr="00DB24BC">
              <w:rPr>
                <w:sz w:val="22"/>
                <w:szCs w:val="22"/>
              </w:rPr>
              <w:t>Guinée</w:t>
            </w:r>
          </w:p>
        </w:tc>
        <w:tc>
          <w:tcPr>
            <w:tcW w:w="1580" w:type="dxa"/>
            <w:tcBorders>
              <w:top w:val="nil"/>
              <w:left w:val="nil"/>
              <w:bottom w:val="single" w:sz="4" w:space="0" w:color="auto"/>
              <w:right w:val="single" w:sz="4" w:space="0" w:color="auto"/>
            </w:tcBorders>
            <w:shd w:val="clear" w:color="auto" w:fill="auto"/>
            <w:vAlign w:val="center"/>
            <w:hideMark/>
          </w:tcPr>
          <w:p w14:paraId="53B474D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4CF2513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0721816C" w14:textId="77777777" w:rsidR="00205EDC" w:rsidRPr="00DB24BC" w:rsidRDefault="00205EDC" w:rsidP="00CE5EBA">
            <w:pPr>
              <w:jc w:val="right"/>
              <w:rPr>
                <w:color w:val="000000"/>
                <w:kern w:val="22"/>
                <w:sz w:val="22"/>
                <w:szCs w:val="22"/>
              </w:rPr>
            </w:pPr>
            <w:r w:rsidRPr="00DB24BC">
              <w:rPr>
                <w:color w:val="000000"/>
                <w:kern w:val="22"/>
                <w:sz w:val="22"/>
                <w:szCs w:val="22"/>
              </w:rPr>
              <w:t>412</w:t>
            </w:r>
          </w:p>
        </w:tc>
      </w:tr>
      <w:tr w:rsidR="00205EDC" w:rsidRPr="00CF06A4" w14:paraId="48980A0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26FDE48" w14:textId="77777777" w:rsidR="00205EDC" w:rsidRPr="00CF06A4" w:rsidRDefault="00205EDC" w:rsidP="00CE5EBA">
            <w:pPr>
              <w:rPr>
                <w:color w:val="000000"/>
                <w:kern w:val="22"/>
                <w:sz w:val="22"/>
                <w:szCs w:val="20"/>
              </w:rPr>
            </w:pPr>
            <w:r w:rsidRPr="00CF06A4">
              <w:rPr>
                <w:sz w:val="22"/>
                <w:szCs w:val="20"/>
              </w:rPr>
              <w:t>Guinée équatoriale</w:t>
            </w:r>
          </w:p>
        </w:tc>
        <w:tc>
          <w:tcPr>
            <w:tcW w:w="1580" w:type="dxa"/>
            <w:tcBorders>
              <w:top w:val="nil"/>
              <w:left w:val="nil"/>
              <w:bottom w:val="single" w:sz="4" w:space="0" w:color="auto"/>
              <w:right w:val="single" w:sz="4" w:space="0" w:color="auto"/>
            </w:tcBorders>
            <w:shd w:val="clear" w:color="auto" w:fill="auto"/>
            <w:vAlign w:val="center"/>
            <w:hideMark/>
          </w:tcPr>
          <w:p w14:paraId="28AF45BA"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016 </w:t>
            </w:r>
          </w:p>
        </w:tc>
        <w:tc>
          <w:tcPr>
            <w:tcW w:w="1580" w:type="dxa"/>
            <w:tcBorders>
              <w:top w:val="nil"/>
              <w:left w:val="nil"/>
              <w:bottom w:val="single" w:sz="4" w:space="0" w:color="auto"/>
              <w:right w:val="single" w:sz="4" w:space="0" w:color="auto"/>
            </w:tcBorders>
            <w:shd w:val="clear" w:color="auto" w:fill="auto"/>
            <w:noWrap/>
            <w:vAlign w:val="center"/>
            <w:hideMark/>
          </w:tcPr>
          <w:p w14:paraId="6712B4AE"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53AA5552" w14:textId="77777777" w:rsidR="00205EDC" w:rsidRPr="00CF06A4" w:rsidRDefault="00205EDC" w:rsidP="00CE5EBA">
            <w:pPr>
              <w:jc w:val="right"/>
              <w:rPr>
                <w:color w:val="000000"/>
                <w:kern w:val="22"/>
                <w:sz w:val="22"/>
                <w:szCs w:val="20"/>
              </w:rPr>
            </w:pPr>
            <w:r w:rsidRPr="00CF06A4">
              <w:rPr>
                <w:color w:val="000000"/>
                <w:kern w:val="22"/>
                <w:sz w:val="22"/>
                <w:szCs w:val="20"/>
              </w:rPr>
              <w:t>1 098</w:t>
            </w:r>
          </w:p>
        </w:tc>
      </w:tr>
      <w:tr w:rsidR="00205EDC" w:rsidRPr="00DB24BC" w14:paraId="18AF4B5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BC55CDA" w14:textId="77777777" w:rsidR="00205EDC" w:rsidRPr="00DB24BC" w:rsidRDefault="00205EDC" w:rsidP="00CE5EBA">
            <w:pPr>
              <w:rPr>
                <w:color w:val="000000"/>
                <w:kern w:val="22"/>
                <w:sz w:val="22"/>
                <w:szCs w:val="22"/>
              </w:rPr>
            </w:pPr>
            <w:r w:rsidRPr="00DB24BC">
              <w:rPr>
                <w:sz w:val="22"/>
                <w:szCs w:val="22"/>
              </w:rPr>
              <w:t>Guinée-Bissau</w:t>
            </w:r>
          </w:p>
        </w:tc>
        <w:tc>
          <w:tcPr>
            <w:tcW w:w="1580" w:type="dxa"/>
            <w:tcBorders>
              <w:top w:val="nil"/>
              <w:left w:val="nil"/>
              <w:bottom w:val="single" w:sz="4" w:space="0" w:color="auto"/>
              <w:right w:val="single" w:sz="4" w:space="0" w:color="auto"/>
            </w:tcBorders>
            <w:shd w:val="clear" w:color="auto" w:fill="auto"/>
            <w:vAlign w:val="center"/>
            <w:hideMark/>
          </w:tcPr>
          <w:p w14:paraId="2D87D46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4EECA95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8296FB4"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4C6DEC2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7E95718" w14:textId="77777777" w:rsidR="00205EDC" w:rsidRPr="00DB24BC" w:rsidRDefault="00205EDC" w:rsidP="00CE5EBA">
            <w:pPr>
              <w:rPr>
                <w:color w:val="000000"/>
                <w:kern w:val="22"/>
                <w:sz w:val="22"/>
                <w:szCs w:val="22"/>
              </w:rPr>
            </w:pPr>
            <w:r w:rsidRPr="00DB24BC">
              <w:rPr>
                <w:sz w:val="22"/>
                <w:szCs w:val="22"/>
              </w:rPr>
              <w:t>Guyane</w:t>
            </w:r>
          </w:p>
        </w:tc>
        <w:tc>
          <w:tcPr>
            <w:tcW w:w="1580" w:type="dxa"/>
            <w:tcBorders>
              <w:top w:val="nil"/>
              <w:left w:val="nil"/>
              <w:bottom w:val="single" w:sz="4" w:space="0" w:color="auto"/>
              <w:right w:val="single" w:sz="4" w:space="0" w:color="auto"/>
            </w:tcBorders>
            <w:shd w:val="clear" w:color="auto" w:fill="auto"/>
            <w:vAlign w:val="center"/>
            <w:hideMark/>
          </w:tcPr>
          <w:p w14:paraId="6DBEE01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4EA7271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7D94B197"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726B82F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00AAA81" w14:textId="77777777" w:rsidR="00205EDC" w:rsidRPr="00DB24BC" w:rsidRDefault="00205EDC" w:rsidP="00CE5EBA">
            <w:pPr>
              <w:rPr>
                <w:color w:val="000000"/>
                <w:kern w:val="22"/>
                <w:sz w:val="22"/>
                <w:szCs w:val="22"/>
              </w:rPr>
            </w:pPr>
            <w:r w:rsidRPr="00DB24BC">
              <w:rPr>
                <w:sz w:val="22"/>
                <w:szCs w:val="22"/>
              </w:rPr>
              <w:t>Haïti</w:t>
            </w:r>
          </w:p>
        </w:tc>
        <w:tc>
          <w:tcPr>
            <w:tcW w:w="1580" w:type="dxa"/>
            <w:tcBorders>
              <w:top w:val="nil"/>
              <w:left w:val="nil"/>
              <w:bottom w:val="single" w:sz="4" w:space="0" w:color="auto"/>
              <w:right w:val="single" w:sz="4" w:space="0" w:color="auto"/>
            </w:tcBorders>
            <w:shd w:val="clear" w:color="auto" w:fill="auto"/>
            <w:vAlign w:val="center"/>
            <w:hideMark/>
          </w:tcPr>
          <w:p w14:paraId="243BF22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2AC4989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531F4A20" w14:textId="77777777" w:rsidR="00205EDC" w:rsidRPr="00DB24BC" w:rsidRDefault="00205EDC" w:rsidP="00CE5EBA">
            <w:pPr>
              <w:jc w:val="right"/>
              <w:rPr>
                <w:color w:val="000000"/>
                <w:kern w:val="22"/>
                <w:sz w:val="22"/>
                <w:szCs w:val="22"/>
              </w:rPr>
            </w:pPr>
            <w:r w:rsidRPr="00DB24BC">
              <w:rPr>
                <w:color w:val="000000"/>
                <w:kern w:val="22"/>
                <w:sz w:val="22"/>
                <w:szCs w:val="22"/>
              </w:rPr>
              <w:t>412</w:t>
            </w:r>
          </w:p>
        </w:tc>
      </w:tr>
      <w:tr w:rsidR="00205EDC" w:rsidRPr="00DB24BC" w14:paraId="1AE6B43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18C39AA" w14:textId="77777777" w:rsidR="00205EDC" w:rsidRPr="00DB24BC" w:rsidRDefault="00205EDC" w:rsidP="00CE5EBA">
            <w:pPr>
              <w:rPr>
                <w:color w:val="000000"/>
                <w:kern w:val="22"/>
                <w:sz w:val="22"/>
                <w:szCs w:val="22"/>
              </w:rPr>
            </w:pPr>
            <w:r w:rsidRPr="00DB24BC">
              <w:rPr>
                <w:sz w:val="22"/>
                <w:szCs w:val="22"/>
              </w:rPr>
              <w:t>Honduras</w:t>
            </w:r>
          </w:p>
        </w:tc>
        <w:tc>
          <w:tcPr>
            <w:tcW w:w="1580" w:type="dxa"/>
            <w:tcBorders>
              <w:top w:val="nil"/>
              <w:left w:val="nil"/>
              <w:bottom w:val="single" w:sz="4" w:space="0" w:color="auto"/>
              <w:right w:val="single" w:sz="4" w:space="0" w:color="auto"/>
            </w:tcBorders>
            <w:shd w:val="clear" w:color="auto" w:fill="auto"/>
            <w:vAlign w:val="center"/>
            <w:hideMark/>
          </w:tcPr>
          <w:p w14:paraId="1B8CF30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0953CC8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011 </w:t>
            </w:r>
          </w:p>
        </w:tc>
        <w:tc>
          <w:tcPr>
            <w:tcW w:w="1580" w:type="dxa"/>
            <w:tcBorders>
              <w:top w:val="nil"/>
              <w:left w:val="nil"/>
              <w:bottom w:val="single" w:sz="4" w:space="0" w:color="auto"/>
              <w:right w:val="single" w:sz="4" w:space="0" w:color="auto"/>
            </w:tcBorders>
            <w:shd w:val="clear" w:color="auto" w:fill="auto"/>
            <w:noWrap/>
            <w:vAlign w:val="center"/>
            <w:hideMark/>
          </w:tcPr>
          <w:p w14:paraId="6ED9217D" w14:textId="77777777" w:rsidR="00205EDC" w:rsidRPr="00DB24BC" w:rsidRDefault="00205EDC" w:rsidP="00CE5EBA">
            <w:pPr>
              <w:jc w:val="right"/>
              <w:rPr>
                <w:color w:val="000000"/>
                <w:kern w:val="22"/>
                <w:sz w:val="22"/>
                <w:szCs w:val="22"/>
              </w:rPr>
            </w:pPr>
            <w:r w:rsidRPr="00DB24BC">
              <w:rPr>
                <w:color w:val="000000"/>
                <w:kern w:val="22"/>
                <w:sz w:val="22"/>
                <w:szCs w:val="22"/>
              </w:rPr>
              <w:t>1 236</w:t>
            </w:r>
          </w:p>
        </w:tc>
      </w:tr>
      <w:tr w:rsidR="00205EDC" w:rsidRPr="00DB24BC" w14:paraId="5CACBED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F9B9857" w14:textId="77777777" w:rsidR="00205EDC" w:rsidRPr="00DB24BC" w:rsidRDefault="00205EDC" w:rsidP="00CE5EBA">
            <w:pPr>
              <w:rPr>
                <w:color w:val="000000"/>
                <w:kern w:val="22"/>
                <w:sz w:val="22"/>
                <w:szCs w:val="22"/>
              </w:rPr>
            </w:pPr>
            <w:r w:rsidRPr="00DB24BC">
              <w:rPr>
                <w:sz w:val="22"/>
                <w:szCs w:val="22"/>
              </w:rPr>
              <w:t>Hongrie</w:t>
            </w:r>
          </w:p>
        </w:tc>
        <w:tc>
          <w:tcPr>
            <w:tcW w:w="1580" w:type="dxa"/>
            <w:tcBorders>
              <w:top w:val="nil"/>
              <w:left w:val="nil"/>
              <w:bottom w:val="single" w:sz="4" w:space="0" w:color="auto"/>
              <w:right w:val="single" w:sz="4" w:space="0" w:color="auto"/>
            </w:tcBorders>
            <w:shd w:val="clear" w:color="auto" w:fill="auto"/>
            <w:vAlign w:val="center"/>
            <w:hideMark/>
          </w:tcPr>
          <w:p w14:paraId="2F30019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206 </w:t>
            </w:r>
          </w:p>
        </w:tc>
        <w:tc>
          <w:tcPr>
            <w:tcW w:w="1580" w:type="dxa"/>
            <w:tcBorders>
              <w:top w:val="nil"/>
              <w:left w:val="nil"/>
              <w:bottom w:val="single" w:sz="4" w:space="0" w:color="auto"/>
              <w:right w:val="single" w:sz="4" w:space="0" w:color="auto"/>
            </w:tcBorders>
            <w:shd w:val="clear" w:color="auto" w:fill="auto"/>
            <w:noWrap/>
            <w:vAlign w:val="center"/>
            <w:hideMark/>
          </w:tcPr>
          <w:p w14:paraId="5FBA02B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258 </w:t>
            </w:r>
          </w:p>
        </w:tc>
        <w:tc>
          <w:tcPr>
            <w:tcW w:w="1580" w:type="dxa"/>
            <w:tcBorders>
              <w:top w:val="nil"/>
              <w:left w:val="nil"/>
              <w:bottom w:val="single" w:sz="4" w:space="0" w:color="auto"/>
              <w:right w:val="single" w:sz="4" w:space="0" w:color="auto"/>
            </w:tcBorders>
            <w:shd w:val="clear" w:color="auto" w:fill="auto"/>
            <w:noWrap/>
            <w:vAlign w:val="center"/>
            <w:hideMark/>
          </w:tcPr>
          <w:p w14:paraId="7E068F19" w14:textId="77777777" w:rsidR="00205EDC" w:rsidRPr="00DB24BC" w:rsidRDefault="00205EDC" w:rsidP="00CE5EBA">
            <w:pPr>
              <w:jc w:val="right"/>
              <w:rPr>
                <w:color w:val="000000"/>
                <w:kern w:val="22"/>
                <w:sz w:val="22"/>
                <w:szCs w:val="22"/>
              </w:rPr>
            </w:pPr>
            <w:r w:rsidRPr="00DB24BC">
              <w:rPr>
                <w:color w:val="000000"/>
                <w:kern w:val="22"/>
                <w:sz w:val="22"/>
                <w:szCs w:val="22"/>
              </w:rPr>
              <w:t>28 287</w:t>
            </w:r>
          </w:p>
        </w:tc>
      </w:tr>
      <w:tr w:rsidR="00205EDC" w:rsidRPr="00CF06A4" w14:paraId="3C855E3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A23568A" w14:textId="77777777" w:rsidR="00205EDC" w:rsidRPr="00CF06A4" w:rsidRDefault="00205EDC" w:rsidP="00CE5EBA">
            <w:pPr>
              <w:rPr>
                <w:color w:val="000000"/>
                <w:kern w:val="22"/>
                <w:sz w:val="22"/>
                <w:szCs w:val="20"/>
              </w:rPr>
            </w:pPr>
            <w:r w:rsidRPr="00CF06A4">
              <w:rPr>
                <w:sz w:val="22"/>
                <w:szCs w:val="20"/>
              </w:rPr>
              <w:t>Îles Cook</w:t>
            </w:r>
          </w:p>
        </w:tc>
        <w:tc>
          <w:tcPr>
            <w:tcW w:w="1580" w:type="dxa"/>
            <w:tcBorders>
              <w:top w:val="nil"/>
              <w:left w:val="nil"/>
              <w:bottom w:val="single" w:sz="4" w:space="0" w:color="auto"/>
              <w:right w:val="single" w:sz="4" w:space="0" w:color="auto"/>
            </w:tcBorders>
            <w:shd w:val="clear" w:color="auto" w:fill="auto"/>
            <w:vAlign w:val="center"/>
            <w:hideMark/>
          </w:tcPr>
          <w:p w14:paraId="68BBCAB1"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75BCAFC"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786E17D" w14:textId="77777777" w:rsidR="00205EDC" w:rsidRPr="00CF06A4" w:rsidRDefault="00205EDC" w:rsidP="00CE5EBA">
            <w:pPr>
              <w:jc w:val="right"/>
              <w:rPr>
                <w:color w:val="000000"/>
                <w:kern w:val="22"/>
                <w:sz w:val="22"/>
                <w:szCs w:val="20"/>
              </w:rPr>
            </w:pPr>
            <w:r w:rsidRPr="00CF06A4">
              <w:rPr>
                <w:color w:val="000000"/>
                <w:kern w:val="22"/>
                <w:sz w:val="22"/>
                <w:szCs w:val="20"/>
              </w:rPr>
              <w:t>137</w:t>
            </w:r>
          </w:p>
        </w:tc>
      </w:tr>
      <w:tr w:rsidR="00205EDC" w:rsidRPr="00DB24BC" w14:paraId="3499EB49"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37D1E3A" w14:textId="77777777" w:rsidR="00205EDC" w:rsidRPr="00DB24BC" w:rsidRDefault="00205EDC" w:rsidP="00CE5EBA">
            <w:pPr>
              <w:rPr>
                <w:color w:val="000000"/>
                <w:kern w:val="22"/>
                <w:sz w:val="22"/>
                <w:szCs w:val="22"/>
              </w:rPr>
            </w:pPr>
            <w:r w:rsidRPr="00DB24BC">
              <w:rPr>
                <w:color w:val="000000"/>
                <w:kern w:val="22"/>
                <w:sz w:val="22"/>
                <w:szCs w:val="22"/>
              </w:rPr>
              <w:t>Îles Marshall</w:t>
            </w:r>
          </w:p>
        </w:tc>
        <w:tc>
          <w:tcPr>
            <w:tcW w:w="1580" w:type="dxa"/>
            <w:tcBorders>
              <w:top w:val="nil"/>
              <w:left w:val="nil"/>
              <w:bottom w:val="single" w:sz="4" w:space="0" w:color="auto"/>
              <w:right w:val="single" w:sz="4" w:space="0" w:color="auto"/>
            </w:tcBorders>
            <w:shd w:val="clear" w:color="auto" w:fill="auto"/>
            <w:vAlign w:val="center"/>
            <w:hideMark/>
          </w:tcPr>
          <w:p w14:paraId="51FD8FA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77BF74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39CACFFD"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527C681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FE42936" w14:textId="77777777" w:rsidR="00205EDC" w:rsidRPr="00DB24BC" w:rsidRDefault="00205EDC" w:rsidP="00CE5EBA">
            <w:pPr>
              <w:rPr>
                <w:color w:val="000000"/>
                <w:kern w:val="22"/>
                <w:sz w:val="22"/>
                <w:szCs w:val="22"/>
              </w:rPr>
            </w:pPr>
            <w:r w:rsidRPr="00DB24BC">
              <w:rPr>
                <w:sz w:val="22"/>
                <w:szCs w:val="22"/>
              </w:rPr>
              <w:t>Îles Salomon</w:t>
            </w:r>
          </w:p>
        </w:tc>
        <w:tc>
          <w:tcPr>
            <w:tcW w:w="1580" w:type="dxa"/>
            <w:tcBorders>
              <w:top w:val="nil"/>
              <w:left w:val="nil"/>
              <w:bottom w:val="single" w:sz="4" w:space="0" w:color="auto"/>
              <w:right w:val="single" w:sz="4" w:space="0" w:color="auto"/>
            </w:tcBorders>
            <w:shd w:val="clear" w:color="auto" w:fill="auto"/>
            <w:vAlign w:val="center"/>
            <w:hideMark/>
          </w:tcPr>
          <w:p w14:paraId="3F0DC05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0D991E5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462D49FE"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69574D6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9B1495E" w14:textId="77777777" w:rsidR="00205EDC" w:rsidRPr="00DB24BC" w:rsidRDefault="00205EDC" w:rsidP="00CE5EBA">
            <w:pPr>
              <w:rPr>
                <w:color w:val="000000"/>
                <w:kern w:val="22"/>
                <w:sz w:val="22"/>
                <w:szCs w:val="22"/>
              </w:rPr>
            </w:pPr>
            <w:r w:rsidRPr="00DB24BC">
              <w:rPr>
                <w:sz w:val="22"/>
                <w:szCs w:val="22"/>
              </w:rPr>
              <w:t>Inde</w:t>
            </w:r>
          </w:p>
        </w:tc>
        <w:tc>
          <w:tcPr>
            <w:tcW w:w="1580" w:type="dxa"/>
            <w:tcBorders>
              <w:top w:val="nil"/>
              <w:left w:val="nil"/>
              <w:bottom w:val="single" w:sz="4" w:space="0" w:color="auto"/>
              <w:right w:val="single" w:sz="4" w:space="0" w:color="auto"/>
            </w:tcBorders>
            <w:shd w:val="clear" w:color="auto" w:fill="auto"/>
            <w:vAlign w:val="center"/>
            <w:hideMark/>
          </w:tcPr>
          <w:p w14:paraId="715851E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834 </w:t>
            </w:r>
          </w:p>
        </w:tc>
        <w:tc>
          <w:tcPr>
            <w:tcW w:w="1580" w:type="dxa"/>
            <w:tcBorders>
              <w:top w:val="nil"/>
              <w:left w:val="nil"/>
              <w:bottom w:val="single" w:sz="4" w:space="0" w:color="auto"/>
              <w:right w:val="single" w:sz="4" w:space="0" w:color="auto"/>
            </w:tcBorders>
            <w:shd w:val="clear" w:color="auto" w:fill="auto"/>
            <w:noWrap/>
            <w:vAlign w:val="center"/>
            <w:hideMark/>
          </w:tcPr>
          <w:p w14:paraId="644B9C1B"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043 </w:t>
            </w:r>
          </w:p>
        </w:tc>
        <w:tc>
          <w:tcPr>
            <w:tcW w:w="1580" w:type="dxa"/>
            <w:tcBorders>
              <w:top w:val="nil"/>
              <w:left w:val="nil"/>
              <w:bottom w:val="single" w:sz="4" w:space="0" w:color="auto"/>
              <w:right w:val="single" w:sz="4" w:space="0" w:color="auto"/>
            </w:tcBorders>
            <w:shd w:val="clear" w:color="auto" w:fill="auto"/>
            <w:noWrap/>
            <w:vAlign w:val="center"/>
            <w:hideMark/>
          </w:tcPr>
          <w:p w14:paraId="43B09BD7" w14:textId="77777777" w:rsidR="00205EDC" w:rsidRPr="00DB24BC" w:rsidRDefault="00205EDC" w:rsidP="00CE5EBA">
            <w:pPr>
              <w:jc w:val="right"/>
              <w:rPr>
                <w:color w:val="000000"/>
                <w:kern w:val="22"/>
                <w:sz w:val="22"/>
                <w:szCs w:val="22"/>
              </w:rPr>
            </w:pPr>
            <w:r w:rsidRPr="00DB24BC">
              <w:rPr>
                <w:color w:val="000000"/>
                <w:kern w:val="22"/>
                <w:sz w:val="22"/>
                <w:szCs w:val="22"/>
              </w:rPr>
              <w:t>114 522</w:t>
            </w:r>
          </w:p>
        </w:tc>
      </w:tr>
      <w:tr w:rsidR="00205EDC" w:rsidRPr="00DB24BC" w14:paraId="14AC367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540B757" w14:textId="77777777" w:rsidR="00205EDC" w:rsidRPr="00DB24BC" w:rsidRDefault="00205EDC" w:rsidP="00CE5EBA">
            <w:pPr>
              <w:rPr>
                <w:color w:val="000000"/>
                <w:kern w:val="22"/>
                <w:sz w:val="22"/>
                <w:szCs w:val="22"/>
              </w:rPr>
            </w:pPr>
            <w:r w:rsidRPr="00DB24BC">
              <w:rPr>
                <w:sz w:val="22"/>
                <w:szCs w:val="22"/>
              </w:rPr>
              <w:t>Indonésie</w:t>
            </w:r>
          </w:p>
        </w:tc>
        <w:tc>
          <w:tcPr>
            <w:tcW w:w="1580" w:type="dxa"/>
            <w:tcBorders>
              <w:top w:val="nil"/>
              <w:left w:val="nil"/>
              <w:bottom w:val="single" w:sz="4" w:space="0" w:color="auto"/>
              <w:right w:val="single" w:sz="4" w:space="0" w:color="auto"/>
            </w:tcBorders>
            <w:shd w:val="clear" w:color="auto" w:fill="auto"/>
            <w:vAlign w:val="center"/>
            <w:hideMark/>
          </w:tcPr>
          <w:p w14:paraId="2EC65F6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543 </w:t>
            </w:r>
          </w:p>
        </w:tc>
        <w:tc>
          <w:tcPr>
            <w:tcW w:w="1580" w:type="dxa"/>
            <w:tcBorders>
              <w:top w:val="nil"/>
              <w:left w:val="nil"/>
              <w:bottom w:val="single" w:sz="4" w:space="0" w:color="auto"/>
              <w:right w:val="single" w:sz="4" w:space="0" w:color="auto"/>
            </w:tcBorders>
            <w:shd w:val="clear" w:color="auto" w:fill="auto"/>
            <w:noWrap/>
            <w:vAlign w:val="center"/>
            <w:hideMark/>
          </w:tcPr>
          <w:p w14:paraId="0B476B6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679 </w:t>
            </w:r>
          </w:p>
        </w:tc>
        <w:tc>
          <w:tcPr>
            <w:tcW w:w="1580" w:type="dxa"/>
            <w:tcBorders>
              <w:top w:val="nil"/>
              <w:left w:val="nil"/>
              <w:bottom w:val="single" w:sz="4" w:space="0" w:color="auto"/>
              <w:right w:val="single" w:sz="4" w:space="0" w:color="auto"/>
            </w:tcBorders>
            <w:shd w:val="clear" w:color="auto" w:fill="auto"/>
            <w:noWrap/>
            <w:vAlign w:val="center"/>
            <w:hideMark/>
          </w:tcPr>
          <w:p w14:paraId="4DF03EF6" w14:textId="77777777" w:rsidR="00205EDC" w:rsidRPr="00DB24BC" w:rsidRDefault="00205EDC" w:rsidP="00CE5EBA">
            <w:pPr>
              <w:jc w:val="right"/>
              <w:rPr>
                <w:color w:val="000000"/>
                <w:kern w:val="22"/>
                <w:sz w:val="22"/>
                <w:szCs w:val="22"/>
              </w:rPr>
            </w:pPr>
            <w:r w:rsidRPr="00DB24BC">
              <w:rPr>
                <w:color w:val="000000"/>
                <w:kern w:val="22"/>
                <w:sz w:val="22"/>
                <w:szCs w:val="22"/>
              </w:rPr>
              <w:t>74 563</w:t>
            </w:r>
          </w:p>
        </w:tc>
      </w:tr>
      <w:tr w:rsidR="00205EDC" w:rsidRPr="00DB24BC" w14:paraId="18D6057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DB23791" w14:textId="77777777" w:rsidR="00205EDC" w:rsidRPr="00DB24BC" w:rsidRDefault="00205EDC" w:rsidP="00CE5EBA">
            <w:pPr>
              <w:rPr>
                <w:color w:val="000000"/>
                <w:kern w:val="22"/>
                <w:sz w:val="22"/>
                <w:szCs w:val="22"/>
              </w:rPr>
            </w:pPr>
            <w:r w:rsidRPr="00DB24BC">
              <w:rPr>
                <w:sz w:val="22"/>
                <w:szCs w:val="22"/>
              </w:rPr>
              <w:lastRenderedPageBreak/>
              <w:t>Irak</w:t>
            </w:r>
          </w:p>
        </w:tc>
        <w:tc>
          <w:tcPr>
            <w:tcW w:w="1580" w:type="dxa"/>
            <w:tcBorders>
              <w:top w:val="nil"/>
              <w:left w:val="nil"/>
              <w:bottom w:val="single" w:sz="4" w:space="0" w:color="auto"/>
              <w:right w:val="single" w:sz="4" w:space="0" w:color="auto"/>
            </w:tcBorders>
            <w:shd w:val="clear" w:color="auto" w:fill="auto"/>
            <w:vAlign w:val="center"/>
            <w:hideMark/>
          </w:tcPr>
          <w:p w14:paraId="290A825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129 </w:t>
            </w:r>
          </w:p>
        </w:tc>
        <w:tc>
          <w:tcPr>
            <w:tcW w:w="1580" w:type="dxa"/>
            <w:tcBorders>
              <w:top w:val="nil"/>
              <w:left w:val="nil"/>
              <w:bottom w:val="single" w:sz="4" w:space="0" w:color="auto"/>
              <w:right w:val="single" w:sz="4" w:space="0" w:color="auto"/>
            </w:tcBorders>
            <w:shd w:val="clear" w:color="auto" w:fill="auto"/>
            <w:noWrap/>
            <w:vAlign w:val="center"/>
            <w:hideMark/>
          </w:tcPr>
          <w:p w14:paraId="1336A36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161 </w:t>
            </w:r>
          </w:p>
        </w:tc>
        <w:tc>
          <w:tcPr>
            <w:tcW w:w="1580" w:type="dxa"/>
            <w:tcBorders>
              <w:top w:val="nil"/>
              <w:left w:val="nil"/>
              <w:bottom w:val="single" w:sz="4" w:space="0" w:color="auto"/>
              <w:right w:val="single" w:sz="4" w:space="0" w:color="auto"/>
            </w:tcBorders>
            <w:shd w:val="clear" w:color="auto" w:fill="auto"/>
            <w:noWrap/>
            <w:vAlign w:val="center"/>
            <w:hideMark/>
          </w:tcPr>
          <w:p w14:paraId="3226E2C2" w14:textId="77777777" w:rsidR="00205EDC" w:rsidRPr="00DB24BC" w:rsidRDefault="00205EDC" w:rsidP="00CE5EBA">
            <w:pPr>
              <w:jc w:val="right"/>
              <w:rPr>
                <w:color w:val="000000"/>
                <w:kern w:val="22"/>
                <w:sz w:val="22"/>
                <w:szCs w:val="22"/>
              </w:rPr>
            </w:pPr>
            <w:r w:rsidRPr="00DB24BC">
              <w:rPr>
                <w:color w:val="000000"/>
                <w:kern w:val="22"/>
                <w:sz w:val="22"/>
                <w:szCs w:val="22"/>
              </w:rPr>
              <w:t>17 714</w:t>
            </w:r>
          </w:p>
        </w:tc>
      </w:tr>
      <w:tr w:rsidR="00205EDC" w:rsidRPr="00DB24BC" w14:paraId="47CC6A0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59D8485" w14:textId="77777777" w:rsidR="00205EDC" w:rsidRPr="00DB24BC" w:rsidRDefault="00205EDC" w:rsidP="00CE5EBA">
            <w:pPr>
              <w:rPr>
                <w:color w:val="000000"/>
                <w:kern w:val="22"/>
                <w:sz w:val="22"/>
                <w:szCs w:val="22"/>
              </w:rPr>
            </w:pPr>
            <w:r w:rsidRPr="00DB24BC">
              <w:rPr>
                <w:sz w:val="22"/>
                <w:szCs w:val="22"/>
              </w:rPr>
              <w:t>Iran (République islamique d')</w:t>
            </w:r>
          </w:p>
        </w:tc>
        <w:tc>
          <w:tcPr>
            <w:tcW w:w="1580" w:type="dxa"/>
            <w:tcBorders>
              <w:top w:val="nil"/>
              <w:left w:val="nil"/>
              <w:bottom w:val="single" w:sz="4" w:space="0" w:color="auto"/>
              <w:right w:val="single" w:sz="4" w:space="0" w:color="auto"/>
            </w:tcBorders>
            <w:shd w:val="clear" w:color="auto" w:fill="auto"/>
            <w:vAlign w:val="center"/>
            <w:hideMark/>
          </w:tcPr>
          <w:p w14:paraId="66F1C2A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398 </w:t>
            </w:r>
          </w:p>
        </w:tc>
        <w:tc>
          <w:tcPr>
            <w:tcW w:w="1580" w:type="dxa"/>
            <w:tcBorders>
              <w:top w:val="nil"/>
              <w:left w:val="nil"/>
              <w:bottom w:val="single" w:sz="4" w:space="0" w:color="auto"/>
              <w:right w:val="single" w:sz="4" w:space="0" w:color="auto"/>
            </w:tcBorders>
            <w:shd w:val="clear" w:color="auto" w:fill="auto"/>
            <w:noWrap/>
            <w:vAlign w:val="center"/>
            <w:hideMark/>
          </w:tcPr>
          <w:p w14:paraId="63C630F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498 </w:t>
            </w:r>
          </w:p>
        </w:tc>
        <w:tc>
          <w:tcPr>
            <w:tcW w:w="1580" w:type="dxa"/>
            <w:tcBorders>
              <w:top w:val="nil"/>
              <w:left w:val="nil"/>
              <w:bottom w:val="single" w:sz="4" w:space="0" w:color="auto"/>
              <w:right w:val="single" w:sz="4" w:space="0" w:color="auto"/>
            </w:tcBorders>
            <w:shd w:val="clear" w:color="auto" w:fill="auto"/>
            <w:noWrap/>
            <w:vAlign w:val="center"/>
            <w:hideMark/>
          </w:tcPr>
          <w:p w14:paraId="4550CCC5" w14:textId="77777777" w:rsidR="00205EDC" w:rsidRPr="00DB24BC" w:rsidRDefault="00205EDC" w:rsidP="00CE5EBA">
            <w:pPr>
              <w:jc w:val="right"/>
              <w:rPr>
                <w:color w:val="000000"/>
                <w:kern w:val="22"/>
                <w:sz w:val="22"/>
                <w:szCs w:val="22"/>
              </w:rPr>
            </w:pPr>
            <w:r w:rsidRPr="00DB24BC">
              <w:rPr>
                <w:color w:val="000000"/>
                <w:kern w:val="22"/>
                <w:sz w:val="22"/>
                <w:szCs w:val="22"/>
              </w:rPr>
              <w:t>54 652</w:t>
            </w:r>
          </w:p>
        </w:tc>
      </w:tr>
      <w:tr w:rsidR="00205EDC" w:rsidRPr="00DB24BC" w14:paraId="2C4DF1F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80C3476" w14:textId="77777777" w:rsidR="00205EDC" w:rsidRPr="00DB24BC" w:rsidRDefault="00205EDC" w:rsidP="00CE5EBA">
            <w:pPr>
              <w:rPr>
                <w:color w:val="000000"/>
                <w:kern w:val="22"/>
                <w:sz w:val="22"/>
                <w:szCs w:val="22"/>
              </w:rPr>
            </w:pPr>
            <w:r w:rsidRPr="00DB24BC">
              <w:rPr>
                <w:sz w:val="22"/>
                <w:szCs w:val="22"/>
              </w:rPr>
              <w:t>Irlande</w:t>
            </w:r>
          </w:p>
        </w:tc>
        <w:tc>
          <w:tcPr>
            <w:tcW w:w="1580" w:type="dxa"/>
            <w:tcBorders>
              <w:top w:val="nil"/>
              <w:left w:val="nil"/>
              <w:bottom w:val="single" w:sz="4" w:space="0" w:color="auto"/>
              <w:right w:val="single" w:sz="4" w:space="0" w:color="auto"/>
            </w:tcBorders>
            <w:shd w:val="clear" w:color="auto" w:fill="auto"/>
            <w:vAlign w:val="center"/>
            <w:hideMark/>
          </w:tcPr>
          <w:p w14:paraId="574542E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371 </w:t>
            </w:r>
          </w:p>
        </w:tc>
        <w:tc>
          <w:tcPr>
            <w:tcW w:w="1580" w:type="dxa"/>
            <w:tcBorders>
              <w:top w:val="nil"/>
              <w:left w:val="nil"/>
              <w:bottom w:val="single" w:sz="4" w:space="0" w:color="auto"/>
              <w:right w:val="single" w:sz="4" w:space="0" w:color="auto"/>
            </w:tcBorders>
            <w:shd w:val="clear" w:color="auto" w:fill="auto"/>
            <w:noWrap/>
            <w:vAlign w:val="center"/>
            <w:hideMark/>
          </w:tcPr>
          <w:p w14:paraId="1724359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464 </w:t>
            </w:r>
          </w:p>
        </w:tc>
        <w:tc>
          <w:tcPr>
            <w:tcW w:w="1580" w:type="dxa"/>
            <w:tcBorders>
              <w:top w:val="nil"/>
              <w:left w:val="nil"/>
              <w:bottom w:val="single" w:sz="4" w:space="0" w:color="auto"/>
              <w:right w:val="single" w:sz="4" w:space="0" w:color="auto"/>
            </w:tcBorders>
            <w:shd w:val="clear" w:color="auto" w:fill="auto"/>
            <w:noWrap/>
            <w:vAlign w:val="center"/>
            <w:hideMark/>
          </w:tcPr>
          <w:p w14:paraId="6328B8FF" w14:textId="77777777" w:rsidR="00205EDC" w:rsidRPr="00DB24BC" w:rsidRDefault="00205EDC" w:rsidP="00CE5EBA">
            <w:pPr>
              <w:jc w:val="right"/>
              <w:rPr>
                <w:color w:val="000000"/>
                <w:kern w:val="22"/>
                <w:sz w:val="22"/>
                <w:szCs w:val="22"/>
              </w:rPr>
            </w:pPr>
            <w:r w:rsidRPr="00DB24BC">
              <w:rPr>
                <w:color w:val="000000"/>
                <w:kern w:val="22"/>
                <w:sz w:val="22"/>
                <w:szCs w:val="22"/>
              </w:rPr>
              <w:t>50 944</w:t>
            </w:r>
          </w:p>
        </w:tc>
      </w:tr>
      <w:tr w:rsidR="00205EDC" w:rsidRPr="00DB24BC" w14:paraId="7FDCF71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5497191" w14:textId="77777777" w:rsidR="00205EDC" w:rsidRPr="00DB24BC" w:rsidRDefault="00205EDC" w:rsidP="00CE5EBA">
            <w:pPr>
              <w:rPr>
                <w:color w:val="000000"/>
                <w:kern w:val="22"/>
                <w:sz w:val="22"/>
                <w:szCs w:val="22"/>
              </w:rPr>
            </w:pPr>
            <w:r w:rsidRPr="00DB24BC">
              <w:rPr>
                <w:sz w:val="22"/>
                <w:szCs w:val="22"/>
              </w:rPr>
              <w:t>Islande</w:t>
            </w:r>
          </w:p>
        </w:tc>
        <w:tc>
          <w:tcPr>
            <w:tcW w:w="1580" w:type="dxa"/>
            <w:tcBorders>
              <w:top w:val="nil"/>
              <w:left w:val="nil"/>
              <w:bottom w:val="single" w:sz="4" w:space="0" w:color="auto"/>
              <w:right w:val="single" w:sz="4" w:space="0" w:color="auto"/>
            </w:tcBorders>
            <w:shd w:val="clear" w:color="auto" w:fill="auto"/>
            <w:vAlign w:val="center"/>
            <w:hideMark/>
          </w:tcPr>
          <w:p w14:paraId="2D96AEC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028 </w:t>
            </w:r>
          </w:p>
        </w:tc>
        <w:tc>
          <w:tcPr>
            <w:tcW w:w="1580" w:type="dxa"/>
            <w:tcBorders>
              <w:top w:val="nil"/>
              <w:left w:val="nil"/>
              <w:bottom w:val="single" w:sz="4" w:space="0" w:color="auto"/>
              <w:right w:val="single" w:sz="4" w:space="0" w:color="auto"/>
            </w:tcBorders>
            <w:shd w:val="clear" w:color="auto" w:fill="auto"/>
            <w:noWrap/>
            <w:vAlign w:val="center"/>
            <w:hideMark/>
          </w:tcPr>
          <w:p w14:paraId="08BBDFB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035 </w:t>
            </w:r>
          </w:p>
        </w:tc>
        <w:tc>
          <w:tcPr>
            <w:tcW w:w="1580" w:type="dxa"/>
            <w:tcBorders>
              <w:top w:val="nil"/>
              <w:left w:val="nil"/>
              <w:bottom w:val="single" w:sz="4" w:space="0" w:color="auto"/>
              <w:right w:val="single" w:sz="4" w:space="0" w:color="auto"/>
            </w:tcBorders>
            <w:shd w:val="clear" w:color="auto" w:fill="auto"/>
            <w:noWrap/>
            <w:vAlign w:val="center"/>
            <w:hideMark/>
          </w:tcPr>
          <w:p w14:paraId="2A83082A" w14:textId="77777777" w:rsidR="00205EDC" w:rsidRPr="00DB24BC" w:rsidRDefault="00205EDC" w:rsidP="00CE5EBA">
            <w:pPr>
              <w:jc w:val="right"/>
              <w:rPr>
                <w:color w:val="000000"/>
                <w:kern w:val="22"/>
                <w:sz w:val="22"/>
                <w:szCs w:val="22"/>
              </w:rPr>
            </w:pPr>
            <w:r w:rsidRPr="00DB24BC">
              <w:rPr>
                <w:color w:val="000000"/>
                <w:kern w:val="22"/>
                <w:sz w:val="22"/>
                <w:szCs w:val="22"/>
              </w:rPr>
              <w:t>3 845</w:t>
            </w:r>
          </w:p>
        </w:tc>
      </w:tr>
      <w:tr w:rsidR="00205EDC" w:rsidRPr="00DB24BC" w14:paraId="2D2C9AA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AFF2FC6" w14:textId="77777777" w:rsidR="00205EDC" w:rsidRPr="00DB24BC" w:rsidRDefault="00205EDC" w:rsidP="00CE5EBA">
            <w:pPr>
              <w:rPr>
                <w:color w:val="000000"/>
                <w:kern w:val="22"/>
                <w:sz w:val="22"/>
                <w:szCs w:val="22"/>
              </w:rPr>
            </w:pPr>
            <w:r w:rsidRPr="00DB24BC">
              <w:rPr>
                <w:color w:val="000000"/>
                <w:kern w:val="22"/>
                <w:sz w:val="22"/>
                <w:szCs w:val="22"/>
              </w:rPr>
              <w:t>Israël</w:t>
            </w:r>
          </w:p>
        </w:tc>
        <w:tc>
          <w:tcPr>
            <w:tcW w:w="1580" w:type="dxa"/>
            <w:tcBorders>
              <w:top w:val="nil"/>
              <w:left w:val="nil"/>
              <w:bottom w:val="single" w:sz="4" w:space="0" w:color="auto"/>
              <w:right w:val="single" w:sz="4" w:space="0" w:color="auto"/>
            </w:tcBorders>
            <w:shd w:val="clear" w:color="auto" w:fill="auto"/>
            <w:vAlign w:val="center"/>
            <w:hideMark/>
          </w:tcPr>
          <w:p w14:paraId="0AD8AEA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490 </w:t>
            </w:r>
          </w:p>
        </w:tc>
        <w:tc>
          <w:tcPr>
            <w:tcW w:w="1580" w:type="dxa"/>
            <w:tcBorders>
              <w:top w:val="nil"/>
              <w:left w:val="nil"/>
              <w:bottom w:val="single" w:sz="4" w:space="0" w:color="auto"/>
              <w:right w:val="single" w:sz="4" w:space="0" w:color="auto"/>
            </w:tcBorders>
            <w:shd w:val="clear" w:color="auto" w:fill="auto"/>
            <w:noWrap/>
            <w:vAlign w:val="center"/>
            <w:hideMark/>
          </w:tcPr>
          <w:p w14:paraId="35B0E97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613 </w:t>
            </w:r>
          </w:p>
        </w:tc>
        <w:tc>
          <w:tcPr>
            <w:tcW w:w="1580" w:type="dxa"/>
            <w:tcBorders>
              <w:top w:val="nil"/>
              <w:left w:val="nil"/>
              <w:bottom w:val="single" w:sz="4" w:space="0" w:color="auto"/>
              <w:right w:val="single" w:sz="4" w:space="0" w:color="auto"/>
            </w:tcBorders>
            <w:shd w:val="clear" w:color="auto" w:fill="auto"/>
            <w:noWrap/>
            <w:vAlign w:val="center"/>
            <w:hideMark/>
          </w:tcPr>
          <w:p w14:paraId="5EF9B89F" w14:textId="77777777" w:rsidR="00205EDC" w:rsidRPr="00DB24BC" w:rsidRDefault="00205EDC" w:rsidP="00CE5EBA">
            <w:pPr>
              <w:jc w:val="right"/>
              <w:rPr>
                <w:color w:val="000000"/>
                <w:kern w:val="22"/>
                <w:sz w:val="22"/>
                <w:szCs w:val="22"/>
              </w:rPr>
            </w:pPr>
            <w:r w:rsidRPr="00DB24BC">
              <w:rPr>
                <w:color w:val="000000"/>
                <w:kern w:val="22"/>
                <w:sz w:val="22"/>
                <w:szCs w:val="22"/>
              </w:rPr>
              <w:t>67 285</w:t>
            </w:r>
          </w:p>
        </w:tc>
      </w:tr>
      <w:tr w:rsidR="00205EDC" w:rsidRPr="00DB24BC" w14:paraId="429C2D49"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335F247" w14:textId="77777777" w:rsidR="00205EDC" w:rsidRPr="00DB24BC" w:rsidRDefault="00205EDC" w:rsidP="00CE5EBA">
            <w:pPr>
              <w:rPr>
                <w:color w:val="000000"/>
                <w:kern w:val="22"/>
                <w:sz w:val="22"/>
                <w:szCs w:val="22"/>
              </w:rPr>
            </w:pPr>
            <w:r w:rsidRPr="00DB24BC">
              <w:rPr>
                <w:color w:val="000000"/>
                <w:kern w:val="22"/>
                <w:sz w:val="22"/>
                <w:szCs w:val="22"/>
              </w:rPr>
              <w:t>Italie</w:t>
            </w:r>
          </w:p>
        </w:tc>
        <w:tc>
          <w:tcPr>
            <w:tcW w:w="1580" w:type="dxa"/>
            <w:tcBorders>
              <w:top w:val="nil"/>
              <w:left w:val="nil"/>
              <w:bottom w:val="single" w:sz="4" w:space="0" w:color="auto"/>
              <w:right w:val="single" w:sz="4" w:space="0" w:color="auto"/>
            </w:tcBorders>
            <w:shd w:val="clear" w:color="auto" w:fill="auto"/>
            <w:vAlign w:val="center"/>
            <w:hideMark/>
          </w:tcPr>
          <w:p w14:paraId="679C6010" w14:textId="77777777" w:rsidR="00205EDC" w:rsidRPr="00DB24BC" w:rsidRDefault="00205EDC" w:rsidP="00CE5EBA">
            <w:pPr>
              <w:jc w:val="right"/>
              <w:rPr>
                <w:color w:val="000000"/>
                <w:kern w:val="22"/>
                <w:sz w:val="22"/>
                <w:szCs w:val="22"/>
              </w:rPr>
            </w:pPr>
            <w:r w:rsidRPr="00DB24BC">
              <w:rPr>
                <w:color w:val="000000"/>
                <w:kern w:val="22"/>
                <w:sz w:val="22"/>
                <w:szCs w:val="22"/>
              </w:rPr>
              <w:t>3</w:t>
            </w:r>
            <w:r>
              <w:rPr>
                <w:color w:val="000000"/>
                <w:kern w:val="22"/>
                <w:sz w:val="22"/>
                <w:szCs w:val="22"/>
              </w:rPr>
              <w:t>,</w:t>
            </w:r>
            <w:r w:rsidRPr="00DB24BC">
              <w:rPr>
                <w:color w:val="000000"/>
                <w:kern w:val="22"/>
                <w:sz w:val="22"/>
                <w:szCs w:val="22"/>
              </w:rPr>
              <w:t xml:space="preserve">307 </w:t>
            </w:r>
          </w:p>
        </w:tc>
        <w:tc>
          <w:tcPr>
            <w:tcW w:w="1580" w:type="dxa"/>
            <w:tcBorders>
              <w:top w:val="nil"/>
              <w:left w:val="nil"/>
              <w:bottom w:val="single" w:sz="4" w:space="0" w:color="auto"/>
              <w:right w:val="single" w:sz="4" w:space="0" w:color="auto"/>
            </w:tcBorders>
            <w:shd w:val="clear" w:color="auto" w:fill="auto"/>
            <w:noWrap/>
            <w:vAlign w:val="center"/>
            <w:hideMark/>
          </w:tcPr>
          <w:p w14:paraId="751E3095" w14:textId="77777777" w:rsidR="00205EDC" w:rsidRPr="00DB24BC" w:rsidRDefault="00205EDC" w:rsidP="00CE5EBA">
            <w:pPr>
              <w:jc w:val="right"/>
              <w:rPr>
                <w:color w:val="000000"/>
                <w:kern w:val="22"/>
                <w:sz w:val="22"/>
                <w:szCs w:val="22"/>
              </w:rPr>
            </w:pPr>
            <w:r w:rsidRPr="00DB24BC">
              <w:rPr>
                <w:color w:val="000000"/>
                <w:kern w:val="22"/>
                <w:sz w:val="22"/>
                <w:szCs w:val="22"/>
              </w:rPr>
              <w:t>4</w:t>
            </w:r>
            <w:r>
              <w:rPr>
                <w:color w:val="000000"/>
                <w:kern w:val="22"/>
                <w:sz w:val="22"/>
                <w:szCs w:val="22"/>
              </w:rPr>
              <w:t>,</w:t>
            </w:r>
            <w:r w:rsidRPr="00DB24BC">
              <w:rPr>
                <w:color w:val="000000"/>
                <w:kern w:val="22"/>
                <w:sz w:val="22"/>
                <w:szCs w:val="22"/>
              </w:rPr>
              <w:t xml:space="preserve">134 </w:t>
            </w:r>
          </w:p>
        </w:tc>
        <w:tc>
          <w:tcPr>
            <w:tcW w:w="1580" w:type="dxa"/>
            <w:tcBorders>
              <w:top w:val="nil"/>
              <w:left w:val="nil"/>
              <w:bottom w:val="single" w:sz="4" w:space="0" w:color="auto"/>
              <w:right w:val="single" w:sz="4" w:space="0" w:color="auto"/>
            </w:tcBorders>
            <w:shd w:val="clear" w:color="auto" w:fill="auto"/>
            <w:noWrap/>
            <w:vAlign w:val="center"/>
            <w:hideMark/>
          </w:tcPr>
          <w:p w14:paraId="223ABE1D" w14:textId="77777777" w:rsidR="00205EDC" w:rsidRPr="00DB24BC" w:rsidRDefault="00205EDC" w:rsidP="00CE5EBA">
            <w:pPr>
              <w:jc w:val="right"/>
              <w:rPr>
                <w:color w:val="000000"/>
                <w:kern w:val="22"/>
                <w:sz w:val="22"/>
                <w:szCs w:val="22"/>
              </w:rPr>
            </w:pPr>
            <w:r w:rsidRPr="00DB24BC">
              <w:rPr>
                <w:color w:val="000000"/>
                <w:kern w:val="22"/>
                <w:sz w:val="22"/>
                <w:szCs w:val="22"/>
              </w:rPr>
              <w:t>454 105</w:t>
            </w:r>
          </w:p>
        </w:tc>
      </w:tr>
      <w:tr w:rsidR="00205EDC" w:rsidRPr="00DB24BC" w14:paraId="05CA619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C821FAF" w14:textId="77777777" w:rsidR="00205EDC" w:rsidRPr="00DB24BC" w:rsidRDefault="00205EDC" w:rsidP="00CE5EBA">
            <w:pPr>
              <w:rPr>
                <w:color w:val="000000"/>
                <w:kern w:val="22"/>
                <w:sz w:val="22"/>
                <w:szCs w:val="22"/>
              </w:rPr>
            </w:pPr>
            <w:r w:rsidRPr="00DB24BC">
              <w:rPr>
                <w:color w:val="000000"/>
                <w:kern w:val="22"/>
                <w:sz w:val="22"/>
                <w:szCs w:val="22"/>
              </w:rPr>
              <w:t>Jamaïque</w:t>
            </w:r>
          </w:p>
        </w:tc>
        <w:tc>
          <w:tcPr>
            <w:tcW w:w="1580" w:type="dxa"/>
            <w:tcBorders>
              <w:top w:val="nil"/>
              <w:left w:val="nil"/>
              <w:bottom w:val="single" w:sz="4" w:space="0" w:color="auto"/>
              <w:right w:val="single" w:sz="4" w:space="0" w:color="auto"/>
            </w:tcBorders>
            <w:shd w:val="clear" w:color="auto" w:fill="auto"/>
            <w:vAlign w:val="center"/>
            <w:hideMark/>
          </w:tcPr>
          <w:p w14:paraId="2706786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3E46F78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43935255" w14:textId="77777777" w:rsidR="00205EDC" w:rsidRPr="00DB24BC" w:rsidRDefault="00205EDC" w:rsidP="00CE5EBA">
            <w:pPr>
              <w:jc w:val="right"/>
              <w:rPr>
                <w:color w:val="000000"/>
                <w:kern w:val="22"/>
                <w:sz w:val="22"/>
                <w:szCs w:val="22"/>
              </w:rPr>
            </w:pPr>
            <w:r w:rsidRPr="00DB24BC">
              <w:rPr>
                <w:color w:val="000000"/>
                <w:kern w:val="22"/>
                <w:sz w:val="22"/>
                <w:szCs w:val="22"/>
              </w:rPr>
              <w:t>1 099</w:t>
            </w:r>
          </w:p>
        </w:tc>
      </w:tr>
      <w:tr w:rsidR="00205EDC" w:rsidRPr="00DB24BC" w14:paraId="3299C23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00FC2F7" w14:textId="77777777" w:rsidR="00205EDC" w:rsidRPr="00DB24BC" w:rsidRDefault="00205EDC" w:rsidP="00CE5EBA">
            <w:pPr>
              <w:rPr>
                <w:color w:val="000000"/>
                <w:kern w:val="22"/>
                <w:sz w:val="22"/>
                <w:szCs w:val="22"/>
              </w:rPr>
            </w:pPr>
            <w:r w:rsidRPr="00DB24BC">
              <w:rPr>
                <w:color w:val="000000"/>
                <w:kern w:val="22"/>
                <w:sz w:val="22"/>
                <w:szCs w:val="22"/>
              </w:rPr>
              <w:t>Japon</w:t>
            </w:r>
          </w:p>
        </w:tc>
        <w:tc>
          <w:tcPr>
            <w:tcW w:w="1580" w:type="dxa"/>
            <w:tcBorders>
              <w:top w:val="nil"/>
              <w:left w:val="nil"/>
              <w:bottom w:val="single" w:sz="4" w:space="0" w:color="auto"/>
              <w:right w:val="single" w:sz="4" w:space="0" w:color="auto"/>
            </w:tcBorders>
            <w:shd w:val="clear" w:color="auto" w:fill="auto"/>
            <w:vAlign w:val="center"/>
            <w:hideMark/>
          </w:tcPr>
          <w:p w14:paraId="37B74C08" w14:textId="77777777" w:rsidR="00205EDC" w:rsidRPr="00DB24BC" w:rsidRDefault="00205EDC" w:rsidP="00CE5EBA">
            <w:pPr>
              <w:jc w:val="right"/>
              <w:rPr>
                <w:color w:val="000000"/>
                <w:kern w:val="22"/>
                <w:sz w:val="22"/>
                <w:szCs w:val="22"/>
              </w:rPr>
            </w:pPr>
            <w:r w:rsidRPr="00DB24BC">
              <w:rPr>
                <w:color w:val="000000"/>
                <w:kern w:val="22"/>
                <w:sz w:val="22"/>
                <w:szCs w:val="22"/>
              </w:rPr>
              <w:t>8</w:t>
            </w:r>
            <w:r>
              <w:rPr>
                <w:color w:val="000000"/>
                <w:kern w:val="22"/>
                <w:sz w:val="22"/>
                <w:szCs w:val="22"/>
              </w:rPr>
              <w:t>,</w:t>
            </w:r>
            <w:r w:rsidRPr="00DB24BC">
              <w:rPr>
                <w:color w:val="000000"/>
                <w:kern w:val="22"/>
                <w:sz w:val="22"/>
                <w:szCs w:val="22"/>
              </w:rPr>
              <w:t xml:space="preserve">564 </w:t>
            </w:r>
          </w:p>
        </w:tc>
        <w:tc>
          <w:tcPr>
            <w:tcW w:w="1580" w:type="dxa"/>
            <w:tcBorders>
              <w:top w:val="nil"/>
              <w:left w:val="nil"/>
              <w:bottom w:val="single" w:sz="4" w:space="0" w:color="auto"/>
              <w:right w:val="single" w:sz="4" w:space="0" w:color="auto"/>
            </w:tcBorders>
            <w:shd w:val="clear" w:color="auto" w:fill="auto"/>
            <w:noWrap/>
            <w:vAlign w:val="center"/>
            <w:hideMark/>
          </w:tcPr>
          <w:p w14:paraId="0DECA1A1" w14:textId="77777777" w:rsidR="00205EDC" w:rsidRPr="00DB24BC" w:rsidRDefault="00205EDC" w:rsidP="00CE5EBA">
            <w:pPr>
              <w:jc w:val="right"/>
              <w:rPr>
                <w:color w:val="000000"/>
                <w:kern w:val="22"/>
                <w:sz w:val="22"/>
                <w:szCs w:val="22"/>
              </w:rPr>
            </w:pPr>
            <w:r w:rsidRPr="00DB24BC">
              <w:rPr>
                <w:color w:val="000000"/>
                <w:kern w:val="22"/>
                <w:sz w:val="22"/>
                <w:szCs w:val="22"/>
              </w:rPr>
              <w:t>10</w:t>
            </w:r>
            <w:r>
              <w:rPr>
                <w:color w:val="000000"/>
                <w:kern w:val="22"/>
                <w:sz w:val="22"/>
                <w:szCs w:val="22"/>
              </w:rPr>
              <w:t>,</w:t>
            </w:r>
            <w:r w:rsidRPr="00DB24BC">
              <w:rPr>
                <w:color w:val="000000"/>
                <w:kern w:val="22"/>
                <w:sz w:val="22"/>
                <w:szCs w:val="22"/>
              </w:rPr>
              <w:t xml:space="preserve">707 </w:t>
            </w:r>
          </w:p>
        </w:tc>
        <w:tc>
          <w:tcPr>
            <w:tcW w:w="1580" w:type="dxa"/>
            <w:tcBorders>
              <w:top w:val="nil"/>
              <w:left w:val="nil"/>
              <w:bottom w:val="single" w:sz="4" w:space="0" w:color="auto"/>
              <w:right w:val="single" w:sz="4" w:space="0" w:color="auto"/>
            </w:tcBorders>
            <w:shd w:val="clear" w:color="auto" w:fill="auto"/>
            <w:noWrap/>
            <w:vAlign w:val="center"/>
            <w:hideMark/>
          </w:tcPr>
          <w:p w14:paraId="4A016558" w14:textId="77777777" w:rsidR="00205EDC" w:rsidRPr="00DB24BC" w:rsidRDefault="00205EDC" w:rsidP="00CE5EBA">
            <w:pPr>
              <w:jc w:val="right"/>
              <w:rPr>
                <w:color w:val="000000"/>
                <w:kern w:val="22"/>
                <w:sz w:val="22"/>
                <w:szCs w:val="22"/>
              </w:rPr>
            </w:pPr>
            <w:r w:rsidRPr="00DB24BC">
              <w:rPr>
                <w:color w:val="000000"/>
                <w:kern w:val="22"/>
                <w:sz w:val="22"/>
                <w:szCs w:val="22"/>
              </w:rPr>
              <w:t>1 175 976</w:t>
            </w:r>
          </w:p>
        </w:tc>
      </w:tr>
      <w:tr w:rsidR="00205EDC" w:rsidRPr="00DB24BC" w14:paraId="221BCA6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FBCFC11" w14:textId="77777777" w:rsidR="00205EDC" w:rsidRPr="00DB24BC" w:rsidRDefault="00205EDC" w:rsidP="00CE5EBA">
            <w:pPr>
              <w:rPr>
                <w:color w:val="000000"/>
                <w:kern w:val="22"/>
                <w:sz w:val="22"/>
                <w:szCs w:val="22"/>
              </w:rPr>
            </w:pPr>
            <w:r w:rsidRPr="00DB24BC">
              <w:rPr>
                <w:color w:val="000000"/>
                <w:kern w:val="22"/>
                <w:sz w:val="22"/>
                <w:szCs w:val="22"/>
              </w:rPr>
              <w:t>Jordanie</w:t>
            </w:r>
          </w:p>
        </w:tc>
        <w:tc>
          <w:tcPr>
            <w:tcW w:w="1580" w:type="dxa"/>
            <w:tcBorders>
              <w:top w:val="nil"/>
              <w:left w:val="nil"/>
              <w:bottom w:val="single" w:sz="4" w:space="0" w:color="auto"/>
              <w:right w:val="single" w:sz="4" w:space="0" w:color="auto"/>
            </w:tcBorders>
            <w:shd w:val="clear" w:color="auto" w:fill="auto"/>
            <w:vAlign w:val="center"/>
            <w:hideMark/>
          </w:tcPr>
          <w:p w14:paraId="201EFF9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021 </w:t>
            </w:r>
          </w:p>
        </w:tc>
        <w:tc>
          <w:tcPr>
            <w:tcW w:w="1580" w:type="dxa"/>
            <w:tcBorders>
              <w:top w:val="nil"/>
              <w:left w:val="nil"/>
              <w:bottom w:val="single" w:sz="4" w:space="0" w:color="auto"/>
              <w:right w:val="single" w:sz="4" w:space="0" w:color="auto"/>
            </w:tcBorders>
            <w:shd w:val="clear" w:color="auto" w:fill="auto"/>
            <w:noWrap/>
            <w:vAlign w:val="center"/>
            <w:hideMark/>
          </w:tcPr>
          <w:p w14:paraId="603F9DB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026 </w:t>
            </w:r>
          </w:p>
        </w:tc>
        <w:tc>
          <w:tcPr>
            <w:tcW w:w="1580" w:type="dxa"/>
            <w:tcBorders>
              <w:top w:val="nil"/>
              <w:left w:val="nil"/>
              <w:bottom w:val="single" w:sz="4" w:space="0" w:color="auto"/>
              <w:right w:val="single" w:sz="4" w:space="0" w:color="auto"/>
            </w:tcBorders>
            <w:shd w:val="clear" w:color="auto" w:fill="auto"/>
            <w:noWrap/>
            <w:vAlign w:val="center"/>
            <w:hideMark/>
          </w:tcPr>
          <w:p w14:paraId="0392643A" w14:textId="77777777" w:rsidR="00205EDC" w:rsidRPr="00DB24BC" w:rsidRDefault="00205EDC" w:rsidP="00CE5EBA">
            <w:pPr>
              <w:jc w:val="right"/>
              <w:rPr>
                <w:color w:val="000000"/>
                <w:kern w:val="22"/>
                <w:sz w:val="22"/>
                <w:szCs w:val="22"/>
              </w:rPr>
            </w:pPr>
            <w:r w:rsidRPr="00DB24BC">
              <w:rPr>
                <w:color w:val="000000"/>
                <w:kern w:val="22"/>
                <w:sz w:val="22"/>
                <w:szCs w:val="22"/>
              </w:rPr>
              <w:t>2 884</w:t>
            </w:r>
          </w:p>
        </w:tc>
      </w:tr>
      <w:tr w:rsidR="00205EDC" w:rsidRPr="00DB24BC" w14:paraId="16C6D25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F2FC5C1" w14:textId="77777777" w:rsidR="00205EDC" w:rsidRPr="00DB24BC" w:rsidRDefault="00205EDC" w:rsidP="00CE5EBA">
            <w:pPr>
              <w:rPr>
                <w:color w:val="000000"/>
                <w:kern w:val="22"/>
                <w:sz w:val="22"/>
                <w:szCs w:val="22"/>
              </w:rPr>
            </w:pPr>
            <w:r w:rsidRPr="00DB24BC">
              <w:rPr>
                <w:color w:val="000000"/>
                <w:kern w:val="22"/>
                <w:sz w:val="22"/>
                <w:szCs w:val="22"/>
              </w:rPr>
              <w:t>Kazakhstan</w:t>
            </w:r>
          </w:p>
        </w:tc>
        <w:tc>
          <w:tcPr>
            <w:tcW w:w="1580" w:type="dxa"/>
            <w:tcBorders>
              <w:top w:val="nil"/>
              <w:left w:val="nil"/>
              <w:bottom w:val="single" w:sz="4" w:space="0" w:color="auto"/>
              <w:right w:val="single" w:sz="4" w:space="0" w:color="auto"/>
            </w:tcBorders>
            <w:shd w:val="clear" w:color="auto" w:fill="auto"/>
            <w:vAlign w:val="center"/>
            <w:hideMark/>
          </w:tcPr>
          <w:p w14:paraId="06C240C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178 </w:t>
            </w:r>
          </w:p>
        </w:tc>
        <w:tc>
          <w:tcPr>
            <w:tcW w:w="1580" w:type="dxa"/>
            <w:tcBorders>
              <w:top w:val="nil"/>
              <w:left w:val="nil"/>
              <w:bottom w:val="single" w:sz="4" w:space="0" w:color="auto"/>
              <w:right w:val="single" w:sz="4" w:space="0" w:color="auto"/>
            </w:tcBorders>
            <w:shd w:val="clear" w:color="auto" w:fill="auto"/>
            <w:noWrap/>
            <w:vAlign w:val="center"/>
            <w:hideMark/>
          </w:tcPr>
          <w:p w14:paraId="653BC69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223 </w:t>
            </w:r>
          </w:p>
        </w:tc>
        <w:tc>
          <w:tcPr>
            <w:tcW w:w="1580" w:type="dxa"/>
            <w:tcBorders>
              <w:top w:val="nil"/>
              <w:left w:val="nil"/>
              <w:bottom w:val="single" w:sz="4" w:space="0" w:color="auto"/>
              <w:right w:val="single" w:sz="4" w:space="0" w:color="auto"/>
            </w:tcBorders>
            <w:shd w:val="clear" w:color="auto" w:fill="auto"/>
            <w:noWrap/>
            <w:vAlign w:val="center"/>
            <w:hideMark/>
          </w:tcPr>
          <w:p w14:paraId="413E86D1" w14:textId="77777777" w:rsidR="00205EDC" w:rsidRPr="00DB24BC" w:rsidRDefault="00205EDC" w:rsidP="00CE5EBA">
            <w:pPr>
              <w:jc w:val="right"/>
              <w:rPr>
                <w:color w:val="000000"/>
                <w:kern w:val="22"/>
                <w:sz w:val="22"/>
                <w:szCs w:val="22"/>
              </w:rPr>
            </w:pPr>
            <w:r w:rsidRPr="00DB24BC">
              <w:rPr>
                <w:color w:val="000000"/>
                <w:kern w:val="22"/>
                <w:sz w:val="22"/>
                <w:szCs w:val="22"/>
              </w:rPr>
              <w:t>24 442</w:t>
            </w:r>
          </w:p>
        </w:tc>
      </w:tr>
      <w:tr w:rsidR="00205EDC" w:rsidRPr="00DB24BC" w14:paraId="430B9FB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48072AD" w14:textId="77777777" w:rsidR="00205EDC" w:rsidRPr="00DB24BC" w:rsidRDefault="00205EDC" w:rsidP="00CE5EBA">
            <w:pPr>
              <w:rPr>
                <w:color w:val="000000"/>
                <w:kern w:val="22"/>
                <w:sz w:val="22"/>
                <w:szCs w:val="22"/>
              </w:rPr>
            </w:pPr>
            <w:r w:rsidRPr="00DB24BC">
              <w:rPr>
                <w:color w:val="000000"/>
                <w:kern w:val="22"/>
                <w:sz w:val="22"/>
                <w:szCs w:val="22"/>
              </w:rPr>
              <w:t>Kenya</w:t>
            </w:r>
          </w:p>
        </w:tc>
        <w:tc>
          <w:tcPr>
            <w:tcW w:w="1580" w:type="dxa"/>
            <w:tcBorders>
              <w:top w:val="nil"/>
              <w:left w:val="nil"/>
              <w:bottom w:val="single" w:sz="4" w:space="0" w:color="auto"/>
              <w:right w:val="single" w:sz="4" w:space="0" w:color="auto"/>
            </w:tcBorders>
            <w:shd w:val="clear" w:color="auto" w:fill="auto"/>
            <w:vAlign w:val="center"/>
            <w:hideMark/>
          </w:tcPr>
          <w:p w14:paraId="2EBC489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024 </w:t>
            </w:r>
          </w:p>
        </w:tc>
        <w:tc>
          <w:tcPr>
            <w:tcW w:w="1580" w:type="dxa"/>
            <w:tcBorders>
              <w:top w:val="nil"/>
              <w:left w:val="nil"/>
              <w:bottom w:val="single" w:sz="4" w:space="0" w:color="auto"/>
              <w:right w:val="single" w:sz="4" w:space="0" w:color="auto"/>
            </w:tcBorders>
            <w:shd w:val="clear" w:color="auto" w:fill="auto"/>
            <w:noWrap/>
            <w:vAlign w:val="center"/>
            <w:hideMark/>
          </w:tcPr>
          <w:p w14:paraId="0839985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030 </w:t>
            </w:r>
          </w:p>
        </w:tc>
        <w:tc>
          <w:tcPr>
            <w:tcW w:w="1580" w:type="dxa"/>
            <w:tcBorders>
              <w:top w:val="nil"/>
              <w:left w:val="nil"/>
              <w:bottom w:val="single" w:sz="4" w:space="0" w:color="auto"/>
              <w:right w:val="single" w:sz="4" w:space="0" w:color="auto"/>
            </w:tcBorders>
            <w:shd w:val="clear" w:color="auto" w:fill="auto"/>
            <w:noWrap/>
            <w:vAlign w:val="center"/>
            <w:hideMark/>
          </w:tcPr>
          <w:p w14:paraId="2496AA2F" w14:textId="77777777" w:rsidR="00205EDC" w:rsidRPr="00DB24BC" w:rsidRDefault="00205EDC" w:rsidP="00CE5EBA">
            <w:pPr>
              <w:jc w:val="right"/>
              <w:rPr>
                <w:color w:val="000000"/>
                <w:kern w:val="22"/>
                <w:sz w:val="22"/>
                <w:szCs w:val="22"/>
              </w:rPr>
            </w:pPr>
            <w:r w:rsidRPr="00DB24BC">
              <w:rPr>
                <w:color w:val="000000"/>
                <w:kern w:val="22"/>
                <w:sz w:val="22"/>
                <w:szCs w:val="22"/>
              </w:rPr>
              <w:t>3 296</w:t>
            </w:r>
          </w:p>
        </w:tc>
      </w:tr>
      <w:tr w:rsidR="00205EDC" w:rsidRPr="00DB24BC" w14:paraId="346C3C9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FFB3D19" w14:textId="77777777" w:rsidR="00205EDC" w:rsidRPr="00DB24BC" w:rsidRDefault="00205EDC" w:rsidP="00CE5EBA">
            <w:pPr>
              <w:rPr>
                <w:color w:val="000000"/>
                <w:kern w:val="22"/>
                <w:sz w:val="22"/>
                <w:szCs w:val="22"/>
              </w:rPr>
            </w:pPr>
            <w:r w:rsidRPr="00DB24BC">
              <w:rPr>
                <w:color w:val="000000"/>
                <w:kern w:val="22"/>
                <w:sz w:val="22"/>
                <w:szCs w:val="22"/>
              </w:rPr>
              <w:t>Kirghizistan</w:t>
            </w:r>
          </w:p>
        </w:tc>
        <w:tc>
          <w:tcPr>
            <w:tcW w:w="1580" w:type="dxa"/>
            <w:tcBorders>
              <w:top w:val="nil"/>
              <w:left w:val="nil"/>
              <w:bottom w:val="single" w:sz="4" w:space="0" w:color="auto"/>
              <w:right w:val="single" w:sz="4" w:space="0" w:color="auto"/>
            </w:tcBorders>
            <w:shd w:val="clear" w:color="auto" w:fill="auto"/>
            <w:vAlign w:val="center"/>
            <w:hideMark/>
          </w:tcPr>
          <w:p w14:paraId="5463A71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0E0E3AB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52EEF650"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19897E3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75E6645" w14:textId="77777777" w:rsidR="00205EDC" w:rsidRPr="00DB24BC" w:rsidRDefault="00205EDC" w:rsidP="00CE5EBA">
            <w:pPr>
              <w:rPr>
                <w:color w:val="000000"/>
                <w:kern w:val="22"/>
                <w:sz w:val="22"/>
                <w:szCs w:val="22"/>
              </w:rPr>
            </w:pPr>
            <w:r w:rsidRPr="00DB24BC">
              <w:rPr>
                <w:color w:val="000000"/>
                <w:kern w:val="22"/>
                <w:sz w:val="22"/>
                <w:szCs w:val="22"/>
              </w:rPr>
              <w:t>Kiribati</w:t>
            </w:r>
          </w:p>
        </w:tc>
        <w:tc>
          <w:tcPr>
            <w:tcW w:w="1580" w:type="dxa"/>
            <w:tcBorders>
              <w:top w:val="nil"/>
              <w:left w:val="nil"/>
              <w:bottom w:val="single" w:sz="4" w:space="0" w:color="auto"/>
              <w:right w:val="single" w:sz="4" w:space="0" w:color="auto"/>
            </w:tcBorders>
            <w:shd w:val="clear" w:color="auto" w:fill="auto"/>
            <w:vAlign w:val="center"/>
            <w:hideMark/>
          </w:tcPr>
          <w:p w14:paraId="3B863BF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7B8010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90B174B"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630D123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ABC32B7" w14:textId="77777777" w:rsidR="00205EDC" w:rsidRPr="00DB24BC" w:rsidRDefault="00205EDC" w:rsidP="00CE5EBA">
            <w:pPr>
              <w:rPr>
                <w:color w:val="000000"/>
                <w:kern w:val="22"/>
                <w:sz w:val="22"/>
                <w:szCs w:val="22"/>
              </w:rPr>
            </w:pPr>
            <w:r w:rsidRPr="00DB24BC">
              <w:rPr>
                <w:color w:val="000000"/>
                <w:kern w:val="22"/>
                <w:sz w:val="22"/>
                <w:szCs w:val="22"/>
              </w:rPr>
              <w:t>Koweït</w:t>
            </w:r>
          </w:p>
        </w:tc>
        <w:tc>
          <w:tcPr>
            <w:tcW w:w="1580" w:type="dxa"/>
            <w:tcBorders>
              <w:top w:val="nil"/>
              <w:left w:val="nil"/>
              <w:bottom w:val="single" w:sz="4" w:space="0" w:color="auto"/>
              <w:right w:val="single" w:sz="4" w:space="0" w:color="auto"/>
            </w:tcBorders>
            <w:shd w:val="clear" w:color="auto" w:fill="auto"/>
            <w:vAlign w:val="center"/>
            <w:hideMark/>
          </w:tcPr>
          <w:p w14:paraId="30F2607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252 </w:t>
            </w:r>
          </w:p>
        </w:tc>
        <w:tc>
          <w:tcPr>
            <w:tcW w:w="1580" w:type="dxa"/>
            <w:tcBorders>
              <w:top w:val="nil"/>
              <w:left w:val="nil"/>
              <w:bottom w:val="single" w:sz="4" w:space="0" w:color="auto"/>
              <w:right w:val="single" w:sz="4" w:space="0" w:color="auto"/>
            </w:tcBorders>
            <w:shd w:val="clear" w:color="auto" w:fill="auto"/>
            <w:noWrap/>
            <w:vAlign w:val="center"/>
            <w:hideMark/>
          </w:tcPr>
          <w:p w14:paraId="5D6A66E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315 </w:t>
            </w:r>
          </w:p>
        </w:tc>
        <w:tc>
          <w:tcPr>
            <w:tcW w:w="1580" w:type="dxa"/>
            <w:tcBorders>
              <w:top w:val="nil"/>
              <w:left w:val="nil"/>
              <w:bottom w:val="single" w:sz="4" w:space="0" w:color="auto"/>
              <w:right w:val="single" w:sz="4" w:space="0" w:color="auto"/>
            </w:tcBorders>
            <w:shd w:val="clear" w:color="auto" w:fill="auto"/>
            <w:noWrap/>
            <w:vAlign w:val="center"/>
            <w:hideMark/>
          </w:tcPr>
          <w:p w14:paraId="55F9966F" w14:textId="77777777" w:rsidR="00205EDC" w:rsidRPr="00DB24BC" w:rsidRDefault="00205EDC" w:rsidP="00CE5EBA">
            <w:pPr>
              <w:jc w:val="right"/>
              <w:rPr>
                <w:color w:val="000000"/>
                <w:kern w:val="22"/>
                <w:sz w:val="22"/>
                <w:szCs w:val="22"/>
              </w:rPr>
            </w:pPr>
            <w:r w:rsidRPr="00DB24BC">
              <w:rPr>
                <w:color w:val="000000"/>
                <w:kern w:val="22"/>
                <w:sz w:val="22"/>
                <w:szCs w:val="22"/>
              </w:rPr>
              <w:t>34 604</w:t>
            </w:r>
          </w:p>
        </w:tc>
      </w:tr>
      <w:tr w:rsidR="00205EDC" w:rsidRPr="00DB24BC" w14:paraId="12DF2AB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780A56B" w14:textId="77777777" w:rsidR="00205EDC" w:rsidRPr="00DB24BC" w:rsidRDefault="00205EDC" w:rsidP="00CE5EBA">
            <w:pPr>
              <w:rPr>
                <w:color w:val="000000"/>
                <w:kern w:val="22"/>
                <w:sz w:val="22"/>
                <w:szCs w:val="22"/>
              </w:rPr>
            </w:pPr>
            <w:r w:rsidRPr="00DB24BC">
              <w:rPr>
                <w:color w:val="000000"/>
                <w:kern w:val="22"/>
                <w:sz w:val="22"/>
                <w:szCs w:val="22"/>
              </w:rPr>
              <w:t>Lesotho</w:t>
            </w:r>
          </w:p>
        </w:tc>
        <w:tc>
          <w:tcPr>
            <w:tcW w:w="1580" w:type="dxa"/>
            <w:tcBorders>
              <w:top w:val="nil"/>
              <w:left w:val="nil"/>
              <w:bottom w:val="single" w:sz="4" w:space="0" w:color="auto"/>
              <w:right w:val="single" w:sz="4" w:space="0" w:color="auto"/>
            </w:tcBorders>
            <w:shd w:val="clear" w:color="auto" w:fill="auto"/>
            <w:vAlign w:val="center"/>
            <w:hideMark/>
          </w:tcPr>
          <w:p w14:paraId="6D56C0C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342D7F8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0817E82"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7FD5FF0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676F1D2" w14:textId="77777777" w:rsidR="00205EDC" w:rsidRPr="00DB24BC" w:rsidRDefault="00205EDC" w:rsidP="00CE5EBA">
            <w:pPr>
              <w:rPr>
                <w:color w:val="000000"/>
                <w:kern w:val="22"/>
                <w:sz w:val="22"/>
                <w:szCs w:val="22"/>
              </w:rPr>
            </w:pPr>
            <w:r w:rsidRPr="00DB24BC">
              <w:rPr>
                <w:color w:val="000000"/>
                <w:kern w:val="22"/>
                <w:sz w:val="22"/>
                <w:szCs w:val="22"/>
              </w:rPr>
              <w:t>Lettonie</w:t>
            </w:r>
          </w:p>
        </w:tc>
        <w:tc>
          <w:tcPr>
            <w:tcW w:w="1580" w:type="dxa"/>
            <w:tcBorders>
              <w:top w:val="nil"/>
              <w:left w:val="nil"/>
              <w:bottom w:val="single" w:sz="4" w:space="0" w:color="auto"/>
              <w:right w:val="single" w:sz="4" w:space="0" w:color="auto"/>
            </w:tcBorders>
            <w:shd w:val="clear" w:color="auto" w:fill="auto"/>
            <w:vAlign w:val="center"/>
            <w:hideMark/>
          </w:tcPr>
          <w:p w14:paraId="6C27CD5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047 </w:t>
            </w:r>
          </w:p>
        </w:tc>
        <w:tc>
          <w:tcPr>
            <w:tcW w:w="1580" w:type="dxa"/>
            <w:tcBorders>
              <w:top w:val="nil"/>
              <w:left w:val="nil"/>
              <w:bottom w:val="single" w:sz="4" w:space="0" w:color="auto"/>
              <w:right w:val="single" w:sz="4" w:space="0" w:color="auto"/>
            </w:tcBorders>
            <w:shd w:val="clear" w:color="auto" w:fill="auto"/>
            <w:noWrap/>
            <w:vAlign w:val="center"/>
            <w:hideMark/>
          </w:tcPr>
          <w:p w14:paraId="4DFE854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059 </w:t>
            </w:r>
          </w:p>
        </w:tc>
        <w:tc>
          <w:tcPr>
            <w:tcW w:w="1580" w:type="dxa"/>
            <w:tcBorders>
              <w:top w:val="nil"/>
              <w:left w:val="nil"/>
              <w:bottom w:val="single" w:sz="4" w:space="0" w:color="auto"/>
              <w:right w:val="single" w:sz="4" w:space="0" w:color="auto"/>
            </w:tcBorders>
            <w:shd w:val="clear" w:color="auto" w:fill="auto"/>
            <w:noWrap/>
            <w:vAlign w:val="center"/>
            <w:hideMark/>
          </w:tcPr>
          <w:p w14:paraId="384D12C6" w14:textId="77777777" w:rsidR="00205EDC" w:rsidRPr="00DB24BC" w:rsidRDefault="00205EDC" w:rsidP="00CE5EBA">
            <w:pPr>
              <w:jc w:val="right"/>
              <w:rPr>
                <w:color w:val="000000"/>
                <w:kern w:val="22"/>
                <w:sz w:val="22"/>
                <w:szCs w:val="22"/>
              </w:rPr>
            </w:pPr>
            <w:r w:rsidRPr="00DB24BC">
              <w:rPr>
                <w:color w:val="000000"/>
                <w:kern w:val="22"/>
                <w:sz w:val="22"/>
                <w:szCs w:val="22"/>
              </w:rPr>
              <w:t>6 454</w:t>
            </w:r>
          </w:p>
        </w:tc>
      </w:tr>
      <w:tr w:rsidR="00205EDC" w:rsidRPr="00DB24BC" w14:paraId="193B428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FA6C714" w14:textId="77777777" w:rsidR="00205EDC" w:rsidRPr="00DB24BC" w:rsidRDefault="00205EDC" w:rsidP="00CE5EBA">
            <w:pPr>
              <w:rPr>
                <w:color w:val="000000"/>
                <w:kern w:val="22"/>
                <w:sz w:val="22"/>
                <w:szCs w:val="22"/>
              </w:rPr>
            </w:pPr>
            <w:r w:rsidRPr="00DB24BC">
              <w:rPr>
                <w:color w:val="000000"/>
                <w:kern w:val="22"/>
                <w:sz w:val="22"/>
                <w:szCs w:val="22"/>
              </w:rPr>
              <w:t>Liban</w:t>
            </w:r>
          </w:p>
        </w:tc>
        <w:tc>
          <w:tcPr>
            <w:tcW w:w="1580" w:type="dxa"/>
            <w:tcBorders>
              <w:top w:val="nil"/>
              <w:left w:val="nil"/>
              <w:bottom w:val="single" w:sz="4" w:space="0" w:color="auto"/>
              <w:right w:val="single" w:sz="4" w:space="0" w:color="auto"/>
            </w:tcBorders>
            <w:shd w:val="clear" w:color="auto" w:fill="auto"/>
            <w:vAlign w:val="center"/>
            <w:hideMark/>
          </w:tcPr>
          <w:p w14:paraId="4C30220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047 </w:t>
            </w:r>
          </w:p>
        </w:tc>
        <w:tc>
          <w:tcPr>
            <w:tcW w:w="1580" w:type="dxa"/>
            <w:tcBorders>
              <w:top w:val="nil"/>
              <w:left w:val="nil"/>
              <w:bottom w:val="single" w:sz="4" w:space="0" w:color="auto"/>
              <w:right w:val="single" w:sz="4" w:space="0" w:color="auto"/>
            </w:tcBorders>
            <w:shd w:val="clear" w:color="auto" w:fill="auto"/>
            <w:noWrap/>
            <w:vAlign w:val="center"/>
            <w:hideMark/>
          </w:tcPr>
          <w:p w14:paraId="6D95751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059 </w:t>
            </w:r>
          </w:p>
        </w:tc>
        <w:tc>
          <w:tcPr>
            <w:tcW w:w="1580" w:type="dxa"/>
            <w:tcBorders>
              <w:top w:val="nil"/>
              <w:left w:val="nil"/>
              <w:bottom w:val="single" w:sz="4" w:space="0" w:color="auto"/>
              <w:right w:val="single" w:sz="4" w:space="0" w:color="auto"/>
            </w:tcBorders>
            <w:shd w:val="clear" w:color="auto" w:fill="auto"/>
            <w:noWrap/>
            <w:vAlign w:val="center"/>
            <w:hideMark/>
          </w:tcPr>
          <w:p w14:paraId="19BA4023" w14:textId="77777777" w:rsidR="00205EDC" w:rsidRPr="00DB24BC" w:rsidRDefault="00205EDC" w:rsidP="00CE5EBA">
            <w:pPr>
              <w:jc w:val="right"/>
              <w:rPr>
                <w:color w:val="000000"/>
                <w:kern w:val="22"/>
                <w:sz w:val="22"/>
                <w:szCs w:val="22"/>
              </w:rPr>
            </w:pPr>
            <w:r w:rsidRPr="00DB24BC">
              <w:rPr>
                <w:color w:val="000000"/>
                <w:kern w:val="22"/>
                <w:sz w:val="22"/>
                <w:szCs w:val="22"/>
              </w:rPr>
              <w:t>6 454</w:t>
            </w:r>
          </w:p>
        </w:tc>
      </w:tr>
      <w:tr w:rsidR="00205EDC" w:rsidRPr="00DB24BC" w14:paraId="676861F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173F748" w14:textId="77777777" w:rsidR="00205EDC" w:rsidRPr="00DB24BC" w:rsidRDefault="00205EDC" w:rsidP="00CE5EBA">
            <w:pPr>
              <w:rPr>
                <w:color w:val="000000"/>
                <w:kern w:val="22"/>
                <w:sz w:val="22"/>
                <w:szCs w:val="22"/>
              </w:rPr>
            </w:pPr>
            <w:r w:rsidRPr="00DB24BC">
              <w:rPr>
                <w:color w:val="000000"/>
                <w:kern w:val="22"/>
                <w:sz w:val="22"/>
                <w:szCs w:val="22"/>
              </w:rPr>
              <w:t>Liberia</w:t>
            </w:r>
          </w:p>
        </w:tc>
        <w:tc>
          <w:tcPr>
            <w:tcW w:w="1580" w:type="dxa"/>
            <w:tcBorders>
              <w:top w:val="nil"/>
              <w:left w:val="nil"/>
              <w:bottom w:val="single" w:sz="4" w:space="0" w:color="auto"/>
              <w:right w:val="single" w:sz="4" w:space="0" w:color="auto"/>
            </w:tcBorders>
            <w:shd w:val="clear" w:color="auto" w:fill="auto"/>
            <w:vAlign w:val="center"/>
            <w:hideMark/>
          </w:tcPr>
          <w:p w14:paraId="28E24E8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CEACAC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6716625"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1C612F4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A8360B4" w14:textId="77777777" w:rsidR="00205EDC" w:rsidRPr="00DB24BC" w:rsidRDefault="00205EDC" w:rsidP="00CE5EBA">
            <w:pPr>
              <w:rPr>
                <w:color w:val="000000"/>
                <w:kern w:val="22"/>
                <w:sz w:val="22"/>
                <w:szCs w:val="22"/>
              </w:rPr>
            </w:pPr>
            <w:r w:rsidRPr="00DB24BC">
              <w:rPr>
                <w:color w:val="000000"/>
                <w:kern w:val="22"/>
                <w:sz w:val="22"/>
                <w:szCs w:val="22"/>
              </w:rPr>
              <w:t>Libye</w:t>
            </w:r>
          </w:p>
        </w:tc>
        <w:tc>
          <w:tcPr>
            <w:tcW w:w="1580" w:type="dxa"/>
            <w:tcBorders>
              <w:top w:val="nil"/>
              <w:left w:val="nil"/>
              <w:bottom w:val="single" w:sz="4" w:space="0" w:color="auto"/>
              <w:right w:val="single" w:sz="4" w:space="0" w:color="auto"/>
            </w:tcBorders>
            <w:shd w:val="clear" w:color="auto" w:fill="auto"/>
            <w:vAlign w:val="center"/>
            <w:hideMark/>
          </w:tcPr>
          <w:p w14:paraId="0D21ABA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030 </w:t>
            </w:r>
          </w:p>
        </w:tc>
        <w:tc>
          <w:tcPr>
            <w:tcW w:w="1580" w:type="dxa"/>
            <w:tcBorders>
              <w:top w:val="nil"/>
              <w:left w:val="nil"/>
              <w:bottom w:val="single" w:sz="4" w:space="0" w:color="auto"/>
              <w:right w:val="single" w:sz="4" w:space="0" w:color="auto"/>
            </w:tcBorders>
            <w:shd w:val="clear" w:color="auto" w:fill="auto"/>
            <w:noWrap/>
            <w:vAlign w:val="center"/>
            <w:hideMark/>
          </w:tcPr>
          <w:p w14:paraId="5FC35D2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038 </w:t>
            </w:r>
          </w:p>
        </w:tc>
        <w:tc>
          <w:tcPr>
            <w:tcW w:w="1580" w:type="dxa"/>
            <w:tcBorders>
              <w:top w:val="nil"/>
              <w:left w:val="nil"/>
              <w:bottom w:val="single" w:sz="4" w:space="0" w:color="auto"/>
              <w:right w:val="single" w:sz="4" w:space="0" w:color="auto"/>
            </w:tcBorders>
            <w:shd w:val="clear" w:color="auto" w:fill="auto"/>
            <w:noWrap/>
            <w:vAlign w:val="center"/>
            <w:hideMark/>
          </w:tcPr>
          <w:p w14:paraId="64DA0E3D" w14:textId="77777777" w:rsidR="00205EDC" w:rsidRPr="00DB24BC" w:rsidRDefault="00205EDC" w:rsidP="00CE5EBA">
            <w:pPr>
              <w:jc w:val="right"/>
              <w:rPr>
                <w:color w:val="000000"/>
                <w:kern w:val="22"/>
                <w:sz w:val="22"/>
                <w:szCs w:val="22"/>
              </w:rPr>
            </w:pPr>
            <w:r w:rsidRPr="00DB24BC">
              <w:rPr>
                <w:color w:val="000000"/>
                <w:kern w:val="22"/>
                <w:sz w:val="22"/>
                <w:szCs w:val="22"/>
              </w:rPr>
              <w:t>4 119</w:t>
            </w:r>
          </w:p>
        </w:tc>
      </w:tr>
      <w:tr w:rsidR="00205EDC" w:rsidRPr="00DB24BC" w14:paraId="7752B1F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75F6699" w14:textId="77777777" w:rsidR="00205EDC" w:rsidRPr="00DB24BC" w:rsidRDefault="00205EDC" w:rsidP="00CE5EBA">
            <w:pPr>
              <w:rPr>
                <w:color w:val="000000"/>
                <w:kern w:val="22"/>
                <w:sz w:val="22"/>
                <w:szCs w:val="22"/>
              </w:rPr>
            </w:pPr>
            <w:r w:rsidRPr="00DB24BC">
              <w:rPr>
                <w:color w:val="000000"/>
                <w:kern w:val="22"/>
                <w:sz w:val="22"/>
                <w:szCs w:val="22"/>
              </w:rPr>
              <w:t>Liechtenstein</w:t>
            </w:r>
          </w:p>
        </w:tc>
        <w:tc>
          <w:tcPr>
            <w:tcW w:w="1580" w:type="dxa"/>
            <w:tcBorders>
              <w:top w:val="nil"/>
              <w:left w:val="nil"/>
              <w:bottom w:val="single" w:sz="4" w:space="0" w:color="auto"/>
              <w:right w:val="single" w:sz="4" w:space="0" w:color="auto"/>
            </w:tcBorders>
            <w:shd w:val="clear" w:color="auto" w:fill="auto"/>
            <w:vAlign w:val="center"/>
            <w:hideMark/>
          </w:tcPr>
          <w:p w14:paraId="01EFD11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6834A96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011 </w:t>
            </w:r>
          </w:p>
        </w:tc>
        <w:tc>
          <w:tcPr>
            <w:tcW w:w="1580" w:type="dxa"/>
            <w:tcBorders>
              <w:top w:val="nil"/>
              <w:left w:val="nil"/>
              <w:bottom w:val="single" w:sz="4" w:space="0" w:color="auto"/>
              <w:right w:val="single" w:sz="4" w:space="0" w:color="auto"/>
            </w:tcBorders>
            <w:shd w:val="clear" w:color="auto" w:fill="auto"/>
            <w:noWrap/>
            <w:vAlign w:val="center"/>
            <w:hideMark/>
          </w:tcPr>
          <w:p w14:paraId="4753DD04" w14:textId="77777777" w:rsidR="00205EDC" w:rsidRPr="00DB24BC" w:rsidRDefault="00205EDC" w:rsidP="00CE5EBA">
            <w:pPr>
              <w:jc w:val="right"/>
              <w:rPr>
                <w:color w:val="000000"/>
                <w:kern w:val="22"/>
                <w:sz w:val="22"/>
                <w:szCs w:val="22"/>
              </w:rPr>
            </w:pPr>
            <w:r w:rsidRPr="00DB24BC">
              <w:rPr>
                <w:color w:val="000000"/>
                <w:kern w:val="22"/>
                <w:sz w:val="22"/>
                <w:szCs w:val="22"/>
              </w:rPr>
              <w:t>1 236</w:t>
            </w:r>
          </w:p>
        </w:tc>
      </w:tr>
      <w:tr w:rsidR="00205EDC" w:rsidRPr="00DB24BC" w14:paraId="1615495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A81ACC4" w14:textId="77777777" w:rsidR="00205EDC" w:rsidRPr="00DB24BC" w:rsidRDefault="00205EDC" w:rsidP="00CE5EBA">
            <w:pPr>
              <w:rPr>
                <w:color w:val="000000"/>
                <w:kern w:val="22"/>
                <w:sz w:val="22"/>
                <w:szCs w:val="22"/>
              </w:rPr>
            </w:pPr>
            <w:r w:rsidRPr="00DB24BC">
              <w:rPr>
                <w:color w:val="000000"/>
                <w:kern w:val="22"/>
                <w:sz w:val="22"/>
                <w:szCs w:val="22"/>
              </w:rPr>
              <w:t>Lituanie</w:t>
            </w:r>
          </w:p>
        </w:tc>
        <w:tc>
          <w:tcPr>
            <w:tcW w:w="1580" w:type="dxa"/>
            <w:tcBorders>
              <w:top w:val="nil"/>
              <w:left w:val="nil"/>
              <w:bottom w:val="single" w:sz="4" w:space="0" w:color="auto"/>
              <w:right w:val="single" w:sz="4" w:space="0" w:color="auto"/>
            </w:tcBorders>
            <w:shd w:val="clear" w:color="auto" w:fill="auto"/>
            <w:vAlign w:val="center"/>
            <w:hideMark/>
          </w:tcPr>
          <w:p w14:paraId="1BCDADD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071 </w:t>
            </w:r>
          </w:p>
        </w:tc>
        <w:tc>
          <w:tcPr>
            <w:tcW w:w="1580" w:type="dxa"/>
            <w:tcBorders>
              <w:top w:val="nil"/>
              <w:left w:val="nil"/>
              <w:bottom w:val="single" w:sz="4" w:space="0" w:color="auto"/>
              <w:right w:val="single" w:sz="4" w:space="0" w:color="auto"/>
            </w:tcBorders>
            <w:shd w:val="clear" w:color="auto" w:fill="auto"/>
            <w:noWrap/>
            <w:vAlign w:val="center"/>
            <w:hideMark/>
          </w:tcPr>
          <w:p w14:paraId="3C93451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089 </w:t>
            </w:r>
          </w:p>
        </w:tc>
        <w:tc>
          <w:tcPr>
            <w:tcW w:w="1580" w:type="dxa"/>
            <w:tcBorders>
              <w:top w:val="nil"/>
              <w:left w:val="nil"/>
              <w:bottom w:val="single" w:sz="4" w:space="0" w:color="auto"/>
              <w:right w:val="single" w:sz="4" w:space="0" w:color="auto"/>
            </w:tcBorders>
            <w:shd w:val="clear" w:color="auto" w:fill="auto"/>
            <w:noWrap/>
            <w:vAlign w:val="center"/>
            <w:hideMark/>
          </w:tcPr>
          <w:p w14:paraId="78CE1C01" w14:textId="77777777" w:rsidR="00205EDC" w:rsidRPr="00DB24BC" w:rsidRDefault="00205EDC" w:rsidP="00CE5EBA">
            <w:pPr>
              <w:jc w:val="right"/>
              <w:rPr>
                <w:color w:val="000000"/>
                <w:kern w:val="22"/>
                <w:sz w:val="22"/>
                <w:szCs w:val="22"/>
              </w:rPr>
            </w:pPr>
            <w:r w:rsidRPr="00DB24BC">
              <w:rPr>
                <w:color w:val="000000"/>
                <w:kern w:val="22"/>
                <w:sz w:val="22"/>
                <w:szCs w:val="22"/>
              </w:rPr>
              <w:t>9 749</w:t>
            </w:r>
          </w:p>
        </w:tc>
      </w:tr>
      <w:tr w:rsidR="00205EDC" w:rsidRPr="00DB24BC" w14:paraId="1E27BBC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9ABC641" w14:textId="77777777" w:rsidR="00205EDC" w:rsidRPr="00DB24BC" w:rsidRDefault="00205EDC" w:rsidP="00CE5EBA">
            <w:pPr>
              <w:rPr>
                <w:color w:val="000000"/>
                <w:kern w:val="22"/>
                <w:sz w:val="22"/>
                <w:szCs w:val="22"/>
              </w:rPr>
            </w:pPr>
            <w:r w:rsidRPr="00DB24BC">
              <w:rPr>
                <w:color w:val="000000"/>
                <w:kern w:val="22"/>
                <w:sz w:val="22"/>
                <w:szCs w:val="22"/>
              </w:rPr>
              <w:t>Luxembourg</w:t>
            </w:r>
          </w:p>
        </w:tc>
        <w:tc>
          <w:tcPr>
            <w:tcW w:w="1580" w:type="dxa"/>
            <w:tcBorders>
              <w:top w:val="nil"/>
              <w:left w:val="nil"/>
              <w:bottom w:val="single" w:sz="4" w:space="0" w:color="auto"/>
              <w:right w:val="single" w:sz="4" w:space="0" w:color="auto"/>
            </w:tcBorders>
            <w:shd w:val="clear" w:color="auto" w:fill="auto"/>
            <w:vAlign w:val="center"/>
            <w:hideMark/>
          </w:tcPr>
          <w:p w14:paraId="5DE18D2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067 </w:t>
            </w:r>
          </w:p>
        </w:tc>
        <w:tc>
          <w:tcPr>
            <w:tcW w:w="1580" w:type="dxa"/>
            <w:tcBorders>
              <w:top w:val="nil"/>
              <w:left w:val="nil"/>
              <w:bottom w:val="single" w:sz="4" w:space="0" w:color="auto"/>
              <w:right w:val="single" w:sz="4" w:space="0" w:color="auto"/>
            </w:tcBorders>
            <w:shd w:val="clear" w:color="auto" w:fill="auto"/>
            <w:noWrap/>
            <w:vAlign w:val="center"/>
            <w:hideMark/>
          </w:tcPr>
          <w:p w14:paraId="30F1977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084 </w:t>
            </w:r>
          </w:p>
        </w:tc>
        <w:tc>
          <w:tcPr>
            <w:tcW w:w="1580" w:type="dxa"/>
            <w:tcBorders>
              <w:top w:val="nil"/>
              <w:left w:val="nil"/>
              <w:bottom w:val="single" w:sz="4" w:space="0" w:color="auto"/>
              <w:right w:val="single" w:sz="4" w:space="0" w:color="auto"/>
            </w:tcBorders>
            <w:shd w:val="clear" w:color="auto" w:fill="auto"/>
            <w:noWrap/>
            <w:vAlign w:val="center"/>
            <w:hideMark/>
          </w:tcPr>
          <w:p w14:paraId="3F4D93B1" w14:textId="77777777" w:rsidR="00205EDC" w:rsidRPr="00DB24BC" w:rsidRDefault="00205EDC" w:rsidP="00CE5EBA">
            <w:pPr>
              <w:jc w:val="right"/>
              <w:rPr>
                <w:color w:val="000000"/>
                <w:kern w:val="22"/>
                <w:sz w:val="22"/>
                <w:szCs w:val="22"/>
              </w:rPr>
            </w:pPr>
            <w:r w:rsidRPr="00DB24BC">
              <w:rPr>
                <w:color w:val="000000"/>
                <w:kern w:val="22"/>
                <w:sz w:val="22"/>
                <w:szCs w:val="22"/>
              </w:rPr>
              <w:t>9 200</w:t>
            </w:r>
          </w:p>
        </w:tc>
      </w:tr>
      <w:tr w:rsidR="00205EDC" w:rsidRPr="00DB24BC" w14:paraId="6E74717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tcPr>
          <w:p w14:paraId="755A9568" w14:textId="77777777" w:rsidR="00205EDC" w:rsidRPr="00DB24BC" w:rsidRDefault="00205EDC" w:rsidP="00CE5EBA">
            <w:pPr>
              <w:rPr>
                <w:color w:val="000000"/>
                <w:kern w:val="22"/>
                <w:sz w:val="22"/>
                <w:szCs w:val="22"/>
              </w:rPr>
            </w:pPr>
            <w:r w:rsidRPr="00DB24BC">
              <w:rPr>
                <w:sz w:val="22"/>
                <w:szCs w:val="22"/>
              </w:rPr>
              <w:t>Macédoine du Nord</w:t>
            </w:r>
          </w:p>
        </w:tc>
        <w:tc>
          <w:tcPr>
            <w:tcW w:w="1580" w:type="dxa"/>
            <w:tcBorders>
              <w:top w:val="nil"/>
              <w:left w:val="nil"/>
              <w:bottom w:val="single" w:sz="4" w:space="0" w:color="auto"/>
              <w:right w:val="single" w:sz="4" w:space="0" w:color="auto"/>
            </w:tcBorders>
            <w:shd w:val="clear" w:color="auto" w:fill="auto"/>
            <w:vAlign w:val="center"/>
          </w:tcPr>
          <w:p w14:paraId="2F229CC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007 </w:t>
            </w:r>
          </w:p>
        </w:tc>
        <w:tc>
          <w:tcPr>
            <w:tcW w:w="1580" w:type="dxa"/>
            <w:tcBorders>
              <w:top w:val="nil"/>
              <w:left w:val="nil"/>
              <w:bottom w:val="single" w:sz="4" w:space="0" w:color="auto"/>
              <w:right w:val="single" w:sz="4" w:space="0" w:color="auto"/>
            </w:tcBorders>
            <w:shd w:val="clear" w:color="auto" w:fill="auto"/>
            <w:noWrap/>
            <w:vAlign w:val="center"/>
          </w:tcPr>
          <w:p w14:paraId="5DE4A08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tcPr>
          <w:p w14:paraId="26F05EE0" w14:textId="77777777" w:rsidR="00205EDC" w:rsidRPr="00DB24BC" w:rsidRDefault="00205EDC" w:rsidP="00CE5EBA">
            <w:pPr>
              <w:jc w:val="right"/>
              <w:rPr>
                <w:color w:val="000000"/>
                <w:kern w:val="22"/>
                <w:sz w:val="22"/>
                <w:szCs w:val="22"/>
              </w:rPr>
            </w:pPr>
            <w:r w:rsidRPr="00DB24BC">
              <w:rPr>
                <w:color w:val="000000"/>
                <w:kern w:val="22"/>
                <w:sz w:val="22"/>
                <w:szCs w:val="22"/>
              </w:rPr>
              <w:t>961</w:t>
            </w:r>
          </w:p>
        </w:tc>
      </w:tr>
      <w:tr w:rsidR="00205EDC" w:rsidRPr="00DB24BC" w14:paraId="0186990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430F37E" w14:textId="77777777" w:rsidR="00205EDC" w:rsidRPr="00DB24BC" w:rsidRDefault="00205EDC" w:rsidP="00CE5EBA">
            <w:pPr>
              <w:rPr>
                <w:color w:val="000000"/>
                <w:kern w:val="22"/>
                <w:sz w:val="22"/>
                <w:szCs w:val="22"/>
              </w:rPr>
            </w:pPr>
            <w:r w:rsidRPr="00DB24BC">
              <w:rPr>
                <w:color w:val="000000"/>
                <w:kern w:val="22"/>
                <w:sz w:val="22"/>
                <w:szCs w:val="22"/>
              </w:rPr>
              <w:t>Madagascar</w:t>
            </w:r>
          </w:p>
        </w:tc>
        <w:tc>
          <w:tcPr>
            <w:tcW w:w="1580" w:type="dxa"/>
            <w:tcBorders>
              <w:top w:val="nil"/>
              <w:left w:val="nil"/>
              <w:bottom w:val="single" w:sz="4" w:space="0" w:color="auto"/>
              <w:right w:val="single" w:sz="4" w:space="0" w:color="auto"/>
            </w:tcBorders>
            <w:shd w:val="clear" w:color="auto" w:fill="auto"/>
            <w:vAlign w:val="center"/>
            <w:hideMark/>
          </w:tcPr>
          <w:p w14:paraId="64F9CA9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5DDCF37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00741CEE" w14:textId="77777777" w:rsidR="00205EDC" w:rsidRPr="00DB24BC" w:rsidRDefault="00205EDC" w:rsidP="00CE5EBA">
            <w:pPr>
              <w:jc w:val="right"/>
              <w:rPr>
                <w:color w:val="000000"/>
                <w:kern w:val="22"/>
                <w:sz w:val="22"/>
                <w:szCs w:val="22"/>
              </w:rPr>
            </w:pPr>
            <w:r w:rsidRPr="00DB24BC">
              <w:rPr>
                <w:color w:val="000000"/>
                <w:kern w:val="22"/>
                <w:sz w:val="22"/>
                <w:szCs w:val="22"/>
              </w:rPr>
              <w:t>549</w:t>
            </w:r>
          </w:p>
        </w:tc>
      </w:tr>
      <w:tr w:rsidR="00205EDC" w:rsidRPr="00DB24BC" w14:paraId="19718B1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3A853DE" w14:textId="77777777" w:rsidR="00205EDC" w:rsidRPr="00DB24BC" w:rsidRDefault="00205EDC" w:rsidP="00CE5EBA">
            <w:pPr>
              <w:rPr>
                <w:color w:val="000000"/>
                <w:kern w:val="22"/>
                <w:sz w:val="22"/>
                <w:szCs w:val="22"/>
              </w:rPr>
            </w:pPr>
            <w:r w:rsidRPr="00DB24BC">
              <w:rPr>
                <w:color w:val="000000"/>
                <w:kern w:val="22"/>
                <w:sz w:val="22"/>
                <w:szCs w:val="22"/>
              </w:rPr>
              <w:t>Malaisie</w:t>
            </w:r>
          </w:p>
        </w:tc>
        <w:tc>
          <w:tcPr>
            <w:tcW w:w="1580" w:type="dxa"/>
            <w:tcBorders>
              <w:top w:val="nil"/>
              <w:left w:val="nil"/>
              <w:bottom w:val="single" w:sz="4" w:space="0" w:color="auto"/>
              <w:right w:val="single" w:sz="4" w:space="0" w:color="auto"/>
            </w:tcBorders>
            <w:shd w:val="clear" w:color="auto" w:fill="auto"/>
            <w:vAlign w:val="center"/>
            <w:hideMark/>
          </w:tcPr>
          <w:p w14:paraId="0BA639D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341 </w:t>
            </w:r>
          </w:p>
        </w:tc>
        <w:tc>
          <w:tcPr>
            <w:tcW w:w="1580" w:type="dxa"/>
            <w:tcBorders>
              <w:top w:val="nil"/>
              <w:left w:val="nil"/>
              <w:bottom w:val="single" w:sz="4" w:space="0" w:color="auto"/>
              <w:right w:val="single" w:sz="4" w:space="0" w:color="auto"/>
            </w:tcBorders>
            <w:shd w:val="clear" w:color="auto" w:fill="auto"/>
            <w:noWrap/>
            <w:vAlign w:val="center"/>
            <w:hideMark/>
          </w:tcPr>
          <w:p w14:paraId="03058B3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426 </w:t>
            </w:r>
          </w:p>
        </w:tc>
        <w:tc>
          <w:tcPr>
            <w:tcW w:w="1580" w:type="dxa"/>
            <w:tcBorders>
              <w:top w:val="nil"/>
              <w:left w:val="nil"/>
              <w:bottom w:val="single" w:sz="4" w:space="0" w:color="auto"/>
              <w:right w:val="single" w:sz="4" w:space="0" w:color="auto"/>
            </w:tcBorders>
            <w:shd w:val="clear" w:color="auto" w:fill="auto"/>
            <w:noWrap/>
            <w:vAlign w:val="center"/>
            <w:hideMark/>
          </w:tcPr>
          <w:p w14:paraId="06B99ABA" w14:textId="77777777" w:rsidR="00205EDC" w:rsidRPr="00DB24BC" w:rsidRDefault="00205EDC" w:rsidP="00CE5EBA">
            <w:pPr>
              <w:jc w:val="right"/>
              <w:rPr>
                <w:color w:val="000000"/>
                <w:kern w:val="22"/>
                <w:sz w:val="22"/>
                <w:szCs w:val="22"/>
              </w:rPr>
            </w:pPr>
            <w:r w:rsidRPr="00DB24BC">
              <w:rPr>
                <w:color w:val="000000"/>
                <w:kern w:val="22"/>
                <w:sz w:val="22"/>
                <w:szCs w:val="22"/>
              </w:rPr>
              <w:t>46 825</w:t>
            </w:r>
          </w:p>
        </w:tc>
      </w:tr>
      <w:tr w:rsidR="00205EDC" w:rsidRPr="00DB24BC" w14:paraId="69F0B07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3F16B9D" w14:textId="77777777" w:rsidR="00205EDC" w:rsidRPr="00DB24BC" w:rsidRDefault="00205EDC" w:rsidP="00CE5EBA">
            <w:pPr>
              <w:rPr>
                <w:color w:val="000000"/>
                <w:kern w:val="22"/>
                <w:sz w:val="22"/>
                <w:szCs w:val="22"/>
              </w:rPr>
            </w:pPr>
            <w:r w:rsidRPr="00DB24BC">
              <w:rPr>
                <w:color w:val="000000"/>
                <w:kern w:val="22"/>
                <w:sz w:val="22"/>
                <w:szCs w:val="22"/>
              </w:rPr>
              <w:t>Malawi</w:t>
            </w:r>
          </w:p>
        </w:tc>
        <w:tc>
          <w:tcPr>
            <w:tcW w:w="1580" w:type="dxa"/>
            <w:tcBorders>
              <w:top w:val="nil"/>
              <w:left w:val="nil"/>
              <w:bottom w:val="single" w:sz="4" w:space="0" w:color="auto"/>
              <w:right w:val="single" w:sz="4" w:space="0" w:color="auto"/>
            </w:tcBorders>
            <w:shd w:val="clear" w:color="auto" w:fill="auto"/>
            <w:vAlign w:val="center"/>
            <w:hideMark/>
          </w:tcPr>
          <w:p w14:paraId="4FBA47D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3861F85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2180EC29"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2369170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1AEC1B0" w14:textId="77777777" w:rsidR="00205EDC" w:rsidRPr="00DB24BC" w:rsidRDefault="00205EDC" w:rsidP="00CE5EBA">
            <w:pPr>
              <w:rPr>
                <w:color w:val="000000"/>
                <w:kern w:val="22"/>
                <w:sz w:val="22"/>
                <w:szCs w:val="22"/>
              </w:rPr>
            </w:pPr>
            <w:r w:rsidRPr="00DB24BC">
              <w:rPr>
                <w:color w:val="000000"/>
                <w:kern w:val="22"/>
                <w:sz w:val="22"/>
                <w:szCs w:val="22"/>
              </w:rPr>
              <w:t>Maldives</w:t>
            </w:r>
          </w:p>
        </w:tc>
        <w:tc>
          <w:tcPr>
            <w:tcW w:w="1580" w:type="dxa"/>
            <w:tcBorders>
              <w:top w:val="nil"/>
              <w:left w:val="nil"/>
              <w:bottom w:val="single" w:sz="4" w:space="0" w:color="auto"/>
              <w:right w:val="single" w:sz="4" w:space="0" w:color="auto"/>
            </w:tcBorders>
            <w:shd w:val="clear" w:color="auto" w:fill="auto"/>
            <w:vAlign w:val="center"/>
            <w:hideMark/>
          </w:tcPr>
          <w:p w14:paraId="38494B7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6EE0D57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426B24A1" w14:textId="77777777" w:rsidR="00205EDC" w:rsidRPr="00DB24BC" w:rsidRDefault="00205EDC" w:rsidP="00CE5EBA">
            <w:pPr>
              <w:jc w:val="right"/>
              <w:rPr>
                <w:color w:val="000000"/>
                <w:kern w:val="22"/>
                <w:sz w:val="22"/>
                <w:szCs w:val="22"/>
              </w:rPr>
            </w:pPr>
            <w:r w:rsidRPr="00DB24BC">
              <w:rPr>
                <w:color w:val="000000"/>
                <w:kern w:val="22"/>
                <w:sz w:val="22"/>
                <w:szCs w:val="22"/>
              </w:rPr>
              <w:t>549</w:t>
            </w:r>
          </w:p>
        </w:tc>
      </w:tr>
      <w:tr w:rsidR="00205EDC" w:rsidRPr="00DB24BC" w14:paraId="2B9239E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1A4EF30" w14:textId="77777777" w:rsidR="00205EDC" w:rsidRPr="00DB24BC" w:rsidRDefault="00205EDC" w:rsidP="00CE5EBA">
            <w:pPr>
              <w:rPr>
                <w:color w:val="000000"/>
                <w:kern w:val="22"/>
                <w:sz w:val="22"/>
                <w:szCs w:val="22"/>
              </w:rPr>
            </w:pPr>
            <w:r w:rsidRPr="00DB24BC">
              <w:rPr>
                <w:color w:val="000000"/>
                <w:kern w:val="22"/>
                <w:sz w:val="22"/>
                <w:szCs w:val="22"/>
              </w:rPr>
              <w:t>Mali</w:t>
            </w:r>
          </w:p>
        </w:tc>
        <w:tc>
          <w:tcPr>
            <w:tcW w:w="1580" w:type="dxa"/>
            <w:tcBorders>
              <w:top w:val="nil"/>
              <w:left w:val="nil"/>
              <w:bottom w:val="single" w:sz="4" w:space="0" w:color="auto"/>
              <w:right w:val="single" w:sz="4" w:space="0" w:color="auto"/>
            </w:tcBorders>
            <w:shd w:val="clear" w:color="auto" w:fill="auto"/>
            <w:vAlign w:val="center"/>
            <w:hideMark/>
          </w:tcPr>
          <w:p w14:paraId="7F78CC2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583C7AC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233E6415" w14:textId="77777777" w:rsidR="00205EDC" w:rsidRPr="00DB24BC" w:rsidRDefault="00205EDC" w:rsidP="00CE5EBA">
            <w:pPr>
              <w:jc w:val="right"/>
              <w:rPr>
                <w:color w:val="000000"/>
                <w:kern w:val="22"/>
                <w:sz w:val="22"/>
                <w:szCs w:val="22"/>
              </w:rPr>
            </w:pPr>
            <w:r w:rsidRPr="00DB24BC">
              <w:rPr>
                <w:color w:val="000000"/>
                <w:kern w:val="22"/>
                <w:sz w:val="22"/>
                <w:szCs w:val="22"/>
              </w:rPr>
              <w:t>549</w:t>
            </w:r>
          </w:p>
        </w:tc>
      </w:tr>
      <w:tr w:rsidR="00205EDC" w:rsidRPr="00DB24BC" w14:paraId="6C783C0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3C4C05E" w14:textId="77777777" w:rsidR="00205EDC" w:rsidRPr="00DB24BC" w:rsidRDefault="00205EDC" w:rsidP="00CE5EBA">
            <w:pPr>
              <w:rPr>
                <w:color w:val="000000"/>
                <w:kern w:val="22"/>
                <w:sz w:val="22"/>
                <w:szCs w:val="22"/>
              </w:rPr>
            </w:pPr>
            <w:r w:rsidRPr="00DB24BC">
              <w:rPr>
                <w:color w:val="000000"/>
                <w:kern w:val="22"/>
                <w:sz w:val="22"/>
                <w:szCs w:val="22"/>
              </w:rPr>
              <w:t>Malte</w:t>
            </w:r>
          </w:p>
        </w:tc>
        <w:tc>
          <w:tcPr>
            <w:tcW w:w="1580" w:type="dxa"/>
            <w:tcBorders>
              <w:top w:val="nil"/>
              <w:left w:val="nil"/>
              <w:bottom w:val="single" w:sz="4" w:space="0" w:color="auto"/>
              <w:right w:val="single" w:sz="4" w:space="0" w:color="auto"/>
            </w:tcBorders>
            <w:shd w:val="clear" w:color="auto" w:fill="auto"/>
            <w:vAlign w:val="center"/>
            <w:hideMark/>
          </w:tcPr>
          <w:p w14:paraId="4E14A16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017 </w:t>
            </w:r>
          </w:p>
        </w:tc>
        <w:tc>
          <w:tcPr>
            <w:tcW w:w="1580" w:type="dxa"/>
            <w:tcBorders>
              <w:top w:val="nil"/>
              <w:left w:val="nil"/>
              <w:bottom w:val="single" w:sz="4" w:space="0" w:color="auto"/>
              <w:right w:val="single" w:sz="4" w:space="0" w:color="auto"/>
            </w:tcBorders>
            <w:shd w:val="clear" w:color="auto" w:fill="auto"/>
            <w:noWrap/>
            <w:vAlign w:val="center"/>
            <w:hideMark/>
          </w:tcPr>
          <w:p w14:paraId="087FC7C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021 </w:t>
            </w:r>
          </w:p>
        </w:tc>
        <w:tc>
          <w:tcPr>
            <w:tcW w:w="1580" w:type="dxa"/>
            <w:tcBorders>
              <w:top w:val="nil"/>
              <w:left w:val="nil"/>
              <w:bottom w:val="single" w:sz="4" w:space="0" w:color="auto"/>
              <w:right w:val="single" w:sz="4" w:space="0" w:color="auto"/>
            </w:tcBorders>
            <w:shd w:val="clear" w:color="auto" w:fill="auto"/>
            <w:noWrap/>
            <w:vAlign w:val="center"/>
            <w:hideMark/>
          </w:tcPr>
          <w:p w14:paraId="2920DAD7" w14:textId="77777777" w:rsidR="00205EDC" w:rsidRPr="00DB24BC" w:rsidRDefault="00205EDC" w:rsidP="00CE5EBA">
            <w:pPr>
              <w:jc w:val="right"/>
              <w:rPr>
                <w:color w:val="000000"/>
                <w:kern w:val="22"/>
                <w:sz w:val="22"/>
                <w:szCs w:val="22"/>
              </w:rPr>
            </w:pPr>
            <w:r w:rsidRPr="00DB24BC">
              <w:rPr>
                <w:color w:val="000000"/>
                <w:kern w:val="22"/>
                <w:sz w:val="22"/>
                <w:szCs w:val="22"/>
              </w:rPr>
              <w:t>2 334</w:t>
            </w:r>
          </w:p>
        </w:tc>
      </w:tr>
      <w:tr w:rsidR="00205EDC" w:rsidRPr="00DB24BC" w14:paraId="40BCDFF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BA2BA4B" w14:textId="77777777" w:rsidR="00205EDC" w:rsidRPr="00DB24BC" w:rsidRDefault="00205EDC" w:rsidP="00CE5EBA">
            <w:pPr>
              <w:rPr>
                <w:color w:val="000000"/>
                <w:kern w:val="22"/>
                <w:sz w:val="22"/>
                <w:szCs w:val="22"/>
              </w:rPr>
            </w:pPr>
            <w:r w:rsidRPr="00DB24BC">
              <w:rPr>
                <w:sz w:val="22"/>
                <w:szCs w:val="22"/>
              </w:rPr>
              <w:t>Maroc</w:t>
            </w:r>
          </w:p>
        </w:tc>
        <w:tc>
          <w:tcPr>
            <w:tcW w:w="1580" w:type="dxa"/>
            <w:tcBorders>
              <w:top w:val="nil"/>
              <w:left w:val="nil"/>
              <w:bottom w:val="single" w:sz="4" w:space="0" w:color="auto"/>
              <w:right w:val="single" w:sz="4" w:space="0" w:color="auto"/>
            </w:tcBorders>
            <w:shd w:val="clear" w:color="auto" w:fill="auto"/>
            <w:vAlign w:val="center"/>
            <w:hideMark/>
          </w:tcPr>
          <w:p w14:paraId="0CD1B77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055 </w:t>
            </w:r>
          </w:p>
        </w:tc>
        <w:tc>
          <w:tcPr>
            <w:tcW w:w="1580" w:type="dxa"/>
            <w:tcBorders>
              <w:top w:val="nil"/>
              <w:left w:val="nil"/>
              <w:bottom w:val="single" w:sz="4" w:space="0" w:color="auto"/>
              <w:right w:val="single" w:sz="4" w:space="0" w:color="auto"/>
            </w:tcBorders>
            <w:shd w:val="clear" w:color="auto" w:fill="auto"/>
            <w:noWrap/>
            <w:vAlign w:val="center"/>
            <w:hideMark/>
          </w:tcPr>
          <w:p w14:paraId="647869D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069 </w:t>
            </w:r>
          </w:p>
        </w:tc>
        <w:tc>
          <w:tcPr>
            <w:tcW w:w="1580" w:type="dxa"/>
            <w:tcBorders>
              <w:top w:val="nil"/>
              <w:left w:val="nil"/>
              <w:bottom w:val="single" w:sz="4" w:space="0" w:color="auto"/>
              <w:right w:val="single" w:sz="4" w:space="0" w:color="auto"/>
            </w:tcBorders>
            <w:shd w:val="clear" w:color="auto" w:fill="auto"/>
            <w:noWrap/>
            <w:vAlign w:val="center"/>
            <w:hideMark/>
          </w:tcPr>
          <w:p w14:paraId="7A80F827" w14:textId="77777777" w:rsidR="00205EDC" w:rsidRPr="00DB24BC" w:rsidRDefault="00205EDC" w:rsidP="00CE5EBA">
            <w:pPr>
              <w:jc w:val="right"/>
              <w:rPr>
                <w:color w:val="000000"/>
                <w:kern w:val="22"/>
                <w:sz w:val="22"/>
                <w:szCs w:val="22"/>
              </w:rPr>
            </w:pPr>
            <w:r w:rsidRPr="00DB24BC">
              <w:rPr>
                <w:color w:val="000000"/>
                <w:kern w:val="22"/>
                <w:sz w:val="22"/>
                <w:szCs w:val="22"/>
              </w:rPr>
              <w:t>7 552</w:t>
            </w:r>
          </w:p>
        </w:tc>
      </w:tr>
      <w:tr w:rsidR="00205EDC" w:rsidRPr="00DB24BC" w14:paraId="1CE31B8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8E8BA82" w14:textId="77777777" w:rsidR="00205EDC" w:rsidRPr="00DB24BC" w:rsidRDefault="00205EDC" w:rsidP="00CE5EBA">
            <w:pPr>
              <w:rPr>
                <w:color w:val="000000"/>
                <w:kern w:val="22"/>
                <w:sz w:val="22"/>
                <w:szCs w:val="22"/>
              </w:rPr>
            </w:pPr>
            <w:r w:rsidRPr="00DB24BC">
              <w:rPr>
                <w:color w:val="000000"/>
                <w:kern w:val="22"/>
                <w:sz w:val="22"/>
                <w:szCs w:val="22"/>
              </w:rPr>
              <w:t>Maurice</w:t>
            </w:r>
          </w:p>
        </w:tc>
        <w:tc>
          <w:tcPr>
            <w:tcW w:w="1580" w:type="dxa"/>
            <w:tcBorders>
              <w:top w:val="nil"/>
              <w:left w:val="nil"/>
              <w:bottom w:val="single" w:sz="4" w:space="0" w:color="auto"/>
              <w:right w:val="single" w:sz="4" w:space="0" w:color="auto"/>
            </w:tcBorders>
            <w:shd w:val="clear" w:color="auto" w:fill="auto"/>
            <w:vAlign w:val="center"/>
            <w:hideMark/>
          </w:tcPr>
          <w:p w14:paraId="0347D46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011 </w:t>
            </w:r>
          </w:p>
        </w:tc>
        <w:tc>
          <w:tcPr>
            <w:tcW w:w="1580" w:type="dxa"/>
            <w:tcBorders>
              <w:top w:val="nil"/>
              <w:left w:val="nil"/>
              <w:bottom w:val="single" w:sz="4" w:space="0" w:color="auto"/>
              <w:right w:val="single" w:sz="4" w:space="0" w:color="auto"/>
            </w:tcBorders>
            <w:shd w:val="clear" w:color="auto" w:fill="auto"/>
            <w:noWrap/>
            <w:vAlign w:val="center"/>
            <w:hideMark/>
          </w:tcPr>
          <w:p w14:paraId="75AC890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014 </w:t>
            </w:r>
          </w:p>
        </w:tc>
        <w:tc>
          <w:tcPr>
            <w:tcW w:w="1580" w:type="dxa"/>
            <w:tcBorders>
              <w:top w:val="nil"/>
              <w:left w:val="nil"/>
              <w:bottom w:val="single" w:sz="4" w:space="0" w:color="auto"/>
              <w:right w:val="single" w:sz="4" w:space="0" w:color="auto"/>
            </w:tcBorders>
            <w:shd w:val="clear" w:color="auto" w:fill="auto"/>
            <w:noWrap/>
            <w:vAlign w:val="center"/>
            <w:hideMark/>
          </w:tcPr>
          <w:p w14:paraId="77128772" w14:textId="77777777" w:rsidR="00205EDC" w:rsidRPr="00DB24BC" w:rsidRDefault="00205EDC" w:rsidP="00CE5EBA">
            <w:pPr>
              <w:jc w:val="right"/>
              <w:rPr>
                <w:color w:val="000000"/>
                <w:kern w:val="22"/>
                <w:sz w:val="22"/>
                <w:szCs w:val="22"/>
              </w:rPr>
            </w:pPr>
            <w:r w:rsidRPr="00DB24BC">
              <w:rPr>
                <w:color w:val="000000"/>
                <w:kern w:val="22"/>
                <w:sz w:val="22"/>
                <w:szCs w:val="22"/>
              </w:rPr>
              <w:t>1 510</w:t>
            </w:r>
          </w:p>
        </w:tc>
      </w:tr>
      <w:tr w:rsidR="00205EDC" w:rsidRPr="00DB24BC" w14:paraId="7C70410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FA3A7F0" w14:textId="77777777" w:rsidR="00205EDC" w:rsidRPr="00DB24BC" w:rsidRDefault="00205EDC" w:rsidP="00CE5EBA">
            <w:pPr>
              <w:rPr>
                <w:color w:val="000000"/>
                <w:kern w:val="22"/>
                <w:sz w:val="22"/>
                <w:szCs w:val="22"/>
              </w:rPr>
            </w:pPr>
            <w:r w:rsidRPr="00DB24BC">
              <w:rPr>
                <w:color w:val="000000"/>
                <w:kern w:val="22"/>
                <w:sz w:val="22"/>
                <w:szCs w:val="22"/>
              </w:rPr>
              <w:t>Mauritanie</w:t>
            </w:r>
          </w:p>
        </w:tc>
        <w:tc>
          <w:tcPr>
            <w:tcW w:w="1580" w:type="dxa"/>
            <w:tcBorders>
              <w:top w:val="nil"/>
              <w:left w:val="nil"/>
              <w:bottom w:val="single" w:sz="4" w:space="0" w:color="auto"/>
              <w:right w:val="single" w:sz="4" w:space="0" w:color="auto"/>
            </w:tcBorders>
            <w:shd w:val="clear" w:color="auto" w:fill="auto"/>
            <w:vAlign w:val="center"/>
            <w:hideMark/>
          </w:tcPr>
          <w:p w14:paraId="546E8E3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30536AC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0B349CCE"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4CABB7D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97AD013" w14:textId="77777777" w:rsidR="00205EDC" w:rsidRPr="00DB24BC" w:rsidRDefault="00205EDC" w:rsidP="00CE5EBA">
            <w:pPr>
              <w:rPr>
                <w:color w:val="000000"/>
                <w:kern w:val="22"/>
                <w:sz w:val="22"/>
                <w:szCs w:val="22"/>
              </w:rPr>
            </w:pPr>
            <w:r w:rsidRPr="00DB24BC">
              <w:rPr>
                <w:sz w:val="22"/>
                <w:szCs w:val="22"/>
              </w:rPr>
              <w:t>Mexique</w:t>
            </w:r>
          </w:p>
        </w:tc>
        <w:tc>
          <w:tcPr>
            <w:tcW w:w="1580" w:type="dxa"/>
            <w:tcBorders>
              <w:top w:val="nil"/>
              <w:left w:val="nil"/>
              <w:bottom w:val="single" w:sz="4" w:space="0" w:color="auto"/>
              <w:right w:val="single" w:sz="4" w:space="0" w:color="auto"/>
            </w:tcBorders>
            <w:shd w:val="clear" w:color="auto" w:fill="auto"/>
            <w:vAlign w:val="center"/>
            <w:hideMark/>
          </w:tcPr>
          <w:p w14:paraId="778D6DE6"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292 </w:t>
            </w:r>
          </w:p>
        </w:tc>
        <w:tc>
          <w:tcPr>
            <w:tcW w:w="1580" w:type="dxa"/>
            <w:tcBorders>
              <w:top w:val="nil"/>
              <w:left w:val="nil"/>
              <w:bottom w:val="single" w:sz="4" w:space="0" w:color="auto"/>
              <w:right w:val="single" w:sz="4" w:space="0" w:color="auto"/>
            </w:tcBorders>
            <w:shd w:val="clear" w:color="auto" w:fill="auto"/>
            <w:noWrap/>
            <w:vAlign w:val="center"/>
            <w:hideMark/>
          </w:tcPr>
          <w:p w14:paraId="07BDFA48"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615 </w:t>
            </w:r>
          </w:p>
        </w:tc>
        <w:tc>
          <w:tcPr>
            <w:tcW w:w="1580" w:type="dxa"/>
            <w:tcBorders>
              <w:top w:val="nil"/>
              <w:left w:val="nil"/>
              <w:bottom w:val="single" w:sz="4" w:space="0" w:color="auto"/>
              <w:right w:val="single" w:sz="4" w:space="0" w:color="auto"/>
            </w:tcBorders>
            <w:shd w:val="clear" w:color="auto" w:fill="auto"/>
            <w:noWrap/>
            <w:vAlign w:val="center"/>
            <w:hideMark/>
          </w:tcPr>
          <w:p w14:paraId="1E375B06" w14:textId="77777777" w:rsidR="00205EDC" w:rsidRPr="00DB24BC" w:rsidRDefault="00205EDC" w:rsidP="00CE5EBA">
            <w:pPr>
              <w:jc w:val="right"/>
              <w:rPr>
                <w:color w:val="000000"/>
                <w:kern w:val="22"/>
                <w:sz w:val="22"/>
                <w:szCs w:val="22"/>
              </w:rPr>
            </w:pPr>
            <w:r w:rsidRPr="00DB24BC">
              <w:rPr>
                <w:color w:val="000000"/>
                <w:kern w:val="22"/>
                <w:sz w:val="22"/>
                <w:szCs w:val="22"/>
              </w:rPr>
              <w:t>177 412</w:t>
            </w:r>
          </w:p>
        </w:tc>
      </w:tr>
      <w:tr w:rsidR="00205EDC" w:rsidRPr="00DB24BC" w14:paraId="1B6986B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2B98C72" w14:textId="77777777" w:rsidR="00205EDC" w:rsidRPr="00DB24BC" w:rsidRDefault="00205EDC" w:rsidP="00CE5EBA">
            <w:pPr>
              <w:rPr>
                <w:color w:val="000000"/>
                <w:kern w:val="22"/>
                <w:sz w:val="22"/>
                <w:szCs w:val="22"/>
              </w:rPr>
            </w:pPr>
            <w:r w:rsidRPr="00DB24BC">
              <w:rPr>
                <w:sz w:val="22"/>
                <w:szCs w:val="22"/>
              </w:rPr>
              <w:t>Micronésie (États fédérés de)</w:t>
            </w:r>
          </w:p>
        </w:tc>
        <w:tc>
          <w:tcPr>
            <w:tcW w:w="1580" w:type="dxa"/>
            <w:tcBorders>
              <w:top w:val="nil"/>
              <w:left w:val="nil"/>
              <w:bottom w:val="single" w:sz="4" w:space="0" w:color="auto"/>
              <w:right w:val="single" w:sz="4" w:space="0" w:color="auto"/>
            </w:tcBorders>
            <w:shd w:val="clear" w:color="auto" w:fill="auto"/>
            <w:vAlign w:val="center"/>
            <w:hideMark/>
          </w:tcPr>
          <w:p w14:paraId="534DF89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7146600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33DF5FC3"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226709C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A611FC0" w14:textId="77777777" w:rsidR="00205EDC" w:rsidRPr="00DB24BC" w:rsidRDefault="00205EDC" w:rsidP="00CE5EBA">
            <w:pPr>
              <w:rPr>
                <w:color w:val="000000"/>
                <w:kern w:val="22"/>
                <w:sz w:val="22"/>
                <w:szCs w:val="22"/>
              </w:rPr>
            </w:pPr>
            <w:r w:rsidRPr="00DB24BC">
              <w:rPr>
                <w:sz w:val="22"/>
                <w:szCs w:val="22"/>
              </w:rPr>
              <w:t>Monaco</w:t>
            </w:r>
          </w:p>
        </w:tc>
        <w:tc>
          <w:tcPr>
            <w:tcW w:w="1580" w:type="dxa"/>
            <w:tcBorders>
              <w:top w:val="nil"/>
              <w:left w:val="nil"/>
              <w:bottom w:val="single" w:sz="4" w:space="0" w:color="auto"/>
              <w:right w:val="single" w:sz="4" w:space="0" w:color="auto"/>
            </w:tcBorders>
            <w:shd w:val="clear" w:color="auto" w:fill="auto"/>
            <w:vAlign w:val="center"/>
            <w:hideMark/>
          </w:tcPr>
          <w:p w14:paraId="3B0BCE5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011 </w:t>
            </w:r>
          </w:p>
        </w:tc>
        <w:tc>
          <w:tcPr>
            <w:tcW w:w="1580" w:type="dxa"/>
            <w:tcBorders>
              <w:top w:val="nil"/>
              <w:left w:val="nil"/>
              <w:bottom w:val="single" w:sz="4" w:space="0" w:color="auto"/>
              <w:right w:val="single" w:sz="4" w:space="0" w:color="auto"/>
            </w:tcBorders>
            <w:shd w:val="clear" w:color="auto" w:fill="auto"/>
            <w:noWrap/>
            <w:vAlign w:val="center"/>
            <w:hideMark/>
          </w:tcPr>
          <w:p w14:paraId="4EF86F7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014 </w:t>
            </w:r>
          </w:p>
        </w:tc>
        <w:tc>
          <w:tcPr>
            <w:tcW w:w="1580" w:type="dxa"/>
            <w:tcBorders>
              <w:top w:val="nil"/>
              <w:left w:val="nil"/>
              <w:bottom w:val="single" w:sz="4" w:space="0" w:color="auto"/>
              <w:right w:val="single" w:sz="4" w:space="0" w:color="auto"/>
            </w:tcBorders>
            <w:shd w:val="clear" w:color="auto" w:fill="auto"/>
            <w:noWrap/>
            <w:vAlign w:val="center"/>
            <w:hideMark/>
          </w:tcPr>
          <w:p w14:paraId="2BD841F4" w14:textId="77777777" w:rsidR="00205EDC" w:rsidRPr="00DB24BC" w:rsidRDefault="00205EDC" w:rsidP="00CE5EBA">
            <w:pPr>
              <w:jc w:val="right"/>
              <w:rPr>
                <w:color w:val="000000"/>
                <w:kern w:val="22"/>
                <w:sz w:val="22"/>
                <w:szCs w:val="22"/>
              </w:rPr>
            </w:pPr>
            <w:r w:rsidRPr="00DB24BC">
              <w:rPr>
                <w:color w:val="000000"/>
                <w:kern w:val="22"/>
                <w:sz w:val="22"/>
                <w:szCs w:val="22"/>
              </w:rPr>
              <w:t>1 510</w:t>
            </w:r>
          </w:p>
        </w:tc>
      </w:tr>
      <w:tr w:rsidR="00205EDC" w:rsidRPr="00DB24BC" w14:paraId="75384FF9"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5EFE758" w14:textId="77777777" w:rsidR="00205EDC" w:rsidRPr="00DB24BC" w:rsidRDefault="00205EDC" w:rsidP="00CE5EBA">
            <w:pPr>
              <w:rPr>
                <w:color w:val="000000"/>
                <w:kern w:val="22"/>
                <w:sz w:val="22"/>
                <w:szCs w:val="22"/>
              </w:rPr>
            </w:pPr>
            <w:r w:rsidRPr="00DB24BC">
              <w:rPr>
                <w:sz w:val="22"/>
                <w:szCs w:val="22"/>
              </w:rPr>
              <w:t>Mongolie</w:t>
            </w:r>
          </w:p>
        </w:tc>
        <w:tc>
          <w:tcPr>
            <w:tcW w:w="1580" w:type="dxa"/>
            <w:tcBorders>
              <w:top w:val="nil"/>
              <w:left w:val="nil"/>
              <w:bottom w:val="single" w:sz="4" w:space="0" w:color="auto"/>
              <w:right w:val="single" w:sz="4" w:space="0" w:color="auto"/>
            </w:tcBorders>
            <w:shd w:val="clear" w:color="auto" w:fill="auto"/>
            <w:vAlign w:val="center"/>
            <w:hideMark/>
          </w:tcPr>
          <w:p w14:paraId="3F8B0E0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54A72F4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2CCDFB8E" w14:textId="77777777" w:rsidR="00205EDC" w:rsidRPr="00DB24BC" w:rsidRDefault="00205EDC" w:rsidP="00CE5EBA">
            <w:pPr>
              <w:jc w:val="right"/>
              <w:rPr>
                <w:color w:val="000000"/>
                <w:kern w:val="22"/>
                <w:sz w:val="22"/>
                <w:szCs w:val="22"/>
              </w:rPr>
            </w:pPr>
            <w:r w:rsidRPr="00DB24BC">
              <w:rPr>
                <w:color w:val="000000"/>
                <w:kern w:val="22"/>
                <w:sz w:val="22"/>
                <w:szCs w:val="22"/>
              </w:rPr>
              <w:t>687</w:t>
            </w:r>
          </w:p>
        </w:tc>
      </w:tr>
      <w:tr w:rsidR="00205EDC" w:rsidRPr="00DB24BC" w14:paraId="6244A44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C60F80D" w14:textId="77777777" w:rsidR="00205EDC" w:rsidRPr="00DB24BC" w:rsidRDefault="00205EDC" w:rsidP="00CE5EBA">
            <w:pPr>
              <w:rPr>
                <w:color w:val="000000"/>
                <w:kern w:val="22"/>
                <w:sz w:val="22"/>
                <w:szCs w:val="22"/>
              </w:rPr>
            </w:pPr>
            <w:r w:rsidRPr="00DB24BC">
              <w:rPr>
                <w:sz w:val="22"/>
                <w:szCs w:val="22"/>
              </w:rPr>
              <w:t>Monténégro</w:t>
            </w:r>
          </w:p>
        </w:tc>
        <w:tc>
          <w:tcPr>
            <w:tcW w:w="1580" w:type="dxa"/>
            <w:tcBorders>
              <w:top w:val="nil"/>
              <w:left w:val="nil"/>
              <w:bottom w:val="single" w:sz="4" w:space="0" w:color="auto"/>
              <w:right w:val="single" w:sz="4" w:space="0" w:color="auto"/>
            </w:tcBorders>
            <w:shd w:val="clear" w:color="auto" w:fill="auto"/>
            <w:vAlign w:val="center"/>
            <w:hideMark/>
          </w:tcPr>
          <w:p w14:paraId="7F18B01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7129148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5004C69F" w14:textId="77777777" w:rsidR="00205EDC" w:rsidRPr="00DB24BC" w:rsidRDefault="00205EDC" w:rsidP="00CE5EBA">
            <w:pPr>
              <w:jc w:val="right"/>
              <w:rPr>
                <w:color w:val="000000"/>
                <w:kern w:val="22"/>
                <w:sz w:val="22"/>
                <w:szCs w:val="22"/>
              </w:rPr>
            </w:pPr>
            <w:r w:rsidRPr="00DB24BC">
              <w:rPr>
                <w:color w:val="000000"/>
                <w:kern w:val="22"/>
                <w:sz w:val="22"/>
                <w:szCs w:val="22"/>
              </w:rPr>
              <w:t>549</w:t>
            </w:r>
          </w:p>
        </w:tc>
      </w:tr>
      <w:tr w:rsidR="00205EDC" w:rsidRPr="00DB24BC" w14:paraId="526DD59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E5FA59D" w14:textId="77777777" w:rsidR="00205EDC" w:rsidRPr="00DB24BC" w:rsidRDefault="00205EDC" w:rsidP="00CE5EBA">
            <w:pPr>
              <w:rPr>
                <w:color w:val="000000"/>
                <w:kern w:val="22"/>
                <w:sz w:val="22"/>
                <w:szCs w:val="22"/>
              </w:rPr>
            </w:pPr>
            <w:r w:rsidRPr="00DB24BC">
              <w:rPr>
                <w:sz w:val="22"/>
                <w:szCs w:val="22"/>
              </w:rPr>
              <w:t>Mozambique</w:t>
            </w:r>
          </w:p>
        </w:tc>
        <w:tc>
          <w:tcPr>
            <w:tcW w:w="1580" w:type="dxa"/>
            <w:tcBorders>
              <w:top w:val="nil"/>
              <w:left w:val="nil"/>
              <w:bottom w:val="single" w:sz="4" w:space="0" w:color="auto"/>
              <w:right w:val="single" w:sz="4" w:space="0" w:color="auto"/>
            </w:tcBorders>
            <w:shd w:val="clear" w:color="auto" w:fill="auto"/>
            <w:vAlign w:val="center"/>
            <w:hideMark/>
          </w:tcPr>
          <w:p w14:paraId="3661661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5196ED3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2616C41A" w14:textId="77777777" w:rsidR="00205EDC" w:rsidRPr="00DB24BC" w:rsidRDefault="00205EDC" w:rsidP="00CE5EBA">
            <w:pPr>
              <w:jc w:val="right"/>
              <w:rPr>
                <w:color w:val="000000"/>
                <w:kern w:val="22"/>
                <w:sz w:val="22"/>
                <w:szCs w:val="22"/>
              </w:rPr>
            </w:pPr>
            <w:r w:rsidRPr="00DB24BC">
              <w:rPr>
                <w:color w:val="000000"/>
                <w:kern w:val="22"/>
                <w:sz w:val="22"/>
                <w:szCs w:val="22"/>
              </w:rPr>
              <w:t>549</w:t>
            </w:r>
          </w:p>
        </w:tc>
      </w:tr>
      <w:tr w:rsidR="00205EDC" w:rsidRPr="00DB24BC" w14:paraId="523E4CA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AA8BC67" w14:textId="77777777" w:rsidR="00205EDC" w:rsidRPr="00DB24BC" w:rsidRDefault="00205EDC" w:rsidP="00CE5EBA">
            <w:pPr>
              <w:rPr>
                <w:color w:val="000000"/>
                <w:kern w:val="22"/>
                <w:sz w:val="22"/>
                <w:szCs w:val="22"/>
              </w:rPr>
            </w:pPr>
            <w:r w:rsidRPr="00DB24BC">
              <w:rPr>
                <w:sz w:val="22"/>
                <w:szCs w:val="22"/>
              </w:rPr>
              <w:t>Myanmar</w:t>
            </w:r>
          </w:p>
        </w:tc>
        <w:tc>
          <w:tcPr>
            <w:tcW w:w="1580" w:type="dxa"/>
            <w:tcBorders>
              <w:top w:val="nil"/>
              <w:left w:val="nil"/>
              <w:bottom w:val="single" w:sz="4" w:space="0" w:color="auto"/>
              <w:right w:val="single" w:sz="4" w:space="0" w:color="auto"/>
            </w:tcBorders>
            <w:shd w:val="clear" w:color="auto" w:fill="auto"/>
            <w:vAlign w:val="center"/>
            <w:hideMark/>
          </w:tcPr>
          <w:p w14:paraId="1650A97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2F82F3B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4DCD262C" w14:textId="77777777" w:rsidR="00205EDC" w:rsidRPr="00DB24BC" w:rsidRDefault="00205EDC" w:rsidP="00CE5EBA">
            <w:pPr>
              <w:jc w:val="right"/>
              <w:rPr>
                <w:color w:val="000000"/>
                <w:kern w:val="22"/>
                <w:sz w:val="22"/>
                <w:szCs w:val="22"/>
              </w:rPr>
            </w:pPr>
            <w:r w:rsidRPr="00DB24BC">
              <w:rPr>
                <w:color w:val="000000"/>
                <w:kern w:val="22"/>
                <w:sz w:val="22"/>
                <w:szCs w:val="22"/>
              </w:rPr>
              <w:t>1 098</w:t>
            </w:r>
          </w:p>
        </w:tc>
      </w:tr>
      <w:tr w:rsidR="00205EDC" w:rsidRPr="00DB24BC" w14:paraId="0894B059"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B0EDD36" w14:textId="77777777" w:rsidR="00205EDC" w:rsidRPr="00DB24BC" w:rsidRDefault="00205EDC" w:rsidP="00CE5EBA">
            <w:pPr>
              <w:rPr>
                <w:color w:val="000000"/>
                <w:kern w:val="22"/>
                <w:sz w:val="22"/>
                <w:szCs w:val="22"/>
              </w:rPr>
            </w:pPr>
            <w:r w:rsidRPr="00DB24BC">
              <w:rPr>
                <w:sz w:val="22"/>
                <w:szCs w:val="22"/>
              </w:rPr>
              <w:t>Namibie</w:t>
            </w:r>
          </w:p>
        </w:tc>
        <w:tc>
          <w:tcPr>
            <w:tcW w:w="1580" w:type="dxa"/>
            <w:tcBorders>
              <w:top w:val="nil"/>
              <w:left w:val="nil"/>
              <w:bottom w:val="single" w:sz="4" w:space="0" w:color="auto"/>
              <w:right w:val="single" w:sz="4" w:space="0" w:color="auto"/>
            </w:tcBorders>
            <w:shd w:val="clear" w:color="auto" w:fill="auto"/>
            <w:vAlign w:val="center"/>
            <w:hideMark/>
          </w:tcPr>
          <w:p w14:paraId="44492BD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4623E56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011 </w:t>
            </w:r>
          </w:p>
        </w:tc>
        <w:tc>
          <w:tcPr>
            <w:tcW w:w="1580" w:type="dxa"/>
            <w:tcBorders>
              <w:top w:val="nil"/>
              <w:left w:val="nil"/>
              <w:bottom w:val="single" w:sz="4" w:space="0" w:color="auto"/>
              <w:right w:val="single" w:sz="4" w:space="0" w:color="auto"/>
            </w:tcBorders>
            <w:shd w:val="clear" w:color="auto" w:fill="auto"/>
            <w:noWrap/>
            <w:vAlign w:val="center"/>
            <w:hideMark/>
          </w:tcPr>
          <w:p w14:paraId="6A242B0E" w14:textId="77777777" w:rsidR="00205EDC" w:rsidRPr="00DB24BC" w:rsidRDefault="00205EDC" w:rsidP="00CE5EBA">
            <w:pPr>
              <w:jc w:val="right"/>
              <w:rPr>
                <w:color w:val="000000"/>
                <w:kern w:val="22"/>
                <w:sz w:val="22"/>
                <w:szCs w:val="22"/>
              </w:rPr>
            </w:pPr>
            <w:r w:rsidRPr="00DB24BC">
              <w:rPr>
                <w:color w:val="000000"/>
                <w:kern w:val="22"/>
                <w:sz w:val="22"/>
                <w:szCs w:val="22"/>
              </w:rPr>
              <w:t>1 236</w:t>
            </w:r>
          </w:p>
        </w:tc>
      </w:tr>
      <w:tr w:rsidR="00205EDC" w:rsidRPr="00DB24BC" w14:paraId="1855356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B3E0E43" w14:textId="77777777" w:rsidR="00205EDC" w:rsidRPr="00DB24BC" w:rsidRDefault="00205EDC" w:rsidP="00CE5EBA">
            <w:pPr>
              <w:rPr>
                <w:color w:val="000000"/>
                <w:kern w:val="22"/>
                <w:sz w:val="22"/>
                <w:szCs w:val="22"/>
              </w:rPr>
            </w:pPr>
            <w:r w:rsidRPr="00DB24BC">
              <w:rPr>
                <w:sz w:val="22"/>
                <w:szCs w:val="22"/>
              </w:rPr>
              <w:t>Nauru</w:t>
            </w:r>
          </w:p>
        </w:tc>
        <w:tc>
          <w:tcPr>
            <w:tcW w:w="1580" w:type="dxa"/>
            <w:tcBorders>
              <w:top w:val="nil"/>
              <w:left w:val="nil"/>
              <w:bottom w:val="single" w:sz="4" w:space="0" w:color="auto"/>
              <w:right w:val="single" w:sz="4" w:space="0" w:color="auto"/>
            </w:tcBorders>
            <w:shd w:val="clear" w:color="auto" w:fill="auto"/>
            <w:vAlign w:val="center"/>
            <w:hideMark/>
          </w:tcPr>
          <w:p w14:paraId="26B6089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30736F8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78B5BFF"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233E448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7EF971A" w14:textId="77777777" w:rsidR="00205EDC" w:rsidRPr="00DB24BC" w:rsidRDefault="00205EDC" w:rsidP="00CE5EBA">
            <w:pPr>
              <w:rPr>
                <w:color w:val="000000"/>
                <w:kern w:val="22"/>
                <w:sz w:val="22"/>
                <w:szCs w:val="22"/>
              </w:rPr>
            </w:pPr>
            <w:r w:rsidRPr="00DB24BC">
              <w:rPr>
                <w:sz w:val="22"/>
                <w:szCs w:val="22"/>
              </w:rPr>
              <w:lastRenderedPageBreak/>
              <w:t>Népal</w:t>
            </w:r>
          </w:p>
        </w:tc>
        <w:tc>
          <w:tcPr>
            <w:tcW w:w="1580" w:type="dxa"/>
            <w:tcBorders>
              <w:top w:val="nil"/>
              <w:left w:val="nil"/>
              <w:bottom w:val="single" w:sz="4" w:space="0" w:color="auto"/>
              <w:right w:val="single" w:sz="4" w:space="0" w:color="auto"/>
            </w:tcBorders>
            <w:shd w:val="clear" w:color="auto" w:fill="auto"/>
            <w:vAlign w:val="center"/>
            <w:hideMark/>
          </w:tcPr>
          <w:p w14:paraId="5D8487A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007 </w:t>
            </w:r>
          </w:p>
        </w:tc>
        <w:tc>
          <w:tcPr>
            <w:tcW w:w="1580" w:type="dxa"/>
            <w:tcBorders>
              <w:top w:val="nil"/>
              <w:left w:val="nil"/>
              <w:bottom w:val="single" w:sz="4" w:space="0" w:color="auto"/>
              <w:right w:val="single" w:sz="4" w:space="0" w:color="auto"/>
            </w:tcBorders>
            <w:shd w:val="clear" w:color="auto" w:fill="auto"/>
            <w:noWrap/>
            <w:vAlign w:val="center"/>
            <w:hideMark/>
          </w:tcPr>
          <w:p w14:paraId="4053F46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6FD3966A" w14:textId="77777777" w:rsidR="00205EDC" w:rsidRPr="00DB24BC" w:rsidRDefault="00205EDC" w:rsidP="00CE5EBA">
            <w:pPr>
              <w:jc w:val="right"/>
              <w:rPr>
                <w:color w:val="000000"/>
                <w:kern w:val="22"/>
                <w:sz w:val="22"/>
                <w:szCs w:val="22"/>
              </w:rPr>
            </w:pPr>
            <w:r w:rsidRPr="00DB24BC">
              <w:rPr>
                <w:color w:val="000000"/>
                <w:kern w:val="22"/>
                <w:sz w:val="22"/>
                <w:szCs w:val="22"/>
              </w:rPr>
              <w:t>961</w:t>
            </w:r>
          </w:p>
        </w:tc>
      </w:tr>
      <w:tr w:rsidR="00205EDC" w:rsidRPr="00DB24BC" w14:paraId="6F43B80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6D8287E" w14:textId="77777777" w:rsidR="00205EDC" w:rsidRPr="00DB24BC" w:rsidRDefault="00205EDC" w:rsidP="00CE5EBA">
            <w:pPr>
              <w:rPr>
                <w:color w:val="000000"/>
                <w:kern w:val="22"/>
                <w:sz w:val="22"/>
                <w:szCs w:val="22"/>
              </w:rPr>
            </w:pPr>
            <w:r w:rsidRPr="00DB24BC">
              <w:rPr>
                <w:sz w:val="22"/>
                <w:szCs w:val="22"/>
              </w:rPr>
              <w:t>Nicaragua</w:t>
            </w:r>
          </w:p>
        </w:tc>
        <w:tc>
          <w:tcPr>
            <w:tcW w:w="1580" w:type="dxa"/>
            <w:tcBorders>
              <w:top w:val="nil"/>
              <w:left w:val="nil"/>
              <w:bottom w:val="single" w:sz="4" w:space="0" w:color="auto"/>
              <w:right w:val="single" w:sz="4" w:space="0" w:color="auto"/>
            </w:tcBorders>
            <w:shd w:val="clear" w:color="auto" w:fill="auto"/>
            <w:vAlign w:val="center"/>
            <w:hideMark/>
          </w:tcPr>
          <w:p w14:paraId="4D9632C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1625ECC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47FA7ABE" w14:textId="77777777" w:rsidR="00205EDC" w:rsidRPr="00DB24BC" w:rsidRDefault="00205EDC" w:rsidP="00CE5EBA">
            <w:pPr>
              <w:jc w:val="right"/>
              <w:rPr>
                <w:color w:val="000000"/>
                <w:kern w:val="22"/>
                <w:sz w:val="22"/>
                <w:szCs w:val="22"/>
              </w:rPr>
            </w:pPr>
            <w:r w:rsidRPr="00DB24BC">
              <w:rPr>
                <w:color w:val="000000"/>
                <w:kern w:val="22"/>
                <w:sz w:val="22"/>
                <w:szCs w:val="22"/>
              </w:rPr>
              <w:t>687</w:t>
            </w:r>
          </w:p>
        </w:tc>
      </w:tr>
      <w:tr w:rsidR="00205EDC" w:rsidRPr="00DB24BC" w14:paraId="241F6A0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3F862DA" w14:textId="77777777" w:rsidR="00205EDC" w:rsidRPr="00DB24BC" w:rsidRDefault="00205EDC" w:rsidP="00CE5EBA">
            <w:pPr>
              <w:rPr>
                <w:color w:val="000000"/>
                <w:kern w:val="22"/>
                <w:sz w:val="22"/>
                <w:szCs w:val="22"/>
              </w:rPr>
            </w:pPr>
            <w:r w:rsidRPr="00DB24BC">
              <w:rPr>
                <w:sz w:val="22"/>
                <w:szCs w:val="22"/>
              </w:rPr>
              <w:t>Niger</w:t>
            </w:r>
          </w:p>
        </w:tc>
        <w:tc>
          <w:tcPr>
            <w:tcW w:w="1580" w:type="dxa"/>
            <w:tcBorders>
              <w:top w:val="nil"/>
              <w:left w:val="nil"/>
              <w:bottom w:val="single" w:sz="4" w:space="0" w:color="auto"/>
              <w:right w:val="single" w:sz="4" w:space="0" w:color="auto"/>
            </w:tcBorders>
            <w:shd w:val="clear" w:color="auto" w:fill="auto"/>
            <w:vAlign w:val="center"/>
            <w:hideMark/>
          </w:tcPr>
          <w:p w14:paraId="3AF50B8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65C90F9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6D67045E"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772A7DA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434881B" w14:textId="77777777" w:rsidR="00205EDC" w:rsidRPr="00DB24BC" w:rsidRDefault="00205EDC" w:rsidP="00CE5EBA">
            <w:pPr>
              <w:rPr>
                <w:color w:val="000000"/>
                <w:kern w:val="22"/>
                <w:sz w:val="22"/>
                <w:szCs w:val="22"/>
              </w:rPr>
            </w:pPr>
            <w:r w:rsidRPr="00DB24BC">
              <w:rPr>
                <w:sz w:val="22"/>
                <w:szCs w:val="22"/>
              </w:rPr>
              <w:t>Nigeria</w:t>
            </w:r>
          </w:p>
        </w:tc>
        <w:tc>
          <w:tcPr>
            <w:tcW w:w="1580" w:type="dxa"/>
            <w:tcBorders>
              <w:top w:val="nil"/>
              <w:left w:val="nil"/>
              <w:bottom w:val="single" w:sz="4" w:space="0" w:color="auto"/>
              <w:right w:val="single" w:sz="4" w:space="0" w:color="auto"/>
            </w:tcBorders>
            <w:shd w:val="clear" w:color="auto" w:fill="auto"/>
            <w:vAlign w:val="center"/>
            <w:hideMark/>
          </w:tcPr>
          <w:p w14:paraId="4E5658A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250 </w:t>
            </w:r>
          </w:p>
        </w:tc>
        <w:tc>
          <w:tcPr>
            <w:tcW w:w="1580" w:type="dxa"/>
            <w:tcBorders>
              <w:top w:val="nil"/>
              <w:left w:val="nil"/>
              <w:bottom w:val="single" w:sz="4" w:space="0" w:color="auto"/>
              <w:right w:val="single" w:sz="4" w:space="0" w:color="auto"/>
            </w:tcBorders>
            <w:shd w:val="clear" w:color="auto" w:fill="auto"/>
            <w:noWrap/>
            <w:vAlign w:val="center"/>
            <w:hideMark/>
          </w:tcPr>
          <w:p w14:paraId="619437F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313 </w:t>
            </w:r>
          </w:p>
        </w:tc>
        <w:tc>
          <w:tcPr>
            <w:tcW w:w="1580" w:type="dxa"/>
            <w:tcBorders>
              <w:top w:val="nil"/>
              <w:left w:val="nil"/>
              <w:bottom w:val="single" w:sz="4" w:space="0" w:color="auto"/>
              <w:right w:val="single" w:sz="4" w:space="0" w:color="auto"/>
            </w:tcBorders>
            <w:shd w:val="clear" w:color="auto" w:fill="auto"/>
            <w:noWrap/>
            <w:vAlign w:val="center"/>
            <w:hideMark/>
          </w:tcPr>
          <w:p w14:paraId="0E33E024" w14:textId="77777777" w:rsidR="00205EDC" w:rsidRPr="00DB24BC" w:rsidRDefault="00205EDC" w:rsidP="00CE5EBA">
            <w:pPr>
              <w:jc w:val="right"/>
              <w:rPr>
                <w:color w:val="000000"/>
                <w:kern w:val="22"/>
                <w:sz w:val="22"/>
                <w:szCs w:val="22"/>
              </w:rPr>
            </w:pPr>
            <w:r w:rsidRPr="00DB24BC">
              <w:rPr>
                <w:color w:val="000000"/>
                <w:kern w:val="22"/>
                <w:sz w:val="22"/>
                <w:szCs w:val="22"/>
              </w:rPr>
              <w:t>34 329</w:t>
            </w:r>
          </w:p>
        </w:tc>
      </w:tr>
      <w:tr w:rsidR="00205EDC" w:rsidRPr="00DB24BC" w14:paraId="207C3E8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4232877" w14:textId="77777777" w:rsidR="00205EDC" w:rsidRPr="00DB24BC" w:rsidRDefault="00205EDC" w:rsidP="00CE5EBA">
            <w:pPr>
              <w:rPr>
                <w:color w:val="000000"/>
                <w:kern w:val="22"/>
                <w:sz w:val="22"/>
                <w:szCs w:val="22"/>
              </w:rPr>
            </w:pPr>
            <w:r w:rsidRPr="00DB24BC">
              <w:rPr>
                <w:sz w:val="22"/>
                <w:szCs w:val="22"/>
              </w:rPr>
              <w:t>Niue</w:t>
            </w:r>
          </w:p>
        </w:tc>
        <w:tc>
          <w:tcPr>
            <w:tcW w:w="1580" w:type="dxa"/>
            <w:tcBorders>
              <w:top w:val="nil"/>
              <w:left w:val="nil"/>
              <w:bottom w:val="single" w:sz="4" w:space="0" w:color="auto"/>
              <w:right w:val="single" w:sz="4" w:space="0" w:color="auto"/>
            </w:tcBorders>
            <w:shd w:val="clear" w:color="auto" w:fill="auto"/>
            <w:vAlign w:val="center"/>
            <w:hideMark/>
          </w:tcPr>
          <w:p w14:paraId="43D42B1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3D8593E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4887E580"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3E2AF71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976E75A" w14:textId="77777777" w:rsidR="00205EDC" w:rsidRPr="00DB24BC" w:rsidRDefault="00205EDC" w:rsidP="00CE5EBA">
            <w:pPr>
              <w:rPr>
                <w:color w:val="000000"/>
                <w:kern w:val="22"/>
                <w:sz w:val="22"/>
                <w:szCs w:val="22"/>
              </w:rPr>
            </w:pPr>
            <w:r w:rsidRPr="00DB24BC">
              <w:rPr>
                <w:sz w:val="22"/>
                <w:szCs w:val="22"/>
              </w:rPr>
              <w:t>Norvège</w:t>
            </w:r>
          </w:p>
        </w:tc>
        <w:tc>
          <w:tcPr>
            <w:tcW w:w="1580" w:type="dxa"/>
            <w:tcBorders>
              <w:top w:val="nil"/>
              <w:left w:val="nil"/>
              <w:bottom w:val="single" w:sz="4" w:space="0" w:color="auto"/>
              <w:right w:val="single" w:sz="4" w:space="0" w:color="auto"/>
            </w:tcBorders>
            <w:shd w:val="clear" w:color="auto" w:fill="auto"/>
            <w:vAlign w:val="center"/>
            <w:hideMark/>
          </w:tcPr>
          <w:p w14:paraId="419657A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754 </w:t>
            </w:r>
          </w:p>
        </w:tc>
        <w:tc>
          <w:tcPr>
            <w:tcW w:w="1580" w:type="dxa"/>
            <w:tcBorders>
              <w:top w:val="nil"/>
              <w:left w:val="nil"/>
              <w:bottom w:val="single" w:sz="4" w:space="0" w:color="auto"/>
              <w:right w:val="single" w:sz="4" w:space="0" w:color="auto"/>
            </w:tcBorders>
            <w:shd w:val="clear" w:color="auto" w:fill="auto"/>
            <w:noWrap/>
            <w:vAlign w:val="center"/>
            <w:hideMark/>
          </w:tcPr>
          <w:p w14:paraId="3FACF04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943 </w:t>
            </w:r>
          </w:p>
        </w:tc>
        <w:tc>
          <w:tcPr>
            <w:tcW w:w="1580" w:type="dxa"/>
            <w:tcBorders>
              <w:top w:val="nil"/>
              <w:left w:val="nil"/>
              <w:bottom w:val="single" w:sz="4" w:space="0" w:color="auto"/>
              <w:right w:val="single" w:sz="4" w:space="0" w:color="auto"/>
            </w:tcBorders>
            <w:shd w:val="clear" w:color="auto" w:fill="auto"/>
            <w:noWrap/>
            <w:vAlign w:val="center"/>
            <w:hideMark/>
          </w:tcPr>
          <w:p w14:paraId="688B2C2F" w14:textId="77777777" w:rsidR="00205EDC" w:rsidRPr="00DB24BC" w:rsidRDefault="00205EDC" w:rsidP="00CE5EBA">
            <w:pPr>
              <w:jc w:val="right"/>
              <w:rPr>
                <w:color w:val="000000"/>
                <w:kern w:val="22"/>
                <w:sz w:val="22"/>
                <w:szCs w:val="22"/>
              </w:rPr>
            </w:pPr>
            <w:r w:rsidRPr="00DB24BC">
              <w:rPr>
                <w:color w:val="000000"/>
                <w:kern w:val="22"/>
                <w:sz w:val="22"/>
                <w:szCs w:val="22"/>
              </w:rPr>
              <w:t>103 536</w:t>
            </w:r>
          </w:p>
        </w:tc>
      </w:tr>
      <w:tr w:rsidR="00205EDC" w:rsidRPr="00DB24BC" w14:paraId="678361F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1561C67" w14:textId="77777777" w:rsidR="00205EDC" w:rsidRPr="00DB24BC" w:rsidRDefault="00205EDC" w:rsidP="00CE5EBA">
            <w:pPr>
              <w:rPr>
                <w:color w:val="000000"/>
                <w:kern w:val="22"/>
                <w:sz w:val="22"/>
                <w:szCs w:val="22"/>
              </w:rPr>
            </w:pPr>
            <w:r w:rsidRPr="00DB24BC">
              <w:rPr>
                <w:sz w:val="22"/>
                <w:szCs w:val="22"/>
              </w:rPr>
              <w:t>Nouvelle-Zélande</w:t>
            </w:r>
          </w:p>
        </w:tc>
        <w:tc>
          <w:tcPr>
            <w:tcW w:w="1580" w:type="dxa"/>
            <w:tcBorders>
              <w:top w:val="nil"/>
              <w:left w:val="nil"/>
              <w:bottom w:val="single" w:sz="4" w:space="0" w:color="auto"/>
              <w:right w:val="single" w:sz="4" w:space="0" w:color="auto"/>
            </w:tcBorders>
            <w:shd w:val="clear" w:color="auto" w:fill="auto"/>
            <w:vAlign w:val="center"/>
            <w:hideMark/>
          </w:tcPr>
          <w:p w14:paraId="2F8C563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291 </w:t>
            </w:r>
          </w:p>
        </w:tc>
        <w:tc>
          <w:tcPr>
            <w:tcW w:w="1580" w:type="dxa"/>
            <w:tcBorders>
              <w:top w:val="nil"/>
              <w:left w:val="nil"/>
              <w:bottom w:val="single" w:sz="4" w:space="0" w:color="auto"/>
              <w:right w:val="single" w:sz="4" w:space="0" w:color="auto"/>
            </w:tcBorders>
            <w:shd w:val="clear" w:color="auto" w:fill="auto"/>
            <w:noWrap/>
            <w:vAlign w:val="center"/>
            <w:hideMark/>
          </w:tcPr>
          <w:p w14:paraId="35D52C3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364 </w:t>
            </w:r>
          </w:p>
        </w:tc>
        <w:tc>
          <w:tcPr>
            <w:tcW w:w="1580" w:type="dxa"/>
            <w:tcBorders>
              <w:top w:val="nil"/>
              <w:left w:val="nil"/>
              <w:bottom w:val="single" w:sz="4" w:space="0" w:color="auto"/>
              <w:right w:val="single" w:sz="4" w:space="0" w:color="auto"/>
            </w:tcBorders>
            <w:shd w:val="clear" w:color="auto" w:fill="auto"/>
            <w:noWrap/>
            <w:vAlign w:val="center"/>
            <w:hideMark/>
          </w:tcPr>
          <w:p w14:paraId="4E0D18F6" w14:textId="77777777" w:rsidR="00205EDC" w:rsidRPr="00DB24BC" w:rsidRDefault="00205EDC" w:rsidP="00CE5EBA">
            <w:pPr>
              <w:jc w:val="right"/>
              <w:rPr>
                <w:color w:val="000000"/>
                <w:kern w:val="22"/>
                <w:sz w:val="22"/>
                <w:szCs w:val="22"/>
              </w:rPr>
            </w:pPr>
            <w:r w:rsidRPr="00DB24BC">
              <w:rPr>
                <w:color w:val="000000"/>
                <w:kern w:val="22"/>
                <w:sz w:val="22"/>
                <w:szCs w:val="22"/>
              </w:rPr>
              <w:t>39 959</w:t>
            </w:r>
          </w:p>
        </w:tc>
      </w:tr>
      <w:tr w:rsidR="00205EDC" w:rsidRPr="00DB24BC" w14:paraId="340692A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6514CD1" w14:textId="77777777" w:rsidR="00205EDC" w:rsidRPr="00DB24BC" w:rsidRDefault="00205EDC" w:rsidP="00CE5EBA">
            <w:pPr>
              <w:rPr>
                <w:color w:val="000000"/>
                <w:kern w:val="22"/>
                <w:sz w:val="22"/>
                <w:szCs w:val="22"/>
              </w:rPr>
            </w:pPr>
            <w:r w:rsidRPr="00DB24BC">
              <w:rPr>
                <w:sz w:val="22"/>
                <w:szCs w:val="22"/>
              </w:rPr>
              <w:t>Oman</w:t>
            </w:r>
          </w:p>
        </w:tc>
        <w:tc>
          <w:tcPr>
            <w:tcW w:w="1580" w:type="dxa"/>
            <w:tcBorders>
              <w:top w:val="nil"/>
              <w:left w:val="nil"/>
              <w:bottom w:val="single" w:sz="4" w:space="0" w:color="auto"/>
              <w:right w:val="single" w:sz="4" w:space="0" w:color="auto"/>
            </w:tcBorders>
            <w:shd w:val="clear" w:color="auto" w:fill="auto"/>
            <w:vAlign w:val="center"/>
            <w:hideMark/>
          </w:tcPr>
          <w:p w14:paraId="67FCC7D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115 </w:t>
            </w:r>
          </w:p>
        </w:tc>
        <w:tc>
          <w:tcPr>
            <w:tcW w:w="1580" w:type="dxa"/>
            <w:tcBorders>
              <w:top w:val="nil"/>
              <w:left w:val="nil"/>
              <w:bottom w:val="single" w:sz="4" w:space="0" w:color="auto"/>
              <w:right w:val="single" w:sz="4" w:space="0" w:color="auto"/>
            </w:tcBorders>
            <w:shd w:val="clear" w:color="auto" w:fill="auto"/>
            <w:noWrap/>
            <w:vAlign w:val="center"/>
            <w:hideMark/>
          </w:tcPr>
          <w:p w14:paraId="678B5BB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144 </w:t>
            </w:r>
          </w:p>
        </w:tc>
        <w:tc>
          <w:tcPr>
            <w:tcW w:w="1580" w:type="dxa"/>
            <w:tcBorders>
              <w:top w:val="nil"/>
              <w:left w:val="nil"/>
              <w:bottom w:val="single" w:sz="4" w:space="0" w:color="auto"/>
              <w:right w:val="single" w:sz="4" w:space="0" w:color="auto"/>
            </w:tcBorders>
            <w:shd w:val="clear" w:color="auto" w:fill="auto"/>
            <w:noWrap/>
            <w:vAlign w:val="center"/>
            <w:hideMark/>
          </w:tcPr>
          <w:p w14:paraId="684B83A7" w14:textId="77777777" w:rsidR="00205EDC" w:rsidRPr="00DB24BC" w:rsidRDefault="00205EDC" w:rsidP="00CE5EBA">
            <w:pPr>
              <w:jc w:val="right"/>
              <w:rPr>
                <w:color w:val="000000"/>
                <w:kern w:val="22"/>
                <w:sz w:val="22"/>
                <w:szCs w:val="22"/>
              </w:rPr>
            </w:pPr>
            <w:r w:rsidRPr="00DB24BC">
              <w:rPr>
                <w:color w:val="000000"/>
                <w:kern w:val="22"/>
                <w:sz w:val="22"/>
                <w:szCs w:val="22"/>
              </w:rPr>
              <w:t>15 791</w:t>
            </w:r>
          </w:p>
        </w:tc>
      </w:tr>
      <w:tr w:rsidR="00205EDC" w:rsidRPr="00DB24BC" w14:paraId="5259166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B341914" w14:textId="77777777" w:rsidR="00205EDC" w:rsidRPr="00DB24BC" w:rsidRDefault="00205EDC" w:rsidP="00CE5EBA">
            <w:pPr>
              <w:rPr>
                <w:color w:val="000000"/>
                <w:kern w:val="22"/>
                <w:sz w:val="22"/>
                <w:szCs w:val="22"/>
              </w:rPr>
            </w:pPr>
            <w:r w:rsidRPr="00DB24BC">
              <w:rPr>
                <w:sz w:val="22"/>
                <w:szCs w:val="22"/>
              </w:rPr>
              <w:t>Ouganda</w:t>
            </w:r>
          </w:p>
        </w:tc>
        <w:tc>
          <w:tcPr>
            <w:tcW w:w="1580" w:type="dxa"/>
            <w:tcBorders>
              <w:top w:val="nil"/>
              <w:left w:val="nil"/>
              <w:bottom w:val="single" w:sz="4" w:space="0" w:color="auto"/>
              <w:right w:val="single" w:sz="4" w:space="0" w:color="auto"/>
            </w:tcBorders>
            <w:shd w:val="clear" w:color="auto" w:fill="auto"/>
            <w:vAlign w:val="center"/>
            <w:hideMark/>
          </w:tcPr>
          <w:p w14:paraId="18B3185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29BA8A9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74649946" w14:textId="77777777" w:rsidR="00205EDC" w:rsidRPr="00DB24BC" w:rsidRDefault="00205EDC" w:rsidP="00CE5EBA">
            <w:pPr>
              <w:jc w:val="right"/>
              <w:rPr>
                <w:color w:val="000000"/>
                <w:kern w:val="22"/>
                <w:sz w:val="22"/>
                <w:szCs w:val="22"/>
              </w:rPr>
            </w:pPr>
            <w:r w:rsidRPr="00DB24BC">
              <w:rPr>
                <w:color w:val="000000"/>
                <w:kern w:val="22"/>
                <w:sz w:val="22"/>
                <w:szCs w:val="22"/>
              </w:rPr>
              <w:t>1 099</w:t>
            </w:r>
          </w:p>
        </w:tc>
      </w:tr>
      <w:tr w:rsidR="00205EDC" w:rsidRPr="00DB24BC" w14:paraId="7A3715A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EBC5C22" w14:textId="77777777" w:rsidR="00205EDC" w:rsidRPr="00DB24BC" w:rsidRDefault="00205EDC" w:rsidP="00CE5EBA">
            <w:pPr>
              <w:rPr>
                <w:color w:val="000000"/>
                <w:kern w:val="22"/>
                <w:sz w:val="22"/>
                <w:szCs w:val="22"/>
              </w:rPr>
            </w:pPr>
            <w:r w:rsidRPr="00DB24BC">
              <w:rPr>
                <w:sz w:val="22"/>
                <w:szCs w:val="22"/>
              </w:rPr>
              <w:t>Ouzbékistan</w:t>
            </w:r>
          </w:p>
        </w:tc>
        <w:tc>
          <w:tcPr>
            <w:tcW w:w="1580" w:type="dxa"/>
            <w:tcBorders>
              <w:top w:val="nil"/>
              <w:left w:val="nil"/>
              <w:bottom w:val="single" w:sz="4" w:space="0" w:color="auto"/>
              <w:right w:val="single" w:sz="4" w:space="0" w:color="auto"/>
            </w:tcBorders>
            <w:shd w:val="clear" w:color="auto" w:fill="auto"/>
            <w:vAlign w:val="center"/>
            <w:hideMark/>
          </w:tcPr>
          <w:p w14:paraId="5B27567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032 </w:t>
            </w:r>
          </w:p>
        </w:tc>
        <w:tc>
          <w:tcPr>
            <w:tcW w:w="1580" w:type="dxa"/>
            <w:tcBorders>
              <w:top w:val="nil"/>
              <w:left w:val="nil"/>
              <w:bottom w:val="single" w:sz="4" w:space="0" w:color="auto"/>
              <w:right w:val="single" w:sz="4" w:space="0" w:color="auto"/>
            </w:tcBorders>
            <w:shd w:val="clear" w:color="auto" w:fill="auto"/>
            <w:noWrap/>
            <w:vAlign w:val="center"/>
            <w:hideMark/>
          </w:tcPr>
          <w:p w14:paraId="0F2D3CC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040 </w:t>
            </w:r>
          </w:p>
        </w:tc>
        <w:tc>
          <w:tcPr>
            <w:tcW w:w="1580" w:type="dxa"/>
            <w:tcBorders>
              <w:top w:val="nil"/>
              <w:left w:val="nil"/>
              <w:bottom w:val="single" w:sz="4" w:space="0" w:color="auto"/>
              <w:right w:val="single" w:sz="4" w:space="0" w:color="auto"/>
            </w:tcBorders>
            <w:shd w:val="clear" w:color="auto" w:fill="auto"/>
            <w:noWrap/>
            <w:vAlign w:val="center"/>
            <w:hideMark/>
          </w:tcPr>
          <w:p w14:paraId="5582139B" w14:textId="77777777" w:rsidR="00205EDC" w:rsidRPr="00DB24BC" w:rsidRDefault="00205EDC" w:rsidP="00CE5EBA">
            <w:pPr>
              <w:jc w:val="right"/>
              <w:rPr>
                <w:color w:val="000000"/>
                <w:kern w:val="22"/>
                <w:sz w:val="22"/>
                <w:szCs w:val="22"/>
              </w:rPr>
            </w:pPr>
            <w:r w:rsidRPr="00DB24BC">
              <w:rPr>
                <w:color w:val="000000"/>
                <w:kern w:val="22"/>
                <w:sz w:val="22"/>
                <w:szCs w:val="22"/>
              </w:rPr>
              <w:t>4 394</w:t>
            </w:r>
          </w:p>
        </w:tc>
      </w:tr>
      <w:tr w:rsidR="00205EDC" w:rsidRPr="00DB24BC" w14:paraId="59F4A3C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E4744B2" w14:textId="77777777" w:rsidR="00205EDC" w:rsidRPr="00DB24BC" w:rsidRDefault="00205EDC" w:rsidP="00CE5EBA">
            <w:pPr>
              <w:rPr>
                <w:color w:val="000000"/>
                <w:kern w:val="22"/>
                <w:sz w:val="22"/>
                <w:szCs w:val="22"/>
              </w:rPr>
            </w:pPr>
            <w:r w:rsidRPr="00DB24BC">
              <w:rPr>
                <w:sz w:val="22"/>
                <w:szCs w:val="22"/>
              </w:rPr>
              <w:t>Pakistan</w:t>
            </w:r>
          </w:p>
        </w:tc>
        <w:tc>
          <w:tcPr>
            <w:tcW w:w="1580" w:type="dxa"/>
            <w:tcBorders>
              <w:top w:val="nil"/>
              <w:left w:val="nil"/>
              <w:bottom w:val="single" w:sz="4" w:space="0" w:color="auto"/>
              <w:right w:val="single" w:sz="4" w:space="0" w:color="auto"/>
            </w:tcBorders>
            <w:shd w:val="clear" w:color="auto" w:fill="auto"/>
            <w:vAlign w:val="center"/>
            <w:hideMark/>
          </w:tcPr>
          <w:p w14:paraId="7F23390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115 </w:t>
            </w:r>
          </w:p>
        </w:tc>
        <w:tc>
          <w:tcPr>
            <w:tcW w:w="1580" w:type="dxa"/>
            <w:tcBorders>
              <w:top w:val="nil"/>
              <w:left w:val="nil"/>
              <w:bottom w:val="single" w:sz="4" w:space="0" w:color="auto"/>
              <w:right w:val="single" w:sz="4" w:space="0" w:color="auto"/>
            </w:tcBorders>
            <w:shd w:val="clear" w:color="auto" w:fill="auto"/>
            <w:noWrap/>
            <w:vAlign w:val="center"/>
            <w:hideMark/>
          </w:tcPr>
          <w:p w14:paraId="054EBB2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144 </w:t>
            </w:r>
          </w:p>
        </w:tc>
        <w:tc>
          <w:tcPr>
            <w:tcW w:w="1580" w:type="dxa"/>
            <w:tcBorders>
              <w:top w:val="nil"/>
              <w:left w:val="nil"/>
              <w:bottom w:val="single" w:sz="4" w:space="0" w:color="auto"/>
              <w:right w:val="single" w:sz="4" w:space="0" w:color="auto"/>
            </w:tcBorders>
            <w:shd w:val="clear" w:color="auto" w:fill="auto"/>
            <w:noWrap/>
            <w:vAlign w:val="center"/>
            <w:hideMark/>
          </w:tcPr>
          <w:p w14:paraId="386D737F" w14:textId="77777777" w:rsidR="00205EDC" w:rsidRPr="00DB24BC" w:rsidRDefault="00205EDC" w:rsidP="00CE5EBA">
            <w:pPr>
              <w:jc w:val="right"/>
              <w:rPr>
                <w:color w:val="000000"/>
                <w:kern w:val="22"/>
                <w:sz w:val="22"/>
                <w:szCs w:val="22"/>
              </w:rPr>
            </w:pPr>
            <w:r w:rsidRPr="00DB24BC">
              <w:rPr>
                <w:color w:val="000000"/>
                <w:kern w:val="22"/>
                <w:sz w:val="22"/>
                <w:szCs w:val="22"/>
              </w:rPr>
              <w:t>15 791</w:t>
            </w:r>
          </w:p>
        </w:tc>
      </w:tr>
      <w:tr w:rsidR="00205EDC" w:rsidRPr="00DB24BC" w14:paraId="214FF3E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93CF96B" w14:textId="77777777" w:rsidR="00205EDC" w:rsidRPr="00DB24BC" w:rsidRDefault="00205EDC" w:rsidP="00CE5EBA">
            <w:pPr>
              <w:rPr>
                <w:color w:val="000000"/>
                <w:kern w:val="22"/>
                <w:sz w:val="22"/>
                <w:szCs w:val="22"/>
              </w:rPr>
            </w:pPr>
            <w:r w:rsidRPr="00DB24BC">
              <w:rPr>
                <w:sz w:val="22"/>
                <w:szCs w:val="22"/>
              </w:rPr>
              <w:t>Palau</w:t>
            </w:r>
          </w:p>
        </w:tc>
        <w:tc>
          <w:tcPr>
            <w:tcW w:w="1580" w:type="dxa"/>
            <w:tcBorders>
              <w:top w:val="nil"/>
              <w:left w:val="nil"/>
              <w:bottom w:val="single" w:sz="4" w:space="0" w:color="auto"/>
              <w:right w:val="single" w:sz="4" w:space="0" w:color="auto"/>
            </w:tcBorders>
            <w:shd w:val="clear" w:color="auto" w:fill="auto"/>
            <w:vAlign w:val="center"/>
            <w:hideMark/>
          </w:tcPr>
          <w:p w14:paraId="533940B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6743A7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43F4CC57"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77FAE9F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34CDE01" w14:textId="77777777" w:rsidR="00205EDC" w:rsidRPr="00DB24BC" w:rsidRDefault="00205EDC" w:rsidP="00CE5EBA">
            <w:pPr>
              <w:rPr>
                <w:color w:val="000000"/>
                <w:kern w:val="22"/>
                <w:sz w:val="22"/>
                <w:szCs w:val="22"/>
              </w:rPr>
            </w:pPr>
            <w:r w:rsidRPr="00DB24BC">
              <w:rPr>
                <w:sz w:val="22"/>
                <w:szCs w:val="22"/>
              </w:rPr>
              <w:t>Palestine</w:t>
            </w:r>
          </w:p>
        </w:tc>
        <w:tc>
          <w:tcPr>
            <w:tcW w:w="1580" w:type="dxa"/>
            <w:tcBorders>
              <w:top w:val="nil"/>
              <w:left w:val="nil"/>
              <w:bottom w:val="single" w:sz="4" w:space="0" w:color="auto"/>
              <w:right w:val="single" w:sz="4" w:space="0" w:color="auto"/>
            </w:tcBorders>
            <w:shd w:val="clear" w:color="auto" w:fill="auto"/>
            <w:vAlign w:val="center"/>
            <w:hideMark/>
          </w:tcPr>
          <w:p w14:paraId="06ED943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35C099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CE929F1"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7C4B75B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FEE0297" w14:textId="77777777" w:rsidR="00205EDC" w:rsidRPr="00DB24BC" w:rsidRDefault="00205EDC" w:rsidP="00CE5EBA">
            <w:pPr>
              <w:rPr>
                <w:color w:val="000000"/>
                <w:kern w:val="22"/>
                <w:sz w:val="22"/>
                <w:szCs w:val="22"/>
              </w:rPr>
            </w:pPr>
            <w:r w:rsidRPr="00DB24BC">
              <w:rPr>
                <w:sz w:val="22"/>
                <w:szCs w:val="22"/>
              </w:rPr>
              <w:t>Panama</w:t>
            </w:r>
          </w:p>
        </w:tc>
        <w:tc>
          <w:tcPr>
            <w:tcW w:w="1580" w:type="dxa"/>
            <w:tcBorders>
              <w:top w:val="nil"/>
              <w:left w:val="nil"/>
              <w:bottom w:val="single" w:sz="4" w:space="0" w:color="auto"/>
              <w:right w:val="single" w:sz="4" w:space="0" w:color="auto"/>
            </w:tcBorders>
            <w:shd w:val="clear" w:color="auto" w:fill="auto"/>
            <w:vAlign w:val="center"/>
            <w:hideMark/>
          </w:tcPr>
          <w:p w14:paraId="18E649A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045 </w:t>
            </w:r>
          </w:p>
        </w:tc>
        <w:tc>
          <w:tcPr>
            <w:tcW w:w="1580" w:type="dxa"/>
            <w:tcBorders>
              <w:top w:val="nil"/>
              <w:left w:val="nil"/>
              <w:bottom w:val="single" w:sz="4" w:space="0" w:color="auto"/>
              <w:right w:val="single" w:sz="4" w:space="0" w:color="auto"/>
            </w:tcBorders>
            <w:shd w:val="clear" w:color="auto" w:fill="auto"/>
            <w:noWrap/>
            <w:vAlign w:val="center"/>
            <w:hideMark/>
          </w:tcPr>
          <w:p w14:paraId="55A53E3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056 </w:t>
            </w:r>
          </w:p>
        </w:tc>
        <w:tc>
          <w:tcPr>
            <w:tcW w:w="1580" w:type="dxa"/>
            <w:tcBorders>
              <w:top w:val="nil"/>
              <w:left w:val="nil"/>
              <w:bottom w:val="single" w:sz="4" w:space="0" w:color="auto"/>
              <w:right w:val="single" w:sz="4" w:space="0" w:color="auto"/>
            </w:tcBorders>
            <w:shd w:val="clear" w:color="auto" w:fill="auto"/>
            <w:noWrap/>
            <w:vAlign w:val="center"/>
            <w:hideMark/>
          </w:tcPr>
          <w:p w14:paraId="3F5007E3" w14:textId="77777777" w:rsidR="00205EDC" w:rsidRPr="00DB24BC" w:rsidRDefault="00205EDC" w:rsidP="00CE5EBA">
            <w:pPr>
              <w:jc w:val="right"/>
              <w:rPr>
                <w:color w:val="000000"/>
                <w:kern w:val="22"/>
                <w:sz w:val="22"/>
                <w:szCs w:val="22"/>
              </w:rPr>
            </w:pPr>
            <w:r w:rsidRPr="00DB24BC">
              <w:rPr>
                <w:color w:val="000000"/>
                <w:kern w:val="22"/>
                <w:sz w:val="22"/>
                <w:szCs w:val="22"/>
              </w:rPr>
              <w:t>6 179</w:t>
            </w:r>
          </w:p>
        </w:tc>
      </w:tr>
      <w:tr w:rsidR="00205EDC" w:rsidRPr="00DB24BC" w14:paraId="121B869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5F0D189" w14:textId="77777777" w:rsidR="00205EDC" w:rsidRPr="00DB24BC" w:rsidRDefault="00205EDC" w:rsidP="00CE5EBA">
            <w:pPr>
              <w:rPr>
                <w:color w:val="000000"/>
                <w:kern w:val="22"/>
                <w:sz w:val="22"/>
                <w:szCs w:val="22"/>
              </w:rPr>
            </w:pPr>
            <w:r w:rsidRPr="00DB24BC">
              <w:rPr>
                <w:sz w:val="22"/>
                <w:szCs w:val="22"/>
              </w:rPr>
              <w:t>Papouasie-Nouvelle-Guinée</w:t>
            </w:r>
          </w:p>
        </w:tc>
        <w:tc>
          <w:tcPr>
            <w:tcW w:w="1580" w:type="dxa"/>
            <w:tcBorders>
              <w:top w:val="nil"/>
              <w:left w:val="nil"/>
              <w:bottom w:val="single" w:sz="4" w:space="0" w:color="auto"/>
              <w:right w:val="single" w:sz="4" w:space="0" w:color="auto"/>
            </w:tcBorders>
            <w:shd w:val="clear" w:color="auto" w:fill="auto"/>
            <w:vAlign w:val="center"/>
            <w:hideMark/>
          </w:tcPr>
          <w:p w14:paraId="32A37AF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44B13BD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013 </w:t>
            </w:r>
          </w:p>
        </w:tc>
        <w:tc>
          <w:tcPr>
            <w:tcW w:w="1580" w:type="dxa"/>
            <w:tcBorders>
              <w:top w:val="nil"/>
              <w:left w:val="nil"/>
              <w:bottom w:val="single" w:sz="4" w:space="0" w:color="auto"/>
              <w:right w:val="single" w:sz="4" w:space="0" w:color="auto"/>
            </w:tcBorders>
            <w:shd w:val="clear" w:color="auto" w:fill="auto"/>
            <w:noWrap/>
            <w:vAlign w:val="center"/>
            <w:hideMark/>
          </w:tcPr>
          <w:p w14:paraId="5E523080" w14:textId="77777777" w:rsidR="00205EDC" w:rsidRPr="00DB24BC" w:rsidRDefault="00205EDC" w:rsidP="00CE5EBA">
            <w:pPr>
              <w:jc w:val="right"/>
              <w:rPr>
                <w:color w:val="000000"/>
                <w:kern w:val="22"/>
                <w:sz w:val="22"/>
                <w:szCs w:val="22"/>
              </w:rPr>
            </w:pPr>
            <w:r w:rsidRPr="00DB24BC">
              <w:rPr>
                <w:color w:val="000000"/>
                <w:kern w:val="22"/>
                <w:sz w:val="22"/>
                <w:szCs w:val="22"/>
              </w:rPr>
              <w:t>1 373</w:t>
            </w:r>
          </w:p>
        </w:tc>
      </w:tr>
      <w:tr w:rsidR="00205EDC" w:rsidRPr="00DB24BC" w14:paraId="6B31E9C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5069AB5" w14:textId="77777777" w:rsidR="00205EDC" w:rsidRPr="00DB24BC" w:rsidRDefault="00205EDC" w:rsidP="00CE5EBA">
            <w:pPr>
              <w:rPr>
                <w:color w:val="000000"/>
                <w:kern w:val="22"/>
                <w:sz w:val="22"/>
                <w:szCs w:val="22"/>
              </w:rPr>
            </w:pPr>
            <w:r w:rsidRPr="00DB24BC">
              <w:rPr>
                <w:sz w:val="22"/>
                <w:szCs w:val="22"/>
              </w:rPr>
              <w:t>Paraguay</w:t>
            </w:r>
          </w:p>
        </w:tc>
        <w:tc>
          <w:tcPr>
            <w:tcW w:w="1580" w:type="dxa"/>
            <w:tcBorders>
              <w:top w:val="nil"/>
              <w:left w:val="nil"/>
              <w:bottom w:val="single" w:sz="4" w:space="0" w:color="auto"/>
              <w:right w:val="single" w:sz="4" w:space="0" w:color="auto"/>
            </w:tcBorders>
            <w:shd w:val="clear" w:color="auto" w:fill="auto"/>
            <w:vAlign w:val="center"/>
            <w:hideMark/>
          </w:tcPr>
          <w:p w14:paraId="2969DB6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016 </w:t>
            </w:r>
          </w:p>
        </w:tc>
        <w:tc>
          <w:tcPr>
            <w:tcW w:w="1580" w:type="dxa"/>
            <w:tcBorders>
              <w:top w:val="nil"/>
              <w:left w:val="nil"/>
              <w:bottom w:val="single" w:sz="4" w:space="0" w:color="auto"/>
              <w:right w:val="single" w:sz="4" w:space="0" w:color="auto"/>
            </w:tcBorders>
            <w:shd w:val="clear" w:color="auto" w:fill="auto"/>
            <w:noWrap/>
            <w:vAlign w:val="center"/>
            <w:hideMark/>
          </w:tcPr>
          <w:p w14:paraId="5D1313D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020 </w:t>
            </w:r>
          </w:p>
        </w:tc>
        <w:tc>
          <w:tcPr>
            <w:tcW w:w="1580" w:type="dxa"/>
            <w:tcBorders>
              <w:top w:val="nil"/>
              <w:left w:val="nil"/>
              <w:bottom w:val="single" w:sz="4" w:space="0" w:color="auto"/>
              <w:right w:val="single" w:sz="4" w:space="0" w:color="auto"/>
            </w:tcBorders>
            <w:shd w:val="clear" w:color="auto" w:fill="auto"/>
            <w:noWrap/>
            <w:vAlign w:val="center"/>
            <w:hideMark/>
          </w:tcPr>
          <w:p w14:paraId="3FEC66D6" w14:textId="77777777" w:rsidR="00205EDC" w:rsidRPr="00DB24BC" w:rsidRDefault="00205EDC" w:rsidP="00CE5EBA">
            <w:pPr>
              <w:jc w:val="right"/>
              <w:rPr>
                <w:color w:val="000000"/>
                <w:kern w:val="22"/>
                <w:sz w:val="22"/>
                <w:szCs w:val="22"/>
              </w:rPr>
            </w:pPr>
            <w:r w:rsidRPr="00DB24BC">
              <w:rPr>
                <w:color w:val="000000"/>
                <w:kern w:val="22"/>
                <w:sz w:val="22"/>
                <w:szCs w:val="22"/>
              </w:rPr>
              <w:t>2 197</w:t>
            </w:r>
          </w:p>
        </w:tc>
      </w:tr>
      <w:tr w:rsidR="00205EDC" w:rsidRPr="00DB24BC" w14:paraId="0B7904E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4E21616" w14:textId="77777777" w:rsidR="00205EDC" w:rsidRPr="00DB24BC" w:rsidRDefault="00205EDC" w:rsidP="00CE5EBA">
            <w:pPr>
              <w:rPr>
                <w:color w:val="000000"/>
                <w:kern w:val="22"/>
                <w:sz w:val="22"/>
                <w:szCs w:val="22"/>
              </w:rPr>
            </w:pPr>
            <w:r w:rsidRPr="00DB24BC">
              <w:rPr>
                <w:sz w:val="22"/>
                <w:szCs w:val="22"/>
              </w:rPr>
              <w:t>Pays-Bas</w:t>
            </w:r>
          </w:p>
        </w:tc>
        <w:tc>
          <w:tcPr>
            <w:tcW w:w="1580" w:type="dxa"/>
            <w:tcBorders>
              <w:top w:val="nil"/>
              <w:left w:val="nil"/>
              <w:bottom w:val="single" w:sz="4" w:space="0" w:color="auto"/>
              <w:right w:val="single" w:sz="4" w:space="0" w:color="auto"/>
            </w:tcBorders>
            <w:shd w:val="clear" w:color="auto" w:fill="auto"/>
            <w:vAlign w:val="center"/>
            <w:hideMark/>
          </w:tcPr>
          <w:p w14:paraId="20763D02"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356 </w:t>
            </w:r>
          </w:p>
        </w:tc>
        <w:tc>
          <w:tcPr>
            <w:tcW w:w="1580" w:type="dxa"/>
            <w:tcBorders>
              <w:top w:val="nil"/>
              <w:left w:val="nil"/>
              <w:bottom w:val="single" w:sz="4" w:space="0" w:color="auto"/>
              <w:right w:val="single" w:sz="4" w:space="0" w:color="auto"/>
            </w:tcBorders>
            <w:shd w:val="clear" w:color="auto" w:fill="auto"/>
            <w:noWrap/>
            <w:vAlign w:val="center"/>
            <w:hideMark/>
          </w:tcPr>
          <w:p w14:paraId="730F48AB"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695 </w:t>
            </w:r>
          </w:p>
        </w:tc>
        <w:tc>
          <w:tcPr>
            <w:tcW w:w="1580" w:type="dxa"/>
            <w:tcBorders>
              <w:top w:val="nil"/>
              <w:left w:val="nil"/>
              <w:bottom w:val="single" w:sz="4" w:space="0" w:color="auto"/>
              <w:right w:val="single" w:sz="4" w:space="0" w:color="auto"/>
            </w:tcBorders>
            <w:shd w:val="clear" w:color="auto" w:fill="auto"/>
            <w:noWrap/>
            <w:vAlign w:val="center"/>
            <w:hideMark/>
          </w:tcPr>
          <w:p w14:paraId="2C63CB3F" w14:textId="77777777" w:rsidR="00205EDC" w:rsidRPr="00DB24BC" w:rsidRDefault="00205EDC" w:rsidP="00CE5EBA">
            <w:pPr>
              <w:jc w:val="right"/>
              <w:rPr>
                <w:color w:val="000000"/>
                <w:kern w:val="22"/>
                <w:sz w:val="22"/>
                <w:szCs w:val="22"/>
              </w:rPr>
            </w:pPr>
            <w:r w:rsidRPr="00DB24BC">
              <w:rPr>
                <w:color w:val="000000"/>
                <w:kern w:val="22"/>
                <w:sz w:val="22"/>
                <w:szCs w:val="22"/>
              </w:rPr>
              <w:t>186 201</w:t>
            </w:r>
          </w:p>
        </w:tc>
      </w:tr>
      <w:tr w:rsidR="00205EDC" w:rsidRPr="00DB24BC" w14:paraId="1C69D43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CBEFE85" w14:textId="77777777" w:rsidR="00205EDC" w:rsidRPr="00DB24BC" w:rsidRDefault="00205EDC" w:rsidP="00CE5EBA">
            <w:pPr>
              <w:rPr>
                <w:color w:val="000000"/>
                <w:kern w:val="22"/>
                <w:sz w:val="22"/>
                <w:szCs w:val="22"/>
              </w:rPr>
            </w:pPr>
            <w:r w:rsidRPr="00DB24BC">
              <w:rPr>
                <w:sz w:val="22"/>
                <w:szCs w:val="22"/>
              </w:rPr>
              <w:t>Pérou</w:t>
            </w:r>
          </w:p>
        </w:tc>
        <w:tc>
          <w:tcPr>
            <w:tcW w:w="1580" w:type="dxa"/>
            <w:tcBorders>
              <w:top w:val="nil"/>
              <w:left w:val="nil"/>
              <w:bottom w:val="single" w:sz="4" w:space="0" w:color="auto"/>
              <w:right w:val="single" w:sz="4" w:space="0" w:color="auto"/>
            </w:tcBorders>
            <w:shd w:val="clear" w:color="auto" w:fill="auto"/>
            <w:vAlign w:val="center"/>
            <w:hideMark/>
          </w:tcPr>
          <w:p w14:paraId="063708E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152 </w:t>
            </w:r>
          </w:p>
        </w:tc>
        <w:tc>
          <w:tcPr>
            <w:tcW w:w="1580" w:type="dxa"/>
            <w:tcBorders>
              <w:top w:val="nil"/>
              <w:left w:val="nil"/>
              <w:bottom w:val="single" w:sz="4" w:space="0" w:color="auto"/>
              <w:right w:val="single" w:sz="4" w:space="0" w:color="auto"/>
            </w:tcBorders>
            <w:shd w:val="clear" w:color="auto" w:fill="auto"/>
            <w:noWrap/>
            <w:vAlign w:val="center"/>
            <w:hideMark/>
          </w:tcPr>
          <w:p w14:paraId="085DAF4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190 </w:t>
            </w:r>
          </w:p>
        </w:tc>
        <w:tc>
          <w:tcPr>
            <w:tcW w:w="1580" w:type="dxa"/>
            <w:tcBorders>
              <w:top w:val="nil"/>
              <w:left w:val="nil"/>
              <w:bottom w:val="single" w:sz="4" w:space="0" w:color="auto"/>
              <w:right w:val="single" w:sz="4" w:space="0" w:color="auto"/>
            </w:tcBorders>
            <w:shd w:val="clear" w:color="auto" w:fill="auto"/>
            <w:noWrap/>
            <w:vAlign w:val="center"/>
            <w:hideMark/>
          </w:tcPr>
          <w:p w14:paraId="0D193DF0" w14:textId="77777777" w:rsidR="00205EDC" w:rsidRPr="00DB24BC" w:rsidRDefault="00205EDC" w:rsidP="00CE5EBA">
            <w:pPr>
              <w:jc w:val="right"/>
              <w:rPr>
                <w:color w:val="000000"/>
                <w:kern w:val="22"/>
                <w:sz w:val="22"/>
                <w:szCs w:val="22"/>
              </w:rPr>
            </w:pPr>
            <w:r w:rsidRPr="00DB24BC">
              <w:rPr>
                <w:color w:val="000000"/>
                <w:kern w:val="22"/>
                <w:sz w:val="22"/>
                <w:szCs w:val="22"/>
              </w:rPr>
              <w:t>20 872</w:t>
            </w:r>
          </w:p>
        </w:tc>
      </w:tr>
      <w:tr w:rsidR="00205EDC" w:rsidRPr="00DB24BC" w14:paraId="651D95B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2FE1187" w14:textId="77777777" w:rsidR="00205EDC" w:rsidRPr="00DB24BC" w:rsidRDefault="00205EDC" w:rsidP="00CE5EBA">
            <w:pPr>
              <w:rPr>
                <w:color w:val="000000"/>
                <w:kern w:val="22"/>
                <w:sz w:val="22"/>
                <w:szCs w:val="22"/>
              </w:rPr>
            </w:pPr>
            <w:r w:rsidRPr="00DB24BC">
              <w:rPr>
                <w:sz w:val="22"/>
                <w:szCs w:val="22"/>
              </w:rPr>
              <w:t>Philippines</w:t>
            </w:r>
          </w:p>
        </w:tc>
        <w:tc>
          <w:tcPr>
            <w:tcW w:w="1580" w:type="dxa"/>
            <w:tcBorders>
              <w:top w:val="nil"/>
              <w:left w:val="nil"/>
              <w:bottom w:val="single" w:sz="4" w:space="0" w:color="auto"/>
              <w:right w:val="single" w:sz="4" w:space="0" w:color="auto"/>
            </w:tcBorders>
            <w:shd w:val="clear" w:color="auto" w:fill="auto"/>
            <w:vAlign w:val="center"/>
            <w:hideMark/>
          </w:tcPr>
          <w:p w14:paraId="07F3249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205 </w:t>
            </w:r>
          </w:p>
        </w:tc>
        <w:tc>
          <w:tcPr>
            <w:tcW w:w="1580" w:type="dxa"/>
            <w:tcBorders>
              <w:top w:val="nil"/>
              <w:left w:val="nil"/>
              <w:bottom w:val="single" w:sz="4" w:space="0" w:color="auto"/>
              <w:right w:val="single" w:sz="4" w:space="0" w:color="auto"/>
            </w:tcBorders>
            <w:shd w:val="clear" w:color="auto" w:fill="auto"/>
            <w:noWrap/>
            <w:vAlign w:val="center"/>
            <w:hideMark/>
          </w:tcPr>
          <w:p w14:paraId="15CF5F5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256 </w:t>
            </w:r>
          </w:p>
        </w:tc>
        <w:tc>
          <w:tcPr>
            <w:tcW w:w="1580" w:type="dxa"/>
            <w:tcBorders>
              <w:top w:val="nil"/>
              <w:left w:val="nil"/>
              <w:bottom w:val="single" w:sz="4" w:space="0" w:color="auto"/>
              <w:right w:val="single" w:sz="4" w:space="0" w:color="auto"/>
            </w:tcBorders>
            <w:shd w:val="clear" w:color="auto" w:fill="auto"/>
            <w:noWrap/>
            <w:vAlign w:val="center"/>
            <w:hideMark/>
          </w:tcPr>
          <w:p w14:paraId="4F896612" w14:textId="77777777" w:rsidR="00205EDC" w:rsidRPr="00DB24BC" w:rsidRDefault="00205EDC" w:rsidP="00CE5EBA">
            <w:pPr>
              <w:jc w:val="right"/>
              <w:rPr>
                <w:color w:val="000000"/>
                <w:kern w:val="22"/>
                <w:sz w:val="22"/>
                <w:szCs w:val="22"/>
              </w:rPr>
            </w:pPr>
            <w:r w:rsidRPr="00DB24BC">
              <w:rPr>
                <w:color w:val="000000"/>
                <w:kern w:val="22"/>
                <w:sz w:val="22"/>
                <w:szCs w:val="22"/>
              </w:rPr>
              <w:t>28 150</w:t>
            </w:r>
          </w:p>
        </w:tc>
      </w:tr>
      <w:tr w:rsidR="00205EDC" w:rsidRPr="00DB24BC" w14:paraId="3D52A86C"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B0614EE" w14:textId="77777777" w:rsidR="00205EDC" w:rsidRPr="00DB24BC" w:rsidRDefault="00205EDC" w:rsidP="00CE5EBA">
            <w:pPr>
              <w:rPr>
                <w:color w:val="000000"/>
                <w:kern w:val="22"/>
                <w:sz w:val="22"/>
                <w:szCs w:val="22"/>
              </w:rPr>
            </w:pPr>
            <w:r w:rsidRPr="00DB24BC">
              <w:rPr>
                <w:sz w:val="22"/>
                <w:szCs w:val="22"/>
              </w:rPr>
              <w:t>Pologne</w:t>
            </w:r>
          </w:p>
        </w:tc>
        <w:tc>
          <w:tcPr>
            <w:tcW w:w="1580" w:type="dxa"/>
            <w:tcBorders>
              <w:top w:val="nil"/>
              <w:left w:val="nil"/>
              <w:bottom w:val="single" w:sz="4" w:space="0" w:color="auto"/>
              <w:right w:val="single" w:sz="4" w:space="0" w:color="auto"/>
            </w:tcBorders>
            <w:shd w:val="clear" w:color="auto" w:fill="auto"/>
            <w:vAlign w:val="center"/>
            <w:hideMark/>
          </w:tcPr>
          <w:p w14:paraId="735DBAC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802 </w:t>
            </w:r>
          </w:p>
        </w:tc>
        <w:tc>
          <w:tcPr>
            <w:tcW w:w="1580" w:type="dxa"/>
            <w:tcBorders>
              <w:top w:val="nil"/>
              <w:left w:val="nil"/>
              <w:bottom w:val="single" w:sz="4" w:space="0" w:color="auto"/>
              <w:right w:val="single" w:sz="4" w:space="0" w:color="auto"/>
            </w:tcBorders>
            <w:shd w:val="clear" w:color="auto" w:fill="auto"/>
            <w:noWrap/>
            <w:vAlign w:val="center"/>
            <w:hideMark/>
          </w:tcPr>
          <w:p w14:paraId="6DD49AEC"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1048362A" w14:textId="77777777" w:rsidR="00205EDC" w:rsidRPr="00DB24BC" w:rsidRDefault="00205EDC" w:rsidP="00CE5EBA">
            <w:pPr>
              <w:jc w:val="right"/>
              <w:rPr>
                <w:color w:val="000000"/>
                <w:kern w:val="22"/>
                <w:sz w:val="22"/>
                <w:szCs w:val="22"/>
              </w:rPr>
            </w:pPr>
            <w:r w:rsidRPr="00DB24BC">
              <w:rPr>
                <w:color w:val="000000"/>
                <w:kern w:val="22"/>
                <w:sz w:val="22"/>
                <w:szCs w:val="22"/>
              </w:rPr>
              <w:t>110 128</w:t>
            </w:r>
          </w:p>
        </w:tc>
      </w:tr>
      <w:tr w:rsidR="00205EDC" w:rsidRPr="00DB24BC" w14:paraId="3009E47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71415CC" w14:textId="77777777" w:rsidR="00205EDC" w:rsidRPr="00DB24BC" w:rsidRDefault="00205EDC" w:rsidP="00CE5EBA">
            <w:pPr>
              <w:rPr>
                <w:color w:val="000000"/>
                <w:kern w:val="22"/>
                <w:sz w:val="22"/>
                <w:szCs w:val="22"/>
              </w:rPr>
            </w:pPr>
            <w:r w:rsidRPr="00DB24BC">
              <w:rPr>
                <w:sz w:val="22"/>
                <w:szCs w:val="22"/>
              </w:rPr>
              <w:t>Portugal</w:t>
            </w:r>
          </w:p>
        </w:tc>
        <w:tc>
          <w:tcPr>
            <w:tcW w:w="1580" w:type="dxa"/>
            <w:tcBorders>
              <w:top w:val="nil"/>
              <w:left w:val="nil"/>
              <w:bottom w:val="single" w:sz="4" w:space="0" w:color="auto"/>
              <w:right w:val="single" w:sz="4" w:space="0" w:color="auto"/>
            </w:tcBorders>
            <w:shd w:val="clear" w:color="auto" w:fill="auto"/>
            <w:vAlign w:val="center"/>
            <w:hideMark/>
          </w:tcPr>
          <w:p w14:paraId="4894EF6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350 </w:t>
            </w:r>
          </w:p>
        </w:tc>
        <w:tc>
          <w:tcPr>
            <w:tcW w:w="1580" w:type="dxa"/>
            <w:tcBorders>
              <w:top w:val="nil"/>
              <w:left w:val="nil"/>
              <w:bottom w:val="single" w:sz="4" w:space="0" w:color="auto"/>
              <w:right w:val="single" w:sz="4" w:space="0" w:color="auto"/>
            </w:tcBorders>
            <w:shd w:val="clear" w:color="auto" w:fill="auto"/>
            <w:noWrap/>
            <w:vAlign w:val="center"/>
            <w:hideMark/>
          </w:tcPr>
          <w:p w14:paraId="14B20AE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438 </w:t>
            </w:r>
          </w:p>
        </w:tc>
        <w:tc>
          <w:tcPr>
            <w:tcW w:w="1580" w:type="dxa"/>
            <w:tcBorders>
              <w:top w:val="nil"/>
              <w:left w:val="nil"/>
              <w:bottom w:val="single" w:sz="4" w:space="0" w:color="auto"/>
              <w:right w:val="single" w:sz="4" w:space="0" w:color="auto"/>
            </w:tcBorders>
            <w:shd w:val="clear" w:color="auto" w:fill="auto"/>
            <w:noWrap/>
            <w:vAlign w:val="center"/>
            <w:hideMark/>
          </w:tcPr>
          <w:p w14:paraId="0D5925C0" w14:textId="77777777" w:rsidR="00205EDC" w:rsidRPr="00DB24BC" w:rsidRDefault="00205EDC" w:rsidP="00CE5EBA">
            <w:pPr>
              <w:jc w:val="right"/>
              <w:rPr>
                <w:color w:val="000000"/>
                <w:kern w:val="22"/>
                <w:sz w:val="22"/>
                <w:szCs w:val="22"/>
              </w:rPr>
            </w:pPr>
            <w:r w:rsidRPr="00DB24BC">
              <w:rPr>
                <w:color w:val="000000"/>
                <w:kern w:val="22"/>
                <w:sz w:val="22"/>
                <w:szCs w:val="22"/>
              </w:rPr>
              <w:t>48 061</w:t>
            </w:r>
          </w:p>
        </w:tc>
      </w:tr>
      <w:tr w:rsidR="00205EDC" w:rsidRPr="00DB24BC" w14:paraId="453644E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68E2EB4" w14:textId="77777777" w:rsidR="00205EDC" w:rsidRPr="00DB24BC" w:rsidRDefault="00205EDC" w:rsidP="00CE5EBA">
            <w:pPr>
              <w:rPr>
                <w:color w:val="000000"/>
                <w:kern w:val="22"/>
                <w:sz w:val="22"/>
                <w:szCs w:val="22"/>
              </w:rPr>
            </w:pPr>
            <w:r w:rsidRPr="00DB24BC">
              <w:rPr>
                <w:sz w:val="22"/>
                <w:szCs w:val="22"/>
              </w:rPr>
              <w:t>République arabe syrienne</w:t>
            </w:r>
          </w:p>
        </w:tc>
        <w:tc>
          <w:tcPr>
            <w:tcW w:w="1580" w:type="dxa"/>
            <w:tcBorders>
              <w:top w:val="nil"/>
              <w:left w:val="nil"/>
              <w:bottom w:val="single" w:sz="4" w:space="0" w:color="auto"/>
              <w:right w:val="single" w:sz="4" w:space="0" w:color="auto"/>
            </w:tcBorders>
            <w:shd w:val="clear" w:color="auto" w:fill="auto"/>
            <w:vAlign w:val="center"/>
            <w:hideMark/>
          </w:tcPr>
          <w:p w14:paraId="17A26CD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011 </w:t>
            </w:r>
          </w:p>
        </w:tc>
        <w:tc>
          <w:tcPr>
            <w:tcW w:w="1580" w:type="dxa"/>
            <w:tcBorders>
              <w:top w:val="nil"/>
              <w:left w:val="nil"/>
              <w:bottom w:val="single" w:sz="4" w:space="0" w:color="auto"/>
              <w:right w:val="single" w:sz="4" w:space="0" w:color="auto"/>
            </w:tcBorders>
            <w:shd w:val="clear" w:color="auto" w:fill="auto"/>
            <w:noWrap/>
            <w:vAlign w:val="center"/>
            <w:hideMark/>
          </w:tcPr>
          <w:p w14:paraId="4D35FF1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014 </w:t>
            </w:r>
          </w:p>
        </w:tc>
        <w:tc>
          <w:tcPr>
            <w:tcW w:w="1580" w:type="dxa"/>
            <w:tcBorders>
              <w:top w:val="nil"/>
              <w:left w:val="nil"/>
              <w:bottom w:val="single" w:sz="4" w:space="0" w:color="auto"/>
              <w:right w:val="single" w:sz="4" w:space="0" w:color="auto"/>
            </w:tcBorders>
            <w:shd w:val="clear" w:color="auto" w:fill="auto"/>
            <w:noWrap/>
            <w:vAlign w:val="center"/>
            <w:hideMark/>
          </w:tcPr>
          <w:p w14:paraId="2B8916A3" w14:textId="77777777" w:rsidR="00205EDC" w:rsidRPr="00DB24BC" w:rsidRDefault="00205EDC" w:rsidP="00CE5EBA">
            <w:pPr>
              <w:jc w:val="right"/>
              <w:rPr>
                <w:color w:val="000000"/>
                <w:kern w:val="22"/>
                <w:sz w:val="22"/>
                <w:szCs w:val="22"/>
              </w:rPr>
            </w:pPr>
            <w:r w:rsidRPr="00DB24BC">
              <w:rPr>
                <w:color w:val="000000"/>
                <w:kern w:val="22"/>
                <w:sz w:val="22"/>
                <w:szCs w:val="22"/>
              </w:rPr>
              <w:t>1 510</w:t>
            </w:r>
          </w:p>
        </w:tc>
      </w:tr>
      <w:tr w:rsidR="00205EDC" w:rsidRPr="00CF06A4" w14:paraId="3807A52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DFE3C04" w14:textId="77777777" w:rsidR="00205EDC" w:rsidRPr="00CF06A4" w:rsidRDefault="00205EDC" w:rsidP="00CE5EBA">
            <w:pPr>
              <w:rPr>
                <w:color w:val="000000"/>
                <w:kern w:val="22"/>
                <w:sz w:val="22"/>
                <w:szCs w:val="20"/>
              </w:rPr>
            </w:pPr>
            <w:r w:rsidRPr="00CF06A4">
              <w:rPr>
                <w:sz w:val="22"/>
                <w:szCs w:val="20"/>
              </w:rPr>
              <w:t>République centrafricaine</w:t>
            </w:r>
          </w:p>
        </w:tc>
        <w:tc>
          <w:tcPr>
            <w:tcW w:w="1580" w:type="dxa"/>
            <w:tcBorders>
              <w:top w:val="nil"/>
              <w:left w:val="nil"/>
              <w:bottom w:val="single" w:sz="4" w:space="0" w:color="auto"/>
              <w:right w:val="single" w:sz="4" w:space="0" w:color="auto"/>
            </w:tcBorders>
            <w:shd w:val="clear" w:color="auto" w:fill="auto"/>
            <w:vAlign w:val="center"/>
            <w:hideMark/>
          </w:tcPr>
          <w:p w14:paraId="2D514716"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220E478"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2E9A263" w14:textId="77777777" w:rsidR="00205EDC" w:rsidRPr="00CF06A4" w:rsidRDefault="00205EDC" w:rsidP="00CE5EBA">
            <w:pPr>
              <w:jc w:val="right"/>
              <w:rPr>
                <w:color w:val="000000"/>
                <w:kern w:val="22"/>
                <w:sz w:val="22"/>
                <w:szCs w:val="20"/>
              </w:rPr>
            </w:pPr>
            <w:r w:rsidRPr="00CF06A4">
              <w:rPr>
                <w:color w:val="000000"/>
                <w:kern w:val="22"/>
                <w:sz w:val="22"/>
                <w:szCs w:val="20"/>
              </w:rPr>
              <w:t>137</w:t>
            </w:r>
          </w:p>
        </w:tc>
      </w:tr>
      <w:tr w:rsidR="00205EDC" w:rsidRPr="00CF06A4" w14:paraId="775E156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857A64E" w14:textId="77777777" w:rsidR="00205EDC" w:rsidRPr="00CF06A4" w:rsidRDefault="00205EDC" w:rsidP="00CE5EBA">
            <w:pPr>
              <w:rPr>
                <w:color w:val="000000"/>
                <w:kern w:val="22"/>
                <w:sz w:val="22"/>
                <w:szCs w:val="20"/>
              </w:rPr>
            </w:pPr>
            <w:r w:rsidRPr="00CF06A4">
              <w:rPr>
                <w:sz w:val="22"/>
                <w:szCs w:val="20"/>
              </w:rPr>
              <w:t>République démocratique du Congo</w:t>
            </w:r>
          </w:p>
        </w:tc>
        <w:tc>
          <w:tcPr>
            <w:tcW w:w="1580" w:type="dxa"/>
            <w:tcBorders>
              <w:top w:val="nil"/>
              <w:left w:val="nil"/>
              <w:bottom w:val="single" w:sz="4" w:space="0" w:color="auto"/>
              <w:right w:val="single" w:sz="4" w:space="0" w:color="auto"/>
            </w:tcBorders>
            <w:shd w:val="clear" w:color="auto" w:fill="auto"/>
            <w:vAlign w:val="center"/>
            <w:hideMark/>
          </w:tcPr>
          <w:p w14:paraId="7593CFB5"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429436A2"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4B00C3A3" w14:textId="77777777" w:rsidR="00205EDC" w:rsidRPr="00CF06A4" w:rsidRDefault="00205EDC" w:rsidP="00CE5EBA">
            <w:pPr>
              <w:jc w:val="right"/>
              <w:rPr>
                <w:color w:val="000000"/>
                <w:kern w:val="22"/>
                <w:sz w:val="22"/>
                <w:szCs w:val="20"/>
              </w:rPr>
            </w:pPr>
            <w:r w:rsidRPr="00CF06A4">
              <w:rPr>
                <w:color w:val="000000"/>
                <w:kern w:val="22"/>
                <w:sz w:val="22"/>
                <w:szCs w:val="20"/>
              </w:rPr>
              <w:t>1 098</w:t>
            </w:r>
          </w:p>
        </w:tc>
      </w:tr>
      <w:tr w:rsidR="00205EDC" w:rsidRPr="00DB24BC" w14:paraId="64B6BBD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F693FA1" w14:textId="77777777" w:rsidR="00205EDC" w:rsidRPr="00DB24BC" w:rsidRDefault="00205EDC" w:rsidP="00CE5EBA">
            <w:pPr>
              <w:rPr>
                <w:color w:val="000000"/>
                <w:kern w:val="22"/>
                <w:sz w:val="22"/>
                <w:szCs w:val="22"/>
              </w:rPr>
            </w:pPr>
            <w:r w:rsidRPr="00DB24BC">
              <w:rPr>
                <w:color w:val="000000"/>
                <w:kern w:val="22"/>
                <w:sz w:val="22"/>
                <w:szCs w:val="22"/>
              </w:rPr>
              <w:t>République démocratique populaire lao</w:t>
            </w:r>
          </w:p>
        </w:tc>
        <w:tc>
          <w:tcPr>
            <w:tcW w:w="1580" w:type="dxa"/>
            <w:tcBorders>
              <w:top w:val="nil"/>
              <w:left w:val="nil"/>
              <w:bottom w:val="single" w:sz="4" w:space="0" w:color="auto"/>
              <w:right w:val="single" w:sz="4" w:space="0" w:color="auto"/>
            </w:tcBorders>
            <w:shd w:val="clear" w:color="auto" w:fill="auto"/>
            <w:vAlign w:val="center"/>
            <w:hideMark/>
          </w:tcPr>
          <w:p w14:paraId="33BAEA8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24C39A8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7F0B0473" w14:textId="77777777" w:rsidR="00205EDC" w:rsidRPr="00DB24BC" w:rsidRDefault="00205EDC" w:rsidP="00CE5EBA">
            <w:pPr>
              <w:jc w:val="right"/>
              <w:rPr>
                <w:color w:val="000000"/>
                <w:kern w:val="22"/>
                <w:sz w:val="22"/>
                <w:szCs w:val="22"/>
              </w:rPr>
            </w:pPr>
            <w:r w:rsidRPr="00DB24BC">
              <w:rPr>
                <w:color w:val="000000"/>
                <w:kern w:val="22"/>
                <w:sz w:val="22"/>
                <w:szCs w:val="22"/>
              </w:rPr>
              <w:t>687</w:t>
            </w:r>
          </w:p>
        </w:tc>
      </w:tr>
      <w:tr w:rsidR="00205EDC" w:rsidRPr="00CF06A4" w14:paraId="511156F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1502D7F" w14:textId="77777777" w:rsidR="00205EDC" w:rsidRPr="00CF06A4" w:rsidRDefault="00205EDC" w:rsidP="00CE5EBA">
            <w:pPr>
              <w:rPr>
                <w:color w:val="000000"/>
                <w:kern w:val="22"/>
                <w:sz w:val="22"/>
                <w:szCs w:val="20"/>
              </w:rPr>
            </w:pPr>
            <w:r w:rsidRPr="00CF06A4">
              <w:rPr>
                <w:sz w:val="22"/>
                <w:szCs w:val="20"/>
              </w:rPr>
              <w:t>République dominicaine</w:t>
            </w:r>
          </w:p>
        </w:tc>
        <w:tc>
          <w:tcPr>
            <w:tcW w:w="1580" w:type="dxa"/>
            <w:tcBorders>
              <w:top w:val="nil"/>
              <w:left w:val="nil"/>
              <w:bottom w:val="single" w:sz="4" w:space="0" w:color="auto"/>
              <w:right w:val="single" w:sz="4" w:space="0" w:color="auto"/>
            </w:tcBorders>
            <w:shd w:val="clear" w:color="auto" w:fill="auto"/>
            <w:vAlign w:val="center"/>
            <w:hideMark/>
          </w:tcPr>
          <w:p w14:paraId="0BEE428C"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053 </w:t>
            </w:r>
          </w:p>
        </w:tc>
        <w:tc>
          <w:tcPr>
            <w:tcW w:w="1580" w:type="dxa"/>
            <w:tcBorders>
              <w:top w:val="nil"/>
              <w:left w:val="nil"/>
              <w:bottom w:val="single" w:sz="4" w:space="0" w:color="auto"/>
              <w:right w:val="single" w:sz="4" w:space="0" w:color="auto"/>
            </w:tcBorders>
            <w:shd w:val="clear" w:color="auto" w:fill="auto"/>
            <w:noWrap/>
            <w:vAlign w:val="center"/>
            <w:hideMark/>
          </w:tcPr>
          <w:p w14:paraId="4E7BAD6E"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066 </w:t>
            </w:r>
          </w:p>
        </w:tc>
        <w:tc>
          <w:tcPr>
            <w:tcW w:w="1580" w:type="dxa"/>
            <w:tcBorders>
              <w:top w:val="nil"/>
              <w:left w:val="nil"/>
              <w:bottom w:val="single" w:sz="4" w:space="0" w:color="auto"/>
              <w:right w:val="single" w:sz="4" w:space="0" w:color="auto"/>
            </w:tcBorders>
            <w:shd w:val="clear" w:color="auto" w:fill="auto"/>
            <w:noWrap/>
            <w:vAlign w:val="center"/>
            <w:hideMark/>
          </w:tcPr>
          <w:p w14:paraId="79B9341E" w14:textId="77777777" w:rsidR="00205EDC" w:rsidRPr="00CF06A4" w:rsidRDefault="00205EDC" w:rsidP="00CE5EBA">
            <w:pPr>
              <w:jc w:val="right"/>
              <w:rPr>
                <w:color w:val="000000"/>
                <w:kern w:val="22"/>
                <w:sz w:val="22"/>
                <w:szCs w:val="20"/>
              </w:rPr>
            </w:pPr>
            <w:r w:rsidRPr="00CF06A4">
              <w:rPr>
                <w:color w:val="000000"/>
                <w:kern w:val="22"/>
                <w:sz w:val="22"/>
                <w:szCs w:val="20"/>
              </w:rPr>
              <w:t>7 278</w:t>
            </w:r>
          </w:p>
        </w:tc>
      </w:tr>
      <w:tr w:rsidR="00205EDC" w:rsidRPr="00CF06A4" w14:paraId="5AD52C7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1420325" w14:textId="77777777" w:rsidR="00205EDC" w:rsidRPr="00CF06A4" w:rsidRDefault="00205EDC" w:rsidP="00CE5EBA">
            <w:pPr>
              <w:rPr>
                <w:color w:val="000000"/>
                <w:kern w:val="22"/>
                <w:sz w:val="22"/>
                <w:szCs w:val="20"/>
              </w:rPr>
            </w:pPr>
            <w:r w:rsidRPr="00CF06A4">
              <w:rPr>
                <w:sz w:val="22"/>
                <w:szCs w:val="20"/>
              </w:rPr>
              <w:t>République populaire démocratique de Corée</w:t>
            </w:r>
          </w:p>
        </w:tc>
        <w:tc>
          <w:tcPr>
            <w:tcW w:w="1580" w:type="dxa"/>
            <w:tcBorders>
              <w:top w:val="nil"/>
              <w:left w:val="nil"/>
              <w:bottom w:val="single" w:sz="4" w:space="0" w:color="auto"/>
              <w:right w:val="single" w:sz="4" w:space="0" w:color="auto"/>
            </w:tcBorders>
            <w:shd w:val="clear" w:color="auto" w:fill="auto"/>
            <w:vAlign w:val="center"/>
            <w:hideMark/>
          </w:tcPr>
          <w:p w14:paraId="7C7F6BDE"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3F5A2427"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0029B36E" w14:textId="77777777" w:rsidR="00205EDC" w:rsidRPr="00CF06A4" w:rsidRDefault="00205EDC" w:rsidP="00CE5EBA">
            <w:pPr>
              <w:jc w:val="right"/>
              <w:rPr>
                <w:color w:val="000000"/>
                <w:kern w:val="22"/>
                <w:sz w:val="22"/>
                <w:szCs w:val="20"/>
              </w:rPr>
            </w:pPr>
            <w:r w:rsidRPr="00CF06A4">
              <w:rPr>
                <w:color w:val="000000"/>
                <w:kern w:val="22"/>
                <w:sz w:val="22"/>
                <w:szCs w:val="20"/>
              </w:rPr>
              <w:t>824</w:t>
            </w:r>
          </w:p>
        </w:tc>
      </w:tr>
      <w:tr w:rsidR="00205EDC" w:rsidRPr="00DB24BC" w14:paraId="54F4FF1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F17E990" w14:textId="77777777" w:rsidR="00205EDC" w:rsidRPr="00DB24BC" w:rsidRDefault="00205EDC" w:rsidP="00CE5EBA">
            <w:pPr>
              <w:rPr>
                <w:color w:val="000000"/>
                <w:kern w:val="22"/>
                <w:sz w:val="22"/>
                <w:szCs w:val="22"/>
              </w:rPr>
            </w:pPr>
            <w:r w:rsidRPr="00DB24BC">
              <w:rPr>
                <w:sz w:val="22"/>
                <w:szCs w:val="22"/>
              </w:rPr>
              <w:t>République-Unie de Tanzanie</w:t>
            </w:r>
          </w:p>
        </w:tc>
        <w:tc>
          <w:tcPr>
            <w:tcW w:w="1580" w:type="dxa"/>
            <w:tcBorders>
              <w:top w:val="nil"/>
              <w:left w:val="nil"/>
              <w:bottom w:val="single" w:sz="4" w:space="0" w:color="auto"/>
              <w:right w:val="single" w:sz="4" w:space="0" w:color="auto"/>
            </w:tcBorders>
            <w:shd w:val="clear" w:color="auto" w:fill="auto"/>
            <w:vAlign w:val="center"/>
            <w:hideMark/>
          </w:tcPr>
          <w:p w14:paraId="136805B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18B107F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5A8C5711" w14:textId="77777777" w:rsidR="00205EDC" w:rsidRPr="00DB24BC" w:rsidRDefault="00205EDC" w:rsidP="00CE5EBA">
            <w:pPr>
              <w:jc w:val="right"/>
              <w:rPr>
                <w:color w:val="000000"/>
                <w:kern w:val="22"/>
                <w:sz w:val="22"/>
                <w:szCs w:val="22"/>
              </w:rPr>
            </w:pPr>
            <w:r w:rsidRPr="00DB24BC">
              <w:rPr>
                <w:color w:val="000000"/>
                <w:kern w:val="22"/>
                <w:sz w:val="22"/>
                <w:szCs w:val="22"/>
              </w:rPr>
              <w:t>1 098</w:t>
            </w:r>
          </w:p>
        </w:tc>
      </w:tr>
      <w:tr w:rsidR="00205EDC" w:rsidRPr="00DB24BC" w14:paraId="4B420A2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5EA0B7D" w14:textId="77777777" w:rsidR="00205EDC" w:rsidRPr="00DB24BC" w:rsidRDefault="00205EDC" w:rsidP="00CE5EBA">
            <w:pPr>
              <w:rPr>
                <w:color w:val="000000"/>
                <w:kern w:val="22"/>
                <w:sz w:val="22"/>
                <w:szCs w:val="22"/>
              </w:rPr>
            </w:pPr>
            <w:r w:rsidRPr="00DB24BC">
              <w:rPr>
                <w:sz w:val="22"/>
                <w:szCs w:val="22"/>
              </w:rPr>
              <w:t>Royaume-Uni de Grande-Bretagne et d'Irlande du Nord</w:t>
            </w:r>
          </w:p>
        </w:tc>
        <w:tc>
          <w:tcPr>
            <w:tcW w:w="1580" w:type="dxa"/>
            <w:tcBorders>
              <w:top w:val="nil"/>
              <w:left w:val="nil"/>
              <w:bottom w:val="single" w:sz="4" w:space="0" w:color="auto"/>
              <w:right w:val="single" w:sz="4" w:space="0" w:color="auto"/>
            </w:tcBorders>
            <w:shd w:val="clear" w:color="auto" w:fill="auto"/>
            <w:vAlign w:val="center"/>
            <w:hideMark/>
          </w:tcPr>
          <w:p w14:paraId="0EC78BDC" w14:textId="77777777" w:rsidR="00205EDC" w:rsidRPr="00DB24BC" w:rsidRDefault="00205EDC" w:rsidP="00CE5EBA">
            <w:pPr>
              <w:jc w:val="right"/>
              <w:rPr>
                <w:color w:val="000000"/>
                <w:kern w:val="22"/>
                <w:sz w:val="22"/>
                <w:szCs w:val="22"/>
              </w:rPr>
            </w:pPr>
            <w:r w:rsidRPr="00DB24BC">
              <w:rPr>
                <w:color w:val="000000"/>
                <w:kern w:val="22"/>
                <w:sz w:val="22"/>
                <w:szCs w:val="22"/>
              </w:rPr>
              <w:t>4</w:t>
            </w:r>
            <w:r>
              <w:rPr>
                <w:color w:val="000000"/>
                <w:kern w:val="22"/>
                <w:sz w:val="22"/>
                <w:szCs w:val="22"/>
              </w:rPr>
              <w:t>,</w:t>
            </w:r>
            <w:r w:rsidRPr="00DB24BC">
              <w:rPr>
                <w:color w:val="000000"/>
                <w:kern w:val="22"/>
                <w:sz w:val="22"/>
                <w:szCs w:val="22"/>
              </w:rPr>
              <w:t xml:space="preserve">567 </w:t>
            </w:r>
          </w:p>
        </w:tc>
        <w:tc>
          <w:tcPr>
            <w:tcW w:w="1580" w:type="dxa"/>
            <w:tcBorders>
              <w:top w:val="nil"/>
              <w:left w:val="nil"/>
              <w:bottom w:val="single" w:sz="4" w:space="0" w:color="auto"/>
              <w:right w:val="single" w:sz="4" w:space="0" w:color="auto"/>
            </w:tcBorders>
            <w:shd w:val="clear" w:color="auto" w:fill="auto"/>
            <w:noWrap/>
            <w:vAlign w:val="center"/>
            <w:hideMark/>
          </w:tcPr>
          <w:p w14:paraId="184D3B69" w14:textId="77777777" w:rsidR="00205EDC" w:rsidRPr="00DB24BC" w:rsidRDefault="00205EDC" w:rsidP="00CE5EBA">
            <w:pPr>
              <w:jc w:val="right"/>
              <w:rPr>
                <w:color w:val="000000"/>
                <w:kern w:val="22"/>
                <w:sz w:val="22"/>
                <w:szCs w:val="22"/>
              </w:rPr>
            </w:pPr>
            <w:r w:rsidRPr="00DB24BC">
              <w:rPr>
                <w:color w:val="000000"/>
                <w:kern w:val="22"/>
                <w:sz w:val="22"/>
                <w:szCs w:val="22"/>
              </w:rPr>
              <w:t>5</w:t>
            </w:r>
            <w:r>
              <w:rPr>
                <w:color w:val="000000"/>
                <w:kern w:val="22"/>
                <w:sz w:val="22"/>
                <w:szCs w:val="22"/>
              </w:rPr>
              <w:t>,</w:t>
            </w:r>
            <w:r w:rsidRPr="00DB24BC">
              <w:rPr>
                <w:color w:val="000000"/>
                <w:kern w:val="22"/>
                <w:sz w:val="22"/>
                <w:szCs w:val="22"/>
              </w:rPr>
              <w:t xml:space="preserve">710 </w:t>
            </w:r>
          </w:p>
        </w:tc>
        <w:tc>
          <w:tcPr>
            <w:tcW w:w="1580" w:type="dxa"/>
            <w:tcBorders>
              <w:top w:val="nil"/>
              <w:left w:val="nil"/>
              <w:bottom w:val="single" w:sz="4" w:space="0" w:color="auto"/>
              <w:right w:val="single" w:sz="4" w:space="0" w:color="auto"/>
            </w:tcBorders>
            <w:shd w:val="clear" w:color="auto" w:fill="auto"/>
            <w:noWrap/>
            <w:vAlign w:val="center"/>
            <w:hideMark/>
          </w:tcPr>
          <w:p w14:paraId="65ECDF5E" w14:textId="77777777" w:rsidR="00205EDC" w:rsidRPr="00DB24BC" w:rsidRDefault="00205EDC" w:rsidP="00CE5EBA">
            <w:pPr>
              <w:jc w:val="right"/>
              <w:rPr>
                <w:color w:val="000000"/>
                <w:kern w:val="22"/>
                <w:sz w:val="22"/>
                <w:szCs w:val="22"/>
              </w:rPr>
            </w:pPr>
            <w:r w:rsidRPr="00DB24BC">
              <w:rPr>
                <w:color w:val="000000"/>
                <w:kern w:val="22"/>
                <w:sz w:val="22"/>
                <w:szCs w:val="22"/>
              </w:rPr>
              <w:t>627 123</w:t>
            </w:r>
          </w:p>
        </w:tc>
      </w:tr>
      <w:tr w:rsidR="00205EDC" w:rsidRPr="00DB24BC" w14:paraId="4043574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F8BDD9F" w14:textId="77777777" w:rsidR="00205EDC" w:rsidRPr="00DB24BC" w:rsidRDefault="00205EDC" w:rsidP="00CE5EBA">
            <w:pPr>
              <w:rPr>
                <w:color w:val="000000"/>
                <w:kern w:val="22"/>
                <w:sz w:val="22"/>
                <w:szCs w:val="22"/>
              </w:rPr>
            </w:pPr>
            <w:r w:rsidRPr="00DB24BC">
              <w:rPr>
                <w:sz w:val="22"/>
                <w:szCs w:val="22"/>
              </w:rPr>
              <w:t>Rwanda</w:t>
            </w:r>
          </w:p>
        </w:tc>
        <w:tc>
          <w:tcPr>
            <w:tcW w:w="1580" w:type="dxa"/>
            <w:tcBorders>
              <w:top w:val="nil"/>
              <w:left w:val="nil"/>
              <w:bottom w:val="single" w:sz="4" w:space="0" w:color="auto"/>
              <w:right w:val="single" w:sz="4" w:space="0" w:color="auto"/>
            </w:tcBorders>
            <w:shd w:val="clear" w:color="auto" w:fill="auto"/>
            <w:vAlign w:val="center"/>
            <w:hideMark/>
          </w:tcPr>
          <w:p w14:paraId="73C1EEB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282 </w:t>
            </w:r>
          </w:p>
        </w:tc>
        <w:tc>
          <w:tcPr>
            <w:tcW w:w="1580" w:type="dxa"/>
            <w:tcBorders>
              <w:top w:val="nil"/>
              <w:left w:val="nil"/>
              <w:bottom w:val="single" w:sz="4" w:space="0" w:color="auto"/>
              <w:right w:val="single" w:sz="4" w:space="0" w:color="auto"/>
            </w:tcBorders>
            <w:shd w:val="clear" w:color="auto" w:fill="auto"/>
            <w:noWrap/>
            <w:vAlign w:val="center"/>
            <w:hideMark/>
          </w:tcPr>
          <w:p w14:paraId="71F0713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353 </w:t>
            </w:r>
          </w:p>
        </w:tc>
        <w:tc>
          <w:tcPr>
            <w:tcW w:w="1580" w:type="dxa"/>
            <w:tcBorders>
              <w:top w:val="nil"/>
              <w:left w:val="nil"/>
              <w:bottom w:val="single" w:sz="4" w:space="0" w:color="auto"/>
              <w:right w:val="single" w:sz="4" w:space="0" w:color="auto"/>
            </w:tcBorders>
            <w:shd w:val="clear" w:color="auto" w:fill="auto"/>
            <w:noWrap/>
            <w:vAlign w:val="center"/>
            <w:hideMark/>
          </w:tcPr>
          <w:p w14:paraId="30336F58" w14:textId="77777777" w:rsidR="00205EDC" w:rsidRPr="00DB24BC" w:rsidRDefault="00205EDC" w:rsidP="00CE5EBA">
            <w:pPr>
              <w:jc w:val="right"/>
              <w:rPr>
                <w:color w:val="000000"/>
                <w:kern w:val="22"/>
                <w:sz w:val="22"/>
                <w:szCs w:val="22"/>
              </w:rPr>
            </w:pPr>
            <w:r w:rsidRPr="00DB24BC">
              <w:rPr>
                <w:color w:val="000000"/>
                <w:kern w:val="22"/>
                <w:sz w:val="22"/>
                <w:szCs w:val="22"/>
              </w:rPr>
              <w:t>38 723</w:t>
            </w:r>
          </w:p>
        </w:tc>
      </w:tr>
      <w:tr w:rsidR="00205EDC" w:rsidRPr="00DB24BC" w14:paraId="784CD76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2778C70" w14:textId="77777777" w:rsidR="00205EDC" w:rsidRPr="00DB24BC" w:rsidRDefault="00205EDC" w:rsidP="00CE5EBA">
            <w:pPr>
              <w:rPr>
                <w:color w:val="000000"/>
                <w:kern w:val="22"/>
                <w:sz w:val="22"/>
                <w:szCs w:val="22"/>
              </w:rPr>
            </w:pPr>
            <w:r w:rsidRPr="00DB24BC">
              <w:rPr>
                <w:sz w:val="22"/>
                <w:szCs w:val="22"/>
              </w:rPr>
              <w:t>Rwanda</w:t>
            </w:r>
          </w:p>
        </w:tc>
        <w:tc>
          <w:tcPr>
            <w:tcW w:w="1580" w:type="dxa"/>
            <w:tcBorders>
              <w:top w:val="nil"/>
              <w:left w:val="nil"/>
              <w:bottom w:val="single" w:sz="4" w:space="0" w:color="auto"/>
              <w:right w:val="single" w:sz="4" w:space="0" w:color="auto"/>
            </w:tcBorders>
            <w:shd w:val="clear" w:color="auto" w:fill="auto"/>
            <w:vAlign w:val="center"/>
            <w:hideMark/>
          </w:tcPr>
          <w:p w14:paraId="6F53A27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768D94B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308EFB56" w14:textId="77777777" w:rsidR="00205EDC" w:rsidRPr="00DB24BC" w:rsidRDefault="00205EDC" w:rsidP="00CE5EBA">
            <w:pPr>
              <w:jc w:val="right"/>
              <w:rPr>
                <w:color w:val="000000"/>
                <w:kern w:val="22"/>
                <w:sz w:val="22"/>
                <w:szCs w:val="22"/>
              </w:rPr>
            </w:pPr>
            <w:r w:rsidRPr="00DB24BC">
              <w:rPr>
                <w:color w:val="000000"/>
                <w:kern w:val="22"/>
                <w:sz w:val="22"/>
                <w:szCs w:val="22"/>
              </w:rPr>
              <w:t>824</w:t>
            </w:r>
          </w:p>
        </w:tc>
      </w:tr>
      <w:tr w:rsidR="00205EDC" w:rsidRPr="00DB24BC" w14:paraId="7D906EAC"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6F056FF" w14:textId="77777777" w:rsidR="00205EDC" w:rsidRPr="00DB24BC" w:rsidRDefault="00205EDC" w:rsidP="00CE5EBA">
            <w:pPr>
              <w:rPr>
                <w:color w:val="000000"/>
                <w:kern w:val="22"/>
                <w:sz w:val="22"/>
                <w:szCs w:val="22"/>
              </w:rPr>
            </w:pPr>
            <w:r w:rsidRPr="00DB24BC">
              <w:rPr>
                <w:sz w:val="22"/>
                <w:szCs w:val="22"/>
              </w:rPr>
              <w:t>Saint Vincent et les Grenadines</w:t>
            </w:r>
          </w:p>
        </w:tc>
        <w:tc>
          <w:tcPr>
            <w:tcW w:w="1580" w:type="dxa"/>
            <w:tcBorders>
              <w:top w:val="nil"/>
              <w:left w:val="nil"/>
              <w:bottom w:val="single" w:sz="4" w:space="0" w:color="auto"/>
              <w:right w:val="single" w:sz="4" w:space="0" w:color="auto"/>
            </w:tcBorders>
            <w:shd w:val="clear" w:color="auto" w:fill="auto"/>
            <w:vAlign w:val="center"/>
            <w:hideMark/>
          </w:tcPr>
          <w:p w14:paraId="3D4640B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198 </w:t>
            </w:r>
          </w:p>
        </w:tc>
        <w:tc>
          <w:tcPr>
            <w:tcW w:w="1580" w:type="dxa"/>
            <w:tcBorders>
              <w:top w:val="nil"/>
              <w:left w:val="nil"/>
              <w:bottom w:val="single" w:sz="4" w:space="0" w:color="auto"/>
              <w:right w:val="single" w:sz="4" w:space="0" w:color="auto"/>
            </w:tcBorders>
            <w:shd w:val="clear" w:color="auto" w:fill="auto"/>
            <w:noWrap/>
            <w:vAlign w:val="center"/>
            <w:hideMark/>
          </w:tcPr>
          <w:p w14:paraId="4B2C87C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248 </w:t>
            </w:r>
          </w:p>
        </w:tc>
        <w:tc>
          <w:tcPr>
            <w:tcW w:w="1580" w:type="dxa"/>
            <w:tcBorders>
              <w:top w:val="nil"/>
              <w:left w:val="nil"/>
              <w:bottom w:val="single" w:sz="4" w:space="0" w:color="auto"/>
              <w:right w:val="single" w:sz="4" w:space="0" w:color="auto"/>
            </w:tcBorders>
            <w:shd w:val="clear" w:color="auto" w:fill="auto"/>
            <w:noWrap/>
            <w:vAlign w:val="center"/>
            <w:hideMark/>
          </w:tcPr>
          <w:p w14:paraId="066220C9" w14:textId="77777777" w:rsidR="00205EDC" w:rsidRPr="00DB24BC" w:rsidRDefault="00205EDC" w:rsidP="00CE5EBA">
            <w:pPr>
              <w:jc w:val="right"/>
              <w:rPr>
                <w:color w:val="000000"/>
                <w:kern w:val="22"/>
                <w:sz w:val="22"/>
                <w:szCs w:val="22"/>
              </w:rPr>
            </w:pPr>
            <w:r w:rsidRPr="00DB24BC">
              <w:rPr>
                <w:color w:val="000000"/>
                <w:kern w:val="22"/>
                <w:sz w:val="22"/>
                <w:szCs w:val="22"/>
              </w:rPr>
              <w:t>27 189</w:t>
            </w:r>
          </w:p>
        </w:tc>
      </w:tr>
      <w:tr w:rsidR="00205EDC" w:rsidRPr="00DB24BC" w14:paraId="586A400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8F2AA68" w14:textId="77777777" w:rsidR="00205EDC" w:rsidRPr="00DB24BC" w:rsidRDefault="00205EDC" w:rsidP="00CE5EBA">
            <w:pPr>
              <w:rPr>
                <w:color w:val="000000"/>
                <w:kern w:val="22"/>
                <w:sz w:val="22"/>
                <w:szCs w:val="22"/>
              </w:rPr>
            </w:pPr>
            <w:r w:rsidRPr="00DB24BC">
              <w:rPr>
                <w:sz w:val="22"/>
                <w:szCs w:val="22"/>
              </w:rPr>
              <w:t>Saint Vincent et les Grenadines</w:t>
            </w:r>
          </w:p>
        </w:tc>
        <w:tc>
          <w:tcPr>
            <w:tcW w:w="1580" w:type="dxa"/>
            <w:tcBorders>
              <w:top w:val="nil"/>
              <w:left w:val="nil"/>
              <w:bottom w:val="single" w:sz="4" w:space="0" w:color="auto"/>
              <w:right w:val="single" w:sz="4" w:space="0" w:color="auto"/>
            </w:tcBorders>
            <w:shd w:val="clear" w:color="auto" w:fill="auto"/>
            <w:vAlign w:val="center"/>
            <w:hideMark/>
          </w:tcPr>
          <w:p w14:paraId="00801D3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008 </w:t>
            </w:r>
          </w:p>
        </w:tc>
        <w:tc>
          <w:tcPr>
            <w:tcW w:w="1580" w:type="dxa"/>
            <w:tcBorders>
              <w:top w:val="nil"/>
              <w:left w:val="nil"/>
              <w:bottom w:val="single" w:sz="4" w:space="0" w:color="auto"/>
              <w:right w:val="single" w:sz="4" w:space="0" w:color="auto"/>
            </w:tcBorders>
            <w:shd w:val="clear" w:color="auto" w:fill="auto"/>
            <w:noWrap/>
            <w:vAlign w:val="center"/>
            <w:hideMark/>
          </w:tcPr>
          <w:p w14:paraId="4DEE959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54EE6374" w14:textId="77777777" w:rsidR="00205EDC" w:rsidRPr="00DB24BC" w:rsidRDefault="00205EDC" w:rsidP="00CE5EBA">
            <w:pPr>
              <w:jc w:val="right"/>
              <w:rPr>
                <w:color w:val="000000"/>
                <w:kern w:val="22"/>
                <w:sz w:val="22"/>
                <w:szCs w:val="22"/>
              </w:rPr>
            </w:pPr>
            <w:r w:rsidRPr="00DB24BC">
              <w:rPr>
                <w:color w:val="000000"/>
                <w:kern w:val="22"/>
                <w:sz w:val="22"/>
                <w:szCs w:val="22"/>
              </w:rPr>
              <w:t>1 099</w:t>
            </w:r>
          </w:p>
        </w:tc>
      </w:tr>
      <w:tr w:rsidR="00205EDC" w:rsidRPr="00DB24BC" w14:paraId="3A7F5EF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F26C259" w14:textId="77777777" w:rsidR="00205EDC" w:rsidRPr="00DB24BC" w:rsidRDefault="00205EDC" w:rsidP="00CE5EBA">
            <w:pPr>
              <w:rPr>
                <w:color w:val="000000"/>
                <w:kern w:val="22"/>
                <w:sz w:val="22"/>
                <w:szCs w:val="22"/>
              </w:rPr>
            </w:pPr>
            <w:r w:rsidRPr="00DB24BC">
              <w:rPr>
                <w:sz w:val="22"/>
                <w:szCs w:val="22"/>
              </w:rPr>
              <w:t>Saint-Christophe-et-Nevis</w:t>
            </w:r>
          </w:p>
        </w:tc>
        <w:tc>
          <w:tcPr>
            <w:tcW w:w="1580" w:type="dxa"/>
            <w:tcBorders>
              <w:top w:val="nil"/>
              <w:left w:val="nil"/>
              <w:bottom w:val="single" w:sz="4" w:space="0" w:color="auto"/>
              <w:right w:val="single" w:sz="4" w:space="0" w:color="auto"/>
            </w:tcBorders>
            <w:shd w:val="clear" w:color="auto" w:fill="auto"/>
            <w:vAlign w:val="center"/>
            <w:hideMark/>
          </w:tcPr>
          <w:p w14:paraId="0CFADBED" w14:textId="77777777" w:rsidR="00205EDC" w:rsidRPr="00DB24BC" w:rsidRDefault="00205EDC" w:rsidP="00CE5EBA">
            <w:pPr>
              <w:jc w:val="right"/>
              <w:rPr>
                <w:color w:val="000000"/>
                <w:kern w:val="22"/>
                <w:sz w:val="22"/>
                <w:szCs w:val="22"/>
              </w:rPr>
            </w:pPr>
            <w:r w:rsidRPr="00DB24BC">
              <w:rPr>
                <w:color w:val="000000"/>
                <w:kern w:val="22"/>
                <w:sz w:val="22"/>
                <w:szCs w:val="22"/>
              </w:rPr>
              <w:t>2</w:t>
            </w:r>
            <w:r>
              <w:rPr>
                <w:color w:val="000000"/>
                <w:kern w:val="22"/>
                <w:sz w:val="22"/>
                <w:szCs w:val="22"/>
              </w:rPr>
              <w:t>,</w:t>
            </w:r>
            <w:r w:rsidRPr="00DB24BC">
              <w:rPr>
                <w:color w:val="000000"/>
                <w:kern w:val="22"/>
                <w:sz w:val="22"/>
                <w:szCs w:val="22"/>
              </w:rPr>
              <w:t xml:space="preserve">146 </w:t>
            </w:r>
          </w:p>
        </w:tc>
        <w:tc>
          <w:tcPr>
            <w:tcW w:w="1580" w:type="dxa"/>
            <w:tcBorders>
              <w:top w:val="nil"/>
              <w:left w:val="nil"/>
              <w:bottom w:val="single" w:sz="4" w:space="0" w:color="auto"/>
              <w:right w:val="single" w:sz="4" w:space="0" w:color="auto"/>
            </w:tcBorders>
            <w:shd w:val="clear" w:color="auto" w:fill="auto"/>
            <w:noWrap/>
            <w:vAlign w:val="center"/>
            <w:hideMark/>
          </w:tcPr>
          <w:p w14:paraId="0ED3D5DD" w14:textId="77777777" w:rsidR="00205EDC" w:rsidRPr="00DB24BC" w:rsidRDefault="00205EDC" w:rsidP="00CE5EBA">
            <w:pPr>
              <w:jc w:val="right"/>
              <w:rPr>
                <w:color w:val="000000"/>
                <w:kern w:val="22"/>
                <w:sz w:val="22"/>
                <w:szCs w:val="22"/>
              </w:rPr>
            </w:pPr>
            <w:r w:rsidRPr="00DB24BC">
              <w:rPr>
                <w:color w:val="000000"/>
                <w:kern w:val="22"/>
                <w:sz w:val="22"/>
                <w:szCs w:val="22"/>
              </w:rPr>
              <w:t>2</w:t>
            </w:r>
            <w:r>
              <w:rPr>
                <w:color w:val="000000"/>
                <w:kern w:val="22"/>
                <w:sz w:val="22"/>
                <w:szCs w:val="22"/>
              </w:rPr>
              <w:t>,</w:t>
            </w:r>
            <w:r w:rsidRPr="00DB24BC">
              <w:rPr>
                <w:color w:val="000000"/>
                <w:kern w:val="22"/>
                <w:sz w:val="22"/>
                <w:szCs w:val="22"/>
              </w:rPr>
              <w:t xml:space="preserve">683 </w:t>
            </w:r>
          </w:p>
        </w:tc>
        <w:tc>
          <w:tcPr>
            <w:tcW w:w="1580" w:type="dxa"/>
            <w:tcBorders>
              <w:top w:val="nil"/>
              <w:left w:val="nil"/>
              <w:bottom w:val="single" w:sz="4" w:space="0" w:color="auto"/>
              <w:right w:val="single" w:sz="4" w:space="0" w:color="auto"/>
            </w:tcBorders>
            <w:shd w:val="clear" w:color="auto" w:fill="auto"/>
            <w:noWrap/>
            <w:vAlign w:val="center"/>
            <w:hideMark/>
          </w:tcPr>
          <w:p w14:paraId="6FC02CB0" w14:textId="77777777" w:rsidR="00205EDC" w:rsidRPr="00DB24BC" w:rsidRDefault="00205EDC" w:rsidP="00CE5EBA">
            <w:pPr>
              <w:jc w:val="right"/>
              <w:rPr>
                <w:color w:val="000000"/>
                <w:kern w:val="22"/>
                <w:sz w:val="22"/>
                <w:szCs w:val="22"/>
              </w:rPr>
            </w:pPr>
            <w:r w:rsidRPr="00DB24BC">
              <w:rPr>
                <w:color w:val="000000"/>
                <w:kern w:val="22"/>
                <w:sz w:val="22"/>
                <w:szCs w:val="22"/>
              </w:rPr>
              <w:t>294 681</w:t>
            </w:r>
          </w:p>
        </w:tc>
      </w:tr>
      <w:tr w:rsidR="00205EDC" w:rsidRPr="00DB24BC" w14:paraId="1735782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36BDDE9" w14:textId="77777777" w:rsidR="00205EDC" w:rsidRPr="00DB24BC" w:rsidRDefault="00205EDC" w:rsidP="00CE5EBA">
            <w:pPr>
              <w:rPr>
                <w:color w:val="000000"/>
                <w:kern w:val="22"/>
                <w:sz w:val="22"/>
                <w:szCs w:val="22"/>
              </w:rPr>
            </w:pPr>
            <w:r w:rsidRPr="00DB24BC">
              <w:rPr>
                <w:sz w:val="22"/>
                <w:szCs w:val="22"/>
              </w:rPr>
              <w:t>Sainte-Lucie</w:t>
            </w:r>
          </w:p>
        </w:tc>
        <w:tc>
          <w:tcPr>
            <w:tcW w:w="1580" w:type="dxa"/>
            <w:tcBorders>
              <w:top w:val="nil"/>
              <w:left w:val="nil"/>
              <w:bottom w:val="single" w:sz="4" w:space="0" w:color="auto"/>
              <w:right w:val="single" w:sz="4" w:space="0" w:color="auto"/>
            </w:tcBorders>
            <w:shd w:val="clear" w:color="auto" w:fill="auto"/>
            <w:vAlign w:val="center"/>
            <w:hideMark/>
          </w:tcPr>
          <w:p w14:paraId="1C2D10D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07EC79E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160D4C51" w14:textId="77777777" w:rsidR="00205EDC" w:rsidRPr="00DB24BC" w:rsidRDefault="00205EDC" w:rsidP="00CE5EBA">
            <w:pPr>
              <w:jc w:val="right"/>
              <w:rPr>
                <w:color w:val="000000"/>
                <w:kern w:val="22"/>
                <w:sz w:val="22"/>
                <w:szCs w:val="22"/>
              </w:rPr>
            </w:pPr>
            <w:r w:rsidRPr="00DB24BC">
              <w:rPr>
                <w:color w:val="000000"/>
                <w:kern w:val="22"/>
                <w:sz w:val="22"/>
                <w:szCs w:val="22"/>
              </w:rPr>
              <w:t>412</w:t>
            </w:r>
          </w:p>
        </w:tc>
      </w:tr>
      <w:tr w:rsidR="00205EDC" w:rsidRPr="00DB24BC" w14:paraId="1477AE5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94F1089" w14:textId="77777777" w:rsidR="00205EDC" w:rsidRPr="00DB24BC" w:rsidRDefault="00205EDC" w:rsidP="00CE5EBA">
            <w:pPr>
              <w:rPr>
                <w:color w:val="000000"/>
                <w:kern w:val="22"/>
                <w:sz w:val="22"/>
                <w:szCs w:val="22"/>
              </w:rPr>
            </w:pPr>
            <w:r w:rsidRPr="00DB24BC">
              <w:rPr>
                <w:sz w:val="22"/>
                <w:szCs w:val="22"/>
              </w:rPr>
              <w:t>Sainte-Lucie</w:t>
            </w:r>
          </w:p>
        </w:tc>
        <w:tc>
          <w:tcPr>
            <w:tcW w:w="1580" w:type="dxa"/>
            <w:tcBorders>
              <w:top w:val="nil"/>
              <w:left w:val="nil"/>
              <w:bottom w:val="single" w:sz="4" w:space="0" w:color="auto"/>
              <w:right w:val="single" w:sz="4" w:space="0" w:color="auto"/>
            </w:tcBorders>
            <w:shd w:val="clear" w:color="auto" w:fill="auto"/>
            <w:vAlign w:val="center"/>
            <w:hideMark/>
          </w:tcPr>
          <w:p w14:paraId="693A439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044 </w:t>
            </w:r>
          </w:p>
        </w:tc>
        <w:tc>
          <w:tcPr>
            <w:tcW w:w="1580" w:type="dxa"/>
            <w:tcBorders>
              <w:top w:val="nil"/>
              <w:left w:val="nil"/>
              <w:bottom w:val="single" w:sz="4" w:space="0" w:color="auto"/>
              <w:right w:val="single" w:sz="4" w:space="0" w:color="auto"/>
            </w:tcBorders>
            <w:shd w:val="clear" w:color="auto" w:fill="auto"/>
            <w:noWrap/>
            <w:vAlign w:val="center"/>
            <w:hideMark/>
          </w:tcPr>
          <w:p w14:paraId="7B3FE06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055 </w:t>
            </w:r>
          </w:p>
        </w:tc>
        <w:tc>
          <w:tcPr>
            <w:tcW w:w="1580" w:type="dxa"/>
            <w:tcBorders>
              <w:top w:val="nil"/>
              <w:left w:val="nil"/>
              <w:bottom w:val="single" w:sz="4" w:space="0" w:color="auto"/>
              <w:right w:val="single" w:sz="4" w:space="0" w:color="auto"/>
            </w:tcBorders>
            <w:shd w:val="clear" w:color="auto" w:fill="auto"/>
            <w:noWrap/>
            <w:vAlign w:val="center"/>
            <w:hideMark/>
          </w:tcPr>
          <w:p w14:paraId="5C8FD1FD" w14:textId="77777777" w:rsidR="00205EDC" w:rsidRPr="00DB24BC" w:rsidRDefault="00205EDC" w:rsidP="00CE5EBA">
            <w:pPr>
              <w:jc w:val="right"/>
              <w:rPr>
                <w:color w:val="000000"/>
                <w:kern w:val="22"/>
                <w:sz w:val="22"/>
                <w:szCs w:val="22"/>
              </w:rPr>
            </w:pPr>
            <w:r w:rsidRPr="00DB24BC">
              <w:rPr>
                <w:color w:val="000000"/>
                <w:kern w:val="22"/>
                <w:sz w:val="22"/>
                <w:szCs w:val="22"/>
              </w:rPr>
              <w:t>6 042</w:t>
            </w:r>
          </w:p>
        </w:tc>
      </w:tr>
      <w:tr w:rsidR="00205EDC" w:rsidRPr="00DB24BC" w14:paraId="0BAF39C1"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E688B8F" w14:textId="77777777" w:rsidR="00205EDC" w:rsidRPr="00DB24BC" w:rsidRDefault="00205EDC" w:rsidP="00205EDC">
            <w:pPr>
              <w:rPr>
                <w:color w:val="000000"/>
                <w:kern w:val="22"/>
                <w:sz w:val="22"/>
                <w:szCs w:val="22"/>
              </w:rPr>
            </w:pPr>
            <w:r w:rsidRPr="00DB24BC">
              <w:rPr>
                <w:sz w:val="22"/>
                <w:szCs w:val="22"/>
              </w:rPr>
              <w:t>Saint-</w:t>
            </w:r>
            <w:r>
              <w:rPr>
                <w:sz w:val="22"/>
                <w:szCs w:val="22"/>
              </w:rPr>
              <w:t>Kitts</w:t>
            </w:r>
            <w:r w:rsidRPr="00DB24BC">
              <w:rPr>
                <w:sz w:val="22"/>
                <w:szCs w:val="22"/>
              </w:rPr>
              <w:t>-et-Nevis</w:t>
            </w:r>
          </w:p>
        </w:tc>
        <w:tc>
          <w:tcPr>
            <w:tcW w:w="1580" w:type="dxa"/>
            <w:tcBorders>
              <w:top w:val="nil"/>
              <w:left w:val="nil"/>
              <w:bottom w:val="single" w:sz="4" w:space="0" w:color="auto"/>
              <w:right w:val="single" w:sz="4" w:space="0" w:color="auto"/>
            </w:tcBorders>
            <w:shd w:val="clear" w:color="auto" w:fill="auto"/>
            <w:vAlign w:val="center"/>
            <w:hideMark/>
          </w:tcPr>
          <w:p w14:paraId="1BBED720" w14:textId="77777777" w:rsidR="00205EDC" w:rsidRPr="00DB24BC" w:rsidRDefault="00205EDC" w:rsidP="00CE5EBA">
            <w:pPr>
              <w:jc w:val="right"/>
              <w:rPr>
                <w:color w:val="000000"/>
                <w:kern w:val="22"/>
                <w:sz w:val="22"/>
                <w:szCs w:val="22"/>
              </w:rPr>
            </w:pPr>
            <w:r w:rsidRPr="00DB24BC">
              <w:rPr>
                <w:color w:val="000000"/>
                <w:kern w:val="22"/>
                <w:sz w:val="22"/>
                <w:szCs w:val="22"/>
              </w:rPr>
              <w:t>2</w:t>
            </w:r>
            <w:r>
              <w:rPr>
                <w:color w:val="000000"/>
                <w:kern w:val="22"/>
                <w:sz w:val="22"/>
                <w:szCs w:val="22"/>
              </w:rPr>
              <w:t>,</w:t>
            </w:r>
            <w:r w:rsidRPr="00DB24BC">
              <w:rPr>
                <w:color w:val="000000"/>
                <w:kern w:val="22"/>
                <w:sz w:val="22"/>
                <w:szCs w:val="22"/>
              </w:rPr>
              <w:t xml:space="preserve">267 </w:t>
            </w:r>
          </w:p>
        </w:tc>
        <w:tc>
          <w:tcPr>
            <w:tcW w:w="1580" w:type="dxa"/>
            <w:tcBorders>
              <w:top w:val="nil"/>
              <w:left w:val="nil"/>
              <w:bottom w:val="single" w:sz="4" w:space="0" w:color="auto"/>
              <w:right w:val="single" w:sz="4" w:space="0" w:color="auto"/>
            </w:tcBorders>
            <w:shd w:val="clear" w:color="auto" w:fill="auto"/>
            <w:noWrap/>
            <w:vAlign w:val="center"/>
            <w:hideMark/>
          </w:tcPr>
          <w:p w14:paraId="034FA8DE" w14:textId="77777777" w:rsidR="00205EDC" w:rsidRPr="00DB24BC" w:rsidRDefault="00205EDC" w:rsidP="00CE5EBA">
            <w:pPr>
              <w:jc w:val="right"/>
              <w:rPr>
                <w:color w:val="000000"/>
                <w:kern w:val="22"/>
                <w:sz w:val="22"/>
                <w:szCs w:val="22"/>
              </w:rPr>
            </w:pPr>
            <w:r w:rsidRPr="00DB24BC">
              <w:rPr>
                <w:color w:val="000000"/>
                <w:kern w:val="22"/>
                <w:sz w:val="22"/>
                <w:szCs w:val="22"/>
              </w:rPr>
              <w:t>2</w:t>
            </w:r>
            <w:r>
              <w:rPr>
                <w:color w:val="000000"/>
                <w:kern w:val="22"/>
                <w:sz w:val="22"/>
                <w:szCs w:val="22"/>
              </w:rPr>
              <w:t>,</w:t>
            </w:r>
            <w:r w:rsidRPr="00DB24BC">
              <w:rPr>
                <w:color w:val="000000"/>
                <w:kern w:val="22"/>
                <w:sz w:val="22"/>
                <w:szCs w:val="22"/>
              </w:rPr>
              <w:t xml:space="preserve">834 </w:t>
            </w:r>
          </w:p>
        </w:tc>
        <w:tc>
          <w:tcPr>
            <w:tcW w:w="1580" w:type="dxa"/>
            <w:tcBorders>
              <w:top w:val="nil"/>
              <w:left w:val="nil"/>
              <w:bottom w:val="single" w:sz="4" w:space="0" w:color="auto"/>
              <w:right w:val="single" w:sz="4" w:space="0" w:color="auto"/>
            </w:tcBorders>
            <w:shd w:val="clear" w:color="auto" w:fill="auto"/>
            <w:noWrap/>
            <w:vAlign w:val="center"/>
            <w:hideMark/>
          </w:tcPr>
          <w:p w14:paraId="220DEFA4" w14:textId="77777777" w:rsidR="00205EDC" w:rsidRPr="00DB24BC" w:rsidRDefault="00205EDC" w:rsidP="00CE5EBA">
            <w:pPr>
              <w:jc w:val="right"/>
              <w:rPr>
                <w:color w:val="000000"/>
                <w:kern w:val="22"/>
                <w:sz w:val="22"/>
                <w:szCs w:val="22"/>
              </w:rPr>
            </w:pPr>
            <w:r w:rsidRPr="00DB24BC">
              <w:rPr>
                <w:color w:val="000000"/>
                <w:kern w:val="22"/>
                <w:sz w:val="22"/>
                <w:szCs w:val="22"/>
              </w:rPr>
              <w:t>311 296</w:t>
            </w:r>
          </w:p>
        </w:tc>
      </w:tr>
      <w:tr w:rsidR="00205EDC" w:rsidRPr="00DB24BC" w14:paraId="1CF82FA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C475D0E" w14:textId="77777777" w:rsidR="00205EDC" w:rsidRPr="00DB24BC" w:rsidRDefault="00205EDC" w:rsidP="00CE5EBA">
            <w:pPr>
              <w:rPr>
                <w:color w:val="000000"/>
                <w:kern w:val="22"/>
                <w:sz w:val="22"/>
                <w:szCs w:val="22"/>
              </w:rPr>
            </w:pPr>
            <w:r w:rsidRPr="00DB24BC">
              <w:rPr>
                <w:sz w:val="22"/>
                <w:szCs w:val="22"/>
              </w:rPr>
              <w:t>Saint-Marin</w:t>
            </w:r>
          </w:p>
        </w:tc>
        <w:tc>
          <w:tcPr>
            <w:tcW w:w="1580" w:type="dxa"/>
            <w:tcBorders>
              <w:top w:val="nil"/>
              <w:left w:val="nil"/>
              <w:bottom w:val="single" w:sz="4" w:space="0" w:color="auto"/>
              <w:right w:val="single" w:sz="4" w:space="0" w:color="auto"/>
            </w:tcBorders>
            <w:shd w:val="clear" w:color="auto" w:fill="auto"/>
            <w:vAlign w:val="center"/>
            <w:hideMark/>
          </w:tcPr>
          <w:p w14:paraId="38C9C7E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3007301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1ECC4177" w14:textId="77777777" w:rsidR="00205EDC" w:rsidRPr="00DB24BC" w:rsidRDefault="00205EDC" w:rsidP="00CE5EBA">
            <w:pPr>
              <w:jc w:val="right"/>
              <w:rPr>
                <w:color w:val="000000"/>
                <w:kern w:val="22"/>
                <w:sz w:val="22"/>
                <w:szCs w:val="22"/>
              </w:rPr>
            </w:pPr>
            <w:r w:rsidRPr="00DB24BC">
              <w:rPr>
                <w:color w:val="000000"/>
                <w:kern w:val="22"/>
                <w:sz w:val="22"/>
                <w:szCs w:val="22"/>
              </w:rPr>
              <w:t>412</w:t>
            </w:r>
          </w:p>
        </w:tc>
      </w:tr>
      <w:tr w:rsidR="00205EDC" w:rsidRPr="00CF06A4" w14:paraId="7A7B5FE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849B139" w14:textId="77777777" w:rsidR="00205EDC" w:rsidRPr="00CF06A4" w:rsidRDefault="00205EDC" w:rsidP="00CE5EBA">
            <w:pPr>
              <w:rPr>
                <w:color w:val="000000"/>
                <w:kern w:val="22"/>
                <w:sz w:val="22"/>
                <w:szCs w:val="20"/>
              </w:rPr>
            </w:pPr>
            <w:r w:rsidRPr="00CF06A4">
              <w:rPr>
                <w:sz w:val="22"/>
                <w:szCs w:val="20"/>
              </w:rPr>
              <w:t>Salvador</w:t>
            </w:r>
          </w:p>
        </w:tc>
        <w:tc>
          <w:tcPr>
            <w:tcW w:w="1580" w:type="dxa"/>
            <w:tcBorders>
              <w:top w:val="nil"/>
              <w:left w:val="nil"/>
              <w:bottom w:val="single" w:sz="4" w:space="0" w:color="auto"/>
              <w:right w:val="single" w:sz="4" w:space="0" w:color="auto"/>
            </w:tcBorders>
            <w:shd w:val="clear" w:color="auto" w:fill="auto"/>
            <w:vAlign w:val="center"/>
            <w:hideMark/>
          </w:tcPr>
          <w:p w14:paraId="3E20CC72"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012 </w:t>
            </w:r>
          </w:p>
        </w:tc>
        <w:tc>
          <w:tcPr>
            <w:tcW w:w="1580" w:type="dxa"/>
            <w:tcBorders>
              <w:top w:val="nil"/>
              <w:left w:val="nil"/>
              <w:bottom w:val="single" w:sz="4" w:space="0" w:color="auto"/>
              <w:right w:val="single" w:sz="4" w:space="0" w:color="auto"/>
            </w:tcBorders>
            <w:shd w:val="clear" w:color="auto" w:fill="auto"/>
            <w:noWrap/>
            <w:vAlign w:val="center"/>
            <w:hideMark/>
          </w:tcPr>
          <w:p w14:paraId="0B500B42"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015 </w:t>
            </w:r>
          </w:p>
        </w:tc>
        <w:tc>
          <w:tcPr>
            <w:tcW w:w="1580" w:type="dxa"/>
            <w:tcBorders>
              <w:top w:val="nil"/>
              <w:left w:val="nil"/>
              <w:bottom w:val="single" w:sz="4" w:space="0" w:color="auto"/>
              <w:right w:val="single" w:sz="4" w:space="0" w:color="auto"/>
            </w:tcBorders>
            <w:shd w:val="clear" w:color="auto" w:fill="auto"/>
            <w:noWrap/>
            <w:vAlign w:val="center"/>
            <w:hideMark/>
          </w:tcPr>
          <w:p w14:paraId="18CC8E4A" w14:textId="77777777" w:rsidR="00205EDC" w:rsidRPr="00CF06A4" w:rsidRDefault="00205EDC" w:rsidP="00CE5EBA">
            <w:pPr>
              <w:jc w:val="right"/>
              <w:rPr>
                <w:color w:val="000000"/>
                <w:kern w:val="22"/>
                <w:sz w:val="22"/>
                <w:szCs w:val="20"/>
              </w:rPr>
            </w:pPr>
            <w:r w:rsidRPr="00CF06A4">
              <w:rPr>
                <w:color w:val="000000"/>
                <w:kern w:val="22"/>
                <w:sz w:val="22"/>
                <w:szCs w:val="20"/>
              </w:rPr>
              <w:t>1 648</w:t>
            </w:r>
          </w:p>
        </w:tc>
      </w:tr>
      <w:tr w:rsidR="00205EDC" w:rsidRPr="00DB24BC" w14:paraId="047A28B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A1B3BDE" w14:textId="77777777" w:rsidR="00205EDC" w:rsidRPr="00DB24BC" w:rsidRDefault="00205EDC" w:rsidP="00CE5EBA">
            <w:pPr>
              <w:rPr>
                <w:color w:val="000000"/>
                <w:kern w:val="22"/>
                <w:sz w:val="22"/>
                <w:szCs w:val="22"/>
              </w:rPr>
            </w:pPr>
            <w:r w:rsidRPr="00DB24BC">
              <w:rPr>
                <w:sz w:val="22"/>
                <w:szCs w:val="22"/>
              </w:rPr>
              <w:t>Samoa</w:t>
            </w:r>
          </w:p>
        </w:tc>
        <w:tc>
          <w:tcPr>
            <w:tcW w:w="1580" w:type="dxa"/>
            <w:tcBorders>
              <w:top w:val="nil"/>
              <w:left w:val="nil"/>
              <w:bottom w:val="single" w:sz="4" w:space="0" w:color="auto"/>
              <w:right w:val="single" w:sz="4" w:space="0" w:color="auto"/>
            </w:tcBorders>
            <w:shd w:val="clear" w:color="auto" w:fill="auto"/>
            <w:vAlign w:val="center"/>
            <w:hideMark/>
          </w:tcPr>
          <w:p w14:paraId="31D4A5C4" w14:textId="77777777" w:rsidR="00205EDC" w:rsidRPr="00DB24BC" w:rsidRDefault="00205EDC" w:rsidP="00CE5EBA">
            <w:pPr>
              <w:jc w:val="right"/>
              <w:rPr>
                <w:color w:val="000000"/>
                <w:kern w:val="22"/>
                <w:sz w:val="22"/>
                <w:szCs w:val="22"/>
              </w:rPr>
            </w:pPr>
            <w:r w:rsidRPr="00DB24BC">
              <w:rPr>
                <w:color w:val="000000"/>
                <w:kern w:val="22"/>
                <w:sz w:val="22"/>
                <w:szCs w:val="22"/>
              </w:rPr>
              <w:t>2</w:t>
            </w:r>
            <w:r>
              <w:rPr>
                <w:color w:val="000000"/>
                <w:kern w:val="22"/>
                <w:sz w:val="22"/>
                <w:szCs w:val="22"/>
              </w:rPr>
              <w:t>,</w:t>
            </w:r>
            <w:r w:rsidRPr="00DB24BC">
              <w:rPr>
                <w:color w:val="000000"/>
                <w:kern w:val="22"/>
                <w:sz w:val="22"/>
                <w:szCs w:val="22"/>
              </w:rPr>
              <w:t xml:space="preserve">405 </w:t>
            </w:r>
          </w:p>
        </w:tc>
        <w:tc>
          <w:tcPr>
            <w:tcW w:w="1580" w:type="dxa"/>
            <w:tcBorders>
              <w:top w:val="nil"/>
              <w:left w:val="nil"/>
              <w:bottom w:val="single" w:sz="4" w:space="0" w:color="auto"/>
              <w:right w:val="single" w:sz="4" w:space="0" w:color="auto"/>
            </w:tcBorders>
            <w:shd w:val="clear" w:color="auto" w:fill="auto"/>
            <w:noWrap/>
            <w:vAlign w:val="center"/>
            <w:hideMark/>
          </w:tcPr>
          <w:p w14:paraId="45E81C2E" w14:textId="77777777" w:rsidR="00205EDC" w:rsidRPr="00DB24BC" w:rsidRDefault="00205EDC" w:rsidP="00CE5EBA">
            <w:pPr>
              <w:jc w:val="right"/>
              <w:rPr>
                <w:color w:val="000000"/>
                <w:kern w:val="22"/>
                <w:sz w:val="22"/>
                <w:szCs w:val="22"/>
              </w:rPr>
            </w:pPr>
            <w:r w:rsidRPr="00DB24BC">
              <w:rPr>
                <w:color w:val="000000"/>
                <w:kern w:val="22"/>
                <w:sz w:val="22"/>
                <w:szCs w:val="22"/>
              </w:rPr>
              <w:t>3</w:t>
            </w:r>
            <w:r>
              <w:rPr>
                <w:color w:val="000000"/>
                <w:kern w:val="22"/>
                <w:sz w:val="22"/>
                <w:szCs w:val="22"/>
              </w:rPr>
              <w:t>,</w:t>
            </w:r>
            <w:r w:rsidRPr="00DB24BC">
              <w:rPr>
                <w:color w:val="000000"/>
                <w:kern w:val="22"/>
                <w:sz w:val="22"/>
                <w:szCs w:val="22"/>
              </w:rPr>
              <w:t xml:space="preserve">007 </w:t>
            </w:r>
          </w:p>
        </w:tc>
        <w:tc>
          <w:tcPr>
            <w:tcW w:w="1580" w:type="dxa"/>
            <w:tcBorders>
              <w:top w:val="nil"/>
              <w:left w:val="nil"/>
              <w:bottom w:val="single" w:sz="4" w:space="0" w:color="auto"/>
              <w:right w:val="single" w:sz="4" w:space="0" w:color="auto"/>
            </w:tcBorders>
            <w:shd w:val="clear" w:color="auto" w:fill="auto"/>
            <w:noWrap/>
            <w:vAlign w:val="center"/>
            <w:hideMark/>
          </w:tcPr>
          <w:p w14:paraId="748DF197" w14:textId="77777777" w:rsidR="00205EDC" w:rsidRPr="00DB24BC" w:rsidRDefault="00205EDC" w:rsidP="00CE5EBA">
            <w:pPr>
              <w:jc w:val="right"/>
              <w:rPr>
                <w:color w:val="000000"/>
                <w:kern w:val="22"/>
                <w:sz w:val="22"/>
                <w:szCs w:val="22"/>
              </w:rPr>
            </w:pPr>
            <w:r w:rsidRPr="00DB24BC">
              <w:rPr>
                <w:color w:val="000000"/>
                <w:kern w:val="22"/>
                <w:sz w:val="22"/>
                <w:szCs w:val="22"/>
              </w:rPr>
              <w:t>330 245</w:t>
            </w:r>
          </w:p>
        </w:tc>
      </w:tr>
      <w:tr w:rsidR="00205EDC" w:rsidRPr="00DB24BC" w14:paraId="45210E89"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D79B04D" w14:textId="77777777" w:rsidR="00205EDC" w:rsidRPr="00DB24BC" w:rsidRDefault="00205EDC" w:rsidP="00CE5EBA">
            <w:pPr>
              <w:rPr>
                <w:color w:val="000000"/>
                <w:kern w:val="22"/>
                <w:sz w:val="22"/>
                <w:szCs w:val="22"/>
              </w:rPr>
            </w:pPr>
            <w:r w:rsidRPr="00DB24BC">
              <w:rPr>
                <w:sz w:val="22"/>
                <w:szCs w:val="22"/>
              </w:rPr>
              <w:lastRenderedPageBreak/>
              <w:t>Samoa</w:t>
            </w:r>
          </w:p>
        </w:tc>
        <w:tc>
          <w:tcPr>
            <w:tcW w:w="1580" w:type="dxa"/>
            <w:tcBorders>
              <w:top w:val="nil"/>
              <w:left w:val="nil"/>
              <w:bottom w:val="single" w:sz="4" w:space="0" w:color="auto"/>
              <w:right w:val="single" w:sz="4" w:space="0" w:color="auto"/>
            </w:tcBorders>
            <w:shd w:val="clear" w:color="auto" w:fill="auto"/>
            <w:vAlign w:val="center"/>
            <w:hideMark/>
          </w:tcPr>
          <w:p w14:paraId="206D6B6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20BE9B8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4B6036BF" w14:textId="77777777" w:rsidR="00205EDC" w:rsidRPr="00DB24BC" w:rsidRDefault="00205EDC" w:rsidP="00CE5EBA">
            <w:pPr>
              <w:jc w:val="right"/>
              <w:rPr>
                <w:color w:val="000000"/>
                <w:kern w:val="22"/>
                <w:sz w:val="22"/>
                <w:szCs w:val="22"/>
              </w:rPr>
            </w:pPr>
            <w:r w:rsidRPr="00DB24BC">
              <w:rPr>
                <w:color w:val="000000"/>
                <w:kern w:val="22"/>
                <w:sz w:val="22"/>
                <w:szCs w:val="22"/>
              </w:rPr>
              <w:t>1 098</w:t>
            </w:r>
          </w:p>
        </w:tc>
      </w:tr>
      <w:tr w:rsidR="00205EDC" w:rsidRPr="00DB24BC" w14:paraId="5F22BC8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0376CBF" w14:textId="77777777" w:rsidR="00205EDC" w:rsidRPr="00DB24BC" w:rsidRDefault="00205EDC" w:rsidP="00CE5EBA">
            <w:pPr>
              <w:rPr>
                <w:color w:val="000000"/>
                <w:kern w:val="22"/>
                <w:sz w:val="22"/>
                <w:szCs w:val="22"/>
              </w:rPr>
            </w:pPr>
            <w:r w:rsidRPr="00DB24BC">
              <w:rPr>
                <w:sz w:val="22"/>
                <w:szCs w:val="22"/>
              </w:rPr>
              <w:t>Sao Tomé et Principe</w:t>
            </w:r>
          </w:p>
        </w:tc>
        <w:tc>
          <w:tcPr>
            <w:tcW w:w="1580" w:type="dxa"/>
            <w:tcBorders>
              <w:top w:val="nil"/>
              <w:left w:val="nil"/>
              <w:bottom w:val="single" w:sz="4" w:space="0" w:color="auto"/>
              <w:right w:val="single" w:sz="4" w:space="0" w:color="auto"/>
            </w:tcBorders>
            <w:shd w:val="clear" w:color="auto" w:fill="auto"/>
            <w:vAlign w:val="center"/>
            <w:hideMark/>
          </w:tcPr>
          <w:p w14:paraId="0953A01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831A83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40F043F"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1D6D8AE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2A85AFE" w14:textId="77777777" w:rsidR="00205EDC" w:rsidRPr="00DB24BC" w:rsidRDefault="00205EDC" w:rsidP="00CE5EBA">
            <w:pPr>
              <w:rPr>
                <w:color w:val="000000"/>
                <w:kern w:val="22"/>
                <w:sz w:val="22"/>
                <w:szCs w:val="22"/>
              </w:rPr>
            </w:pPr>
            <w:r w:rsidRPr="00DB24BC">
              <w:rPr>
                <w:sz w:val="22"/>
                <w:szCs w:val="22"/>
              </w:rPr>
              <w:t>Sénégal</w:t>
            </w:r>
          </w:p>
        </w:tc>
        <w:tc>
          <w:tcPr>
            <w:tcW w:w="1580" w:type="dxa"/>
            <w:tcBorders>
              <w:top w:val="nil"/>
              <w:left w:val="nil"/>
              <w:bottom w:val="single" w:sz="4" w:space="0" w:color="auto"/>
              <w:right w:val="single" w:sz="4" w:space="0" w:color="auto"/>
            </w:tcBorders>
            <w:shd w:val="clear" w:color="auto" w:fill="auto"/>
            <w:vAlign w:val="center"/>
            <w:hideMark/>
          </w:tcPr>
          <w:p w14:paraId="1FB7A01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2852F5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A7674DA"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208CFDF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E7703EF" w14:textId="77777777" w:rsidR="00205EDC" w:rsidRPr="00DB24BC" w:rsidRDefault="00205EDC" w:rsidP="00CE5EBA">
            <w:pPr>
              <w:rPr>
                <w:color w:val="000000"/>
                <w:kern w:val="22"/>
                <w:sz w:val="22"/>
                <w:szCs w:val="22"/>
              </w:rPr>
            </w:pPr>
            <w:r w:rsidRPr="00DB24BC">
              <w:rPr>
                <w:sz w:val="22"/>
                <w:szCs w:val="22"/>
              </w:rPr>
              <w:t>Serbie</w:t>
            </w:r>
          </w:p>
        </w:tc>
        <w:tc>
          <w:tcPr>
            <w:tcW w:w="1580" w:type="dxa"/>
            <w:tcBorders>
              <w:top w:val="nil"/>
              <w:left w:val="nil"/>
              <w:bottom w:val="single" w:sz="4" w:space="0" w:color="auto"/>
              <w:right w:val="single" w:sz="4" w:space="0" w:color="auto"/>
            </w:tcBorders>
            <w:shd w:val="clear" w:color="auto" w:fill="auto"/>
            <w:vAlign w:val="center"/>
            <w:hideMark/>
          </w:tcPr>
          <w:p w14:paraId="06DEA1E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5F59F4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AEBBBB5"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43C7660F"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BF71C08" w14:textId="77777777" w:rsidR="00205EDC" w:rsidRPr="00DB24BC" w:rsidRDefault="00205EDC" w:rsidP="00CE5EBA">
            <w:pPr>
              <w:rPr>
                <w:color w:val="000000"/>
                <w:kern w:val="22"/>
                <w:sz w:val="22"/>
                <w:szCs w:val="22"/>
              </w:rPr>
            </w:pPr>
            <w:r w:rsidRPr="00DB24BC">
              <w:rPr>
                <w:sz w:val="22"/>
                <w:szCs w:val="22"/>
              </w:rPr>
              <w:t>Seychelles</w:t>
            </w:r>
          </w:p>
        </w:tc>
        <w:tc>
          <w:tcPr>
            <w:tcW w:w="1580" w:type="dxa"/>
            <w:tcBorders>
              <w:top w:val="nil"/>
              <w:left w:val="nil"/>
              <w:bottom w:val="single" w:sz="4" w:space="0" w:color="auto"/>
              <w:right w:val="single" w:sz="4" w:space="0" w:color="auto"/>
            </w:tcBorders>
            <w:shd w:val="clear" w:color="auto" w:fill="auto"/>
            <w:vAlign w:val="center"/>
            <w:hideMark/>
          </w:tcPr>
          <w:p w14:paraId="31FB470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0FE1D05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65031EF4"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5DA10FE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3A32B1C" w14:textId="77777777" w:rsidR="00205EDC" w:rsidRPr="00DB24BC" w:rsidRDefault="00205EDC" w:rsidP="00CE5EBA">
            <w:pPr>
              <w:rPr>
                <w:color w:val="000000"/>
                <w:kern w:val="22"/>
                <w:sz w:val="22"/>
                <w:szCs w:val="22"/>
              </w:rPr>
            </w:pPr>
            <w:r w:rsidRPr="00DB24BC">
              <w:rPr>
                <w:sz w:val="22"/>
                <w:szCs w:val="22"/>
              </w:rPr>
              <w:t>Sierra Leone</w:t>
            </w:r>
          </w:p>
        </w:tc>
        <w:tc>
          <w:tcPr>
            <w:tcW w:w="1580" w:type="dxa"/>
            <w:tcBorders>
              <w:top w:val="nil"/>
              <w:left w:val="nil"/>
              <w:bottom w:val="single" w:sz="4" w:space="0" w:color="auto"/>
              <w:right w:val="single" w:sz="4" w:space="0" w:color="auto"/>
            </w:tcBorders>
            <w:shd w:val="clear" w:color="auto" w:fill="auto"/>
            <w:vAlign w:val="center"/>
            <w:hideMark/>
          </w:tcPr>
          <w:p w14:paraId="35B9ACF6"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F2D206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7140CA62"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37D5DEC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6ED00E5" w14:textId="77777777" w:rsidR="00205EDC" w:rsidRPr="00DB24BC" w:rsidRDefault="00205EDC" w:rsidP="00CE5EBA">
            <w:pPr>
              <w:rPr>
                <w:color w:val="000000"/>
                <w:kern w:val="22"/>
                <w:sz w:val="22"/>
                <w:szCs w:val="22"/>
              </w:rPr>
            </w:pPr>
            <w:r w:rsidRPr="00DB24BC">
              <w:rPr>
                <w:sz w:val="22"/>
                <w:szCs w:val="22"/>
              </w:rPr>
              <w:t>Singapour</w:t>
            </w:r>
          </w:p>
        </w:tc>
        <w:tc>
          <w:tcPr>
            <w:tcW w:w="1580" w:type="dxa"/>
            <w:tcBorders>
              <w:top w:val="nil"/>
              <w:left w:val="nil"/>
              <w:bottom w:val="single" w:sz="4" w:space="0" w:color="auto"/>
              <w:right w:val="single" w:sz="4" w:space="0" w:color="auto"/>
            </w:tcBorders>
            <w:shd w:val="clear" w:color="auto" w:fill="auto"/>
            <w:vAlign w:val="center"/>
            <w:hideMark/>
          </w:tcPr>
          <w:p w14:paraId="4D480617"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172 </w:t>
            </w:r>
          </w:p>
        </w:tc>
        <w:tc>
          <w:tcPr>
            <w:tcW w:w="1580" w:type="dxa"/>
            <w:tcBorders>
              <w:top w:val="nil"/>
              <w:left w:val="nil"/>
              <w:bottom w:val="single" w:sz="4" w:space="0" w:color="auto"/>
              <w:right w:val="single" w:sz="4" w:space="0" w:color="auto"/>
            </w:tcBorders>
            <w:shd w:val="clear" w:color="auto" w:fill="auto"/>
            <w:noWrap/>
            <w:vAlign w:val="center"/>
            <w:hideMark/>
          </w:tcPr>
          <w:p w14:paraId="5F1E8356"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465 </w:t>
            </w:r>
          </w:p>
        </w:tc>
        <w:tc>
          <w:tcPr>
            <w:tcW w:w="1580" w:type="dxa"/>
            <w:tcBorders>
              <w:top w:val="nil"/>
              <w:left w:val="nil"/>
              <w:bottom w:val="single" w:sz="4" w:space="0" w:color="auto"/>
              <w:right w:val="single" w:sz="4" w:space="0" w:color="auto"/>
            </w:tcBorders>
            <w:shd w:val="clear" w:color="auto" w:fill="auto"/>
            <w:noWrap/>
            <w:vAlign w:val="center"/>
            <w:hideMark/>
          </w:tcPr>
          <w:p w14:paraId="30A1520F" w14:textId="77777777" w:rsidR="00205EDC" w:rsidRPr="00DB24BC" w:rsidRDefault="00205EDC" w:rsidP="00CE5EBA">
            <w:pPr>
              <w:jc w:val="right"/>
              <w:rPr>
                <w:color w:val="000000"/>
                <w:kern w:val="22"/>
                <w:sz w:val="22"/>
                <w:szCs w:val="22"/>
              </w:rPr>
            </w:pPr>
            <w:r w:rsidRPr="00DB24BC">
              <w:rPr>
                <w:color w:val="000000"/>
                <w:kern w:val="22"/>
                <w:sz w:val="22"/>
                <w:szCs w:val="22"/>
              </w:rPr>
              <w:t>160 935</w:t>
            </w:r>
          </w:p>
        </w:tc>
      </w:tr>
      <w:tr w:rsidR="00205EDC" w:rsidRPr="00DB24BC" w14:paraId="6F9E0A20"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2D0E751" w14:textId="77777777" w:rsidR="00205EDC" w:rsidRPr="00DB24BC" w:rsidRDefault="00205EDC" w:rsidP="00CE5EBA">
            <w:pPr>
              <w:rPr>
                <w:color w:val="000000"/>
                <w:kern w:val="22"/>
                <w:sz w:val="22"/>
                <w:szCs w:val="22"/>
              </w:rPr>
            </w:pPr>
            <w:r w:rsidRPr="00DB24BC">
              <w:rPr>
                <w:sz w:val="22"/>
                <w:szCs w:val="22"/>
              </w:rPr>
              <w:t>Slovaquie</w:t>
            </w:r>
          </w:p>
        </w:tc>
        <w:tc>
          <w:tcPr>
            <w:tcW w:w="1580" w:type="dxa"/>
            <w:tcBorders>
              <w:top w:val="nil"/>
              <w:left w:val="nil"/>
              <w:bottom w:val="single" w:sz="4" w:space="0" w:color="auto"/>
              <w:right w:val="single" w:sz="4" w:space="0" w:color="auto"/>
            </w:tcBorders>
            <w:shd w:val="clear" w:color="auto" w:fill="auto"/>
            <w:vAlign w:val="center"/>
            <w:hideMark/>
          </w:tcPr>
          <w:p w14:paraId="4346D28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007 </w:t>
            </w:r>
          </w:p>
        </w:tc>
        <w:tc>
          <w:tcPr>
            <w:tcW w:w="1580" w:type="dxa"/>
            <w:tcBorders>
              <w:top w:val="nil"/>
              <w:left w:val="nil"/>
              <w:bottom w:val="single" w:sz="4" w:space="0" w:color="auto"/>
              <w:right w:val="single" w:sz="4" w:space="0" w:color="auto"/>
            </w:tcBorders>
            <w:shd w:val="clear" w:color="auto" w:fill="auto"/>
            <w:noWrap/>
            <w:vAlign w:val="center"/>
            <w:hideMark/>
          </w:tcPr>
          <w:p w14:paraId="0F07AFE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34F329F9" w14:textId="77777777" w:rsidR="00205EDC" w:rsidRPr="00DB24BC" w:rsidRDefault="00205EDC" w:rsidP="00CE5EBA">
            <w:pPr>
              <w:jc w:val="right"/>
              <w:rPr>
                <w:color w:val="000000"/>
                <w:kern w:val="22"/>
                <w:sz w:val="22"/>
                <w:szCs w:val="22"/>
              </w:rPr>
            </w:pPr>
            <w:r w:rsidRPr="00DB24BC">
              <w:rPr>
                <w:color w:val="000000"/>
                <w:kern w:val="22"/>
                <w:sz w:val="22"/>
                <w:szCs w:val="22"/>
              </w:rPr>
              <w:t>961</w:t>
            </w:r>
          </w:p>
        </w:tc>
      </w:tr>
      <w:tr w:rsidR="00205EDC" w:rsidRPr="00DB24BC" w14:paraId="7750360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CF75135" w14:textId="77777777" w:rsidR="00205EDC" w:rsidRPr="00DB24BC" w:rsidRDefault="00205EDC" w:rsidP="00CE5EBA">
            <w:pPr>
              <w:rPr>
                <w:color w:val="000000"/>
                <w:kern w:val="22"/>
                <w:sz w:val="22"/>
                <w:szCs w:val="22"/>
              </w:rPr>
            </w:pPr>
            <w:r w:rsidRPr="00DB24BC">
              <w:rPr>
                <w:sz w:val="22"/>
                <w:szCs w:val="22"/>
              </w:rPr>
              <w:t>Slovénie</w:t>
            </w:r>
          </w:p>
        </w:tc>
        <w:tc>
          <w:tcPr>
            <w:tcW w:w="1580" w:type="dxa"/>
            <w:tcBorders>
              <w:top w:val="nil"/>
              <w:left w:val="nil"/>
              <w:bottom w:val="single" w:sz="4" w:space="0" w:color="auto"/>
              <w:right w:val="single" w:sz="4" w:space="0" w:color="auto"/>
            </w:tcBorders>
            <w:shd w:val="clear" w:color="auto" w:fill="auto"/>
            <w:vAlign w:val="center"/>
            <w:hideMark/>
          </w:tcPr>
          <w:p w14:paraId="56F3212A"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028 </w:t>
            </w:r>
          </w:p>
        </w:tc>
        <w:tc>
          <w:tcPr>
            <w:tcW w:w="1580" w:type="dxa"/>
            <w:tcBorders>
              <w:top w:val="nil"/>
              <w:left w:val="nil"/>
              <w:bottom w:val="single" w:sz="4" w:space="0" w:color="auto"/>
              <w:right w:val="single" w:sz="4" w:space="0" w:color="auto"/>
            </w:tcBorders>
            <w:shd w:val="clear" w:color="auto" w:fill="auto"/>
            <w:noWrap/>
            <w:vAlign w:val="center"/>
            <w:hideMark/>
          </w:tcPr>
          <w:p w14:paraId="484C29F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035 </w:t>
            </w:r>
          </w:p>
        </w:tc>
        <w:tc>
          <w:tcPr>
            <w:tcW w:w="1580" w:type="dxa"/>
            <w:tcBorders>
              <w:top w:val="nil"/>
              <w:left w:val="nil"/>
              <w:bottom w:val="single" w:sz="4" w:space="0" w:color="auto"/>
              <w:right w:val="single" w:sz="4" w:space="0" w:color="auto"/>
            </w:tcBorders>
            <w:shd w:val="clear" w:color="auto" w:fill="auto"/>
            <w:noWrap/>
            <w:vAlign w:val="center"/>
            <w:hideMark/>
          </w:tcPr>
          <w:p w14:paraId="2CF2BD2D" w14:textId="77777777" w:rsidR="00205EDC" w:rsidRPr="00DB24BC" w:rsidRDefault="00205EDC" w:rsidP="00CE5EBA">
            <w:pPr>
              <w:jc w:val="right"/>
              <w:rPr>
                <w:color w:val="000000"/>
                <w:kern w:val="22"/>
                <w:sz w:val="22"/>
                <w:szCs w:val="22"/>
              </w:rPr>
            </w:pPr>
            <w:r w:rsidRPr="00DB24BC">
              <w:rPr>
                <w:color w:val="000000"/>
                <w:kern w:val="22"/>
                <w:sz w:val="22"/>
                <w:szCs w:val="22"/>
              </w:rPr>
              <w:t>3 845</w:t>
            </w:r>
          </w:p>
        </w:tc>
      </w:tr>
      <w:tr w:rsidR="00205EDC" w:rsidRPr="00DB24BC" w14:paraId="20EEEDA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B355361" w14:textId="77777777" w:rsidR="00205EDC" w:rsidRPr="00DB24BC" w:rsidRDefault="00205EDC" w:rsidP="00CE5EBA">
            <w:pPr>
              <w:rPr>
                <w:color w:val="000000"/>
                <w:kern w:val="22"/>
                <w:sz w:val="22"/>
                <w:szCs w:val="22"/>
              </w:rPr>
            </w:pPr>
            <w:r w:rsidRPr="00DB24BC">
              <w:rPr>
                <w:sz w:val="22"/>
                <w:szCs w:val="22"/>
              </w:rPr>
              <w:t>Somalie</w:t>
            </w:r>
          </w:p>
        </w:tc>
        <w:tc>
          <w:tcPr>
            <w:tcW w:w="1580" w:type="dxa"/>
            <w:tcBorders>
              <w:top w:val="nil"/>
              <w:left w:val="nil"/>
              <w:bottom w:val="single" w:sz="4" w:space="0" w:color="auto"/>
              <w:right w:val="single" w:sz="4" w:space="0" w:color="auto"/>
            </w:tcBorders>
            <w:shd w:val="clear" w:color="auto" w:fill="auto"/>
            <w:vAlign w:val="center"/>
            <w:hideMark/>
          </w:tcPr>
          <w:p w14:paraId="27CC89E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CD43332"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3BCE6CC"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0ECEF26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920462A" w14:textId="77777777" w:rsidR="00205EDC" w:rsidRPr="00DB24BC" w:rsidRDefault="00205EDC" w:rsidP="00CE5EBA">
            <w:pPr>
              <w:rPr>
                <w:color w:val="000000"/>
                <w:kern w:val="22"/>
                <w:sz w:val="22"/>
                <w:szCs w:val="22"/>
              </w:rPr>
            </w:pPr>
            <w:r w:rsidRPr="00DB24BC">
              <w:rPr>
                <w:sz w:val="22"/>
                <w:szCs w:val="22"/>
              </w:rPr>
              <w:t>Soudan</w:t>
            </w:r>
          </w:p>
        </w:tc>
        <w:tc>
          <w:tcPr>
            <w:tcW w:w="1580" w:type="dxa"/>
            <w:tcBorders>
              <w:top w:val="nil"/>
              <w:left w:val="nil"/>
              <w:bottom w:val="single" w:sz="4" w:space="0" w:color="auto"/>
              <w:right w:val="single" w:sz="4" w:space="0" w:color="auto"/>
            </w:tcBorders>
            <w:shd w:val="clear" w:color="auto" w:fill="auto"/>
            <w:vAlign w:val="center"/>
            <w:hideMark/>
          </w:tcPr>
          <w:p w14:paraId="36305D9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272 </w:t>
            </w:r>
          </w:p>
        </w:tc>
        <w:tc>
          <w:tcPr>
            <w:tcW w:w="1580" w:type="dxa"/>
            <w:tcBorders>
              <w:top w:val="nil"/>
              <w:left w:val="nil"/>
              <w:bottom w:val="single" w:sz="4" w:space="0" w:color="auto"/>
              <w:right w:val="single" w:sz="4" w:space="0" w:color="auto"/>
            </w:tcBorders>
            <w:shd w:val="clear" w:color="auto" w:fill="auto"/>
            <w:noWrap/>
            <w:vAlign w:val="center"/>
            <w:hideMark/>
          </w:tcPr>
          <w:p w14:paraId="7883941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340 </w:t>
            </w:r>
          </w:p>
        </w:tc>
        <w:tc>
          <w:tcPr>
            <w:tcW w:w="1580" w:type="dxa"/>
            <w:tcBorders>
              <w:top w:val="nil"/>
              <w:left w:val="nil"/>
              <w:bottom w:val="single" w:sz="4" w:space="0" w:color="auto"/>
              <w:right w:val="single" w:sz="4" w:space="0" w:color="auto"/>
            </w:tcBorders>
            <w:shd w:val="clear" w:color="auto" w:fill="auto"/>
            <w:noWrap/>
            <w:vAlign w:val="center"/>
            <w:hideMark/>
          </w:tcPr>
          <w:p w14:paraId="6AD52A91" w14:textId="77777777" w:rsidR="00205EDC" w:rsidRPr="00DB24BC" w:rsidRDefault="00205EDC" w:rsidP="00CE5EBA">
            <w:pPr>
              <w:jc w:val="right"/>
              <w:rPr>
                <w:color w:val="000000"/>
                <w:kern w:val="22"/>
                <w:sz w:val="22"/>
                <w:szCs w:val="22"/>
              </w:rPr>
            </w:pPr>
            <w:r w:rsidRPr="00DB24BC">
              <w:rPr>
                <w:color w:val="000000"/>
                <w:kern w:val="22"/>
                <w:sz w:val="22"/>
                <w:szCs w:val="22"/>
              </w:rPr>
              <w:t>37 350</w:t>
            </w:r>
          </w:p>
        </w:tc>
      </w:tr>
      <w:tr w:rsidR="00205EDC" w:rsidRPr="00DB24BC" w14:paraId="05538DC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435A797" w14:textId="77777777" w:rsidR="00205EDC" w:rsidRPr="00DB24BC" w:rsidRDefault="00205EDC" w:rsidP="00CE5EBA">
            <w:pPr>
              <w:rPr>
                <w:color w:val="000000"/>
                <w:kern w:val="22"/>
                <w:sz w:val="22"/>
                <w:szCs w:val="22"/>
              </w:rPr>
            </w:pPr>
            <w:r w:rsidRPr="00DB24BC">
              <w:rPr>
                <w:sz w:val="22"/>
                <w:szCs w:val="22"/>
              </w:rPr>
              <w:t>Sri Lanka</w:t>
            </w:r>
          </w:p>
        </w:tc>
        <w:tc>
          <w:tcPr>
            <w:tcW w:w="1580" w:type="dxa"/>
            <w:tcBorders>
              <w:top w:val="nil"/>
              <w:left w:val="nil"/>
              <w:bottom w:val="single" w:sz="4" w:space="0" w:color="auto"/>
              <w:right w:val="single" w:sz="4" w:space="0" w:color="auto"/>
            </w:tcBorders>
            <w:shd w:val="clear" w:color="auto" w:fill="auto"/>
            <w:vAlign w:val="center"/>
            <w:hideMark/>
          </w:tcPr>
          <w:p w14:paraId="096B2DB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FC5817F"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705D1F0"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08381FA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172B77F" w14:textId="77777777" w:rsidR="00205EDC" w:rsidRPr="00DB24BC" w:rsidRDefault="00205EDC" w:rsidP="00CE5EBA">
            <w:pPr>
              <w:rPr>
                <w:color w:val="000000"/>
                <w:kern w:val="22"/>
                <w:sz w:val="22"/>
                <w:szCs w:val="22"/>
              </w:rPr>
            </w:pPr>
            <w:r w:rsidRPr="00DB24BC">
              <w:rPr>
                <w:sz w:val="22"/>
                <w:szCs w:val="22"/>
              </w:rPr>
              <w:t>Sud-Soudan</w:t>
            </w:r>
          </w:p>
        </w:tc>
        <w:tc>
          <w:tcPr>
            <w:tcW w:w="1580" w:type="dxa"/>
            <w:tcBorders>
              <w:top w:val="nil"/>
              <w:left w:val="nil"/>
              <w:bottom w:val="single" w:sz="4" w:space="0" w:color="auto"/>
              <w:right w:val="single" w:sz="4" w:space="0" w:color="auto"/>
            </w:tcBorders>
            <w:shd w:val="clear" w:color="auto" w:fill="auto"/>
            <w:vAlign w:val="center"/>
            <w:hideMark/>
          </w:tcPr>
          <w:p w14:paraId="58F689C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153 </w:t>
            </w:r>
          </w:p>
        </w:tc>
        <w:tc>
          <w:tcPr>
            <w:tcW w:w="1580" w:type="dxa"/>
            <w:tcBorders>
              <w:top w:val="nil"/>
              <w:left w:val="nil"/>
              <w:bottom w:val="single" w:sz="4" w:space="0" w:color="auto"/>
              <w:right w:val="single" w:sz="4" w:space="0" w:color="auto"/>
            </w:tcBorders>
            <w:shd w:val="clear" w:color="auto" w:fill="auto"/>
            <w:noWrap/>
            <w:vAlign w:val="center"/>
            <w:hideMark/>
          </w:tcPr>
          <w:p w14:paraId="0510A73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191 </w:t>
            </w:r>
          </w:p>
        </w:tc>
        <w:tc>
          <w:tcPr>
            <w:tcW w:w="1580" w:type="dxa"/>
            <w:tcBorders>
              <w:top w:val="nil"/>
              <w:left w:val="nil"/>
              <w:bottom w:val="single" w:sz="4" w:space="0" w:color="auto"/>
              <w:right w:val="single" w:sz="4" w:space="0" w:color="auto"/>
            </w:tcBorders>
            <w:shd w:val="clear" w:color="auto" w:fill="auto"/>
            <w:noWrap/>
            <w:vAlign w:val="center"/>
            <w:hideMark/>
          </w:tcPr>
          <w:p w14:paraId="6AEC59A6" w14:textId="77777777" w:rsidR="00205EDC" w:rsidRPr="00DB24BC" w:rsidRDefault="00205EDC" w:rsidP="00CE5EBA">
            <w:pPr>
              <w:jc w:val="right"/>
              <w:rPr>
                <w:color w:val="000000"/>
                <w:kern w:val="22"/>
                <w:sz w:val="22"/>
                <w:szCs w:val="22"/>
              </w:rPr>
            </w:pPr>
            <w:r w:rsidRPr="00DB24BC">
              <w:rPr>
                <w:color w:val="000000"/>
                <w:kern w:val="22"/>
                <w:sz w:val="22"/>
                <w:szCs w:val="22"/>
              </w:rPr>
              <w:t>21 009</w:t>
            </w:r>
          </w:p>
        </w:tc>
      </w:tr>
      <w:tr w:rsidR="00205EDC" w:rsidRPr="00DB24BC" w14:paraId="6F9930B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C2233BC" w14:textId="77777777" w:rsidR="00205EDC" w:rsidRPr="00DB24BC" w:rsidRDefault="00205EDC" w:rsidP="00CE5EBA">
            <w:pPr>
              <w:rPr>
                <w:color w:val="000000"/>
                <w:kern w:val="22"/>
                <w:sz w:val="22"/>
                <w:szCs w:val="22"/>
              </w:rPr>
            </w:pPr>
            <w:r w:rsidRPr="00DB24BC">
              <w:rPr>
                <w:sz w:val="22"/>
                <w:szCs w:val="22"/>
              </w:rPr>
              <w:t>Suède</w:t>
            </w:r>
          </w:p>
        </w:tc>
        <w:tc>
          <w:tcPr>
            <w:tcW w:w="1580" w:type="dxa"/>
            <w:tcBorders>
              <w:top w:val="nil"/>
              <w:left w:val="nil"/>
              <w:bottom w:val="single" w:sz="4" w:space="0" w:color="auto"/>
              <w:right w:val="single" w:sz="4" w:space="0" w:color="auto"/>
            </w:tcBorders>
            <w:shd w:val="clear" w:color="auto" w:fill="auto"/>
            <w:vAlign w:val="center"/>
            <w:hideMark/>
          </w:tcPr>
          <w:p w14:paraId="7727A1B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906 </w:t>
            </w:r>
          </w:p>
        </w:tc>
        <w:tc>
          <w:tcPr>
            <w:tcW w:w="1580" w:type="dxa"/>
            <w:tcBorders>
              <w:top w:val="nil"/>
              <w:left w:val="nil"/>
              <w:bottom w:val="single" w:sz="4" w:space="0" w:color="auto"/>
              <w:right w:val="single" w:sz="4" w:space="0" w:color="auto"/>
            </w:tcBorders>
            <w:shd w:val="clear" w:color="auto" w:fill="auto"/>
            <w:noWrap/>
            <w:vAlign w:val="center"/>
            <w:hideMark/>
          </w:tcPr>
          <w:p w14:paraId="4674C5F9"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133 </w:t>
            </w:r>
          </w:p>
        </w:tc>
        <w:tc>
          <w:tcPr>
            <w:tcW w:w="1580" w:type="dxa"/>
            <w:tcBorders>
              <w:top w:val="nil"/>
              <w:left w:val="nil"/>
              <w:bottom w:val="single" w:sz="4" w:space="0" w:color="auto"/>
              <w:right w:val="single" w:sz="4" w:space="0" w:color="auto"/>
            </w:tcBorders>
            <w:shd w:val="clear" w:color="auto" w:fill="auto"/>
            <w:noWrap/>
            <w:vAlign w:val="center"/>
            <w:hideMark/>
          </w:tcPr>
          <w:p w14:paraId="08DBB41B" w14:textId="77777777" w:rsidR="00205EDC" w:rsidRPr="00DB24BC" w:rsidRDefault="00205EDC" w:rsidP="00CE5EBA">
            <w:pPr>
              <w:jc w:val="right"/>
              <w:rPr>
                <w:color w:val="000000"/>
                <w:kern w:val="22"/>
                <w:sz w:val="22"/>
                <w:szCs w:val="22"/>
              </w:rPr>
            </w:pPr>
            <w:r w:rsidRPr="00DB24BC">
              <w:rPr>
                <w:color w:val="000000"/>
                <w:kern w:val="22"/>
                <w:sz w:val="22"/>
                <w:szCs w:val="22"/>
              </w:rPr>
              <w:t>124 408</w:t>
            </w:r>
          </w:p>
        </w:tc>
      </w:tr>
      <w:tr w:rsidR="00205EDC" w:rsidRPr="00DB24BC" w14:paraId="4B76541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2EE020A" w14:textId="77777777" w:rsidR="00205EDC" w:rsidRPr="00DB24BC" w:rsidRDefault="00205EDC" w:rsidP="00CE5EBA">
            <w:pPr>
              <w:rPr>
                <w:color w:val="000000"/>
                <w:kern w:val="22"/>
                <w:sz w:val="22"/>
                <w:szCs w:val="22"/>
              </w:rPr>
            </w:pPr>
            <w:r w:rsidRPr="00DB24BC">
              <w:rPr>
                <w:sz w:val="22"/>
                <w:szCs w:val="22"/>
              </w:rPr>
              <w:t>Suisse</w:t>
            </w:r>
          </w:p>
        </w:tc>
        <w:tc>
          <w:tcPr>
            <w:tcW w:w="1580" w:type="dxa"/>
            <w:tcBorders>
              <w:top w:val="nil"/>
              <w:left w:val="nil"/>
              <w:bottom w:val="single" w:sz="4" w:space="0" w:color="auto"/>
              <w:right w:val="single" w:sz="4" w:space="0" w:color="auto"/>
            </w:tcBorders>
            <w:shd w:val="clear" w:color="auto" w:fill="auto"/>
            <w:vAlign w:val="center"/>
            <w:hideMark/>
          </w:tcPr>
          <w:p w14:paraId="5FD130B1"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151 </w:t>
            </w:r>
          </w:p>
        </w:tc>
        <w:tc>
          <w:tcPr>
            <w:tcW w:w="1580" w:type="dxa"/>
            <w:tcBorders>
              <w:top w:val="nil"/>
              <w:left w:val="nil"/>
              <w:bottom w:val="single" w:sz="4" w:space="0" w:color="auto"/>
              <w:right w:val="single" w:sz="4" w:space="0" w:color="auto"/>
            </w:tcBorders>
            <w:shd w:val="clear" w:color="auto" w:fill="auto"/>
            <w:noWrap/>
            <w:vAlign w:val="center"/>
            <w:hideMark/>
          </w:tcPr>
          <w:p w14:paraId="7745E830"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439 </w:t>
            </w:r>
          </w:p>
        </w:tc>
        <w:tc>
          <w:tcPr>
            <w:tcW w:w="1580" w:type="dxa"/>
            <w:tcBorders>
              <w:top w:val="nil"/>
              <w:left w:val="nil"/>
              <w:bottom w:val="single" w:sz="4" w:space="0" w:color="auto"/>
              <w:right w:val="single" w:sz="4" w:space="0" w:color="auto"/>
            </w:tcBorders>
            <w:shd w:val="clear" w:color="auto" w:fill="auto"/>
            <w:noWrap/>
            <w:vAlign w:val="center"/>
            <w:hideMark/>
          </w:tcPr>
          <w:p w14:paraId="4FE97D3C" w14:textId="77777777" w:rsidR="00205EDC" w:rsidRPr="00DB24BC" w:rsidRDefault="00205EDC" w:rsidP="00CE5EBA">
            <w:pPr>
              <w:jc w:val="right"/>
              <w:rPr>
                <w:color w:val="000000"/>
                <w:kern w:val="22"/>
                <w:sz w:val="22"/>
                <w:szCs w:val="22"/>
              </w:rPr>
            </w:pPr>
            <w:r w:rsidRPr="00DB24BC">
              <w:rPr>
                <w:color w:val="000000"/>
                <w:kern w:val="22"/>
                <w:sz w:val="22"/>
                <w:szCs w:val="22"/>
              </w:rPr>
              <w:t>158 051</w:t>
            </w:r>
          </w:p>
        </w:tc>
      </w:tr>
      <w:tr w:rsidR="00205EDC" w:rsidRPr="00DB24BC" w14:paraId="6AF373A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585DD44" w14:textId="77777777" w:rsidR="00205EDC" w:rsidRPr="00DB24BC" w:rsidRDefault="00205EDC" w:rsidP="00CE5EBA">
            <w:pPr>
              <w:rPr>
                <w:color w:val="000000"/>
                <w:kern w:val="22"/>
                <w:sz w:val="22"/>
                <w:szCs w:val="22"/>
              </w:rPr>
            </w:pPr>
            <w:r w:rsidRPr="00DB24BC">
              <w:rPr>
                <w:sz w:val="22"/>
                <w:szCs w:val="22"/>
              </w:rPr>
              <w:t>Suriname</w:t>
            </w:r>
          </w:p>
        </w:tc>
        <w:tc>
          <w:tcPr>
            <w:tcW w:w="1580" w:type="dxa"/>
            <w:tcBorders>
              <w:top w:val="nil"/>
              <w:left w:val="nil"/>
              <w:bottom w:val="single" w:sz="4" w:space="0" w:color="auto"/>
              <w:right w:val="single" w:sz="4" w:space="0" w:color="auto"/>
            </w:tcBorders>
            <w:shd w:val="clear" w:color="auto" w:fill="auto"/>
            <w:vAlign w:val="center"/>
            <w:hideMark/>
          </w:tcPr>
          <w:p w14:paraId="4B862F6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75D64B8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006 </w:t>
            </w:r>
          </w:p>
        </w:tc>
        <w:tc>
          <w:tcPr>
            <w:tcW w:w="1580" w:type="dxa"/>
            <w:tcBorders>
              <w:top w:val="nil"/>
              <w:left w:val="nil"/>
              <w:bottom w:val="single" w:sz="4" w:space="0" w:color="auto"/>
              <w:right w:val="single" w:sz="4" w:space="0" w:color="auto"/>
            </w:tcBorders>
            <w:shd w:val="clear" w:color="auto" w:fill="auto"/>
            <w:noWrap/>
            <w:vAlign w:val="center"/>
            <w:hideMark/>
          </w:tcPr>
          <w:p w14:paraId="391B64B6" w14:textId="77777777" w:rsidR="00205EDC" w:rsidRPr="00DB24BC" w:rsidRDefault="00205EDC" w:rsidP="00CE5EBA">
            <w:pPr>
              <w:jc w:val="right"/>
              <w:rPr>
                <w:color w:val="000000"/>
                <w:kern w:val="22"/>
                <w:sz w:val="22"/>
                <w:szCs w:val="22"/>
              </w:rPr>
            </w:pPr>
            <w:r w:rsidRPr="00DB24BC">
              <w:rPr>
                <w:color w:val="000000"/>
                <w:kern w:val="22"/>
                <w:sz w:val="22"/>
                <w:szCs w:val="22"/>
              </w:rPr>
              <w:t>687</w:t>
            </w:r>
          </w:p>
        </w:tc>
      </w:tr>
      <w:tr w:rsidR="00205EDC" w:rsidRPr="00DB24BC" w14:paraId="146BCF9B"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8A8D032" w14:textId="77777777" w:rsidR="00205EDC" w:rsidRPr="00DB24BC" w:rsidRDefault="00205EDC" w:rsidP="00CE5EBA">
            <w:pPr>
              <w:rPr>
                <w:color w:val="000000"/>
                <w:kern w:val="22"/>
                <w:sz w:val="22"/>
                <w:szCs w:val="22"/>
              </w:rPr>
            </w:pPr>
            <w:r w:rsidRPr="00DB24BC">
              <w:rPr>
                <w:sz w:val="22"/>
                <w:szCs w:val="22"/>
              </w:rPr>
              <w:t>Tadjikistan</w:t>
            </w:r>
          </w:p>
        </w:tc>
        <w:tc>
          <w:tcPr>
            <w:tcW w:w="1580" w:type="dxa"/>
            <w:tcBorders>
              <w:top w:val="nil"/>
              <w:left w:val="nil"/>
              <w:bottom w:val="single" w:sz="4" w:space="0" w:color="auto"/>
              <w:right w:val="single" w:sz="4" w:space="0" w:color="auto"/>
            </w:tcBorders>
            <w:shd w:val="clear" w:color="auto" w:fill="auto"/>
            <w:vAlign w:val="center"/>
            <w:hideMark/>
          </w:tcPr>
          <w:p w14:paraId="1F47D1D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2149665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17E70307" w14:textId="77777777" w:rsidR="00205EDC" w:rsidRPr="00DB24BC" w:rsidRDefault="00205EDC" w:rsidP="00CE5EBA">
            <w:pPr>
              <w:jc w:val="right"/>
              <w:rPr>
                <w:color w:val="000000"/>
                <w:kern w:val="22"/>
                <w:sz w:val="22"/>
                <w:szCs w:val="22"/>
              </w:rPr>
            </w:pPr>
            <w:r w:rsidRPr="00DB24BC">
              <w:rPr>
                <w:color w:val="000000"/>
                <w:kern w:val="22"/>
                <w:sz w:val="22"/>
                <w:szCs w:val="22"/>
              </w:rPr>
              <w:t>549</w:t>
            </w:r>
          </w:p>
        </w:tc>
      </w:tr>
      <w:tr w:rsidR="00205EDC" w:rsidRPr="00CF06A4" w14:paraId="61F3D0E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708194C" w14:textId="77777777" w:rsidR="00205EDC" w:rsidRPr="00CF06A4" w:rsidRDefault="00205EDC" w:rsidP="00CE5EBA">
            <w:pPr>
              <w:rPr>
                <w:color w:val="000000"/>
                <w:kern w:val="22"/>
                <w:sz w:val="22"/>
                <w:szCs w:val="20"/>
              </w:rPr>
            </w:pPr>
            <w:r w:rsidRPr="00CF06A4">
              <w:rPr>
                <w:sz w:val="22"/>
                <w:szCs w:val="20"/>
              </w:rPr>
              <w:t>Tchad</w:t>
            </w:r>
          </w:p>
        </w:tc>
        <w:tc>
          <w:tcPr>
            <w:tcW w:w="1580" w:type="dxa"/>
            <w:tcBorders>
              <w:top w:val="nil"/>
              <w:left w:val="nil"/>
              <w:bottom w:val="single" w:sz="4" w:space="0" w:color="auto"/>
              <w:right w:val="single" w:sz="4" w:space="0" w:color="auto"/>
            </w:tcBorders>
            <w:shd w:val="clear" w:color="auto" w:fill="auto"/>
            <w:vAlign w:val="center"/>
            <w:hideMark/>
          </w:tcPr>
          <w:p w14:paraId="5CBF1D9F"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004 </w:t>
            </w:r>
          </w:p>
        </w:tc>
        <w:tc>
          <w:tcPr>
            <w:tcW w:w="1580" w:type="dxa"/>
            <w:tcBorders>
              <w:top w:val="nil"/>
              <w:left w:val="nil"/>
              <w:bottom w:val="single" w:sz="4" w:space="0" w:color="auto"/>
              <w:right w:val="single" w:sz="4" w:space="0" w:color="auto"/>
            </w:tcBorders>
            <w:shd w:val="clear" w:color="auto" w:fill="auto"/>
            <w:noWrap/>
            <w:vAlign w:val="center"/>
            <w:hideMark/>
          </w:tcPr>
          <w:p w14:paraId="2AE052A0"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005 </w:t>
            </w:r>
          </w:p>
        </w:tc>
        <w:tc>
          <w:tcPr>
            <w:tcW w:w="1580" w:type="dxa"/>
            <w:tcBorders>
              <w:top w:val="nil"/>
              <w:left w:val="nil"/>
              <w:bottom w:val="single" w:sz="4" w:space="0" w:color="auto"/>
              <w:right w:val="single" w:sz="4" w:space="0" w:color="auto"/>
            </w:tcBorders>
            <w:shd w:val="clear" w:color="auto" w:fill="auto"/>
            <w:noWrap/>
            <w:vAlign w:val="center"/>
            <w:hideMark/>
          </w:tcPr>
          <w:p w14:paraId="7ACE933F" w14:textId="77777777" w:rsidR="00205EDC" w:rsidRPr="00CF06A4" w:rsidRDefault="00205EDC" w:rsidP="00CE5EBA">
            <w:pPr>
              <w:jc w:val="right"/>
              <w:rPr>
                <w:color w:val="000000"/>
                <w:kern w:val="22"/>
                <w:sz w:val="22"/>
                <w:szCs w:val="20"/>
              </w:rPr>
            </w:pPr>
            <w:r w:rsidRPr="00CF06A4">
              <w:rPr>
                <w:color w:val="000000"/>
                <w:kern w:val="22"/>
                <w:sz w:val="22"/>
                <w:szCs w:val="20"/>
              </w:rPr>
              <w:t>549</w:t>
            </w:r>
          </w:p>
        </w:tc>
      </w:tr>
      <w:tr w:rsidR="00205EDC" w:rsidRPr="00CF06A4" w14:paraId="35B5A6A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1A1C884" w14:textId="77777777" w:rsidR="00205EDC" w:rsidRPr="00CF06A4" w:rsidRDefault="00205EDC" w:rsidP="00CE5EBA">
            <w:pPr>
              <w:rPr>
                <w:color w:val="000000"/>
                <w:kern w:val="22"/>
                <w:sz w:val="22"/>
                <w:szCs w:val="20"/>
              </w:rPr>
            </w:pPr>
            <w:r w:rsidRPr="00CF06A4">
              <w:rPr>
                <w:sz w:val="22"/>
                <w:szCs w:val="20"/>
              </w:rPr>
              <w:t>Tchéquie</w:t>
            </w:r>
          </w:p>
        </w:tc>
        <w:tc>
          <w:tcPr>
            <w:tcW w:w="1580" w:type="dxa"/>
            <w:tcBorders>
              <w:top w:val="nil"/>
              <w:left w:val="nil"/>
              <w:bottom w:val="single" w:sz="4" w:space="0" w:color="auto"/>
              <w:right w:val="single" w:sz="4" w:space="0" w:color="auto"/>
            </w:tcBorders>
            <w:shd w:val="clear" w:color="auto" w:fill="auto"/>
            <w:vAlign w:val="center"/>
            <w:hideMark/>
          </w:tcPr>
          <w:p w14:paraId="16965C4D"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311 </w:t>
            </w:r>
          </w:p>
        </w:tc>
        <w:tc>
          <w:tcPr>
            <w:tcW w:w="1580" w:type="dxa"/>
            <w:tcBorders>
              <w:top w:val="nil"/>
              <w:left w:val="nil"/>
              <w:bottom w:val="single" w:sz="4" w:space="0" w:color="auto"/>
              <w:right w:val="single" w:sz="4" w:space="0" w:color="auto"/>
            </w:tcBorders>
            <w:shd w:val="clear" w:color="auto" w:fill="auto"/>
            <w:noWrap/>
            <w:vAlign w:val="center"/>
            <w:hideMark/>
          </w:tcPr>
          <w:p w14:paraId="215FC27A" w14:textId="77777777" w:rsidR="00205EDC" w:rsidRPr="00CF06A4" w:rsidRDefault="00205EDC" w:rsidP="00CE5EBA">
            <w:pPr>
              <w:jc w:val="right"/>
              <w:rPr>
                <w:color w:val="000000"/>
                <w:kern w:val="22"/>
                <w:sz w:val="22"/>
                <w:szCs w:val="20"/>
              </w:rPr>
            </w:pPr>
            <w:r w:rsidRPr="00CF06A4">
              <w:rPr>
                <w:color w:val="000000"/>
                <w:kern w:val="22"/>
                <w:sz w:val="22"/>
                <w:szCs w:val="20"/>
              </w:rPr>
              <w:t>0</w:t>
            </w:r>
            <w:r>
              <w:rPr>
                <w:color w:val="000000"/>
                <w:kern w:val="22"/>
                <w:sz w:val="22"/>
                <w:szCs w:val="20"/>
              </w:rPr>
              <w:t>,</w:t>
            </w:r>
            <w:r w:rsidRPr="00CF06A4">
              <w:rPr>
                <w:color w:val="000000"/>
                <w:kern w:val="22"/>
                <w:sz w:val="22"/>
                <w:szCs w:val="20"/>
              </w:rPr>
              <w:t xml:space="preserve">389 </w:t>
            </w:r>
          </w:p>
        </w:tc>
        <w:tc>
          <w:tcPr>
            <w:tcW w:w="1580" w:type="dxa"/>
            <w:tcBorders>
              <w:top w:val="nil"/>
              <w:left w:val="nil"/>
              <w:bottom w:val="single" w:sz="4" w:space="0" w:color="auto"/>
              <w:right w:val="single" w:sz="4" w:space="0" w:color="auto"/>
            </w:tcBorders>
            <w:shd w:val="clear" w:color="auto" w:fill="auto"/>
            <w:noWrap/>
            <w:vAlign w:val="center"/>
            <w:hideMark/>
          </w:tcPr>
          <w:p w14:paraId="71B48740" w14:textId="77777777" w:rsidR="00205EDC" w:rsidRPr="00CF06A4" w:rsidRDefault="00205EDC" w:rsidP="00CE5EBA">
            <w:pPr>
              <w:jc w:val="right"/>
              <w:rPr>
                <w:color w:val="000000"/>
                <w:kern w:val="22"/>
                <w:sz w:val="22"/>
                <w:szCs w:val="20"/>
              </w:rPr>
            </w:pPr>
            <w:r w:rsidRPr="00CF06A4">
              <w:rPr>
                <w:color w:val="000000"/>
                <w:kern w:val="22"/>
                <w:sz w:val="22"/>
                <w:szCs w:val="20"/>
              </w:rPr>
              <w:t>42 705</w:t>
            </w:r>
          </w:p>
        </w:tc>
      </w:tr>
      <w:tr w:rsidR="00205EDC" w:rsidRPr="00DB24BC" w14:paraId="35A8048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4C706A6" w14:textId="77777777" w:rsidR="00205EDC" w:rsidRPr="00DB24BC" w:rsidRDefault="00205EDC" w:rsidP="00CE5EBA">
            <w:pPr>
              <w:rPr>
                <w:color w:val="000000"/>
                <w:kern w:val="22"/>
                <w:sz w:val="22"/>
                <w:szCs w:val="22"/>
              </w:rPr>
            </w:pPr>
            <w:r w:rsidRPr="00DB24BC">
              <w:rPr>
                <w:sz w:val="22"/>
                <w:szCs w:val="22"/>
              </w:rPr>
              <w:t>Thaïlande</w:t>
            </w:r>
          </w:p>
        </w:tc>
        <w:tc>
          <w:tcPr>
            <w:tcW w:w="1580" w:type="dxa"/>
            <w:tcBorders>
              <w:top w:val="nil"/>
              <w:left w:val="nil"/>
              <w:bottom w:val="single" w:sz="4" w:space="0" w:color="auto"/>
              <w:right w:val="single" w:sz="4" w:space="0" w:color="auto"/>
            </w:tcBorders>
            <w:shd w:val="clear" w:color="auto" w:fill="auto"/>
            <w:vAlign w:val="center"/>
            <w:hideMark/>
          </w:tcPr>
          <w:p w14:paraId="3256C7B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307 </w:t>
            </w:r>
          </w:p>
        </w:tc>
        <w:tc>
          <w:tcPr>
            <w:tcW w:w="1580" w:type="dxa"/>
            <w:tcBorders>
              <w:top w:val="nil"/>
              <w:left w:val="nil"/>
              <w:bottom w:val="single" w:sz="4" w:space="0" w:color="auto"/>
              <w:right w:val="single" w:sz="4" w:space="0" w:color="auto"/>
            </w:tcBorders>
            <w:shd w:val="clear" w:color="auto" w:fill="auto"/>
            <w:noWrap/>
            <w:vAlign w:val="center"/>
            <w:hideMark/>
          </w:tcPr>
          <w:p w14:paraId="4637FD1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384 </w:t>
            </w:r>
          </w:p>
        </w:tc>
        <w:tc>
          <w:tcPr>
            <w:tcW w:w="1580" w:type="dxa"/>
            <w:tcBorders>
              <w:top w:val="nil"/>
              <w:left w:val="nil"/>
              <w:bottom w:val="single" w:sz="4" w:space="0" w:color="auto"/>
              <w:right w:val="single" w:sz="4" w:space="0" w:color="auto"/>
            </w:tcBorders>
            <w:shd w:val="clear" w:color="auto" w:fill="auto"/>
            <w:noWrap/>
            <w:vAlign w:val="center"/>
            <w:hideMark/>
          </w:tcPr>
          <w:p w14:paraId="6CF60844" w14:textId="77777777" w:rsidR="00205EDC" w:rsidRPr="00DB24BC" w:rsidRDefault="00205EDC" w:rsidP="00CE5EBA">
            <w:pPr>
              <w:jc w:val="right"/>
              <w:rPr>
                <w:color w:val="000000"/>
                <w:kern w:val="22"/>
                <w:sz w:val="22"/>
                <w:szCs w:val="22"/>
              </w:rPr>
            </w:pPr>
            <w:r w:rsidRPr="00DB24BC">
              <w:rPr>
                <w:color w:val="000000"/>
                <w:kern w:val="22"/>
                <w:sz w:val="22"/>
                <w:szCs w:val="22"/>
              </w:rPr>
              <w:t>42 156</w:t>
            </w:r>
          </w:p>
        </w:tc>
      </w:tr>
      <w:tr w:rsidR="00205EDC" w:rsidRPr="00DB24BC" w14:paraId="6BEF249A"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9C27135" w14:textId="77777777" w:rsidR="00205EDC" w:rsidRPr="00DB24BC" w:rsidRDefault="00205EDC" w:rsidP="00CE5EBA">
            <w:pPr>
              <w:rPr>
                <w:color w:val="000000"/>
                <w:kern w:val="22"/>
                <w:sz w:val="22"/>
                <w:szCs w:val="22"/>
              </w:rPr>
            </w:pPr>
            <w:r w:rsidRPr="00DB24BC">
              <w:rPr>
                <w:sz w:val="22"/>
                <w:szCs w:val="22"/>
              </w:rPr>
              <w:t>Timor-Leste</w:t>
            </w:r>
          </w:p>
        </w:tc>
        <w:tc>
          <w:tcPr>
            <w:tcW w:w="1580" w:type="dxa"/>
            <w:tcBorders>
              <w:top w:val="nil"/>
              <w:left w:val="nil"/>
              <w:bottom w:val="single" w:sz="4" w:space="0" w:color="auto"/>
              <w:right w:val="single" w:sz="4" w:space="0" w:color="auto"/>
            </w:tcBorders>
            <w:shd w:val="clear" w:color="auto" w:fill="auto"/>
            <w:vAlign w:val="center"/>
            <w:hideMark/>
          </w:tcPr>
          <w:p w14:paraId="037DC0A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0A542AE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59FD77F0"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13E554F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05C0FCC" w14:textId="77777777" w:rsidR="00205EDC" w:rsidRPr="00DB24BC" w:rsidRDefault="00205EDC" w:rsidP="00CE5EBA">
            <w:pPr>
              <w:rPr>
                <w:color w:val="000000"/>
                <w:kern w:val="22"/>
                <w:sz w:val="22"/>
                <w:szCs w:val="22"/>
              </w:rPr>
            </w:pPr>
            <w:r w:rsidRPr="00DB24BC">
              <w:rPr>
                <w:sz w:val="22"/>
                <w:szCs w:val="22"/>
              </w:rPr>
              <w:t>Togo</w:t>
            </w:r>
          </w:p>
        </w:tc>
        <w:tc>
          <w:tcPr>
            <w:tcW w:w="1580" w:type="dxa"/>
            <w:tcBorders>
              <w:top w:val="nil"/>
              <w:left w:val="nil"/>
              <w:bottom w:val="single" w:sz="4" w:space="0" w:color="auto"/>
              <w:right w:val="single" w:sz="4" w:space="0" w:color="auto"/>
            </w:tcBorders>
            <w:shd w:val="clear" w:color="auto" w:fill="auto"/>
            <w:vAlign w:val="center"/>
            <w:hideMark/>
          </w:tcPr>
          <w:p w14:paraId="76D6D5A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002 </w:t>
            </w:r>
          </w:p>
        </w:tc>
        <w:tc>
          <w:tcPr>
            <w:tcW w:w="1580" w:type="dxa"/>
            <w:tcBorders>
              <w:top w:val="nil"/>
              <w:left w:val="nil"/>
              <w:bottom w:val="single" w:sz="4" w:space="0" w:color="auto"/>
              <w:right w:val="single" w:sz="4" w:space="0" w:color="auto"/>
            </w:tcBorders>
            <w:shd w:val="clear" w:color="auto" w:fill="auto"/>
            <w:noWrap/>
            <w:vAlign w:val="center"/>
            <w:hideMark/>
          </w:tcPr>
          <w:p w14:paraId="2ACF71F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003 </w:t>
            </w:r>
          </w:p>
        </w:tc>
        <w:tc>
          <w:tcPr>
            <w:tcW w:w="1580" w:type="dxa"/>
            <w:tcBorders>
              <w:top w:val="nil"/>
              <w:left w:val="nil"/>
              <w:bottom w:val="single" w:sz="4" w:space="0" w:color="auto"/>
              <w:right w:val="single" w:sz="4" w:space="0" w:color="auto"/>
            </w:tcBorders>
            <w:shd w:val="clear" w:color="auto" w:fill="auto"/>
            <w:noWrap/>
            <w:vAlign w:val="center"/>
            <w:hideMark/>
          </w:tcPr>
          <w:p w14:paraId="7354B65F" w14:textId="77777777" w:rsidR="00205EDC" w:rsidRPr="00DB24BC" w:rsidRDefault="00205EDC" w:rsidP="00CE5EBA">
            <w:pPr>
              <w:jc w:val="right"/>
              <w:rPr>
                <w:color w:val="000000"/>
                <w:kern w:val="22"/>
                <w:sz w:val="22"/>
                <w:szCs w:val="22"/>
              </w:rPr>
            </w:pPr>
            <w:r w:rsidRPr="00DB24BC">
              <w:rPr>
                <w:color w:val="000000"/>
                <w:kern w:val="22"/>
                <w:sz w:val="22"/>
                <w:szCs w:val="22"/>
              </w:rPr>
              <w:t>275</w:t>
            </w:r>
          </w:p>
        </w:tc>
      </w:tr>
      <w:tr w:rsidR="00205EDC" w:rsidRPr="00DB24BC" w14:paraId="1D30E35E"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FF89A42" w14:textId="77777777" w:rsidR="00205EDC" w:rsidRPr="00DB24BC" w:rsidRDefault="00205EDC" w:rsidP="00CE5EBA">
            <w:pPr>
              <w:rPr>
                <w:color w:val="000000"/>
                <w:kern w:val="22"/>
                <w:sz w:val="22"/>
                <w:szCs w:val="22"/>
              </w:rPr>
            </w:pPr>
            <w:r w:rsidRPr="00DB24BC">
              <w:rPr>
                <w:sz w:val="22"/>
                <w:szCs w:val="22"/>
              </w:rPr>
              <w:t>Tonga</w:t>
            </w:r>
          </w:p>
        </w:tc>
        <w:tc>
          <w:tcPr>
            <w:tcW w:w="1580" w:type="dxa"/>
            <w:tcBorders>
              <w:top w:val="nil"/>
              <w:left w:val="nil"/>
              <w:bottom w:val="single" w:sz="4" w:space="0" w:color="auto"/>
              <w:right w:val="single" w:sz="4" w:space="0" w:color="auto"/>
            </w:tcBorders>
            <w:shd w:val="clear" w:color="auto" w:fill="auto"/>
            <w:vAlign w:val="center"/>
            <w:hideMark/>
          </w:tcPr>
          <w:p w14:paraId="5F42C7B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1FF4AD5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08AAD819"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4855F2B6"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FFD6195" w14:textId="77777777" w:rsidR="00205EDC" w:rsidRPr="00DB24BC" w:rsidRDefault="00205EDC" w:rsidP="00CE5EBA">
            <w:pPr>
              <w:rPr>
                <w:color w:val="000000"/>
                <w:kern w:val="22"/>
                <w:sz w:val="22"/>
                <w:szCs w:val="22"/>
              </w:rPr>
            </w:pPr>
            <w:r w:rsidRPr="00DB24BC">
              <w:rPr>
                <w:sz w:val="22"/>
                <w:szCs w:val="22"/>
              </w:rPr>
              <w:t>Trinité-et-Tobago</w:t>
            </w:r>
          </w:p>
        </w:tc>
        <w:tc>
          <w:tcPr>
            <w:tcW w:w="1580" w:type="dxa"/>
            <w:tcBorders>
              <w:top w:val="nil"/>
              <w:left w:val="nil"/>
              <w:bottom w:val="single" w:sz="4" w:space="0" w:color="auto"/>
              <w:right w:val="single" w:sz="4" w:space="0" w:color="auto"/>
            </w:tcBorders>
            <w:shd w:val="clear" w:color="auto" w:fill="auto"/>
            <w:vAlign w:val="center"/>
            <w:hideMark/>
          </w:tcPr>
          <w:p w14:paraId="66958AE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040 </w:t>
            </w:r>
          </w:p>
        </w:tc>
        <w:tc>
          <w:tcPr>
            <w:tcW w:w="1580" w:type="dxa"/>
            <w:tcBorders>
              <w:top w:val="nil"/>
              <w:left w:val="nil"/>
              <w:bottom w:val="single" w:sz="4" w:space="0" w:color="auto"/>
              <w:right w:val="single" w:sz="4" w:space="0" w:color="auto"/>
            </w:tcBorders>
            <w:shd w:val="clear" w:color="auto" w:fill="auto"/>
            <w:noWrap/>
            <w:vAlign w:val="center"/>
            <w:hideMark/>
          </w:tcPr>
          <w:p w14:paraId="11FE06C0"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050 </w:t>
            </w:r>
          </w:p>
        </w:tc>
        <w:tc>
          <w:tcPr>
            <w:tcW w:w="1580" w:type="dxa"/>
            <w:tcBorders>
              <w:top w:val="nil"/>
              <w:left w:val="nil"/>
              <w:bottom w:val="single" w:sz="4" w:space="0" w:color="auto"/>
              <w:right w:val="single" w:sz="4" w:space="0" w:color="auto"/>
            </w:tcBorders>
            <w:shd w:val="clear" w:color="auto" w:fill="auto"/>
            <w:noWrap/>
            <w:vAlign w:val="center"/>
            <w:hideMark/>
          </w:tcPr>
          <w:p w14:paraId="5955B6E2" w14:textId="77777777" w:rsidR="00205EDC" w:rsidRPr="00DB24BC" w:rsidRDefault="00205EDC" w:rsidP="00CE5EBA">
            <w:pPr>
              <w:jc w:val="right"/>
              <w:rPr>
                <w:color w:val="000000"/>
                <w:kern w:val="22"/>
                <w:sz w:val="22"/>
                <w:szCs w:val="22"/>
              </w:rPr>
            </w:pPr>
            <w:r w:rsidRPr="00DB24BC">
              <w:rPr>
                <w:color w:val="000000"/>
                <w:kern w:val="22"/>
                <w:sz w:val="22"/>
                <w:szCs w:val="22"/>
              </w:rPr>
              <w:t>5 493</w:t>
            </w:r>
          </w:p>
        </w:tc>
      </w:tr>
      <w:tr w:rsidR="00205EDC" w:rsidRPr="00DB24BC" w14:paraId="12225D3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44D1E90" w14:textId="77777777" w:rsidR="00205EDC" w:rsidRPr="00DB24BC" w:rsidRDefault="00205EDC" w:rsidP="00CE5EBA">
            <w:pPr>
              <w:rPr>
                <w:color w:val="000000"/>
                <w:kern w:val="22"/>
                <w:sz w:val="22"/>
                <w:szCs w:val="22"/>
              </w:rPr>
            </w:pPr>
            <w:r w:rsidRPr="00DB24BC">
              <w:rPr>
                <w:sz w:val="22"/>
                <w:szCs w:val="22"/>
              </w:rPr>
              <w:t>Tunisie</w:t>
            </w:r>
          </w:p>
        </w:tc>
        <w:tc>
          <w:tcPr>
            <w:tcW w:w="1580" w:type="dxa"/>
            <w:tcBorders>
              <w:top w:val="nil"/>
              <w:left w:val="nil"/>
              <w:bottom w:val="single" w:sz="4" w:space="0" w:color="auto"/>
              <w:right w:val="single" w:sz="4" w:space="0" w:color="auto"/>
            </w:tcBorders>
            <w:shd w:val="clear" w:color="auto" w:fill="auto"/>
            <w:vAlign w:val="center"/>
            <w:hideMark/>
          </w:tcPr>
          <w:p w14:paraId="3D9A4A1D"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025 </w:t>
            </w:r>
          </w:p>
        </w:tc>
        <w:tc>
          <w:tcPr>
            <w:tcW w:w="1580" w:type="dxa"/>
            <w:tcBorders>
              <w:top w:val="nil"/>
              <w:left w:val="nil"/>
              <w:bottom w:val="single" w:sz="4" w:space="0" w:color="auto"/>
              <w:right w:val="single" w:sz="4" w:space="0" w:color="auto"/>
            </w:tcBorders>
            <w:shd w:val="clear" w:color="auto" w:fill="auto"/>
            <w:noWrap/>
            <w:vAlign w:val="center"/>
            <w:hideMark/>
          </w:tcPr>
          <w:p w14:paraId="6319FF2B"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031 </w:t>
            </w:r>
          </w:p>
        </w:tc>
        <w:tc>
          <w:tcPr>
            <w:tcW w:w="1580" w:type="dxa"/>
            <w:tcBorders>
              <w:top w:val="nil"/>
              <w:left w:val="nil"/>
              <w:bottom w:val="single" w:sz="4" w:space="0" w:color="auto"/>
              <w:right w:val="single" w:sz="4" w:space="0" w:color="auto"/>
            </w:tcBorders>
            <w:shd w:val="clear" w:color="auto" w:fill="auto"/>
            <w:noWrap/>
            <w:vAlign w:val="center"/>
            <w:hideMark/>
          </w:tcPr>
          <w:p w14:paraId="775EFD25" w14:textId="77777777" w:rsidR="00205EDC" w:rsidRPr="00DB24BC" w:rsidRDefault="00205EDC" w:rsidP="00CE5EBA">
            <w:pPr>
              <w:jc w:val="right"/>
              <w:rPr>
                <w:color w:val="000000"/>
                <w:kern w:val="22"/>
                <w:sz w:val="22"/>
                <w:szCs w:val="22"/>
              </w:rPr>
            </w:pPr>
            <w:r w:rsidRPr="00DB24BC">
              <w:rPr>
                <w:color w:val="000000"/>
                <w:kern w:val="22"/>
                <w:sz w:val="22"/>
                <w:szCs w:val="22"/>
              </w:rPr>
              <w:t>3 433</w:t>
            </w:r>
          </w:p>
        </w:tc>
      </w:tr>
      <w:tr w:rsidR="00205EDC" w:rsidRPr="00DB24BC" w14:paraId="2A4DDEA7"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B5DF83E" w14:textId="77777777" w:rsidR="00205EDC" w:rsidRPr="00DB24BC" w:rsidRDefault="00205EDC" w:rsidP="00CE5EBA">
            <w:pPr>
              <w:rPr>
                <w:color w:val="000000"/>
                <w:kern w:val="22"/>
                <w:sz w:val="22"/>
                <w:szCs w:val="22"/>
              </w:rPr>
            </w:pPr>
            <w:r w:rsidRPr="00DB24BC">
              <w:rPr>
                <w:sz w:val="22"/>
                <w:szCs w:val="22"/>
              </w:rPr>
              <w:t>Turkménistan</w:t>
            </w:r>
          </w:p>
        </w:tc>
        <w:tc>
          <w:tcPr>
            <w:tcW w:w="1580" w:type="dxa"/>
            <w:tcBorders>
              <w:top w:val="nil"/>
              <w:left w:val="nil"/>
              <w:bottom w:val="single" w:sz="4" w:space="0" w:color="auto"/>
              <w:right w:val="single" w:sz="4" w:space="0" w:color="auto"/>
            </w:tcBorders>
            <w:shd w:val="clear" w:color="auto" w:fill="auto"/>
            <w:vAlign w:val="center"/>
            <w:hideMark/>
          </w:tcPr>
          <w:p w14:paraId="6F093B6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033 </w:t>
            </w:r>
          </w:p>
        </w:tc>
        <w:tc>
          <w:tcPr>
            <w:tcW w:w="1580" w:type="dxa"/>
            <w:tcBorders>
              <w:top w:val="nil"/>
              <w:left w:val="nil"/>
              <w:bottom w:val="single" w:sz="4" w:space="0" w:color="auto"/>
              <w:right w:val="single" w:sz="4" w:space="0" w:color="auto"/>
            </w:tcBorders>
            <w:shd w:val="clear" w:color="auto" w:fill="auto"/>
            <w:noWrap/>
            <w:vAlign w:val="center"/>
            <w:hideMark/>
          </w:tcPr>
          <w:p w14:paraId="50382F2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041 </w:t>
            </w:r>
          </w:p>
        </w:tc>
        <w:tc>
          <w:tcPr>
            <w:tcW w:w="1580" w:type="dxa"/>
            <w:tcBorders>
              <w:top w:val="nil"/>
              <w:left w:val="nil"/>
              <w:bottom w:val="single" w:sz="4" w:space="0" w:color="auto"/>
              <w:right w:val="single" w:sz="4" w:space="0" w:color="auto"/>
            </w:tcBorders>
            <w:shd w:val="clear" w:color="auto" w:fill="auto"/>
            <w:noWrap/>
            <w:vAlign w:val="center"/>
            <w:hideMark/>
          </w:tcPr>
          <w:p w14:paraId="16753A64" w14:textId="77777777" w:rsidR="00205EDC" w:rsidRPr="00DB24BC" w:rsidRDefault="00205EDC" w:rsidP="00CE5EBA">
            <w:pPr>
              <w:jc w:val="right"/>
              <w:rPr>
                <w:color w:val="000000"/>
                <w:kern w:val="22"/>
                <w:sz w:val="22"/>
                <w:szCs w:val="22"/>
              </w:rPr>
            </w:pPr>
            <w:r w:rsidRPr="00DB24BC">
              <w:rPr>
                <w:color w:val="000000"/>
                <w:kern w:val="22"/>
                <w:sz w:val="22"/>
                <w:szCs w:val="22"/>
              </w:rPr>
              <w:t>4 531</w:t>
            </w:r>
          </w:p>
        </w:tc>
      </w:tr>
      <w:tr w:rsidR="00205EDC" w:rsidRPr="00DB24BC" w14:paraId="0B7D2792"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8637BB9" w14:textId="77777777" w:rsidR="00205EDC" w:rsidRPr="00DB24BC" w:rsidRDefault="00205EDC" w:rsidP="00CE5EBA">
            <w:pPr>
              <w:rPr>
                <w:color w:val="000000"/>
                <w:kern w:val="22"/>
                <w:sz w:val="22"/>
                <w:szCs w:val="22"/>
              </w:rPr>
            </w:pPr>
            <w:r w:rsidRPr="00DB24BC">
              <w:rPr>
                <w:sz w:val="22"/>
                <w:szCs w:val="22"/>
              </w:rPr>
              <w:t>Turquie</w:t>
            </w:r>
          </w:p>
        </w:tc>
        <w:tc>
          <w:tcPr>
            <w:tcW w:w="1580" w:type="dxa"/>
            <w:tcBorders>
              <w:top w:val="nil"/>
              <w:left w:val="nil"/>
              <w:bottom w:val="single" w:sz="4" w:space="0" w:color="auto"/>
              <w:right w:val="single" w:sz="4" w:space="0" w:color="auto"/>
            </w:tcBorders>
            <w:shd w:val="clear" w:color="auto" w:fill="auto"/>
            <w:vAlign w:val="center"/>
            <w:hideMark/>
          </w:tcPr>
          <w:p w14:paraId="6B8E0D85"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371 </w:t>
            </w:r>
          </w:p>
        </w:tc>
        <w:tc>
          <w:tcPr>
            <w:tcW w:w="1580" w:type="dxa"/>
            <w:tcBorders>
              <w:top w:val="nil"/>
              <w:left w:val="nil"/>
              <w:bottom w:val="single" w:sz="4" w:space="0" w:color="auto"/>
              <w:right w:val="single" w:sz="4" w:space="0" w:color="auto"/>
            </w:tcBorders>
            <w:shd w:val="clear" w:color="auto" w:fill="auto"/>
            <w:noWrap/>
            <w:vAlign w:val="center"/>
            <w:hideMark/>
          </w:tcPr>
          <w:p w14:paraId="43A992B0" w14:textId="77777777" w:rsidR="00205EDC" w:rsidRPr="00DB24BC" w:rsidRDefault="00205EDC" w:rsidP="00CE5EBA">
            <w:pPr>
              <w:jc w:val="right"/>
              <w:rPr>
                <w:color w:val="000000"/>
                <w:kern w:val="22"/>
                <w:sz w:val="22"/>
                <w:szCs w:val="22"/>
              </w:rPr>
            </w:pPr>
            <w:r w:rsidRPr="00DB24BC">
              <w:rPr>
                <w:color w:val="000000"/>
                <w:kern w:val="22"/>
                <w:sz w:val="22"/>
                <w:szCs w:val="22"/>
              </w:rPr>
              <w:t>1</w:t>
            </w:r>
            <w:r>
              <w:rPr>
                <w:color w:val="000000"/>
                <w:kern w:val="22"/>
                <w:sz w:val="22"/>
                <w:szCs w:val="22"/>
              </w:rPr>
              <w:t>,</w:t>
            </w:r>
            <w:r w:rsidRPr="00DB24BC">
              <w:rPr>
                <w:color w:val="000000"/>
                <w:kern w:val="22"/>
                <w:sz w:val="22"/>
                <w:szCs w:val="22"/>
              </w:rPr>
              <w:t xml:space="preserve">714 </w:t>
            </w:r>
          </w:p>
        </w:tc>
        <w:tc>
          <w:tcPr>
            <w:tcW w:w="1580" w:type="dxa"/>
            <w:tcBorders>
              <w:top w:val="nil"/>
              <w:left w:val="nil"/>
              <w:bottom w:val="single" w:sz="4" w:space="0" w:color="auto"/>
              <w:right w:val="single" w:sz="4" w:space="0" w:color="auto"/>
            </w:tcBorders>
            <w:shd w:val="clear" w:color="auto" w:fill="auto"/>
            <w:noWrap/>
            <w:vAlign w:val="center"/>
            <w:hideMark/>
          </w:tcPr>
          <w:p w14:paraId="5B6D4F04" w14:textId="77777777" w:rsidR="00205EDC" w:rsidRPr="00DB24BC" w:rsidRDefault="00205EDC" w:rsidP="00CE5EBA">
            <w:pPr>
              <w:jc w:val="right"/>
              <w:rPr>
                <w:color w:val="000000"/>
                <w:kern w:val="22"/>
                <w:sz w:val="22"/>
                <w:szCs w:val="22"/>
              </w:rPr>
            </w:pPr>
            <w:r w:rsidRPr="00DB24BC">
              <w:rPr>
                <w:color w:val="000000"/>
                <w:kern w:val="22"/>
                <w:sz w:val="22"/>
                <w:szCs w:val="22"/>
              </w:rPr>
              <w:t>188 260</w:t>
            </w:r>
          </w:p>
        </w:tc>
      </w:tr>
      <w:tr w:rsidR="00205EDC" w:rsidRPr="00DB24BC" w14:paraId="491BEDD9"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B63BAB8" w14:textId="77777777" w:rsidR="00205EDC" w:rsidRPr="00DB24BC" w:rsidRDefault="00205EDC" w:rsidP="00CE5EBA">
            <w:pPr>
              <w:rPr>
                <w:color w:val="000000"/>
                <w:kern w:val="22"/>
                <w:sz w:val="22"/>
                <w:szCs w:val="22"/>
              </w:rPr>
            </w:pPr>
            <w:r w:rsidRPr="00DB24BC">
              <w:rPr>
                <w:sz w:val="22"/>
                <w:szCs w:val="22"/>
              </w:rPr>
              <w:t>Tuvalu</w:t>
            </w:r>
          </w:p>
        </w:tc>
        <w:tc>
          <w:tcPr>
            <w:tcW w:w="1580" w:type="dxa"/>
            <w:tcBorders>
              <w:top w:val="nil"/>
              <w:left w:val="nil"/>
              <w:bottom w:val="single" w:sz="4" w:space="0" w:color="auto"/>
              <w:right w:val="single" w:sz="4" w:space="0" w:color="auto"/>
            </w:tcBorders>
            <w:shd w:val="clear" w:color="auto" w:fill="auto"/>
            <w:vAlign w:val="center"/>
            <w:hideMark/>
          </w:tcPr>
          <w:p w14:paraId="1BFF04E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216BE684"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43770C34"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524219B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F807832" w14:textId="77777777" w:rsidR="00205EDC" w:rsidRPr="00DB24BC" w:rsidRDefault="00205EDC" w:rsidP="00CE5EBA">
            <w:pPr>
              <w:rPr>
                <w:color w:val="000000"/>
                <w:kern w:val="22"/>
                <w:sz w:val="22"/>
                <w:szCs w:val="22"/>
              </w:rPr>
            </w:pPr>
            <w:r w:rsidRPr="00DB24BC">
              <w:rPr>
                <w:sz w:val="22"/>
                <w:szCs w:val="22"/>
              </w:rPr>
              <w:t>Ukraine</w:t>
            </w:r>
          </w:p>
        </w:tc>
        <w:tc>
          <w:tcPr>
            <w:tcW w:w="1580" w:type="dxa"/>
            <w:tcBorders>
              <w:top w:val="nil"/>
              <w:left w:val="nil"/>
              <w:bottom w:val="single" w:sz="4" w:space="0" w:color="auto"/>
              <w:right w:val="single" w:sz="4" w:space="0" w:color="auto"/>
            </w:tcBorders>
            <w:shd w:val="clear" w:color="auto" w:fill="auto"/>
            <w:vAlign w:val="center"/>
            <w:hideMark/>
          </w:tcPr>
          <w:p w14:paraId="0E8FF24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057 </w:t>
            </w:r>
          </w:p>
        </w:tc>
        <w:tc>
          <w:tcPr>
            <w:tcW w:w="1580" w:type="dxa"/>
            <w:tcBorders>
              <w:top w:val="nil"/>
              <w:left w:val="nil"/>
              <w:bottom w:val="single" w:sz="4" w:space="0" w:color="auto"/>
              <w:right w:val="single" w:sz="4" w:space="0" w:color="auto"/>
            </w:tcBorders>
            <w:shd w:val="clear" w:color="auto" w:fill="auto"/>
            <w:noWrap/>
            <w:vAlign w:val="center"/>
            <w:hideMark/>
          </w:tcPr>
          <w:p w14:paraId="434D642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071 </w:t>
            </w:r>
          </w:p>
        </w:tc>
        <w:tc>
          <w:tcPr>
            <w:tcW w:w="1580" w:type="dxa"/>
            <w:tcBorders>
              <w:top w:val="nil"/>
              <w:left w:val="nil"/>
              <w:bottom w:val="single" w:sz="4" w:space="0" w:color="auto"/>
              <w:right w:val="single" w:sz="4" w:space="0" w:color="auto"/>
            </w:tcBorders>
            <w:shd w:val="clear" w:color="auto" w:fill="auto"/>
            <w:noWrap/>
            <w:vAlign w:val="center"/>
            <w:hideMark/>
          </w:tcPr>
          <w:p w14:paraId="0B082362" w14:textId="77777777" w:rsidR="00205EDC" w:rsidRPr="00DB24BC" w:rsidRDefault="00205EDC" w:rsidP="00CE5EBA">
            <w:pPr>
              <w:jc w:val="right"/>
              <w:rPr>
                <w:color w:val="000000"/>
                <w:kern w:val="22"/>
                <w:sz w:val="22"/>
                <w:szCs w:val="22"/>
              </w:rPr>
            </w:pPr>
            <w:r w:rsidRPr="00DB24BC">
              <w:rPr>
                <w:color w:val="000000"/>
                <w:kern w:val="22"/>
                <w:sz w:val="22"/>
                <w:szCs w:val="22"/>
              </w:rPr>
              <w:t>7 827</w:t>
            </w:r>
          </w:p>
        </w:tc>
      </w:tr>
      <w:tr w:rsidR="00205EDC" w:rsidRPr="00DB24BC" w14:paraId="734D7B23"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CE0E395" w14:textId="77777777" w:rsidR="00205EDC" w:rsidRPr="00DB24BC" w:rsidRDefault="00205EDC" w:rsidP="00CE5EBA">
            <w:pPr>
              <w:rPr>
                <w:color w:val="000000"/>
                <w:kern w:val="22"/>
                <w:sz w:val="22"/>
                <w:szCs w:val="22"/>
              </w:rPr>
            </w:pPr>
            <w:r w:rsidRPr="00DB24BC">
              <w:rPr>
                <w:sz w:val="22"/>
                <w:szCs w:val="22"/>
              </w:rPr>
              <w:t>Union européenne</w:t>
            </w:r>
          </w:p>
        </w:tc>
        <w:tc>
          <w:tcPr>
            <w:tcW w:w="1580" w:type="dxa"/>
            <w:tcBorders>
              <w:top w:val="nil"/>
              <w:left w:val="nil"/>
              <w:bottom w:val="single" w:sz="4" w:space="0" w:color="auto"/>
              <w:right w:val="single" w:sz="4" w:space="0" w:color="auto"/>
            </w:tcBorders>
            <w:shd w:val="clear" w:color="auto" w:fill="auto"/>
            <w:vAlign w:val="center"/>
            <w:hideMark/>
          </w:tcPr>
          <w:p w14:paraId="6A87B91F" w14:textId="77777777" w:rsidR="00205EDC" w:rsidRPr="00DB24BC" w:rsidRDefault="00205EDC" w:rsidP="00CE5EBA">
            <w:pPr>
              <w:rPr>
                <w:color w:val="000000"/>
                <w:kern w:val="22"/>
                <w:sz w:val="22"/>
                <w:szCs w:val="22"/>
              </w:rPr>
            </w:pPr>
            <w:r w:rsidRPr="00DB24BC">
              <w:rPr>
                <w:color w:val="000000"/>
                <w:kern w:val="22"/>
                <w:sz w:val="22"/>
                <w:szCs w:val="22"/>
              </w:rPr>
              <w:t> </w:t>
            </w:r>
          </w:p>
        </w:tc>
        <w:tc>
          <w:tcPr>
            <w:tcW w:w="1580" w:type="dxa"/>
            <w:tcBorders>
              <w:top w:val="nil"/>
              <w:left w:val="nil"/>
              <w:bottom w:val="single" w:sz="4" w:space="0" w:color="auto"/>
              <w:right w:val="single" w:sz="4" w:space="0" w:color="auto"/>
            </w:tcBorders>
            <w:shd w:val="clear" w:color="auto" w:fill="auto"/>
            <w:noWrap/>
            <w:vAlign w:val="center"/>
            <w:hideMark/>
          </w:tcPr>
          <w:p w14:paraId="73D5CCF9" w14:textId="77777777" w:rsidR="00205EDC" w:rsidRPr="00DB24BC" w:rsidRDefault="00205EDC" w:rsidP="00CE5EBA">
            <w:pPr>
              <w:jc w:val="right"/>
              <w:rPr>
                <w:color w:val="000000"/>
                <w:kern w:val="22"/>
                <w:sz w:val="22"/>
                <w:szCs w:val="22"/>
              </w:rPr>
            </w:pPr>
            <w:r w:rsidRPr="00DB24BC">
              <w:rPr>
                <w:color w:val="000000"/>
                <w:kern w:val="22"/>
                <w:sz w:val="22"/>
                <w:szCs w:val="22"/>
              </w:rPr>
              <w:t>2</w:t>
            </w:r>
            <w:r>
              <w:rPr>
                <w:color w:val="000000"/>
                <w:kern w:val="22"/>
                <w:sz w:val="22"/>
                <w:szCs w:val="22"/>
              </w:rPr>
              <w:t>,</w:t>
            </w:r>
            <w:r w:rsidRPr="00DB24BC">
              <w:rPr>
                <w:color w:val="000000"/>
                <w:kern w:val="22"/>
                <w:sz w:val="22"/>
                <w:szCs w:val="22"/>
              </w:rPr>
              <w:t xml:space="preserve">500 </w:t>
            </w:r>
          </w:p>
        </w:tc>
        <w:tc>
          <w:tcPr>
            <w:tcW w:w="1580" w:type="dxa"/>
            <w:tcBorders>
              <w:top w:val="nil"/>
              <w:left w:val="nil"/>
              <w:bottom w:val="single" w:sz="4" w:space="0" w:color="auto"/>
              <w:right w:val="single" w:sz="4" w:space="0" w:color="auto"/>
            </w:tcBorders>
            <w:shd w:val="clear" w:color="auto" w:fill="auto"/>
            <w:noWrap/>
            <w:vAlign w:val="center"/>
            <w:hideMark/>
          </w:tcPr>
          <w:p w14:paraId="6C25702E" w14:textId="77777777" w:rsidR="00205EDC" w:rsidRPr="00DB24BC" w:rsidRDefault="00205EDC" w:rsidP="00CE5EBA">
            <w:pPr>
              <w:jc w:val="right"/>
              <w:rPr>
                <w:color w:val="000000"/>
                <w:kern w:val="22"/>
                <w:sz w:val="22"/>
                <w:szCs w:val="22"/>
              </w:rPr>
            </w:pPr>
            <w:r w:rsidRPr="00DB24BC">
              <w:rPr>
                <w:color w:val="000000"/>
                <w:kern w:val="22"/>
                <w:sz w:val="22"/>
                <w:szCs w:val="22"/>
              </w:rPr>
              <w:t>274 583</w:t>
            </w:r>
          </w:p>
        </w:tc>
      </w:tr>
      <w:tr w:rsidR="00205EDC" w:rsidRPr="00DB24BC" w14:paraId="65605348"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E79D33D" w14:textId="77777777" w:rsidR="00205EDC" w:rsidRPr="00DB24BC" w:rsidRDefault="00205EDC" w:rsidP="00CE5EBA">
            <w:pPr>
              <w:rPr>
                <w:color w:val="000000"/>
                <w:kern w:val="22"/>
                <w:sz w:val="22"/>
                <w:szCs w:val="22"/>
              </w:rPr>
            </w:pPr>
            <w:r w:rsidRPr="00DB24BC">
              <w:rPr>
                <w:sz w:val="22"/>
                <w:szCs w:val="22"/>
              </w:rPr>
              <w:t>Uruguay</w:t>
            </w:r>
          </w:p>
        </w:tc>
        <w:tc>
          <w:tcPr>
            <w:tcW w:w="1580" w:type="dxa"/>
            <w:tcBorders>
              <w:top w:val="nil"/>
              <w:left w:val="nil"/>
              <w:bottom w:val="single" w:sz="4" w:space="0" w:color="auto"/>
              <w:right w:val="single" w:sz="4" w:space="0" w:color="auto"/>
            </w:tcBorders>
            <w:shd w:val="clear" w:color="auto" w:fill="auto"/>
            <w:vAlign w:val="center"/>
            <w:hideMark/>
          </w:tcPr>
          <w:p w14:paraId="22A9D02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087 </w:t>
            </w:r>
          </w:p>
        </w:tc>
        <w:tc>
          <w:tcPr>
            <w:tcW w:w="1580" w:type="dxa"/>
            <w:tcBorders>
              <w:top w:val="nil"/>
              <w:left w:val="nil"/>
              <w:bottom w:val="single" w:sz="4" w:space="0" w:color="auto"/>
              <w:right w:val="single" w:sz="4" w:space="0" w:color="auto"/>
            </w:tcBorders>
            <w:shd w:val="clear" w:color="auto" w:fill="auto"/>
            <w:noWrap/>
            <w:vAlign w:val="center"/>
            <w:hideMark/>
          </w:tcPr>
          <w:p w14:paraId="67A3784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109 </w:t>
            </w:r>
          </w:p>
        </w:tc>
        <w:tc>
          <w:tcPr>
            <w:tcW w:w="1580" w:type="dxa"/>
            <w:tcBorders>
              <w:top w:val="nil"/>
              <w:left w:val="nil"/>
              <w:bottom w:val="single" w:sz="4" w:space="0" w:color="auto"/>
              <w:right w:val="single" w:sz="4" w:space="0" w:color="auto"/>
            </w:tcBorders>
            <w:shd w:val="clear" w:color="auto" w:fill="auto"/>
            <w:noWrap/>
            <w:vAlign w:val="center"/>
            <w:hideMark/>
          </w:tcPr>
          <w:p w14:paraId="05493AC5" w14:textId="77777777" w:rsidR="00205EDC" w:rsidRPr="00DB24BC" w:rsidRDefault="00205EDC" w:rsidP="00CE5EBA">
            <w:pPr>
              <w:jc w:val="right"/>
              <w:rPr>
                <w:color w:val="000000"/>
                <w:kern w:val="22"/>
                <w:sz w:val="22"/>
                <w:szCs w:val="22"/>
              </w:rPr>
            </w:pPr>
            <w:r w:rsidRPr="00DB24BC">
              <w:rPr>
                <w:color w:val="000000"/>
                <w:kern w:val="22"/>
                <w:sz w:val="22"/>
                <w:szCs w:val="22"/>
              </w:rPr>
              <w:t>11 947</w:t>
            </w:r>
          </w:p>
        </w:tc>
      </w:tr>
      <w:tr w:rsidR="00205EDC" w:rsidRPr="00DB24BC" w14:paraId="570841E5"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B67E871" w14:textId="77777777" w:rsidR="00205EDC" w:rsidRPr="00DB24BC" w:rsidRDefault="00205EDC" w:rsidP="00CE5EBA">
            <w:pPr>
              <w:rPr>
                <w:color w:val="000000"/>
                <w:kern w:val="22"/>
                <w:sz w:val="22"/>
                <w:szCs w:val="22"/>
              </w:rPr>
            </w:pPr>
            <w:r w:rsidRPr="00DB24BC">
              <w:rPr>
                <w:sz w:val="22"/>
                <w:szCs w:val="22"/>
              </w:rPr>
              <w:t>Vanuatu</w:t>
            </w:r>
          </w:p>
        </w:tc>
        <w:tc>
          <w:tcPr>
            <w:tcW w:w="1580" w:type="dxa"/>
            <w:tcBorders>
              <w:top w:val="nil"/>
              <w:left w:val="nil"/>
              <w:bottom w:val="single" w:sz="4" w:space="0" w:color="auto"/>
              <w:right w:val="single" w:sz="4" w:space="0" w:color="auto"/>
            </w:tcBorders>
            <w:shd w:val="clear" w:color="auto" w:fill="auto"/>
            <w:vAlign w:val="center"/>
            <w:hideMark/>
          </w:tcPr>
          <w:p w14:paraId="1C4D177C"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548AC11E"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001 </w:t>
            </w:r>
          </w:p>
        </w:tc>
        <w:tc>
          <w:tcPr>
            <w:tcW w:w="1580" w:type="dxa"/>
            <w:tcBorders>
              <w:top w:val="nil"/>
              <w:left w:val="nil"/>
              <w:bottom w:val="single" w:sz="4" w:space="0" w:color="auto"/>
              <w:right w:val="single" w:sz="4" w:space="0" w:color="auto"/>
            </w:tcBorders>
            <w:shd w:val="clear" w:color="auto" w:fill="auto"/>
            <w:noWrap/>
            <w:vAlign w:val="center"/>
            <w:hideMark/>
          </w:tcPr>
          <w:p w14:paraId="6A1F8A44" w14:textId="77777777" w:rsidR="00205EDC" w:rsidRPr="00DB24BC" w:rsidRDefault="00205EDC" w:rsidP="00CE5EBA">
            <w:pPr>
              <w:jc w:val="right"/>
              <w:rPr>
                <w:color w:val="000000"/>
                <w:kern w:val="22"/>
                <w:sz w:val="22"/>
                <w:szCs w:val="22"/>
              </w:rPr>
            </w:pPr>
            <w:r w:rsidRPr="00DB24BC">
              <w:rPr>
                <w:color w:val="000000"/>
                <w:kern w:val="22"/>
                <w:sz w:val="22"/>
                <w:szCs w:val="22"/>
              </w:rPr>
              <w:t>137</w:t>
            </w:r>
          </w:p>
        </w:tc>
      </w:tr>
      <w:tr w:rsidR="00205EDC" w:rsidRPr="00DB24BC" w14:paraId="788575AC"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2D4DD4F" w14:textId="77777777" w:rsidR="00205EDC" w:rsidRPr="00DB24BC" w:rsidRDefault="00205EDC" w:rsidP="00CE5EBA">
            <w:pPr>
              <w:rPr>
                <w:color w:val="000000"/>
                <w:kern w:val="22"/>
                <w:sz w:val="22"/>
                <w:szCs w:val="22"/>
              </w:rPr>
            </w:pPr>
            <w:r w:rsidRPr="00DB24BC">
              <w:rPr>
                <w:sz w:val="22"/>
                <w:szCs w:val="22"/>
              </w:rPr>
              <w:t>Venezuela</w:t>
            </w:r>
          </w:p>
        </w:tc>
        <w:tc>
          <w:tcPr>
            <w:tcW w:w="1580" w:type="dxa"/>
            <w:tcBorders>
              <w:top w:val="nil"/>
              <w:left w:val="nil"/>
              <w:bottom w:val="single" w:sz="4" w:space="0" w:color="auto"/>
              <w:right w:val="single" w:sz="4" w:space="0" w:color="auto"/>
            </w:tcBorders>
            <w:shd w:val="clear" w:color="auto" w:fill="auto"/>
            <w:vAlign w:val="center"/>
            <w:hideMark/>
          </w:tcPr>
          <w:p w14:paraId="6B3B07D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728 </w:t>
            </w:r>
          </w:p>
        </w:tc>
        <w:tc>
          <w:tcPr>
            <w:tcW w:w="1580" w:type="dxa"/>
            <w:tcBorders>
              <w:top w:val="nil"/>
              <w:left w:val="nil"/>
              <w:bottom w:val="single" w:sz="4" w:space="0" w:color="auto"/>
              <w:right w:val="single" w:sz="4" w:space="0" w:color="auto"/>
            </w:tcBorders>
            <w:shd w:val="clear" w:color="auto" w:fill="auto"/>
            <w:noWrap/>
            <w:vAlign w:val="center"/>
            <w:hideMark/>
          </w:tcPr>
          <w:p w14:paraId="52A8FC41"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910 </w:t>
            </w:r>
          </w:p>
        </w:tc>
        <w:tc>
          <w:tcPr>
            <w:tcW w:w="1580" w:type="dxa"/>
            <w:tcBorders>
              <w:top w:val="nil"/>
              <w:left w:val="nil"/>
              <w:bottom w:val="single" w:sz="4" w:space="0" w:color="auto"/>
              <w:right w:val="single" w:sz="4" w:space="0" w:color="auto"/>
            </w:tcBorders>
            <w:shd w:val="clear" w:color="auto" w:fill="auto"/>
            <w:noWrap/>
            <w:vAlign w:val="center"/>
            <w:hideMark/>
          </w:tcPr>
          <w:p w14:paraId="37E21D29" w14:textId="77777777" w:rsidR="00205EDC" w:rsidRPr="00DB24BC" w:rsidRDefault="00205EDC" w:rsidP="00CE5EBA">
            <w:pPr>
              <w:jc w:val="right"/>
              <w:rPr>
                <w:color w:val="000000"/>
                <w:kern w:val="22"/>
                <w:sz w:val="22"/>
                <w:szCs w:val="22"/>
              </w:rPr>
            </w:pPr>
            <w:r w:rsidRPr="00DB24BC">
              <w:rPr>
                <w:color w:val="000000"/>
                <w:kern w:val="22"/>
                <w:sz w:val="22"/>
                <w:szCs w:val="22"/>
              </w:rPr>
              <w:t>99 966</w:t>
            </w:r>
          </w:p>
        </w:tc>
      </w:tr>
      <w:tr w:rsidR="00205EDC" w:rsidRPr="00DB24BC" w14:paraId="597801C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3004823" w14:textId="77777777" w:rsidR="00205EDC" w:rsidRPr="00DB24BC" w:rsidRDefault="00205EDC" w:rsidP="00CE5EBA">
            <w:pPr>
              <w:rPr>
                <w:color w:val="000000"/>
                <w:kern w:val="22"/>
                <w:sz w:val="22"/>
                <w:szCs w:val="22"/>
              </w:rPr>
            </w:pPr>
            <w:r w:rsidRPr="00DB24BC">
              <w:rPr>
                <w:sz w:val="22"/>
                <w:szCs w:val="22"/>
              </w:rPr>
              <w:t>Viêt Nam</w:t>
            </w:r>
          </w:p>
        </w:tc>
        <w:tc>
          <w:tcPr>
            <w:tcW w:w="1580" w:type="dxa"/>
            <w:tcBorders>
              <w:top w:val="nil"/>
              <w:left w:val="nil"/>
              <w:bottom w:val="single" w:sz="4" w:space="0" w:color="auto"/>
              <w:right w:val="single" w:sz="4" w:space="0" w:color="auto"/>
            </w:tcBorders>
            <w:shd w:val="clear" w:color="auto" w:fill="auto"/>
            <w:vAlign w:val="center"/>
            <w:hideMark/>
          </w:tcPr>
          <w:p w14:paraId="2CDC3BE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077 </w:t>
            </w:r>
          </w:p>
        </w:tc>
        <w:tc>
          <w:tcPr>
            <w:tcW w:w="1580" w:type="dxa"/>
            <w:tcBorders>
              <w:top w:val="nil"/>
              <w:left w:val="nil"/>
              <w:bottom w:val="single" w:sz="4" w:space="0" w:color="auto"/>
              <w:right w:val="single" w:sz="4" w:space="0" w:color="auto"/>
            </w:tcBorders>
            <w:shd w:val="clear" w:color="auto" w:fill="auto"/>
            <w:noWrap/>
            <w:vAlign w:val="center"/>
            <w:hideMark/>
          </w:tcPr>
          <w:p w14:paraId="17F32147"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096 </w:t>
            </w:r>
          </w:p>
        </w:tc>
        <w:tc>
          <w:tcPr>
            <w:tcW w:w="1580" w:type="dxa"/>
            <w:tcBorders>
              <w:top w:val="nil"/>
              <w:left w:val="nil"/>
              <w:bottom w:val="single" w:sz="4" w:space="0" w:color="auto"/>
              <w:right w:val="single" w:sz="4" w:space="0" w:color="auto"/>
            </w:tcBorders>
            <w:shd w:val="clear" w:color="auto" w:fill="auto"/>
            <w:noWrap/>
            <w:vAlign w:val="center"/>
            <w:hideMark/>
          </w:tcPr>
          <w:p w14:paraId="65506D25" w14:textId="77777777" w:rsidR="00205EDC" w:rsidRPr="00DB24BC" w:rsidRDefault="00205EDC" w:rsidP="00CE5EBA">
            <w:pPr>
              <w:jc w:val="right"/>
              <w:rPr>
                <w:color w:val="000000"/>
                <w:kern w:val="22"/>
                <w:sz w:val="22"/>
                <w:szCs w:val="22"/>
              </w:rPr>
            </w:pPr>
            <w:r w:rsidRPr="00DB24BC">
              <w:rPr>
                <w:color w:val="000000"/>
                <w:kern w:val="22"/>
                <w:sz w:val="22"/>
                <w:szCs w:val="22"/>
              </w:rPr>
              <w:t>10 573</w:t>
            </w:r>
          </w:p>
        </w:tc>
      </w:tr>
      <w:tr w:rsidR="00205EDC" w:rsidRPr="00DB24BC" w14:paraId="37E58644"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BE9FBBF" w14:textId="77777777" w:rsidR="00205EDC" w:rsidRPr="00DB24BC" w:rsidRDefault="00205EDC" w:rsidP="00CE5EBA">
            <w:pPr>
              <w:rPr>
                <w:color w:val="000000"/>
                <w:kern w:val="22"/>
                <w:sz w:val="22"/>
                <w:szCs w:val="22"/>
              </w:rPr>
            </w:pPr>
            <w:r w:rsidRPr="00DB24BC">
              <w:rPr>
                <w:sz w:val="22"/>
                <w:szCs w:val="22"/>
              </w:rPr>
              <w:t>Yémen</w:t>
            </w:r>
          </w:p>
        </w:tc>
        <w:tc>
          <w:tcPr>
            <w:tcW w:w="1580" w:type="dxa"/>
            <w:tcBorders>
              <w:top w:val="nil"/>
              <w:left w:val="nil"/>
              <w:bottom w:val="single" w:sz="4" w:space="0" w:color="auto"/>
              <w:right w:val="single" w:sz="4" w:space="0" w:color="auto"/>
            </w:tcBorders>
            <w:shd w:val="clear" w:color="auto" w:fill="auto"/>
            <w:vAlign w:val="center"/>
            <w:hideMark/>
          </w:tcPr>
          <w:p w14:paraId="0A6BCC45"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64882C89"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hideMark/>
          </w:tcPr>
          <w:p w14:paraId="572169D2" w14:textId="77777777" w:rsidR="00205EDC" w:rsidRPr="00DB24BC" w:rsidRDefault="00205EDC" w:rsidP="00CE5EBA">
            <w:pPr>
              <w:jc w:val="right"/>
              <w:rPr>
                <w:color w:val="000000"/>
                <w:kern w:val="22"/>
                <w:sz w:val="22"/>
                <w:szCs w:val="22"/>
              </w:rPr>
            </w:pPr>
            <w:r w:rsidRPr="00DB24BC">
              <w:rPr>
                <w:color w:val="000000"/>
                <w:kern w:val="22"/>
                <w:sz w:val="22"/>
                <w:szCs w:val="22"/>
              </w:rPr>
              <w:t>1 098</w:t>
            </w:r>
          </w:p>
        </w:tc>
      </w:tr>
      <w:tr w:rsidR="00205EDC" w:rsidRPr="00DB24BC" w14:paraId="08ACAF8D" w14:textId="77777777" w:rsidTr="00CE5EBA">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B5CA488" w14:textId="77777777" w:rsidR="00205EDC" w:rsidRPr="00DB24BC" w:rsidRDefault="00205EDC" w:rsidP="00CE5EBA">
            <w:pPr>
              <w:rPr>
                <w:color w:val="000000"/>
                <w:kern w:val="22"/>
                <w:sz w:val="22"/>
                <w:szCs w:val="22"/>
              </w:rPr>
            </w:pPr>
            <w:r w:rsidRPr="00DB24BC">
              <w:rPr>
                <w:sz w:val="22"/>
                <w:szCs w:val="22"/>
              </w:rPr>
              <w:t>Zambie</w:t>
            </w:r>
          </w:p>
        </w:tc>
        <w:tc>
          <w:tcPr>
            <w:tcW w:w="1580" w:type="dxa"/>
            <w:tcBorders>
              <w:top w:val="nil"/>
              <w:left w:val="nil"/>
              <w:bottom w:val="single" w:sz="4" w:space="0" w:color="auto"/>
              <w:right w:val="single" w:sz="4" w:space="0" w:color="auto"/>
            </w:tcBorders>
            <w:shd w:val="clear" w:color="auto" w:fill="auto"/>
            <w:vAlign w:val="center"/>
            <w:hideMark/>
          </w:tcPr>
          <w:p w14:paraId="2C2100B3"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009 </w:t>
            </w:r>
          </w:p>
        </w:tc>
        <w:tc>
          <w:tcPr>
            <w:tcW w:w="1580" w:type="dxa"/>
            <w:tcBorders>
              <w:top w:val="nil"/>
              <w:left w:val="nil"/>
              <w:bottom w:val="single" w:sz="4" w:space="0" w:color="auto"/>
              <w:right w:val="single" w:sz="4" w:space="0" w:color="auto"/>
            </w:tcBorders>
            <w:shd w:val="clear" w:color="auto" w:fill="auto"/>
            <w:noWrap/>
            <w:vAlign w:val="center"/>
            <w:hideMark/>
          </w:tcPr>
          <w:p w14:paraId="0924A048" w14:textId="77777777" w:rsidR="00205EDC" w:rsidRPr="00DB24BC" w:rsidRDefault="00205EDC" w:rsidP="00CE5EBA">
            <w:pPr>
              <w:jc w:val="right"/>
              <w:rPr>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011 </w:t>
            </w:r>
          </w:p>
        </w:tc>
        <w:tc>
          <w:tcPr>
            <w:tcW w:w="1580" w:type="dxa"/>
            <w:tcBorders>
              <w:top w:val="nil"/>
              <w:left w:val="nil"/>
              <w:bottom w:val="single" w:sz="4" w:space="0" w:color="auto"/>
              <w:right w:val="single" w:sz="4" w:space="0" w:color="auto"/>
            </w:tcBorders>
            <w:shd w:val="clear" w:color="auto" w:fill="auto"/>
            <w:noWrap/>
            <w:vAlign w:val="center"/>
            <w:hideMark/>
          </w:tcPr>
          <w:p w14:paraId="5D25A80C" w14:textId="77777777" w:rsidR="00205EDC" w:rsidRPr="00DB24BC" w:rsidRDefault="00205EDC" w:rsidP="00CE5EBA">
            <w:pPr>
              <w:jc w:val="right"/>
              <w:rPr>
                <w:color w:val="000000"/>
                <w:kern w:val="22"/>
                <w:sz w:val="22"/>
                <w:szCs w:val="22"/>
              </w:rPr>
            </w:pPr>
            <w:r w:rsidRPr="00DB24BC">
              <w:rPr>
                <w:color w:val="000000"/>
                <w:kern w:val="22"/>
                <w:sz w:val="22"/>
                <w:szCs w:val="22"/>
              </w:rPr>
              <w:t>1 236</w:t>
            </w:r>
          </w:p>
        </w:tc>
      </w:tr>
      <w:tr w:rsidR="002C5DDA" w:rsidRPr="00DB24BC" w14:paraId="703DCE1E" w14:textId="77777777" w:rsidTr="004A1956">
        <w:trPr>
          <w:trHeight w:val="288"/>
        </w:trPr>
        <w:tc>
          <w:tcPr>
            <w:tcW w:w="4940" w:type="dxa"/>
            <w:tcBorders>
              <w:top w:val="nil"/>
              <w:left w:val="single" w:sz="4" w:space="0" w:color="auto"/>
              <w:bottom w:val="single" w:sz="4" w:space="0" w:color="auto"/>
              <w:right w:val="single" w:sz="4" w:space="0" w:color="auto"/>
            </w:tcBorders>
            <w:shd w:val="clear" w:color="auto" w:fill="auto"/>
          </w:tcPr>
          <w:p w14:paraId="363D1539" w14:textId="282F1609" w:rsidR="002C5DDA" w:rsidRPr="00DB24BC" w:rsidRDefault="002C5DDA" w:rsidP="002C5DDA">
            <w:pPr>
              <w:rPr>
                <w:b/>
                <w:bCs/>
                <w:color w:val="000000"/>
                <w:kern w:val="22"/>
                <w:sz w:val="22"/>
                <w:szCs w:val="22"/>
              </w:rPr>
            </w:pPr>
            <w:r w:rsidRPr="00DB24BC">
              <w:rPr>
                <w:sz w:val="22"/>
                <w:szCs w:val="22"/>
              </w:rPr>
              <w:t>Zimbabwe</w:t>
            </w:r>
          </w:p>
        </w:tc>
        <w:tc>
          <w:tcPr>
            <w:tcW w:w="1580" w:type="dxa"/>
            <w:tcBorders>
              <w:top w:val="nil"/>
              <w:left w:val="nil"/>
              <w:bottom w:val="single" w:sz="4" w:space="0" w:color="auto"/>
              <w:right w:val="single" w:sz="4" w:space="0" w:color="auto"/>
            </w:tcBorders>
            <w:shd w:val="clear" w:color="auto" w:fill="auto"/>
            <w:vAlign w:val="center"/>
          </w:tcPr>
          <w:p w14:paraId="60640DF0" w14:textId="316D1769" w:rsidR="002C5DDA" w:rsidRPr="00DB24BC" w:rsidRDefault="002C5DDA" w:rsidP="002C5DDA">
            <w:pPr>
              <w:jc w:val="right"/>
              <w:rPr>
                <w:b/>
                <w:bCs/>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005 </w:t>
            </w:r>
          </w:p>
        </w:tc>
        <w:tc>
          <w:tcPr>
            <w:tcW w:w="1580" w:type="dxa"/>
            <w:tcBorders>
              <w:top w:val="nil"/>
              <w:left w:val="nil"/>
              <w:bottom w:val="single" w:sz="4" w:space="0" w:color="auto"/>
              <w:right w:val="single" w:sz="4" w:space="0" w:color="auto"/>
            </w:tcBorders>
            <w:shd w:val="clear" w:color="auto" w:fill="auto"/>
            <w:noWrap/>
            <w:vAlign w:val="center"/>
          </w:tcPr>
          <w:p w14:paraId="79778F0B" w14:textId="4127DD34" w:rsidR="002C5DDA" w:rsidRPr="00DB24BC" w:rsidRDefault="002C5DDA" w:rsidP="002C5DDA">
            <w:pPr>
              <w:jc w:val="right"/>
              <w:rPr>
                <w:b/>
                <w:bCs/>
                <w:color w:val="000000"/>
                <w:kern w:val="22"/>
                <w:sz w:val="22"/>
                <w:szCs w:val="22"/>
              </w:rPr>
            </w:pPr>
            <w:r w:rsidRPr="00DB24BC">
              <w:rPr>
                <w:color w:val="000000"/>
                <w:kern w:val="22"/>
                <w:sz w:val="22"/>
                <w:szCs w:val="22"/>
              </w:rPr>
              <w:t>0</w:t>
            </w:r>
            <w:r>
              <w:rPr>
                <w:color w:val="000000"/>
                <w:kern w:val="22"/>
                <w:sz w:val="22"/>
                <w:szCs w:val="22"/>
              </w:rPr>
              <w:t>,</w:t>
            </w:r>
            <w:r w:rsidRPr="00DB24BC">
              <w:rPr>
                <w:color w:val="000000"/>
                <w:kern w:val="22"/>
                <w:sz w:val="22"/>
                <w:szCs w:val="22"/>
              </w:rPr>
              <w:t xml:space="preserve">006 </w:t>
            </w:r>
          </w:p>
        </w:tc>
        <w:tc>
          <w:tcPr>
            <w:tcW w:w="1580" w:type="dxa"/>
            <w:tcBorders>
              <w:top w:val="nil"/>
              <w:left w:val="nil"/>
              <w:bottom w:val="single" w:sz="4" w:space="0" w:color="auto"/>
              <w:right w:val="single" w:sz="4" w:space="0" w:color="auto"/>
            </w:tcBorders>
            <w:shd w:val="clear" w:color="auto" w:fill="auto"/>
            <w:noWrap/>
            <w:vAlign w:val="center"/>
          </w:tcPr>
          <w:p w14:paraId="7AB7978C" w14:textId="315DE75D" w:rsidR="002C5DDA" w:rsidRPr="00DB24BC" w:rsidRDefault="002C5DDA" w:rsidP="002C5DDA">
            <w:pPr>
              <w:jc w:val="right"/>
              <w:rPr>
                <w:b/>
                <w:bCs/>
                <w:color w:val="000000"/>
                <w:kern w:val="22"/>
                <w:sz w:val="22"/>
                <w:szCs w:val="22"/>
              </w:rPr>
            </w:pPr>
            <w:r w:rsidRPr="00DB24BC">
              <w:rPr>
                <w:color w:val="000000"/>
                <w:kern w:val="22"/>
                <w:sz w:val="22"/>
                <w:szCs w:val="22"/>
              </w:rPr>
              <w:t>687</w:t>
            </w:r>
          </w:p>
        </w:tc>
      </w:tr>
      <w:tr w:rsidR="002C5DDA" w:rsidRPr="00DB24BC" w14:paraId="4EEB29B4" w14:textId="77777777" w:rsidTr="00397DF2">
        <w:trPr>
          <w:trHeight w:val="288"/>
        </w:trPr>
        <w:tc>
          <w:tcPr>
            <w:tcW w:w="4940" w:type="dxa"/>
            <w:tcBorders>
              <w:top w:val="nil"/>
              <w:left w:val="single" w:sz="4" w:space="0" w:color="auto"/>
              <w:bottom w:val="single" w:sz="4" w:space="0" w:color="auto"/>
              <w:right w:val="single" w:sz="4" w:space="0" w:color="auto"/>
            </w:tcBorders>
            <w:shd w:val="clear" w:color="auto" w:fill="auto"/>
            <w:vAlign w:val="center"/>
          </w:tcPr>
          <w:p w14:paraId="0B12CD47" w14:textId="79A7CA1A" w:rsidR="002C5DDA" w:rsidRPr="00DB24BC" w:rsidRDefault="002C5DDA" w:rsidP="002C5DDA">
            <w:pPr>
              <w:rPr>
                <w:sz w:val="22"/>
                <w:szCs w:val="22"/>
              </w:rPr>
            </w:pPr>
            <w:r w:rsidRPr="00DB24BC">
              <w:rPr>
                <w:b/>
                <w:bCs/>
                <w:color w:val="000000"/>
                <w:kern w:val="22"/>
                <w:sz w:val="22"/>
                <w:szCs w:val="22"/>
              </w:rPr>
              <w:t>Total</w:t>
            </w:r>
          </w:p>
        </w:tc>
        <w:tc>
          <w:tcPr>
            <w:tcW w:w="1580" w:type="dxa"/>
            <w:tcBorders>
              <w:top w:val="nil"/>
              <w:left w:val="nil"/>
              <w:bottom w:val="single" w:sz="4" w:space="0" w:color="auto"/>
              <w:right w:val="single" w:sz="4" w:space="0" w:color="auto"/>
            </w:tcBorders>
            <w:shd w:val="clear" w:color="auto" w:fill="auto"/>
            <w:vAlign w:val="center"/>
          </w:tcPr>
          <w:p w14:paraId="6B59D7E9" w14:textId="3501372A" w:rsidR="002C5DDA" w:rsidRPr="00DB24BC" w:rsidRDefault="002C5DDA" w:rsidP="002C5DDA">
            <w:pPr>
              <w:jc w:val="right"/>
              <w:rPr>
                <w:color w:val="000000"/>
                <w:kern w:val="22"/>
                <w:sz w:val="22"/>
                <w:szCs w:val="22"/>
              </w:rPr>
            </w:pPr>
            <w:r w:rsidRPr="00DB24BC">
              <w:rPr>
                <w:b/>
                <w:bCs/>
                <w:color w:val="000000"/>
                <w:kern w:val="22"/>
                <w:sz w:val="22"/>
                <w:szCs w:val="22"/>
              </w:rPr>
              <w:t>78</w:t>
            </w:r>
            <w:r>
              <w:rPr>
                <w:b/>
                <w:bCs/>
                <w:color w:val="000000"/>
                <w:kern w:val="22"/>
                <w:sz w:val="22"/>
                <w:szCs w:val="22"/>
              </w:rPr>
              <w:t>,</w:t>
            </w:r>
            <w:r w:rsidRPr="00DB24BC">
              <w:rPr>
                <w:b/>
                <w:bCs/>
                <w:color w:val="000000"/>
                <w:kern w:val="22"/>
                <w:sz w:val="22"/>
                <w:szCs w:val="22"/>
              </w:rPr>
              <w:t xml:space="preserve">010 </w:t>
            </w:r>
          </w:p>
        </w:tc>
        <w:tc>
          <w:tcPr>
            <w:tcW w:w="1580" w:type="dxa"/>
            <w:tcBorders>
              <w:top w:val="nil"/>
              <w:left w:val="nil"/>
              <w:bottom w:val="single" w:sz="4" w:space="0" w:color="auto"/>
              <w:right w:val="single" w:sz="4" w:space="0" w:color="auto"/>
            </w:tcBorders>
            <w:shd w:val="clear" w:color="auto" w:fill="auto"/>
            <w:noWrap/>
            <w:vAlign w:val="center"/>
          </w:tcPr>
          <w:p w14:paraId="70BCEB8B" w14:textId="0AAE1982" w:rsidR="002C5DDA" w:rsidRPr="00DB24BC" w:rsidRDefault="002C5DDA" w:rsidP="002C5DDA">
            <w:pPr>
              <w:jc w:val="right"/>
              <w:rPr>
                <w:color w:val="000000"/>
                <w:kern w:val="22"/>
                <w:sz w:val="22"/>
                <w:szCs w:val="22"/>
              </w:rPr>
            </w:pPr>
            <w:r w:rsidRPr="00DB24BC">
              <w:rPr>
                <w:b/>
                <w:bCs/>
                <w:color w:val="000000"/>
                <w:kern w:val="22"/>
                <w:sz w:val="22"/>
                <w:szCs w:val="22"/>
              </w:rPr>
              <w:t>100</w:t>
            </w:r>
            <w:r>
              <w:rPr>
                <w:b/>
                <w:bCs/>
                <w:color w:val="000000"/>
                <w:kern w:val="22"/>
                <w:sz w:val="22"/>
                <w:szCs w:val="22"/>
              </w:rPr>
              <w:t>,</w:t>
            </w:r>
            <w:r w:rsidRPr="00DB24BC">
              <w:rPr>
                <w:b/>
                <w:bCs/>
                <w:color w:val="000000"/>
                <w:kern w:val="22"/>
                <w:sz w:val="22"/>
                <w:szCs w:val="22"/>
              </w:rPr>
              <w:t xml:space="preserve">000 </w:t>
            </w:r>
          </w:p>
        </w:tc>
        <w:tc>
          <w:tcPr>
            <w:tcW w:w="1580" w:type="dxa"/>
            <w:tcBorders>
              <w:top w:val="nil"/>
              <w:left w:val="nil"/>
              <w:bottom w:val="single" w:sz="4" w:space="0" w:color="auto"/>
              <w:right w:val="single" w:sz="4" w:space="0" w:color="auto"/>
            </w:tcBorders>
            <w:shd w:val="clear" w:color="auto" w:fill="auto"/>
            <w:noWrap/>
            <w:vAlign w:val="center"/>
          </w:tcPr>
          <w:p w14:paraId="1AA534E6" w14:textId="54153C22" w:rsidR="002C5DDA" w:rsidRPr="00DB24BC" w:rsidRDefault="002C5DDA" w:rsidP="002C5DDA">
            <w:pPr>
              <w:jc w:val="right"/>
              <w:rPr>
                <w:color w:val="000000"/>
                <w:kern w:val="22"/>
                <w:sz w:val="22"/>
                <w:szCs w:val="22"/>
              </w:rPr>
            </w:pPr>
            <w:r w:rsidRPr="00DB24BC">
              <w:rPr>
                <w:b/>
                <w:bCs/>
                <w:color w:val="000000"/>
                <w:kern w:val="22"/>
                <w:sz w:val="22"/>
                <w:szCs w:val="22"/>
              </w:rPr>
              <w:t>10 983 320</w:t>
            </w:r>
          </w:p>
        </w:tc>
      </w:tr>
    </w:tbl>
    <w:p w14:paraId="03DCE70C" w14:textId="420642AD" w:rsidR="00825667" w:rsidRDefault="00825667" w:rsidP="00A816CE">
      <w:pPr>
        <w:suppressLineNumbers/>
        <w:suppressAutoHyphens/>
        <w:kinsoku w:val="0"/>
        <w:overflowPunct w:val="0"/>
        <w:autoSpaceDE w:val="0"/>
        <w:autoSpaceDN w:val="0"/>
        <w:rPr>
          <w:b/>
          <w:caps/>
          <w:snapToGrid w:val="0"/>
          <w:kern w:val="22"/>
          <w:sz w:val="22"/>
          <w:szCs w:val="22"/>
          <w:lang w:val="en-GB" w:eastAsia="ko-KR"/>
        </w:rPr>
      </w:pPr>
    </w:p>
    <w:p w14:paraId="78B3D778" w14:textId="77777777" w:rsidR="00AE0014" w:rsidRDefault="00AE0014" w:rsidP="00AE0014">
      <w:pPr>
        <w:suppressLineNumbers/>
        <w:suppressAutoHyphens/>
        <w:kinsoku w:val="0"/>
        <w:overflowPunct w:val="0"/>
        <w:autoSpaceDE w:val="0"/>
        <w:autoSpaceDN w:val="0"/>
        <w:jc w:val="center"/>
        <w:rPr>
          <w:i/>
          <w:snapToGrid w:val="0"/>
          <w:kern w:val="22"/>
          <w:sz w:val="22"/>
          <w:szCs w:val="22"/>
          <w:lang w:val="en-GB"/>
        </w:rPr>
      </w:pPr>
      <w:r>
        <w:rPr>
          <w:snapToGrid w:val="0"/>
          <w:kern w:val="22"/>
          <w:sz w:val="22"/>
          <w:szCs w:val="22"/>
          <w:lang w:val="en-GB"/>
        </w:rPr>
        <w:t>__________</w:t>
      </w:r>
    </w:p>
    <w:p w14:paraId="0538C5C9" w14:textId="77777777" w:rsidR="00AE0014" w:rsidRDefault="00AE0014" w:rsidP="00A816CE">
      <w:pPr>
        <w:suppressLineNumbers/>
        <w:suppressAutoHyphens/>
        <w:kinsoku w:val="0"/>
        <w:overflowPunct w:val="0"/>
        <w:autoSpaceDE w:val="0"/>
        <w:autoSpaceDN w:val="0"/>
        <w:rPr>
          <w:b/>
          <w:caps/>
          <w:snapToGrid w:val="0"/>
          <w:kern w:val="22"/>
          <w:sz w:val="22"/>
          <w:szCs w:val="22"/>
          <w:lang w:val="en-GB" w:eastAsia="ko-KR"/>
        </w:rPr>
      </w:pPr>
      <w:bookmarkStart w:id="9" w:name="_GoBack"/>
      <w:bookmarkEnd w:id="9"/>
    </w:p>
    <w:sectPr w:rsidR="00AE0014" w:rsidSect="005A02B7">
      <w:headerReference w:type="even" r:id="rId16"/>
      <w:headerReference w:type="default" r:id="rId17"/>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05435" w14:textId="77777777" w:rsidR="00AA3AC6" w:rsidRDefault="00AA3AC6" w:rsidP="00CF1848">
      <w:r>
        <w:separator/>
      </w:r>
    </w:p>
  </w:endnote>
  <w:endnote w:type="continuationSeparator" w:id="0">
    <w:p w14:paraId="1334D3C4" w14:textId="77777777" w:rsidR="00AA3AC6" w:rsidRDefault="00AA3AC6" w:rsidP="00CF1848">
      <w:r>
        <w:continuationSeparator/>
      </w:r>
    </w:p>
  </w:endnote>
  <w:endnote w:type="continuationNotice" w:id="1">
    <w:p w14:paraId="3CA653FE" w14:textId="77777777" w:rsidR="00AA3AC6" w:rsidRDefault="00AA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00000007" w:usb1="00000000" w:usb2="00000000" w:usb3="00000000" w:csb0="00000093"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46489" w14:textId="77777777" w:rsidR="00AA3AC6" w:rsidRDefault="00AA3AC6" w:rsidP="00CF1848">
      <w:r>
        <w:separator/>
      </w:r>
    </w:p>
  </w:footnote>
  <w:footnote w:type="continuationSeparator" w:id="0">
    <w:p w14:paraId="0A7B0205" w14:textId="77777777" w:rsidR="00AA3AC6" w:rsidRDefault="00AA3AC6" w:rsidP="00CF1848">
      <w:r>
        <w:continuationSeparator/>
      </w:r>
    </w:p>
  </w:footnote>
  <w:footnote w:type="continuationNotice" w:id="1">
    <w:p w14:paraId="77E1BEFE" w14:textId="77777777" w:rsidR="00AA3AC6" w:rsidRDefault="00AA3AC6"/>
  </w:footnote>
  <w:footnote w:id="2">
    <w:p w14:paraId="66EDFF4E" w14:textId="77777777" w:rsidR="0011698A" w:rsidRPr="00B63096" w:rsidRDefault="0011698A" w:rsidP="00E00F73">
      <w:pPr>
        <w:pStyle w:val="FootnoteText"/>
        <w:suppressLineNumbers/>
        <w:suppressAutoHyphens/>
        <w:ind w:firstLine="0"/>
        <w:rPr>
          <w:kern w:val="18"/>
        </w:rPr>
      </w:pPr>
      <w:r w:rsidRPr="00B63096">
        <w:rPr>
          <w:rStyle w:val="FootnoteReference"/>
          <w:kern w:val="18"/>
          <w:lang w:val="en-GB"/>
        </w:rPr>
        <w:footnoteRef/>
      </w:r>
      <w:r w:rsidRPr="00B63096">
        <w:rPr>
          <w:kern w:val="18"/>
        </w:rPr>
        <w:t xml:space="preserve"> </w:t>
      </w:r>
      <w:r w:rsidRPr="00B63096">
        <w:rPr>
          <w:kern w:val="18"/>
          <w:szCs w:val="22"/>
        </w:rPr>
        <w:t>CBD/ExCOP/2/2.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kern w:val="22"/>
        <w:sz w:val="22"/>
        <w:szCs w:val="22"/>
        <w:lang w:val="en-GB"/>
      </w:rPr>
      <w:alias w:val="Subject"/>
      <w:tag w:val=""/>
      <w:id w:val="-1885015078"/>
      <w:placeholder>
        <w:docPart w:val="A7A7BA6C150348E78B587805E8080E40"/>
      </w:placeholder>
      <w:dataBinding w:prefixMappings="xmlns:ns0='http://purl.org/dc/elements/1.1/' xmlns:ns1='http://schemas.openxmlformats.org/package/2006/metadata/core-properties' " w:xpath="/ns1:coreProperties[1]/ns0:subject[1]" w:storeItemID="{6C3C8BC8-F283-45AE-878A-BAB7291924A1}"/>
      <w:text/>
    </w:sdtPr>
    <w:sdtEndPr/>
    <w:sdtContent>
      <w:p w14:paraId="17F40859" w14:textId="77777777" w:rsidR="0011698A" w:rsidRPr="00C53605" w:rsidRDefault="0011698A" w:rsidP="005A02B7">
        <w:pPr>
          <w:pStyle w:val="Header"/>
          <w:keepLines/>
          <w:suppressLineNumbers/>
          <w:tabs>
            <w:tab w:val="clear" w:pos="4320"/>
            <w:tab w:val="clear" w:pos="8640"/>
          </w:tabs>
          <w:suppressAutoHyphens/>
          <w:ind w:right="5493"/>
          <w:rPr>
            <w:noProof/>
            <w:kern w:val="22"/>
            <w:sz w:val="22"/>
            <w:szCs w:val="22"/>
            <w:lang w:val="en-GB"/>
          </w:rPr>
        </w:pPr>
        <w:r>
          <w:rPr>
            <w:noProof/>
            <w:kern w:val="22"/>
            <w:sz w:val="22"/>
            <w:szCs w:val="22"/>
            <w:lang w:val="en-GB"/>
          </w:rPr>
          <w:t>CBD/DEC/EM/2/1</w:t>
        </w:r>
      </w:p>
    </w:sdtContent>
  </w:sdt>
  <w:p w14:paraId="07F10AC3" w14:textId="27BD4C81" w:rsidR="0011698A" w:rsidRPr="00EC6497" w:rsidRDefault="0011698A" w:rsidP="005A02B7">
    <w:pPr>
      <w:pStyle w:val="Header"/>
      <w:keepLines/>
      <w:suppressLineNumbers/>
      <w:tabs>
        <w:tab w:val="clear" w:pos="4320"/>
        <w:tab w:val="clear" w:pos="8640"/>
      </w:tabs>
      <w:suppressAutoHyphens/>
      <w:ind w:right="5493"/>
      <w:rPr>
        <w:noProof/>
        <w:kern w:val="22"/>
        <w:sz w:val="22"/>
        <w:szCs w:val="22"/>
        <w:lang w:val="en-GB"/>
      </w:rPr>
    </w:pPr>
    <w:r w:rsidRPr="00EC6497">
      <w:rPr>
        <w:noProof/>
        <w:kern w:val="22"/>
        <w:sz w:val="22"/>
        <w:szCs w:val="22"/>
        <w:lang w:val="en-GB"/>
      </w:rPr>
      <w:t xml:space="preserve">Page </w:t>
    </w:r>
    <w:r w:rsidRPr="00EC6497">
      <w:rPr>
        <w:noProof/>
        <w:kern w:val="22"/>
        <w:sz w:val="22"/>
        <w:szCs w:val="22"/>
        <w:lang w:val="en-GB"/>
      </w:rPr>
      <w:fldChar w:fldCharType="begin"/>
    </w:r>
    <w:r w:rsidRPr="00EC6497">
      <w:rPr>
        <w:noProof/>
        <w:kern w:val="22"/>
        <w:sz w:val="22"/>
        <w:szCs w:val="22"/>
        <w:lang w:val="en-GB"/>
      </w:rPr>
      <w:instrText xml:space="preserve"> PAGE   \* MERGEFORMAT </w:instrText>
    </w:r>
    <w:r w:rsidRPr="00EC6497">
      <w:rPr>
        <w:noProof/>
        <w:kern w:val="22"/>
        <w:sz w:val="22"/>
        <w:szCs w:val="22"/>
        <w:lang w:val="en-GB"/>
      </w:rPr>
      <w:fldChar w:fldCharType="separate"/>
    </w:r>
    <w:r w:rsidR="00AE0014">
      <w:rPr>
        <w:noProof/>
        <w:kern w:val="22"/>
        <w:sz w:val="22"/>
        <w:szCs w:val="22"/>
        <w:lang w:val="en-GB"/>
      </w:rPr>
      <w:t>10</w:t>
    </w:r>
    <w:r w:rsidRPr="00EC6497">
      <w:rPr>
        <w:noProof/>
        <w:kern w:val="22"/>
        <w:sz w:val="22"/>
        <w:szCs w:val="22"/>
        <w:lang w:val="en-GB"/>
      </w:rPr>
      <w:fldChar w:fldCharType="end"/>
    </w:r>
  </w:p>
  <w:p w14:paraId="49C998E1" w14:textId="77777777" w:rsidR="0011698A" w:rsidRDefault="00116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0BCC8" w14:textId="23C64E1F" w:rsidR="0011698A" w:rsidRPr="00C53605" w:rsidRDefault="0011698A" w:rsidP="00416728">
    <w:pPr>
      <w:pStyle w:val="Header"/>
      <w:keepLines/>
      <w:suppressLineNumbers/>
      <w:tabs>
        <w:tab w:val="clear" w:pos="4320"/>
        <w:tab w:val="clear" w:pos="8640"/>
      </w:tabs>
      <w:suppressAutoHyphens/>
      <w:ind w:left="6480" w:right="282" w:firstLine="720"/>
      <w:rPr>
        <w:noProof/>
        <w:kern w:val="22"/>
        <w:sz w:val="22"/>
        <w:szCs w:val="22"/>
        <w:lang w:val="en-GB"/>
      </w:rPr>
    </w:pPr>
    <w:r>
      <w:rPr>
        <w:noProof/>
        <w:kern w:val="22"/>
        <w:sz w:val="22"/>
        <w:szCs w:val="22"/>
        <w:lang w:val="en-GB"/>
      </w:rPr>
      <w:t>CBD/DEC/EM/2/1</w:t>
    </w:r>
  </w:p>
  <w:p w14:paraId="604739EB" w14:textId="7FDBFCD9" w:rsidR="0011698A" w:rsidRPr="00EC6497" w:rsidRDefault="0011698A" w:rsidP="00416728">
    <w:pPr>
      <w:pStyle w:val="Header"/>
      <w:keepLines/>
      <w:suppressLineNumbers/>
      <w:tabs>
        <w:tab w:val="clear" w:pos="4320"/>
        <w:tab w:val="clear" w:pos="8640"/>
      </w:tabs>
      <w:suppressAutoHyphens/>
      <w:ind w:left="8280" w:right="282"/>
      <w:rPr>
        <w:noProof/>
        <w:kern w:val="22"/>
        <w:sz w:val="22"/>
        <w:szCs w:val="22"/>
        <w:lang w:val="en-GB"/>
      </w:rPr>
    </w:pPr>
    <w:r w:rsidRPr="00EC6497">
      <w:rPr>
        <w:noProof/>
        <w:kern w:val="22"/>
        <w:sz w:val="22"/>
        <w:szCs w:val="22"/>
        <w:lang w:val="en-GB"/>
      </w:rPr>
      <w:t xml:space="preserve">Page </w:t>
    </w:r>
    <w:r w:rsidRPr="00EC6497">
      <w:rPr>
        <w:noProof/>
        <w:kern w:val="22"/>
        <w:sz w:val="22"/>
        <w:szCs w:val="22"/>
        <w:lang w:val="en-GB"/>
      </w:rPr>
      <w:fldChar w:fldCharType="begin"/>
    </w:r>
    <w:r w:rsidRPr="00EC6497">
      <w:rPr>
        <w:noProof/>
        <w:kern w:val="22"/>
        <w:sz w:val="22"/>
        <w:szCs w:val="22"/>
        <w:lang w:val="en-GB"/>
      </w:rPr>
      <w:instrText xml:space="preserve"> PAGE   \* MERGEFORMAT </w:instrText>
    </w:r>
    <w:r w:rsidRPr="00EC6497">
      <w:rPr>
        <w:noProof/>
        <w:kern w:val="22"/>
        <w:sz w:val="22"/>
        <w:szCs w:val="22"/>
        <w:lang w:val="en-GB"/>
      </w:rPr>
      <w:fldChar w:fldCharType="separate"/>
    </w:r>
    <w:r w:rsidR="00AE0014">
      <w:rPr>
        <w:noProof/>
        <w:kern w:val="22"/>
        <w:sz w:val="22"/>
        <w:szCs w:val="22"/>
        <w:lang w:val="en-GB"/>
      </w:rPr>
      <w:t>11</w:t>
    </w:r>
    <w:r w:rsidRPr="00EC6497">
      <w:rPr>
        <w:noProof/>
        <w:kern w:val="22"/>
        <w:sz w:val="22"/>
        <w:szCs w:val="22"/>
        <w:lang w:val="en-GB"/>
      </w:rPr>
      <w:fldChar w:fldCharType="end"/>
    </w:r>
  </w:p>
  <w:p w14:paraId="10A3E97C" w14:textId="77777777" w:rsidR="0011698A" w:rsidRDefault="00116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F4B"/>
    <w:multiLevelType w:val="hybridMultilevel"/>
    <w:tmpl w:val="5C2EC89C"/>
    <w:lvl w:ilvl="0" w:tplc="FA74DA18">
      <w:start w:val="2"/>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392CF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9"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0"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927DE4"/>
    <w:multiLevelType w:val="hybridMultilevel"/>
    <w:tmpl w:val="9E1C31C6"/>
    <w:lvl w:ilvl="0" w:tplc="88BAD95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1" w15:restartNumberingAfterBreak="0">
    <w:nsid w:val="25D922CC"/>
    <w:multiLevelType w:val="hybridMultilevel"/>
    <w:tmpl w:val="29E0F628"/>
    <w:lvl w:ilvl="0" w:tplc="33327DC4">
      <w:start w:val="1"/>
      <w:numFmt w:val="upp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39631B2"/>
    <w:multiLevelType w:val="multilevel"/>
    <w:tmpl w:val="55341B44"/>
    <w:lvl w:ilvl="0">
      <w:start w:val="1"/>
      <w:numFmt w:val="decimal"/>
      <w:lvlText w:val="%1."/>
      <w:lvlJc w:val="left"/>
      <w:pPr>
        <w:ind w:left="63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5"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6" w15:restartNumberingAfterBreak="0">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191540"/>
    <w:multiLevelType w:val="hybridMultilevel"/>
    <w:tmpl w:val="C3841510"/>
    <w:lvl w:ilvl="0" w:tplc="821006C2">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A3F31DE"/>
    <w:multiLevelType w:val="hybridMultilevel"/>
    <w:tmpl w:val="9E1C31C6"/>
    <w:lvl w:ilvl="0" w:tplc="88BAD95E">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902980"/>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15:restartNumberingAfterBreak="0">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8"/>
  </w:num>
  <w:num w:numId="2">
    <w:abstractNumId w:val="42"/>
  </w:num>
  <w:num w:numId="3">
    <w:abstractNumId w:val="39"/>
  </w:num>
  <w:num w:numId="4">
    <w:abstractNumId w:val="42"/>
  </w:num>
  <w:num w:numId="5">
    <w:abstractNumId w:val="41"/>
  </w:num>
  <w:num w:numId="6">
    <w:abstractNumId w:val="5"/>
  </w:num>
  <w:num w:numId="7">
    <w:abstractNumId w:val="11"/>
  </w:num>
  <w:num w:numId="8">
    <w:abstractNumId w:val="39"/>
    <w:lvlOverride w:ilvl="0">
      <w:startOverride w:val="1"/>
    </w:lvlOverride>
  </w:num>
  <w:num w:numId="9">
    <w:abstractNumId w:val="57"/>
  </w:num>
  <w:num w:numId="10">
    <w:abstractNumId w:val="39"/>
    <w:lvlOverride w:ilvl="0">
      <w:startOverride w:val="1"/>
    </w:lvlOverride>
  </w:num>
  <w:num w:numId="11">
    <w:abstractNumId w:val="39"/>
    <w:lvlOverride w:ilvl="0">
      <w:startOverride w:val="1"/>
    </w:lvlOverride>
  </w:num>
  <w:num w:numId="12">
    <w:abstractNumId w:val="39"/>
    <w:lvlOverride w:ilvl="0">
      <w:startOverride w:val="1"/>
    </w:lvlOverride>
  </w:num>
  <w:num w:numId="13">
    <w:abstractNumId w:val="39"/>
    <w:lvlOverride w:ilvl="0">
      <w:startOverride w:val="1"/>
    </w:lvlOverride>
  </w:num>
  <w:num w:numId="14">
    <w:abstractNumId w:val="15"/>
  </w:num>
  <w:num w:numId="15">
    <w:abstractNumId w:val="33"/>
  </w:num>
  <w:num w:numId="16">
    <w:abstractNumId w:val="16"/>
  </w:num>
  <w:num w:numId="17">
    <w:abstractNumId w:val="7"/>
  </w:num>
  <w:num w:numId="18">
    <w:abstractNumId w:val="49"/>
  </w:num>
  <w:num w:numId="19">
    <w:abstractNumId w:val="49"/>
  </w:num>
  <w:num w:numId="20">
    <w:abstractNumId w:val="23"/>
  </w:num>
  <w:num w:numId="21">
    <w:abstractNumId w:val="50"/>
  </w:num>
  <w:num w:numId="22">
    <w:abstractNumId w:val="20"/>
  </w:num>
  <w:num w:numId="23">
    <w:abstractNumId w:val="42"/>
  </w:num>
  <w:num w:numId="24">
    <w:abstractNumId w:val="14"/>
  </w:num>
  <w:num w:numId="25">
    <w:abstractNumId w:val="56"/>
  </w:num>
  <w:num w:numId="26">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42"/>
  </w:num>
  <w:num w:numId="30">
    <w:abstractNumId w:val="42"/>
  </w:num>
  <w:num w:numId="31">
    <w:abstractNumId w:val="42"/>
  </w:num>
  <w:num w:numId="32">
    <w:abstractNumId w:val="42"/>
  </w:num>
  <w:num w:numId="33">
    <w:abstractNumId w:val="42"/>
  </w:num>
  <w:num w:numId="34">
    <w:abstractNumId w:val="42"/>
  </w:num>
  <w:num w:numId="35">
    <w:abstractNumId w:val="42"/>
  </w:num>
  <w:num w:numId="36">
    <w:abstractNumId w:val="60"/>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42"/>
  </w:num>
  <w:num w:numId="46">
    <w:abstractNumId w:val="42"/>
  </w:num>
  <w:num w:numId="47">
    <w:abstractNumId w:val="42"/>
  </w:num>
  <w:num w:numId="48">
    <w:abstractNumId w:val="42"/>
  </w:num>
  <w:num w:numId="49">
    <w:abstractNumId w:val="42"/>
  </w:num>
  <w:num w:numId="50">
    <w:abstractNumId w:val="42"/>
  </w:num>
  <w:num w:numId="51">
    <w:abstractNumId w:val="42"/>
  </w:num>
  <w:num w:numId="52">
    <w:abstractNumId w:val="42"/>
  </w:num>
  <w:num w:numId="53">
    <w:abstractNumId w:val="64"/>
  </w:num>
  <w:num w:numId="54">
    <w:abstractNumId w:val="17"/>
  </w:num>
  <w:num w:numId="55">
    <w:abstractNumId w:val="27"/>
  </w:num>
  <w:num w:numId="56">
    <w:abstractNumId w:val="35"/>
  </w:num>
  <w:num w:numId="57">
    <w:abstractNumId w:val="18"/>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num>
  <w:num w:numId="61">
    <w:abstractNumId w:val="31"/>
  </w:num>
  <w:num w:numId="62">
    <w:abstractNumId w:val="34"/>
  </w:num>
  <w:num w:numId="63">
    <w:abstractNumId w:val="62"/>
  </w:num>
  <w:num w:numId="64">
    <w:abstractNumId w:val="2"/>
  </w:num>
  <w:num w:numId="65">
    <w:abstractNumId w:val="44"/>
  </w:num>
  <w:num w:numId="66">
    <w:abstractNumId w:val="3"/>
  </w:num>
  <w:num w:numId="67">
    <w:abstractNumId w:val="59"/>
  </w:num>
  <w:num w:numId="68">
    <w:abstractNumId w:val="52"/>
  </w:num>
  <w:num w:numId="69">
    <w:abstractNumId w:val="47"/>
  </w:num>
  <w:num w:numId="70">
    <w:abstractNumId w:val="63"/>
  </w:num>
  <w:num w:numId="71">
    <w:abstractNumId w:val="58"/>
  </w:num>
  <w:num w:numId="72">
    <w:abstractNumId w:val="26"/>
  </w:num>
  <w:num w:numId="73">
    <w:abstractNumId w:val="8"/>
  </w:num>
  <w:num w:numId="74">
    <w:abstractNumId w:val="46"/>
  </w:num>
  <w:num w:numId="75">
    <w:abstractNumId w:val="12"/>
  </w:num>
  <w:num w:numId="76">
    <w:abstractNumId w:val="13"/>
  </w:num>
  <w:num w:numId="77">
    <w:abstractNumId w:val="1"/>
  </w:num>
  <w:num w:numId="78">
    <w:abstractNumId w:val="10"/>
  </w:num>
  <w:num w:numId="79">
    <w:abstractNumId w:val="48"/>
  </w:num>
  <w:num w:numId="80">
    <w:abstractNumId w:val="8"/>
    <w:lvlOverride w:ilvl="0">
      <w:startOverride w:val="17"/>
    </w:lvlOverride>
  </w:num>
  <w:num w:numId="81">
    <w:abstractNumId w:val="4"/>
  </w:num>
  <w:num w:numId="82">
    <w:abstractNumId w:val="25"/>
  </w:num>
  <w:num w:numId="83">
    <w:abstractNumId w:val="36"/>
  </w:num>
  <w:num w:numId="84">
    <w:abstractNumId w:val="29"/>
  </w:num>
  <w:num w:numId="85">
    <w:abstractNumId w:val="22"/>
  </w:num>
  <w:num w:numId="86">
    <w:abstractNumId w:val="43"/>
  </w:num>
  <w:num w:numId="87">
    <w:abstractNumId w:val="24"/>
  </w:num>
  <w:num w:numId="88">
    <w:abstractNumId w:val="53"/>
  </w:num>
  <w:num w:numId="89">
    <w:abstractNumId w:val="40"/>
  </w:num>
  <w:num w:numId="90">
    <w:abstractNumId w:val="37"/>
  </w:num>
  <w:num w:numId="91">
    <w:abstractNumId w:val="38"/>
  </w:num>
  <w:num w:numId="92">
    <w:abstractNumId w:val="32"/>
  </w:num>
  <w:num w:numId="93">
    <w:abstractNumId w:val="51"/>
  </w:num>
  <w:num w:numId="94">
    <w:abstractNumId w:val="0"/>
  </w:num>
  <w:num w:numId="95">
    <w:abstractNumId w:val="21"/>
  </w:num>
  <w:num w:numId="96">
    <w:abstractNumId w:val="19"/>
  </w:num>
  <w:num w:numId="97">
    <w:abstractNumId w:val="30"/>
  </w:num>
  <w:num w:numId="98">
    <w:abstractNumId w:val="55"/>
  </w:num>
  <w:num w:numId="99">
    <w:abstractNumId w:val="61"/>
  </w:num>
  <w:num w:numId="100">
    <w:abstractNumId w:val="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9C9"/>
    <w:rsid w:val="00001A15"/>
    <w:rsid w:val="00002218"/>
    <w:rsid w:val="00002559"/>
    <w:rsid w:val="00003CCD"/>
    <w:rsid w:val="00004C24"/>
    <w:rsid w:val="00004F4D"/>
    <w:rsid w:val="00005084"/>
    <w:rsid w:val="00007B1E"/>
    <w:rsid w:val="00011350"/>
    <w:rsid w:val="00011F26"/>
    <w:rsid w:val="00012355"/>
    <w:rsid w:val="00012805"/>
    <w:rsid w:val="00013A5E"/>
    <w:rsid w:val="00014DEC"/>
    <w:rsid w:val="00016150"/>
    <w:rsid w:val="000173A1"/>
    <w:rsid w:val="00017ED0"/>
    <w:rsid w:val="0002024B"/>
    <w:rsid w:val="00020C1A"/>
    <w:rsid w:val="0002111D"/>
    <w:rsid w:val="00021993"/>
    <w:rsid w:val="00023B96"/>
    <w:rsid w:val="00023E62"/>
    <w:rsid w:val="0002526A"/>
    <w:rsid w:val="000254FF"/>
    <w:rsid w:val="00026425"/>
    <w:rsid w:val="000264EC"/>
    <w:rsid w:val="0002724D"/>
    <w:rsid w:val="0002740A"/>
    <w:rsid w:val="000279F7"/>
    <w:rsid w:val="00027A8C"/>
    <w:rsid w:val="000302B6"/>
    <w:rsid w:val="000303EB"/>
    <w:rsid w:val="00033BE0"/>
    <w:rsid w:val="000359F8"/>
    <w:rsid w:val="00036703"/>
    <w:rsid w:val="0003676F"/>
    <w:rsid w:val="00037083"/>
    <w:rsid w:val="000373E6"/>
    <w:rsid w:val="0004117A"/>
    <w:rsid w:val="0004148A"/>
    <w:rsid w:val="000417E0"/>
    <w:rsid w:val="0004278E"/>
    <w:rsid w:val="00042DE4"/>
    <w:rsid w:val="00043A3F"/>
    <w:rsid w:val="00050388"/>
    <w:rsid w:val="000518CD"/>
    <w:rsid w:val="000528A4"/>
    <w:rsid w:val="00055620"/>
    <w:rsid w:val="00056153"/>
    <w:rsid w:val="0005697E"/>
    <w:rsid w:val="00056E1C"/>
    <w:rsid w:val="0006112E"/>
    <w:rsid w:val="000614E1"/>
    <w:rsid w:val="00061E68"/>
    <w:rsid w:val="00062174"/>
    <w:rsid w:val="00062912"/>
    <w:rsid w:val="0006344D"/>
    <w:rsid w:val="00065342"/>
    <w:rsid w:val="0006624B"/>
    <w:rsid w:val="00067384"/>
    <w:rsid w:val="00070889"/>
    <w:rsid w:val="00070FE0"/>
    <w:rsid w:val="00072F83"/>
    <w:rsid w:val="000746E7"/>
    <w:rsid w:val="00075C54"/>
    <w:rsid w:val="00080C85"/>
    <w:rsid w:val="0008111B"/>
    <w:rsid w:val="00082939"/>
    <w:rsid w:val="00083CA7"/>
    <w:rsid w:val="0008623C"/>
    <w:rsid w:val="00087C9F"/>
    <w:rsid w:val="000938AC"/>
    <w:rsid w:val="0009599E"/>
    <w:rsid w:val="00095F18"/>
    <w:rsid w:val="00096A6A"/>
    <w:rsid w:val="000A0719"/>
    <w:rsid w:val="000A0AC1"/>
    <w:rsid w:val="000A1FE3"/>
    <w:rsid w:val="000A27A9"/>
    <w:rsid w:val="000A5252"/>
    <w:rsid w:val="000A6B63"/>
    <w:rsid w:val="000B0174"/>
    <w:rsid w:val="000B130C"/>
    <w:rsid w:val="000B3227"/>
    <w:rsid w:val="000B472E"/>
    <w:rsid w:val="000B4A7E"/>
    <w:rsid w:val="000B5231"/>
    <w:rsid w:val="000B7F37"/>
    <w:rsid w:val="000C1B84"/>
    <w:rsid w:val="000C2486"/>
    <w:rsid w:val="000C2A98"/>
    <w:rsid w:val="000C5C84"/>
    <w:rsid w:val="000C5CE7"/>
    <w:rsid w:val="000C62D3"/>
    <w:rsid w:val="000C7769"/>
    <w:rsid w:val="000C7875"/>
    <w:rsid w:val="000D0C25"/>
    <w:rsid w:val="000D16B1"/>
    <w:rsid w:val="000D259A"/>
    <w:rsid w:val="000D459E"/>
    <w:rsid w:val="000D692C"/>
    <w:rsid w:val="000D6C51"/>
    <w:rsid w:val="000D72DF"/>
    <w:rsid w:val="000E0BC5"/>
    <w:rsid w:val="000E176D"/>
    <w:rsid w:val="000E3A3C"/>
    <w:rsid w:val="000E47FC"/>
    <w:rsid w:val="000E506D"/>
    <w:rsid w:val="000E598B"/>
    <w:rsid w:val="000E673A"/>
    <w:rsid w:val="000F0533"/>
    <w:rsid w:val="000F20EE"/>
    <w:rsid w:val="000F23D3"/>
    <w:rsid w:val="000F3C3D"/>
    <w:rsid w:val="000F5918"/>
    <w:rsid w:val="000F74F5"/>
    <w:rsid w:val="0010068D"/>
    <w:rsid w:val="00101E38"/>
    <w:rsid w:val="00103743"/>
    <w:rsid w:val="00104B0D"/>
    <w:rsid w:val="0010505D"/>
    <w:rsid w:val="00105372"/>
    <w:rsid w:val="001060DB"/>
    <w:rsid w:val="00107BB7"/>
    <w:rsid w:val="0011144A"/>
    <w:rsid w:val="0011159B"/>
    <w:rsid w:val="0011304E"/>
    <w:rsid w:val="0011465B"/>
    <w:rsid w:val="00115727"/>
    <w:rsid w:val="00115DB2"/>
    <w:rsid w:val="0011698A"/>
    <w:rsid w:val="00120D52"/>
    <w:rsid w:val="00121683"/>
    <w:rsid w:val="00123F65"/>
    <w:rsid w:val="001249F0"/>
    <w:rsid w:val="00124D3E"/>
    <w:rsid w:val="00125375"/>
    <w:rsid w:val="001307AB"/>
    <w:rsid w:val="001307F4"/>
    <w:rsid w:val="00130817"/>
    <w:rsid w:val="00131E7A"/>
    <w:rsid w:val="00135804"/>
    <w:rsid w:val="00135AC0"/>
    <w:rsid w:val="00135FA2"/>
    <w:rsid w:val="00136D7B"/>
    <w:rsid w:val="001400FC"/>
    <w:rsid w:val="00141DD6"/>
    <w:rsid w:val="00142896"/>
    <w:rsid w:val="001435F2"/>
    <w:rsid w:val="00143C91"/>
    <w:rsid w:val="00143FAA"/>
    <w:rsid w:val="0014470A"/>
    <w:rsid w:val="00144B1E"/>
    <w:rsid w:val="00145CFA"/>
    <w:rsid w:val="00146128"/>
    <w:rsid w:val="00146204"/>
    <w:rsid w:val="0014690B"/>
    <w:rsid w:val="00147290"/>
    <w:rsid w:val="001476B5"/>
    <w:rsid w:val="001504C8"/>
    <w:rsid w:val="00150706"/>
    <w:rsid w:val="00150B0E"/>
    <w:rsid w:val="00152601"/>
    <w:rsid w:val="00153A86"/>
    <w:rsid w:val="00154265"/>
    <w:rsid w:val="001549B1"/>
    <w:rsid w:val="0016237D"/>
    <w:rsid w:val="00163414"/>
    <w:rsid w:val="00163FAD"/>
    <w:rsid w:val="001644E3"/>
    <w:rsid w:val="001656F2"/>
    <w:rsid w:val="0016743B"/>
    <w:rsid w:val="00170A99"/>
    <w:rsid w:val="001716DA"/>
    <w:rsid w:val="00172AF6"/>
    <w:rsid w:val="001754B7"/>
    <w:rsid w:val="001758D9"/>
    <w:rsid w:val="00175E6D"/>
    <w:rsid w:val="00176CEE"/>
    <w:rsid w:val="0018081C"/>
    <w:rsid w:val="001827BC"/>
    <w:rsid w:val="00185060"/>
    <w:rsid w:val="00185CF2"/>
    <w:rsid w:val="00185E80"/>
    <w:rsid w:val="00187124"/>
    <w:rsid w:val="00187D9D"/>
    <w:rsid w:val="001906EB"/>
    <w:rsid w:val="00191A9D"/>
    <w:rsid w:val="00192D5F"/>
    <w:rsid w:val="00192E81"/>
    <w:rsid w:val="00193574"/>
    <w:rsid w:val="001938B0"/>
    <w:rsid w:val="001941E8"/>
    <w:rsid w:val="0019561B"/>
    <w:rsid w:val="0019628C"/>
    <w:rsid w:val="00197C35"/>
    <w:rsid w:val="001A0561"/>
    <w:rsid w:val="001A1737"/>
    <w:rsid w:val="001A1802"/>
    <w:rsid w:val="001A4422"/>
    <w:rsid w:val="001A48C0"/>
    <w:rsid w:val="001A4AE5"/>
    <w:rsid w:val="001A6D24"/>
    <w:rsid w:val="001B0E17"/>
    <w:rsid w:val="001B43E1"/>
    <w:rsid w:val="001B4CCF"/>
    <w:rsid w:val="001B709C"/>
    <w:rsid w:val="001B7643"/>
    <w:rsid w:val="001B7C6E"/>
    <w:rsid w:val="001C083C"/>
    <w:rsid w:val="001C199B"/>
    <w:rsid w:val="001C34A6"/>
    <w:rsid w:val="001C5487"/>
    <w:rsid w:val="001C6212"/>
    <w:rsid w:val="001C629C"/>
    <w:rsid w:val="001C7044"/>
    <w:rsid w:val="001C7704"/>
    <w:rsid w:val="001D11E2"/>
    <w:rsid w:val="001D1624"/>
    <w:rsid w:val="001D255F"/>
    <w:rsid w:val="001D3D1C"/>
    <w:rsid w:val="001D40F4"/>
    <w:rsid w:val="001D43A0"/>
    <w:rsid w:val="001D7252"/>
    <w:rsid w:val="001D73A5"/>
    <w:rsid w:val="001D7519"/>
    <w:rsid w:val="001D75C2"/>
    <w:rsid w:val="001E0E56"/>
    <w:rsid w:val="001E24B2"/>
    <w:rsid w:val="001E4BDE"/>
    <w:rsid w:val="001E5428"/>
    <w:rsid w:val="001E62A8"/>
    <w:rsid w:val="001E6ED8"/>
    <w:rsid w:val="001F0A82"/>
    <w:rsid w:val="001F0E32"/>
    <w:rsid w:val="001F1333"/>
    <w:rsid w:val="001F2183"/>
    <w:rsid w:val="001F282A"/>
    <w:rsid w:val="001F430C"/>
    <w:rsid w:val="001F4D38"/>
    <w:rsid w:val="001F4DAA"/>
    <w:rsid w:val="001F4E24"/>
    <w:rsid w:val="001F5627"/>
    <w:rsid w:val="001F5C8D"/>
    <w:rsid w:val="001F612C"/>
    <w:rsid w:val="001F6786"/>
    <w:rsid w:val="001F7B1E"/>
    <w:rsid w:val="001F7CAB"/>
    <w:rsid w:val="002003CD"/>
    <w:rsid w:val="0020111C"/>
    <w:rsid w:val="00201F2B"/>
    <w:rsid w:val="00202364"/>
    <w:rsid w:val="00202ADA"/>
    <w:rsid w:val="00203659"/>
    <w:rsid w:val="002044C0"/>
    <w:rsid w:val="00205EDC"/>
    <w:rsid w:val="00206C9F"/>
    <w:rsid w:val="00207FD0"/>
    <w:rsid w:val="00210549"/>
    <w:rsid w:val="00210C96"/>
    <w:rsid w:val="002127B2"/>
    <w:rsid w:val="00214828"/>
    <w:rsid w:val="00214F1B"/>
    <w:rsid w:val="00216F68"/>
    <w:rsid w:val="00217ED3"/>
    <w:rsid w:val="00222ACB"/>
    <w:rsid w:val="0022378B"/>
    <w:rsid w:val="00231597"/>
    <w:rsid w:val="002329BD"/>
    <w:rsid w:val="00233A79"/>
    <w:rsid w:val="00235801"/>
    <w:rsid w:val="00236A28"/>
    <w:rsid w:val="00240122"/>
    <w:rsid w:val="00240376"/>
    <w:rsid w:val="00241590"/>
    <w:rsid w:val="00245B97"/>
    <w:rsid w:val="002460FA"/>
    <w:rsid w:val="00247E80"/>
    <w:rsid w:val="00250267"/>
    <w:rsid w:val="002518D8"/>
    <w:rsid w:val="00252411"/>
    <w:rsid w:val="002536B0"/>
    <w:rsid w:val="0025699C"/>
    <w:rsid w:val="00256A8E"/>
    <w:rsid w:val="00264871"/>
    <w:rsid w:val="00264FE5"/>
    <w:rsid w:val="00266295"/>
    <w:rsid w:val="00266E8D"/>
    <w:rsid w:val="00267154"/>
    <w:rsid w:val="002675DB"/>
    <w:rsid w:val="0027088D"/>
    <w:rsid w:val="00276220"/>
    <w:rsid w:val="00276AA9"/>
    <w:rsid w:val="00277FA2"/>
    <w:rsid w:val="002813D6"/>
    <w:rsid w:val="0028184B"/>
    <w:rsid w:val="002834F7"/>
    <w:rsid w:val="002840D6"/>
    <w:rsid w:val="0028444B"/>
    <w:rsid w:val="00284A24"/>
    <w:rsid w:val="002858BB"/>
    <w:rsid w:val="002859B7"/>
    <w:rsid w:val="00285F6D"/>
    <w:rsid w:val="00287C1A"/>
    <w:rsid w:val="00287D4D"/>
    <w:rsid w:val="00290D34"/>
    <w:rsid w:val="002919D3"/>
    <w:rsid w:val="00291C3E"/>
    <w:rsid w:val="0029208A"/>
    <w:rsid w:val="00292A96"/>
    <w:rsid w:val="002949CD"/>
    <w:rsid w:val="00295804"/>
    <w:rsid w:val="0029691C"/>
    <w:rsid w:val="002A1495"/>
    <w:rsid w:val="002A2ACE"/>
    <w:rsid w:val="002A4670"/>
    <w:rsid w:val="002A64AC"/>
    <w:rsid w:val="002A69BC"/>
    <w:rsid w:val="002B180B"/>
    <w:rsid w:val="002B213E"/>
    <w:rsid w:val="002B23E1"/>
    <w:rsid w:val="002B2D70"/>
    <w:rsid w:val="002C06F4"/>
    <w:rsid w:val="002C0801"/>
    <w:rsid w:val="002C0E95"/>
    <w:rsid w:val="002C25B8"/>
    <w:rsid w:val="002C2909"/>
    <w:rsid w:val="002C32B8"/>
    <w:rsid w:val="002C5D46"/>
    <w:rsid w:val="002C5DDA"/>
    <w:rsid w:val="002D1C7E"/>
    <w:rsid w:val="002D2406"/>
    <w:rsid w:val="002D277C"/>
    <w:rsid w:val="002D28EB"/>
    <w:rsid w:val="002D2C0C"/>
    <w:rsid w:val="002D464A"/>
    <w:rsid w:val="002D4A7A"/>
    <w:rsid w:val="002D5E11"/>
    <w:rsid w:val="002D5E19"/>
    <w:rsid w:val="002D7608"/>
    <w:rsid w:val="002E041A"/>
    <w:rsid w:val="002E1491"/>
    <w:rsid w:val="002E2E93"/>
    <w:rsid w:val="002E3CE6"/>
    <w:rsid w:val="002E3D2B"/>
    <w:rsid w:val="002E4EB3"/>
    <w:rsid w:val="002E61F3"/>
    <w:rsid w:val="002E72A2"/>
    <w:rsid w:val="002F0A0A"/>
    <w:rsid w:val="002F214B"/>
    <w:rsid w:val="002F227E"/>
    <w:rsid w:val="002F7B14"/>
    <w:rsid w:val="00300200"/>
    <w:rsid w:val="003013B8"/>
    <w:rsid w:val="003026BD"/>
    <w:rsid w:val="00305138"/>
    <w:rsid w:val="0030517D"/>
    <w:rsid w:val="00305DF7"/>
    <w:rsid w:val="0030695E"/>
    <w:rsid w:val="00310006"/>
    <w:rsid w:val="00311A11"/>
    <w:rsid w:val="00315037"/>
    <w:rsid w:val="00316FAF"/>
    <w:rsid w:val="00317413"/>
    <w:rsid w:val="00317471"/>
    <w:rsid w:val="00323D65"/>
    <w:rsid w:val="00324E5B"/>
    <w:rsid w:val="003308A3"/>
    <w:rsid w:val="003323FE"/>
    <w:rsid w:val="00332CF1"/>
    <w:rsid w:val="00332D8F"/>
    <w:rsid w:val="00334889"/>
    <w:rsid w:val="00334EAC"/>
    <w:rsid w:val="003351C4"/>
    <w:rsid w:val="00335390"/>
    <w:rsid w:val="00335417"/>
    <w:rsid w:val="00336717"/>
    <w:rsid w:val="003413E4"/>
    <w:rsid w:val="0034284A"/>
    <w:rsid w:val="00343AB4"/>
    <w:rsid w:val="00344AAC"/>
    <w:rsid w:val="00345873"/>
    <w:rsid w:val="00345CDD"/>
    <w:rsid w:val="00347DD8"/>
    <w:rsid w:val="00347E2C"/>
    <w:rsid w:val="003550E9"/>
    <w:rsid w:val="00356515"/>
    <w:rsid w:val="0035722C"/>
    <w:rsid w:val="00360684"/>
    <w:rsid w:val="00361356"/>
    <w:rsid w:val="0036275E"/>
    <w:rsid w:val="0036370A"/>
    <w:rsid w:val="00365518"/>
    <w:rsid w:val="0037012C"/>
    <w:rsid w:val="00370B3F"/>
    <w:rsid w:val="003710D5"/>
    <w:rsid w:val="0037115C"/>
    <w:rsid w:val="00372B72"/>
    <w:rsid w:val="00372F74"/>
    <w:rsid w:val="003733AB"/>
    <w:rsid w:val="00374A07"/>
    <w:rsid w:val="00374B33"/>
    <w:rsid w:val="003755F1"/>
    <w:rsid w:val="003811F4"/>
    <w:rsid w:val="00383096"/>
    <w:rsid w:val="003859DD"/>
    <w:rsid w:val="00386843"/>
    <w:rsid w:val="00386958"/>
    <w:rsid w:val="00386CA3"/>
    <w:rsid w:val="00390CD1"/>
    <w:rsid w:val="00391129"/>
    <w:rsid w:val="00391474"/>
    <w:rsid w:val="003931A2"/>
    <w:rsid w:val="00394FD5"/>
    <w:rsid w:val="00396549"/>
    <w:rsid w:val="00396744"/>
    <w:rsid w:val="003A069D"/>
    <w:rsid w:val="003A0EFB"/>
    <w:rsid w:val="003A16EC"/>
    <w:rsid w:val="003A4921"/>
    <w:rsid w:val="003A50E5"/>
    <w:rsid w:val="003A5614"/>
    <w:rsid w:val="003A6B2C"/>
    <w:rsid w:val="003A7E91"/>
    <w:rsid w:val="003B0692"/>
    <w:rsid w:val="003B0941"/>
    <w:rsid w:val="003B469C"/>
    <w:rsid w:val="003C1913"/>
    <w:rsid w:val="003C1B40"/>
    <w:rsid w:val="003C2E37"/>
    <w:rsid w:val="003C4918"/>
    <w:rsid w:val="003C4FE5"/>
    <w:rsid w:val="003C63D6"/>
    <w:rsid w:val="003C667C"/>
    <w:rsid w:val="003C7D75"/>
    <w:rsid w:val="003D0BEF"/>
    <w:rsid w:val="003D1551"/>
    <w:rsid w:val="003D2394"/>
    <w:rsid w:val="003D6168"/>
    <w:rsid w:val="003D6C86"/>
    <w:rsid w:val="003E18AD"/>
    <w:rsid w:val="003E222A"/>
    <w:rsid w:val="003E3EB6"/>
    <w:rsid w:val="003E464A"/>
    <w:rsid w:val="003E6458"/>
    <w:rsid w:val="003E64FF"/>
    <w:rsid w:val="003F0BCF"/>
    <w:rsid w:val="003F1A65"/>
    <w:rsid w:val="003F484C"/>
    <w:rsid w:val="003F59C6"/>
    <w:rsid w:val="003F75F1"/>
    <w:rsid w:val="004005FE"/>
    <w:rsid w:val="0040228E"/>
    <w:rsid w:val="004025E1"/>
    <w:rsid w:val="0040324B"/>
    <w:rsid w:val="0040384A"/>
    <w:rsid w:val="004068CA"/>
    <w:rsid w:val="00407B9B"/>
    <w:rsid w:val="004102CB"/>
    <w:rsid w:val="00411529"/>
    <w:rsid w:val="00411D83"/>
    <w:rsid w:val="0041230B"/>
    <w:rsid w:val="0041478E"/>
    <w:rsid w:val="00415390"/>
    <w:rsid w:val="00416728"/>
    <w:rsid w:val="00416729"/>
    <w:rsid w:val="00416AA4"/>
    <w:rsid w:val="00417C68"/>
    <w:rsid w:val="0042081B"/>
    <w:rsid w:val="00420D1C"/>
    <w:rsid w:val="004221B9"/>
    <w:rsid w:val="00422949"/>
    <w:rsid w:val="00422BDC"/>
    <w:rsid w:val="004233B0"/>
    <w:rsid w:val="004253DF"/>
    <w:rsid w:val="004254BB"/>
    <w:rsid w:val="00427AF0"/>
    <w:rsid w:val="004305D8"/>
    <w:rsid w:val="00430D29"/>
    <w:rsid w:val="004313CF"/>
    <w:rsid w:val="00431927"/>
    <w:rsid w:val="00431AF2"/>
    <w:rsid w:val="0043222E"/>
    <w:rsid w:val="0043481E"/>
    <w:rsid w:val="0043482B"/>
    <w:rsid w:val="0043495A"/>
    <w:rsid w:val="00436793"/>
    <w:rsid w:val="00436FAD"/>
    <w:rsid w:val="0043724E"/>
    <w:rsid w:val="004404E6"/>
    <w:rsid w:val="00440C90"/>
    <w:rsid w:val="004412F7"/>
    <w:rsid w:val="00442C39"/>
    <w:rsid w:val="00443456"/>
    <w:rsid w:val="0044464E"/>
    <w:rsid w:val="00444C16"/>
    <w:rsid w:val="00445204"/>
    <w:rsid w:val="00445C78"/>
    <w:rsid w:val="0044707E"/>
    <w:rsid w:val="00451A78"/>
    <w:rsid w:val="0045240B"/>
    <w:rsid w:val="0045256D"/>
    <w:rsid w:val="00452701"/>
    <w:rsid w:val="0045341C"/>
    <w:rsid w:val="00455143"/>
    <w:rsid w:val="00457F1C"/>
    <w:rsid w:val="00460E31"/>
    <w:rsid w:val="004624F0"/>
    <w:rsid w:val="00464000"/>
    <w:rsid w:val="004644C2"/>
    <w:rsid w:val="00464BF1"/>
    <w:rsid w:val="00465E9A"/>
    <w:rsid w:val="00467318"/>
    <w:rsid w:val="00467EC2"/>
    <w:rsid w:val="00473C3A"/>
    <w:rsid w:val="00476174"/>
    <w:rsid w:val="00476289"/>
    <w:rsid w:val="004806B8"/>
    <w:rsid w:val="00480DC0"/>
    <w:rsid w:val="0048129E"/>
    <w:rsid w:val="004814B9"/>
    <w:rsid w:val="00482334"/>
    <w:rsid w:val="004829FA"/>
    <w:rsid w:val="00484126"/>
    <w:rsid w:val="0048523C"/>
    <w:rsid w:val="00485959"/>
    <w:rsid w:val="00486EA3"/>
    <w:rsid w:val="00490F55"/>
    <w:rsid w:val="0049239C"/>
    <w:rsid w:val="00492C8E"/>
    <w:rsid w:val="00494AB9"/>
    <w:rsid w:val="00497C2F"/>
    <w:rsid w:val="004A224F"/>
    <w:rsid w:val="004A372E"/>
    <w:rsid w:val="004A4BC1"/>
    <w:rsid w:val="004A6CF7"/>
    <w:rsid w:val="004A6EE7"/>
    <w:rsid w:val="004A7D0E"/>
    <w:rsid w:val="004B1398"/>
    <w:rsid w:val="004B2A0C"/>
    <w:rsid w:val="004B2FD5"/>
    <w:rsid w:val="004B37E7"/>
    <w:rsid w:val="004B3E1B"/>
    <w:rsid w:val="004B467D"/>
    <w:rsid w:val="004B7086"/>
    <w:rsid w:val="004C0CE2"/>
    <w:rsid w:val="004C28B6"/>
    <w:rsid w:val="004C355C"/>
    <w:rsid w:val="004C5D9E"/>
    <w:rsid w:val="004C6633"/>
    <w:rsid w:val="004C71BA"/>
    <w:rsid w:val="004D05A1"/>
    <w:rsid w:val="004D1251"/>
    <w:rsid w:val="004D192D"/>
    <w:rsid w:val="004D4A5D"/>
    <w:rsid w:val="004D6D16"/>
    <w:rsid w:val="004E039C"/>
    <w:rsid w:val="004E0BF0"/>
    <w:rsid w:val="004E2884"/>
    <w:rsid w:val="004E3576"/>
    <w:rsid w:val="004E3CEF"/>
    <w:rsid w:val="004E3DF9"/>
    <w:rsid w:val="004E43F1"/>
    <w:rsid w:val="004E546B"/>
    <w:rsid w:val="004E5E5B"/>
    <w:rsid w:val="004E745A"/>
    <w:rsid w:val="004F0D5C"/>
    <w:rsid w:val="004F345D"/>
    <w:rsid w:val="004F5063"/>
    <w:rsid w:val="004F6F62"/>
    <w:rsid w:val="004F795E"/>
    <w:rsid w:val="00501740"/>
    <w:rsid w:val="00502A2E"/>
    <w:rsid w:val="00503A86"/>
    <w:rsid w:val="00504B97"/>
    <w:rsid w:val="00505130"/>
    <w:rsid w:val="00505730"/>
    <w:rsid w:val="00507570"/>
    <w:rsid w:val="00507980"/>
    <w:rsid w:val="00507DDC"/>
    <w:rsid w:val="00510043"/>
    <w:rsid w:val="0051070B"/>
    <w:rsid w:val="005126A9"/>
    <w:rsid w:val="00512CCB"/>
    <w:rsid w:val="00513360"/>
    <w:rsid w:val="005148F9"/>
    <w:rsid w:val="00514BDC"/>
    <w:rsid w:val="0051577C"/>
    <w:rsid w:val="00516BAB"/>
    <w:rsid w:val="0051721B"/>
    <w:rsid w:val="0052192D"/>
    <w:rsid w:val="00522026"/>
    <w:rsid w:val="00522279"/>
    <w:rsid w:val="0052417D"/>
    <w:rsid w:val="00524358"/>
    <w:rsid w:val="00524A6D"/>
    <w:rsid w:val="005262B4"/>
    <w:rsid w:val="005274F4"/>
    <w:rsid w:val="005303C2"/>
    <w:rsid w:val="00530BC2"/>
    <w:rsid w:val="00530DE4"/>
    <w:rsid w:val="00532521"/>
    <w:rsid w:val="00532AAF"/>
    <w:rsid w:val="00533E7C"/>
    <w:rsid w:val="00534681"/>
    <w:rsid w:val="00536738"/>
    <w:rsid w:val="00537C39"/>
    <w:rsid w:val="00542BC8"/>
    <w:rsid w:val="00544B80"/>
    <w:rsid w:val="00545CAB"/>
    <w:rsid w:val="00546AB2"/>
    <w:rsid w:val="0054723C"/>
    <w:rsid w:val="00547D05"/>
    <w:rsid w:val="00550019"/>
    <w:rsid w:val="00551404"/>
    <w:rsid w:val="0055276A"/>
    <w:rsid w:val="0055443F"/>
    <w:rsid w:val="0055456D"/>
    <w:rsid w:val="00556103"/>
    <w:rsid w:val="00556911"/>
    <w:rsid w:val="00557633"/>
    <w:rsid w:val="0055799B"/>
    <w:rsid w:val="005601FE"/>
    <w:rsid w:val="00560B5C"/>
    <w:rsid w:val="00560C50"/>
    <w:rsid w:val="00562A41"/>
    <w:rsid w:val="00562E8B"/>
    <w:rsid w:val="00563EF2"/>
    <w:rsid w:val="00564A36"/>
    <w:rsid w:val="00565DC4"/>
    <w:rsid w:val="005667BA"/>
    <w:rsid w:val="00566CB6"/>
    <w:rsid w:val="00571619"/>
    <w:rsid w:val="00571A15"/>
    <w:rsid w:val="005742E1"/>
    <w:rsid w:val="00574BEE"/>
    <w:rsid w:val="00574D15"/>
    <w:rsid w:val="005755CE"/>
    <w:rsid w:val="00577440"/>
    <w:rsid w:val="0058019B"/>
    <w:rsid w:val="00580D82"/>
    <w:rsid w:val="0058128B"/>
    <w:rsid w:val="0058226C"/>
    <w:rsid w:val="005830BD"/>
    <w:rsid w:val="005831D9"/>
    <w:rsid w:val="00583333"/>
    <w:rsid w:val="00583D48"/>
    <w:rsid w:val="0058532B"/>
    <w:rsid w:val="00586966"/>
    <w:rsid w:val="005902CA"/>
    <w:rsid w:val="00590400"/>
    <w:rsid w:val="00590F5E"/>
    <w:rsid w:val="00591CEE"/>
    <w:rsid w:val="00592821"/>
    <w:rsid w:val="005928DF"/>
    <w:rsid w:val="00595F56"/>
    <w:rsid w:val="005977A3"/>
    <w:rsid w:val="005A004E"/>
    <w:rsid w:val="005A02B7"/>
    <w:rsid w:val="005A1473"/>
    <w:rsid w:val="005A2231"/>
    <w:rsid w:val="005A281C"/>
    <w:rsid w:val="005A4B7F"/>
    <w:rsid w:val="005A585A"/>
    <w:rsid w:val="005A729C"/>
    <w:rsid w:val="005B4120"/>
    <w:rsid w:val="005B6936"/>
    <w:rsid w:val="005B6EF5"/>
    <w:rsid w:val="005B73ED"/>
    <w:rsid w:val="005B7AC9"/>
    <w:rsid w:val="005B7EB9"/>
    <w:rsid w:val="005C0328"/>
    <w:rsid w:val="005C2293"/>
    <w:rsid w:val="005C2473"/>
    <w:rsid w:val="005C4664"/>
    <w:rsid w:val="005D0A27"/>
    <w:rsid w:val="005D0C18"/>
    <w:rsid w:val="005D5E4B"/>
    <w:rsid w:val="005D621C"/>
    <w:rsid w:val="005D6520"/>
    <w:rsid w:val="005D6D93"/>
    <w:rsid w:val="005E0E3A"/>
    <w:rsid w:val="005E1B2E"/>
    <w:rsid w:val="005E2F96"/>
    <w:rsid w:val="005E33B5"/>
    <w:rsid w:val="005E3A80"/>
    <w:rsid w:val="005E3BE0"/>
    <w:rsid w:val="005E4E3D"/>
    <w:rsid w:val="005E59CB"/>
    <w:rsid w:val="005E707F"/>
    <w:rsid w:val="005F0881"/>
    <w:rsid w:val="005F204A"/>
    <w:rsid w:val="005F209C"/>
    <w:rsid w:val="005F2EBB"/>
    <w:rsid w:val="005F3B7B"/>
    <w:rsid w:val="005F3C02"/>
    <w:rsid w:val="005F47F1"/>
    <w:rsid w:val="005F65A4"/>
    <w:rsid w:val="005F6690"/>
    <w:rsid w:val="005F66F3"/>
    <w:rsid w:val="005F6C17"/>
    <w:rsid w:val="005F6DCA"/>
    <w:rsid w:val="0060117A"/>
    <w:rsid w:val="00604DAF"/>
    <w:rsid w:val="00606BE5"/>
    <w:rsid w:val="00607251"/>
    <w:rsid w:val="006107B1"/>
    <w:rsid w:val="00611491"/>
    <w:rsid w:val="00614256"/>
    <w:rsid w:val="006145D0"/>
    <w:rsid w:val="006146D8"/>
    <w:rsid w:val="00616B11"/>
    <w:rsid w:val="00617488"/>
    <w:rsid w:val="006206CD"/>
    <w:rsid w:val="00622263"/>
    <w:rsid w:val="0062228A"/>
    <w:rsid w:val="00622A32"/>
    <w:rsid w:val="00624B50"/>
    <w:rsid w:val="00626328"/>
    <w:rsid w:val="00626A76"/>
    <w:rsid w:val="0063084E"/>
    <w:rsid w:val="00630AAA"/>
    <w:rsid w:val="0063235A"/>
    <w:rsid w:val="006335FD"/>
    <w:rsid w:val="00634EB7"/>
    <w:rsid w:val="00634F05"/>
    <w:rsid w:val="00637E69"/>
    <w:rsid w:val="00642FF8"/>
    <w:rsid w:val="006452EF"/>
    <w:rsid w:val="006453D5"/>
    <w:rsid w:val="006459F6"/>
    <w:rsid w:val="00645A3A"/>
    <w:rsid w:val="00645B00"/>
    <w:rsid w:val="0064700F"/>
    <w:rsid w:val="006532BE"/>
    <w:rsid w:val="00653330"/>
    <w:rsid w:val="00653BF9"/>
    <w:rsid w:val="00653FA8"/>
    <w:rsid w:val="006541CE"/>
    <w:rsid w:val="006543C7"/>
    <w:rsid w:val="00654429"/>
    <w:rsid w:val="006549D7"/>
    <w:rsid w:val="00654F19"/>
    <w:rsid w:val="00655EEA"/>
    <w:rsid w:val="00660370"/>
    <w:rsid w:val="00660439"/>
    <w:rsid w:val="0066160C"/>
    <w:rsid w:val="006622EE"/>
    <w:rsid w:val="00662CCB"/>
    <w:rsid w:val="00663FD5"/>
    <w:rsid w:val="0066433B"/>
    <w:rsid w:val="006666C4"/>
    <w:rsid w:val="006670FB"/>
    <w:rsid w:val="006679CF"/>
    <w:rsid w:val="0067019B"/>
    <w:rsid w:val="006749D6"/>
    <w:rsid w:val="00676D94"/>
    <w:rsid w:val="00676FCE"/>
    <w:rsid w:val="0068031F"/>
    <w:rsid w:val="006814C9"/>
    <w:rsid w:val="00685112"/>
    <w:rsid w:val="00686F19"/>
    <w:rsid w:val="00687154"/>
    <w:rsid w:val="00687525"/>
    <w:rsid w:val="00691A8F"/>
    <w:rsid w:val="006920F6"/>
    <w:rsid w:val="0069342A"/>
    <w:rsid w:val="00694DB6"/>
    <w:rsid w:val="0069607C"/>
    <w:rsid w:val="00696700"/>
    <w:rsid w:val="006967AD"/>
    <w:rsid w:val="006967B2"/>
    <w:rsid w:val="00696EAF"/>
    <w:rsid w:val="00697F9B"/>
    <w:rsid w:val="006A0238"/>
    <w:rsid w:val="006A0BCF"/>
    <w:rsid w:val="006A0EE7"/>
    <w:rsid w:val="006A130E"/>
    <w:rsid w:val="006A351D"/>
    <w:rsid w:val="006A3A81"/>
    <w:rsid w:val="006A4630"/>
    <w:rsid w:val="006A4E39"/>
    <w:rsid w:val="006A5621"/>
    <w:rsid w:val="006A5A82"/>
    <w:rsid w:val="006A5B6C"/>
    <w:rsid w:val="006A65B7"/>
    <w:rsid w:val="006A6DBA"/>
    <w:rsid w:val="006A72DD"/>
    <w:rsid w:val="006B31D9"/>
    <w:rsid w:val="006B5027"/>
    <w:rsid w:val="006B5A61"/>
    <w:rsid w:val="006B6768"/>
    <w:rsid w:val="006B6D53"/>
    <w:rsid w:val="006B735B"/>
    <w:rsid w:val="006C0DBA"/>
    <w:rsid w:val="006C1C93"/>
    <w:rsid w:val="006C1F62"/>
    <w:rsid w:val="006C367D"/>
    <w:rsid w:val="006C5BA0"/>
    <w:rsid w:val="006C65CB"/>
    <w:rsid w:val="006D68BC"/>
    <w:rsid w:val="006D718C"/>
    <w:rsid w:val="006E0128"/>
    <w:rsid w:val="006E0B40"/>
    <w:rsid w:val="006E17E2"/>
    <w:rsid w:val="006E27FC"/>
    <w:rsid w:val="006E593A"/>
    <w:rsid w:val="006E6669"/>
    <w:rsid w:val="006F14D1"/>
    <w:rsid w:val="006F239D"/>
    <w:rsid w:val="006F3253"/>
    <w:rsid w:val="006F3850"/>
    <w:rsid w:val="006F386D"/>
    <w:rsid w:val="006F3C32"/>
    <w:rsid w:val="006F5D01"/>
    <w:rsid w:val="006F5D1A"/>
    <w:rsid w:val="006F79F7"/>
    <w:rsid w:val="00700318"/>
    <w:rsid w:val="00700492"/>
    <w:rsid w:val="007006A2"/>
    <w:rsid w:val="00703EE4"/>
    <w:rsid w:val="00704471"/>
    <w:rsid w:val="007052F5"/>
    <w:rsid w:val="007053FE"/>
    <w:rsid w:val="00707455"/>
    <w:rsid w:val="00711772"/>
    <w:rsid w:val="0071434E"/>
    <w:rsid w:val="007146ED"/>
    <w:rsid w:val="00715148"/>
    <w:rsid w:val="007179B4"/>
    <w:rsid w:val="00717AAC"/>
    <w:rsid w:val="00717D88"/>
    <w:rsid w:val="00720DEF"/>
    <w:rsid w:val="00724714"/>
    <w:rsid w:val="00726510"/>
    <w:rsid w:val="00730D71"/>
    <w:rsid w:val="0073277F"/>
    <w:rsid w:val="007327A3"/>
    <w:rsid w:val="00732D9D"/>
    <w:rsid w:val="0073432B"/>
    <w:rsid w:val="00736D29"/>
    <w:rsid w:val="00737F33"/>
    <w:rsid w:val="00741EFC"/>
    <w:rsid w:val="0074434A"/>
    <w:rsid w:val="00744654"/>
    <w:rsid w:val="00744934"/>
    <w:rsid w:val="0074640A"/>
    <w:rsid w:val="0074699A"/>
    <w:rsid w:val="00746C6B"/>
    <w:rsid w:val="00746C8B"/>
    <w:rsid w:val="00750555"/>
    <w:rsid w:val="00751B07"/>
    <w:rsid w:val="00756D72"/>
    <w:rsid w:val="007574D4"/>
    <w:rsid w:val="0076162D"/>
    <w:rsid w:val="00762DE2"/>
    <w:rsid w:val="00764B4C"/>
    <w:rsid w:val="00764ED3"/>
    <w:rsid w:val="007654BD"/>
    <w:rsid w:val="00767475"/>
    <w:rsid w:val="0077054C"/>
    <w:rsid w:val="00770A8C"/>
    <w:rsid w:val="0077179F"/>
    <w:rsid w:val="00773BA1"/>
    <w:rsid w:val="007749E3"/>
    <w:rsid w:val="00775692"/>
    <w:rsid w:val="007759DE"/>
    <w:rsid w:val="00776633"/>
    <w:rsid w:val="0077671A"/>
    <w:rsid w:val="00776840"/>
    <w:rsid w:val="00787C3F"/>
    <w:rsid w:val="00787EA0"/>
    <w:rsid w:val="00787F92"/>
    <w:rsid w:val="00793B79"/>
    <w:rsid w:val="007942D3"/>
    <w:rsid w:val="00795276"/>
    <w:rsid w:val="0079659A"/>
    <w:rsid w:val="0079685C"/>
    <w:rsid w:val="00797FEE"/>
    <w:rsid w:val="007A048B"/>
    <w:rsid w:val="007A2FDE"/>
    <w:rsid w:val="007A3289"/>
    <w:rsid w:val="007A4E86"/>
    <w:rsid w:val="007A6E91"/>
    <w:rsid w:val="007A730D"/>
    <w:rsid w:val="007A7A15"/>
    <w:rsid w:val="007A7A79"/>
    <w:rsid w:val="007A7AE3"/>
    <w:rsid w:val="007B09EE"/>
    <w:rsid w:val="007B0CFB"/>
    <w:rsid w:val="007B2DB0"/>
    <w:rsid w:val="007B350D"/>
    <w:rsid w:val="007B4D6A"/>
    <w:rsid w:val="007B58BF"/>
    <w:rsid w:val="007B5CF1"/>
    <w:rsid w:val="007B6C09"/>
    <w:rsid w:val="007B7E18"/>
    <w:rsid w:val="007C23ED"/>
    <w:rsid w:val="007C4217"/>
    <w:rsid w:val="007C4904"/>
    <w:rsid w:val="007C5DD0"/>
    <w:rsid w:val="007C7A9A"/>
    <w:rsid w:val="007D0173"/>
    <w:rsid w:val="007D0FEB"/>
    <w:rsid w:val="007D11ED"/>
    <w:rsid w:val="007D2C0F"/>
    <w:rsid w:val="007D2C68"/>
    <w:rsid w:val="007D2CF2"/>
    <w:rsid w:val="007D5498"/>
    <w:rsid w:val="007D6538"/>
    <w:rsid w:val="007E0111"/>
    <w:rsid w:val="007E01CE"/>
    <w:rsid w:val="007E0839"/>
    <w:rsid w:val="007E09DA"/>
    <w:rsid w:val="007E2661"/>
    <w:rsid w:val="007E55E5"/>
    <w:rsid w:val="007E60B0"/>
    <w:rsid w:val="007E7B44"/>
    <w:rsid w:val="007F24EA"/>
    <w:rsid w:val="007F4989"/>
    <w:rsid w:val="007F4A59"/>
    <w:rsid w:val="007F6F85"/>
    <w:rsid w:val="00801CD3"/>
    <w:rsid w:val="00801D48"/>
    <w:rsid w:val="00801F64"/>
    <w:rsid w:val="00803D93"/>
    <w:rsid w:val="00806B5D"/>
    <w:rsid w:val="00807012"/>
    <w:rsid w:val="00810CBC"/>
    <w:rsid w:val="008116D7"/>
    <w:rsid w:val="00812A60"/>
    <w:rsid w:val="008132FB"/>
    <w:rsid w:val="00814715"/>
    <w:rsid w:val="00814AB2"/>
    <w:rsid w:val="00816BD6"/>
    <w:rsid w:val="00816C8D"/>
    <w:rsid w:val="00817673"/>
    <w:rsid w:val="008178B6"/>
    <w:rsid w:val="00820C98"/>
    <w:rsid w:val="00821197"/>
    <w:rsid w:val="008211AD"/>
    <w:rsid w:val="00821891"/>
    <w:rsid w:val="00821CC9"/>
    <w:rsid w:val="00824315"/>
    <w:rsid w:val="00825667"/>
    <w:rsid w:val="008256D5"/>
    <w:rsid w:val="00825AA4"/>
    <w:rsid w:val="00830511"/>
    <w:rsid w:val="008311D9"/>
    <w:rsid w:val="00832943"/>
    <w:rsid w:val="00832F67"/>
    <w:rsid w:val="00833026"/>
    <w:rsid w:val="00833FBA"/>
    <w:rsid w:val="00834E82"/>
    <w:rsid w:val="00836DDD"/>
    <w:rsid w:val="00841467"/>
    <w:rsid w:val="008470FD"/>
    <w:rsid w:val="008471A9"/>
    <w:rsid w:val="00851388"/>
    <w:rsid w:val="008513DC"/>
    <w:rsid w:val="00851DEC"/>
    <w:rsid w:val="00852B3F"/>
    <w:rsid w:val="008531ED"/>
    <w:rsid w:val="00853741"/>
    <w:rsid w:val="0085469B"/>
    <w:rsid w:val="008569E2"/>
    <w:rsid w:val="0086169B"/>
    <w:rsid w:val="00861759"/>
    <w:rsid w:val="00863F34"/>
    <w:rsid w:val="0086488D"/>
    <w:rsid w:val="00866AD5"/>
    <w:rsid w:val="008741F3"/>
    <w:rsid w:val="008746FF"/>
    <w:rsid w:val="00875302"/>
    <w:rsid w:val="00880B23"/>
    <w:rsid w:val="00880EAA"/>
    <w:rsid w:val="0088133D"/>
    <w:rsid w:val="0088203B"/>
    <w:rsid w:val="0088205C"/>
    <w:rsid w:val="00885694"/>
    <w:rsid w:val="008863F4"/>
    <w:rsid w:val="00886803"/>
    <w:rsid w:val="00886A2D"/>
    <w:rsid w:val="00890EC7"/>
    <w:rsid w:val="00891653"/>
    <w:rsid w:val="00891D19"/>
    <w:rsid w:val="00892494"/>
    <w:rsid w:val="0089285C"/>
    <w:rsid w:val="008959C8"/>
    <w:rsid w:val="00895C7F"/>
    <w:rsid w:val="008974FE"/>
    <w:rsid w:val="008975D6"/>
    <w:rsid w:val="008A272A"/>
    <w:rsid w:val="008A2A7F"/>
    <w:rsid w:val="008A2E87"/>
    <w:rsid w:val="008A4777"/>
    <w:rsid w:val="008A59FD"/>
    <w:rsid w:val="008A671A"/>
    <w:rsid w:val="008A7C4F"/>
    <w:rsid w:val="008B003B"/>
    <w:rsid w:val="008B0297"/>
    <w:rsid w:val="008B13F8"/>
    <w:rsid w:val="008B428B"/>
    <w:rsid w:val="008B4909"/>
    <w:rsid w:val="008B5084"/>
    <w:rsid w:val="008B50BC"/>
    <w:rsid w:val="008B5CD9"/>
    <w:rsid w:val="008B6E06"/>
    <w:rsid w:val="008B73C1"/>
    <w:rsid w:val="008C0B86"/>
    <w:rsid w:val="008C1E4A"/>
    <w:rsid w:val="008C2C53"/>
    <w:rsid w:val="008C3493"/>
    <w:rsid w:val="008C4C6A"/>
    <w:rsid w:val="008C52EA"/>
    <w:rsid w:val="008C58C1"/>
    <w:rsid w:val="008C5C18"/>
    <w:rsid w:val="008C6676"/>
    <w:rsid w:val="008C73BD"/>
    <w:rsid w:val="008D3192"/>
    <w:rsid w:val="008D359D"/>
    <w:rsid w:val="008D48D2"/>
    <w:rsid w:val="008D5847"/>
    <w:rsid w:val="008D586E"/>
    <w:rsid w:val="008D5D5A"/>
    <w:rsid w:val="008D641B"/>
    <w:rsid w:val="008D6BE3"/>
    <w:rsid w:val="008E0886"/>
    <w:rsid w:val="008E157F"/>
    <w:rsid w:val="008E441A"/>
    <w:rsid w:val="008E577D"/>
    <w:rsid w:val="008E79EC"/>
    <w:rsid w:val="008F1F06"/>
    <w:rsid w:val="008F292D"/>
    <w:rsid w:val="008F3942"/>
    <w:rsid w:val="008F5A8E"/>
    <w:rsid w:val="0090209C"/>
    <w:rsid w:val="00902144"/>
    <w:rsid w:val="0090280C"/>
    <w:rsid w:val="009033C5"/>
    <w:rsid w:val="00903EF3"/>
    <w:rsid w:val="00905560"/>
    <w:rsid w:val="00906572"/>
    <w:rsid w:val="0090773F"/>
    <w:rsid w:val="00910B13"/>
    <w:rsid w:val="0091142E"/>
    <w:rsid w:val="009123E2"/>
    <w:rsid w:val="0091322F"/>
    <w:rsid w:val="00913A6B"/>
    <w:rsid w:val="00913F9A"/>
    <w:rsid w:val="00914109"/>
    <w:rsid w:val="00914496"/>
    <w:rsid w:val="00916C95"/>
    <w:rsid w:val="00920C83"/>
    <w:rsid w:val="009213FE"/>
    <w:rsid w:val="00921A14"/>
    <w:rsid w:val="009244C8"/>
    <w:rsid w:val="0092485D"/>
    <w:rsid w:val="0092566C"/>
    <w:rsid w:val="00925D8E"/>
    <w:rsid w:val="009263CA"/>
    <w:rsid w:val="00927121"/>
    <w:rsid w:val="009274E2"/>
    <w:rsid w:val="00927AAC"/>
    <w:rsid w:val="00932561"/>
    <w:rsid w:val="00932766"/>
    <w:rsid w:val="00933654"/>
    <w:rsid w:val="0093390B"/>
    <w:rsid w:val="0093490D"/>
    <w:rsid w:val="0093645F"/>
    <w:rsid w:val="00937EC7"/>
    <w:rsid w:val="00941A9E"/>
    <w:rsid w:val="00944D6E"/>
    <w:rsid w:val="00945AA9"/>
    <w:rsid w:val="00945AB9"/>
    <w:rsid w:val="0094719B"/>
    <w:rsid w:val="009505C9"/>
    <w:rsid w:val="00951049"/>
    <w:rsid w:val="00951F98"/>
    <w:rsid w:val="009529A1"/>
    <w:rsid w:val="00952A1C"/>
    <w:rsid w:val="0095327F"/>
    <w:rsid w:val="00953329"/>
    <w:rsid w:val="00953EC3"/>
    <w:rsid w:val="00954B7D"/>
    <w:rsid w:val="00955CA0"/>
    <w:rsid w:val="00961BCD"/>
    <w:rsid w:val="00962DE5"/>
    <w:rsid w:val="009655E2"/>
    <w:rsid w:val="00965A70"/>
    <w:rsid w:val="00967AE9"/>
    <w:rsid w:val="00970540"/>
    <w:rsid w:val="009719DE"/>
    <w:rsid w:val="00972C1A"/>
    <w:rsid w:val="00973993"/>
    <w:rsid w:val="00974E05"/>
    <w:rsid w:val="00981628"/>
    <w:rsid w:val="009840DE"/>
    <w:rsid w:val="009847DD"/>
    <w:rsid w:val="00985F72"/>
    <w:rsid w:val="009862B3"/>
    <w:rsid w:val="00986C9E"/>
    <w:rsid w:val="00987632"/>
    <w:rsid w:val="009876A7"/>
    <w:rsid w:val="00990508"/>
    <w:rsid w:val="00990F28"/>
    <w:rsid w:val="00990F97"/>
    <w:rsid w:val="0099173F"/>
    <w:rsid w:val="00991A30"/>
    <w:rsid w:val="00991E2A"/>
    <w:rsid w:val="00992185"/>
    <w:rsid w:val="00992389"/>
    <w:rsid w:val="00992846"/>
    <w:rsid w:val="009928EB"/>
    <w:rsid w:val="0099327D"/>
    <w:rsid w:val="00994DFD"/>
    <w:rsid w:val="009A3004"/>
    <w:rsid w:val="009A36C1"/>
    <w:rsid w:val="009A52AC"/>
    <w:rsid w:val="009A5AFF"/>
    <w:rsid w:val="009A667F"/>
    <w:rsid w:val="009A7319"/>
    <w:rsid w:val="009B0753"/>
    <w:rsid w:val="009B0BD3"/>
    <w:rsid w:val="009B28EC"/>
    <w:rsid w:val="009B5E6D"/>
    <w:rsid w:val="009B6C10"/>
    <w:rsid w:val="009B6DC5"/>
    <w:rsid w:val="009B7379"/>
    <w:rsid w:val="009B79DF"/>
    <w:rsid w:val="009C0248"/>
    <w:rsid w:val="009C0FC3"/>
    <w:rsid w:val="009C2878"/>
    <w:rsid w:val="009C2BBC"/>
    <w:rsid w:val="009C2D13"/>
    <w:rsid w:val="009C3F2E"/>
    <w:rsid w:val="009C4ABE"/>
    <w:rsid w:val="009C7690"/>
    <w:rsid w:val="009C7991"/>
    <w:rsid w:val="009C7D8C"/>
    <w:rsid w:val="009D0EF5"/>
    <w:rsid w:val="009D458B"/>
    <w:rsid w:val="009D550F"/>
    <w:rsid w:val="009D79D4"/>
    <w:rsid w:val="009E0753"/>
    <w:rsid w:val="009E1F15"/>
    <w:rsid w:val="009E22C1"/>
    <w:rsid w:val="009E2AD0"/>
    <w:rsid w:val="009E3024"/>
    <w:rsid w:val="009E4969"/>
    <w:rsid w:val="009E6538"/>
    <w:rsid w:val="009E6D15"/>
    <w:rsid w:val="009E6FA4"/>
    <w:rsid w:val="009F06E4"/>
    <w:rsid w:val="009F0B46"/>
    <w:rsid w:val="009F1828"/>
    <w:rsid w:val="009F212C"/>
    <w:rsid w:val="009F340F"/>
    <w:rsid w:val="009F3713"/>
    <w:rsid w:val="009F402B"/>
    <w:rsid w:val="009F4FEF"/>
    <w:rsid w:val="009F6751"/>
    <w:rsid w:val="009F78E1"/>
    <w:rsid w:val="00A00001"/>
    <w:rsid w:val="00A00909"/>
    <w:rsid w:val="00A019FA"/>
    <w:rsid w:val="00A01BED"/>
    <w:rsid w:val="00A023CF"/>
    <w:rsid w:val="00A03DEF"/>
    <w:rsid w:val="00A04E05"/>
    <w:rsid w:val="00A05F7C"/>
    <w:rsid w:val="00A05FEB"/>
    <w:rsid w:val="00A073C5"/>
    <w:rsid w:val="00A07F4B"/>
    <w:rsid w:val="00A07F68"/>
    <w:rsid w:val="00A12B0A"/>
    <w:rsid w:val="00A1456A"/>
    <w:rsid w:val="00A15B41"/>
    <w:rsid w:val="00A16686"/>
    <w:rsid w:val="00A17C2A"/>
    <w:rsid w:val="00A17CFE"/>
    <w:rsid w:val="00A21491"/>
    <w:rsid w:val="00A22D59"/>
    <w:rsid w:val="00A22E88"/>
    <w:rsid w:val="00A23967"/>
    <w:rsid w:val="00A24B13"/>
    <w:rsid w:val="00A2563C"/>
    <w:rsid w:val="00A259FC"/>
    <w:rsid w:val="00A268F9"/>
    <w:rsid w:val="00A3010D"/>
    <w:rsid w:val="00A30661"/>
    <w:rsid w:val="00A310E1"/>
    <w:rsid w:val="00A317BC"/>
    <w:rsid w:val="00A3222A"/>
    <w:rsid w:val="00A33354"/>
    <w:rsid w:val="00A34A90"/>
    <w:rsid w:val="00A35CD8"/>
    <w:rsid w:val="00A37456"/>
    <w:rsid w:val="00A37BDA"/>
    <w:rsid w:val="00A37C24"/>
    <w:rsid w:val="00A37C8B"/>
    <w:rsid w:val="00A408CF"/>
    <w:rsid w:val="00A433D6"/>
    <w:rsid w:val="00A4497C"/>
    <w:rsid w:val="00A457F1"/>
    <w:rsid w:val="00A459DB"/>
    <w:rsid w:val="00A50269"/>
    <w:rsid w:val="00A50735"/>
    <w:rsid w:val="00A5386D"/>
    <w:rsid w:val="00A53C8C"/>
    <w:rsid w:val="00A578CB"/>
    <w:rsid w:val="00A57A7D"/>
    <w:rsid w:val="00A609FF"/>
    <w:rsid w:val="00A65644"/>
    <w:rsid w:val="00A66BB2"/>
    <w:rsid w:val="00A719E4"/>
    <w:rsid w:val="00A7466A"/>
    <w:rsid w:val="00A76CDE"/>
    <w:rsid w:val="00A77F80"/>
    <w:rsid w:val="00A808CB"/>
    <w:rsid w:val="00A8098B"/>
    <w:rsid w:val="00A80F35"/>
    <w:rsid w:val="00A8154C"/>
    <w:rsid w:val="00A816CE"/>
    <w:rsid w:val="00A81782"/>
    <w:rsid w:val="00A818BD"/>
    <w:rsid w:val="00A87994"/>
    <w:rsid w:val="00A90535"/>
    <w:rsid w:val="00A93ACC"/>
    <w:rsid w:val="00A93E1F"/>
    <w:rsid w:val="00A9434B"/>
    <w:rsid w:val="00A953FC"/>
    <w:rsid w:val="00A95787"/>
    <w:rsid w:val="00A9718C"/>
    <w:rsid w:val="00A97999"/>
    <w:rsid w:val="00AA0007"/>
    <w:rsid w:val="00AA0F16"/>
    <w:rsid w:val="00AA1BFB"/>
    <w:rsid w:val="00AA2A85"/>
    <w:rsid w:val="00AA3435"/>
    <w:rsid w:val="00AA3543"/>
    <w:rsid w:val="00AA3AC6"/>
    <w:rsid w:val="00AA53F3"/>
    <w:rsid w:val="00AA551D"/>
    <w:rsid w:val="00AA5E51"/>
    <w:rsid w:val="00AA6B55"/>
    <w:rsid w:val="00AB4861"/>
    <w:rsid w:val="00AB6333"/>
    <w:rsid w:val="00AB7B72"/>
    <w:rsid w:val="00AC02D8"/>
    <w:rsid w:val="00AC0F08"/>
    <w:rsid w:val="00AC12DF"/>
    <w:rsid w:val="00AC19B7"/>
    <w:rsid w:val="00AC1A5F"/>
    <w:rsid w:val="00AC4219"/>
    <w:rsid w:val="00AC4BFF"/>
    <w:rsid w:val="00AC659E"/>
    <w:rsid w:val="00AC66AD"/>
    <w:rsid w:val="00AC740F"/>
    <w:rsid w:val="00AD0326"/>
    <w:rsid w:val="00AD2094"/>
    <w:rsid w:val="00AD43CE"/>
    <w:rsid w:val="00AD505D"/>
    <w:rsid w:val="00AD5B57"/>
    <w:rsid w:val="00AD7119"/>
    <w:rsid w:val="00AE0014"/>
    <w:rsid w:val="00AE1AC9"/>
    <w:rsid w:val="00AE3D13"/>
    <w:rsid w:val="00AE5995"/>
    <w:rsid w:val="00AE5CB2"/>
    <w:rsid w:val="00AE7964"/>
    <w:rsid w:val="00AF0431"/>
    <w:rsid w:val="00AF1696"/>
    <w:rsid w:val="00AF1BA5"/>
    <w:rsid w:val="00AF1EAA"/>
    <w:rsid w:val="00AF2255"/>
    <w:rsid w:val="00AF3ED7"/>
    <w:rsid w:val="00AF612C"/>
    <w:rsid w:val="00B0267C"/>
    <w:rsid w:val="00B0393A"/>
    <w:rsid w:val="00B03FA7"/>
    <w:rsid w:val="00B040B7"/>
    <w:rsid w:val="00B05AE8"/>
    <w:rsid w:val="00B061E5"/>
    <w:rsid w:val="00B066A1"/>
    <w:rsid w:val="00B06FA8"/>
    <w:rsid w:val="00B114B2"/>
    <w:rsid w:val="00B11EEC"/>
    <w:rsid w:val="00B1275A"/>
    <w:rsid w:val="00B1341F"/>
    <w:rsid w:val="00B13587"/>
    <w:rsid w:val="00B140EC"/>
    <w:rsid w:val="00B16361"/>
    <w:rsid w:val="00B164DE"/>
    <w:rsid w:val="00B1685F"/>
    <w:rsid w:val="00B2064B"/>
    <w:rsid w:val="00B21590"/>
    <w:rsid w:val="00B24BA6"/>
    <w:rsid w:val="00B24CFD"/>
    <w:rsid w:val="00B26274"/>
    <w:rsid w:val="00B27EAB"/>
    <w:rsid w:val="00B30E09"/>
    <w:rsid w:val="00B316A4"/>
    <w:rsid w:val="00B31DCA"/>
    <w:rsid w:val="00B33482"/>
    <w:rsid w:val="00B3363F"/>
    <w:rsid w:val="00B3369F"/>
    <w:rsid w:val="00B33A09"/>
    <w:rsid w:val="00B33B35"/>
    <w:rsid w:val="00B33DA8"/>
    <w:rsid w:val="00B36354"/>
    <w:rsid w:val="00B3715C"/>
    <w:rsid w:val="00B43F31"/>
    <w:rsid w:val="00B44870"/>
    <w:rsid w:val="00B44FD2"/>
    <w:rsid w:val="00B454B5"/>
    <w:rsid w:val="00B46C72"/>
    <w:rsid w:val="00B4727D"/>
    <w:rsid w:val="00B51298"/>
    <w:rsid w:val="00B517BC"/>
    <w:rsid w:val="00B53415"/>
    <w:rsid w:val="00B535EF"/>
    <w:rsid w:val="00B53A62"/>
    <w:rsid w:val="00B53B11"/>
    <w:rsid w:val="00B53F62"/>
    <w:rsid w:val="00B56F2B"/>
    <w:rsid w:val="00B5705A"/>
    <w:rsid w:val="00B60481"/>
    <w:rsid w:val="00B60D9B"/>
    <w:rsid w:val="00B618BD"/>
    <w:rsid w:val="00B64B67"/>
    <w:rsid w:val="00B6515B"/>
    <w:rsid w:val="00B6732B"/>
    <w:rsid w:val="00B6739C"/>
    <w:rsid w:val="00B724F0"/>
    <w:rsid w:val="00B72B19"/>
    <w:rsid w:val="00B80D3C"/>
    <w:rsid w:val="00B8118A"/>
    <w:rsid w:val="00B81D16"/>
    <w:rsid w:val="00B8264F"/>
    <w:rsid w:val="00B837CF"/>
    <w:rsid w:val="00B83EB6"/>
    <w:rsid w:val="00B8432E"/>
    <w:rsid w:val="00B84927"/>
    <w:rsid w:val="00B85116"/>
    <w:rsid w:val="00B85936"/>
    <w:rsid w:val="00B85CF9"/>
    <w:rsid w:val="00B91D73"/>
    <w:rsid w:val="00B95039"/>
    <w:rsid w:val="00BA014B"/>
    <w:rsid w:val="00BA0397"/>
    <w:rsid w:val="00BA0DB8"/>
    <w:rsid w:val="00BA20E4"/>
    <w:rsid w:val="00BA2262"/>
    <w:rsid w:val="00BA2449"/>
    <w:rsid w:val="00BA44B3"/>
    <w:rsid w:val="00BA4B9F"/>
    <w:rsid w:val="00BA5C2A"/>
    <w:rsid w:val="00BA6566"/>
    <w:rsid w:val="00BA706A"/>
    <w:rsid w:val="00BB2847"/>
    <w:rsid w:val="00BB34A2"/>
    <w:rsid w:val="00BB34C1"/>
    <w:rsid w:val="00BB450E"/>
    <w:rsid w:val="00BB55BF"/>
    <w:rsid w:val="00BB7608"/>
    <w:rsid w:val="00BC2013"/>
    <w:rsid w:val="00BC27E4"/>
    <w:rsid w:val="00BC29B2"/>
    <w:rsid w:val="00BC42EE"/>
    <w:rsid w:val="00BC5571"/>
    <w:rsid w:val="00BC605A"/>
    <w:rsid w:val="00BC7332"/>
    <w:rsid w:val="00BD0272"/>
    <w:rsid w:val="00BD5CDC"/>
    <w:rsid w:val="00BD65E5"/>
    <w:rsid w:val="00BD6A7F"/>
    <w:rsid w:val="00BE0581"/>
    <w:rsid w:val="00BE0CC1"/>
    <w:rsid w:val="00BE16C1"/>
    <w:rsid w:val="00BE1DE2"/>
    <w:rsid w:val="00BE268E"/>
    <w:rsid w:val="00BE50BD"/>
    <w:rsid w:val="00BE64C0"/>
    <w:rsid w:val="00BE6C11"/>
    <w:rsid w:val="00BE7748"/>
    <w:rsid w:val="00BF08CB"/>
    <w:rsid w:val="00BF1759"/>
    <w:rsid w:val="00BF1FA1"/>
    <w:rsid w:val="00BF210F"/>
    <w:rsid w:val="00BF2469"/>
    <w:rsid w:val="00BF2756"/>
    <w:rsid w:val="00BF4317"/>
    <w:rsid w:val="00BF4EA7"/>
    <w:rsid w:val="00C00B49"/>
    <w:rsid w:val="00C00FEA"/>
    <w:rsid w:val="00C02749"/>
    <w:rsid w:val="00C027E0"/>
    <w:rsid w:val="00C0443C"/>
    <w:rsid w:val="00C05CD9"/>
    <w:rsid w:val="00C07CA4"/>
    <w:rsid w:val="00C10B55"/>
    <w:rsid w:val="00C11B3B"/>
    <w:rsid w:val="00C17C39"/>
    <w:rsid w:val="00C2084C"/>
    <w:rsid w:val="00C208BB"/>
    <w:rsid w:val="00C22778"/>
    <w:rsid w:val="00C228D2"/>
    <w:rsid w:val="00C240FA"/>
    <w:rsid w:val="00C2413D"/>
    <w:rsid w:val="00C24857"/>
    <w:rsid w:val="00C26342"/>
    <w:rsid w:val="00C2735D"/>
    <w:rsid w:val="00C27A61"/>
    <w:rsid w:val="00C27ED5"/>
    <w:rsid w:val="00C30FDC"/>
    <w:rsid w:val="00C32286"/>
    <w:rsid w:val="00C331D2"/>
    <w:rsid w:val="00C33FE5"/>
    <w:rsid w:val="00C3685A"/>
    <w:rsid w:val="00C373C0"/>
    <w:rsid w:val="00C40B65"/>
    <w:rsid w:val="00C411F2"/>
    <w:rsid w:val="00C4182C"/>
    <w:rsid w:val="00C41EDE"/>
    <w:rsid w:val="00C42EB0"/>
    <w:rsid w:val="00C440F6"/>
    <w:rsid w:val="00C44188"/>
    <w:rsid w:val="00C45A9D"/>
    <w:rsid w:val="00C45D0A"/>
    <w:rsid w:val="00C45FCD"/>
    <w:rsid w:val="00C46B40"/>
    <w:rsid w:val="00C475FD"/>
    <w:rsid w:val="00C47CAA"/>
    <w:rsid w:val="00C47CE3"/>
    <w:rsid w:val="00C50645"/>
    <w:rsid w:val="00C50699"/>
    <w:rsid w:val="00C51814"/>
    <w:rsid w:val="00C53605"/>
    <w:rsid w:val="00C55272"/>
    <w:rsid w:val="00C55708"/>
    <w:rsid w:val="00C566AC"/>
    <w:rsid w:val="00C60A3D"/>
    <w:rsid w:val="00C60E06"/>
    <w:rsid w:val="00C62872"/>
    <w:rsid w:val="00C629A4"/>
    <w:rsid w:val="00C6381C"/>
    <w:rsid w:val="00C63ADC"/>
    <w:rsid w:val="00C64AF2"/>
    <w:rsid w:val="00C660C1"/>
    <w:rsid w:val="00C666C7"/>
    <w:rsid w:val="00C6792F"/>
    <w:rsid w:val="00C67E2A"/>
    <w:rsid w:val="00C70204"/>
    <w:rsid w:val="00C70A31"/>
    <w:rsid w:val="00C7105B"/>
    <w:rsid w:val="00C72357"/>
    <w:rsid w:val="00C73B5C"/>
    <w:rsid w:val="00C7512B"/>
    <w:rsid w:val="00C7555B"/>
    <w:rsid w:val="00C75BC7"/>
    <w:rsid w:val="00C76B4C"/>
    <w:rsid w:val="00C77530"/>
    <w:rsid w:val="00C81DB0"/>
    <w:rsid w:val="00C83231"/>
    <w:rsid w:val="00C83BCC"/>
    <w:rsid w:val="00C84549"/>
    <w:rsid w:val="00C847A6"/>
    <w:rsid w:val="00C85AE2"/>
    <w:rsid w:val="00C85E1D"/>
    <w:rsid w:val="00C8786C"/>
    <w:rsid w:val="00C87DDC"/>
    <w:rsid w:val="00C90F9D"/>
    <w:rsid w:val="00C9161D"/>
    <w:rsid w:val="00C94075"/>
    <w:rsid w:val="00C94E0F"/>
    <w:rsid w:val="00C96299"/>
    <w:rsid w:val="00C96A96"/>
    <w:rsid w:val="00C96F7C"/>
    <w:rsid w:val="00C971FF"/>
    <w:rsid w:val="00C97885"/>
    <w:rsid w:val="00CA021A"/>
    <w:rsid w:val="00CA4098"/>
    <w:rsid w:val="00CA4102"/>
    <w:rsid w:val="00CA6784"/>
    <w:rsid w:val="00CA67B3"/>
    <w:rsid w:val="00CA69C8"/>
    <w:rsid w:val="00CA6A62"/>
    <w:rsid w:val="00CA6F01"/>
    <w:rsid w:val="00CA7D68"/>
    <w:rsid w:val="00CB0B22"/>
    <w:rsid w:val="00CB0F33"/>
    <w:rsid w:val="00CB257C"/>
    <w:rsid w:val="00CB5557"/>
    <w:rsid w:val="00CB7383"/>
    <w:rsid w:val="00CC2314"/>
    <w:rsid w:val="00CC3ED4"/>
    <w:rsid w:val="00CC4B23"/>
    <w:rsid w:val="00CC61D8"/>
    <w:rsid w:val="00CC68A7"/>
    <w:rsid w:val="00CD1FEE"/>
    <w:rsid w:val="00CD2EA0"/>
    <w:rsid w:val="00CD4FF5"/>
    <w:rsid w:val="00CD51EA"/>
    <w:rsid w:val="00CD5497"/>
    <w:rsid w:val="00CD54E9"/>
    <w:rsid w:val="00CD63A5"/>
    <w:rsid w:val="00CD6E37"/>
    <w:rsid w:val="00CD7905"/>
    <w:rsid w:val="00CE0CB9"/>
    <w:rsid w:val="00CE53FA"/>
    <w:rsid w:val="00CE5AA6"/>
    <w:rsid w:val="00CE5EBA"/>
    <w:rsid w:val="00CE60CE"/>
    <w:rsid w:val="00CE62F7"/>
    <w:rsid w:val="00CE76B7"/>
    <w:rsid w:val="00CF06A4"/>
    <w:rsid w:val="00CF0C4B"/>
    <w:rsid w:val="00CF1848"/>
    <w:rsid w:val="00CF1C2F"/>
    <w:rsid w:val="00CF1D8F"/>
    <w:rsid w:val="00CF241C"/>
    <w:rsid w:val="00CF3500"/>
    <w:rsid w:val="00CF38E8"/>
    <w:rsid w:val="00CF3F99"/>
    <w:rsid w:val="00CF4581"/>
    <w:rsid w:val="00CF6320"/>
    <w:rsid w:val="00CF70E1"/>
    <w:rsid w:val="00D00468"/>
    <w:rsid w:val="00D03E54"/>
    <w:rsid w:val="00D049C1"/>
    <w:rsid w:val="00D04D6E"/>
    <w:rsid w:val="00D05EC5"/>
    <w:rsid w:val="00D06DC9"/>
    <w:rsid w:val="00D101E7"/>
    <w:rsid w:val="00D1149F"/>
    <w:rsid w:val="00D11A6A"/>
    <w:rsid w:val="00D11A99"/>
    <w:rsid w:val="00D11CF5"/>
    <w:rsid w:val="00D12528"/>
    <w:rsid w:val="00D13EAA"/>
    <w:rsid w:val="00D14398"/>
    <w:rsid w:val="00D165D1"/>
    <w:rsid w:val="00D23550"/>
    <w:rsid w:val="00D24335"/>
    <w:rsid w:val="00D26C64"/>
    <w:rsid w:val="00D27773"/>
    <w:rsid w:val="00D304CF"/>
    <w:rsid w:val="00D316C8"/>
    <w:rsid w:val="00D31A12"/>
    <w:rsid w:val="00D34754"/>
    <w:rsid w:val="00D3616B"/>
    <w:rsid w:val="00D36466"/>
    <w:rsid w:val="00D37DF0"/>
    <w:rsid w:val="00D4072B"/>
    <w:rsid w:val="00D40826"/>
    <w:rsid w:val="00D40C33"/>
    <w:rsid w:val="00D419DF"/>
    <w:rsid w:val="00D44370"/>
    <w:rsid w:val="00D44825"/>
    <w:rsid w:val="00D45B3E"/>
    <w:rsid w:val="00D51A6B"/>
    <w:rsid w:val="00D52ADF"/>
    <w:rsid w:val="00D53755"/>
    <w:rsid w:val="00D540A1"/>
    <w:rsid w:val="00D54339"/>
    <w:rsid w:val="00D54D9F"/>
    <w:rsid w:val="00D56E7E"/>
    <w:rsid w:val="00D61712"/>
    <w:rsid w:val="00D639AF"/>
    <w:rsid w:val="00D6523F"/>
    <w:rsid w:val="00D6573D"/>
    <w:rsid w:val="00D6628D"/>
    <w:rsid w:val="00D67226"/>
    <w:rsid w:val="00D675D8"/>
    <w:rsid w:val="00D678E8"/>
    <w:rsid w:val="00D73AAE"/>
    <w:rsid w:val="00D74FF0"/>
    <w:rsid w:val="00D75FFE"/>
    <w:rsid w:val="00D76993"/>
    <w:rsid w:val="00D76A18"/>
    <w:rsid w:val="00D7719C"/>
    <w:rsid w:val="00D80146"/>
    <w:rsid w:val="00D81B13"/>
    <w:rsid w:val="00D81C18"/>
    <w:rsid w:val="00D8270E"/>
    <w:rsid w:val="00D82CDA"/>
    <w:rsid w:val="00D837A3"/>
    <w:rsid w:val="00D83B72"/>
    <w:rsid w:val="00D86DA0"/>
    <w:rsid w:val="00D87423"/>
    <w:rsid w:val="00D87B80"/>
    <w:rsid w:val="00D91AB1"/>
    <w:rsid w:val="00D92311"/>
    <w:rsid w:val="00D92E6E"/>
    <w:rsid w:val="00D94A16"/>
    <w:rsid w:val="00D94FB4"/>
    <w:rsid w:val="00D9686E"/>
    <w:rsid w:val="00D973A8"/>
    <w:rsid w:val="00D977ED"/>
    <w:rsid w:val="00DA08ED"/>
    <w:rsid w:val="00DA0974"/>
    <w:rsid w:val="00DA0C7E"/>
    <w:rsid w:val="00DA32A9"/>
    <w:rsid w:val="00DA4C0F"/>
    <w:rsid w:val="00DA57F8"/>
    <w:rsid w:val="00DA5E68"/>
    <w:rsid w:val="00DA7AB7"/>
    <w:rsid w:val="00DB0706"/>
    <w:rsid w:val="00DB0CBA"/>
    <w:rsid w:val="00DB0D73"/>
    <w:rsid w:val="00DB12AA"/>
    <w:rsid w:val="00DB23C1"/>
    <w:rsid w:val="00DB24BC"/>
    <w:rsid w:val="00DB2D29"/>
    <w:rsid w:val="00DB4921"/>
    <w:rsid w:val="00DB4FD0"/>
    <w:rsid w:val="00DB58F4"/>
    <w:rsid w:val="00DB65AF"/>
    <w:rsid w:val="00DC3B42"/>
    <w:rsid w:val="00DC3FF8"/>
    <w:rsid w:val="00DC40AA"/>
    <w:rsid w:val="00DC5E71"/>
    <w:rsid w:val="00DC608A"/>
    <w:rsid w:val="00DC705F"/>
    <w:rsid w:val="00DC7B03"/>
    <w:rsid w:val="00DD063B"/>
    <w:rsid w:val="00DD1019"/>
    <w:rsid w:val="00DD118C"/>
    <w:rsid w:val="00DD1F68"/>
    <w:rsid w:val="00DD2946"/>
    <w:rsid w:val="00DD409A"/>
    <w:rsid w:val="00DD4CAD"/>
    <w:rsid w:val="00DD5717"/>
    <w:rsid w:val="00DD6579"/>
    <w:rsid w:val="00DD6DC7"/>
    <w:rsid w:val="00DE0480"/>
    <w:rsid w:val="00DE0FAC"/>
    <w:rsid w:val="00DE420C"/>
    <w:rsid w:val="00DE622E"/>
    <w:rsid w:val="00DE6A04"/>
    <w:rsid w:val="00DE7641"/>
    <w:rsid w:val="00DE7821"/>
    <w:rsid w:val="00DF0624"/>
    <w:rsid w:val="00DF3736"/>
    <w:rsid w:val="00DF39A8"/>
    <w:rsid w:val="00DF3BE4"/>
    <w:rsid w:val="00DF49DB"/>
    <w:rsid w:val="00DF5B20"/>
    <w:rsid w:val="00DF61A5"/>
    <w:rsid w:val="00DF6441"/>
    <w:rsid w:val="00DF714E"/>
    <w:rsid w:val="00DF753B"/>
    <w:rsid w:val="00DF77F9"/>
    <w:rsid w:val="00DF7A81"/>
    <w:rsid w:val="00E00107"/>
    <w:rsid w:val="00E00E4F"/>
    <w:rsid w:val="00E00F73"/>
    <w:rsid w:val="00E0166B"/>
    <w:rsid w:val="00E01A4B"/>
    <w:rsid w:val="00E040FC"/>
    <w:rsid w:val="00E05962"/>
    <w:rsid w:val="00E05D26"/>
    <w:rsid w:val="00E06D44"/>
    <w:rsid w:val="00E07A70"/>
    <w:rsid w:val="00E07B9E"/>
    <w:rsid w:val="00E10363"/>
    <w:rsid w:val="00E10449"/>
    <w:rsid w:val="00E112D1"/>
    <w:rsid w:val="00E119FA"/>
    <w:rsid w:val="00E13996"/>
    <w:rsid w:val="00E1481F"/>
    <w:rsid w:val="00E14E56"/>
    <w:rsid w:val="00E164D0"/>
    <w:rsid w:val="00E165CF"/>
    <w:rsid w:val="00E16B04"/>
    <w:rsid w:val="00E216E6"/>
    <w:rsid w:val="00E22D69"/>
    <w:rsid w:val="00E23595"/>
    <w:rsid w:val="00E238B5"/>
    <w:rsid w:val="00E24F5A"/>
    <w:rsid w:val="00E24F9F"/>
    <w:rsid w:val="00E255B3"/>
    <w:rsid w:val="00E27CE1"/>
    <w:rsid w:val="00E33144"/>
    <w:rsid w:val="00E347CC"/>
    <w:rsid w:val="00E350B7"/>
    <w:rsid w:val="00E36E20"/>
    <w:rsid w:val="00E37F4F"/>
    <w:rsid w:val="00E40529"/>
    <w:rsid w:val="00E409C3"/>
    <w:rsid w:val="00E41873"/>
    <w:rsid w:val="00E439FA"/>
    <w:rsid w:val="00E440C4"/>
    <w:rsid w:val="00E451CC"/>
    <w:rsid w:val="00E45B55"/>
    <w:rsid w:val="00E52895"/>
    <w:rsid w:val="00E538FB"/>
    <w:rsid w:val="00E54B18"/>
    <w:rsid w:val="00E55858"/>
    <w:rsid w:val="00E56F13"/>
    <w:rsid w:val="00E6169A"/>
    <w:rsid w:val="00E6192B"/>
    <w:rsid w:val="00E62474"/>
    <w:rsid w:val="00E66235"/>
    <w:rsid w:val="00E678BA"/>
    <w:rsid w:val="00E71C1F"/>
    <w:rsid w:val="00E726B7"/>
    <w:rsid w:val="00E820B8"/>
    <w:rsid w:val="00E83C24"/>
    <w:rsid w:val="00E83C2C"/>
    <w:rsid w:val="00E841F0"/>
    <w:rsid w:val="00E85E57"/>
    <w:rsid w:val="00E86A74"/>
    <w:rsid w:val="00E87186"/>
    <w:rsid w:val="00E937CC"/>
    <w:rsid w:val="00E937EB"/>
    <w:rsid w:val="00E951E0"/>
    <w:rsid w:val="00E96BA8"/>
    <w:rsid w:val="00E971CD"/>
    <w:rsid w:val="00E97387"/>
    <w:rsid w:val="00EA68EA"/>
    <w:rsid w:val="00EB0C3D"/>
    <w:rsid w:val="00EB1FD4"/>
    <w:rsid w:val="00EB32AF"/>
    <w:rsid w:val="00EB3361"/>
    <w:rsid w:val="00EB3DFF"/>
    <w:rsid w:val="00EB501A"/>
    <w:rsid w:val="00EB64CF"/>
    <w:rsid w:val="00EC108C"/>
    <w:rsid w:val="00EC1C4F"/>
    <w:rsid w:val="00EC2AF3"/>
    <w:rsid w:val="00EC4772"/>
    <w:rsid w:val="00EC4E8C"/>
    <w:rsid w:val="00EC58F4"/>
    <w:rsid w:val="00EC6123"/>
    <w:rsid w:val="00EC6497"/>
    <w:rsid w:val="00EC6632"/>
    <w:rsid w:val="00EC7202"/>
    <w:rsid w:val="00ED0039"/>
    <w:rsid w:val="00ED333B"/>
    <w:rsid w:val="00ED4DDA"/>
    <w:rsid w:val="00ED5D21"/>
    <w:rsid w:val="00EE1719"/>
    <w:rsid w:val="00EE2247"/>
    <w:rsid w:val="00EE2ECF"/>
    <w:rsid w:val="00EE3262"/>
    <w:rsid w:val="00EE36AB"/>
    <w:rsid w:val="00EE3B09"/>
    <w:rsid w:val="00EE3B5D"/>
    <w:rsid w:val="00EE3FCF"/>
    <w:rsid w:val="00EE54E1"/>
    <w:rsid w:val="00EE598E"/>
    <w:rsid w:val="00EF1703"/>
    <w:rsid w:val="00EF27AB"/>
    <w:rsid w:val="00EF5EA1"/>
    <w:rsid w:val="00F0166A"/>
    <w:rsid w:val="00F023AB"/>
    <w:rsid w:val="00F11062"/>
    <w:rsid w:val="00F11211"/>
    <w:rsid w:val="00F11F7A"/>
    <w:rsid w:val="00F12B1A"/>
    <w:rsid w:val="00F131EA"/>
    <w:rsid w:val="00F13AF9"/>
    <w:rsid w:val="00F145F7"/>
    <w:rsid w:val="00F149F8"/>
    <w:rsid w:val="00F154EA"/>
    <w:rsid w:val="00F20047"/>
    <w:rsid w:val="00F20734"/>
    <w:rsid w:val="00F20E82"/>
    <w:rsid w:val="00F22133"/>
    <w:rsid w:val="00F23E07"/>
    <w:rsid w:val="00F24CFF"/>
    <w:rsid w:val="00F27758"/>
    <w:rsid w:val="00F314C0"/>
    <w:rsid w:val="00F32859"/>
    <w:rsid w:val="00F328E0"/>
    <w:rsid w:val="00F338FD"/>
    <w:rsid w:val="00F33AB4"/>
    <w:rsid w:val="00F34097"/>
    <w:rsid w:val="00F341AC"/>
    <w:rsid w:val="00F34535"/>
    <w:rsid w:val="00F36839"/>
    <w:rsid w:val="00F3716E"/>
    <w:rsid w:val="00F37AFE"/>
    <w:rsid w:val="00F37F34"/>
    <w:rsid w:val="00F416C5"/>
    <w:rsid w:val="00F42AA1"/>
    <w:rsid w:val="00F443AE"/>
    <w:rsid w:val="00F446EC"/>
    <w:rsid w:val="00F4471E"/>
    <w:rsid w:val="00F4552A"/>
    <w:rsid w:val="00F46234"/>
    <w:rsid w:val="00F511A7"/>
    <w:rsid w:val="00F5153C"/>
    <w:rsid w:val="00F519B0"/>
    <w:rsid w:val="00F547F0"/>
    <w:rsid w:val="00F54D07"/>
    <w:rsid w:val="00F55C05"/>
    <w:rsid w:val="00F563BA"/>
    <w:rsid w:val="00F56624"/>
    <w:rsid w:val="00F57244"/>
    <w:rsid w:val="00F6028D"/>
    <w:rsid w:val="00F63882"/>
    <w:rsid w:val="00F66003"/>
    <w:rsid w:val="00F67263"/>
    <w:rsid w:val="00F7035D"/>
    <w:rsid w:val="00F723D3"/>
    <w:rsid w:val="00F72E69"/>
    <w:rsid w:val="00F73034"/>
    <w:rsid w:val="00F73376"/>
    <w:rsid w:val="00F7340B"/>
    <w:rsid w:val="00F73938"/>
    <w:rsid w:val="00F74645"/>
    <w:rsid w:val="00F81443"/>
    <w:rsid w:val="00F83264"/>
    <w:rsid w:val="00F85A32"/>
    <w:rsid w:val="00F86C8A"/>
    <w:rsid w:val="00F875A5"/>
    <w:rsid w:val="00F90F8C"/>
    <w:rsid w:val="00F91ABC"/>
    <w:rsid w:val="00F929B4"/>
    <w:rsid w:val="00F9400D"/>
    <w:rsid w:val="00F940DC"/>
    <w:rsid w:val="00F94774"/>
    <w:rsid w:val="00F9543A"/>
    <w:rsid w:val="00F95BEC"/>
    <w:rsid w:val="00F95FE0"/>
    <w:rsid w:val="00F97B8F"/>
    <w:rsid w:val="00FA3377"/>
    <w:rsid w:val="00FA4218"/>
    <w:rsid w:val="00FA4FD4"/>
    <w:rsid w:val="00FA6728"/>
    <w:rsid w:val="00FB030E"/>
    <w:rsid w:val="00FB095C"/>
    <w:rsid w:val="00FB26A1"/>
    <w:rsid w:val="00FB3A6A"/>
    <w:rsid w:val="00FB3F9C"/>
    <w:rsid w:val="00FB4328"/>
    <w:rsid w:val="00FB75EF"/>
    <w:rsid w:val="00FC049E"/>
    <w:rsid w:val="00FC0704"/>
    <w:rsid w:val="00FC14E0"/>
    <w:rsid w:val="00FC16F9"/>
    <w:rsid w:val="00FC1A29"/>
    <w:rsid w:val="00FC1D59"/>
    <w:rsid w:val="00FC3A6E"/>
    <w:rsid w:val="00FC496B"/>
    <w:rsid w:val="00FC4B01"/>
    <w:rsid w:val="00FC4B63"/>
    <w:rsid w:val="00FC53DB"/>
    <w:rsid w:val="00FC5B4D"/>
    <w:rsid w:val="00FC724E"/>
    <w:rsid w:val="00FC7D01"/>
    <w:rsid w:val="00FD0ABC"/>
    <w:rsid w:val="00FD0B3B"/>
    <w:rsid w:val="00FD2FB4"/>
    <w:rsid w:val="00FD3302"/>
    <w:rsid w:val="00FD39A3"/>
    <w:rsid w:val="00FD42A5"/>
    <w:rsid w:val="00FD46FA"/>
    <w:rsid w:val="00FD5A69"/>
    <w:rsid w:val="00FD66E9"/>
    <w:rsid w:val="00FD685E"/>
    <w:rsid w:val="00FD6F5E"/>
    <w:rsid w:val="00FD7183"/>
    <w:rsid w:val="00FD7804"/>
    <w:rsid w:val="00FE0649"/>
    <w:rsid w:val="00FE0F9A"/>
    <w:rsid w:val="00FE1123"/>
    <w:rsid w:val="00FE230B"/>
    <w:rsid w:val="00FE2698"/>
    <w:rsid w:val="00FE27F5"/>
    <w:rsid w:val="00FE5993"/>
    <w:rsid w:val="00FE69E2"/>
    <w:rsid w:val="00FF0C8D"/>
    <w:rsid w:val="00FF11B1"/>
    <w:rsid w:val="00FF13A4"/>
    <w:rsid w:val="00FF18D4"/>
    <w:rsid w:val="00FF1E8E"/>
    <w:rsid w:val="00FF46DD"/>
    <w:rsid w:val="00FF60BE"/>
    <w:rsid w:val="00FF636C"/>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BBA116"/>
  <w15:docId w15:val="{ACC3A79A-4B6B-40AB-A970-F248FD6E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8EA"/>
    <w:rPr>
      <w:rFonts w:ascii="Times New Roman" w:eastAsia="Times New Roman" w:hAnsi="Times New Roman" w:cs="Times New Roman"/>
      <w:lang w:val="fr-FR" w:eastAsia="en-CA"/>
    </w:rPr>
  </w:style>
  <w:style w:type="paragraph" w:styleId="Heading1">
    <w:name w:val="heading 1"/>
    <w:basedOn w:val="Normal"/>
    <w:next w:val="Heading2"/>
    <w:link w:val="Heading1Char"/>
    <w:qFormat/>
    <w:rsid w:val="00507980"/>
    <w:pPr>
      <w:keepNext/>
      <w:tabs>
        <w:tab w:val="left" w:pos="720"/>
      </w:tabs>
      <w:spacing w:before="240" w:after="120"/>
      <w:jc w:val="center"/>
      <w:outlineLvl w:val="0"/>
    </w:pPr>
    <w:rPr>
      <w:b/>
      <w:caps/>
      <w:sz w:val="22"/>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507980"/>
    <w:rPr>
      <w:rFonts w:ascii="Times New Roman" w:eastAsia="Times New Roman" w:hAnsi="Times New Roman" w:cs="Times New Roman"/>
      <w:b/>
      <w:caps/>
      <w:sz w:val="22"/>
      <w:lang w:val="en-CA" w:eastAsia="en-CA"/>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0264EC"/>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rPr>
  </w:style>
  <w:style w:type="paragraph" w:styleId="TOC1">
    <w:name w:val="toc 1"/>
    <w:basedOn w:val="Normal"/>
    <w:next w:val="Normal"/>
    <w:autoRedefine/>
    <w:uiPriority w:val="39"/>
    <w:rsid w:val="00DB4FD0"/>
    <w:pPr>
      <w:suppressLineNumbers/>
      <w:tabs>
        <w:tab w:val="left" w:pos="851"/>
        <w:tab w:val="right" w:leader="dot" w:pos="9072"/>
      </w:tabs>
      <w:suppressAutoHyphens/>
      <w:kinsoku w:val="0"/>
      <w:overflowPunct w:val="0"/>
      <w:autoSpaceDE w:val="0"/>
      <w:autoSpaceDN w:val="0"/>
      <w:spacing w:before="120" w:after="120"/>
      <w:ind w:left="851" w:right="673" w:hanging="851"/>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semiHidden/>
    <w:rsid w:val="007E09DA"/>
    <w:pPr>
      <w:spacing w:before="120" w:after="120"/>
      <w:ind w:left="660"/>
    </w:pPr>
  </w:style>
  <w:style w:type="paragraph" w:styleId="TOC5">
    <w:name w:val="toc 5"/>
    <w:basedOn w:val="Normal"/>
    <w:next w:val="Normal"/>
    <w:autoRedefine/>
    <w:semiHidden/>
    <w:rsid w:val="007E09DA"/>
    <w:pPr>
      <w:spacing w:before="120" w:after="120"/>
      <w:ind w:left="880"/>
    </w:pPr>
  </w:style>
  <w:style w:type="paragraph" w:styleId="TOC6">
    <w:name w:val="toc 6"/>
    <w:basedOn w:val="Normal"/>
    <w:next w:val="Normal"/>
    <w:autoRedefine/>
    <w:semiHidden/>
    <w:rsid w:val="007E09DA"/>
    <w:pPr>
      <w:spacing w:before="120" w:after="120"/>
      <w:ind w:left="1100"/>
    </w:pPr>
  </w:style>
  <w:style w:type="paragraph" w:styleId="TOC7">
    <w:name w:val="toc 7"/>
    <w:basedOn w:val="Normal"/>
    <w:next w:val="Normal"/>
    <w:autoRedefine/>
    <w:semiHidden/>
    <w:rsid w:val="007E09DA"/>
    <w:pPr>
      <w:spacing w:before="120" w:after="120"/>
      <w:ind w:left="1320"/>
    </w:pPr>
  </w:style>
  <w:style w:type="paragraph" w:styleId="TOC8">
    <w:name w:val="toc 8"/>
    <w:basedOn w:val="Normal"/>
    <w:next w:val="Normal"/>
    <w:autoRedefine/>
    <w:semiHidden/>
    <w:rsid w:val="007E09DA"/>
    <w:pPr>
      <w:spacing w:before="120" w:after="120"/>
      <w:ind w:left="1540"/>
    </w:pPr>
  </w:style>
  <w:style w:type="paragraph" w:styleId="TOC9">
    <w:name w:val="toc 9"/>
    <w:basedOn w:val="Normal"/>
    <w:next w:val="Normal"/>
    <w:autoRedefine/>
    <w:semiHidden/>
    <w:rsid w:val="007E09DA"/>
    <w:pPr>
      <w:spacing w:before="120" w:after="120"/>
      <w:ind w:left="1760"/>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Normal"/>
    <w:rsid w:val="00172AF6"/>
    <w:pPr>
      <w:keepLines/>
      <w:spacing w:before="240" w:after="120"/>
    </w:pPr>
    <w:rPr>
      <w:rFonts w:cs="Angsana New"/>
      <w:b/>
      <w:i/>
    </w:rPr>
  </w:style>
  <w:style w:type="paragraph" w:customStyle="1" w:styleId="CBD-Doc">
    <w:name w:val="CBD-Doc"/>
    <w:basedOn w:val="Normal"/>
    <w:rsid w:val="00172AF6"/>
    <w:pPr>
      <w:keepLines/>
      <w:numPr>
        <w:numId w:val="9"/>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343A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43AB4"/>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DefaultParagraphFont"/>
    <w:uiPriority w:val="99"/>
    <w:semiHidden/>
    <w:unhideWhenUsed/>
    <w:rsid w:val="003F484C"/>
    <w:rPr>
      <w:color w:val="808080"/>
      <w:shd w:val="clear" w:color="auto" w:fill="E6E6E6"/>
    </w:rPr>
  </w:style>
  <w:style w:type="paragraph" w:customStyle="1" w:styleId="sub-item">
    <w:name w:val="sub-item"/>
    <w:basedOn w:val="Heading2"/>
    <w:qFormat/>
    <w:rsid w:val="002C0801"/>
    <w:pPr>
      <w:spacing w:before="240"/>
      <w:ind w:firstLine="709"/>
      <w:jc w:val="left"/>
      <w:outlineLvl w:val="0"/>
    </w:pPr>
    <w:rPr>
      <w:i w:val="0"/>
      <w:sz w:val="22"/>
      <w:szCs w:val="22"/>
    </w:rPr>
  </w:style>
  <w:style w:type="paragraph" w:styleId="NormalWeb">
    <w:name w:val="Normal (Web)"/>
    <w:basedOn w:val="Normal"/>
    <w:uiPriority w:val="99"/>
    <w:unhideWhenUsed/>
    <w:rsid w:val="00C629A4"/>
    <w:pPr>
      <w:jc w:val="both"/>
    </w:pPr>
    <w:rPr>
      <w:lang w:val="en-GB" w:eastAsia="en-US"/>
    </w:rPr>
  </w:style>
  <w:style w:type="table" w:styleId="ListTable6Colorful">
    <w:name w:val="List Table 6 Colorful"/>
    <w:basedOn w:val="TableNormal"/>
    <w:uiPriority w:val="51"/>
    <w:rsid w:val="00AE3D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Normal"/>
    <w:qFormat/>
    <w:rsid w:val="00825667"/>
    <w:pPr>
      <w:keepNext/>
      <w:spacing w:before="240" w:after="120"/>
      <w:ind w:left="720" w:hanging="720"/>
      <w:jc w:val="center"/>
    </w:pPr>
    <w:rPr>
      <w:b/>
      <w:kern w:val="22"/>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25667"/>
    <w:pPr>
      <w:spacing w:after="160" w:line="240" w:lineRule="exact"/>
    </w:pPr>
    <w:rPr>
      <w:rFonts w:asciiTheme="minorHAnsi" w:eastAsiaTheme="minorEastAsia" w:hAnsiTheme="minorHAnsi" w:cstheme="minorBidi"/>
      <w:sz w:val="22"/>
      <w:vertAlign w:val="superscript"/>
      <w:lang w:val="fr-CA" w:eastAsia="en-US"/>
    </w:rPr>
  </w:style>
  <w:style w:type="paragraph" w:styleId="NoSpacing">
    <w:name w:val="No Spacing"/>
    <w:link w:val="NoSpacingChar"/>
    <w:uiPriority w:val="1"/>
    <w:qFormat/>
    <w:rsid w:val="00825667"/>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825667"/>
    <w:rPr>
      <w:rFonts w:ascii="Calibri" w:eastAsia="Calibri" w:hAnsi="Calibri" w:cs="Times New Roman"/>
      <w:sz w:val="22"/>
      <w:szCs w:val="22"/>
      <w:lang w:val="en-US"/>
    </w:rPr>
  </w:style>
  <w:style w:type="paragraph" w:customStyle="1" w:styleId="decision">
    <w:name w:val="decision"/>
    <w:basedOn w:val="Normal"/>
    <w:qFormat/>
    <w:rsid w:val="00825667"/>
    <w:pPr>
      <w:keepNext/>
      <w:jc w:val="center"/>
    </w:pPr>
    <w:rPr>
      <w:rFonts w:ascii="Times New Roman Bold" w:eastAsia="Malgun Gothic" w:hAnsi="Times New Roman Bold"/>
      <w:b/>
      <w:sz w:val="22"/>
      <w:lang w:val="en-GB" w:eastAsia="en-US"/>
    </w:rPr>
  </w:style>
  <w:style w:type="paragraph" w:customStyle="1" w:styleId="xl66">
    <w:name w:val="xl66"/>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Normal"/>
    <w:rsid w:val="00825667"/>
    <w:pPr>
      <w:spacing w:before="100" w:beforeAutospacing="1" w:after="100" w:afterAutospacing="1"/>
      <w:jc w:val="both"/>
      <w:textAlignment w:val="center"/>
    </w:pPr>
    <w:rPr>
      <w:sz w:val="20"/>
      <w:szCs w:val="20"/>
      <w:lang w:val="en-GB" w:eastAsia="en-US"/>
    </w:rPr>
  </w:style>
  <w:style w:type="paragraph" w:customStyle="1" w:styleId="xl68">
    <w:name w:val="xl68"/>
    <w:basedOn w:val="Normal"/>
    <w:rsid w:val="00825667"/>
    <w:pPr>
      <w:spacing w:before="100" w:beforeAutospacing="1" w:after="100" w:afterAutospacing="1"/>
      <w:jc w:val="center"/>
      <w:textAlignment w:val="center"/>
    </w:pPr>
    <w:rPr>
      <w:b/>
      <w:bCs/>
      <w:sz w:val="20"/>
      <w:szCs w:val="20"/>
      <w:lang w:val="en-GB" w:eastAsia="en-US"/>
    </w:rPr>
  </w:style>
  <w:style w:type="paragraph" w:customStyle="1" w:styleId="xl69">
    <w:name w:val="xl69"/>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Normal"/>
    <w:rsid w:val="00825667"/>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Normal"/>
    <w:rsid w:val="00825667"/>
    <w:pPr>
      <w:spacing w:before="100" w:beforeAutospacing="1" w:after="100" w:afterAutospacing="1"/>
      <w:jc w:val="both"/>
      <w:textAlignment w:val="center"/>
    </w:pPr>
    <w:rPr>
      <w:b/>
      <w:bCs/>
      <w:sz w:val="22"/>
      <w:lang w:val="en-GB" w:eastAsia="en-US"/>
    </w:rPr>
  </w:style>
  <w:style w:type="paragraph" w:customStyle="1" w:styleId="Style1">
    <w:name w:val="Style1"/>
    <w:basedOn w:val="Heading2"/>
    <w:qFormat/>
    <w:rsid w:val="00825667"/>
    <w:rPr>
      <w:sz w:val="22"/>
      <w:lang w:val="en-GB" w:eastAsia="en-US"/>
    </w:rPr>
  </w:style>
  <w:style w:type="paragraph" w:styleId="PlainText">
    <w:name w:val="Plain Text"/>
    <w:basedOn w:val="Normal"/>
    <w:link w:val="PlainTextChar"/>
    <w:uiPriority w:val="99"/>
    <w:semiHidden/>
    <w:unhideWhenUsed/>
    <w:rsid w:val="00825667"/>
    <w:pPr>
      <w:jc w:val="both"/>
    </w:pPr>
    <w:rPr>
      <w:rFonts w:ascii="Calibri" w:eastAsiaTheme="minorHAnsi" w:hAnsi="Calibri" w:cs="Calibri"/>
      <w:sz w:val="22"/>
      <w:lang w:eastAsia="en-US"/>
    </w:rPr>
  </w:style>
  <w:style w:type="character" w:customStyle="1" w:styleId="PlainTextChar">
    <w:name w:val="Plain Text Char"/>
    <w:basedOn w:val="DefaultParagraphFont"/>
    <w:link w:val="PlainText"/>
    <w:uiPriority w:val="99"/>
    <w:semiHidden/>
    <w:rsid w:val="00825667"/>
    <w:rPr>
      <w:rFonts w:ascii="Calibri" w:eastAsiaTheme="minorHAnsi" w:hAnsi="Calibri" w:cs="Calibri"/>
      <w:sz w:val="22"/>
      <w:lang w:val="fr-FR"/>
    </w:rPr>
  </w:style>
  <w:style w:type="table" w:customStyle="1" w:styleId="TableGrid1">
    <w:name w:val="Table Grid1"/>
    <w:basedOn w:val="TableNormal"/>
    <w:next w:val="TableGrid"/>
    <w:uiPriority w:val="59"/>
    <w:rsid w:val="0082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256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25667"/>
    <w:pPr>
      <w:keepNext/>
      <w:keepLines/>
      <w:spacing w:after="200"/>
      <w:jc w:val="both"/>
    </w:pPr>
    <w:rPr>
      <w:b/>
      <w:iCs/>
      <w:sz w:val="22"/>
      <w:szCs w:val="18"/>
      <w:lang w:val="en-GB" w:eastAsia="en-US"/>
    </w:rPr>
  </w:style>
  <w:style w:type="paragraph" w:customStyle="1" w:styleId="CBD-Para">
    <w:name w:val="CBD-Para"/>
    <w:basedOn w:val="Normal"/>
    <w:link w:val="CBD-ParaCharChar"/>
    <w:uiPriority w:val="99"/>
    <w:rsid w:val="00825667"/>
    <w:pPr>
      <w:keepLines/>
      <w:numPr>
        <w:numId w:val="90"/>
      </w:numPr>
      <w:spacing w:before="120" w:after="120"/>
      <w:jc w:val="both"/>
    </w:pPr>
    <w:rPr>
      <w:sz w:val="22"/>
      <w:szCs w:val="22"/>
      <w:lang w:val="en-US" w:eastAsia="en-US"/>
    </w:rPr>
  </w:style>
  <w:style w:type="character" w:customStyle="1" w:styleId="CBD-ParaCharChar">
    <w:name w:val="CBD-Para Char Char"/>
    <w:link w:val="CBD-Para"/>
    <w:uiPriority w:val="99"/>
    <w:locked/>
    <w:rsid w:val="00825667"/>
    <w:rPr>
      <w:rFonts w:ascii="Times New Roman" w:eastAsia="Times New Roman" w:hAnsi="Times New Roman" w:cs="Times New Roman"/>
      <w:sz w:val="22"/>
      <w:szCs w:val="22"/>
      <w:lang w:val="en-US"/>
    </w:rPr>
  </w:style>
  <w:style w:type="character" w:customStyle="1" w:styleId="UnresolvedMention2">
    <w:name w:val="Unresolved Mention2"/>
    <w:basedOn w:val="DefaultParagraphFont"/>
    <w:uiPriority w:val="99"/>
    <w:semiHidden/>
    <w:unhideWhenUsed/>
    <w:rsid w:val="00825667"/>
    <w:rPr>
      <w:color w:val="605E5C"/>
      <w:shd w:val="clear" w:color="auto" w:fill="E1DFDD"/>
    </w:rPr>
  </w:style>
  <w:style w:type="table" w:customStyle="1" w:styleId="ListTable6Colorful2">
    <w:name w:val="List Table 6 Colorful2"/>
    <w:basedOn w:val="TableNormal"/>
    <w:uiPriority w:val="51"/>
    <w:rsid w:val="008256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82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4794">
      <w:bodyDiv w:val="1"/>
      <w:marLeft w:val="0"/>
      <w:marRight w:val="0"/>
      <w:marTop w:val="0"/>
      <w:marBottom w:val="0"/>
      <w:divBdr>
        <w:top w:val="none" w:sz="0" w:space="0" w:color="auto"/>
        <w:left w:val="none" w:sz="0" w:space="0" w:color="auto"/>
        <w:bottom w:val="none" w:sz="0" w:space="0" w:color="auto"/>
        <w:right w:val="none" w:sz="0" w:space="0" w:color="auto"/>
      </w:divBdr>
    </w:div>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387560664">
      <w:bodyDiv w:val="1"/>
      <w:marLeft w:val="0"/>
      <w:marRight w:val="0"/>
      <w:marTop w:val="0"/>
      <w:marBottom w:val="0"/>
      <w:divBdr>
        <w:top w:val="none" w:sz="0" w:space="0" w:color="auto"/>
        <w:left w:val="none" w:sz="0" w:space="0" w:color="auto"/>
        <w:bottom w:val="none" w:sz="0" w:space="0" w:color="auto"/>
        <w:right w:val="none" w:sz="0" w:space="0" w:color="auto"/>
      </w:divBdr>
      <w:divsChild>
        <w:div w:id="168146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969619">
              <w:marLeft w:val="0"/>
              <w:marRight w:val="0"/>
              <w:marTop w:val="0"/>
              <w:marBottom w:val="0"/>
              <w:divBdr>
                <w:top w:val="none" w:sz="0" w:space="0" w:color="auto"/>
                <w:left w:val="none" w:sz="0" w:space="0" w:color="auto"/>
                <w:bottom w:val="none" w:sz="0" w:space="0" w:color="auto"/>
                <w:right w:val="none" w:sz="0" w:space="0" w:color="auto"/>
              </w:divBdr>
              <w:divsChild>
                <w:div w:id="1218124823">
                  <w:marLeft w:val="0"/>
                  <w:marRight w:val="0"/>
                  <w:marTop w:val="0"/>
                  <w:marBottom w:val="0"/>
                  <w:divBdr>
                    <w:top w:val="none" w:sz="0" w:space="0" w:color="auto"/>
                    <w:left w:val="none" w:sz="0" w:space="0" w:color="auto"/>
                    <w:bottom w:val="none" w:sz="0" w:space="0" w:color="auto"/>
                    <w:right w:val="none" w:sz="0" w:space="0" w:color="auto"/>
                  </w:divBdr>
                  <w:divsChild>
                    <w:div w:id="1218275357">
                      <w:marLeft w:val="0"/>
                      <w:marRight w:val="0"/>
                      <w:marTop w:val="0"/>
                      <w:marBottom w:val="0"/>
                      <w:divBdr>
                        <w:top w:val="none" w:sz="0" w:space="0" w:color="auto"/>
                        <w:left w:val="none" w:sz="0" w:space="0" w:color="auto"/>
                        <w:bottom w:val="none" w:sz="0" w:space="0" w:color="auto"/>
                        <w:right w:val="none" w:sz="0" w:space="0" w:color="auto"/>
                      </w:divBdr>
                      <w:divsChild>
                        <w:div w:id="72983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1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49389588">
      <w:bodyDiv w:val="1"/>
      <w:marLeft w:val="0"/>
      <w:marRight w:val="0"/>
      <w:marTop w:val="0"/>
      <w:marBottom w:val="0"/>
      <w:divBdr>
        <w:top w:val="none" w:sz="0" w:space="0" w:color="auto"/>
        <w:left w:val="none" w:sz="0" w:space="0" w:color="auto"/>
        <w:bottom w:val="none" w:sz="0" w:space="0" w:color="auto"/>
        <w:right w:val="none" w:sz="0" w:space="0" w:color="auto"/>
      </w:divBdr>
      <w:divsChild>
        <w:div w:id="2061594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8913">
              <w:marLeft w:val="0"/>
              <w:marRight w:val="0"/>
              <w:marTop w:val="0"/>
              <w:marBottom w:val="0"/>
              <w:divBdr>
                <w:top w:val="none" w:sz="0" w:space="0" w:color="auto"/>
                <w:left w:val="none" w:sz="0" w:space="0" w:color="auto"/>
                <w:bottom w:val="none" w:sz="0" w:space="0" w:color="auto"/>
                <w:right w:val="none" w:sz="0" w:space="0" w:color="auto"/>
              </w:divBdr>
              <w:divsChild>
                <w:div w:id="1539315203">
                  <w:marLeft w:val="0"/>
                  <w:marRight w:val="0"/>
                  <w:marTop w:val="0"/>
                  <w:marBottom w:val="0"/>
                  <w:divBdr>
                    <w:top w:val="none" w:sz="0" w:space="0" w:color="auto"/>
                    <w:left w:val="none" w:sz="0" w:space="0" w:color="auto"/>
                    <w:bottom w:val="none" w:sz="0" w:space="0" w:color="auto"/>
                    <w:right w:val="none" w:sz="0" w:space="0" w:color="auto"/>
                  </w:divBdr>
                  <w:divsChild>
                    <w:div w:id="1571695141">
                      <w:marLeft w:val="0"/>
                      <w:marRight w:val="0"/>
                      <w:marTop w:val="0"/>
                      <w:marBottom w:val="0"/>
                      <w:divBdr>
                        <w:top w:val="none" w:sz="0" w:space="0" w:color="auto"/>
                        <w:left w:val="none" w:sz="0" w:space="0" w:color="auto"/>
                        <w:bottom w:val="none" w:sz="0" w:space="0" w:color="auto"/>
                        <w:right w:val="none" w:sz="0" w:space="0" w:color="auto"/>
                      </w:divBdr>
                      <w:divsChild>
                        <w:div w:id="1887058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4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7-fr.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A7BA6C150348E78B587805E8080E40"/>
        <w:category>
          <w:name w:val="Général"/>
          <w:gallery w:val="placeholder"/>
        </w:category>
        <w:types>
          <w:type w:val="bbPlcHdr"/>
        </w:types>
        <w:behaviors>
          <w:behavior w:val="content"/>
        </w:behaviors>
        <w:guid w:val="{02F51702-E4E8-4618-BBD9-0B6C77CDD014}"/>
      </w:docPartPr>
      <w:docPartBody>
        <w:p w:rsidR="009B2576" w:rsidRDefault="009B2576" w:rsidP="009B2576">
          <w:pPr>
            <w:pStyle w:val="A7A7BA6C150348E78B587805E8080E40"/>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00000007" w:usb1="00000000" w:usb2="00000000" w:usb3="00000000" w:csb0="00000093"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810A55"/>
    <w:rsid w:val="000234BC"/>
    <w:rsid w:val="00047233"/>
    <w:rsid w:val="000639A9"/>
    <w:rsid w:val="000641DE"/>
    <w:rsid w:val="000879A1"/>
    <w:rsid w:val="00093545"/>
    <w:rsid w:val="00096D89"/>
    <w:rsid w:val="000A796A"/>
    <w:rsid w:val="000C3AD7"/>
    <w:rsid w:val="000E7073"/>
    <w:rsid w:val="00131BD6"/>
    <w:rsid w:val="001B5F91"/>
    <w:rsid w:val="00204ED8"/>
    <w:rsid w:val="00230814"/>
    <w:rsid w:val="00257B24"/>
    <w:rsid w:val="002B14E1"/>
    <w:rsid w:val="002B1B5E"/>
    <w:rsid w:val="002B4727"/>
    <w:rsid w:val="002B475A"/>
    <w:rsid w:val="002C0DD3"/>
    <w:rsid w:val="0032252F"/>
    <w:rsid w:val="003320D7"/>
    <w:rsid w:val="00370849"/>
    <w:rsid w:val="00387B81"/>
    <w:rsid w:val="0039049F"/>
    <w:rsid w:val="00395245"/>
    <w:rsid w:val="003A3875"/>
    <w:rsid w:val="003A4F7E"/>
    <w:rsid w:val="003C6967"/>
    <w:rsid w:val="003D3347"/>
    <w:rsid w:val="003E1C77"/>
    <w:rsid w:val="003E70D5"/>
    <w:rsid w:val="003F154B"/>
    <w:rsid w:val="0040101E"/>
    <w:rsid w:val="00450F4D"/>
    <w:rsid w:val="00477D2C"/>
    <w:rsid w:val="004A6301"/>
    <w:rsid w:val="004B5A12"/>
    <w:rsid w:val="00500A2B"/>
    <w:rsid w:val="00520E7A"/>
    <w:rsid w:val="005349FE"/>
    <w:rsid w:val="00537092"/>
    <w:rsid w:val="0058288D"/>
    <w:rsid w:val="005A7210"/>
    <w:rsid w:val="005C48A3"/>
    <w:rsid w:val="005E1DAB"/>
    <w:rsid w:val="00603929"/>
    <w:rsid w:val="0061507A"/>
    <w:rsid w:val="00635A0E"/>
    <w:rsid w:val="00646798"/>
    <w:rsid w:val="0066128F"/>
    <w:rsid w:val="00663AA0"/>
    <w:rsid w:val="006801B3"/>
    <w:rsid w:val="006A52D3"/>
    <w:rsid w:val="006E1C16"/>
    <w:rsid w:val="00713A56"/>
    <w:rsid w:val="00764AEB"/>
    <w:rsid w:val="00780A62"/>
    <w:rsid w:val="00786C78"/>
    <w:rsid w:val="0079224F"/>
    <w:rsid w:val="007C57B4"/>
    <w:rsid w:val="007D0300"/>
    <w:rsid w:val="007E7BE8"/>
    <w:rsid w:val="00810A55"/>
    <w:rsid w:val="00874236"/>
    <w:rsid w:val="008B17C2"/>
    <w:rsid w:val="008C6619"/>
    <w:rsid w:val="008D420E"/>
    <w:rsid w:val="008D4DEA"/>
    <w:rsid w:val="00960D98"/>
    <w:rsid w:val="0098642F"/>
    <w:rsid w:val="009A76E1"/>
    <w:rsid w:val="009B2576"/>
    <w:rsid w:val="009C467E"/>
    <w:rsid w:val="009C7EFF"/>
    <w:rsid w:val="00A23E69"/>
    <w:rsid w:val="00A570D0"/>
    <w:rsid w:val="00A7422B"/>
    <w:rsid w:val="00A859E7"/>
    <w:rsid w:val="00A87428"/>
    <w:rsid w:val="00AC1FFE"/>
    <w:rsid w:val="00B0408F"/>
    <w:rsid w:val="00B2576B"/>
    <w:rsid w:val="00B408E1"/>
    <w:rsid w:val="00B4752E"/>
    <w:rsid w:val="00B5145D"/>
    <w:rsid w:val="00B53BE2"/>
    <w:rsid w:val="00B64606"/>
    <w:rsid w:val="00B77DD9"/>
    <w:rsid w:val="00C167F1"/>
    <w:rsid w:val="00C4308B"/>
    <w:rsid w:val="00C83060"/>
    <w:rsid w:val="00CB5795"/>
    <w:rsid w:val="00CB7346"/>
    <w:rsid w:val="00D6046A"/>
    <w:rsid w:val="00D94DC9"/>
    <w:rsid w:val="00D97363"/>
    <w:rsid w:val="00E223C9"/>
    <w:rsid w:val="00E42033"/>
    <w:rsid w:val="00E63027"/>
    <w:rsid w:val="00EC1DDC"/>
    <w:rsid w:val="00EC7ACE"/>
    <w:rsid w:val="00EF5AE0"/>
    <w:rsid w:val="00F41B39"/>
    <w:rsid w:val="00F5048E"/>
    <w:rsid w:val="00F81A31"/>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B2576"/>
    <w:rPr>
      <w:color w:val="808080"/>
    </w:rPr>
  </w:style>
  <w:style w:type="paragraph" w:customStyle="1" w:styleId="E55FE587865743AD888A0ADCA0817671">
    <w:name w:val="E55FE587865743AD888A0ADCA0817671"/>
    <w:rsid w:val="00477D2C"/>
    <w:pPr>
      <w:spacing w:after="160" w:line="259" w:lineRule="auto"/>
    </w:pPr>
  </w:style>
  <w:style w:type="paragraph" w:customStyle="1" w:styleId="21CB9B7DC66C4359A2CA242F857FAE68">
    <w:name w:val="21CB9B7DC66C4359A2CA242F857FAE68"/>
    <w:rsid w:val="000234BC"/>
    <w:pPr>
      <w:spacing w:after="160" w:line="259" w:lineRule="auto"/>
    </w:pPr>
    <w:rPr>
      <w:lang w:val="en-CA" w:eastAsia="en-CA"/>
    </w:rPr>
  </w:style>
  <w:style w:type="paragraph" w:customStyle="1" w:styleId="B412E70409DD4967B7384FE1E99C72DF">
    <w:name w:val="B412E70409DD4967B7384FE1E99C72DF"/>
    <w:pPr>
      <w:spacing w:after="160" w:line="259" w:lineRule="auto"/>
    </w:pPr>
    <w:rPr>
      <w:lang w:val="en-CA" w:eastAsia="en-CA"/>
    </w:rPr>
  </w:style>
  <w:style w:type="paragraph" w:customStyle="1" w:styleId="A7A7BA6C150348E78B587805E8080E40">
    <w:name w:val="A7A7BA6C150348E78B587805E8080E40"/>
    <w:rsid w:val="009B2576"/>
    <w:pPr>
      <w:spacing w:after="160" w:line="259" w:lineRule="auto"/>
    </w:pPr>
    <w:rPr>
      <w:lang w:val="fr-CA" w:eastAsia="fr-CA"/>
    </w:rPr>
  </w:style>
  <w:style w:type="paragraph" w:customStyle="1" w:styleId="0562C3CC07C44A1FA7A6F0313B891F4A">
    <w:name w:val="0562C3CC07C44A1FA7A6F0313B891F4A"/>
    <w:rsid w:val="009B2576"/>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1B91D4-0DAC-4A8D-AEE7-4618B0E71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4.xml><?xml version="1.0" encoding="utf-8"?>
<ds:datastoreItem xmlns:ds="http://schemas.openxmlformats.org/officeDocument/2006/customXml" ds:itemID="{3F780505-446E-427D-8308-B2B299308D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BF01FE-EBAB-4276-8BF9-9460690A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3230</Words>
  <Characters>18412</Characters>
  <Application>Microsoft Office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RAPPORT DE LA CONFÉRENCE DES PARTIES À LA CONVENTION SUR SA DEUXIÈME RÉUNION EXTRAORDINAIRE</vt:lpstr>
      <vt:lpstr>Draft report</vt:lpstr>
    </vt:vector>
  </TitlesOfParts>
  <Manager/>
  <Company>SCBD</Company>
  <LinksUpToDate>false</LinksUpToDate>
  <CharactersWithSpaces>21599</CharactersWithSpaces>
  <SharedDoc>false</SharedDoc>
  <HyperlinkBase>https://www.cbd.int/</HyperlinkBase>
  <HLinks>
    <vt:vector size="6" baseType="variant">
      <vt:variant>
        <vt:i4>917523</vt:i4>
      </vt:variant>
      <vt:variant>
        <vt:i4>0</vt:i4>
      </vt:variant>
      <vt:variant>
        <vt:i4>0</vt:i4>
      </vt:variant>
      <vt:variant>
        <vt:i4>5</vt:i4>
      </vt:variant>
      <vt:variant>
        <vt:lpwstr>https://www.cbd.int/doc/meetings/cop/excop-01/official/excop-01-03-en.pdf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CONFÉRENCE DES PARTIES À LA CONVENTION SUR SA DEUXIÈME RÉUNION EXTRAORDINAIRE</dc:title>
  <dc:subject>CBD/DEC/EM/2/1</dc:subject>
  <dc:creator>CBD/COP</dc:creator>
  <cp:keywords>Second extraordinary meeting of the Conference of the Parties to the Convention on Biological Diversity, 16-19 November 2020</cp:keywords>
  <dc:description/>
  <cp:lastModifiedBy>Xue He Yan</cp:lastModifiedBy>
  <cp:revision>3</cp:revision>
  <cp:lastPrinted>2020-12-04T16:05:00Z</cp:lastPrinted>
  <dcterms:created xsi:type="dcterms:W3CDTF">2022-02-11T01:42:00Z</dcterms:created>
  <dcterms:modified xsi:type="dcterms:W3CDTF">2022-02-11T14:36:00Z</dcterms:modified>
  <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