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9C4E9E" w:rsidRPr="00B275AD" w14:paraId="31FC0DF3" w14:textId="77777777" w:rsidTr="00527836">
        <w:trPr>
          <w:trHeight w:val="709"/>
        </w:trPr>
        <w:tc>
          <w:tcPr>
            <w:tcW w:w="976" w:type="dxa"/>
            <w:tcBorders>
              <w:bottom w:val="single" w:sz="12" w:space="0" w:color="auto"/>
            </w:tcBorders>
          </w:tcPr>
          <w:p w14:paraId="76C41999" w14:textId="77777777" w:rsidR="009C4E9E" w:rsidRPr="00B275AD" w:rsidRDefault="009C4E9E" w:rsidP="00527836">
            <w:pPr>
              <w:rPr>
                <w:kern w:val="22"/>
              </w:rPr>
            </w:pPr>
            <w:r w:rsidRPr="00B275AD">
              <w:rPr>
                <w:noProof/>
                <w:kern w:val="22"/>
              </w:rPr>
              <w:drawing>
                <wp:inline distT="0" distB="0" distL="0" distR="0" wp14:anchorId="661E1A5C" wp14:editId="2BE6322F">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5C16F645" w14:textId="77777777" w:rsidR="009C4E9E" w:rsidRPr="00B275AD" w:rsidRDefault="009C4E9E" w:rsidP="00527836">
            <w:pPr>
              <w:rPr>
                <w:kern w:val="22"/>
              </w:rPr>
            </w:pPr>
            <w:r w:rsidRPr="00B275AD">
              <w:rPr>
                <w:noProof/>
                <w:kern w:val="22"/>
              </w:rPr>
              <w:drawing>
                <wp:inline distT="0" distB="0" distL="0" distR="0" wp14:anchorId="39200B18" wp14:editId="1D565F47">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14:paraId="77F2A049" w14:textId="77777777" w:rsidR="009C4E9E" w:rsidRPr="00B275AD" w:rsidRDefault="009C4E9E" w:rsidP="00527836">
            <w:pPr>
              <w:jc w:val="right"/>
              <w:rPr>
                <w:rFonts w:ascii="Arial" w:hAnsi="Arial" w:cs="Arial"/>
                <w:b/>
                <w:kern w:val="22"/>
                <w:sz w:val="32"/>
                <w:szCs w:val="32"/>
              </w:rPr>
            </w:pPr>
            <w:r w:rsidRPr="00B275AD">
              <w:rPr>
                <w:rFonts w:ascii="Arial" w:hAnsi="Arial" w:cs="Arial"/>
                <w:b/>
                <w:kern w:val="22"/>
                <w:sz w:val="32"/>
                <w:szCs w:val="32"/>
              </w:rPr>
              <w:t>CBD</w:t>
            </w:r>
          </w:p>
        </w:tc>
      </w:tr>
      <w:tr w:rsidR="009C4E9E" w:rsidRPr="00D52C15" w14:paraId="6B097D70" w14:textId="77777777" w:rsidTr="00527836">
        <w:tc>
          <w:tcPr>
            <w:tcW w:w="6117" w:type="dxa"/>
            <w:gridSpan w:val="2"/>
            <w:tcBorders>
              <w:top w:val="single" w:sz="12" w:space="0" w:color="auto"/>
              <w:bottom w:val="single" w:sz="36" w:space="0" w:color="auto"/>
            </w:tcBorders>
            <w:vAlign w:val="center"/>
          </w:tcPr>
          <w:p w14:paraId="2DAFFFD1" w14:textId="77777777" w:rsidR="009C4E9E" w:rsidRPr="00B275AD" w:rsidRDefault="009C4E9E" w:rsidP="00527836">
            <w:pPr>
              <w:rPr>
                <w:kern w:val="22"/>
              </w:rPr>
            </w:pPr>
            <w:r w:rsidRPr="00B275AD">
              <w:rPr>
                <w:noProof/>
                <w:kern w:val="22"/>
              </w:rPr>
              <w:drawing>
                <wp:inline distT="0" distB="0" distL="0" distR="0" wp14:anchorId="1591EC2E" wp14:editId="1A1E5BD5">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53F5B4EA" w14:textId="77777777" w:rsidR="009C4E9E" w:rsidRPr="00B275AD" w:rsidRDefault="009C4E9E" w:rsidP="00527836">
            <w:pPr>
              <w:ind w:left="1215"/>
              <w:rPr>
                <w:kern w:val="22"/>
                <w:szCs w:val="22"/>
              </w:rPr>
            </w:pPr>
            <w:r w:rsidRPr="00B275AD">
              <w:rPr>
                <w:kern w:val="22"/>
                <w:szCs w:val="22"/>
              </w:rPr>
              <w:t>Distr.</w:t>
            </w:r>
          </w:p>
          <w:p w14:paraId="142A537F" w14:textId="250E2B73" w:rsidR="009C4E9E" w:rsidRPr="00B275AD" w:rsidRDefault="00D52C15" w:rsidP="00527836">
            <w:pPr>
              <w:ind w:left="1215"/>
              <w:rPr>
                <w:kern w:val="22"/>
                <w:szCs w:val="22"/>
              </w:rPr>
            </w:pPr>
            <w:sdt>
              <w:sdtPr>
                <w:rPr>
                  <w:kern w:val="22"/>
                  <w:szCs w:val="22"/>
                </w:rPr>
                <w:alias w:val="Status"/>
                <w:tag w:val=""/>
                <w:id w:val="307985777"/>
                <w:placeholder>
                  <w:docPart w:val="91DED97518A844849C3049F4104C0F1C"/>
                </w:placeholder>
                <w:dataBinding w:prefixMappings="xmlns:ns0='http://purl.org/dc/elements/1.1/' xmlns:ns1='http://schemas.openxmlformats.org/package/2006/metadata/core-properties' " w:xpath="/ns1:coreProperties[1]/ns1:contentStatus[1]" w:storeItemID="{6C3C8BC8-F283-45AE-878A-BAB7291924A1}"/>
                <w:text/>
              </w:sdtPr>
              <w:sdtEndPr/>
              <w:sdtContent>
                <w:r w:rsidR="009C4E9E" w:rsidRPr="00B275AD">
                  <w:rPr>
                    <w:kern w:val="22"/>
                    <w:szCs w:val="22"/>
                  </w:rPr>
                  <w:t>GENERAL</w:t>
                </w:r>
              </w:sdtContent>
            </w:sdt>
          </w:p>
          <w:p w14:paraId="36D1E47D" w14:textId="77777777" w:rsidR="009C4E9E" w:rsidRPr="00B275AD" w:rsidRDefault="009C4E9E" w:rsidP="00527836">
            <w:pPr>
              <w:ind w:left="1215"/>
              <w:rPr>
                <w:kern w:val="22"/>
                <w:szCs w:val="22"/>
              </w:rPr>
            </w:pPr>
          </w:p>
          <w:p w14:paraId="2D374F7A" w14:textId="107B4A17" w:rsidR="009C4E9E" w:rsidRPr="00B275AD" w:rsidRDefault="00D52C15" w:rsidP="00527836">
            <w:pPr>
              <w:ind w:left="1215"/>
              <w:rPr>
                <w:kern w:val="22"/>
                <w:szCs w:val="22"/>
              </w:rPr>
            </w:pPr>
            <w:sdt>
              <w:sdtPr>
                <w:rPr>
                  <w:kern w:val="22"/>
                </w:rPr>
                <w:alias w:val="Subject"/>
                <w:tag w:val=""/>
                <w:id w:val="2137136483"/>
                <w:placeholder>
                  <w:docPart w:val="A73960B8FC054FE88B044F1DA4A5C1AE"/>
                </w:placeholder>
                <w:dataBinding w:prefixMappings="xmlns:ns0='http://purl.org/dc/elements/1.1/' xmlns:ns1='http://schemas.openxmlformats.org/package/2006/metadata/core-properties' " w:xpath="/ns1:coreProperties[1]/ns0:subject[1]" w:storeItemID="{6C3C8BC8-F283-45AE-878A-BAB7291924A1}"/>
                <w:text/>
              </w:sdtPr>
              <w:sdtEndPr/>
              <w:sdtContent>
                <w:r w:rsidR="009C4E9E" w:rsidRPr="00B275AD">
                  <w:rPr>
                    <w:kern w:val="22"/>
                  </w:rPr>
                  <w:t>CBD/COP/</w:t>
                </w:r>
                <w:r w:rsidR="00BB2725" w:rsidRPr="00B275AD">
                  <w:rPr>
                    <w:kern w:val="22"/>
                  </w:rPr>
                  <w:t>DEC/</w:t>
                </w:r>
                <w:r w:rsidR="009C4E9E" w:rsidRPr="00B275AD">
                  <w:rPr>
                    <w:kern w:val="22"/>
                  </w:rPr>
                  <w:t>14/</w:t>
                </w:r>
                <w:r w:rsidR="00BB2725" w:rsidRPr="00B275AD">
                  <w:rPr>
                    <w:kern w:val="22"/>
                  </w:rPr>
                  <w:t>2</w:t>
                </w:r>
              </w:sdtContent>
            </w:sdt>
          </w:p>
          <w:p w14:paraId="3DF0BA69" w14:textId="5FFC168E" w:rsidR="009C4E9E" w:rsidRPr="00CB467D" w:rsidRDefault="000F24A5" w:rsidP="00527836">
            <w:pPr>
              <w:ind w:left="1215"/>
              <w:rPr>
                <w:kern w:val="22"/>
                <w:szCs w:val="22"/>
              </w:rPr>
            </w:pPr>
            <w:r w:rsidRPr="00B275AD">
              <w:rPr>
                <w:kern w:val="22"/>
                <w:szCs w:val="22"/>
              </w:rPr>
              <w:t xml:space="preserve">30 </w:t>
            </w:r>
            <w:r w:rsidR="009C4E9E" w:rsidRPr="00CB467D">
              <w:rPr>
                <w:kern w:val="22"/>
                <w:szCs w:val="22"/>
              </w:rPr>
              <w:t>November 2018</w:t>
            </w:r>
          </w:p>
          <w:p w14:paraId="572C25BC" w14:textId="77777777" w:rsidR="009C4E9E" w:rsidRPr="00CB467D" w:rsidRDefault="009C4E9E" w:rsidP="00527836">
            <w:pPr>
              <w:ind w:left="1215"/>
              <w:rPr>
                <w:kern w:val="22"/>
                <w:szCs w:val="22"/>
              </w:rPr>
            </w:pPr>
          </w:p>
          <w:p w14:paraId="53B08419" w14:textId="77777777" w:rsidR="009C4E9E" w:rsidRPr="00D52C15" w:rsidRDefault="009C4E9E" w:rsidP="00527836">
            <w:pPr>
              <w:ind w:left="1215"/>
              <w:rPr>
                <w:kern w:val="22"/>
                <w:szCs w:val="22"/>
              </w:rPr>
            </w:pPr>
            <w:r w:rsidRPr="00D52C15">
              <w:rPr>
                <w:kern w:val="22"/>
                <w:szCs w:val="22"/>
              </w:rPr>
              <w:t>ORIGINAL: ENGLISH</w:t>
            </w:r>
          </w:p>
          <w:p w14:paraId="35C89504" w14:textId="77777777" w:rsidR="009C4E9E" w:rsidRPr="00D52C15" w:rsidRDefault="009C4E9E" w:rsidP="00527836">
            <w:pPr>
              <w:rPr>
                <w:kern w:val="22"/>
              </w:rPr>
            </w:pPr>
          </w:p>
        </w:tc>
      </w:tr>
    </w:tbl>
    <w:p w14:paraId="1DC2F3CC" w14:textId="77777777" w:rsidR="0061445E" w:rsidRPr="00D52C15" w:rsidRDefault="0061445E" w:rsidP="00074981">
      <w:pPr>
        <w:pStyle w:val="NoSpacing"/>
        <w:suppressLineNumbers/>
        <w:suppressAutoHyphens/>
        <w:ind w:left="142" w:right="4682" w:hanging="142"/>
        <w:rPr>
          <w:rFonts w:ascii="Times New Roman" w:hAnsi="Times New Roman"/>
          <w:kern w:val="22"/>
          <w:lang w:val="en-GB"/>
        </w:rPr>
      </w:pPr>
      <w:r w:rsidRPr="00D52C15">
        <w:rPr>
          <w:rFonts w:ascii="Times New Roman" w:hAnsi="Times New Roman"/>
          <w:kern w:val="22"/>
          <w:lang w:val="en-GB"/>
        </w:rPr>
        <w:t>CONFERENCE OF THE PARTIES TO THE CONVENTION ON BIOLOGICAL DIVERSITY</w:t>
      </w:r>
    </w:p>
    <w:p w14:paraId="5B0F9F9E" w14:textId="77777777" w:rsidR="0061445E" w:rsidRPr="00D52C15" w:rsidRDefault="0061445E" w:rsidP="00074981">
      <w:pPr>
        <w:pStyle w:val="NoSpacing"/>
        <w:suppressLineNumbers/>
        <w:suppressAutoHyphens/>
        <w:rPr>
          <w:rFonts w:ascii="Times New Roman" w:hAnsi="Times New Roman"/>
          <w:kern w:val="22"/>
          <w:lang w:val="en-GB"/>
        </w:rPr>
      </w:pPr>
      <w:r w:rsidRPr="00D52C15">
        <w:rPr>
          <w:rFonts w:ascii="Times New Roman" w:hAnsi="Times New Roman"/>
          <w:kern w:val="22"/>
          <w:lang w:val="en-GB"/>
        </w:rPr>
        <w:t>Fourteenth meeting</w:t>
      </w:r>
    </w:p>
    <w:p w14:paraId="016B4752" w14:textId="69877497" w:rsidR="0061445E" w:rsidRPr="00D52C15" w:rsidRDefault="00F77237" w:rsidP="00074981">
      <w:pPr>
        <w:pStyle w:val="NoSpacing"/>
        <w:suppressLineNumbers/>
        <w:suppressAutoHyphens/>
        <w:rPr>
          <w:rFonts w:ascii="Times New Roman" w:hAnsi="Times New Roman"/>
          <w:kern w:val="22"/>
          <w:lang w:val="en-GB"/>
        </w:rPr>
      </w:pPr>
      <w:r w:rsidRPr="00D52C15">
        <w:rPr>
          <w:rFonts w:ascii="Times New Roman" w:hAnsi="Times New Roman"/>
          <w:kern w:val="22"/>
          <w:lang w:val="en-GB"/>
        </w:rPr>
        <w:t>Sharm</w:t>
      </w:r>
      <w:r w:rsidR="009904C1" w:rsidRPr="00D52C15">
        <w:rPr>
          <w:rFonts w:ascii="Times New Roman" w:hAnsi="Times New Roman"/>
          <w:kern w:val="22"/>
          <w:lang w:val="en-GB"/>
        </w:rPr>
        <w:t xml:space="preserve"> </w:t>
      </w:r>
      <w:r w:rsidRPr="00D52C15">
        <w:rPr>
          <w:rFonts w:ascii="Times New Roman" w:hAnsi="Times New Roman"/>
          <w:kern w:val="22"/>
          <w:lang w:val="en-GB"/>
        </w:rPr>
        <w:t>E</w:t>
      </w:r>
      <w:r w:rsidR="0061445E" w:rsidRPr="00D52C15">
        <w:rPr>
          <w:rFonts w:ascii="Times New Roman" w:hAnsi="Times New Roman"/>
          <w:kern w:val="22"/>
          <w:lang w:val="en-GB"/>
        </w:rPr>
        <w:t>l-Sheikh, Egypt, 17-29 November 2018</w:t>
      </w:r>
    </w:p>
    <w:p w14:paraId="0B9BBCE1" w14:textId="6088051B" w:rsidR="00C9161D" w:rsidRPr="00D52C15" w:rsidRDefault="00405146" w:rsidP="00074981">
      <w:pPr>
        <w:suppressLineNumbers/>
        <w:suppressAutoHyphens/>
        <w:rPr>
          <w:kern w:val="22"/>
          <w:szCs w:val="22"/>
        </w:rPr>
      </w:pPr>
      <w:r w:rsidRPr="00D52C15">
        <w:rPr>
          <w:kern w:val="22"/>
          <w:szCs w:val="22"/>
        </w:rPr>
        <w:t xml:space="preserve">Agenda item </w:t>
      </w:r>
      <w:r w:rsidR="0094726F" w:rsidRPr="00D52C15">
        <w:rPr>
          <w:kern w:val="22"/>
          <w:szCs w:val="22"/>
        </w:rPr>
        <w:t>17</w:t>
      </w:r>
    </w:p>
    <w:p w14:paraId="27F3FD44" w14:textId="7387E55A" w:rsidR="00A0261D" w:rsidRPr="00D52C15" w:rsidRDefault="00A0261D" w:rsidP="00D52C15">
      <w:pPr>
        <w:suppressLineNumbers/>
        <w:suppressAutoHyphens/>
        <w:spacing w:before="240" w:after="120"/>
        <w:jc w:val="center"/>
        <w:rPr>
          <w:rFonts w:ascii="Times New Roman Bold" w:hAnsi="Times New Roman Bold"/>
          <w:b/>
          <w:caps/>
          <w:kern w:val="22"/>
          <w:szCs w:val="22"/>
          <w:lang w:eastAsia="en-CA"/>
        </w:rPr>
      </w:pPr>
      <w:r w:rsidRPr="00D52C15">
        <w:rPr>
          <w:rFonts w:ascii="Times New Roman Bold" w:hAnsi="Times New Roman Bold"/>
          <w:b/>
          <w:caps/>
          <w:kern w:val="22"/>
          <w:szCs w:val="22"/>
          <w:lang w:eastAsia="en-CA"/>
        </w:rPr>
        <w:t>Decision adopted by the Conference of the Parties to the Convention on Biological Diversity</w:t>
      </w:r>
    </w:p>
    <w:p w14:paraId="3AEC2A63" w14:textId="268390FE" w:rsidR="00176CEE" w:rsidRPr="00B275AD" w:rsidRDefault="00A0261D" w:rsidP="00074981">
      <w:pPr>
        <w:suppressLineNumbers/>
        <w:suppressAutoHyphens/>
        <w:spacing w:before="120" w:after="120"/>
        <w:jc w:val="center"/>
        <w:rPr>
          <w:b/>
          <w:caps/>
          <w:kern w:val="22"/>
          <w:szCs w:val="22"/>
        </w:rPr>
      </w:pPr>
      <w:sdt>
        <w:sdtPr>
          <w:rPr>
            <w:b/>
            <w:kern w:val="22"/>
            <w:szCs w:val="22"/>
          </w:rPr>
          <w:alias w:val="Title"/>
          <w:tag w:val=""/>
          <w:id w:val="-1152751626"/>
          <w:placeholder>
            <w:docPart w:val="679CE8EAAFB042B7B3A147BC73AE1600"/>
          </w:placeholder>
          <w:dataBinding w:prefixMappings="xmlns:ns0='http://purl.org/dc/elements/1.1/' xmlns:ns1='http://schemas.openxmlformats.org/package/2006/metadata/core-properties' " w:xpath="/ns1:coreProperties[1]/ns0:title[1]" w:storeItemID="{6C3C8BC8-F283-45AE-878A-BAB7291924A1}"/>
          <w:text/>
        </w:sdtPr>
        <w:sdtContent>
          <w:r w:rsidRPr="00B275AD">
            <w:rPr>
              <w:b/>
              <w:kern w:val="22"/>
              <w:szCs w:val="22"/>
            </w:rPr>
            <w:t>14/2.</w:t>
          </w:r>
          <w:r w:rsidRPr="00B275AD">
            <w:rPr>
              <w:b/>
              <w:kern w:val="22"/>
              <w:szCs w:val="22"/>
            </w:rPr>
            <w:tab/>
            <w:t>Scenarios for the 2050 Vision for Biodiversity</w:t>
          </w:r>
        </w:sdtContent>
      </w:sdt>
    </w:p>
    <w:p w14:paraId="263A3245" w14:textId="77777777" w:rsidR="005D6921" w:rsidRPr="00CB467D" w:rsidRDefault="005D6921" w:rsidP="00074981">
      <w:pPr>
        <w:pStyle w:val="Para1"/>
        <w:keepNext/>
        <w:numPr>
          <w:ilvl w:val="0"/>
          <w:numId w:val="0"/>
        </w:numPr>
        <w:suppressLineNumbers/>
        <w:suppressAutoHyphens/>
        <w:ind w:firstLine="720"/>
        <w:rPr>
          <w:i/>
          <w:snapToGrid/>
          <w:kern w:val="22"/>
          <w:szCs w:val="22"/>
        </w:rPr>
      </w:pPr>
      <w:r w:rsidRPr="00CB467D">
        <w:rPr>
          <w:i/>
          <w:snapToGrid/>
          <w:kern w:val="22"/>
          <w:szCs w:val="22"/>
        </w:rPr>
        <w:t>The Conference of the Parties</w:t>
      </w:r>
    </w:p>
    <w:p w14:paraId="078B64B2" w14:textId="26CCDA20" w:rsidR="004D1871" w:rsidRPr="00CB467D" w:rsidRDefault="006A135A" w:rsidP="00074981">
      <w:pPr>
        <w:pStyle w:val="Para1"/>
        <w:numPr>
          <w:ilvl w:val="0"/>
          <w:numId w:val="0"/>
        </w:numPr>
        <w:suppressLineNumbers/>
        <w:suppressAutoHyphens/>
        <w:ind w:firstLine="720"/>
        <w:rPr>
          <w:snapToGrid/>
          <w:kern w:val="22"/>
          <w:szCs w:val="22"/>
        </w:rPr>
      </w:pPr>
      <w:bookmarkStart w:id="0" w:name="_Toc522023215"/>
      <w:r w:rsidRPr="00CB467D">
        <w:rPr>
          <w:snapToGrid/>
          <w:kern w:val="22"/>
          <w:szCs w:val="22"/>
        </w:rPr>
        <w:t>1.</w:t>
      </w:r>
      <w:r w:rsidRPr="00CB467D">
        <w:rPr>
          <w:i/>
          <w:snapToGrid/>
          <w:kern w:val="22"/>
          <w:szCs w:val="22"/>
        </w:rPr>
        <w:tab/>
      </w:r>
      <w:r w:rsidR="00F70F66" w:rsidRPr="00776B4A">
        <w:rPr>
          <w:i/>
          <w:snapToGrid/>
          <w:kern w:val="22"/>
          <w:szCs w:val="22"/>
        </w:rPr>
        <w:t>Welcomes</w:t>
      </w:r>
      <w:r w:rsidR="00C456B3" w:rsidRPr="00776B4A">
        <w:rPr>
          <w:i/>
          <w:snapToGrid/>
          <w:kern w:val="22"/>
          <w:szCs w:val="22"/>
        </w:rPr>
        <w:t xml:space="preserve"> </w:t>
      </w:r>
      <w:r w:rsidRPr="00776B4A">
        <w:rPr>
          <w:snapToGrid/>
          <w:kern w:val="22"/>
          <w:szCs w:val="22"/>
        </w:rPr>
        <w:t>the conclusions of the Subsidi</w:t>
      </w:r>
      <w:r w:rsidR="00B275AD">
        <w:rPr>
          <w:snapToGrid/>
          <w:kern w:val="22"/>
          <w:szCs w:val="22"/>
        </w:rPr>
        <w:t>a</w:t>
      </w:r>
      <w:r w:rsidRPr="00B275AD">
        <w:rPr>
          <w:snapToGrid/>
          <w:kern w:val="22"/>
          <w:szCs w:val="22"/>
        </w:rPr>
        <w:t>r</w:t>
      </w:r>
      <w:r w:rsidRPr="00CB467D">
        <w:rPr>
          <w:snapToGrid/>
          <w:kern w:val="22"/>
          <w:szCs w:val="22"/>
        </w:rPr>
        <w:t xml:space="preserve">y Body on Scientific, Technical and Technological Advice regarding scenarios for the 2050 Vision for Biodiversity contained </w:t>
      </w:r>
      <w:r w:rsidRPr="00CB467D">
        <w:rPr>
          <w:rFonts w:eastAsia="Malgun Gothic"/>
          <w:snapToGrid/>
          <w:kern w:val="22"/>
          <w:szCs w:val="22"/>
        </w:rPr>
        <w:t>the annex to the present decision</w:t>
      </w:r>
      <w:r w:rsidR="00584542" w:rsidRPr="00D52C15">
        <w:rPr>
          <w:rFonts w:eastAsia="Malgun Gothic"/>
          <w:snapToGrid/>
          <w:kern w:val="22"/>
          <w:szCs w:val="22"/>
        </w:rPr>
        <w:t>,</w:t>
      </w:r>
      <w:r w:rsidRPr="00D52C15">
        <w:rPr>
          <w:rFonts w:eastAsia="Malgun Gothic"/>
          <w:snapToGrid/>
          <w:kern w:val="22"/>
          <w:szCs w:val="22"/>
        </w:rPr>
        <w:t xml:space="preserve"> </w:t>
      </w:r>
      <w:r w:rsidR="00892D8D" w:rsidRPr="00D52C15">
        <w:rPr>
          <w:rFonts w:eastAsia="Malgun Gothic"/>
          <w:snapToGrid/>
          <w:kern w:val="22"/>
          <w:szCs w:val="22"/>
        </w:rPr>
        <w:t xml:space="preserve">and </w:t>
      </w:r>
      <w:r w:rsidR="00892D8D" w:rsidRPr="00D52C15">
        <w:rPr>
          <w:rFonts w:eastAsia="Malgun Gothic"/>
          <w:i/>
          <w:snapToGrid/>
          <w:kern w:val="22"/>
          <w:szCs w:val="22"/>
        </w:rPr>
        <w:t>takes</w:t>
      </w:r>
      <w:r w:rsidR="00892D8D" w:rsidRPr="00D52C15">
        <w:rPr>
          <w:rFonts w:eastAsia="Malgun Gothic"/>
          <w:snapToGrid/>
          <w:kern w:val="22"/>
          <w:szCs w:val="22"/>
        </w:rPr>
        <w:t xml:space="preserve"> </w:t>
      </w:r>
      <w:r w:rsidR="00892D8D" w:rsidRPr="00D52C15">
        <w:rPr>
          <w:rFonts w:eastAsia="Malgun Gothic"/>
          <w:i/>
          <w:snapToGrid/>
          <w:kern w:val="22"/>
          <w:szCs w:val="22"/>
        </w:rPr>
        <w:t>note</w:t>
      </w:r>
      <w:r w:rsidR="00892D8D" w:rsidRPr="00D52C15">
        <w:rPr>
          <w:rFonts w:eastAsia="Malgun Gothic"/>
          <w:snapToGrid/>
          <w:kern w:val="22"/>
          <w:szCs w:val="22"/>
        </w:rPr>
        <w:t xml:space="preserve"> of</w:t>
      </w:r>
      <w:r w:rsidRPr="00D52C15">
        <w:rPr>
          <w:snapToGrid/>
          <w:kern w:val="22"/>
          <w:szCs w:val="22"/>
        </w:rPr>
        <w:t xml:space="preserve"> the information contained in the notes by the Executive Secretary and supporting information documents,</w:t>
      </w:r>
      <w:r w:rsidRPr="00B275AD">
        <w:rPr>
          <w:rStyle w:val="FootnoteReference"/>
          <w:rFonts w:eastAsiaTheme="majorEastAsia"/>
          <w:snapToGrid/>
          <w:kern w:val="22"/>
          <w:szCs w:val="22"/>
        </w:rPr>
        <w:footnoteReference w:id="1"/>
      </w:r>
      <w:r w:rsidRPr="00B275AD">
        <w:rPr>
          <w:snapToGrid/>
          <w:kern w:val="22"/>
          <w:szCs w:val="22"/>
        </w:rPr>
        <w:t xml:space="preserve"> </w:t>
      </w:r>
      <w:r w:rsidR="00FD0386" w:rsidRPr="00B275AD">
        <w:rPr>
          <w:snapToGrid/>
          <w:kern w:val="22"/>
          <w:szCs w:val="22"/>
        </w:rPr>
        <w:t>and</w:t>
      </w:r>
      <w:r w:rsidR="004D1871" w:rsidRPr="00B275AD">
        <w:rPr>
          <w:snapToGrid/>
          <w:kern w:val="22"/>
          <w:szCs w:val="22"/>
        </w:rPr>
        <w:t xml:space="preserve"> </w:t>
      </w:r>
      <w:r w:rsidR="003777A8" w:rsidRPr="00CB467D">
        <w:rPr>
          <w:snapToGrid/>
          <w:kern w:val="22"/>
          <w:szCs w:val="22"/>
        </w:rPr>
        <w:t xml:space="preserve">of </w:t>
      </w:r>
      <w:r w:rsidR="004D1871" w:rsidRPr="00CB467D">
        <w:rPr>
          <w:snapToGrid/>
          <w:kern w:val="22"/>
          <w:szCs w:val="22"/>
        </w:rPr>
        <w:t xml:space="preserve">the </w:t>
      </w:r>
      <w:r w:rsidR="00FD0386" w:rsidRPr="00CB467D">
        <w:rPr>
          <w:i/>
          <w:snapToGrid/>
          <w:kern w:val="22"/>
          <w:szCs w:val="22"/>
        </w:rPr>
        <w:t>Assessment Report on Scenarios and Models of Biodiversity and Ecosystem Services</w:t>
      </w:r>
      <w:r w:rsidR="00FD0386" w:rsidRPr="00CB467D">
        <w:rPr>
          <w:snapToGrid/>
          <w:kern w:val="22"/>
          <w:szCs w:val="22"/>
        </w:rPr>
        <w:t xml:space="preserve"> of the Intergovernmental Science-Policy Platform on Biodiversity and Ecosystem Services,</w:t>
      </w:r>
      <w:r w:rsidR="00A33E59" w:rsidRPr="00B275AD">
        <w:rPr>
          <w:rStyle w:val="FootnoteReference"/>
          <w:snapToGrid/>
          <w:kern w:val="22"/>
          <w:szCs w:val="22"/>
        </w:rPr>
        <w:footnoteReference w:id="2"/>
      </w:r>
      <w:r w:rsidR="00FD0386" w:rsidRPr="00B275AD">
        <w:rPr>
          <w:snapToGrid/>
          <w:kern w:val="22"/>
          <w:szCs w:val="22"/>
        </w:rPr>
        <w:t xml:space="preserve"> </w:t>
      </w:r>
      <w:r w:rsidRPr="00B275AD">
        <w:rPr>
          <w:iCs/>
          <w:snapToGrid/>
          <w:kern w:val="22"/>
          <w:szCs w:val="22"/>
        </w:rPr>
        <w:t>noting</w:t>
      </w:r>
      <w:r w:rsidRPr="00B275AD">
        <w:rPr>
          <w:snapToGrid/>
          <w:kern w:val="22"/>
          <w:szCs w:val="22"/>
        </w:rPr>
        <w:t xml:space="preserve"> their relevance to the discussions on the long-term strategic directions to the 2050 Vision for Biodiversity, approaches to living in harmony with nature and the process of developing a post-2020 global biodiversity f</w:t>
      </w:r>
      <w:r w:rsidRPr="00CB467D">
        <w:rPr>
          <w:snapToGrid/>
          <w:kern w:val="22"/>
          <w:szCs w:val="22"/>
        </w:rPr>
        <w:t>ramework;</w:t>
      </w:r>
    </w:p>
    <w:p w14:paraId="1A2950F4" w14:textId="77777777" w:rsidR="006A135A" w:rsidRPr="00D52C15" w:rsidRDefault="006A135A" w:rsidP="00074981">
      <w:pPr>
        <w:pStyle w:val="Para1"/>
        <w:numPr>
          <w:ilvl w:val="0"/>
          <w:numId w:val="0"/>
        </w:numPr>
        <w:suppressLineNumbers/>
        <w:suppressAutoHyphens/>
        <w:ind w:firstLine="720"/>
        <w:rPr>
          <w:rFonts w:eastAsia="Malgun Gothic"/>
          <w:i/>
          <w:snapToGrid/>
          <w:kern w:val="22"/>
          <w:szCs w:val="22"/>
        </w:rPr>
      </w:pPr>
      <w:r w:rsidRPr="00CB467D">
        <w:rPr>
          <w:rFonts w:eastAsia="Malgun Gothic"/>
          <w:snapToGrid/>
          <w:kern w:val="22"/>
          <w:szCs w:val="22"/>
        </w:rPr>
        <w:t>2.</w:t>
      </w:r>
      <w:r w:rsidRPr="00CB467D">
        <w:rPr>
          <w:rFonts w:eastAsia="Malgun Gothic"/>
          <w:i/>
          <w:snapToGrid/>
          <w:kern w:val="22"/>
          <w:szCs w:val="22"/>
        </w:rPr>
        <w:tab/>
        <w:t>Invites</w:t>
      </w:r>
      <w:r w:rsidRPr="00564AA2">
        <w:rPr>
          <w:rFonts w:eastAsia="Malgun Gothic"/>
          <w:iCs/>
          <w:snapToGrid/>
          <w:kern w:val="22"/>
          <w:szCs w:val="22"/>
        </w:rPr>
        <w:t xml:space="preserve"> </w:t>
      </w:r>
      <w:r w:rsidRPr="00564AA2">
        <w:rPr>
          <w:rFonts w:eastAsia="Malgun Gothic"/>
          <w:snapToGrid/>
          <w:kern w:val="22"/>
          <w:szCs w:val="22"/>
        </w:rPr>
        <w:t xml:space="preserve">the scientific and other relevant communities working on scenarios and related assessments to </w:t>
      </w:r>
      <w:proofErr w:type="gramStart"/>
      <w:r w:rsidRPr="00564AA2">
        <w:rPr>
          <w:rFonts w:eastAsia="Malgun Gothic"/>
          <w:snapToGrid/>
          <w:kern w:val="22"/>
          <w:szCs w:val="22"/>
        </w:rPr>
        <w:t>take into account</w:t>
      </w:r>
      <w:proofErr w:type="gramEnd"/>
      <w:r w:rsidRPr="00564AA2">
        <w:rPr>
          <w:rFonts w:eastAsia="Malgun Gothic"/>
          <w:snapToGrid/>
          <w:kern w:val="22"/>
          <w:szCs w:val="22"/>
        </w:rPr>
        <w:t xml:space="preserve"> the following issues which are relevant to the development of the post-2020 global biodiversity framework:</w:t>
      </w:r>
    </w:p>
    <w:p w14:paraId="3E1363A1" w14:textId="77777777" w:rsidR="006A135A" w:rsidRPr="00D52C15" w:rsidRDefault="006A135A" w:rsidP="00074981">
      <w:pPr>
        <w:pStyle w:val="Para1"/>
        <w:numPr>
          <w:ilvl w:val="0"/>
          <w:numId w:val="0"/>
        </w:numPr>
        <w:suppressLineNumbers/>
        <w:suppressAutoHyphens/>
        <w:ind w:firstLine="720"/>
        <w:rPr>
          <w:rFonts w:eastAsia="Malgun Gothic"/>
          <w:kern w:val="22"/>
          <w:szCs w:val="22"/>
        </w:rPr>
      </w:pPr>
      <w:r w:rsidRPr="00D52C15">
        <w:rPr>
          <w:rFonts w:eastAsia="Malgun Gothic"/>
          <w:kern w:val="22"/>
          <w:szCs w:val="22"/>
        </w:rPr>
        <w:t>(a)</w:t>
      </w:r>
      <w:r w:rsidRPr="00D52C15">
        <w:rPr>
          <w:rFonts w:eastAsia="Malgun Gothic"/>
          <w:kern w:val="22"/>
          <w:szCs w:val="22"/>
        </w:rPr>
        <w:tab/>
        <w:t>The broad range of underlying drivers and systemic and structural issues related to biodiversity loss;</w:t>
      </w:r>
    </w:p>
    <w:p w14:paraId="08E1D9CE" w14:textId="77777777" w:rsidR="006A135A" w:rsidRPr="00D52C15" w:rsidRDefault="006A135A" w:rsidP="00074981">
      <w:pPr>
        <w:pStyle w:val="Para1"/>
        <w:numPr>
          <w:ilvl w:val="0"/>
          <w:numId w:val="0"/>
        </w:numPr>
        <w:suppressLineNumbers/>
        <w:suppressAutoHyphens/>
        <w:ind w:firstLine="720"/>
        <w:rPr>
          <w:rFonts w:eastAsia="Malgun Gothic"/>
          <w:kern w:val="22"/>
          <w:szCs w:val="22"/>
        </w:rPr>
      </w:pPr>
      <w:r w:rsidRPr="00D52C15">
        <w:rPr>
          <w:rFonts w:eastAsia="Malgun Gothic"/>
          <w:kern w:val="22"/>
          <w:szCs w:val="22"/>
        </w:rPr>
        <w:t>(b)</w:t>
      </w:r>
      <w:r w:rsidRPr="00D52C15">
        <w:rPr>
          <w:rFonts w:eastAsia="Malgun Gothic"/>
          <w:kern w:val="22"/>
          <w:szCs w:val="22"/>
        </w:rPr>
        <w:tab/>
        <w:t>Combinations of policy approaches at multiple scales and under different scenarios;</w:t>
      </w:r>
    </w:p>
    <w:p w14:paraId="5B6D5DCB" w14:textId="77777777" w:rsidR="006A135A" w:rsidRPr="00D52C15" w:rsidRDefault="006A135A" w:rsidP="00074981">
      <w:pPr>
        <w:pStyle w:val="Para1"/>
        <w:numPr>
          <w:ilvl w:val="0"/>
          <w:numId w:val="0"/>
        </w:numPr>
        <w:suppressLineNumbers/>
        <w:suppressAutoHyphens/>
        <w:ind w:firstLine="720"/>
        <w:rPr>
          <w:rFonts w:eastAsia="Malgun Gothic"/>
          <w:kern w:val="22"/>
          <w:szCs w:val="22"/>
        </w:rPr>
      </w:pPr>
      <w:r w:rsidRPr="00D52C15">
        <w:rPr>
          <w:rFonts w:eastAsia="Malgun Gothic"/>
          <w:kern w:val="22"/>
          <w:szCs w:val="22"/>
        </w:rPr>
        <w:t>(c)</w:t>
      </w:r>
      <w:r w:rsidRPr="00D52C15">
        <w:rPr>
          <w:rFonts w:eastAsia="Malgun Gothic"/>
          <w:kern w:val="22"/>
          <w:szCs w:val="22"/>
        </w:rPr>
        <w:tab/>
        <w:t xml:space="preserve">The identification of potential synergies, trade-offs </w:t>
      </w:r>
      <w:r w:rsidRPr="00D52C15">
        <w:rPr>
          <w:kern w:val="22"/>
          <w:szCs w:val="22"/>
        </w:rPr>
        <w:t xml:space="preserve">and limitations </w:t>
      </w:r>
      <w:r w:rsidRPr="00D52C15">
        <w:rPr>
          <w:rFonts w:eastAsia="Malgun Gothic"/>
          <w:kern w:val="22"/>
          <w:szCs w:val="22"/>
        </w:rPr>
        <w:t xml:space="preserve">related to biodiversity that should be considered </w:t>
      </w:r>
      <w:proofErr w:type="gramStart"/>
      <w:r w:rsidRPr="00D52C15">
        <w:rPr>
          <w:kern w:val="22"/>
          <w:szCs w:val="22"/>
        </w:rPr>
        <w:t>in order to</w:t>
      </w:r>
      <w:proofErr w:type="gramEnd"/>
      <w:r w:rsidRPr="00D52C15">
        <w:rPr>
          <w:kern w:val="22"/>
          <w:szCs w:val="22"/>
        </w:rPr>
        <w:t xml:space="preserve"> identify effective policies and measures to enable the achievement of the </w:t>
      </w:r>
      <w:r w:rsidRPr="00D52C15">
        <w:rPr>
          <w:rFonts w:eastAsia="Malgun Gothic"/>
          <w:kern w:val="22"/>
          <w:szCs w:val="22"/>
        </w:rPr>
        <w:t>Sustainable Development Goals;</w:t>
      </w:r>
    </w:p>
    <w:p w14:paraId="0DB42A2A" w14:textId="77777777" w:rsidR="006A135A" w:rsidRPr="00D52C15" w:rsidRDefault="006A135A" w:rsidP="00074981">
      <w:pPr>
        <w:pStyle w:val="Para1"/>
        <w:numPr>
          <w:ilvl w:val="0"/>
          <w:numId w:val="0"/>
        </w:numPr>
        <w:suppressLineNumbers/>
        <w:suppressAutoHyphens/>
        <w:ind w:firstLine="720"/>
        <w:rPr>
          <w:rFonts w:eastAsia="Malgun Gothic"/>
          <w:kern w:val="22"/>
          <w:szCs w:val="22"/>
        </w:rPr>
      </w:pPr>
      <w:r w:rsidRPr="00D52C15">
        <w:rPr>
          <w:rFonts w:eastAsia="Malgun Gothic"/>
          <w:kern w:val="22"/>
          <w:szCs w:val="22"/>
        </w:rPr>
        <w:t>(d)</w:t>
      </w:r>
      <w:r w:rsidRPr="00D52C15">
        <w:rPr>
          <w:rFonts w:eastAsia="Malgun Gothic"/>
          <w:kern w:val="22"/>
          <w:szCs w:val="22"/>
        </w:rPr>
        <w:tab/>
        <w:t>The contributions of the collective action of indigenous peoples and local communities in the conservation of biological diversity and the sustainable use of its components</w:t>
      </w:r>
      <w:r w:rsidRPr="00D52C15">
        <w:rPr>
          <w:kern w:val="22"/>
          <w:szCs w:val="22"/>
        </w:rPr>
        <w:t>;</w:t>
      </w:r>
    </w:p>
    <w:p w14:paraId="53C23292" w14:textId="77777777" w:rsidR="006A135A" w:rsidRPr="00D52C15" w:rsidRDefault="006A135A" w:rsidP="00074981">
      <w:pPr>
        <w:pStyle w:val="Para1"/>
        <w:numPr>
          <w:ilvl w:val="0"/>
          <w:numId w:val="0"/>
        </w:numPr>
        <w:suppressLineNumbers/>
        <w:suppressAutoHyphens/>
        <w:ind w:firstLine="720"/>
        <w:rPr>
          <w:rFonts w:eastAsia="Malgun Gothic"/>
          <w:kern w:val="22"/>
          <w:szCs w:val="22"/>
        </w:rPr>
      </w:pPr>
      <w:r w:rsidRPr="00D52C15">
        <w:rPr>
          <w:kern w:val="22"/>
          <w:szCs w:val="22"/>
        </w:rPr>
        <w:t>(e)</w:t>
      </w:r>
      <w:r w:rsidRPr="00D52C15">
        <w:rPr>
          <w:kern w:val="22"/>
          <w:szCs w:val="22"/>
        </w:rPr>
        <w:tab/>
        <w:t>The consequences of alternative scenarios for the customary sustainable use of biodiversity by indigenous peoples and local communities;</w:t>
      </w:r>
    </w:p>
    <w:p w14:paraId="5C1AF669" w14:textId="6680D3B3" w:rsidR="006A135A" w:rsidRPr="00D52C15" w:rsidRDefault="006A135A" w:rsidP="00074981">
      <w:pPr>
        <w:pStyle w:val="Para1"/>
        <w:numPr>
          <w:ilvl w:val="0"/>
          <w:numId w:val="0"/>
        </w:numPr>
        <w:suppressLineNumbers/>
        <w:suppressAutoHyphens/>
        <w:ind w:firstLine="720"/>
        <w:rPr>
          <w:rFonts w:eastAsia="Malgun Gothic"/>
          <w:kern w:val="22"/>
          <w:szCs w:val="22"/>
        </w:rPr>
      </w:pPr>
      <w:r w:rsidRPr="00D52C15">
        <w:rPr>
          <w:rFonts w:eastAsia="Malgun Gothic"/>
          <w:kern w:val="22"/>
          <w:szCs w:val="22"/>
        </w:rPr>
        <w:t>(f)</w:t>
      </w:r>
      <w:r w:rsidRPr="00D52C15">
        <w:rPr>
          <w:rFonts w:eastAsia="Malgun Gothic"/>
          <w:kern w:val="22"/>
          <w:szCs w:val="22"/>
        </w:rPr>
        <w:tab/>
        <w:t>Scenario analyses on financing the post-2020 global biodiversity framework and the attainment of the 2050 Vision for Biodiversity</w:t>
      </w:r>
      <w:r w:rsidR="00E567B9" w:rsidRPr="00D52C15">
        <w:rPr>
          <w:rFonts w:eastAsia="Malgun Gothic"/>
          <w:kern w:val="22"/>
          <w:szCs w:val="22"/>
        </w:rPr>
        <w:t xml:space="preserve">, </w:t>
      </w:r>
      <w:proofErr w:type="gramStart"/>
      <w:r w:rsidR="00E567B9" w:rsidRPr="00D52C15">
        <w:rPr>
          <w:rFonts w:eastAsia="Malgun Gothic"/>
          <w:kern w:val="22"/>
          <w:szCs w:val="22"/>
        </w:rPr>
        <w:t>taking into account</w:t>
      </w:r>
      <w:proofErr w:type="gramEnd"/>
      <w:r w:rsidRPr="00D52C15">
        <w:rPr>
          <w:rFonts w:eastAsia="Malgun Gothic"/>
          <w:kern w:val="22"/>
          <w:szCs w:val="22"/>
        </w:rPr>
        <w:t xml:space="preserve"> </w:t>
      </w:r>
      <w:r w:rsidR="00E567B9" w:rsidRPr="00D52C15">
        <w:rPr>
          <w:rFonts w:eastAsia="Malgun Gothic"/>
          <w:kern w:val="22"/>
          <w:szCs w:val="22"/>
        </w:rPr>
        <w:t>A</w:t>
      </w:r>
      <w:r w:rsidRPr="00D52C15">
        <w:rPr>
          <w:rFonts w:eastAsia="Malgun Gothic"/>
          <w:kern w:val="22"/>
          <w:szCs w:val="22"/>
        </w:rPr>
        <w:t>rticle 20 of the Convention</w:t>
      </w:r>
      <w:r w:rsidR="00E567B9" w:rsidRPr="00D52C15">
        <w:rPr>
          <w:rFonts w:eastAsia="Malgun Gothic"/>
          <w:kern w:val="22"/>
          <w:szCs w:val="22"/>
        </w:rPr>
        <w:t>;</w:t>
      </w:r>
    </w:p>
    <w:p w14:paraId="02581A48" w14:textId="3F0150B9" w:rsidR="003777A8" w:rsidRPr="00D52C15" w:rsidRDefault="00FD0386" w:rsidP="00074981">
      <w:pPr>
        <w:pStyle w:val="Para1"/>
        <w:numPr>
          <w:ilvl w:val="0"/>
          <w:numId w:val="0"/>
        </w:numPr>
        <w:suppressLineNumbers/>
        <w:suppressAutoHyphens/>
        <w:ind w:firstLine="720"/>
        <w:rPr>
          <w:rFonts w:eastAsia="Malgun Gothic"/>
          <w:kern w:val="22"/>
          <w:szCs w:val="22"/>
        </w:rPr>
      </w:pPr>
      <w:r w:rsidRPr="00D52C15">
        <w:rPr>
          <w:rFonts w:eastAsia="Malgun Gothic"/>
          <w:kern w:val="22"/>
          <w:szCs w:val="22"/>
        </w:rPr>
        <w:t>(g)</w:t>
      </w:r>
      <w:r w:rsidRPr="00D52C15">
        <w:rPr>
          <w:rFonts w:eastAsia="Malgun Gothic"/>
          <w:kern w:val="22"/>
          <w:szCs w:val="22"/>
        </w:rPr>
        <w:tab/>
      </w:r>
      <w:r w:rsidR="00F516F5" w:rsidRPr="00D52C15">
        <w:rPr>
          <w:rFonts w:eastAsia="Malgun Gothic"/>
          <w:kern w:val="22"/>
          <w:szCs w:val="22"/>
        </w:rPr>
        <w:t>S</w:t>
      </w:r>
      <w:r w:rsidR="00E567B9" w:rsidRPr="00D52C15">
        <w:rPr>
          <w:rFonts w:eastAsia="Malgun Gothic"/>
          <w:kern w:val="22"/>
          <w:szCs w:val="22"/>
        </w:rPr>
        <w:t xml:space="preserve">cenario analyses on </w:t>
      </w:r>
      <w:r w:rsidR="00F516F5" w:rsidRPr="00D52C15">
        <w:rPr>
          <w:rFonts w:eastAsia="Malgun Gothic"/>
          <w:kern w:val="22"/>
          <w:szCs w:val="22"/>
        </w:rPr>
        <w:t>the fair and equitable sharing of benefits arising from the utili</w:t>
      </w:r>
      <w:r w:rsidRPr="00D52C15">
        <w:rPr>
          <w:rFonts w:eastAsia="Malgun Gothic"/>
          <w:kern w:val="22"/>
          <w:szCs w:val="22"/>
        </w:rPr>
        <w:t>z</w:t>
      </w:r>
      <w:r w:rsidR="00F516F5" w:rsidRPr="00D52C15">
        <w:rPr>
          <w:rFonts w:eastAsia="Malgun Gothic"/>
          <w:kern w:val="22"/>
          <w:szCs w:val="22"/>
        </w:rPr>
        <w:t>ation of genetic resources in accordance with the Convention and the Nagoya Protocol, in</w:t>
      </w:r>
      <w:r w:rsidRPr="00D52C15">
        <w:rPr>
          <w:rFonts w:eastAsia="Malgun Gothic"/>
          <w:kern w:val="22"/>
          <w:szCs w:val="22"/>
        </w:rPr>
        <w:t>clud</w:t>
      </w:r>
      <w:r w:rsidR="00F516F5" w:rsidRPr="00D52C15">
        <w:rPr>
          <w:rFonts w:eastAsia="Malgun Gothic"/>
          <w:kern w:val="22"/>
          <w:szCs w:val="22"/>
        </w:rPr>
        <w:t xml:space="preserve">ing </w:t>
      </w:r>
      <w:r w:rsidR="00E567B9" w:rsidRPr="00D52C15">
        <w:rPr>
          <w:rFonts w:eastAsia="Malgun Gothic"/>
          <w:kern w:val="22"/>
          <w:szCs w:val="22"/>
        </w:rPr>
        <w:t>monetary and non-</w:t>
      </w:r>
      <w:r w:rsidR="00E567B9" w:rsidRPr="00D52C15">
        <w:rPr>
          <w:rFonts w:eastAsia="Malgun Gothic"/>
          <w:kern w:val="22"/>
          <w:szCs w:val="22"/>
        </w:rPr>
        <w:lastRenderedPageBreak/>
        <w:t xml:space="preserve">monetary benefits arising from </w:t>
      </w:r>
      <w:r w:rsidRPr="00D52C15">
        <w:rPr>
          <w:rFonts w:eastAsia="Malgun Gothic"/>
          <w:kern w:val="22"/>
          <w:szCs w:val="22"/>
        </w:rPr>
        <w:t xml:space="preserve">their </w:t>
      </w:r>
      <w:r w:rsidR="00E567B9" w:rsidRPr="00D52C15">
        <w:rPr>
          <w:rFonts w:eastAsia="Malgun Gothic"/>
          <w:kern w:val="22"/>
          <w:szCs w:val="22"/>
        </w:rPr>
        <w:t xml:space="preserve">non-commercial </w:t>
      </w:r>
      <w:r w:rsidR="00F516F5" w:rsidRPr="00D52C15">
        <w:rPr>
          <w:rFonts w:eastAsia="Malgun Gothic"/>
          <w:kern w:val="22"/>
          <w:szCs w:val="22"/>
        </w:rPr>
        <w:t>and commercial utilization</w:t>
      </w:r>
      <w:r w:rsidRPr="00D52C15">
        <w:rPr>
          <w:rFonts w:eastAsia="Malgun Gothic"/>
          <w:kern w:val="22"/>
          <w:szCs w:val="22"/>
        </w:rPr>
        <w:t>,</w:t>
      </w:r>
      <w:r w:rsidR="00E567B9" w:rsidRPr="00D52C15">
        <w:rPr>
          <w:rFonts w:eastAsia="Malgun Gothic"/>
          <w:kern w:val="22"/>
          <w:szCs w:val="22"/>
        </w:rPr>
        <w:t xml:space="preserve"> and the potential </w:t>
      </w:r>
      <w:r w:rsidR="00F26C2B" w:rsidRPr="00D52C15">
        <w:rPr>
          <w:rFonts w:eastAsia="Malgun Gothic"/>
          <w:kern w:val="22"/>
          <w:szCs w:val="22"/>
        </w:rPr>
        <w:t xml:space="preserve">of benefit-sharing </w:t>
      </w:r>
      <w:r w:rsidR="00F516F5" w:rsidRPr="00D52C15">
        <w:rPr>
          <w:rFonts w:eastAsia="Malgun Gothic"/>
          <w:kern w:val="22"/>
          <w:szCs w:val="22"/>
        </w:rPr>
        <w:t>to</w:t>
      </w:r>
      <w:r w:rsidR="00E567B9" w:rsidRPr="00D52C15">
        <w:rPr>
          <w:rFonts w:eastAsia="Malgun Gothic"/>
          <w:kern w:val="22"/>
          <w:szCs w:val="22"/>
        </w:rPr>
        <w:t xml:space="preserve"> promot</w:t>
      </w:r>
      <w:r w:rsidR="00F516F5" w:rsidRPr="00D52C15">
        <w:rPr>
          <w:rFonts w:eastAsia="Malgun Gothic"/>
          <w:kern w:val="22"/>
          <w:szCs w:val="22"/>
        </w:rPr>
        <w:t>e</w:t>
      </w:r>
      <w:r w:rsidR="00E567B9" w:rsidRPr="00D52C15">
        <w:rPr>
          <w:rFonts w:eastAsia="Malgun Gothic"/>
          <w:kern w:val="22"/>
          <w:szCs w:val="22"/>
        </w:rPr>
        <w:t xml:space="preserve"> the conservation and sustainable use of biological diversity;</w:t>
      </w:r>
    </w:p>
    <w:p w14:paraId="41C3FD27" w14:textId="1D0532C7" w:rsidR="006A135A" w:rsidRPr="00D52C15" w:rsidRDefault="00FD0386" w:rsidP="00074981">
      <w:pPr>
        <w:pStyle w:val="Para1"/>
        <w:numPr>
          <w:ilvl w:val="0"/>
          <w:numId w:val="0"/>
        </w:numPr>
        <w:suppressLineNumbers/>
        <w:suppressAutoHyphens/>
        <w:ind w:firstLine="720"/>
        <w:rPr>
          <w:rFonts w:eastAsia="Malgun Gothic"/>
          <w:kern w:val="22"/>
          <w:szCs w:val="22"/>
        </w:rPr>
      </w:pPr>
      <w:r w:rsidRPr="00D52C15">
        <w:rPr>
          <w:rFonts w:eastAsia="Malgun Gothic"/>
          <w:kern w:val="22"/>
          <w:szCs w:val="22"/>
        </w:rPr>
        <w:t>(h)</w:t>
      </w:r>
      <w:r w:rsidRPr="00D52C15">
        <w:rPr>
          <w:rFonts w:eastAsia="Malgun Gothic"/>
          <w:color w:val="FF0000"/>
          <w:kern w:val="22"/>
          <w:szCs w:val="22"/>
        </w:rPr>
        <w:tab/>
      </w:r>
      <w:r w:rsidRPr="00D52C15">
        <w:rPr>
          <w:kern w:val="22"/>
          <w:szCs w:val="22"/>
        </w:rPr>
        <w:t>A gender perspective in the development, implementation and monitoring of the post-2020 global biodiversity framework;</w:t>
      </w:r>
    </w:p>
    <w:p w14:paraId="16D3AA25" w14:textId="5BCA10ED" w:rsidR="006A135A" w:rsidRPr="00D52C15" w:rsidRDefault="006A135A" w:rsidP="00074981">
      <w:pPr>
        <w:pStyle w:val="Para1"/>
        <w:numPr>
          <w:ilvl w:val="0"/>
          <w:numId w:val="0"/>
        </w:numPr>
        <w:suppressLineNumbers/>
        <w:suppressAutoHyphens/>
        <w:ind w:firstLine="720"/>
        <w:rPr>
          <w:rFonts w:eastAsia="Malgun Gothic"/>
          <w:kern w:val="22"/>
          <w:szCs w:val="22"/>
        </w:rPr>
      </w:pPr>
      <w:r w:rsidRPr="00D52C15">
        <w:rPr>
          <w:rFonts w:eastAsia="Malgun Gothic"/>
          <w:kern w:val="22"/>
          <w:szCs w:val="22"/>
        </w:rPr>
        <w:t>(</w:t>
      </w:r>
      <w:proofErr w:type="spellStart"/>
      <w:r w:rsidR="00FD0386" w:rsidRPr="00D52C15">
        <w:rPr>
          <w:rFonts w:eastAsia="Malgun Gothic"/>
          <w:kern w:val="22"/>
          <w:szCs w:val="22"/>
        </w:rPr>
        <w:t>i</w:t>
      </w:r>
      <w:proofErr w:type="spellEnd"/>
      <w:r w:rsidRPr="00D52C15">
        <w:rPr>
          <w:rFonts w:eastAsia="Malgun Gothic"/>
          <w:kern w:val="22"/>
          <w:szCs w:val="22"/>
        </w:rPr>
        <w:t>)</w:t>
      </w:r>
      <w:r w:rsidRPr="00D52C15">
        <w:rPr>
          <w:rFonts w:eastAsia="Malgun Gothic"/>
          <w:kern w:val="22"/>
          <w:szCs w:val="22"/>
        </w:rPr>
        <w:tab/>
        <w:t>The potential positive and negative impacts of productive sectors on biodiversity</w:t>
      </w:r>
      <w:r w:rsidR="00D44738" w:rsidRPr="00D52C15">
        <w:rPr>
          <w:rFonts w:eastAsia="Malgun Gothic"/>
          <w:kern w:val="22"/>
          <w:szCs w:val="22"/>
        </w:rPr>
        <w:t>,</w:t>
      </w:r>
      <w:r w:rsidRPr="00D52C15">
        <w:rPr>
          <w:rFonts w:eastAsia="Malgun Gothic"/>
          <w:kern w:val="22"/>
          <w:szCs w:val="22"/>
        </w:rPr>
        <w:t xml:space="preserve"> such as agriculture, forestry and fisheries;</w:t>
      </w:r>
    </w:p>
    <w:p w14:paraId="51331346" w14:textId="19D6D046" w:rsidR="006A135A" w:rsidRPr="00D52C15" w:rsidRDefault="006A135A" w:rsidP="00074981">
      <w:pPr>
        <w:pStyle w:val="Para1"/>
        <w:numPr>
          <w:ilvl w:val="0"/>
          <w:numId w:val="0"/>
        </w:numPr>
        <w:suppressLineNumbers/>
        <w:suppressAutoHyphens/>
        <w:ind w:firstLine="720"/>
        <w:rPr>
          <w:kern w:val="22"/>
          <w:szCs w:val="22"/>
        </w:rPr>
      </w:pPr>
      <w:r w:rsidRPr="00D52C15">
        <w:rPr>
          <w:kern w:val="22"/>
          <w:szCs w:val="22"/>
        </w:rPr>
        <w:t>(</w:t>
      </w:r>
      <w:r w:rsidR="00FD0386" w:rsidRPr="00D52C15">
        <w:rPr>
          <w:kern w:val="22"/>
          <w:szCs w:val="22"/>
        </w:rPr>
        <w:t>j</w:t>
      </w:r>
      <w:r w:rsidRPr="00D52C15">
        <w:rPr>
          <w:kern w:val="22"/>
          <w:szCs w:val="22"/>
        </w:rPr>
        <w:t>)</w:t>
      </w:r>
      <w:r w:rsidRPr="00D52C15">
        <w:rPr>
          <w:kern w:val="22"/>
          <w:szCs w:val="22"/>
        </w:rPr>
        <w:tab/>
        <w:t xml:space="preserve">Technology developments, such as </w:t>
      </w:r>
      <w:r w:rsidR="00892D8D" w:rsidRPr="00D52C15">
        <w:rPr>
          <w:kern w:val="22"/>
          <w:szCs w:val="22"/>
        </w:rPr>
        <w:t xml:space="preserve">advances in data analytics, </w:t>
      </w:r>
      <w:r w:rsidRPr="00D52C15">
        <w:rPr>
          <w:kern w:val="22"/>
          <w:szCs w:val="22"/>
        </w:rPr>
        <w:t>digital sequence information</w:t>
      </w:r>
      <w:r w:rsidR="00892D8D" w:rsidRPr="00D52C15">
        <w:rPr>
          <w:kern w:val="22"/>
          <w:szCs w:val="22"/>
        </w:rPr>
        <w:t xml:space="preserve"> on genetic resources, new kinds of living modified organisms and synthetic biology</w:t>
      </w:r>
      <w:r w:rsidR="00F516F5" w:rsidRPr="00D52C15">
        <w:rPr>
          <w:kern w:val="22"/>
          <w:szCs w:val="22"/>
        </w:rPr>
        <w:t>,</w:t>
      </w:r>
      <w:r w:rsidRPr="00D52C15">
        <w:rPr>
          <w:kern w:val="22"/>
          <w:szCs w:val="22"/>
        </w:rPr>
        <w:t xml:space="preserve"> </w:t>
      </w:r>
      <w:r w:rsidR="00892D8D" w:rsidRPr="00D52C15">
        <w:rPr>
          <w:kern w:val="22"/>
          <w:szCs w:val="22"/>
        </w:rPr>
        <w:t xml:space="preserve">and their potential </w:t>
      </w:r>
      <w:r w:rsidRPr="00D52C15">
        <w:rPr>
          <w:kern w:val="22"/>
          <w:szCs w:val="22"/>
        </w:rPr>
        <w:t xml:space="preserve">positive or negative impacts on the achievement of the three objectives of the </w:t>
      </w:r>
      <w:r w:rsidR="00892D8D" w:rsidRPr="00D52C15">
        <w:rPr>
          <w:kern w:val="22"/>
          <w:szCs w:val="22"/>
        </w:rPr>
        <w:t>C</w:t>
      </w:r>
      <w:r w:rsidRPr="00D52C15">
        <w:rPr>
          <w:kern w:val="22"/>
          <w:szCs w:val="22"/>
        </w:rPr>
        <w:t>onvention as well as on the lifestyles and traditional knowledge of indigenous peoples and local communities;</w:t>
      </w:r>
    </w:p>
    <w:p w14:paraId="141834A4" w14:textId="6100C51A" w:rsidR="00983214" w:rsidRPr="00D52C15" w:rsidRDefault="00FD0386" w:rsidP="00074981">
      <w:pPr>
        <w:pStyle w:val="Para1"/>
        <w:numPr>
          <w:ilvl w:val="0"/>
          <w:numId w:val="0"/>
        </w:numPr>
        <w:suppressLineNumbers/>
        <w:suppressAutoHyphens/>
        <w:ind w:firstLine="720"/>
        <w:rPr>
          <w:kern w:val="22"/>
          <w:szCs w:val="22"/>
        </w:rPr>
      </w:pPr>
      <w:r w:rsidRPr="00D52C15">
        <w:rPr>
          <w:kern w:val="22"/>
          <w:szCs w:val="22"/>
        </w:rPr>
        <w:t>(k)</w:t>
      </w:r>
      <w:r w:rsidRPr="00D52C15">
        <w:rPr>
          <w:kern w:val="22"/>
          <w:szCs w:val="22"/>
        </w:rPr>
        <w:tab/>
      </w:r>
      <w:r w:rsidR="00983214" w:rsidRPr="00D52C15">
        <w:rPr>
          <w:kern w:val="22"/>
          <w:szCs w:val="22"/>
        </w:rPr>
        <w:t xml:space="preserve">The </w:t>
      </w:r>
      <w:r w:rsidR="00F516F5" w:rsidRPr="00D52C15">
        <w:rPr>
          <w:kern w:val="22"/>
          <w:szCs w:val="22"/>
        </w:rPr>
        <w:t>importance of</w:t>
      </w:r>
      <w:r w:rsidR="00983214" w:rsidRPr="00D52C15">
        <w:rPr>
          <w:kern w:val="22"/>
          <w:szCs w:val="22"/>
        </w:rPr>
        <w:t xml:space="preserve"> increasing awareness about the </w:t>
      </w:r>
      <w:r w:rsidR="00F516F5" w:rsidRPr="00D52C15">
        <w:rPr>
          <w:kern w:val="22"/>
          <w:szCs w:val="22"/>
        </w:rPr>
        <w:t xml:space="preserve">multiple values of biodiversity </w:t>
      </w:r>
      <w:r w:rsidR="00EA66A9" w:rsidRPr="00D52C15">
        <w:rPr>
          <w:kern w:val="22"/>
          <w:szCs w:val="22"/>
        </w:rPr>
        <w:t xml:space="preserve">and the </w:t>
      </w:r>
      <w:r w:rsidR="00983214" w:rsidRPr="00D52C15">
        <w:rPr>
          <w:kern w:val="22"/>
          <w:szCs w:val="22"/>
        </w:rPr>
        <w:t>consequences of biodiversity loss through enhanced communication;</w:t>
      </w:r>
    </w:p>
    <w:p w14:paraId="7A8E7869" w14:textId="1BD8CDA7" w:rsidR="00EA66A9" w:rsidRPr="00564AA2" w:rsidRDefault="00EA66A9" w:rsidP="00074981">
      <w:pPr>
        <w:pStyle w:val="Para1"/>
        <w:numPr>
          <w:ilvl w:val="0"/>
          <w:numId w:val="0"/>
        </w:numPr>
        <w:suppressLineNumbers/>
        <w:suppressAutoHyphens/>
        <w:ind w:firstLine="720"/>
        <w:rPr>
          <w:kern w:val="22"/>
          <w:szCs w:val="22"/>
        </w:rPr>
      </w:pPr>
      <w:r w:rsidRPr="00D52C15">
        <w:rPr>
          <w:kern w:val="22"/>
          <w:szCs w:val="22"/>
        </w:rPr>
        <w:t>(l)</w:t>
      </w:r>
      <w:r w:rsidRPr="00D52C15">
        <w:rPr>
          <w:kern w:val="22"/>
          <w:szCs w:val="22"/>
        </w:rPr>
        <w:tab/>
      </w:r>
      <w:r w:rsidRPr="00D52C15">
        <w:rPr>
          <w:rFonts w:eastAsia="Malgun Gothic"/>
          <w:snapToGrid/>
          <w:kern w:val="22"/>
          <w:szCs w:val="22"/>
        </w:rPr>
        <w:t>How scenarios and related assessments could inform the identification of short- and medium</w:t>
      </w:r>
      <w:r w:rsidR="00564AA2">
        <w:rPr>
          <w:rFonts w:eastAsia="Malgun Gothic"/>
          <w:snapToGrid/>
          <w:kern w:val="22"/>
          <w:szCs w:val="22"/>
        </w:rPr>
        <w:t>-</w:t>
      </w:r>
      <w:r w:rsidRPr="00564AA2">
        <w:rPr>
          <w:rFonts w:eastAsia="Malgun Gothic"/>
          <w:snapToGrid/>
          <w:kern w:val="22"/>
          <w:szCs w:val="22"/>
        </w:rPr>
        <w:t xml:space="preserve">term milestones in </w:t>
      </w:r>
      <w:r w:rsidRPr="00564AA2">
        <w:rPr>
          <w:kern w:val="22"/>
          <w:szCs w:val="22"/>
        </w:rPr>
        <w:t>pursuit of the long-term goal;</w:t>
      </w:r>
    </w:p>
    <w:p w14:paraId="1F7F8CB0" w14:textId="03D25197" w:rsidR="006A135A" w:rsidRPr="00CB467D" w:rsidRDefault="00F26C2B" w:rsidP="00074981">
      <w:pPr>
        <w:pStyle w:val="Para1"/>
        <w:numPr>
          <w:ilvl w:val="0"/>
          <w:numId w:val="0"/>
        </w:numPr>
        <w:suppressLineNumbers/>
        <w:suppressAutoHyphens/>
        <w:ind w:firstLine="720"/>
        <w:rPr>
          <w:rFonts w:eastAsia="Malgun Gothic"/>
          <w:snapToGrid/>
          <w:kern w:val="22"/>
          <w:szCs w:val="22"/>
        </w:rPr>
      </w:pPr>
      <w:r w:rsidRPr="00D52C15">
        <w:rPr>
          <w:rFonts w:eastAsia="Malgun Gothic"/>
          <w:snapToGrid/>
          <w:kern w:val="22"/>
          <w:szCs w:val="22"/>
        </w:rPr>
        <w:t>3</w:t>
      </w:r>
      <w:r w:rsidR="006A135A" w:rsidRPr="00D52C15">
        <w:rPr>
          <w:rFonts w:eastAsia="Malgun Gothic"/>
          <w:snapToGrid/>
          <w:kern w:val="22"/>
          <w:szCs w:val="22"/>
        </w:rPr>
        <w:t>.</w:t>
      </w:r>
      <w:r w:rsidR="006A135A" w:rsidRPr="00D52C15">
        <w:rPr>
          <w:rFonts w:eastAsia="Malgun Gothic"/>
          <w:i/>
          <w:snapToGrid/>
          <w:kern w:val="22"/>
          <w:szCs w:val="22"/>
        </w:rPr>
        <w:tab/>
        <w:t xml:space="preserve">Requests </w:t>
      </w:r>
      <w:r w:rsidR="006A135A" w:rsidRPr="00D52C15">
        <w:rPr>
          <w:rFonts w:eastAsia="Malgun Gothic"/>
          <w:snapToGrid/>
          <w:kern w:val="22"/>
          <w:szCs w:val="22"/>
        </w:rPr>
        <w:t xml:space="preserve">the Executive Secretary, in collaboration with relevant partners, to facilitate capacity-building activities in accordance with </w:t>
      </w:r>
      <w:hyperlink r:id="rId12" w:history="1">
        <w:r w:rsidR="006A135A" w:rsidRPr="00B275AD">
          <w:rPr>
            <w:rStyle w:val="Hyperlink"/>
            <w:rFonts w:eastAsia="Malgun Gothic"/>
            <w:snapToGrid/>
            <w:kern w:val="22"/>
            <w:sz w:val="22"/>
            <w:szCs w:val="22"/>
          </w:rPr>
          <w:t>decision XIII/23</w:t>
        </w:r>
      </w:hyperlink>
      <w:r w:rsidR="006A135A" w:rsidRPr="00B275AD">
        <w:rPr>
          <w:rFonts w:eastAsia="Malgun Gothic"/>
          <w:snapToGrid/>
          <w:kern w:val="22"/>
          <w:szCs w:val="22"/>
        </w:rPr>
        <w:t>, especially for developing countries and countries with economies in transition, in particular the least developed countries and small island developing States, to enable all countries to participate in the development and application of scenarios;</w:t>
      </w:r>
    </w:p>
    <w:p w14:paraId="7B44FFE5" w14:textId="7544620E" w:rsidR="006A135A" w:rsidRPr="00D52C15" w:rsidRDefault="00F26C2B" w:rsidP="00074981">
      <w:pPr>
        <w:pStyle w:val="Para1"/>
        <w:numPr>
          <w:ilvl w:val="0"/>
          <w:numId w:val="0"/>
        </w:numPr>
        <w:suppressLineNumbers/>
        <w:suppressAutoHyphens/>
        <w:ind w:firstLine="720"/>
        <w:rPr>
          <w:snapToGrid/>
          <w:kern w:val="22"/>
          <w:szCs w:val="22"/>
        </w:rPr>
      </w:pPr>
      <w:r w:rsidRPr="00CB467D">
        <w:rPr>
          <w:kern w:val="22"/>
          <w:szCs w:val="22"/>
        </w:rPr>
        <w:t>4</w:t>
      </w:r>
      <w:r w:rsidR="006A135A" w:rsidRPr="00CB467D">
        <w:rPr>
          <w:kern w:val="22"/>
          <w:szCs w:val="22"/>
        </w:rPr>
        <w:t>.</w:t>
      </w:r>
      <w:r w:rsidR="006A135A" w:rsidRPr="00CB467D">
        <w:rPr>
          <w:snapToGrid/>
          <w:kern w:val="22"/>
          <w:szCs w:val="22"/>
        </w:rPr>
        <w:tab/>
      </w:r>
      <w:r w:rsidR="00D03D41" w:rsidRPr="00776B4A">
        <w:rPr>
          <w:i/>
          <w:snapToGrid/>
          <w:kern w:val="22"/>
          <w:szCs w:val="22"/>
        </w:rPr>
        <w:t>Also</w:t>
      </w:r>
      <w:r w:rsidR="00D03D41" w:rsidRPr="00776B4A">
        <w:rPr>
          <w:snapToGrid/>
          <w:kern w:val="22"/>
          <w:szCs w:val="22"/>
        </w:rPr>
        <w:t xml:space="preserve"> </w:t>
      </w:r>
      <w:r w:rsidR="00D03D41" w:rsidRPr="00776B4A">
        <w:rPr>
          <w:i/>
          <w:snapToGrid/>
          <w:kern w:val="22"/>
          <w:szCs w:val="22"/>
        </w:rPr>
        <w:t>requests</w:t>
      </w:r>
      <w:r w:rsidR="00D03D41" w:rsidRPr="00776B4A">
        <w:rPr>
          <w:snapToGrid/>
          <w:kern w:val="22"/>
          <w:szCs w:val="22"/>
        </w:rPr>
        <w:t xml:space="preserve"> the Executive Secretary, pursuant to </w:t>
      </w:r>
      <w:hyperlink r:id="rId13" w:history="1">
        <w:r w:rsidR="006A135A" w:rsidRPr="00B275AD">
          <w:rPr>
            <w:rStyle w:val="Hyperlink"/>
            <w:iCs/>
            <w:snapToGrid/>
            <w:kern w:val="22"/>
            <w:sz w:val="22"/>
            <w:szCs w:val="22"/>
          </w:rPr>
          <w:t>decision XIII/22</w:t>
        </w:r>
      </w:hyperlink>
      <w:r w:rsidR="006A135A" w:rsidRPr="00B275AD">
        <w:rPr>
          <w:snapToGrid/>
          <w:kern w:val="22"/>
          <w:szCs w:val="22"/>
        </w:rPr>
        <w:t xml:space="preserve"> on the framework for a communication strategy, to promote the use of scenarios as a communication tool for</w:t>
      </w:r>
      <w:r w:rsidR="006A135A" w:rsidRPr="00CB467D">
        <w:rPr>
          <w:rFonts w:eastAsia="Malgun Gothic"/>
          <w:snapToGrid/>
          <w:kern w:val="22"/>
          <w:szCs w:val="22"/>
        </w:rPr>
        <w:t xml:space="preserve"> raising public a</w:t>
      </w:r>
      <w:r w:rsidR="006A135A" w:rsidRPr="00D52C15">
        <w:rPr>
          <w:rFonts w:eastAsia="Malgun Gothic"/>
          <w:snapToGrid/>
          <w:kern w:val="22"/>
          <w:szCs w:val="22"/>
        </w:rPr>
        <w:t xml:space="preserve">wareness and to foster </w:t>
      </w:r>
      <w:r w:rsidR="00AE7F43" w:rsidRPr="00D52C15">
        <w:rPr>
          <w:rFonts w:eastAsia="Malgun Gothic"/>
          <w:snapToGrid/>
          <w:kern w:val="22"/>
          <w:szCs w:val="22"/>
        </w:rPr>
        <w:t xml:space="preserve">the </w:t>
      </w:r>
      <w:r w:rsidR="006A135A" w:rsidRPr="00D52C15">
        <w:rPr>
          <w:rFonts w:eastAsia="Malgun Gothic"/>
          <w:snapToGrid/>
          <w:kern w:val="22"/>
          <w:szCs w:val="22"/>
        </w:rPr>
        <w:t>participation and involvement of all stakeholders, in particular academia and the scientific community, and to scale up global support for biodiversity concerns, including by engaging celebrities as biodiversity ambassadors from all regions who would to act as biodiversity voices.</w:t>
      </w:r>
    </w:p>
    <w:p w14:paraId="2119EABB" w14:textId="77777777" w:rsidR="006A135A" w:rsidRPr="00D52C15" w:rsidRDefault="006A135A" w:rsidP="00074981">
      <w:pPr>
        <w:keepNext/>
        <w:suppressLineNumbers/>
        <w:suppressAutoHyphens/>
        <w:kinsoku w:val="0"/>
        <w:overflowPunct w:val="0"/>
        <w:autoSpaceDE w:val="0"/>
        <w:autoSpaceDN w:val="0"/>
        <w:adjustRightInd w:val="0"/>
        <w:snapToGrid w:val="0"/>
        <w:spacing w:before="120" w:after="120"/>
        <w:jc w:val="center"/>
        <w:outlineLvl w:val="2"/>
        <w:rPr>
          <w:i/>
          <w:kern w:val="22"/>
          <w:szCs w:val="22"/>
        </w:rPr>
      </w:pPr>
      <w:r w:rsidRPr="00D52C15">
        <w:rPr>
          <w:i/>
          <w:kern w:val="22"/>
          <w:szCs w:val="22"/>
        </w:rPr>
        <w:t>Annex</w:t>
      </w:r>
    </w:p>
    <w:p w14:paraId="7A4EC931" w14:textId="77777777" w:rsidR="006A135A" w:rsidRPr="00D52C15" w:rsidRDefault="006A135A" w:rsidP="00074981">
      <w:pPr>
        <w:pStyle w:val="HEADINGNOTFORTOC"/>
        <w:suppressLineNumbers/>
        <w:tabs>
          <w:tab w:val="clear" w:pos="720"/>
        </w:tabs>
        <w:suppressAutoHyphens/>
        <w:spacing w:before="120"/>
        <w:outlineLvl w:val="9"/>
        <w:rPr>
          <w:kern w:val="22"/>
          <w:szCs w:val="22"/>
        </w:rPr>
      </w:pPr>
      <w:r w:rsidRPr="00D52C15">
        <w:rPr>
          <w:kern w:val="22"/>
          <w:szCs w:val="22"/>
        </w:rPr>
        <w:t>Conclusions of the Subsidiary Body on Scientific, Technical and Technological Advice regarding Scenarios for the 2050 Vision for Biodiversity</w:t>
      </w:r>
    </w:p>
    <w:p w14:paraId="3B896505" w14:textId="77777777" w:rsidR="006A135A" w:rsidRPr="00D52C15" w:rsidRDefault="006A135A" w:rsidP="00074981">
      <w:pPr>
        <w:pStyle w:val="Para1"/>
        <w:numPr>
          <w:ilvl w:val="0"/>
          <w:numId w:val="0"/>
        </w:numPr>
        <w:suppressLineNumbers/>
        <w:suppressAutoHyphens/>
        <w:rPr>
          <w:kern w:val="22"/>
          <w:szCs w:val="22"/>
        </w:rPr>
      </w:pPr>
      <w:r w:rsidRPr="00D52C15">
        <w:rPr>
          <w:rFonts w:eastAsia="Malgun Gothic"/>
          <w:kern w:val="22"/>
          <w:szCs w:val="22"/>
        </w:rPr>
        <w:t>1.</w:t>
      </w:r>
      <w:r w:rsidRPr="00D52C15">
        <w:rPr>
          <w:rFonts w:eastAsia="Malgun Gothic"/>
          <w:kern w:val="22"/>
          <w:szCs w:val="22"/>
        </w:rPr>
        <w:tab/>
      </w:r>
      <w:r w:rsidRPr="00D52C15">
        <w:rPr>
          <w:rFonts w:eastAsia="Malgun Gothic"/>
          <w:i/>
          <w:kern w:val="22"/>
          <w:szCs w:val="22"/>
        </w:rPr>
        <w:t>The 2050 Vision of the Strategic Plan remains relevant and should be considered in any follow-up to the Strategic Plan for Biodiversity 2011-2020</w:t>
      </w:r>
      <w:r w:rsidRPr="00D52C15">
        <w:rPr>
          <w:rFonts w:eastAsia="Malgun Gothic"/>
          <w:kern w:val="22"/>
          <w:szCs w:val="22"/>
        </w:rPr>
        <w:t>. The 2050 Vision (“Living in harmony with nature” where “by 2050, biodiversity is valued, conserved, restored and wisely used, maintaining ecosystem services, sustaining a healthy planet and delivering benefits essential for all people”) contains elements that could be translated into a long-term goal for biodiversity and provide context for discussions on possible biodiversity targets for 2030 as part of the post-2020 global biodiversity framework.</w:t>
      </w:r>
    </w:p>
    <w:p w14:paraId="20F55359" w14:textId="77777777" w:rsidR="006A135A" w:rsidRPr="00D52C15" w:rsidRDefault="006A135A" w:rsidP="00074981">
      <w:pPr>
        <w:pStyle w:val="Para1"/>
        <w:numPr>
          <w:ilvl w:val="0"/>
          <w:numId w:val="0"/>
        </w:numPr>
        <w:suppressLineNumbers/>
        <w:suppressAutoHyphens/>
        <w:rPr>
          <w:kern w:val="22"/>
          <w:szCs w:val="22"/>
        </w:rPr>
      </w:pPr>
      <w:r w:rsidRPr="00D52C15">
        <w:rPr>
          <w:rFonts w:eastAsia="Malgun Gothic"/>
          <w:kern w:val="22"/>
          <w:szCs w:val="22"/>
        </w:rPr>
        <w:t>2.</w:t>
      </w:r>
      <w:r w:rsidRPr="00D52C15">
        <w:rPr>
          <w:rFonts w:eastAsia="Malgun Gothic"/>
          <w:i/>
          <w:kern w:val="22"/>
          <w:szCs w:val="22"/>
        </w:rPr>
        <w:tab/>
        <w:t>Current trends, or “business-as-usual” scenarios, show continued loss of biodiversity</w:t>
      </w:r>
      <w:r w:rsidRPr="00D52C15">
        <w:rPr>
          <w:rFonts w:eastAsia="Malgun Gothic"/>
          <w:kern w:val="22"/>
          <w:szCs w:val="22"/>
        </w:rPr>
        <w:t>, with major negative consequences for human well-being, including changes that may be irreversible. Urgent action on biodiversity therefore remains a pressing global societal issue.</w:t>
      </w:r>
    </w:p>
    <w:p w14:paraId="7E8B51B3" w14:textId="77777777" w:rsidR="006A135A" w:rsidRPr="00D52C15" w:rsidRDefault="006A135A" w:rsidP="00074981">
      <w:pPr>
        <w:pStyle w:val="Para1"/>
        <w:numPr>
          <w:ilvl w:val="0"/>
          <w:numId w:val="0"/>
        </w:numPr>
        <w:suppressLineNumbers/>
        <w:suppressAutoHyphens/>
        <w:rPr>
          <w:kern w:val="22"/>
          <w:szCs w:val="22"/>
        </w:rPr>
      </w:pPr>
      <w:r w:rsidRPr="00D52C15">
        <w:rPr>
          <w:rFonts w:eastAsia="Malgun Gothic"/>
          <w:kern w:val="22"/>
          <w:szCs w:val="22"/>
        </w:rPr>
        <w:t>3.</w:t>
      </w:r>
      <w:r w:rsidRPr="00D52C15">
        <w:rPr>
          <w:rFonts w:eastAsia="Malgun Gothic"/>
          <w:i/>
          <w:kern w:val="22"/>
          <w:szCs w:val="22"/>
        </w:rPr>
        <w:tab/>
        <w:t>Scenarios for future socioeconomic development demonstrate that there is a wide range of plausible futures</w:t>
      </w:r>
      <w:r w:rsidRPr="00D52C15">
        <w:rPr>
          <w:rFonts w:eastAsia="Malgun Gothic"/>
          <w:kern w:val="22"/>
          <w:szCs w:val="22"/>
        </w:rPr>
        <w:t xml:space="preserve"> with respect to population growth, education, urbanization, economic growth, technological development and approaches to international trade, among other factors, leading to varying levels of drivers of ecosystem and biodiversity change, such as climate change, overexploitation, pollution, invasive alien species and habitat loss, including land use change. This range of plausible futures provides space for developing policy measures to achieve the 2050 Vision and other global goals.</w:t>
      </w:r>
    </w:p>
    <w:p w14:paraId="41CA2E19" w14:textId="77777777" w:rsidR="006A135A" w:rsidRPr="00D52C15" w:rsidRDefault="006A135A" w:rsidP="00074981">
      <w:pPr>
        <w:pStyle w:val="Para1"/>
        <w:numPr>
          <w:ilvl w:val="0"/>
          <w:numId w:val="0"/>
        </w:numPr>
        <w:suppressLineNumbers/>
        <w:suppressAutoHyphens/>
        <w:rPr>
          <w:kern w:val="22"/>
          <w:szCs w:val="22"/>
        </w:rPr>
      </w:pPr>
      <w:r w:rsidRPr="00D52C15">
        <w:rPr>
          <w:rFonts w:eastAsia="Malgun Gothic"/>
          <w:kern w:val="22"/>
          <w:szCs w:val="22"/>
        </w:rPr>
        <w:t>4.</w:t>
      </w:r>
      <w:r w:rsidRPr="00D52C15">
        <w:rPr>
          <w:rFonts w:eastAsia="Malgun Gothic"/>
          <w:kern w:val="22"/>
          <w:szCs w:val="22"/>
        </w:rPr>
        <w:tab/>
      </w:r>
      <w:r w:rsidRPr="00D52C15">
        <w:rPr>
          <w:rFonts w:eastAsia="Malgun Gothic"/>
          <w:i/>
          <w:kern w:val="22"/>
          <w:szCs w:val="22"/>
        </w:rPr>
        <w:t>The biodiversity goals reflected in the 2050 Vision could be attained while also reaching broader socioeconomic objectives by deploying a combination of measures, including measures</w:t>
      </w:r>
      <w:r w:rsidRPr="00D52C15">
        <w:rPr>
          <w:rFonts w:eastAsia="Malgun Gothic"/>
          <w:kern w:val="22"/>
          <w:szCs w:val="22"/>
        </w:rPr>
        <w:t xml:space="preserve">: (a) to increase the sustainability and productivity of agriculture, increasing and making better use of biodiversity within agricultural ecosystems to contribute to increases in sustainable production; (b) to reduce ecosystem </w:t>
      </w:r>
      <w:r w:rsidRPr="00D52C15">
        <w:rPr>
          <w:rFonts w:eastAsia="Malgun Gothic"/>
          <w:kern w:val="22"/>
          <w:szCs w:val="22"/>
        </w:rPr>
        <w:lastRenderedPageBreak/>
        <w:t>degradation and fragmentation and maintain biodiversity and ecosystem functions and services including through proactive spatial planning, the restoration of degraded lands and ecosystems and the strategic expansion of protected areas; (c) to reduce overexploitation of fisheries and other biological resources; (d) to control invasive alien species; (e) to adapt to and mitigate climate change; and (f) to reduce waste and excessive consumption.</w:t>
      </w:r>
    </w:p>
    <w:p w14:paraId="0457487B" w14:textId="77777777" w:rsidR="006A135A" w:rsidRPr="00CB467D" w:rsidRDefault="006A135A" w:rsidP="00074981">
      <w:pPr>
        <w:pStyle w:val="Para1"/>
        <w:numPr>
          <w:ilvl w:val="0"/>
          <w:numId w:val="0"/>
        </w:numPr>
        <w:suppressLineNumbers/>
        <w:suppressAutoHyphens/>
        <w:rPr>
          <w:kern w:val="22"/>
          <w:szCs w:val="22"/>
        </w:rPr>
      </w:pPr>
      <w:r w:rsidRPr="00D52C15">
        <w:rPr>
          <w:rFonts w:eastAsia="Malgun Gothic"/>
          <w:kern w:val="22"/>
          <w:szCs w:val="22"/>
        </w:rPr>
        <w:t>5.</w:t>
      </w:r>
      <w:r w:rsidRPr="00D52C15">
        <w:rPr>
          <w:rFonts w:eastAsia="Malgun Gothic"/>
          <w:i/>
          <w:kern w:val="22"/>
          <w:szCs w:val="22"/>
        </w:rPr>
        <w:tab/>
        <w:t>These measures could be developed in various “policy mixes” depending on the needs and priorities of countries and stakeholders</w:t>
      </w:r>
      <w:r w:rsidRPr="00D52C15">
        <w:rPr>
          <w:rFonts w:eastAsia="Malgun Gothic"/>
          <w:kern w:val="22"/>
          <w:szCs w:val="22"/>
        </w:rPr>
        <w:t xml:space="preserve">. For example, the combination of policy measures referred to in paragraph 4 above could vary with respect to the emphasis on changes in production and consumption, the degree of reliance on new technologies and international trade and the degree of global and local coordination such as illustrated by the three pathways identified in the fourth edition of the </w:t>
      </w:r>
      <w:r w:rsidRPr="00D52C15">
        <w:rPr>
          <w:rFonts w:eastAsia="Malgun Gothic"/>
          <w:i/>
          <w:kern w:val="22"/>
          <w:szCs w:val="22"/>
        </w:rPr>
        <w:t>Global Biodiversity Outlook</w:t>
      </w:r>
      <w:r w:rsidRPr="00D52C15">
        <w:rPr>
          <w:rFonts w:eastAsia="Malgun Gothic"/>
          <w:kern w:val="22"/>
          <w:szCs w:val="22"/>
        </w:rPr>
        <w:t>.</w:t>
      </w:r>
      <w:r w:rsidRPr="00B275AD">
        <w:rPr>
          <w:rStyle w:val="FootnoteReference"/>
          <w:rFonts w:eastAsia="Malgun Gothic"/>
          <w:kern w:val="22"/>
          <w:szCs w:val="22"/>
        </w:rPr>
        <w:footnoteReference w:id="3"/>
      </w:r>
      <w:r w:rsidRPr="00B275AD">
        <w:rPr>
          <w:rFonts w:eastAsia="Malgun Gothic"/>
          <w:kern w:val="22"/>
          <w:szCs w:val="22"/>
        </w:rPr>
        <w:t xml:space="preserve"> Further visioning exercises, at multiple scales and with strong stakeholder engagement are needed to further elucidate options and promote action.</w:t>
      </w:r>
    </w:p>
    <w:p w14:paraId="23845088" w14:textId="77777777" w:rsidR="006A135A" w:rsidRPr="00D52C15" w:rsidRDefault="006A135A" w:rsidP="00074981">
      <w:pPr>
        <w:pStyle w:val="Para1"/>
        <w:numPr>
          <w:ilvl w:val="0"/>
          <w:numId w:val="0"/>
        </w:numPr>
        <w:suppressLineNumbers/>
        <w:suppressAutoHyphens/>
        <w:rPr>
          <w:kern w:val="22"/>
          <w:szCs w:val="22"/>
        </w:rPr>
      </w:pPr>
      <w:r w:rsidRPr="00D52C15">
        <w:rPr>
          <w:rFonts w:eastAsia="Malgun Gothic"/>
          <w:kern w:val="22"/>
          <w:szCs w:val="22"/>
        </w:rPr>
        <w:t>6.</w:t>
      </w:r>
      <w:r w:rsidRPr="00D52C15">
        <w:rPr>
          <w:rFonts w:eastAsia="Malgun Gothic"/>
          <w:i/>
          <w:kern w:val="22"/>
          <w:szCs w:val="22"/>
        </w:rPr>
        <w:tab/>
        <w:t>The pathways towards a sustainable future, while plausible, require transformational change</w:t>
      </w:r>
      <w:r w:rsidRPr="00D52C15">
        <w:rPr>
          <w:rFonts w:eastAsia="Malgun Gothic"/>
          <w:kern w:val="22"/>
          <w:szCs w:val="22"/>
        </w:rPr>
        <w:t>, including changes in behaviour at the levels of producers and consumers, Governments and businesses. Further efforts will be needed to understand motivations and facilitate change. Societal and disruptive technological developments can lead to transitions that may contribute to, or counter, sustainability and the achievement of the three objectives of the Convention. Governments and international institutions can play a critical role in establishing an enabling environment to foster positive change. Further work is required to identify ways and means by which the Convention and the post-2020 global biodiversity framework can leverage such change.</w:t>
      </w:r>
    </w:p>
    <w:p w14:paraId="26122D93" w14:textId="74B53FF8" w:rsidR="006A135A" w:rsidRPr="00D52C15" w:rsidRDefault="006A135A" w:rsidP="00074981">
      <w:pPr>
        <w:pStyle w:val="Para1"/>
        <w:numPr>
          <w:ilvl w:val="0"/>
          <w:numId w:val="0"/>
        </w:numPr>
        <w:suppressLineNumbers/>
        <w:suppressAutoHyphens/>
        <w:rPr>
          <w:rFonts w:eastAsia="Malgun Gothic"/>
          <w:kern w:val="22"/>
          <w:szCs w:val="22"/>
        </w:rPr>
      </w:pPr>
      <w:r w:rsidRPr="00D52C15">
        <w:rPr>
          <w:rFonts w:eastAsia="Malgun Gothic"/>
          <w:kern w:val="22"/>
          <w:szCs w:val="22"/>
        </w:rPr>
        <w:t>7.</w:t>
      </w:r>
      <w:r w:rsidRPr="00D52C15">
        <w:rPr>
          <w:rFonts w:eastAsia="Malgun Gothic"/>
          <w:i/>
          <w:kern w:val="22"/>
          <w:szCs w:val="22"/>
        </w:rPr>
        <w:tab/>
        <w:t>A coherent approach is needed on biodiversity and climate change</w:t>
      </w:r>
      <w:r w:rsidRPr="00D52C15">
        <w:rPr>
          <w:rFonts w:eastAsia="Malgun Gothic"/>
          <w:kern w:val="22"/>
          <w:szCs w:val="22"/>
        </w:rPr>
        <w:t xml:space="preserve"> to ensure that impacts on biodiversity of climate change are reduced, that biodiversity and ecosystems can contribute solutions related to climate adaptation and mitigation, and that climate change adaptation and mitigation measures do not negatively impact biodiversity through changes in land management.</w:t>
      </w:r>
    </w:p>
    <w:p w14:paraId="226B34C6" w14:textId="77777777" w:rsidR="006A135A" w:rsidRPr="00D52C15" w:rsidRDefault="006A135A" w:rsidP="00074981">
      <w:pPr>
        <w:pStyle w:val="Para1"/>
        <w:numPr>
          <w:ilvl w:val="0"/>
          <w:numId w:val="0"/>
        </w:numPr>
        <w:suppressLineNumbers/>
        <w:suppressAutoHyphens/>
        <w:rPr>
          <w:kern w:val="22"/>
          <w:szCs w:val="22"/>
        </w:rPr>
      </w:pPr>
      <w:r w:rsidRPr="00D52C15">
        <w:rPr>
          <w:rFonts w:eastAsia="Malgun Gothic"/>
          <w:kern w:val="22"/>
          <w:szCs w:val="22"/>
        </w:rPr>
        <w:t>8.</w:t>
      </w:r>
      <w:r w:rsidRPr="00D52C15">
        <w:rPr>
          <w:rFonts w:eastAsia="Malgun Gothic"/>
          <w:i/>
          <w:kern w:val="22"/>
          <w:szCs w:val="22"/>
        </w:rPr>
        <w:tab/>
        <w:t>The 2050 Vision is consistent with the 2030 Agenda for Sustainable Development and other international goals</w:t>
      </w:r>
      <w:r w:rsidRPr="00D52C15">
        <w:rPr>
          <w:rFonts w:eastAsia="Malgun Gothic"/>
          <w:kern w:val="22"/>
          <w:szCs w:val="22"/>
        </w:rPr>
        <w:t xml:space="preserve">. Progress towards the 2030 Agenda for Sustainable Development would help to address many drivers of biodiversity loss </w:t>
      </w:r>
      <w:proofErr w:type="gramStart"/>
      <w:r w:rsidRPr="00D52C15">
        <w:rPr>
          <w:rFonts w:eastAsia="Malgun Gothic"/>
          <w:kern w:val="22"/>
          <w:szCs w:val="22"/>
        </w:rPr>
        <w:t>and also</w:t>
      </w:r>
      <w:proofErr w:type="gramEnd"/>
      <w:r w:rsidRPr="00D52C15">
        <w:rPr>
          <w:rFonts w:eastAsia="Malgun Gothic"/>
          <w:kern w:val="22"/>
          <w:szCs w:val="22"/>
        </w:rPr>
        <w:t xml:space="preserve"> support biodiversity objectives by creating a favourable enabling environment. The integrated and indivisible nature of the Agenda implies that the achievement of all goals is necessary, and scenarios and models may inform the choice of policies and measures and their limitations, highlighting the need for policy coherence.</w:t>
      </w:r>
    </w:p>
    <w:p w14:paraId="05D457A4" w14:textId="77777777" w:rsidR="006A135A" w:rsidRPr="00D52C15" w:rsidRDefault="006A135A" w:rsidP="00074981">
      <w:pPr>
        <w:pStyle w:val="Para1"/>
        <w:numPr>
          <w:ilvl w:val="0"/>
          <w:numId w:val="0"/>
        </w:numPr>
        <w:suppressLineNumbers/>
        <w:suppressAutoHyphens/>
        <w:rPr>
          <w:kern w:val="22"/>
          <w:szCs w:val="22"/>
        </w:rPr>
      </w:pPr>
      <w:r w:rsidRPr="00D52C15">
        <w:rPr>
          <w:rFonts w:eastAsia="Malgun Gothic"/>
          <w:kern w:val="22"/>
          <w:szCs w:val="22"/>
        </w:rPr>
        <w:t>9.</w:t>
      </w:r>
      <w:r w:rsidRPr="00D52C15">
        <w:rPr>
          <w:rFonts w:eastAsia="Malgun Gothic"/>
          <w:kern w:val="22"/>
          <w:szCs w:val="22"/>
        </w:rPr>
        <w:tab/>
      </w:r>
      <w:r w:rsidRPr="00D52C15">
        <w:rPr>
          <w:rFonts w:eastAsia="Malgun Gothic"/>
          <w:i/>
          <w:kern w:val="22"/>
          <w:szCs w:val="22"/>
        </w:rPr>
        <w:t>Scenarios and models may be useful in informing the development and implementation of the post-2020 global biodiversity framework</w:t>
      </w:r>
      <w:r w:rsidRPr="00D52C15">
        <w:rPr>
          <w:rFonts w:eastAsia="Malgun Gothic"/>
          <w:kern w:val="22"/>
          <w:szCs w:val="22"/>
        </w:rPr>
        <w:t xml:space="preserve">. The development of the current Strategic Plan for Biodiversity 2011-2020 was informed by biodiversity scenarios that include those developed for the third edition of the </w:t>
      </w:r>
      <w:r w:rsidRPr="00D52C15">
        <w:rPr>
          <w:rFonts w:eastAsia="Malgun Gothic"/>
          <w:i/>
          <w:kern w:val="22"/>
          <w:szCs w:val="22"/>
        </w:rPr>
        <w:t>Global Biodiversity Outlook</w:t>
      </w:r>
      <w:r w:rsidRPr="00D52C15">
        <w:rPr>
          <w:rFonts w:eastAsia="Malgun Gothic"/>
          <w:kern w:val="22"/>
          <w:szCs w:val="22"/>
        </w:rPr>
        <w:t>. There is also a potential for scenarios developed at appropriate scales to inform policymaking and implementation at the national level.</w:t>
      </w:r>
    </w:p>
    <w:p w14:paraId="3E32DB89" w14:textId="6108B23C" w:rsidR="006A135A" w:rsidRPr="00D52C15" w:rsidRDefault="006A135A" w:rsidP="00074981">
      <w:pPr>
        <w:pStyle w:val="Para1"/>
        <w:numPr>
          <w:ilvl w:val="0"/>
          <w:numId w:val="0"/>
        </w:numPr>
        <w:suppressLineNumbers/>
        <w:suppressAutoHyphens/>
        <w:rPr>
          <w:kern w:val="22"/>
          <w:szCs w:val="22"/>
        </w:rPr>
      </w:pPr>
      <w:r w:rsidRPr="00D52C15">
        <w:rPr>
          <w:rFonts w:eastAsia="Malgun Gothic"/>
          <w:kern w:val="22"/>
          <w:szCs w:val="22"/>
        </w:rPr>
        <w:t>10.</w:t>
      </w:r>
      <w:r w:rsidRPr="00D52C15">
        <w:rPr>
          <w:rFonts w:eastAsia="Malgun Gothic"/>
          <w:kern w:val="22"/>
          <w:szCs w:val="22"/>
        </w:rPr>
        <w:tab/>
      </w:r>
      <w:r w:rsidRPr="00D52C15">
        <w:rPr>
          <w:rFonts w:eastAsia="Malgun Gothic"/>
          <w:i/>
          <w:kern w:val="22"/>
          <w:szCs w:val="22"/>
        </w:rPr>
        <w:t>Scenario analyses tailored to regional, national or local circumstances provide information to feed into strategic planning for conservation and sustainable use of biodiversity</w:t>
      </w:r>
      <w:r w:rsidRPr="00D52C15">
        <w:rPr>
          <w:rFonts w:eastAsia="Malgun Gothic"/>
          <w:kern w:val="22"/>
          <w:szCs w:val="22"/>
        </w:rPr>
        <w:t>. They can therefore directly support the development of national biodiversity strategies and action plans. Furthermore, the inclusion of participatory approaches in scenario analysis is a valuable tool for building the capacity for decision-making that focuses on the conservation and sustainable use of biodiversity. It can do this by allowing stakeholders to recognize the relationships between biodiversity and other sectors, and how enhanced benefits can increase human well-being.</w:t>
      </w:r>
      <w:bookmarkStart w:id="1" w:name="_GoBack"/>
      <w:bookmarkEnd w:id="1"/>
    </w:p>
    <w:bookmarkEnd w:id="0"/>
    <w:p w14:paraId="7A1C5D26" w14:textId="262EB618" w:rsidR="005D6921" w:rsidRPr="00D52C15" w:rsidRDefault="00280A8D" w:rsidP="00074981">
      <w:pPr>
        <w:pStyle w:val="ListParagraph"/>
        <w:suppressLineNumbers/>
        <w:suppressAutoHyphens/>
        <w:spacing w:after="120"/>
        <w:ind w:left="90"/>
        <w:contextualSpacing w:val="0"/>
        <w:jc w:val="center"/>
        <w:rPr>
          <w:kern w:val="22"/>
          <w:szCs w:val="22"/>
        </w:rPr>
      </w:pPr>
      <w:r w:rsidRPr="00D52C15">
        <w:rPr>
          <w:kern w:val="22"/>
          <w:szCs w:val="22"/>
        </w:rPr>
        <w:t>__________</w:t>
      </w:r>
    </w:p>
    <w:sectPr w:rsidR="005D6921" w:rsidRPr="00D52C15" w:rsidSect="009C200D">
      <w:headerReference w:type="even" r:id="rId14"/>
      <w:headerReference w:type="default" r:id="rId15"/>
      <w:footerReference w:type="even" r:id="rId16"/>
      <w:footerReference w:type="default" r:id="rId17"/>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85E6CF" w14:textId="77777777" w:rsidR="00403456" w:rsidRDefault="00403456" w:rsidP="00CF1848">
      <w:r>
        <w:separator/>
      </w:r>
    </w:p>
  </w:endnote>
  <w:endnote w:type="continuationSeparator" w:id="0">
    <w:p w14:paraId="5080FBE4" w14:textId="77777777" w:rsidR="00403456" w:rsidRDefault="00403456"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199CE" w14:textId="77777777" w:rsidR="00450096" w:rsidRDefault="00450096" w:rsidP="00CC39DD">
    <w:pPr>
      <w:pStyle w:val="Footer"/>
      <w:tabs>
        <w:tab w:val="clear" w:pos="4320"/>
        <w:tab w:val="clear" w:pos="8640"/>
      </w:tabs>
      <w:ind w:firstLine="0"/>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DA80E" w14:textId="77777777" w:rsidR="00450096" w:rsidRDefault="00450096" w:rsidP="00CC39DD">
    <w:pPr>
      <w:pStyle w:val="Footer"/>
      <w:tabs>
        <w:tab w:val="clear" w:pos="4320"/>
        <w:tab w:val="clear" w:pos="8640"/>
      </w:tabs>
      <w:ind w:firstLine="0"/>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2BA6E9" w14:textId="77777777" w:rsidR="00403456" w:rsidRDefault="00403456" w:rsidP="00CF1848">
      <w:r>
        <w:separator/>
      </w:r>
    </w:p>
  </w:footnote>
  <w:footnote w:type="continuationSeparator" w:id="0">
    <w:p w14:paraId="0D7F7D99" w14:textId="77777777" w:rsidR="00403456" w:rsidRDefault="00403456" w:rsidP="00CF1848">
      <w:r>
        <w:continuationSeparator/>
      </w:r>
    </w:p>
  </w:footnote>
  <w:footnote w:id="1">
    <w:p w14:paraId="30DF6452" w14:textId="4440DF0D" w:rsidR="00E567B9" w:rsidRPr="00CC39DD" w:rsidRDefault="00E567B9" w:rsidP="00CC39DD">
      <w:pPr>
        <w:pStyle w:val="FootnoteText"/>
        <w:ind w:firstLine="0"/>
        <w:jc w:val="left"/>
        <w:rPr>
          <w:kern w:val="18"/>
          <w:szCs w:val="18"/>
        </w:rPr>
      </w:pPr>
      <w:r w:rsidRPr="00CC39DD">
        <w:rPr>
          <w:rStyle w:val="FootnoteReference"/>
          <w:rFonts w:eastAsiaTheme="majorEastAsia"/>
          <w:kern w:val="18"/>
          <w:sz w:val="18"/>
          <w:szCs w:val="18"/>
        </w:rPr>
        <w:footnoteRef/>
      </w:r>
      <w:r w:rsidRPr="00CC39DD">
        <w:rPr>
          <w:kern w:val="18"/>
          <w:szCs w:val="18"/>
        </w:rPr>
        <w:t xml:space="preserve"> </w:t>
      </w:r>
      <w:hyperlink r:id="rId1" w:history="1">
        <w:r w:rsidRPr="00CC39DD">
          <w:rPr>
            <w:rStyle w:val="Hyperlink"/>
            <w:kern w:val="18"/>
            <w:szCs w:val="18"/>
          </w:rPr>
          <w:t>CBD/</w:t>
        </w:r>
        <w:proofErr w:type="spellStart"/>
        <w:r w:rsidRPr="00CC39DD">
          <w:rPr>
            <w:rStyle w:val="Hyperlink"/>
            <w:kern w:val="18"/>
            <w:szCs w:val="18"/>
          </w:rPr>
          <w:t>SBSTTA</w:t>
        </w:r>
        <w:proofErr w:type="spellEnd"/>
        <w:r w:rsidRPr="00CC39DD">
          <w:rPr>
            <w:rStyle w:val="Hyperlink"/>
            <w:kern w:val="18"/>
            <w:szCs w:val="18"/>
          </w:rPr>
          <w:t>/21/2</w:t>
        </w:r>
      </w:hyperlink>
      <w:r w:rsidRPr="00CC39DD">
        <w:rPr>
          <w:kern w:val="18"/>
          <w:szCs w:val="18"/>
        </w:rPr>
        <w:t xml:space="preserve"> and </w:t>
      </w:r>
      <w:hyperlink r:id="rId2" w:history="1">
        <w:r w:rsidRPr="00CC39DD">
          <w:rPr>
            <w:rStyle w:val="Hyperlink"/>
            <w:kern w:val="18"/>
            <w:szCs w:val="18"/>
          </w:rPr>
          <w:t>Add.1</w:t>
        </w:r>
      </w:hyperlink>
      <w:r w:rsidRPr="00CC39DD">
        <w:rPr>
          <w:kern w:val="18"/>
          <w:szCs w:val="18"/>
        </w:rPr>
        <w:t xml:space="preserve">, </w:t>
      </w:r>
      <w:hyperlink r:id="rId3" w:history="1">
        <w:r w:rsidRPr="00CC39DD">
          <w:rPr>
            <w:rStyle w:val="Hyperlink"/>
            <w:kern w:val="18"/>
            <w:szCs w:val="18"/>
          </w:rPr>
          <w:t>CBD/</w:t>
        </w:r>
        <w:proofErr w:type="spellStart"/>
        <w:r w:rsidRPr="00CC39DD">
          <w:rPr>
            <w:rStyle w:val="Hyperlink"/>
            <w:kern w:val="18"/>
            <w:szCs w:val="18"/>
          </w:rPr>
          <w:t>SBSTTA</w:t>
        </w:r>
        <w:proofErr w:type="spellEnd"/>
        <w:r w:rsidRPr="00CC39DD">
          <w:rPr>
            <w:rStyle w:val="Hyperlink"/>
            <w:kern w:val="18"/>
            <w:szCs w:val="18"/>
          </w:rPr>
          <w:t>/21/INF/2</w:t>
        </w:r>
      </w:hyperlink>
      <w:r w:rsidR="00505F2F">
        <w:rPr>
          <w:rStyle w:val="Hyperlink"/>
          <w:kern w:val="18"/>
          <w:szCs w:val="18"/>
        </w:rPr>
        <w:t>/R</w:t>
      </w:r>
      <w:r w:rsidR="00BB2725">
        <w:rPr>
          <w:rStyle w:val="Hyperlink"/>
          <w:kern w:val="18"/>
          <w:szCs w:val="18"/>
        </w:rPr>
        <w:t>ev.</w:t>
      </w:r>
      <w:r w:rsidR="00505F2F">
        <w:rPr>
          <w:rStyle w:val="Hyperlink"/>
          <w:kern w:val="18"/>
          <w:szCs w:val="18"/>
        </w:rPr>
        <w:t>1</w:t>
      </w:r>
      <w:r w:rsidRPr="00CC39DD">
        <w:rPr>
          <w:kern w:val="18"/>
          <w:szCs w:val="18"/>
        </w:rPr>
        <w:t xml:space="preserve">, </w:t>
      </w:r>
      <w:hyperlink r:id="rId4" w:history="1">
        <w:r w:rsidRPr="00CC39DD">
          <w:rPr>
            <w:rStyle w:val="Hyperlink"/>
            <w:kern w:val="18"/>
            <w:szCs w:val="18"/>
          </w:rPr>
          <w:t>INF/3</w:t>
        </w:r>
      </w:hyperlink>
      <w:r w:rsidR="00505F2F">
        <w:rPr>
          <w:rStyle w:val="Hyperlink"/>
          <w:kern w:val="18"/>
          <w:szCs w:val="18"/>
        </w:rPr>
        <w:t>/R</w:t>
      </w:r>
      <w:r w:rsidR="00BB2725">
        <w:rPr>
          <w:rStyle w:val="Hyperlink"/>
          <w:kern w:val="18"/>
          <w:szCs w:val="18"/>
        </w:rPr>
        <w:t>ev.</w:t>
      </w:r>
      <w:r w:rsidR="00505F2F">
        <w:rPr>
          <w:rStyle w:val="Hyperlink"/>
          <w:kern w:val="18"/>
          <w:szCs w:val="18"/>
        </w:rPr>
        <w:t>1</w:t>
      </w:r>
      <w:r w:rsidRPr="00CC39DD">
        <w:rPr>
          <w:kern w:val="18"/>
          <w:szCs w:val="18"/>
        </w:rPr>
        <w:t xml:space="preserve">, </w:t>
      </w:r>
      <w:hyperlink r:id="rId5" w:history="1">
        <w:r w:rsidRPr="00CC39DD">
          <w:rPr>
            <w:rStyle w:val="Hyperlink"/>
            <w:kern w:val="18"/>
            <w:szCs w:val="18"/>
          </w:rPr>
          <w:t>INF/4</w:t>
        </w:r>
      </w:hyperlink>
      <w:r w:rsidR="00505F2F">
        <w:rPr>
          <w:rStyle w:val="Hyperlink"/>
          <w:kern w:val="18"/>
          <w:szCs w:val="18"/>
        </w:rPr>
        <w:t>/R</w:t>
      </w:r>
      <w:r w:rsidR="00BB2725">
        <w:rPr>
          <w:rStyle w:val="Hyperlink"/>
          <w:kern w:val="18"/>
          <w:szCs w:val="18"/>
        </w:rPr>
        <w:t>ev.</w:t>
      </w:r>
      <w:r w:rsidR="00505F2F">
        <w:rPr>
          <w:rStyle w:val="Hyperlink"/>
          <w:kern w:val="18"/>
          <w:szCs w:val="18"/>
        </w:rPr>
        <w:t>1</w:t>
      </w:r>
      <w:r w:rsidRPr="00CC39DD">
        <w:rPr>
          <w:kern w:val="18"/>
          <w:szCs w:val="18"/>
        </w:rPr>
        <w:t xml:space="preserve">, </w:t>
      </w:r>
      <w:hyperlink r:id="rId6" w:history="1">
        <w:r w:rsidRPr="00CC39DD">
          <w:rPr>
            <w:rStyle w:val="Hyperlink"/>
            <w:kern w:val="18"/>
            <w:szCs w:val="18"/>
          </w:rPr>
          <w:t>INF/18</w:t>
        </w:r>
      </w:hyperlink>
      <w:r w:rsidR="00505F2F">
        <w:rPr>
          <w:rStyle w:val="Hyperlink"/>
          <w:kern w:val="18"/>
          <w:szCs w:val="18"/>
        </w:rPr>
        <w:t>/R</w:t>
      </w:r>
      <w:r w:rsidR="00BB2725">
        <w:rPr>
          <w:rStyle w:val="Hyperlink"/>
          <w:kern w:val="18"/>
          <w:szCs w:val="18"/>
        </w:rPr>
        <w:t>ev.</w:t>
      </w:r>
      <w:r w:rsidR="00505F2F">
        <w:rPr>
          <w:rStyle w:val="Hyperlink"/>
          <w:kern w:val="18"/>
          <w:szCs w:val="18"/>
        </w:rPr>
        <w:t>1</w:t>
      </w:r>
      <w:r w:rsidRPr="00CC39DD">
        <w:rPr>
          <w:kern w:val="18"/>
          <w:szCs w:val="18"/>
        </w:rPr>
        <w:t>.</w:t>
      </w:r>
    </w:p>
  </w:footnote>
  <w:footnote w:id="2">
    <w:p w14:paraId="6AA22BFC" w14:textId="54E07E68" w:rsidR="00A33E59" w:rsidRPr="00CC39DD" w:rsidRDefault="00A33E59" w:rsidP="00CC39DD">
      <w:pPr>
        <w:pStyle w:val="FootnoteText"/>
        <w:ind w:firstLine="0"/>
        <w:jc w:val="left"/>
        <w:rPr>
          <w:kern w:val="18"/>
          <w:szCs w:val="18"/>
          <w:lang w:val="en-US"/>
        </w:rPr>
      </w:pPr>
      <w:r w:rsidRPr="00CC39DD">
        <w:rPr>
          <w:rStyle w:val="FootnoteReference"/>
          <w:kern w:val="18"/>
          <w:sz w:val="18"/>
          <w:szCs w:val="18"/>
        </w:rPr>
        <w:footnoteRef/>
      </w:r>
      <w:r w:rsidRPr="00CC39DD">
        <w:rPr>
          <w:kern w:val="18"/>
          <w:szCs w:val="18"/>
        </w:rPr>
        <w:t xml:space="preserve"> </w:t>
      </w:r>
      <w:r w:rsidR="001F2325" w:rsidRPr="00CC39DD">
        <w:rPr>
          <w:kern w:val="18"/>
          <w:szCs w:val="18"/>
        </w:rPr>
        <w:t xml:space="preserve">Intergovernmental Science-Policy Platform on Biodiversity and Ecosystem Services, 2016 (available online at </w:t>
      </w:r>
      <w:hyperlink r:id="rId7" w:history="1">
        <w:r w:rsidR="00591879" w:rsidRPr="006C1B1F">
          <w:rPr>
            <w:rStyle w:val="Hyperlink"/>
            <w:kern w:val="18"/>
            <w:szCs w:val="18"/>
          </w:rPr>
          <w:t>https://www.ipbes.net/assessment-reports/scenarios</w:t>
        </w:r>
      </w:hyperlink>
      <w:r w:rsidR="001F2325" w:rsidRPr="00CC39DD">
        <w:rPr>
          <w:kern w:val="18"/>
          <w:szCs w:val="18"/>
        </w:rPr>
        <w:t>).</w:t>
      </w:r>
    </w:p>
  </w:footnote>
  <w:footnote w:id="3">
    <w:p w14:paraId="05185AC9" w14:textId="7BECD50B" w:rsidR="00E567B9" w:rsidRPr="00CC39DD" w:rsidRDefault="00E567B9" w:rsidP="00CC39DD">
      <w:pPr>
        <w:pStyle w:val="FootnoteText"/>
        <w:ind w:firstLine="0"/>
        <w:jc w:val="left"/>
        <w:rPr>
          <w:kern w:val="18"/>
          <w:szCs w:val="18"/>
          <w:lang w:val="en-US"/>
        </w:rPr>
      </w:pPr>
      <w:r w:rsidRPr="00CC39DD">
        <w:rPr>
          <w:rStyle w:val="FootnoteReference"/>
          <w:rFonts w:eastAsiaTheme="majorEastAsia"/>
          <w:kern w:val="18"/>
          <w:sz w:val="18"/>
          <w:szCs w:val="18"/>
        </w:rPr>
        <w:footnoteRef/>
      </w:r>
      <w:r w:rsidRPr="00CC39DD">
        <w:rPr>
          <w:kern w:val="18"/>
          <w:szCs w:val="18"/>
        </w:rPr>
        <w:t xml:space="preserve"> </w:t>
      </w:r>
      <w:r w:rsidRPr="00CC39DD">
        <w:rPr>
          <w:kern w:val="18"/>
          <w:szCs w:val="18"/>
          <w:lang w:val="en-US"/>
        </w:rPr>
        <w:t xml:space="preserve">See also </w:t>
      </w:r>
      <w:proofErr w:type="spellStart"/>
      <w:r w:rsidRPr="00CC39DD">
        <w:rPr>
          <w:kern w:val="18"/>
          <w:szCs w:val="18"/>
        </w:rPr>
        <w:t>Leadley</w:t>
      </w:r>
      <w:proofErr w:type="spellEnd"/>
      <w:r w:rsidRPr="00CC39DD">
        <w:rPr>
          <w:kern w:val="18"/>
          <w:szCs w:val="18"/>
        </w:rPr>
        <w:t xml:space="preserve"> et al (2014), Progress towards the Aichi Biodiversity Targets: An Assessment of Biodiversity Trends, Policy Scenarios and Key Actions. Secretariat of the Convention on Biological Diversity, Technical Series 78</w:t>
      </w:r>
      <w:r w:rsidRPr="00CC39DD">
        <w:rPr>
          <w:kern w:val="18"/>
          <w:szCs w:val="18"/>
          <w:lang w:val="en-US"/>
        </w:rPr>
        <w:t xml:space="preserve"> (</w:t>
      </w:r>
      <w:hyperlink r:id="rId8" w:history="1">
        <w:r w:rsidRPr="00CC39DD">
          <w:rPr>
            <w:rStyle w:val="Hyperlink"/>
            <w:kern w:val="18"/>
            <w:szCs w:val="18"/>
            <w:lang w:val="en-US"/>
          </w:rPr>
          <w:t>https://www.cbd.int/doc/publications/cbd-ts-78-en.pdf</w:t>
        </w:r>
      </w:hyperlink>
      <w:r w:rsidRPr="00CC39DD">
        <w:rPr>
          <w:kern w:val="18"/>
          <w:szCs w:val="18"/>
          <w:lang w:val="en-US"/>
        </w:rPr>
        <w:t>), and</w:t>
      </w:r>
      <w:r w:rsidRPr="00CC39DD">
        <w:rPr>
          <w:kern w:val="18"/>
          <w:szCs w:val="18"/>
        </w:rPr>
        <w:t xml:space="preserve"> </w:t>
      </w:r>
      <w:proofErr w:type="spellStart"/>
      <w:r w:rsidRPr="00CC39DD">
        <w:rPr>
          <w:kern w:val="18"/>
          <w:szCs w:val="18"/>
        </w:rPr>
        <w:t>Kok</w:t>
      </w:r>
      <w:proofErr w:type="spellEnd"/>
      <w:r w:rsidRPr="00CC39DD">
        <w:rPr>
          <w:kern w:val="18"/>
          <w:szCs w:val="18"/>
        </w:rPr>
        <w:t xml:space="preserve"> </w:t>
      </w:r>
      <w:r w:rsidR="00325D94">
        <w:rPr>
          <w:kern w:val="18"/>
          <w:szCs w:val="18"/>
        </w:rPr>
        <w:t>and</w:t>
      </w:r>
      <w:r w:rsidRPr="00CC39DD">
        <w:rPr>
          <w:kern w:val="18"/>
          <w:szCs w:val="18"/>
        </w:rPr>
        <w:t xml:space="preserve"> </w:t>
      </w:r>
      <w:proofErr w:type="spellStart"/>
      <w:r w:rsidRPr="00CC39DD">
        <w:rPr>
          <w:kern w:val="18"/>
          <w:szCs w:val="18"/>
        </w:rPr>
        <w:t>Alkemade</w:t>
      </w:r>
      <w:proofErr w:type="spellEnd"/>
      <w:r w:rsidRPr="00CC39DD">
        <w:rPr>
          <w:kern w:val="18"/>
          <w:szCs w:val="18"/>
        </w:rPr>
        <w:t xml:space="preserve"> (</w:t>
      </w:r>
      <w:proofErr w:type="spellStart"/>
      <w:r w:rsidRPr="00CC39DD">
        <w:rPr>
          <w:kern w:val="18"/>
          <w:szCs w:val="18"/>
        </w:rPr>
        <w:t>eds</w:t>
      </w:r>
      <w:proofErr w:type="spellEnd"/>
      <w:r w:rsidRPr="00CC39DD">
        <w:rPr>
          <w:kern w:val="18"/>
          <w:szCs w:val="18"/>
        </w:rPr>
        <w:t xml:space="preserve">) (2014), How sectors can contribute to sustainable use and conservation of biodiversity, Secretariat of the Convention on Biological Diversity, and PBL Netherlands Environmental Assessment Agency, Technical Series 79 </w:t>
      </w:r>
      <w:r w:rsidRPr="00CC39DD">
        <w:rPr>
          <w:kern w:val="18"/>
          <w:szCs w:val="18"/>
          <w:lang w:val="en-US"/>
        </w:rPr>
        <w:t>(https://www.cbd.int/doc/publications/cbd-ts-79-en.pdf)</w:t>
      </w:r>
      <w:r w:rsidR="00325D94">
        <w:rPr>
          <w:kern w:val="18"/>
          <w:szCs w:val="18"/>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2147F03" w14:textId="1AD46307" w:rsidR="00E567B9" w:rsidRPr="00CC39DD" w:rsidRDefault="00BB2725" w:rsidP="00CC39DD">
        <w:pPr>
          <w:pStyle w:val="Header"/>
          <w:tabs>
            <w:tab w:val="clear" w:pos="4320"/>
            <w:tab w:val="clear" w:pos="8640"/>
          </w:tabs>
          <w:jc w:val="left"/>
          <w:rPr>
            <w:noProof/>
            <w:kern w:val="22"/>
          </w:rPr>
        </w:pPr>
        <w:r>
          <w:rPr>
            <w:noProof/>
            <w:kern w:val="22"/>
          </w:rPr>
          <w:t>CBD/COP/DEC/14/2</w:t>
        </w:r>
      </w:p>
    </w:sdtContent>
  </w:sdt>
  <w:p w14:paraId="57597240" w14:textId="46849E32" w:rsidR="00E567B9" w:rsidRPr="00CC39DD" w:rsidRDefault="00E567B9" w:rsidP="00CC39DD">
    <w:pPr>
      <w:pStyle w:val="Header"/>
      <w:tabs>
        <w:tab w:val="clear" w:pos="4320"/>
        <w:tab w:val="clear" w:pos="8640"/>
      </w:tabs>
      <w:jc w:val="left"/>
      <w:rPr>
        <w:noProof/>
        <w:kern w:val="22"/>
      </w:rPr>
    </w:pPr>
    <w:r w:rsidRPr="00CC39DD">
      <w:rPr>
        <w:noProof/>
        <w:kern w:val="22"/>
      </w:rPr>
      <w:t xml:space="preserve">Page </w:t>
    </w:r>
    <w:r w:rsidRPr="00CC39DD">
      <w:rPr>
        <w:noProof/>
        <w:kern w:val="22"/>
      </w:rPr>
      <w:fldChar w:fldCharType="begin"/>
    </w:r>
    <w:r w:rsidRPr="00CC39DD">
      <w:rPr>
        <w:noProof/>
        <w:kern w:val="22"/>
      </w:rPr>
      <w:instrText xml:space="preserve"> PAGE   \* MERGEFORMAT </w:instrText>
    </w:r>
    <w:r w:rsidRPr="00CC39DD">
      <w:rPr>
        <w:noProof/>
        <w:kern w:val="22"/>
      </w:rPr>
      <w:fldChar w:fldCharType="separate"/>
    </w:r>
    <w:r w:rsidR="00591879">
      <w:rPr>
        <w:noProof/>
        <w:kern w:val="22"/>
      </w:rPr>
      <w:t>2</w:t>
    </w:r>
    <w:r w:rsidRPr="00CC39DD">
      <w:rPr>
        <w:noProof/>
        <w:kern w:val="22"/>
      </w:rPr>
      <w:fldChar w:fldCharType="end"/>
    </w:r>
  </w:p>
  <w:p w14:paraId="1D80EB20" w14:textId="77777777" w:rsidR="00E567B9" w:rsidRPr="00CC39DD" w:rsidRDefault="00E567B9" w:rsidP="00CC39DD">
    <w:pPr>
      <w:pStyle w:val="Header"/>
      <w:tabs>
        <w:tab w:val="clear" w:pos="4320"/>
        <w:tab w:val="clear" w:pos="8640"/>
      </w:tabs>
      <w:jc w:val="left"/>
      <w:rPr>
        <w:noProof/>
        <w:kern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39C61189" w14:textId="60E7BAB0" w:rsidR="00E567B9" w:rsidRPr="00CC39DD" w:rsidRDefault="00BB2725" w:rsidP="00CC39DD">
        <w:pPr>
          <w:pStyle w:val="Header"/>
          <w:tabs>
            <w:tab w:val="clear" w:pos="4320"/>
            <w:tab w:val="clear" w:pos="8640"/>
          </w:tabs>
          <w:jc w:val="right"/>
          <w:rPr>
            <w:noProof/>
            <w:kern w:val="22"/>
          </w:rPr>
        </w:pPr>
        <w:r>
          <w:rPr>
            <w:noProof/>
            <w:kern w:val="22"/>
          </w:rPr>
          <w:t>CBD/COP/DEC/14/2</w:t>
        </w:r>
      </w:p>
    </w:sdtContent>
  </w:sdt>
  <w:p w14:paraId="7E9B8683" w14:textId="0AAD012B" w:rsidR="00E567B9" w:rsidRPr="00CC39DD" w:rsidRDefault="00E567B9" w:rsidP="00CC39DD">
    <w:pPr>
      <w:pStyle w:val="Header"/>
      <w:tabs>
        <w:tab w:val="clear" w:pos="4320"/>
        <w:tab w:val="clear" w:pos="8640"/>
      </w:tabs>
      <w:jc w:val="right"/>
      <w:rPr>
        <w:noProof/>
        <w:kern w:val="22"/>
      </w:rPr>
    </w:pPr>
    <w:r w:rsidRPr="00CC39DD">
      <w:rPr>
        <w:noProof/>
        <w:kern w:val="22"/>
      </w:rPr>
      <w:t xml:space="preserve">Page </w:t>
    </w:r>
    <w:r w:rsidRPr="00CC39DD">
      <w:rPr>
        <w:noProof/>
        <w:kern w:val="22"/>
      </w:rPr>
      <w:fldChar w:fldCharType="begin"/>
    </w:r>
    <w:r w:rsidRPr="00CC39DD">
      <w:rPr>
        <w:noProof/>
        <w:kern w:val="22"/>
      </w:rPr>
      <w:instrText xml:space="preserve"> PAGE   \* MERGEFORMAT </w:instrText>
    </w:r>
    <w:r w:rsidRPr="00CC39DD">
      <w:rPr>
        <w:noProof/>
        <w:kern w:val="22"/>
      </w:rPr>
      <w:fldChar w:fldCharType="separate"/>
    </w:r>
    <w:r w:rsidR="00074981">
      <w:rPr>
        <w:noProof/>
        <w:kern w:val="22"/>
      </w:rPr>
      <w:t>3</w:t>
    </w:r>
    <w:r w:rsidRPr="00CC39DD">
      <w:rPr>
        <w:noProof/>
        <w:kern w:val="22"/>
      </w:rPr>
      <w:fldChar w:fldCharType="end"/>
    </w:r>
  </w:p>
  <w:p w14:paraId="2F845650" w14:textId="77777777" w:rsidR="00E567B9" w:rsidRPr="00CC39DD" w:rsidRDefault="00E567B9" w:rsidP="00CC39DD">
    <w:pPr>
      <w:pStyle w:val="Header"/>
      <w:tabs>
        <w:tab w:val="clear" w:pos="4320"/>
        <w:tab w:val="clear" w:pos="8640"/>
      </w:tabs>
      <w:jc w:val="right"/>
      <w:rPr>
        <w:noProof/>
        <w:kern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B8B4D43"/>
    <w:multiLevelType w:val="hybridMultilevel"/>
    <w:tmpl w:val="94CCBE0A"/>
    <w:lvl w:ilvl="0" w:tplc="E71E1F8C">
      <w:start w:val="1"/>
      <w:numFmt w:val="lowerRoman"/>
      <w:lvlText w:val="(%1)"/>
      <w:lvlJc w:val="left"/>
      <w:pPr>
        <w:ind w:left="1429" w:hanging="720"/>
      </w:pPr>
      <w:rPr>
        <w:rFonts w:hint="default"/>
      </w:rPr>
    </w:lvl>
    <w:lvl w:ilvl="1" w:tplc="10090019" w:tentative="1">
      <w:start w:val="1"/>
      <w:numFmt w:val="lowerLetter"/>
      <w:lvlText w:val="%2."/>
      <w:lvlJc w:val="left"/>
      <w:pPr>
        <w:ind w:left="1789" w:hanging="360"/>
      </w:pPr>
    </w:lvl>
    <w:lvl w:ilvl="2" w:tplc="1009001B" w:tentative="1">
      <w:start w:val="1"/>
      <w:numFmt w:val="lowerRoman"/>
      <w:lvlText w:val="%3."/>
      <w:lvlJc w:val="right"/>
      <w:pPr>
        <w:ind w:left="2509" w:hanging="180"/>
      </w:pPr>
    </w:lvl>
    <w:lvl w:ilvl="3" w:tplc="1009000F" w:tentative="1">
      <w:start w:val="1"/>
      <w:numFmt w:val="decimal"/>
      <w:lvlText w:val="%4."/>
      <w:lvlJc w:val="left"/>
      <w:pPr>
        <w:ind w:left="3229" w:hanging="360"/>
      </w:pPr>
    </w:lvl>
    <w:lvl w:ilvl="4" w:tplc="10090019" w:tentative="1">
      <w:start w:val="1"/>
      <w:numFmt w:val="lowerLetter"/>
      <w:lvlText w:val="%5."/>
      <w:lvlJc w:val="left"/>
      <w:pPr>
        <w:ind w:left="3949" w:hanging="360"/>
      </w:pPr>
    </w:lvl>
    <w:lvl w:ilvl="5" w:tplc="1009001B" w:tentative="1">
      <w:start w:val="1"/>
      <w:numFmt w:val="lowerRoman"/>
      <w:lvlText w:val="%6."/>
      <w:lvlJc w:val="right"/>
      <w:pPr>
        <w:ind w:left="4669" w:hanging="180"/>
      </w:pPr>
    </w:lvl>
    <w:lvl w:ilvl="6" w:tplc="1009000F" w:tentative="1">
      <w:start w:val="1"/>
      <w:numFmt w:val="decimal"/>
      <w:lvlText w:val="%7."/>
      <w:lvlJc w:val="left"/>
      <w:pPr>
        <w:ind w:left="5389" w:hanging="360"/>
      </w:pPr>
    </w:lvl>
    <w:lvl w:ilvl="7" w:tplc="10090019" w:tentative="1">
      <w:start w:val="1"/>
      <w:numFmt w:val="lowerLetter"/>
      <w:lvlText w:val="%8."/>
      <w:lvlJc w:val="left"/>
      <w:pPr>
        <w:ind w:left="6109" w:hanging="360"/>
      </w:pPr>
    </w:lvl>
    <w:lvl w:ilvl="8" w:tplc="1009001B" w:tentative="1">
      <w:start w:val="1"/>
      <w:numFmt w:val="lowerRoman"/>
      <w:lvlText w:val="%9."/>
      <w:lvlJc w:val="right"/>
      <w:pPr>
        <w:ind w:left="6829" w:hanging="180"/>
      </w:pPr>
    </w:lvl>
  </w:abstractNum>
  <w:abstractNum w:abstractNumId="4"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5"/>
  </w:num>
  <w:num w:numId="4">
    <w:abstractNumId w:val="7"/>
  </w:num>
  <w:num w:numId="5">
    <w:abstractNumId w:val="6"/>
  </w:num>
  <w:num w:numId="6">
    <w:abstractNumId w:val="0"/>
  </w:num>
  <w:num w:numId="7">
    <w:abstractNumId w:val="2"/>
  </w:num>
  <w:num w:numId="8">
    <w:abstractNumId w:val="5"/>
    <w:lvlOverride w:ilvl="0">
      <w:startOverride w:val="1"/>
    </w:lvlOverride>
  </w:num>
  <w:num w:numId="9">
    <w:abstractNumId w:val="10"/>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5"/>
    <w:lvlOverride w:ilvl="0">
      <w:startOverride w:val="1"/>
    </w:lvlOverride>
  </w:num>
  <w:num w:numId="14">
    <w:abstractNumId w:val="9"/>
  </w:num>
  <w:num w:numId="15">
    <w:abstractNumId w:val="8"/>
  </w:num>
  <w:num w:numId="16">
    <w:abstractNumId w:val="1"/>
  </w:num>
  <w:num w:numId="17">
    <w:abstractNumId w:val="11"/>
  </w:num>
  <w:num w:numId="18">
    <w:abstractNumId w:val="12"/>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2"/>
  <w:activeWritingStyle w:appName="MSWord" w:lang="fr-FR" w:vendorID="64" w:dllVersion="6" w:nlCheck="1" w:checkStyle="0"/>
  <w:activeWritingStyle w:appName="MSWord" w:lang="en-GB" w:vendorID="64" w:dllVersion="6" w:nlCheck="1" w:checkStyle="1"/>
  <w:activeWritingStyle w:appName="MSWord" w:lang="en-CA" w:vendorID="64" w:dllVersion="6" w:nlCheck="1" w:checkStyle="1"/>
  <w:activeWritingStyle w:appName="MSWord" w:lang="es-MX"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proofState w:spelling="clean" w:grammar="clean"/>
  <w:revisionView w:markup="0"/>
  <w:defaultTabStop w:val="720"/>
  <w:evenAndOddHeaders/>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614"/>
    <w:rsid w:val="00006BDB"/>
    <w:rsid w:val="00014254"/>
    <w:rsid w:val="000446D3"/>
    <w:rsid w:val="00046FA1"/>
    <w:rsid w:val="00060B74"/>
    <w:rsid w:val="00074981"/>
    <w:rsid w:val="000B1F56"/>
    <w:rsid w:val="000B4CA8"/>
    <w:rsid w:val="000E673A"/>
    <w:rsid w:val="000F24A5"/>
    <w:rsid w:val="000F6126"/>
    <w:rsid w:val="000F74F5"/>
    <w:rsid w:val="00105372"/>
    <w:rsid w:val="00115D64"/>
    <w:rsid w:val="00131E7A"/>
    <w:rsid w:val="0015619B"/>
    <w:rsid w:val="00172AF6"/>
    <w:rsid w:val="00176CEE"/>
    <w:rsid w:val="00183F86"/>
    <w:rsid w:val="001A6D75"/>
    <w:rsid w:val="001F2325"/>
    <w:rsid w:val="002031D7"/>
    <w:rsid w:val="002445CD"/>
    <w:rsid w:val="002540C7"/>
    <w:rsid w:val="00270F3D"/>
    <w:rsid w:val="00280A8D"/>
    <w:rsid w:val="00325D94"/>
    <w:rsid w:val="00347FF9"/>
    <w:rsid w:val="00372F74"/>
    <w:rsid w:val="003777A8"/>
    <w:rsid w:val="003D3030"/>
    <w:rsid w:val="003D708B"/>
    <w:rsid w:val="003E0411"/>
    <w:rsid w:val="003E5E37"/>
    <w:rsid w:val="003F7224"/>
    <w:rsid w:val="00403456"/>
    <w:rsid w:val="00405146"/>
    <w:rsid w:val="0042412C"/>
    <w:rsid w:val="00427D21"/>
    <w:rsid w:val="00450096"/>
    <w:rsid w:val="004644C2"/>
    <w:rsid w:val="00467F9C"/>
    <w:rsid w:val="00476FDC"/>
    <w:rsid w:val="0048059E"/>
    <w:rsid w:val="0048775C"/>
    <w:rsid w:val="004A6E32"/>
    <w:rsid w:val="004B592B"/>
    <w:rsid w:val="004D1871"/>
    <w:rsid w:val="004D4047"/>
    <w:rsid w:val="00501F5F"/>
    <w:rsid w:val="0050593C"/>
    <w:rsid w:val="00505F2F"/>
    <w:rsid w:val="00534681"/>
    <w:rsid w:val="00564AA2"/>
    <w:rsid w:val="00584542"/>
    <w:rsid w:val="00591879"/>
    <w:rsid w:val="005D6921"/>
    <w:rsid w:val="006122BA"/>
    <w:rsid w:val="0061445E"/>
    <w:rsid w:val="0061522D"/>
    <w:rsid w:val="006630D9"/>
    <w:rsid w:val="00675A65"/>
    <w:rsid w:val="0068528E"/>
    <w:rsid w:val="006A135A"/>
    <w:rsid w:val="006B2290"/>
    <w:rsid w:val="006B5DDA"/>
    <w:rsid w:val="006C1C3A"/>
    <w:rsid w:val="006E3202"/>
    <w:rsid w:val="00717D88"/>
    <w:rsid w:val="00771AE9"/>
    <w:rsid w:val="00773D83"/>
    <w:rsid w:val="00776B4A"/>
    <w:rsid w:val="007942D3"/>
    <w:rsid w:val="007B6C09"/>
    <w:rsid w:val="007C495A"/>
    <w:rsid w:val="007E09DA"/>
    <w:rsid w:val="007E76BC"/>
    <w:rsid w:val="008178B6"/>
    <w:rsid w:val="00824694"/>
    <w:rsid w:val="00861C10"/>
    <w:rsid w:val="00865B74"/>
    <w:rsid w:val="00870EF3"/>
    <w:rsid w:val="00892D8D"/>
    <w:rsid w:val="00930BA1"/>
    <w:rsid w:val="0093169E"/>
    <w:rsid w:val="0094726F"/>
    <w:rsid w:val="009505C9"/>
    <w:rsid w:val="00955639"/>
    <w:rsid w:val="00975877"/>
    <w:rsid w:val="00976E32"/>
    <w:rsid w:val="00983214"/>
    <w:rsid w:val="009904C1"/>
    <w:rsid w:val="009944D3"/>
    <w:rsid w:val="009A6450"/>
    <w:rsid w:val="009C10C3"/>
    <w:rsid w:val="009C200D"/>
    <w:rsid w:val="009C2794"/>
    <w:rsid w:val="009C4E9E"/>
    <w:rsid w:val="009D3840"/>
    <w:rsid w:val="009D397C"/>
    <w:rsid w:val="009F33E3"/>
    <w:rsid w:val="009F6C90"/>
    <w:rsid w:val="00A0261D"/>
    <w:rsid w:val="00A14F53"/>
    <w:rsid w:val="00A33E59"/>
    <w:rsid w:val="00A529C0"/>
    <w:rsid w:val="00A543CA"/>
    <w:rsid w:val="00A81E25"/>
    <w:rsid w:val="00AD52C2"/>
    <w:rsid w:val="00AE7F43"/>
    <w:rsid w:val="00B1511B"/>
    <w:rsid w:val="00B275AD"/>
    <w:rsid w:val="00B3365E"/>
    <w:rsid w:val="00B3369F"/>
    <w:rsid w:val="00B727F7"/>
    <w:rsid w:val="00BA0DE7"/>
    <w:rsid w:val="00BB2725"/>
    <w:rsid w:val="00BD5074"/>
    <w:rsid w:val="00BF20A5"/>
    <w:rsid w:val="00C417DF"/>
    <w:rsid w:val="00C456B3"/>
    <w:rsid w:val="00C66C3F"/>
    <w:rsid w:val="00C8468B"/>
    <w:rsid w:val="00C860A4"/>
    <w:rsid w:val="00C9161D"/>
    <w:rsid w:val="00CA4E53"/>
    <w:rsid w:val="00CB467D"/>
    <w:rsid w:val="00CC39DD"/>
    <w:rsid w:val="00CF1848"/>
    <w:rsid w:val="00CF22E2"/>
    <w:rsid w:val="00D03D41"/>
    <w:rsid w:val="00D056FF"/>
    <w:rsid w:val="00D102E0"/>
    <w:rsid w:val="00D12044"/>
    <w:rsid w:val="00D44738"/>
    <w:rsid w:val="00D47E85"/>
    <w:rsid w:val="00D52C15"/>
    <w:rsid w:val="00D56A59"/>
    <w:rsid w:val="00D64D51"/>
    <w:rsid w:val="00D67F25"/>
    <w:rsid w:val="00D76A18"/>
    <w:rsid w:val="00DA406B"/>
    <w:rsid w:val="00DC01D0"/>
    <w:rsid w:val="00DD118C"/>
    <w:rsid w:val="00DE3C62"/>
    <w:rsid w:val="00E01E30"/>
    <w:rsid w:val="00E563CF"/>
    <w:rsid w:val="00E567B9"/>
    <w:rsid w:val="00E66235"/>
    <w:rsid w:val="00E83C24"/>
    <w:rsid w:val="00E9318D"/>
    <w:rsid w:val="00EA66A9"/>
    <w:rsid w:val="00F004B5"/>
    <w:rsid w:val="00F0077D"/>
    <w:rsid w:val="00F26C2B"/>
    <w:rsid w:val="00F516F5"/>
    <w:rsid w:val="00F60E21"/>
    <w:rsid w:val="00F70F66"/>
    <w:rsid w:val="00F77237"/>
    <w:rsid w:val="00F94031"/>
    <w:rsid w:val="00F94774"/>
    <w:rsid w:val="00FB0760"/>
    <w:rsid w:val="00FC53DB"/>
    <w:rsid w:val="00FD0386"/>
    <w:rsid w:val="00FD1F10"/>
    <w:rsid w:val="00FD7A33"/>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559608F0"/>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uiPriority w:val="99"/>
    <w:rsid w:val="007E09DA"/>
    <w:rPr>
      <w:sz w:val="16"/>
    </w:rPr>
  </w:style>
  <w:style w:type="paragraph" w:styleId="CommentText">
    <w:name w:val="annotation text"/>
    <w:basedOn w:val="Normal"/>
    <w:link w:val="CommentTextChar"/>
    <w:uiPriority w:val="99"/>
    <w:rsid w:val="007E09DA"/>
    <w:pPr>
      <w:spacing w:after="120" w:line="240" w:lineRule="exact"/>
    </w:pPr>
  </w:style>
  <w:style w:type="character" w:customStyle="1" w:styleId="CommentTextChar">
    <w:name w:val="Comment Text Char"/>
    <w:basedOn w:val="DefaultParagraphFont"/>
    <w:link w:val="CommentText"/>
    <w:uiPriority w:val="99"/>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styleId="NoSpacing">
    <w:name w:val="No Spacing"/>
    <w:link w:val="NoSpacingChar"/>
    <w:uiPriority w:val="1"/>
    <w:qFormat/>
    <w:rsid w:val="0061445E"/>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61445E"/>
    <w:rPr>
      <w:rFonts w:ascii="Calibri" w:eastAsia="Calibri" w:hAnsi="Calibri" w:cs="Times New Roman"/>
      <w:sz w:val="22"/>
      <w:szCs w:val="22"/>
      <w:lang w:val="en-US"/>
    </w:rPr>
  </w:style>
  <w:style w:type="paragraph" w:customStyle="1" w:styleId="StylePara1HeadingsCSTimesNewRoman">
    <w:name w:val="Style Para1 + +Headings CS (Times New Roman)"/>
    <w:basedOn w:val="Para1"/>
    <w:rsid w:val="00FD7A33"/>
    <w:pPr>
      <w:numPr>
        <w:numId w:val="0"/>
      </w:numPr>
    </w:pPr>
    <w:rPr>
      <w:rFonts w:asciiTheme="majorBidi" w:hAnsiTheme="majorBidi"/>
    </w:rPr>
  </w:style>
  <w:style w:type="paragraph" w:styleId="NormalWeb">
    <w:name w:val="Normal (Web)"/>
    <w:basedOn w:val="Normal"/>
    <w:uiPriority w:val="99"/>
    <w:rsid w:val="00FD7A33"/>
    <w:pPr>
      <w:spacing w:before="100" w:beforeAutospacing="1" w:after="100" w:afterAutospacing="1"/>
    </w:pPr>
    <w:rPr>
      <w:rFonts w:ascii="Verdana" w:eastAsia="MS Mincho" w:hAnsi="Verdana" w:cs="Angsana New"/>
      <w:color w:val="000000"/>
      <w:sz w:val="18"/>
      <w:szCs w:val="18"/>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FD7A33"/>
    <w:pPr>
      <w:spacing w:after="160" w:line="240" w:lineRule="exact"/>
    </w:pPr>
    <w:rPr>
      <w:rFonts w:asciiTheme="minorHAnsi" w:eastAsiaTheme="minorEastAsia" w:hAnsiTheme="minorHAnsi" w:cstheme="minorBidi"/>
      <w:vertAlign w:val="superscript"/>
      <w:lang w:val="fr-CA"/>
    </w:rPr>
  </w:style>
  <w:style w:type="character" w:customStyle="1" w:styleId="ListParagraphChar">
    <w:name w:val="List Paragraph Char"/>
    <w:basedOn w:val="DefaultParagraphFont"/>
    <w:link w:val="ListParagraph"/>
    <w:uiPriority w:val="34"/>
    <w:qFormat/>
    <w:locked/>
    <w:rsid w:val="00FD7A33"/>
    <w:rPr>
      <w:rFonts w:ascii="Times New Roman" w:eastAsia="Times New Roman" w:hAnsi="Times New Roman" w:cs="Times New Roman"/>
      <w:sz w:val="22"/>
      <w:lang w:val="en-GB"/>
    </w:rPr>
  </w:style>
  <w:style w:type="paragraph" w:customStyle="1" w:styleId="sub-item">
    <w:name w:val="sub-item"/>
    <w:basedOn w:val="Heading2"/>
    <w:qFormat/>
    <w:rsid w:val="00FD7A33"/>
    <w:pPr>
      <w:spacing w:before="240"/>
      <w:ind w:firstLine="709"/>
      <w:jc w:val="left"/>
      <w:outlineLvl w:val="0"/>
    </w:pPr>
    <w:rPr>
      <w:szCs w:val="22"/>
      <w:lang w:val="en-CA" w:eastAsia="en-CA"/>
    </w:rPr>
  </w:style>
  <w:style w:type="paragraph" w:styleId="CommentSubject">
    <w:name w:val="annotation subject"/>
    <w:basedOn w:val="CommentText"/>
    <w:next w:val="CommentText"/>
    <w:link w:val="CommentSubjectChar"/>
    <w:uiPriority w:val="99"/>
    <w:semiHidden/>
    <w:unhideWhenUsed/>
    <w:rsid w:val="00A543CA"/>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A543CA"/>
    <w:rPr>
      <w:rFonts w:ascii="Times New Roman" w:eastAsia="Times New Roman" w:hAnsi="Times New Roman" w:cs="Times New Roman"/>
      <w:b/>
      <w:bCs/>
      <w:sz w:val="20"/>
      <w:szCs w:val="20"/>
      <w:lang w:val="en-GB"/>
    </w:rPr>
  </w:style>
  <w:style w:type="character" w:styleId="Strong">
    <w:name w:val="Strong"/>
    <w:basedOn w:val="DefaultParagraphFont"/>
    <w:uiPriority w:val="22"/>
    <w:qFormat/>
    <w:rsid w:val="009A64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795427">
      <w:bodyDiv w:val="1"/>
      <w:marLeft w:val="0"/>
      <w:marRight w:val="0"/>
      <w:marTop w:val="0"/>
      <w:marBottom w:val="0"/>
      <w:divBdr>
        <w:top w:val="none" w:sz="0" w:space="0" w:color="auto"/>
        <w:left w:val="none" w:sz="0" w:space="0" w:color="auto"/>
        <w:bottom w:val="none" w:sz="0" w:space="0" w:color="auto"/>
        <w:right w:val="none" w:sz="0" w:space="0" w:color="auto"/>
      </w:divBdr>
    </w:div>
    <w:div w:id="758715327">
      <w:bodyDiv w:val="1"/>
      <w:marLeft w:val="0"/>
      <w:marRight w:val="0"/>
      <w:marTop w:val="0"/>
      <w:marBottom w:val="0"/>
      <w:divBdr>
        <w:top w:val="none" w:sz="0" w:space="0" w:color="auto"/>
        <w:left w:val="none" w:sz="0" w:space="0" w:color="auto"/>
        <w:bottom w:val="none" w:sz="0" w:space="0" w:color="auto"/>
        <w:right w:val="none" w:sz="0" w:space="0" w:color="auto"/>
      </w:divBdr>
    </w:div>
    <w:div w:id="870530827">
      <w:bodyDiv w:val="1"/>
      <w:marLeft w:val="0"/>
      <w:marRight w:val="0"/>
      <w:marTop w:val="0"/>
      <w:marBottom w:val="0"/>
      <w:divBdr>
        <w:top w:val="none" w:sz="0" w:space="0" w:color="auto"/>
        <w:left w:val="none" w:sz="0" w:space="0" w:color="auto"/>
        <w:bottom w:val="none" w:sz="0" w:space="0" w:color="auto"/>
        <w:right w:val="none" w:sz="0" w:space="0" w:color="auto"/>
      </w:divBdr>
      <w:divsChild>
        <w:div w:id="472452476">
          <w:marLeft w:val="0"/>
          <w:marRight w:val="0"/>
          <w:marTop w:val="0"/>
          <w:marBottom w:val="0"/>
          <w:divBdr>
            <w:top w:val="none" w:sz="0" w:space="0" w:color="auto"/>
            <w:left w:val="none" w:sz="0" w:space="0" w:color="auto"/>
            <w:bottom w:val="none" w:sz="0" w:space="0" w:color="auto"/>
            <w:right w:val="none" w:sz="0" w:space="0" w:color="auto"/>
          </w:divBdr>
        </w:div>
        <w:div w:id="2099792521">
          <w:marLeft w:val="0"/>
          <w:marRight w:val="0"/>
          <w:marTop w:val="0"/>
          <w:marBottom w:val="0"/>
          <w:divBdr>
            <w:top w:val="none" w:sz="0" w:space="0" w:color="auto"/>
            <w:left w:val="none" w:sz="0" w:space="0" w:color="auto"/>
            <w:bottom w:val="none" w:sz="0" w:space="0" w:color="auto"/>
            <w:right w:val="none" w:sz="0" w:space="0" w:color="auto"/>
          </w:divBdr>
          <w:divsChild>
            <w:div w:id="1970015052">
              <w:marLeft w:val="0"/>
              <w:marRight w:val="0"/>
              <w:marTop w:val="0"/>
              <w:marBottom w:val="0"/>
              <w:divBdr>
                <w:top w:val="none" w:sz="0" w:space="0" w:color="auto"/>
                <w:left w:val="none" w:sz="0" w:space="0" w:color="auto"/>
                <w:bottom w:val="none" w:sz="0" w:space="0" w:color="auto"/>
                <w:right w:val="none" w:sz="0" w:space="0" w:color="auto"/>
              </w:divBdr>
              <w:divsChild>
                <w:div w:id="712771594">
                  <w:marLeft w:val="0"/>
                  <w:marRight w:val="0"/>
                  <w:marTop w:val="0"/>
                  <w:marBottom w:val="0"/>
                  <w:divBdr>
                    <w:top w:val="none" w:sz="0" w:space="0" w:color="auto"/>
                    <w:left w:val="none" w:sz="0" w:space="0" w:color="auto"/>
                    <w:bottom w:val="none" w:sz="0" w:space="0" w:color="auto"/>
                    <w:right w:val="none" w:sz="0" w:space="0" w:color="auto"/>
                  </w:divBdr>
                  <w:divsChild>
                    <w:div w:id="1526406908">
                      <w:marLeft w:val="0"/>
                      <w:marRight w:val="0"/>
                      <w:marTop w:val="0"/>
                      <w:marBottom w:val="0"/>
                      <w:divBdr>
                        <w:top w:val="none" w:sz="0" w:space="0" w:color="auto"/>
                        <w:left w:val="none" w:sz="0" w:space="0" w:color="auto"/>
                        <w:bottom w:val="none" w:sz="0" w:space="0" w:color="auto"/>
                        <w:right w:val="none" w:sz="0" w:space="0" w:color="auto"/>
                      </w:divBdr>
                      <w:divsChild>
                        <w:div w:id="174190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615344">
          <w:marLeft w:val="0"/>
          <w:marRight w:val="0"/>
          <w:marTop w:val="0"/>
          <w:marBottom w:val="0"/>
          <w:divBdr>
            <w:top w:val="none" w:sz="0" w:space="0" w:color="auto"/>
            <w:left w:val="none" w:sz="0" w:space="0" w:color="auto"/>
            <w:bottom w:val="none" w:sz="0" w:space="0" w:color="auto"/>
            <w:right w:val="none" w:sz="0" w:space="0" w:color="auto"/>
          </w:divBdr>
          <w:divsChild>
            <w:div w:id="294675584">
              <w:marLeft w:val="0"/>
              <w:marRight w:val="0"/>
              <w:marTop w:val="0"/>
              <w:marBottom w:val="0"/>
              <w:divBdr>
                <w:top w:val="none" w:sz="0" w:space="0" w:color="auto"/>
                <w:left w:val="none" w:sz="0" w:space="0" w:color="auto"/>
                <w:bottom w:val="none" w:sz="0" w:space="0" w:color="auto"/>
                <w:right w:val="none" w:sz="0" w:space="0" w:color="auto"/>
              </w:divBdr>
              <w:divsChild>
                <w:div w:id="893783905">
                  <w:marLeft w:val="0"/>
                  <w:marRight w:val="0"/>
                  <w:marTop w:val="0"/>
                  <w:marBottom w:val="0"/>
                  <w:divBdr>
                    <w:top w:val="none" w:sz="0" w:space="0" w:color="auto"/>
                    <w:left w:val="none" w:sz="0" w:space="0" w:color="auto"/>
                    <w:bottom w:val="none" w:sz="0" w:space="0" w:color="auto"/>
                    <w:right w:val="none" w:sz="0" w:space="0" w:color="auto"/>
                  </w:divBdr>
                  <w:divsChild>
                    <w:div w:id="1942293313">
                      <w:marLeft w:val="0"/>
                      <w:marRight w:val="0"/>
                      <w:marTop w:val="0"/>
                      <w:marBottom w:val="0"/>
                      <w:divBdr>
                        <w:top w:val="none" w:sz="0" w:space="0" w:color="auto"/>
                        <w:left w:val="none" w:sz="0" w:space="0" w:color="auto"/>
                        <w:bottom w:val="none" w:sz="0" w:space="0" w:color="auto"/>
                        <w:right w:val="none" w:sz="0" w:space="0" w:color="auto"/>
                      </w:divBdr>
                      <w:divsChild>
                        <w:div w:id="1544974780">
                          <w:marLeft w:val="0"/>
                          <w:marRight w:val="0"/>
                          <w:marTop w:val="0"/>
                          <w:marBottom w:val="0"/>
                          <w:divBdr>
                            <w:top w:val="none" w:sz="0" w:space="0" w:color="auto"/>
                            <w:left w:val="none" w:sz="0" w:space="0" w:color="auto"/>
                            <w:bottom w:val="none" w:sz="0" w:space="0" w:color="auto"/>
                            <w:right w:val="none" w:sz="0" w:space="0" w:color="auto"/>
                          </w:divBdr>
                          <w:divsChild>
                            <w:div w:id="9956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6729127">
      <w:bodyDiv w:val="1"/>
      <w:marLeft w:val="0"/>
      <w:marRight w:val="0"/>
      <w:marTop w:val="0"/>
      <w:marBottom w:val="0"/>
      <w:divBdr>
        <w:top w:val="none" w:sz="0" w:space="0" w:color="auto"/>
        <w:left w:val="none" w:sz="0" w:space="0" w:color="auto"/>
        <w:bottom w:val="none" w:sz="0" w:space="0" w:color="auto"/>
        <w:right w:val="none" w:sz="0" w:space="0" w:color="auto"/>
      </w:divBdr>
    </w:div>
    <w:div w:id="1483891388">
      <w:bodyDiv w:val="1"/>
      <w:marLeft w:val="0"/>
      <w:marRight w:val="0"/>
      <w:marTop w:val="0"/>
      <w:marBottom w:val="0"/>
      <w:divBdr>
        <w:top w:val="none" w:sz="0" w:space="0" w:color="auto"/>
        <w:left w:val="none" w:sz="0" w:space="0" w:color="auto"/>
        <w:bottom w:val="none" w:sz="0" w:space="0" w:color="auto"/>
        <w:right w:val="none" w:sz="0" w:space="0" w:color="auto"/>
      </w:divBdr>
    </w:div>
    <w:div w:id="19056020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bd.int/doc/decisions/cop-13/cop-13-dec-22-en.pdf"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cbd.int/doc/decisions/cop-13/cop-13-dec-23-en.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emf"/><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cbd.int/doc/publications/cbd-ts-78-en.pdf" TargetMode="External"/><Relationship Id="rId3" Type="http://schemas.openxmlformats.org/officeDocument/2006/relationships/hyperlink" Target="https://www.cbd.int/doc/c/e14b/0ad0/52a612635e7d6b8bac0b6b38/sbstta-21-inf-02-en.pdf" TargetMode="External"/><Relationship Id="rId7" Type="http://schemas.openxmlformats.org/officeDocument/2006/relationships/hyperlink" Target="https://www.ipbes.net/assessment-reports/scenarios" TargetMode="External"/><Relationship Id="rId2" Type="http://schemas.openxmlformats.org/officeDocument/2006/relationships/hyperlink" Target="https://www.cbd.int/doc/meetings/sbstta/sbstta-21/official/sbstta-21-02-add1-en.pdf" TargetMode="External"/><Relationship Id="rId1" Type="http://schemas.openxmlformats.org/officeDocument/2006/relationships/hyperlink" Target="https://www.cbd.int/doc/c/4a22/3eba/a499b54091a1c1e22bb7b54e/sbstta-21-02-en.pdf" TargetMode="External"/><Relationship Id="rId6" Type="http://schemas.openxmlformats.org/officeDocument/2006/relationships/hyperlink" Target="https://www.cbd.int/doc/c/e36c/2553/863a73bd3015677df8f30506/sbstta-21-inf-18-en.pdf" TargetMode="External"/><Relationship Id="rId5" Type="http://schemas.openxmlformats.org/officeDocument/2006/relationships/hyperlink" Target="https://www.cbd.int/doc/c/75db/a1d2/64d21404dca630a93407078b/sbstta-21-inf-04-en.pdf" TargetMode="External"/><Relationship Id="rId4" Type="http://schemas.openxmlformats.org/officeDocument/2006/relationships/hyperlink" Target="https://www.cbd.int/doc/c/d623/0105/bc697cf1556d8892498c3866/sbstta-21-inf-03-en.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91DED97518A844849C3049F4104C0F1C"/>
        <w:category>
          <w:name w:val="General"/>
          <w:gallery w:val="placeholder"/>
        </w:category>
        <w:types>
          <w:type w:val="bbPlcHdr"/>
        </w:types>
        <w:behaviors>
          <w:behavior w:val="content"/>
        </w:behaviors>
        <w:guid w:val="{B508B822-BDE7-404E-8A81-A134028E8BC2}"/>
      </w:docPartPr>
      <w:docPartBody>
        <w:p w:rsidR="005D3647" w:rsidRDefault="00F47F84" w:rsidP="00F47F84">
          <w:pPr>
            <w:pStyle w:val="91DED97518A844849C3049F4104C0F1C"/>
          </w:pPr>
          <w:r w:rsidRPr="007E02EB">
            <w:rPr>
              <w:rStyle w:val="PlaceholderText"/>
            </w:rPr>
            <w:t>[Status]</w:t>
          </w:r>
        </w:p>
      </w:docPartBody>
    </w:docPart>
    <w:docPart>
      <w:docPartPr>
        <w:name w:val="A73960B8FC054FE88B044F1DA4A5C1AE"/>
        <w:category>
          <w:name w:val="General"/>
          <w:gallery w:val="placeholder"/>
        </w:category>
        <w:types>
          <w:type w:val="bbPlcHdr"/>
        </w:types>
        <w:behaviors>
          <w:behavior w:val="content"/>
        </w:behaviors>
        <w:guid w:val="{C5FDC1CD-70D5-4FE0-846F-B7A692344A84}"/>
      </w:docPartPr>
      <w:docPartBody>
        <w:p w:rsidR="005D3647" w:rsidRDefault="00F47F84" w:rsidP="00F47F84">
          <w:pPr>
            <w:pStyle w:val="A73960B8FC054FE88B044F1DA4A5C1AE"/>
          </w:pPr>
          <w:r w:rsidRPr="007E02EB">
            <w:rPr>
              <w:rStyle w:val="PlaceholderText"/>
            </w:rPr>
            <w:t>[Subject]</w:t>
          </w:r>
        </w:p>
      </w:docPartBody>
    </w:docPart>
    <w:docPart>
      <w:docPartPr>
        <w:name w:val="679CE8EAAFB042B7B3A147BC73AE1600"/>
        <w:category>
          <w:name w:val="General"/>
          <w:gallery w:val="placeholder"/>
        </w:category>
        <w:types>
          <w:type w:val="bbPlcHdr"/>
        </w:types>
        <w:behaviors>
          <w:behavior w:val="content"/>
        </w:behaviors>
        <w:guid w:val="{0F89BED2-3E55-4CC6-B766-6DB7090553D8}"/>
      </w:docPartPr>
      <w:docPartBody>
        <w:p w:rsidR="00000000" w:rsidRDefault="006A0041">
          <w:r w:rsidRPr="004C6EA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261E9A"/>
    <w:rsid w:val="00500A2B"/>
    <w:rsid w:val="0058288D"/>
    <w:rsid w:val="005D3647"/>
    <w:rsid w:val="006801B3"/>
    <w:rsid w:val="006A0041"/>
    <w:rsid w:val="00720F63"/>
    <w:rsid w:val="007F1B76"/>
    <w:rsid w:val="00810A55"/>
    <w:rsid w:val="008C6619"/>
    <w:rsid w:val="008D420E"/>
    <w:rsid w:val="0098642F"/>
    <w:rsid w:val="00B51630"/>
    <w:rsid w:val="00BE576F"/>
    <w:rsid w:val="00C723C8"/>
    <w:rsid w:val="00CE6602"/>
    <w:rsid w:val="00D43CD2"/>
    <w:rsid w:val="00D63E8D"/>
    <w:rsid w:val="00D975B8"/>
    <w:rsid w:val="00E1598A"/>
    <w:rsid w:val="00F47F84"/>
    <w:rsid w:val="00F53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A0041"/>
    <w:rPr>
      <w:color w:val="808080"/>
    </w:rPr>
  </w:style>
  <w:style w:type="paragraph" w:customStyle="1" w:styleId="C444DEE40D7C456B82AF1A09CD132ABF">
    <w:name w:val="C444DEE40D7C456B82AF1A09CD132ABF"/>
    <w:rsid w:val="00CE6602"/>
    <w:pPr>
      <w:spacing w:after="160" w:line="259" w:lineRule="auto"/>
    </w:pPr>
  </w:style>
  <w:style w:type="paragraph" w:customStyle="1" w:styleId="91DED97518A844849C3049F4104C0F1C">
    <w:name w:val="91DED97518A844849C3049F4104C0F1C"/>
    <w:rsid w:val="00F47F84"/>
    <w:pPr>
      <w:spacing w:after="160" w:line="259" w:lineRule="auto"/>
    </w:pPr>
    <w:rPr>
      <w:lang w:val="en-CA" w:eastAsia="en-CA"/>
    </w:rPr>
  </w:style>
  <w:style w:type="paragraph" w:customStyle="1" w:styleId="A73960B8FC054FE88B044F1DA4A5C1AE">
    <w:name w:val="A73960B8FC054FE88B044F1DA4A5C1AE"/>
    <w:rsid w:val="00F47F84"/>
    <w:pPr>
      <w:spacing w:after="160" w:line="259" w:lineRule="auto"/>
    </w:pPr>
    <w:rPr>
      <w:lang w:val="en-CA" w:eastAsia="en-CA"/>
    </w:rPr>
  </w:style>
  <w:style w:type="paragraph" w:customStyle="1" w:styleId="0170017243C64554A17C0BC5B592B876">
    <w:name w:val="0170017243C64554A17C0BC5B592B876"/>
    <w:rsid w:val="006A0041"/>
    <w:pPr>
      <w:spacing w:after="160" w:line="259" w:lineRule="auto"/>
    </w:pPr>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7A2017E-B390-438D-8757-702D7578A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1599</Words>
  <Characters>9115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14/2.	Scenarios for the 2050 Vision for Biodiversity</vt:lpstr>
    </vt:vector>
  </TitlesOfParts>
  <Company>SCBD</Company>
  <LinksUpToDate>false</LinksUpToDate>
  <CharactersWithSpaces>10693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14/2.	Scenarios for the 2050 Vision for Biodiversity</dc:title>
  <dc:subject>CBD/COP/DEC/14/2</dc:subject>
  <dc:creator>COP 14</dc:creator>
  <cp:keywords>Long-term strategic directions to the 2050 Vision for Biodiversity, approaches to living in harmony with nature and preparation for the post-2020 global biodiversity framework, Convention on Biological Diversity</cp:keywords>
  <cp:lastModifiedBy>Orestes Plasencia</cp:lastModifiedBy>
  <cp:revision>2</cp:revision>
  <cp:lastPrinted>2018-11-23T08:29:00Z</cp:lastPrinted>
  <dcterms:created xsi:type="dcterms:W3CDTF">2018-12-15T17:19:00Z</dcterms:created>
  <dcterms:modified xsi:type="dcterms:W3CDTF">2018-12-15T17:19:00Z</dcterms:modified>
  <cp:contentStatus>GENERAL</cp:contentStatus>
</cp:coreProperties>
</file>