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9F1E35" w:rsidRPr="00074981" w14:paraId="3E5EF08C" w14:textId="77777777" w:rsidTr="00527836">
        <w:trPr>
          <w:trHeight w:val="709"/>
        </w:trPr>
        <w:tc>
          <w:tcPr>
            <w:tcW w:w="976" w:type="dxa"/>
            <w:tcBorders>
              <w:bottom w:val="single" w:sz="12" w:space="0" w:color="auto"/>
            </w:tcBorders>
          </w:tcPr>
          <w:p w14:paraId="6D5C98D4" w14:textId="77777777" w:rsidR="009F1E35" w:rsidRPr="00074981" w:rsidRDefault="009F1E35" w:rsidP="00527836">
            <w:pPr>
              <w:rPr>
                <w:kern w:val="22"/>
              </w:rPr>
            </w:pPr>
            <w:r w:rsidRPr="00074981">
              <w:rPr>
                <w:noProof/>
                <w:kern w:val="22"/>
                <w:lang w:val="en-US"/>
              </w:rPr>
              <w:drawing>
                <wp:inline distT="0" distB="0" distL="0" distR="0" wp14:anchorId="53BC9FE6" wp14:editId="064F2AE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145FE817" w14:textId="77777777" w:rsidR="009F1E35" w:rsidRPr="00074981" w:rsidRDefault="009F1E35" w:rsidP="00527836">
            <w:pPr>
              <w:rPr>
                <w:kern w:val="22"/>
              </w:rPr>
            </w:pPr>
            <w:r w:rsidRPr="00074981">
              <w:rPr>
                <w:noProof/>
                <w:kern w:val="22"/>
                <w:lang w:val="en-US"/>
              </w:rPr>
              <w:drawing>
                <wp:inline distT="0" distB="0" distL="0" distR="0" wp14:anchorId="262C9191" wp14:editId="16D93860">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3E578390" w14:textId="77777777" w:rsidR="009F1E35" w:rsidRPr="00074981" w:rsidRDefault="009F1E35" w:rsidP="00527836">
            <w:pPr>
              <w:jc w:val="right"/>
              <w:rPr>
                <w:rFonts w:ascii="Arial" w:hAnsi="Arial" w:cs="Arial"/>
                <w:b/>
                <w:kern w:val="22"/>
                <w:sz w:val="32"/>
                <w:szCs w:val="32"/>
              </w:rPr>
            </w:pPr>
            <w:r w:rsidRPr="00074981">
              <w:rPr>
                <w:rFonts w:ascii="Arial" w:hAnsi="Arial" w:cs="Arial"/>
                <w:b/>
                <w:kern w:val="22"/>
                <w:sz w:val="32"/>
                <w:szCs w:val="32"/>
              </w:rPr>
              <w:t>CBD</w:t>
            </w:r>
          </w:p>
        </w:tc>
      </w:tr>
      <w:tr w:rsidR="009F1E35" w:rsidRPr="00074981" w14:paraId="793A7C39" w14:textId="77777777" w:rsidTr="00527836">
        <w:tc>
          <w:tcPr>
            <w:tcW w:w="6117" w:type="dxa"/>
            <w:gridSpan w:val="2"/>
            <w:tcBorders>
              <w:top w:val="single" w:sz="12" w:space="0" w:color="auto"/>
              <w:bottom w:val="single" w:sz="36" w:space="0" w:color="auto"/>
            </w:tcBorders>
            <w:vAlign w:val="center"/>
          </w:tcPr>
          <w:p w14:paraId="5B3EFE67" w14:textId="77777777" w:rsidR="009F1E35" w:rsidRPr="00074981" w:rsidRDefault="009F1E35" w:rsidP="00527836">
            <w:pPr>
              <w:rPr>
                <w:kern w:val="22"/>
              </w:rPr>
            </w:pPr>
            <w:r w:rsidRPr="00074981">
              <w:rPr>
                <w:noProof/>
                <w:kern w:val="22"/>
                <w:lang w:val="en-US"/>
              </w:rPr>
              <w:drawing>
                <wp:inline distT="0" distB="0" distL="0" distR="0" wp14:anchorId="26548668" wp14:editId="13B4FADB">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AB2A391" w14:textId="77777777" w:rsidR="009F1E35" w:rsidRPr="00074981" w:rsidRDefault="009F1E35" w:rsidP="00527836">
            <w:pPr>
              <w:ind w:left="1215"/>
              <w:rPr>
                <w:kern w:val="22"/>
                <w:szCs w:val="22"/>
              </w:rPr>
            </w:pPr>
            <w:r w:rsidRPr="00074981">
              <w:rPr>
                <w:kern w:val="22"/>
                <w:szCs w:val="22"/>
              </w:rPr>
              <w:t>Distr.</w:t>
            </w:r>
          </w:p>
          <w:p w14:paraId="5239A59A" w14:textId="439204F5" w:rsidR="009F1E35" w:rsidRPr="00074981" w:rsidRDefault="003B53AA" w:rsidP="00527836">
            <w:pPr>
              <w:ind w:left="1215"/>
              <w:rPr>
                <w:kern w:val="22"/>
                <w:szCs w:val="22"/>
              </w:rPr>
            </w:pPr>
            <w:sdt>
              <w:sdtPr>
                <w:rPr>
                  <w:kern w:val="22"/>
                  <w:szCs w:val="22"/>
                </w:rPr>
                <w:alias w:val="Status"/>
                <w:tag w:val=""/>
                <w:id w:val="307985777"/>
                <w:placeholder>
                  <w:docPart w:val="3C94CED9B98D4389A1C91C399F18377C"/>
                </w:placeholder>
                <w:dataBinding w:prefixMappings="xmlns:ns0='http://purl.org/dc/elements/1.1/' xmlns:ns1='http://schemas.openxmlformats.org/package/2006/metadata/core-properties' " w:xpath="/ns1:coreProperties[1]/ns1:contentStatus[1]" w:storeItemID="{6C3C8BC8-F283-45AE-878A-BAB7291924A1}"/>
                <w:text/>
              </w:sdtPr>
              <w:sdtEndPr/>
              <w:sdtContent>
                <w:r w:rsidR="00063291">
                  <w:rPr>
                    <w:kern w:val="22"/>
                    <w:szCs w:val="22"/>
                  </w:rPr>
                  <w:t>GENERAL</w:t>
                </w:r>
              </w:sdtContent>
            </w:sdt>
          </w:p>
          <w:p w14:paraId="0892DA11" w14:textId="77777777" w:rsidR="009F1E35" w:rsidRPr="00074981" w:rsidRDefault="009F1E35" w:rsidP="00527836">
            <w:pPr>
              <w:ind w:left="1215"/>
              <w:rPr>
                <w:kern w:val="22"/>
                <w:szCs w:val="22"/>
              </w:rPr>
            </w:pPr>
          </w:p>
          <w:p w14:paraId="04C47ED8" w14:textId="375211A1" w:rsidR="009F1E35" w:rsidRPr="00074981" w:rsidRDefault="003B53AA" w:rsidP="00527836">
            <w:pPr>
              <w:ind w:left="1215"/>
              <w:rPr>
                <w:kern w:val="22"/>
                <w:szCs w:val="22"/>
              </w:rPr>
            </w:pPr>
            <w:sdt>
              <w:sdtPr>
                <w:rPr>
                  <w:kern w:val="22"/>
                </w:rPr>
                <w:alias w:val="Subject"/>
                <w:tag w:val=""/>
                <w:id w:val="2137136483"/>
                <w:placeholder>
                  <w:docPart w:val="7AF01CE646CC4262A70B83E326C8867D"/>
                </w:placeholder>
                <w:dataBinding w:prefixMappings="xmlns:ns0='http://purl.org/dc/elements/1.1/' xmlns:ns1='http://schemas.openxmlformats.org/package/2006/metadata/core-properties' " w:xpath="/ns1:coreProperties[1]/ns0:subject[1]" w:storeItemID="{6C3C8BC8-F283-45AE-878A-BAB7291924A1}"/>
                <w:text/>
              </w:sdtPr>
              <w:sdtEndPr/>
              <w:sdtContent>
                <w:r w:rsidR="00063291">
                  <w:rPr>
                    <w:kern w:val="22"/>
                  </w:rPr>
                  <w:t>CBD/COP/DEC/14/22</w:t>
                </w:r>
              </w:sdtContent>
            </w:sdt>
          </w:p>
          <w:p w14:paraId="0142CE95" w14:textId="0C9F14A4" w:rsidR="009F1E35" w:rsidRPr="00074981" w:rsidRDefault="00063291" w:rsidP="00527836">
            <w:pPr>
              <w:ind w:left="1215"/>
              <w:rPr>
                <w:kern w:val="22"/>
                <w:szCs w:val="22"/>
              </w:rPr>
            </w:pPr>
            <w:r>
              <w:rPr>
                <w:kern w:val="22"/>
                <w:szCs w:val="22"/>
              </w:rPr>
              <w:t>30</w:t>
            </w:r>
            <w:r w:rsidRPr="00074981">
              <w:rPr>
                <w:kern w:val="22"/>
                <w:szCs w:val="22"/>
              </w:rPr>
              <w:t xml:space="preserve"> </w:t>
            </w:r>
            <w:r w:rsidR="009F1E35" w:rsidRPr="00074981">
              <w:rPr>
                <w:kern w:val="22"/>
                <w:szCs w:val="22"/>
              </w:rPr>
              <w:t>November 2018</w:t>
            </w:r>
          </w:p>
          <w:p w14:paraId="7AFBE0C0" w14:textId="77777777" w:rsidR="009F1E35" w:rsidRPr="00074981" w:rsidRDefault="009F1E35" w:rsidP="00527836">
            <w:pPr>
              <w:ind w:left="1215"/>
              <w:rPr>
                <w:kern w:val="22"/>
                <w:szCs w:val="22"/>
              </w:rPr>
            </w:pPr>
          </w:p>
          <w:p w14:paraId="2BEA0F8D" w14:textId="77777777" w:rsidR="009F1E35" w:rsidRPr="00074981" w:rsidRDefault="009F1E35" w:rsidP="00527836">
            <w:pPr>
              <w:ind w:left="1215"/>
              <w:rPr>
                <w:kern w:val="22"/>
                <w:szCs w:val="22"/>
              </w:rPr>
            </w:pPr>
            <w:r w:rsidRPr="00074981">
              <w:rPr>
                <w:kern w:val="22"/>
                <w:szCs w:val="22"/>
              </w:rPr>
              <w:t>ORIGINAL: ENGLISH</w:t>
            </w:r>
          </w:p>
          <w:p w14:paraId="4D636585" w14:textId="77777777" w:rsidR="009F1E35" w:rsidRPr="00074981" w:rsidRDefault="009F1E35" w:rsidP="00527836">
            <w:pPr>
              <w:rPr>
                <w:kern w:val="22"/>
              </w:rPr>
            </w:pPr>
          </w:p>
        </w:tc>
      </w:tr>
    </w:tbl>
    <w:p w14:paraId="1DC2F3CC" w14:textId="77777777" w:rsidR="0061445E" w:rsidRPr="00CC01EC" w:rsidRDefault="0061445E" w:rsidP="00B64A51">
      <w:pPr>
        <w:pStyle w:val="NoSpacing"/>
        <w:suppressLineNumbers/>
        <w:suppressAutoHyphens/>
        <w:ind w:left="142" w:right="4682" w:hanging="142"/>
        <w:rPr>
          <w:rFonts w:ascii="Times New Roman" w:hAnsi="Times New Roman"/>
          <w:kern w:val="22"/>
          <w:lang w:val="en-GB"/>
        </w:rPr>
      </w:pPr>
      <w:r w:rsidRPr="000D684B">
        <w:rPr>
          <w:rFonts w:ascii="Times New Roman" w:hAnsi="Times New Roman"/>
          <w:kern w:val="22"/>
          <w:lang w:val="en-GB"/>
        </w:rPr>
        <w:t>CONFERENCE OF THE PARTIES TO THE CONVENTION ON BIOLOGICAL DIVERSITY</w:t>
      </w:r>
    </w:p>
    <w:p w14:paraId="5B0F9F9E" w14:textId="77777777" w:rsidR="0061445E" w:rsidRPr="000D684B" w:rsidRDefault="0061445E" w:rsidP="00B64A51">
      <w:pPr>
        <w:pStyle w:val="NoSpacing"/>
        <w:suppressLineNumbers/>
        <w:suppressAutoHyphens/>
        <w:rPr>
          <w:rFonts w:ascii="Times New Roman" w:hAnsi="Times New Roman"/>
          <w:kern w:val="22"/>
          <w:lang w:val="en-GB"/>
        </w:rPr>
      </w:pPr>
      <w:r w:rsidRPr="000D684B">
        <w:rPr>
          <w:rFonts w:ascii="Times New Roman" w:hAnsi="Times New Roman"/>
          <w:kern w:val="22"/>
          <w:lang w:val="en-GB"/>
        </w:rPr>
        <w:t>Fourteenth meeting</w:t>
      </w:r>
    </w:p>
    <w:p w14:paraId="016B4752" w14:textId="08566347" w:rsidR="0061445E" w:rsidRPr="000D684B" w:rsidRDefault="0061445E" w:rsidP="00B64A51">
      <w:pPr>
        <w:pStyle w:val="NoSpacing"/>
        <w:suppressLineNumbers/>
        <w:suppressAutoHyphens/>
        <w:rPr>
          <w:rFonts w:ascii="Times New Roman" w:hAnsi="Times New Roman"/>
          <w:kern w:val="22"/>
          <w:lang w:val="en-GB"/>
        </w:rPr>
      </w:pPr>
      <w:r w:rsidRPr="000D684B">
        <w:rPr>
          <w:rFonts w:ascii="Times New Roman" w:hAnsi="Times New Roman"/>
          <w:kern w:val="22"/>
          <w:lang w:val="en-GB"/>
        </w:rPr>
        <w:t xml:space="preserve">Sharm </w:t>
      </w:r>
      <w:r w:rsidR="004B4732" w:rsidRPr="000D684B">
        <w:rPr>
          <w:rFonts w:ascii="Times New Roman" w:hAnsi="Times New Roman"/>
          <w:kern w:val="22"/>
          <w:lang w:val="en-GB"/>
        </w:rPr>
        <w:t>E</w:t>
      </w:r>
      <w:r w:rsidRPr="000D684B">
        <w:rPr>
          <w:rFonts w:ascii="Times New Roman" w:hAnsi="Times New Roman"/>
          <w:kern w:val="22"/>
          <w:lang w:val="en-GB"/>
        </w:rPr>
        <w:t>l-Sheikh, Egypt, 17-29 November 2018</w:t>
      </w:r>
    </w:p>
    <w:p w14:paraId="0B9BBCE1" w14:textId="1394018E" w:rsidR="00C9161D" w:rsidRPr="000D684B" w:rsidRDefault="00405146" w:rsidP="00B64A51">
      <w:pPr>
        <w:suppressLineNumbers/>
        <w:suppressAutoHyphens/>
        <w:rPr>
          <w:kern w:val="22"/>
          <w:szCs w:val="22"/>
        </w:rPr>
      </w:pPr>
      <w:r w:rsidRPr="000D684B">
        <w:rPr>
          <w:kern w:val="22"/>
          <w:szCs w:val="22"/>
        </w:rPr>
        <w:t xml:space="preserve">Agenda item </w:t>
      </w:r>
      <w:r w:rsidR="00DE2A7B" w:rsidRPr="000D684B">
        <w:rPr>
          <w:kern w:val="22"/>
          <w:szCs w:val="22"/>
        </w:rPr>
        <w:t>9</w:t>
      </w:r>
    </w:p>
    <w:p w14:paraId="651C89AA" w14:textId="2995AC99" w:rsidR="00063291" w:rsidRPr="0004507A" w:rsidRDefault="00007AB2" w:rsidP="0004507A">
      <w:pPr>
        <w:suppressLineNumbers/>
        <w:suppressAutoHyphens/>
        <w:spacing w:before="240" w:after="120"/>
        <w:jc w:val="center"/>
        <w:rPr>
          <w:caps/>
          <w:kern w:val="22"/>
          <w:szCs w:val="22"/>
          <w:lang w:val="en-CA"/>
        </w:rPr>
      </w:pPr>
      <w:r w:rsidRPr="0004507A">
        <w:rPr>
          <w:b/>
          <w:caps/>
          <w:kern w:val="22"/>
          <w:szCs w:val="22"/>
        </w:rPr>
        <w:t>Decision adopted by the Conference of the Parties to the Convention on Biological Diversity</w:t>
      </w:r>
    </w:p>
    <w:p w14:paraId="70A9BE08" w14:textId="4DE785CF" w:rsidR="00C9161D" w:rsidRPr="0004507A" w:rsidRDefault="003B53AA" w:rsidP="00D86602">
      <w:pPr>
        <w:suppressLineNumbers/>
        <w:suppressAutoHyphens/>
        <w:spacing w:before="240" w:after="120"/>
        <w:jc w:val="center"/>
        <w:rPr>
          <w:b/>
          <w:kern w:val="22"/>
          <w:szCs w:val="22"/>
        </w:rPr>
      </w:pPr>
      <w:sdt>
        <w:sdtPr>
          <w:rPr>
            <w:b/>
            <w:kern w:val="22"/>
            <w:szCs w:val="22"/>
          </w:rPr>
          <w:alias w:val="Title"/>
          <w:tag w:val=""/>
          <w:id w:val="-798069578"/>
          <w:placeholder>
            <w:docPart w:val="4A4C672F5B3D4E3AB8297130FB9D27A7"/>
          </w:placeholder>
          <w:dataBinding w:prefixMappings="xmlns:ns0='http://purl.org/dc/elements/1.1/' xmlns:ns1='http://schemas.openxmlformats.org/package/2006/metadata/core-properties' " w:xpath="/ns1:coreProperties[1]/ns0:title[1]" w:storeItemID="{6C3C8BC8-F283-45AE-878A-BAB7291924A1}"/>
          <w:text/>
        </w:sdtPr>
        <w:sdtEndPr/>
        <w:sdtContent>
          <w:r w:rsidR="00007AB2" w:rsidRPr="0004507A">
            <w:rPr>
              <w:b/>
              <w:kern w:val="22"/>
              <w:szCs w:val="22"/>
            </w:rPr>
            <w:t>14/22.</w:t>
          </w:r>
          <w:r w:rsidR="005335B1" w:rsidRPr="0004507A">
            <w:rPr>
              <w:b/>
              <w:kern w:val="22"/>
              <w:szCs w:val="22"/>
            </w:rPr>
            <w:tab/>
          </w:r>
          <w:r w:rsidR="00007AB2" w:rsidRPr="0004507A">
            <w:rPr>
              <w:b/>
              <w:kern w:val="22"/>
              <w:szCs w:val="22"/>
            </w:rPr>
            <w:t>Resource mobilization</w:t>
          </w:r>
        </w:sdtContent>
      </w:sdt>
    </w:p>
    <w:p w14:paraId="7E915737" w14:textId="77777777" w:rsidR="00975F96" w:rsidRPr="00F43684" w:rsidRDefault="00975F96" w:rsidP="00D86602">
      <w:pPr>
        <w:keepNext/>
        <w:suppressLineNumbers/>
        <w:suppressAutoHyphens/>
        <w:kinsoku w:val="0"/>
        <w:overflowPunct w:val="0"/>
        <w:autoSpaceDE w:val="0"/>
        <w:autoSpaceDN w:val="0"/>
        <w:adjustRightInd w:val="0"/>
        <w:snapToGrid w:val="0"/>
        <w:spacing w:before="120" w:after="120"/>
        <w:ind w:firstLine="720"/>
        <w:rPr>
          <w:i/>
          <w:snapToGrid w:val="0"/>
          <w:kern w:val="22"/>
          <w:szCs w:val="22"/>
        </w:rPr>
      </w:pPr>
      <w:r w:rsidRPr="00F43684">
        <w:rPr>
          <w:i/>
          <w:snapToGrid w:val="0"/>
          <w:kern w:val="22"/>
          <w:szCs w:val="22"/>
        </w:rPr>
        <w:t>The Conference of the Parties</w:t>
      </w:r>
    </w:p>
    <w:p w14:paraId="28CBE4A6" w14:textId="5DE39BB6" w:rsidR="00975F96" w:rsidRPr="000D684B" w:rsidRDefault="00D372BB" w:rsidP="00D86602">
      <w:pPr>
        <w:keepNext/>
        <w:suppressLineNumbers/>
        <w:tabs>
          <w:tab w:val="left" w:pos="360"/>
        </w:tabs>
        <w:suppressAutoHyphens/>
        <w:kinsoku w:val="0"/>
        <w:overflowPunct w:val="0"/>
        <w:autoSpaceDE w:val="0"/>
        <w:autoSpaceDN w:val="0"/>
        <w:adjustRightInd w:val="0"/>
        <w:snapToGrid w:val="0"/>
        <w:jc w:val="center"/>
        <w:rPr>
          <w:b/>
          <w:snapToGrid w:val="0"/>
          <w:kern w:val="22"/>
          <w:szCs w:val="22"/>
        </w:rPr>
      </w:pPr>
      <w:r w:rsidRPr="000D684B">
        <w:rPr>
          <w:b/>
          <w:snapToGrid w:val="0"/>
          <w:kern w:val="22"/>
          <w:szCs w:val="22"/>
        </w:rPr>
        <w:t>A.</w:t>
      </w:r>
      <w:r w:rsidRPr="000D684B">
        <w:rPr>
          <w:b/>
          <w:snapToGrid w:val="0"/>
          <w:kern w:val="22"/>
          <w:szCs w:val="22"/>
        </w:rPr>
        <w:tab/>
      </w:r>
      <w:r w:rsidR="00975F96" w:rsidRPr="000D684B">
        <w:rPr>
          <w:b/>
          <w:snapToGrid w:val="0"/>
          <w:kern w:val="22"/>
          <w:szCs w:val="22"/>
        </w:rPr>
        <w:t>Financial reporting</w:t>
      </w:r>
    </w:p>
    <w:p w14:paraId="310F7DF6" w14:textId="77777777" w:rsidR="00975F96" w:rsidRPr="000D684B" w:rsidRDefault="00975F96" w:rsidP="00D86602">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0D684B">
        <w:rPr>
          <w:snapToGrid w:val="0"/>
          <w:kern w:val="22"/>
          <w:szCs w:val="22"/>
        </w:rPr>
        <w:t>1.</w:t>
      </w:r>
      <w:r w:rsidRPr="000D684B">
        <w:rPr>
          <w:snapToGrid w:val="0"/>
          <w:kern w:val="22"/>
          <w:szCs w:val="22"/>
        </w:rPr>
        <w:tab/>
      </w:r>
      <w:r w:rsidRPr="000D684B">
        <w:rPr>
          <w:i/>
          <w:snapToGrid w:val="0"/>
          <w:kern w:val="22"/>
          <w:szCs w:val="22"/>
        </w:rPr>
        <w:t>Takes note with appreciation</w:t>
      </w:r>
      <w:r w:rsidRPr="000D684B">
        <w:rPr>
          <w:snapToGrid w:val="0"/>
          <w:kern w:val="22"/>
          <w:szCs w:val="22"/>
        </w:rPr>
        <w:t xml:space="preserve"> of the information provided by Parties through the financial reporting framework;</w:t>
      </w:r>
    </w:p>
    <w:p w14:paraId="3A600F0C" w14:textId="77777777" w:rsidR="00975F96" w:rsidRPr="000D684B" w:rsidRDefault="00975F96" w:rsidP="00D86602">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0D684B">
        <w:rPr>
          <w:snapToGrid w:val="0"/>
          <w:kern w:val="22"/>
          <w:szCs w:val="22"/>
        </w:rPr>
        <w:t>2.</w:t>
      </w:r>
      <w:r w:rsidRPr="000D684B">
        <w:rPr>
          <w:snapToGrid w:val="0"/>
          <w:kern w:val="22"/>
          <w:szCs w:val="22"/>
        </w:rPr>
        <w:tab/>
      </w:r>
      <w:r w:rsidRPr="000D684B">
        <w:rPr>
          <w:i/>
          <w:snapToGrid w:val="0"/>
          <w:kern w:val="22"/>
          <w:szCs w:val="22"/>
        </w:rPr>
        <w:t>Takes note</w:t>
      </w:r>
      <w:r w:rsidRPr="000D684B">
        <w:rPr>
          <w:snapToGrid w:val="0"/>
          <w:kern w:val="22"/>
          <w:szCs w:val="22"/>
        </w:rPr>
        <w:t xml:space="preserve"> of the analysis of the information provided by Parties through the financial reporting framework, in particular the progress towards the targets adopted in decision XII/3, as contained in the note by the Executive Secretary on resource mobilization: stocktake and updated analysis of information provided through the financial reporting framework;</w:t>
      </w:r>
      <w:r w:rsidRPr="000D684B">
        <w:rPr>
          <w:snapToGrid w:val="0"/>
          <w:kern w:val="22"/>
          <w:szCs w:val="22"/>
          <w:vertAlign w:val="superscript"/>
        </w:rPr>
        <w:footnoteReference w:id="1"/>
      </w:r>
    </w:p>
    <w:p w14:paraId="122E208B" w14:textId="5B1E0D96" w:rsidR="00975F96" w:rsidRPr="000D684B" w:rsidRDefault="00975F96" w:rsidP="00D86602">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C01EC">
        <w:rPr>
          <w:snapToGrid w:val="0"/>
          <w:kern w:val="22"/>
          <w:szCs w:val="22"/>
        </w:rPr>
        <w:t>3.</w:t>
      </w:r>
      <w:r w:rsidRPr="00CC01EC">
        <w:rPr>
          <w:snapToGrid w:val="0"/>
          <w:kern w:val="22"/>
          <w:szCs w:val="22"/>
        </w:rPr>
        <w:tab/>
      </w:r>
      <w:r w:rsidR="00F8490E" w:rsidRPr="00F43684">
        <w:rPr>
          <w:i/>
          <w:snapToGrid w:val="0"/>
          <w:kern w:val="22"/>
          <w:szCs w:val="22"/>
        </w:rPr>
        <w:t>Urges</w:t>
      </w:r>
      <w:r w:rsidRPr="00F43684">
        <w:rPr>
          <w:snapToGrid w:val="0"/>
          <w:kern w:val="22"/>
          <w:szCs w:val="22"/>
        </w:rPr>
        <w:t xml:space="preserve"> Parties to report, using the online financial reporting framework, on their further contribution to the collective efforts to reach the global targets f</w:t>
      </w:r>
      <w:r w:rsidRPr="000D684B">
        <w:rPr>
          <w:snapToGrid w:val="0"/>
          <w:kern w:val="22"/>
          <w:szCs w:val="22"/>
        </w:rPr>
        <w:t>or resource mobilization, against the established baseline, in conjunction with their sixth national reports, by 31 December 2018;</w:t>
      </w:r>
    </w:p>
    <w:p w14:paraId="0EA33E87" w14:textId="3CA41519" w:rsidR="00975F96" w:rsidRPr="000D684B" w:rsidRDefault="00D372BB" w:rsidP="00D86602">
      <w:pPr>
        <w:keepNext/>
        <w:suppressLineNumbers/>
        <w:tabs>
          <w:tab w:val="left" w:pos="360"/>
        </w:tabs>
        <w:suppressAutoHyphens/>
        <w:kinsoku w:val="0"/>
        <w:overflowPunct w:val="0"/>
        <w:autoSpaceDE w:val="0"/>
        <w:autoSpaceDN w:val="0"/>
        <w:adjustRightInd w:val="0"/>
        <w:snapToGrid w:val="0"/>
        <w:jc w:val="center"/>
        <w:rPr>
          <w:b/>
          <w:snapToGrid w:val="0"/>
          <w:kern w:val="22"/>
          <w:szCs w:val="22"/>
        </w:rPr>
      </w:pPr>
      <w:r w:rsidRPr="000D684B">
        <w:rPr>
          <w:b/>
          <w:snapToGrid w:val="0"/>
          <w:kern w:val="22"/>
          <w:szCs w:val="22"/>
        </w:rPr>
        <w:t>B.</w:t>
      </w:r>
      <w:r w:rsidRPr="000D684B">
        <w:rPr>
          <w:b/>
          <w:snapToGrid w:val="0"/>
          <w:kern w:val="22"/>
          <w:szCs w:val="22"/>
        </w:rPr>
        <w:tab/>
      </w:r>
      <w:r w:rsidR="00975F96" w:rsidRPr="000D684B">
        <w:rPr>
          <w:b/>
          <w:snapToGrid w:val="0"/>
          <w:kern w:val="22"/>
          <w:szCs w:val="22"/>
        </w:rPr>
        <w:t>Capacity-building and technical support</w:t>
      </w:r>
    </w:p>
    <w:p w14:paraId="27A28634" w14:textId="77777777" w:rsidR="00975F96" w:rsidRPr="000D684B" w:rsidRDefault="00975F96" w:rsidP="00D86602">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0D684B">
        <w:rPr>
          <w:snapToGrid w:val="0"/>
          <w:kern w:val="22"/>
          <w:szCs w:val="22"/>
        </w:rPr>
        <w:t>4.</w:t>
      </w:r>
      <w:r w:rsidRPr="000D684B">
        <w:rPr>
          <w:snapToGrid w:val="0"/>
          <w:kern w:val="22"/>
          <w:szCs w:val="22"/>
        </w:rPr>
        <w:tab/>
      </w:r>
      <w:r w:rsidRPr="000D684B">
        <w:rPr>
          <w:i/>
          <w:snapToGrid w:val="0"/>
          <w:kern w:val="22"/>
          <w:szCs w:val="22"/>
        </w:rPr>
        <w:t>Welcomes</w:t>
      </w:r>
      <w:r w:rsidRPr="000D684B">
        <w:rPr>
          <w:snapToGrid w:val="0"/>
          <w:kern w:val="22"/>
          <w:szCs w:val="22"/>
        </w:rPr>
        <w:t xml:space="preserve"> the work of relevant organizations and initiatives, including the Biodiversity Finance Initiative of the United Nations Development Programme, to provide technical support and capacity</w:t>
      </w:r>
      <w:r w:rsidRPr="000D684B">
        <w:rPr>
          <w:snapToGrid w:val="0"/>
          <w:kern w:val="22"/>
          <w:szCs w:val="22"/>
        </w:rPr>
        <w:noBreakHyphen/>
        <w:t>building for interested developing country Parties, in particular the least developed countries and small island developing States, as well as countries with economies in transition,</w:t>
      </w:r>
      <w:r w:rsidRPr="000D684B">
        <w:rPr>
          <w:kern w:val="22"/>
          <w:szCs w:val="22"/>
        </w:rPr>
        <w:t xml:space="preserve"> including</w:t>
      </w:r>
      <w:r w:rsidRPr="000D684B">
        <w:rPr>
          <w:snapToGrid w:val="0"/>
          <w:kern w:val="22"/>
          <w:szCs w:val="22"/>
        </w:rPr>
        <w:t xml:space="preserve"> indigenous peoples and local communities and other relevant stakeholders within those countries, on the identification of funding needs, gaps and priorities, the development and implementation of national resource mobilization strategies, and on financial reporting, and </w:t>
      </w:r>
      <w:r w:rsidRPr="000D684B">
        <w:rPr>
          <w:i/>
          <w:snapToGrid w:val="0"/>
          <w:kern w:val="22"/>
          <w:szCs w:val="22"/>
        </w:rPr>
        <w:t>invites</w:t>
      </w:r>
      <w:r w:rsidRPr="000D684B">
        <w:rPr>
          <w:snapToGrid w:val="0"/>
          <w:kern w:val="22"/>
          <w:szCs w:val="22"/>
        </w:rPr>
        <w:t xml:space="preserve"> the Biodiversity Finance</w:t>
      </w:r>
      <w:r w:rsidRPr="000D684B" w:rsidDel="00943749">
        <w:rPr>
          <w:snapToGrid w:val="0"/>
          <w:kern w:val="22"/>
          <w:szCs w:val="22"/>
        </w:rPr>
        <w:t xml:space="preserve"> </w:t>
      </w:r>
      <w:r w:rsidRPr="000D684B">
        <w:rPr>
          <w:snapToGrid w:val="0"/>
          <w:kern w:val="22"/>
          <w:szCs w:val="22"/>
        </w:rPr>
        <w:t>Initiative and similar programmes or initiatives to further provide financial and technical support and capacity-building for interested developing country Parties to participate in the initiative;</w:t>
      </w:r>
    </w:p>
    <w:p w14:paraId="6470C0D1" w14:textId="7F082074" w:rsidR="00D372BB" w:rsidRPr="000D684B" w:rsidRDefault="00975F96" w:rsidP="00D86602">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0D684B">
        <w:rPr>
          <w:snapToGrid w:val="0"/>
          <w:kern w:val="22"/>
          <w:szCs w:val="22"/>
        </w:rPr>
        <w:t>5.</w:t>
      </w:r>
      <w:r w:rsidRPr="000D684B">
        <w:rPr>
          <w:snapToGrid w:val="0"/>
          <w:kern w:val="22"/>
          <w:szCs w:val="22"/>
        </w:rPr>
        <w:tab/>
      </w:r>
      <w:r w:rsidRPr="000D684B">
        <w:rPr>
          <w:i/>
          <w:snapToGrid w:val="0"/>
          <w:kern w:val="22"/>
          <w:szCs w:val="22"/>
        </w:rPr>
        <w:t xml:space="preserve">Invites </w:t>
      </w:r>
      <w:r w:rsidRPr="000D684B">
        <w:rPr>
          <w:snapToGrid w:val="0"/>
          <w:kern w:val="22"/>
          <w:szCs w:val="22"/>
        </w:rPr>
        <w:t>Parties</w:t>
      </w:r>
      <w:r w:rsidR="00AA3BC0" w:rsidRPr="000D684B">
        <w:rPr>
          <w:snapToGrid w:val="0"/>
          <w:kern w:val="22"/>
          <w:szCs w:val="22"/>
        </w:rPr>
        <w:t>,</w:t>
      </w:r>
      <w:r w:rsidRPr="000D684B">
        <w:rPr>
          <w:snapToGrid w:val="0"/>
          <w:kern w:val="22"/>
          <w:szCs w:val="22"/>
        </w:rPr>
        <w:t xml:space="preserve"> other Governments and donors</w:t>
      </w:r>
      <w:r w:rsidR="00AA3BC0" w:rsidRPr="000D684B">
        <w:rPr>
          <w:snapToGrid w:val="0"/>
          <w:kern w:val="22"/>
          <w:szCs w:val="22"/>
        </w:rPr>
        <w:t xml:space="preserve"> in a position to do so</w:t>
      </w:r>
      <w:r w:rsidRPr="000D684B">
        <w:rPr>
          <w:snapToGrid w:val="0"/>
          <w:kern w:val="22"/>
          <w:szCs w:val="22"/>
        </w:rPr>
        <w:t xml:space="preserve">, to provide financial resources in accordance with Article 20 of the Convention </w:t>
      </w:r>
      <w:r w:rsidR="008D54EC" w:rsidRPr="00D11338">
        <w:rPr>
          <w:snapToGrid w:val="0"/>
          <w:kern w:val="22"/>
          <w:szCs w:val="22"/>
        </w:rPr>
        <w:t>and</w:t>
      </w:r>
      <w:r w:rsidR="008D54EC" w:rsidRPr="000D684B">
        <w:rPr>
          <w:snapToGrid w:val="0"/>
          <w:kern w:val="22"/>
          <w:szCs w:val="22"/>
        </w:rPr>
        <w:t xml:space="preserve"> </w:t>
      </w:r>
      <w:r w:rsidR="00A22388" w:rsidRPr="000D684B">
        <w:rPr>
          <w:snapToGrid w:val="0"/>
          <w:kern w:val="22"/>
          <w:szCs w:val="22"/>
        </w:rPr>
        <w:t xml:space="preserve">to achieve </w:t>
      </w:r>
      <w:r w:rsidR="008D54EC" w:rsidRPr="000D684B">
        <w:rPr>
          <w:snapToGrid w:val="0"/>
          <w:kern w:val="22"/>
          <w:szCs w:val="22"/>
        </w:rPr>
        <w:t>the targets for resource mobilization adopted in decision XII/3,</w:t>
      </w:r>
      <w:r w:rsidR="00752183" w:rsidRPr="000D684B">
        <w:rPr>
          <w:snapToGrid w:val="0"/>
          <w:kern w:val="22"/>
          <w:szCs w:val="22"/>
        </w:rPr>
        <w:t xml:space="preserve"> </w:t>
      </w:r>
      <w:r w:rsidRPr="000D684B">
        <w:rPr>
          <w:snapToGrid w:val="0"/>
          <w:kern w:val="22"/>
          <w:szCs w:val="22"/>
        </w:rPr>
        <w:t>for capacity-building and technical assistance as well as to facilitate technology transfer</w:t>
      </w:r>
      <w:r w:rsidR="00A57E7F" w:rsidRPr="000D684B">
        <w:rPr>
          <w:snapToGrid w:val="0"/>
          <w:kern w:val="22"/>
          <w:szCs w:val="22"/>
        </w:rPr>
        <w:t xml:space="preserve">, and </w:t>
      </w:r>
      <w:r w:rsidR="00A22388" w:rsidRPr="000D684B">
        <w:rPr>
          <w:snapToGrid w:val="0"/>
          <w:kern w:val="22"/>
          <w:szCs w:val="22"/>
        </w:rPr>
        <w:t xml:space="preserve">to support </w:t>
      </w:r>
      <w:r w:rsidR="00A57E7F" w:rsidRPr="000D684B">
        <w:rPr>
          <w:snapToGrid w:val="0"/>
          <w:kern w:val="22"/>
          <w:szCs w:val="22"/>
        </w:rPr>
        <w:t xml:space="preserve">monitoring </w:t>
      </w:r>
      <w:r w:rsidR="00A22388" w:rsidRPr="000D684B">
        <w:rPr>
          <w:snapToGrid w:val="0"/>
          <w:kern w:val="22"/>
          <w:szCs w:val="22"/>
        </w:rPr>
        <w:t>of financial</w:t>
      </w:r>
      <w:r w:rsidR="00A57E7F" w:rsidRPr="000D684B">
        <w:rPr>
          <w:snapToGrid w:val="0"/>
          <w:kern w:val="22"/>
          <w:szCs w:val="22"/>
        </w:rPr>
        <w:t xml:space="preserve"> resources </w:t>
      </w:r>
      <w:r w:rsidR="00A22388" w:rsidRPr="000D684B">
        <w:rPr>
          <w:snapToGrid w:val="0"/>
          <w:kern w:val="22"/>
          <w:szCs w:val="22"/>
        </w:rPr>
        <w:t>for the Convention</w:t>
      </w:r>
      <w:r w:rsidR="00AA3BC0" w:rsidRPr="000D684B">
        <w:rPr>
          <w:snapToGrid w:val="0"/>
          <w:kern w:val="22"/>
          <w:szCs w:val="22"/>
        </w:rPr>
        <w:t>, in particular regarding those Aichi Biodiversity Targets that may be achieved in the next two years, under the financial reporting framework</w:t>
      </w:r>
      <w:r w:rsidRPr="000D684B">
        <w:rPr>
          <w:snapToGrid w:val="0"/>
          <w:kern w:val="22"/>
          <w:szCs w:val="22"/>
        </w:rPr>
        <w:t>;</w:t>
      </w:r>
    </w:p>
    <w:p w14:paraId="158CD880" w14:textId="7455309A" w:rsidR="00975F96" w:rsidRPr="000D684B" w:rsidRDefault="009F1E35" w:rsidP="00D86602">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0D684B">
        <w:rPr>
          <w:snapToGrid w:val="0"/>
          <w:kern w:val="22"/>
          <w:szCs w:val="22"/>
        </w:rPr>
        <w:lastRenderedPageBreak/>
        <w:t>6</w:t>
      </w:r>
      <w:r w:rsidR="00975F96" w:rsidRPr="000D684B">
        <w:rPr>
          <w:snapToGrid w:val="0"/>
          <w:kern w:val="22"/>
          <w:szCs w:val="22"/>
        </w:rPr>
        <w:t>.</w:t>
      </w:r>
      <w:r w:rsidR="00975F96" w:rsidRPr="000D684B">
        <w:rPr>
          <w:snapToGrid w:val="0"/>
          <w:kern w:val="22"/>
          <w:szCs w:val="22"/>
        </w:rPr>
        <w:tab/>
      </w:r>
      <w:r w:rsidR="00975F96" w:rsidRPr="000D684B">
        <w:rPr>
          <w:i/>
          <w:snapToGrid w:val="0"/>
          <w:kern w:val="22"/>
          <w:szCs w:val="22"/>
        </w:rPr>
        <w:t>Takes note</w:t>
      </w:r>
      <w:r w:rsidR="00975F96" w:rsidRPr="000D684B">
        <w:rPr>
          <w:snapToGrid w:val="0"/>
          <w:kern w:val="22"/>
          <w:szCs w:val="22"/>
        </w:rPr>
        <w:t xml:space="preserve"> of the work undertaken by the Development Assistance Committee of the Organization for Economic Cooperation and Development to refine the Rio marker methodology,</w:t>
      </w:r>
      <w:r w:rsidR="00975F96" w:rsidRPr="000D684B">
        <w:rPr>
          <w:kern w:val="22"/>
          <w:szCs w:val="22"/>
        </w:rPr>
        <w:t xml:space="preserve"> </w:t>
      </w:r>
      <w:r w:rsidR="00975F96" w:rsidRPr="000D684B">
        <w:rPr>
          <w:snapToGrid w:val="0"/>
          <w:kern w:val="22"/>
          <w:szCs w:val="22"/>
        </w:rPr>
        <w:t>and the work of the Environmental Policy Committee of the Organization to track economic instruments and the finance they mobilize, and invites the Organization to continue and further intensify this work;</w:t>
      </w:r>
    </w:p>
    <w:p w14:paraId="591E0676" w14:textId="5FAD3203" w:rsidR="00FA1286" w:rsidRPr="000D684B" w:rsidRDefault="00C14A96" w:rsidP="00D86602">
      <w:pPr>
        <w:suppressLineNumbers/>
        <w:tabs>
          <w:tab w:val="left" w:pos="360"/>
        </w:tabs>
        <w:suppressAutoHyphens/>
        <w:kinsoku w:val="0"/>
        <w:overflowPunct w:val="0"/>
        <w:autoSpaceDE w:val="0"/>
        <w:autoSpaceDN w:val="0"/>
        <w:adjustRightInd w:val="0"/>
        <w:snapToGrid w:val="0"/>
        <w:spacing w:before="120" w:after="120"/>
        <w:jc w:val="center"/>
        <w:rPr>
          <w:b/>
          <w:snapToGrid w:val="0"/>
          <w:kern w:val="22"/>
          <w:szCs w:val="22"/>
        </w:rPr>
      </w:pPr>
      <w:r w:rsidRPr="000D684B">
        <w:rPr>
          <w:b/>
          <w:snapToGrid w:val="0"/>
          <w:kern w:val="22"/>
          <w:szCs w:val="22"/>
        </w:rPr>
        <w:t>C.</w:t>
      </w:r>
      <w:r w:rsidRPr="000D684B">
        <w:rPr>
          <w:b/>
          <w:snapToGrid w:val="0"/>
          <w:kern w:val="22"/>
          <w:szCs w:val="22"/>
        </w:rPr>
        <w:tab/>
      </w:r>
      <w:r w:rsidR="00FA1286" w:rsidRPr="000D684B">
        <w:rPr>
          <w:b/>
          <w:snapToGrid w:val="0"/>
          <w:kern w:val="22"/>
          <w:szCs w:val="22"/>
        </w:rPr>
        <w:t>Synergies among conventions</w:t>
      </w:r>
    </w:p>
    <w:p w14:paraId="7D99145E" w14:textId="601231AA" w:rsidR="00FA1286" w:rsidRPr="000D684B" w:rsidRDefault="009F1E35" w:rsidP="00D86602">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0D684B">
        <w:rPr>
          <w:snapToGrid w:val="0"/>
          <w:kern w:val="22"/>
          <w:szCs w:val="22"/>
        </w:rPr>
        <w:t>7</w:t>
      </w:r>
      <w:r w:rsidR="00FA1286" w:rsidRPr="000D684B">
        <w:rPr>
          <w:snapToGrid w:val="0"/>
          <w:kern w:val="22"/>
          <w:szCs w:val="22"/>
        </w:rPr>
        <w:t>.</w:t>
      </w:r>
      <w:r w:rsidR="00FA1286" w:rsidRPr="000D684B">
        <w:rPr>
          <w:snapToGrid w:val="0"/>
          <w:kern w:val="22"/>
          <w:szCs w:val="22"/>
        </w:rPr>
        <w:tab/>
      </w:r>
      <w:r w:rsidR="00FA1286" w:rsidRPr="000D684B">
        <w:rPr>
          <w:i/>
          <w:snapToGrid w:val="0"/>
          <w:kern w:val="22"/>
          <w:szCs w:val="22"/>
        </w:rPr>
        <w:t>Emphasi</w:t>
      </w:r>
      <w:r w:rsidR="00504945" w:rsidRPr="000D684B">
        <w:rPr>
          <w:i/>
          <w:snapToGrid w:val="0"/>
          <w:kern w:val="22"/>
          <w:szCs w:val="22"/>
        </w:rPr>
        <w:t>z</w:t>
      </w:r>
      <w:r w:rsidR="00FA1286" w:rsidRPr="000D684B">
        <w:rPr>
          <w:i/>
          <w:snapToGrid w:val="0"/>
          <w:kern w:val="22"/>
          <w:szCs w:val="22"/>
        </w:rPr>
        <w:t>es</w:t>
      </w:r>
      <w:r w:rsidR="00FA1286" w:rsidRPr="000D684B">
        <w:rPr>
          <w:snapToGrid w:val="0"/>
          <w:kern w:val="22"/>
          <w:szCs w:val="22"/>
        </w:rPr>
        <w:t xml:space="preserve"> </w:t>
      </w:r>
      <w:r w:rsidR="00E04D93" w:rsidRPr="000D684B">
        <w:rPr>
          <w:snapToGrid w:val="0"/>
          <w:kern w:val="22"/>
          <w:szCs w:val="22"/>
        </w:rPr>
        <w:t xml:space="preserve">that all </w:t>
      </w:r>
      <w:r w:rsidR="00FA1286" w:rsidRPr="000D684B">
        <w:rPr>
          <w:snapToGrid w:val="0"/>
          <w:kern w:val="22"/>
          <w:szCs w:val="22"/>
        </w:rPr>
        <w:t xml:space="preserve">resource mobilization strategies </w:t>
      </w:r>
      <w:r w:rsidR="00E04D93" w:rsidRPr="000D684B">
        <w:rPr>
          <w:snapToGrid w:val="0"/>
          <w:kern w:val="22"/>
          <w:szCs w:val="22"/>
        </w:rPr>
        <w:t xml:space="preserve">should </w:t>
      </w:r>
      <w:r w:rsidR="00FA1286" w:rsidRPr="000D684B">
        <w:rPr>
          <w:snapToGrid w:val="0"/>
          <w:kern w:val="22"/>
          <w:szCs w:val="22"/>
        </w:rPr>
        <w:t xml:space="preserve">promote and harness synergies among conventions, including synergies related to systems for monitoring financial resources from different sources and </w:t>
      </w:r>
      <w:r w:rsidR="00CE4B56" w:rsidRPr="000D684B">
        <w:rPr>
          <w:snapToGrid w:val="0"/>
          <w:kern w:val="22"/>
          <w:szCs w:val="22"/>
        </w:rPr>
        <w:t xml:space="preserve">the </w:t>
      </w:r>
      <w:r w:rsidR="00FA1286" w:rsidRPr="000D684B">
        <w:rPr>
          <w:snapToGrid w:val="0"/>
          <w:kern w:val="22"/>
          <w:szCs w:val="22"/>
        </w:rPr>
        <w:t>implementation</w:t>
      </w:r>
      <w:r w:rsidR="00CE4B56" w:rsidRPr="000D684B">
        <w:rPr>
          <w:snapToGrid w:val="0"/>
          <w:kern w:val="22"/>
          <w:szCs w:val="22"/>
        </w:rPr>
        <w:t xml:space="preserve"> of conventions</w:t>
      </w:r>
      <w:r w:rsidR="00FA1286" w:rsidRPr="000D684B">
        <w:rPr>
          <w:snapToGrid w:val="0"/>
          <w:kern w:val="22"/>
          <w:szCs w:val="22"/>
        </w:rPr>
        <w:t>;</w:t>
      </w:r>
    </w:p>
    <w:p w14:paraId="575A5A0D" w14:textId="3DFA27AB" w:rsidR="00975F96" w:rsidRPr="000D684B" w:rsidRDefault="00CE4B56" w:rsidP="00CE4B56">
      <w:pPr>
        <w:keepNext/>
        <w:suppressLineNumbers/>
        <w:tabs>
          <w:tab w:val="left" w:pos="360"/>
        </w:tabs>
        <w:suppressAutoHyphens/>
        <w:kinsoku w:val="0"/>
        <w:overflowPunct w:val="0"/>
        <w:autoSpaceDE w:val="0"/>
        <w:autoSpaceDN w:val="0"/>
        <w:adjustRightInd w:val="0"/>
        <w:snapToGrid w:val="0"/>
        <w:jc w:val="center"/>
        <w:rPr>
          <w:b/>
          <w:snapToGrid w:val="0"/>
          <w:kern w:val="22"/>
          <w:szCs w:val="22"/>
        </w:rPr>
      </w:pPr>
      <w:r w:rsidRPr="000D684B">
        <w:rPr>
          <w:b/>
          <w:snapToGrid w:val="0"/>
          <w:kern w:val="22"/>
          <w:szCs w:val="22"/>
        </w:rPr>
        <w:t>D.</w:t>
      </w:r>
      <w:r w:rsidRPr="000D684B">
        <w:rPr>
          <w:b/>
          <w:snapToGrid w:val="0"/>
          <w:kern w:val="22"/>
          <w:szCs w:val="22"/>
        </w:rPr>
        <w:tab/>
      </w:r>
      <w:r w:rsidR="00975F96" w:rsidRPr="000D684B">
        <w:rPr>
          <w:b/>
          <w:snapToGrid w:val="0"/>
          <w:kern w:val="22"/>
          <w:szCs w:val="22"/>
        </w:rPr>
        <w:t>Milestones for the full implementation of Aichi Biodiversity Target 3</w:t>
      </w:r>
    </w:p>
    <w:p w14:paraId="403D7D5D" w14:textId="350838A6" w:rsidR="00975F96" w:rsidRPr="000D684B" w:rsidRDefault="009F1E35" w:rsidP="00D86602">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0D684B">
        <w:rPr>
          <w:snapToGrid w:val="0"/>
          <w:kern w:val="22"/>
          <w:szCs w:val="22"/>
        </w:rPr>
        <w:t>8</w:t>
      </w:r>
      <w:r w:rsidR="00975F96" w:rsidRPr="000D684B">
        <w:rPr>
          <w:snapToGrid w:val="0"/>
          <w:kern w:val="22"/>
          <w:szCs w:val="22"/>
        </w:rPr>
        <w:t>.</w:t>
      </w:r>
      <w:r w:rsidR="00975F96" w:rsidRPr="000D684B">
        <w:rPr>
          <w:snapToGrid w:val="0"/>
          <w:kern w:val="22"/>
          <w:szCs w:val="22"/>
        </w:rPr>
        <w:tab/>
      </w:r>
      <w:r w:rsidR="00975F96" w:rsidRPr="000D684B">
        <w:rPr>
          <w:i/>
          <w:snapToGrid w:val="0"/>
          <w:kern w:val="22"/>
          <w:szCs w:val="22"/>
        </w:rPr>
        <w:t>Recognizes</w:t>
      </w:r>
      <w:r w:rsidR="00975F96" w:rsidRPr="000D684B">
        <w:rPr>
          <w:snapToGrid w:val="0"/>
          <w:kern w:val="22"/>
          <w:szCs w:val="22"/>
        </w:rPr>
        <w:t xml:space="preserve"> the potential contribution of implementing Aichi Biodiversity Target 3 for the mobilization of financial resources from all sources;</w:t>
      </w:r>
    </w:p>
    <w:p w14:paraId="11FF2E0F" w14:textId="177215BE" w:rsidR="00975F96" w:rsidRPr="000D684B" w:rsidRDefault="009F1E35" w:rsidP="00D86602">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0D684B">
        <w:rPr>
          <w:snapToGrid w:val="0"/>
          <w:kern w:val="22"/>
          <w:szCs w:val="22"/>
        </w:rPr>
        <w:t>9</w:t>
      </w:r>
      <w:r w:rsidR="00975F96" w:rsidRPr="000D684B">
        <w:rPr>
          <w:snapToGrid w:val="0"/>
          <w:kern w:val="22"/>
          <w:szCs w:val="22"/>
        </w:rPr>
        <w:t>.</w:t>
      </w:r>
      <w:r w:rsidR="00975F96" w:rsidRPr="000D684B">
        <w:rPr>
          <w:snapToGrid w:val="0"/>
          <w:kern w:val="22"/>
          <w:szCs w:val="22"/>
        </w:rPr>
        <w:tab/>
      </w:r>
      <w:r w:rsidR="00975F96" w:rsidRPr="000D684B">
        <w:rPr>
          <w:i/>
          <w:snapToGrid w:val="0"/>
          <w:kern w:val="22"/>
          <w:szCs w:val="22"/>
        </w:rPr>
        <w:t xml:space="preserve">Notes with concern </w:t>
      </w:r>
      <w:r w:rsidR="00975F96" w:rsidRPr="000D684B">
        <w:rPr>
          <w:snapToGrid w:val="0"/>
          <w:kern w:val="22"/>
          <w:szCs w:val="22"/>
        </w:rPr>
        <w:t>the limited progress made in implementing Aichi Biodiversity Target 3 and the milestones for its implementation, in particular on the elimination, phase out, or reform of incentives, including subsidies, that are harmful for biodiversity, consistent and in harmony with the Convention and other relevant international obligations, taking into account national socioeconomic conditions;</w:t>
      </w:r>
    </w:p>
    <w:p w14:paraId="05969DB1" w14:textId="0EB8E0E9" w:rsidR="00975F96" w:rsidRPr="00CC01EC" w:rsidRDefault="00752183" w:rsidP="00D86602">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0D684B">
        <w:rPr>
          <w:snapToGrid w:val="0"/>
          <w:kern w:val="22"/>
          <w:szCs w:val="22"/>
        </w:rPr>
        <w:t>1</w:t>
      </w:r>
      <w:r w:rsidR="009F1E35" w:rsidRPr="000D684B">
        <w:rPr>
          <w:snapToGrid w:val="0"/>
          <w:kern w:val="22"/>
          <w:szCs w:val="22"/>
        </w:rPr>
        <w:t>0</w:t>
      </w:r>
      <w:r w:rsidR="00975F96" w:rsidRPr="000D684B">
        <w:rPr>
          <w:snapToGrid w:val="0"/>
          <w:kern w:val="22"/>
          <w:szCs w:val="22"/>
        </w:rPr>
        <w:t>.</w:t>
      </w:r>
      <w:r w:rsidR="00975F96" w:rsidRPr="000D684B">
        <w:rPr>
          <w:snapToGrid w:val="0"/>
          <w:kern w:val="22"/>
          <w:szCs w:val="22"/>
        </w:rPr>
        <w:tab/>
      </w:r>
      <w:r w:rsidR="00975F96" w:rsidRPr="000D684B">
        <w:rPr>
          <w:i/>
          <w:snapToGrid w:val="0"/>
          <w:kern w:val="22"/>
          <w:szCs w:val="22"/>
        </w:rPr>
        <w:t>Encourages</w:t>
      </w:r>
      <w:r w:rsidR="00975F96" w:rsidRPr="000D684B">
        <w:rPr>
          <w:snapToGrid w:val="0"/>
          <w:kern w:val="22"/>
          <w:szCs w:val="22"/>
        </w:rPr>
        <w:t xml:space="preserve"> Parties and other Governments to intensify their efforts to implement measures for the full implementation of Aichi Biodiversity Target 3, taking into account, as a flexible framework, the milestones adopted by the Conference of the Parties at its twelfth meeting,</w:t>
      </w:r>
      <w:r w:rsidR="00975F96" w:rsidRPr="000D684B">
        <w:rPr>
          <w:snapToGrid w:val="0"/>
          <w:kern w:val="22"/>
          <w:szCs w:val="22"/>
          <w:vertAlign w:val="superscript"/>
        </w:rPr>
        <w:footnoteReference w:id="2"/>
      </w:r>
      <w:r w:rsidR="00975F96" w:rsidRPr="000D684B">
        <w:rPr>
          <w:snapToGrid w:val="0"/>
          <w:kern w:val="22"/>
          <w:szCs w:val="22"/>
        </w:rPr>
        <w:t xml:space="preserve"> consistent and in harmony with the Convention and other relevant international obligations, and taking into account national socioeconomic conditions;</w:t>
      </w:r>
    </w:p>
    <w:p w14:paraId="7E2C312A" w14:textId="6598F7AD" w:rsidR="00975F96" w:rsidRPr="000D684B" w:rsidRDefault="00975F96" w:rsidP="00D86602">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0D684B">
        <w:rPr>
          <w:snapToGrid w:val="0"/>
          <w:kern w:val="22"/>
          <w:szCs w:val="22"/>
        </w:rPr>
        <w:t>1</w:t>
      </w:r>
      <w:r w:rsidR="009F1E35" w:rsidRPr="000D684B">
        <w:rPr>
          <w:snapToGrid w:val="0"/>
          <w:kern w:val="22"/>
          <w:szCs w:val="22"/>
        </w:rPr>
        <w:t>1</w:t>
      </w:r>
      <w:r w:rsidRPr="000D684B">
        <w:rPr>
          <w:snapToGrid w:val="0"/>
          <w:kern w:val="22"/>
          <w:szCs w:val="22"/>
        </w:rPr>
        <w:t>.</w:t>
      </w:r>
      <w:r w:rsidRPr="000D684B">
        <w:rPr>
          <w:snapToGrid w:val="0"/>
          <w:kern w:val="22"/>
          <w:szCs w:val="22"/>
        </w:rPr>
        <w:tab/>
      </w:r>
      <w:r w:rsidRPr="000D684B">
        <w:rPr>
          <w:i/>
          <w:snapToGrid w:val="0"/>
          <w:kern w:val="22"/>
          <w:szCs w:val="22"/>
        </w:rPr>
        <w:t>Welcomes</w:t>
      </w:r>
      <w:r w:rsidRPr="000D684B">
        <w:rPr>
          <w:snapToGrid w:val="0"/>
          <w:kern w:val="22"/>
          <w:szCs w:val="22"/>
        </w:rPr>
        <w:t xml:space="preserve"> the work of relevant organizations and initiatives, including the Biodiversity Finance Initiative of the United Nations Development Programme, the United Nations Environment Programme, the Organization for Economic Cooperation and Development, the International Institute for Sustainable Development, and other partners, to provide analytical and technical support and capacity-building to the implementation of Aichi Biodiversity Target 3, and invites them to continue and further intensify this work;</w:t>
      </w:r>
    </w:p>
    <w:p w14:paraId="00671C5C" w14:textId="3862880E" w:rsidR="00975F96" w:rsidRPr="000D684B" w:rsidRDefault="00975F96" w:rsidP="00D86602">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0D684B">
        <w:rPr>
          <w:snapToGrid w:val="0"/>
          <w:kern w:val="22"/>
          <w:szCs w:val="22"/>
        </w:rPr>
        <w:t>1</w:t>
      </w:r>
      <w:r w:rsidR="009F1E35" w:rsidRPr="000D684B">
        <w:rPr>
          <w:snapToGrid w:val="0"/>
          <w:kern w:val="22"/>
          <w:szCs w:val="22"/>
        </w:rPr>
        <w:t>2</w:t>
      </w:r>
      <w:r w:rsidRPr="000D684B">
        <w:rPr>
          <w:snapToGrid w:val="0"/>
          <w:kern w:val="22"/>
          <w:szCs w:val="22"/>
        </w:rPr>
        <w:t>.</w:t>
      </w:r>
      <w:r w:rsidRPr="000D684B">
        <w:rPr>
          <w:snapToGrid w:val="0"/>
          <w:kern w:val="22"/>
          <w:szCs w:val="22"/>
        </w:rPr>
        <w:tab/>
      </w:r>
      <w:r w:rsidRPr="000D684B">
        <w:rPr>
          <w:i/>
          <w:snapToGrid w:val="0"/>
          <w:kern w:val="22"/>
          <w:szCs w:val="22"/>
        </w:rPr>
        <w:t>Notes</w:t>
      </w:r>
      <w:r w:rsidRPr="000D684B">
        <w:rPr>
          <w:snapToGrid w:val="0"/>
          <w:kern w:val="22"/>
          <w:szCs w:val="22"/>
        </w:rPr>
        <w:t xml:space="preserve"> the useful role of national studies to identify harmful incentives and opportunities for removal or reform of harmful incentives, including subsidies, and in scoping and identifying the most effective policy action, </w:t>
      </w:r>
      <w:r w:rsidRPr="000D684B">
        <w:rPr>
          <w:i/>
          <w:snapToGrid w:val="0"/>
          <w:kern w:val="22"/>
          <w:szCs w:val="22"/>
        </w:rPr>
        <w:t>invites</w:t>
      </w:r>
      <w:r w:rsidRPr="000D684B">
        <w:rPr>
          <w:snapToGrid w:val="0"/>
          <w:kern w:val="22"/>
          <w:szCs w:val="22"/>
        </w:rPr>
        <w:t xml:space="preserve"> interested organizations, such as the organizations and initiatives mentioned in the previous paragraph, to consider undertaking a systematic compilation and analysis of existing studies with a view to identifying good-practice methods for identifying harmful incentives and developing appropriate policy responses, and develop a standard or template for such standards as voluntary guidance;</w:t>
      </w:r>
    </w:p>
    <w:p w14:paraId="0EB7B1E4" w14:textId="00013342" w:rsidR="00975F96" w:rsidRPr="000D684B" w:rsidRDefault="00975F96" w:rsidP="00D86602">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0D684B">
        <w:rPr>
          <w:snapToGrid w:val="0"/>
          <w:kern w:val="22"/>
          <w:szCs w:val="22"/>
        </w:rPr>
        <w:t>1</w:t>
      </w:r>
      <w:r w:rsidR="009F1E35" w:rsidRPr="000D684B">
        <w:rPr>
          <w:snapToGrid w:val="0"/>
          <w:kern w:val="22"/>
          <w:szCs w:val="22"/>
        </w:rPr>
        <w:t>3</w:t>
      </w:r>
      <w:r w:rsidRPr="000D684B">
        <w:rPr>
          <w:snapToGrid w:val="0"/>
          <w:kern w:val="22"/>
          <w:szCs w:val="22"/>
        </w:rPr>
        <w:t>.</w:t>
      </w:r>
      <w:r w:rsidRPr="000D684B">
        <w:rPr>
          <w:snapToGrid w:val="0"/>
          <w:kern w:val="22"/>
          <w:szCs w:val="22"/>
        </w:rPr>
        <w:tab/>
      </w:r>
      <w:r w:rsidRPr="000D684B">
        <w:rPr>
          <w:i/>
          <w:snapToGrid w:val="0"/>
          <w:kern w:val="22"/>
          <w:szCs w:val="22"/>
        </w:rPr>
        <w:t>Requests</w:t>
      </w:r>
      <w:r w:rsidRPr="000D684B">
        <w:rPr>
          <w:snapToGrid w:val="0"/>
          <w:kern w:val="22"/>
          <w:szCs w:val="22"/>
        </w:rPr>
        <w:t xml:space="preserve"> the Executive Secretary </w:t>
      </w:r>
      <w:r w:rsidR="00217097" w:rsidRPr="000D684B">
        <w:rPr>
          <w:snapToGrid w:val="0"/>
          <w:kern w:val="22"/>
          <w:szCs w:val="22"/>
        </w:rPr>
        <w:t xml:space="preserve">to continue and further strengthen cooperation with </w:t>
      </w:r>
      <w:r w:rsidRPr="000D684B">
        <w:rPr>
          <w:snapToGrid w:val="0"/>
          <w:kern w:val="22"/>
          <w:szCs w:val="22"/>
        </w:rPr>
        <w:t xml:space="preserve">partners facilitating the work referred to in paragraphs 4, </w:t>
      </w:r>
      <w:r w:rsidR="00C62DED" w:rsidRPr="000D684B">
        <w:rPr>
          <w:snapToGrid w:val="0"/>
          <w:kern w:val="22"/>
          <w:szCs w:val="22"/>
        </w:rPr>
        <w:t>1</w:t>
      </w:r>
      <w:r w:rsidR="00737101">
        <w:rPr>
          <w:snapToGrid w:val="0"/>
          <w:kern w:val="22"/>
          <w:szCs w:val="22"/>
        </w:rPr>
        <w:t>1</w:t>
      </w:r>
      <w:r w:rsidR="00C62DED" w:rsidRPr="000D684B">
        <w:rPr>
          <w:snapToGrid w:val="0"/>
          <w:kern w:val="22"/>
          <w:szCs w:val="22"/>
        </w:rPr>
        <w:t xml:space="preserve"> </w:t>
      </w:r>
      <w:r w:rsidRPr="000D684B">
        <w:rPr>
          <w:snapToGrid w:val="0"/>
          <w:kern w:val="22"/>
          <w:szCs w:val="22"/>
        </w:rPr>
        <w:t xml:space="preserve">and </w:t>
      </w:r>
      <w:r w:rsidR="00C62DED" w:rsidRPr="000D684B">
        <w:rPr>
          <w:snapToGrid w:val="0"/>
          <w:kern w:val="22"/>
          <w:szCs w:val="22"/>
        </w:rPr>
        <w:t>1</w:t>
      </w:r>
      <w:r w:rsidR="00737101">
        <w:rPr>
          <w:snapToGrid w:val="0"/>
          <w:kern w:val="22"/>
          <w:szCs w:val="22"/>
        </w:rPr>
        <w:t>2,</w:t>
      </w:r>
      <w:r w:rsidR="00C62DED" w:rsidRPr="000D684B">
        <w:rPr>
          <w:snapToGrid w:val="0"/>
          <w:kern w:val="22"/>
          <w:szCs w:val="22"/>
        </w:rPr>
        <w:t xml:space="preserve"> </w:t>
      </w:r>
      <w:r w:rsidRPr="000D684B">
        <w:rPr>
          <w:snapToGrid w:val="0"/>
          <w:kern w:val="22"/>
          <w:szCs w:val="22"/>
        </w:rPr>
        <w:t>above;</w:t>
      </w:r>
    </w:p>
    <w:p w14:paraId="383041B6" w14:textId="706721C7" w:rsidR="00975F96" w:rsidRPr="000D684B" w:rsidRDefault="00C44E5A" w:rsidP="00C44E5A">
      <w:pPr>
        <w:keepNext/>
        <w:suppressLineNumbers/>
        <w:tabs>
          <w:tab w:val="left" w:pos="360"/>
        </w:tabs>
        <w:suppressAutoHyphens/>
        <w:kinsoku w:val="0"/>
        <w:overflowPunct w:val="0"/>
        <w:autoSpaceDE w:val="0"/>
        <w:autoSpaceDN w:val="0"/>
        <w:adjustRightInd w:val="0"/>
        <w:snapToGrid w:val="0"/>
        <w:jc w:val="center"/>
        <w:rPr>
          <w:b/>
          <w:snapToGrid w:val="0"/>
          <w:kern w:val="22"/>
          <w:szCs w:val="22"/>
        </w:rPr>
      </w:pPr>
      <w:r w:rsidRPr="000D684B">
        <w:rPr>
          <w:b/>
          <w:snapToGrid w:val="0"/>
          <w:kern w:val="22"/>
          <w:szCs w:val="22"/>
        </w:rPr>
        <w:t>E.</w:t>
      </w:r>
      <w:r w:rsidRPr="000D684B">
        <w:rPr>
          <w:b/>
          <w:snapToGrid w:val="0"/>
          <w:kern w:val="22"/>
          <w:szCs w:val="22"/>
        </w:rPr>
        <w:tab/>
      </w:r>
      <w:r w:rsidR="00975F96" w:rsidRPr="000D684B">
        <w:rPr>
          <w:b/>
          <w:snapToGrid w:val="0"/>
          <w:kern w:val="22"/>
          <w:szCs w:val="22"/>
        </w:rPr>
        <w:t>Resource mobilization component of the post-2020 biodiversity framework</w:t>
      </w:r>
    </w:p>
    <w:p w14:paraId="2E55A8B5" w14:textId="49182712" w:rsidR="00975F96" w:rsidRPr="000D684B" w:rsidRDefault="00975F96" w:rsidP="00D86602">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0D684B">
        <w:rPr>
          <w:snapToGrid w:val="0"/>
          <w:kern w:val="22"/>
          <w:szCs w:val="22"/>
        </w:rPr>
        <w:t>1</w:t>
      </w:r>
      <w:r w:rsidR="009F1E35" w:rsidRPr="000D684B">
        <w:rPr>
          <w:snapToGrid w:val="0"/>
          <w:kern w:val="22"/>
          <w:szCs w:val="22"/>
        </w:rPr>
        <w:t>4</w:t>
      </w:r>
      <w:r w:rsidRPr="000D684B">
        <w:rPr>
          <w:snapToGrid w:val="0"/>
          <w:kern w:val="22"/>
          <w:szCs w:val="22"/>
        </w:rPr>
        <w:t>.</w:t>
      </w:r>
      <w:r w:rsidRPr="000D684B">
        <w:rPr>
          <w:snapToGrid w:val="0"/>
          <w:kern w:val="22"/>
          <w:szCs w:val="22"/>
        </w:rPr>
        <w:tab/>
      </w:r>
      <w:r w:rsidRPr="000D684B">
        <w:rPr>
          <w:i/>
          <w:snapToGrid w:val="0"/>
          <w:kern w:val="22"/>
          <w:szCs w:val="22"/>
        </w:rPr>
        <w:t>Affirms</w:t>
      </w:r>
      <w:r w:rsidRPr="000D684B">
        <w:rPr>
          <w:snapToGrid w:val="0"/>
          <w:kern w:val="22"/>
          <w:szCs w:val="22"/>
        </w:rPr>
        <w:t xml:space="preserve"> that resource mobilization will be an integral part of the post-2020 global biodiversity framework to be adopted by the Conference of the Parties to the Convention at its fifteenth meeting, and </w:t>
      </w:r>
      <w:r w:rsidRPr="000D684B">
        <w:rPr>
          <w:i/>
          <w:iCs/>
          <w:snapToGrid w:val="0"/>
          <w:kern w:val="22"/>
          <w:szCs w:val="22"/>
        </w:rPr>
        <w:t>decides</w:t>
      </w:r>
      <w:r w:rsidRPr="000D684B">
        <w:rPr>
          <w:snapToGrid w:val="0"/>
          <w:kern w:val="22"/>
          <w:szCs w:val="22"/>
        </w:rPr>
        <w:t xml:space="preserve"> to initiate preparations on this component at an early stage in the process of developing the framework, in full coherence and coordination with the overall process for the post-2020 framework as agreed in decision 14</w:t>
      </w:r>
      <w:r w:rsidR="00063291" w:rsidRPr="000D684B">
        <w:rPr>
          <w:snapToGrid w:val="0"/>
          <w:kern w:val="22"/>
          <w:szCs w:val="22"/>
        </w:rPr>
        <w:t>/34;</w:t>
      </w:r>
    </w:p>
    <w:p w14:paraId="441E9EAD" w14:textId="05AA0F4F" w:rsidR="00574E83" w:rsidRPr="000D684B" w:rsidRDefault="00574E83" w:rsidP="00D86602">
      <w:pPr>
        <w:suppressLineNumbers/>
        <w:suppressAutoHyphens/>
        <w:kinsoku w:val="0"/>
        <w:overflowPunct w:val="0"/>
        <w:autoSpaceDE w:val="0"/>
        <w:autoSpaceDN w:val="0"/>
        <w:adjustRightInd w:val="0"/>
        <w:snapToGrid w:val="0"/>
        <w:spacing w:before="120" w:after="120"/>
        <w:ind w:firstLine="720"/>
        <w:rPr>
          <w:snapToGrid w:val="0"/>
          <w:spacing w:val="-1"/>
          <w:kern w:val="22"/>
          <w:szCs w:val="22"/>
        </w:rPr>
      </w:pPr>
      <w:r w:rsidRPr="000D684B">
        <w:rPr>
          <w:iCs/>
          <w:snapToGrid w:val="0"/>
          <w:spacing w:val="-1"/>
          <w:kern w:val="22"/>
          <w:szCs w:val="22"/>
        </w:rPr>
        <w:t>1</w:t>
      </w:r>
      <w:r w:rsidR="009F1E35" w:rsidRPr="000D684B">
        <w:rPr>
          <w:iCs/>
          <w:snapToGrid w:val="0"/>
          <w:spacing w:val="-1"/>
          <w:kern w:val="22"/>
          <w:szCs w:val="22"/>
        </w:rPr>
        <w:t>5</w:t>
      </w:r>
      <w:r w:rsidRPr="000D684B">
        <w:rPr>
          <w:iCs/>
          <w:snapToGrid w:val="0"/>
          <w:spacing w:val="-1"/>
          <w:kern w:val="22"/>
          <w:szCs w:val="22"/>
        </w:rPr>
        <w:t>.</w:t>
      </w:r>
      <w:r w:rsidRPr="000D684B">
        <w:rPr>
          <w:iCs/>
          <w:snapToGrid w:val="0"/>
          <w:spacing w:val="-1"/>
          <w:kern w:val="22"/>
          <w:szCs w:val="22"/>
        </w:rPr>
        <w:tab/>
      </w:r>
      <w:r w:rsidRPr="000D684B">
        <w:rPr>
          <w:i/>
          <w:iCs/>
          <w:snapToGrid w:val="0"/>
          <w:spacing w:val="-1"/>
          <w:kern w:val="22"/>
          <w:szCs w:val="22"/>
        </w:rPr>
        <w:t>Requests</w:t>
      </w:r>
      <w:r w:rsidRPr="000D684B">
        <w:rPr>
          <w:snapToGrid w:val="0"/>
          <w:spacing w:val="-1"/>
          <w:kern w:val="22"/>
          <w:szCs w:val="22"/>
        </w:rPr>
        <w:t xml:space="preserve"> the Executive Secretary,</w:t>
      </w:r>
      <w:r w:rsidR="00063291" w:rsidRPr="000D684B">
        <w:rPr>
          <w:snapToGrid w:val="0"/>
          <w:spacing w:val="-1"/>
          <w:kern w:val="22"/>
          <w:szCs w:val="22"/>
        </w:rPr>
        <w:t xml:space="preserve"> </w:t>
      </w:r>
      <w:r w:rsidRPr="000D684B">
        <w:rPr>
          <w:snapToGrid w:val="0"/>
          <w:spacing w:val="-1"/>
          <w:kern w:val="22"/>
          <w:szCs w:val="22"/>
        </w:rPr>
        <w:t xml:space="preserve">subject to the availability of financial </w:t>
      </w:r>
      <w:r w:rsidRPr="00F44FE3">
        <w:rPr>
          <w:snapToGrid w:val="0"/>
          <w:spacing w:val="-1"/>
          <w:kern w:val="22"/>
          <w:szCs w:val="22"/>
        </w:rPr>
        <w:t>resources</w:t>
      </w:r>
      <w:r w:rsidR="00F44FE3">
        <w:rPr>
          <w:snapToGrid w:val="0"/>
          <w:spacing w:val="-1"/>
          <w:kern w:val="22"/>
          <w:szCs w:val="22"/>
        </w:rPr>
        <w:t>,</w:t>
      </w:r>
      <w:r w:rsidRPr="000D684B">
        <w:rPr>
          <w:snapToGrid w:val="0"/>
          <w:spacing w:val="-1"/>
          <w:kern w:val="22"/>
          <w:szCs w:val="22"/>
        </w:rPr>
        <w:t xml:space="preserve"> to contract a panel of three or five experts, with equal representation from developing country Parties and developed country Parties and one from international non-governmental organizations</w:t>
      </w:r>
      <w:r w:rsidR="00B3038E" w:rsidRPr="000D684B">
        <w:rPr>
          <w:snapToGrid w:val="0"/>
          <w:spacing w:val="-1"/>
          <w:kern w:val="22"/>
          <w:szCs w:val="22"/>
        </w:rPr>
        <w:t>,</w:t>
      </w:r>
      <w:r w:rsidRPr="000D684B">
        <w:rPr>
          <w:snapToGrid w:val="0"/>
          <w:spacing w:val="-1"/>
          <w:kern w:val="22"/>
          <w:szCs w:val="22"/>
        </w:rPr>
        <w:t xml:space="preserve"> to undertake the activities</w:t>
      </w:r>
      <w:r w:rsidR="000400B3" w:rsidRPr="000D684B">
        <w:rPr>
          <w:snapToGrid w:val="0"/>
          <w:spacing w:val="-1"/>
          <w:kern w:val="22"/>
          <w:szCs w:val="22"/>
        </w:rPr>
        <w:t xml:space="preserve"> listed </w:t>
      </w:r>
      <w:r w:rsidR="000400B3" w:rsidRPr="000D684B">
        <w:rPr>
          <w:snapToGrid w:val="0"/>
          <w:spacing w:val="-1"/>
          <w:kern w:val="22"/>
          <w:szCs w:val="22"/>
        </w:rPr>
        <w:lastRenderedPageBreak/>
        <w:t>below</w:t>
      </w:r>
      <w:r w:rsidRPr="000D684B">
        <w:rPr>
          <w:snapToGrid w:val="0"/>
          <w:spacing w:val="-1"/>
          <w:kern w:val="22"/>
          <w:szCs w:val="22"/>
        </w:rPr>
        <w:t xml:space="preserve">, and prepare reports, to contribute to the overall process for the post-2020 framework, and </w:t>
      </w:r>
      <w:r w:rsidR="0087549E" w:rsidRPr="000D684B">
        <w:rPr>
          <w:snapToGrid w:val="0"/>
          <w:spacing w:val="-1"/>
          <w:kern w:val="22"/>
          <w:szCs w:val="22"/>
        </w:rPr>
        <w:t xml:space="preserve">for the consideration </w:t>
      </w:r>
      <w:r w:rsidRPr="000D684B">
        <w:rPr>
          <w:snapToGrid w:val="0"/>
          <w:spacing w:val="-1"/>
          <w:kern w:val="22"/>
          <w:szCs w:val="22"/>
        </w:rPr>
        <w:t>of the open-ended working group</w:t>
      </w:r>
      <w:r w:rsidR="0087549E" w:rsidRPr="000D684B">
        <w:rPr>
          <w:snapToGrid w:val="0"/>
          <w:spacing w:val="-1"/>
          <w:kern w:val="22"/>
          <w:szCs w:val="22"/>
        </w:rPr>
        <w:t xml:space="preserve"> and </w:t>
      </w:r>
      <w:r w:rsidRPr="000D684B">
        <w:rPr>
          <w:snapToGrid w:val="0"/>
          <w:spacing w:val="-1"/>
          <w:kern w:val="22"/>
          <w:szCs w:val="22"/>
        </w:rPr>
        <w:t>of the Conference of the Parties at its fifteenth meeting:</w:t>
      </w:r>
    </w:p>
    <w:p w14:paraId="65BA3347" w14:textId="573DF136" w:rsidR="00574E83" w:rsidRPr="000D684B" w:rsidRDefault="008C590E" w:rsidP="00BF1F1A">
      <w:pPr>
        <w:suppressLineNumbers/>
        <w:suppressAutoHyphens/>
        <w:kinsoku w:val="0"/>
        <w:overflowPunct w:val="0"/>
        <w:autoSpaceDE w:val="0"/>
        <w:autoSpaceDN w:val="0"/>
        <w:adjustRightInd w:val="0"/>
        <w:snapToGrid w:val="0"/>
        <w:spacing w:before="120" w:after="120"/>
        <w:ind w:firstLine="720"/>
        <w:rPr>
          <w:snapToGrid w:val="0"/>
          <w:spacing w:val="-1"/>
          <w:kern w:val="22"/>
          <w:szCs w:val="22"/>
        </w:rPr>
      </w:pPr>
      <w:r w:rsidRPr="000D684B">
        <w:rPr>
          <w:snapToGrid w:val="0"/>
          <w:spacing w:val="-1"/>
          <w:kern w:val="22"/>
          <w:szCs w:val="22"/>
        </w:rPr>
        <w:t>(a)</w:t>
      </w:r>
      <w:r w:rsidRPr="000D684B">
        <w:rPr>
          <w:snapToGrid w:val="0"/>
          <w:spacing w:val="-1"/>
          <w:kern w:val="22"/>
          <w:szCs w:val="22"/>
        </w:rPr>
        <w:tab/>
      </w:r>
      <w:r w:rsidR="00937D2F" w:rsidRPr="000D684B">
        <w:rPr>
          <w:snapToGrid w:val="0"/>
          <w:spacing w:val="-1"/>
          <w:kern w:val="22"/>
          <w:szCs w:val="22"/>
        </w:rPr>
        <w:t>T</w:t>
      </w:r>
      <w:r w:rsidR="00574E83" w:rsidRPr="000D684B">
        <w:rPr>
          <w:snapToGrid w:val="0"/>
          <w:spacing w:val="-1"/>
          <w:kern w:val="22"/>
          <w:szCs w:val="22"/>
        </w:rPr>
        <w:t>o evaluate the structure, content and effectiveness of the Strategy for Resource Mobilization indicating as much as possible the gaps in meeting the targets;</w:t>
      </w:r>
    </w:p>
    <w:p w14:paraId="334E223B" w14:textId="1AAF9668" w:rsidR="00574E83" w:rsidRPr="000D684B" w:rsidRDefault="008C590E" w:rsidP="00230B6E">
      <w:pPr>
        <w:suppressLineNumbers/>
        <w:suppressAutoHyphens/>
        <w:kinsoku w:val="0"/>
        <w:overflowPunct w:val="0"/>
        <w:autoSpaceDE w:val="0"/>
        <w:autoSpaceDN w:val="0"/>
        <w:adjustRightInd w:val="0"/>
        <w:snapToGrid w:val="0"/>
        <w:spacing w:before="120" w:after="120"/>
        <w:ind w:firstLine="720"/>
        <w:rPr>
          <w:snapToGrid w:val="0"/>
          <w:spacing w:val="-1"/>
          <w:kern w:val="22"/>
          <w:szCs w:val="22"/>
        </w:rPr>
      </w:pPr>
      <w:r w:rsidRPr="000D684B">
        <w:rPr>
          <w:snapToGrid w:val="0"/>
          <w:spacing w:val="-1"/>
          <w:kern w:val="22"/>
          <w:szCs w:val="22"/>
        </w:rPr>
        <w:t>(b)</w:t>
      </w:r>
      <w:r w:rsidRPr="000D684B">
        <w:rPr>
          <w:snapToGrid w:val="0"/>
          <w:spacing w:val="-1"/>
          <w:kern w:val="22"/>
          <w:szCs w:val="22"/>
        </w:rPr>
        <w:tab/>
      </w:r>
      <w:r w:rsidR="00937D2F" w:rsidRPr="000D684B">
        <w:rPr>
          <w:snapToGrid w:val="0"/>
          <w:spacing w:val="-1"/>
          <w:kern w:val="22"/>
          <w:szCs w:val="22"/>
        </w:rPr>
        <w:t>T</w:t>
      </w:r>
      <w:r w:rsidR="00574E83" w:rsidRPr="000D684B">
        <w:rPr>
          <w:snapToGrid w:val="0"/>
          <w:spacing w:val="-1"/>
          <w:kern w:val="22"/>
          <w:szCs w:val="22"/>
        </w:rPr>
        <w:t>o review the experiences of achieving Aichi Biodiversity Target 20 and implementing the Strategy for Resource Mobilization, and their adequacy, and build on these experiences, as well as those in implementing other relevant multilateral environmental agreements, public and private stakeholder initiatives and those undertaken by indigenous peoples and local communities, to consider the need for appropriate action, based on information provided by Parties through the Financial Reporting Framework, including their respective identified resource needs, and other relevant sources;</w:t>
      </w:r>
    </w:p>
    <w:p w14:paraId="7D052CE1" w14:textId="3EBE369A" w:rsidR="00574E83" w:rsidRPr="0004507A" w:rsidRDefault="00B7137C" w:rsidP="00230B6E">
      <w:pPr>
        <w:suppressLineNumbers/>
        <w:suppressAutoHyphens/>
        <w:kinsoku w:val="0"/>
        <w:overflowPunct w:val="0"/>
        <w:autoSpaceDE w:val="0"/>
        <w:autoSpaceDN w:val="0"/>
        <w:adjustRightInd w:val="0"/>
        <w:snapToGrid w:val="0"/>
        <w:spacing w:before="120" w:after="120"/>
        <w:ind w:firstLine="720"/>
        <w:rPr>
          <w:snapToGrid w:val="0"/>
          <w:spacing w:val="-3"/>
          <w:kern w:val="22"/>
          <w:szCs w:val="22"/>
        </w:rPr>
      </w:pPr>
      <w:r w:rsidRPr="0004507A">
        <w:rPr>
          <w:snapToGrid w:val="0"/>
          <w:spacing w:val="-3"/>
          <w:kern w:val="22"/>
          <w:szCs w:val="22"/>
        </w:rPr>
        <w:t>(</w:t>
      </w:r>
      <w:r w:rsidR="00574E83" w:rsidRPr="0004507A">
        <w:rPr>
          <w:snapToGrid w:val="0"/>
          <w:spacing w:val="-3"/>
          <w:kern w:val="22"/>
          <w:szCs w:val="22"/>
        </w:rPr>
        <w:t>c</w:t>
      </w:r>
      <w:r w:rsidRPr="0004507A">
        <w:rPr>
          <w:snapToGrid w:val="0"/>
          <w:spacing w:val="-3"/>
          <w:kern w:val="22"/>
          <w:szCs w:val="22"/>
        </w:rPr>
        <w:t>)</w:t>
      </w:r>
      <w:r w:rsidR="00574E83" w:rsidRPr="0004507A">
        <w:rPr>
          <w:snapToGrid w:val="0"/>
          <w:spacing w:val="-3"/>
          <w:kern w:val="22"/>
          <w:szCs w:val="22"/>
        </w:rPr>
        <w:t xml:space="preserve"> </w:t>
      </w:r>
      <w:r w:rsidR="00063291" w:rsidRPr="0004507A">
        <w:rPr>
          <w:snapToGrid w:val="0"/>
          <w:spacing w:val="-3"/>
          <w:kern w:val="22"/>
          <w:szCs w:val="22"/>
        </w:rPr>
        <w:tab/>
      </w:r>
      <w:r w:rsidR="002B377A" w:rsidRPr="0004507A">
        <w:rPr>
          <w:snapToGrid w:val="0"/>
          <w:spacing w:val="-3"/>
          <w:kern w:val="22"/>
          <w:szCs w:val="22"/>
        </w:rPr>
        <w:t>T</w:t>
      </w:r>
      <w:r w:rsidR="00574E83" w:rsidRPr="0004507A">
        <w:rPr>
          <w:snapToGrid w:val="0"/>
          <w:spacing w:val="-3"/>
          <w:kern w:val="22"/>
          <w:szCs w:val="22"/>
        </w:rPr>
        <w:t>o estimate the resources from all sources needed for different scenarios</w:t>
      </w:r>
      <w:r w:rsidR="00C2301C" w:rsidRPr="0004507A">
        <w:rPr>
          <w:snapToGrid w:val="0"/>
          <w:spacing w:val="-3"/>
          <w:kern w:val="22"/>
          <w:szCs w:val="22"/>
          <w:vertAlign w:val="superscript"/>
        </w:rPr>
        <w:footnoteReference w:id="3"/>
      </w:r>
      <w:r w:rsidR="00574E83" w:rsidRPr="0004507A">
        <w:rPr>
          <w:snapToGrid w:val="0"/>
          <w:spacing w:val="-3"/>
          <w:kern w:val="22"/>
          <w:szCs w:val="22"/>
        </w:rPr>
        <w:t xml:space="preserve"> of the implementation of the post-2020 framework, </w:t>
      </w:r>
      <w:proofErr w:type="gramStart"/>
      <w:r w:rsidR="00574E83" w:rsidRPr="0004507A">
        <w:rPr>
          <w:snapToGrid w:val="0"/>
          <w:spacing w:val="-3"/>
          <w:kern w:val="22"/>
          <w:szCs w:val="22"/>
        </w:rPr>
        <w:t>taking into account</w:t>
      </w:r>
      <w:proofErr w:type="gramEnd"/>
      <w:r w:rsidR="00574E83" w:rsidRPr="0004507A">
        <w:rPr>
          <w:snapToGrid w:val="0"/>
          <w:spacing w:val="-3"/>
          <w:kern w:val="22"/>
          <w:szCs w:val="22"/>
        </w:rPr>
        <w:t xml:space="preserve"> the needs assessment</w:t>
      </w:r>
      <w:r w:rsidR="00063291" w:rsidRPr="0004507A">
        <w:rPr>
          <w:snapToGrid w:val="0"/>
          <w:spacing w:val="-3"/>
          <w:kern w:val="22"/>
          <w:szCs w:val="22"/>
        </w:rPr>
        <w:t xml:space="preserve"> of the Global Environment Facility</w:t>
      </w:r>
      <w:r w:rsidR="00574E83" w:rsidRPr="0004507A">
        <w:rPr>
          <w:snapToGrid w:val="0"/>
          <w:spacing w:val="-3"/>
          <w:kern w:val="22"/>
          <w:szCs w:val="22"/>
        </w:rPr>
        <w:t>, as well as costs and benefits</w:t>
      </w:r>
      <w:r w:rsidR="00C2301C" w:rsidRPr="0004507A">
        <w:rPr>
          <w:snapToGrid w:val="0"/>
          <w:spacing w:val="-3"/>
          <w:kern w:val="22"/>
          <w:szCs w:val="22"/>
          <w:vertAlign w:val="superscript"/>
        </w:rPr>
        <w:footnoteReference w:id="4"/>
      </w:r>
      <w:r w:rsidR="00574E83" w:rsidRPr="0004507A">
        <w:rPr>
          <w:snapToGrid w:val="0"/>
          <w:spacing w:val="-3"/>
          <w:kern w:val="22"/>
          <w:szCs w:val="22"/>
        </w:rPr>
        <w:t xml:space="preserve"> arising from the implementation of the post-2020 framework;</w:t>
      </w:r>
    </w:p>
    <w:p w14:paraId="25E552E6" w14:textId="68251912" w:rsidR="00574E83" w:rsidRPr="000D684B" w:rsidRDefault="008C590E" w:rsidP="00230B6E">
      <w:pPr>
        <w:suppressLineNumbers/>
        <w:suppressAutoHyphens/>
        <w:kinsoku w:val="0"/>
        <w:overflowPunct w:val="0"/>
        <w:autoSpaceDE w:val="0"/>
        <w:autoSpaceDN w:val="0"/>
        <w:adjustRightInd w:val="0"/>
        <w:snapToGrid w:val="0"/>
        <w:spacing w:before="120" w:after="120"/>
        <w:ind w:firstLine="720"/>
        <w:rPr>
          <w:snapToGrid w:val="0"/>
          <w:spacing w:val="-1"/>
          <w:kern w:val="22"/>
          <w:szCs w:val="22"/>
        </w:rPr>
      </w:pPr>
      <w:r w:rsidRPr="003D2184">
        <w:rPr>
          <w:snapToGrid w:val="0"/>
          <w:spacing w:val="-1"/>
          <w:kern w:val="22"/>
          <w:szCs w:val="22"/>
        </w:rPr>
        <w:t>(d)</w:t>
      </w:r>
      <w:r w:rsidRPr="003D2184">
        <w:rPr>
          <w:snapToGrid w:val="0"/>
          <w:spacing w:val="-1"/>
          <w:kern w:val="22"/>
          <w:szCs w:val="22"/>
        </w:rPr>
        <w:tab/>
      </w:r>
      <w:r w:rsidR="00937D2F" w:rsidRPr="003D2184">
        <w:rPr>
          <w:snapToGrid w:val="0"/>
          <w:spacing w:val="-1"/>
          <w:kern w:val="22"/>
          <w:szCs w:val="22"/>
        </w:rPr>
        <w:t>T</w:t>
      </w:r>
      <w:r w:rsidR="00574E83" w:rsidRPr="003D2184">
        <w:rPr>
          <w:snapToGrid w:val="0"/>
          <w:spacing w:val="-1"/>
          <w:kern w:val="22"/>
          <w:szCs w:val="22"/>
        </w:rPr>
        <w:t>o contribute to a draft resource mobilization component of the post-2020 biodiversity framework as a follow-up to the current Strategy for Resource Mobilization, based on the existing Strate</w:t>
      </w:r>
      <w:r w:rsidR="00574E83" w:rsidRPr="000D684B">
        <w:rPr>
          <w:snapToGrid w:val="0"/>
          <w:spacing w:val="-1"/>
          <w:kern w:val="22"/>
          <w:szCs w:val="22"/>
        </w:rPr>
        <w:t xml:space="preserve">gy and the exercises </w:t>
      </w:r>
      <w:r w:rsidR="00464CCD" w:rsidRPr="000D684B">
        <w:rPr>
          <w:snapToGrid w:val="0"/>
          <w:spacing w:val="-1"/>
          <w:kern w:val="22"/>
          <w:szCs w:val="22"/>
        </w:rPr>
        <w:t xml:space="preserve">described </w:t>
      </w:r>
      <w:r w:rsidR="00574E83" w:rsidRPr="000D684B">
        <w:rPr>
          <w:snapToGrid w:val="0"/>
          <w:spacing w:val="-1"/>
          <w:kern w:val="22"/>
          <w:szCs w:val="22"/>
        </w:rPr>
        <w:t xml:space="preserve">in </w:t>
      </w:r>
      <w:r w:rsidR="00C2301C" w:rsidRPr="000D684B">
        <w:rPr>
          <w:snapToGrid w:val="0"/>
          <w:spacing w:val="-1"/>
          <w:kern w:val="22"/>
          <w:szCs w:val="22"/>
        </w:rPr>
        <w:t>sub</w:t>
      </w:r>
      <w:r w:rsidR="00574E83" w:rsidRPr="000D684B">
        <w:rPr>
          <w:snapToGrid w:val="0"/>
          <w:spacing w:val="-1"/>
          <w:kern w:val="22"/>
          <w:szCs w:val="22"/>
        </w:rPr>
        <w:t xml:space="preserve">paragraphs </w:t>
      </w:r>
      <w:r w:rsidR="003640AF" w:rsidRPr="000D684B">
        <w:rPr>
          <w:snapToGrid w:val="0"/>
          <w:spacing w:val="-1"/>
          <w:kern w:val="22"/>
          <w:szCs w:val="22"/>
        </w:rPr>
        <w:t>(</w:t>
      </w:r>
      <w:r w:rsidR="00574E83" w:rsidRPr="000D684B">
        <w:rPr>
          <w:snapToGrid w:val="0"/>
          <w:spacing w:val="-1"/>
          <w:kern w:val="22"/>
          <w:szCs w:val="22"/>
        </w:rPr>
        <w:t xml:space="preserve">a) to </w:t>
      </w:r>
      <w:r w:rsidR="003640AF" w:rsidRPr="000D684B">
        <w:rPr>
          <w:snapToGrid w:val="0"/>
          <w:spacing w:val="-1"/>
          <w:kern w:val="22"/>
          <w:szCs w:val="22"/>
        </w:rPr>
        <w:t>(</w:t>
      </w:r>
      <w:r w:rsidR="00C2301C" w:rsidRPr="000D684B">
        <w:rPr>
          <w:snapToGrid w:val="0"/>
          <w:spacing w:val="-1"/>
          <w:kern w:val="22"/>
          <w:szCs w:val="22"/>
        </w:rPr>
        <w:t>c</w:t>
      </w:r>
      <w:r w:rsidR="00574E83" w:rsidRPr="000D684B">
        <w:rPr>
          <w:snapToGrid w:val="0"/>
          <w:spacing w:val="-1"/>
          <w:kern w:val="22"/>
          <w:szCs w:val="22"/>
        </w:rPr>
        <w:t>)</w:t>
      </w:r>
      <w:r w:rsidR="003640AF" w:rsidRPr="000D684B">
        <w:rPr>
          <w:snapToGrid w:val="0"/>
          <w:spacing w:val="-1"/>
          <w:kern w:val="22"/>
          <w:szCs w:val="22"/>
        </w:rPr>
        <w:t xml:space="preserve"> above</w:t>
      </w:r>
      <w:r w:rsidR="00574E83" w:rsidRPr="000D684B">
        <w:rPr>
          <w:snapToGrid w:val="0"/>
          <w:spacing w:val="-1"/>
          <w:kern w:val="22"/>
          <w:szCs w:val="22"/>
        </w:rPr>
        <w:t>;</w:t>
      </w:r>
    </w:p>
    <w:p w14:paraId="69AA02F7" w14:textId="110A364A" w:rsidR="00574E83" w:rsidRPr="000D684B" w:rsidRDefault="008C590E" w:rsidP="006B3CF6">
      <w:pPr>
        <w:suppressLineNumbers/>
        <w:suppressAutoHyphens/>
        <w:kinsoku w:val="0"/>
        <w:overflowPunct w:val="0"/>
        <w:autoSpaceDE w:val="0"/>
        <w:autoSpaceDN w:val="0"/>
        <w:adjustRightInd w:val="0"/>
        <w:snapToGrid w:val="0"/>
        <w:spacing w:before="120" w:after="120"/>
        <w:ind w:firstLine="720"/>
        <w:rPr>
          <w:snapToGrid w:val="0"/>
          <w:spacing w:val="-1"/>
          <w:kern w:val="22"/>
          <w:szCs w:val="22"/>
        </w:rPr>
      </w:pPr>
      <w:r w:rsidRPr="000D684B">
        <w:rPr>
          <w:snapToGrid w:val="0"/>
          <w:spacing w:val="-1"/>
          <w:kern w:val="22"/>
          <w:szCs w:val="22"/>
        </w:rPr>
        <w:t>(e)</w:t>
      </w:r>
      <w:r w:rsidRPr="000D684B">
        <w:rPr>
          <w:snapToGrid w:val="0"/>
          <w:spacing w:val="-1"/>
          <w:kern w:val="22"/>
          <w:szCs w:val="22"/>
        </w:rPr>
        <w:tab/>
      </w:r>
      <w:r w:rsidR="00D04307" w:rsidRPr="000D684B">
        <w:rPr>
          <w:snapToGrid w:val="0"/>
          <w:spacing w:val="-1"/>
          <w:kern w:val="22"/>
          <w:szCs w:val="22"/>
        </w:rPr>
        <w:t>T</w:t>
      </w:r>
      <w:r w:rsidR="00574E83" w:rsidRPr="000D684B">
        <w:rPr>
          <w:snapToGrid w:val="0"/>
          <w:spacing w:val="-1"/>
          <w:kern w:val="22"/>
          <w:szCs w:val="22"/>
        </w:rPr>
        <w:t>o explore options and approaches for mobilizing and providing additional resources from all sources;</w:t>
      </w:r>
    </w:p>
    <w:p w14:paraId="3A40AD86" w14:textId="4FD16AC1" w:rsidR="00574E83" w:rsidRPr="000D684B" w:rsidRDefault="008C590E" w:rsidP="006B3CF6">
      <w:pPr>
        <w:suppressLineNumbers/>
        <w:suppressAutoHyphens/>
        <w:kinsoku w:val="0"/>
        <w:overflowPunct w:val="0"/>
        <w:autoSpaceDE w:val="0"/>
        <w:autoSpaceDN w:val="0"/>
        <w:adjustRightInd w:val="0"/>
        <w:snapToGrid w:val="0"/>
        <w:spacing w:before="120" w:after="120"/>
        <w:ind w:firstLine="720"/>
        <w:rPr>
          <w:snapToGrid w:val="0"/>
          <w:spacing w:val="-1"/>
          <w:kern w:val="22"/>
          <w:szCs w:val="22"/>
        </w:rPr>
      </w:pPr>
      <w:r w:rsidRPr="000D684B">
        <w:rPr>
          <w:snapToGrid w:val="0"/>
          <w:spacing w:val="-1"/>
          <w:kern w:val="22"/>
          <w:szCs w:val="22"/>
        </w:rPr>
        <w:t>(f)</w:t>
      </w:r>
      <w:r w:rsidRPr="000D684B">
        <w:rPr>
          <w:snapToGrid w:val="0"/>
          <w:spacing w:val="-1"/>
          <w:kern w:val="22"/>
          <w:szCs w:val="22"/>
        </w:rPr>
        <w:tab/>
      </w:r>
      <w:r w:rsidR="00D04307" w:rsidRPr="000D684B">
        <w:rPr>
          <w:snapToGrid w:val="0"/>
          <w:spacing w:val="-1"/>
          <w:kern w:val="22"/>
          <w:szCs w:val="22"/>
        </w:rPr>
        <w:t>T</w:t>
      </w:r>
      <w:r w:rsidR="00574E83" w:rsidRPr="000D684B">
        <w:rPr>
          <w:snapToGrid w:val="0"/>
          <w:spacing w:val="-1"/>
          <w:kern w:val="22"/>
          <w:szCs w:val="22"/>
        </w:rPr>
        <w:t>o consider ways to strengthen the engagement of a wider range of financial and private institutions, at all levels and from all sources, to support the implementation of the post-2020 framework;</w:t>
      </w:r>
    </w:p>
    <w:p w14:paraId="6B1571C6" w14:textId="2FF95EF5" w:rsidR="00030252" w:rsidRPr="000D684B" w:rsidRDefault="008C590E" w:rsidP="006B3CF6">
      <w:pPr>
        <w:suppressLineNumbers/>
        <w:suppressAutoHyphens/>
        <w:kinsoku w:val="0"/>
        <w:overflowPunct w:val="0"/>
        <w:autoSpaceDE w:val="0"/>
        <w:autoSpaceDN w:val="0"/>
        <w:adjustRightInd w:val="0"/>
        <w:snapToGrid w:val="0"/>
        <w:spacing w:before="120" w:after="120"/>
        <w:ind w:firstLine="720"/>
        <w:rPr>
          <w:snapToGrid w:val="0"/>
          <w:spacing w:val="-1"/>
          <w:kern w:val="22"/>
          <w:szCs w:val="22"/>
        </w:rPr>
      </w:pPr>
      <w:r w:rsidRPr="000D684B">
        <w:rPr>
          <w:snapToGrid w:val="0"/>
          <w:spacing w:val="-1"/>
          <w:kern w:val="22"/>
          <w:szCs w:val="22"/>
        </w:rPr>
        <w:t>(g)</w:t>
      </w:r>
      <w:r w:rsidRPr="000D684B">
        <w:rPr>
          <w:snapToGrid w:val="0"/>
          <w:spacing w:val="-1"/>
          <w:kern w:val="22"/>
          <w:szCs w:val="22"/>
        </w:rPr>
        <w:tab/>
      </w:r>
      <w:r w:rsidR="00D04307" w:rsidRPr="000D684B">
        <w:rPr>
          <w:snapToGrid w:val="0"/>
          <w:spacing w:val="-1"/>
          <w:kern w:val="22"/>
          <w:szCs w:val="22"/>
        </w:rPr>
        <w:t>T</w:t>
      </w:r>
      <w:r w:rsidR="00574E83" w:rsidRPr="000D684B">
        <w:rPr>
          <w:snapToGrid w:val="0"/>
          <w:spacing w:val="-1"/>
          <w:kern w:val="22"/>
          <w:szCs w:val="22"/>
        </w:rPr>
        <w:t>o consider ways to further mainstream biodiversity into national economic budgets and development plans</w:t>
      </w:r>
      <w:r w:rsidR="0044688B" w:rsidRPr="000D684B">
        <w:rPr>
          <w:snapToGrid w:val="0"/>
          <w:spacing w:val="-1"/>
          <w:kern w:val="22"/>
          <w:szCs w:val="22"/>
        </w:rPr>
        <w:t>,</w:t>
      </w:r>
      <w:r w:rsidR="00574E83" w:rsidRPr="000D684B">
        <w:rPr>
          <w:snapToGrid w:val="0"/>
          <w:spacing w:val="-1"/>
          <w:kern w:val="22"/>
          <w:szCs w:val="22"/>
        </w:rPr>
        <w:t xml:space="preserve"> including key productive sectors;</w:t>
      </w:r>
    </w:p>
    <w:p w14:paraId="315DA0AC" w14:textId="38E2719E" w:rsidR="00D04307" w:rsidRPr="000D684B" w:rsidRDefault="00630207" w:rsidP="006B3CF6">
      <w:pPr>
        <w:suppressLineNumbers/>
        <w:suppressAutoHyphens/>
        <w:kinsoku w:val="0"/>
        <w:overflowPunct w:val="0"/>
        <w:autoSpaceDE w:val="0"/>
        <w:autoSpaceDN w:val="0"/>
        <w:adjustRightInd w:val="0"/>
        <w:snapToGrid w:val="0"/>
        <w:spacing w:before="120" w:after="120"/>
        <w:ind w:firstLine="720"/>
        <w:rPr>
          <w:snapToGrid w:val="0"/>
          <w:spacing w:val="-1"/>
          <w:kern w:val="22"/>
          <w:szCs w:val="22"/>
        </w:rPr>
      </w:pPr>
      <w:r w:rsidRPr="000D684B">
        <w:rPr>
          <w:snapToGrid w:val="0"/>
          <w:spacing w:val="-1"/>
          <w:kern w:val="22"/>
          <w:szCs w:val="22"/>
        </w:rPr>
        <w:t>(</w:t>
      </w:r>
      <w:r w:rsidR="008C590E" w:rsidRPr="000D684B">
        <w:rPr>
          <w:snapToGrid w:val="0"/>
          <w:spacing w:val="-1"/>
          <w:kern w:val="22"/>
          <w:szCs w:val="22"/>
        </w:rPr>
        <w:t>h</w:t>
      </w:r>
      <w:r w:rsidRPr="000D684B">
        <w:rPr>
          <w:snapToGrid w:val="0"/>
          <w:spacing w:val="-1"/>
          <w:kern w:val="22"/>
          <w:szCs w:val="22"/>
        </w:rPr>
        <w:t>)</w:t>
      </w:r>
      <w:r w:rsidRPr="000D684B">
        <w:rPr>
          <w:snapToGrid w:val="0"/>
          <w:spacing w:val="-1"/>
          <w:kern w:val="22"/>
          <w:szCs w:val="22"/>
        </w:rPr>
        <w:tab/>
      </w:r>
      <w:r w:rsidR="00D04307" w:rsidRPr="000D684B">
        <w:rPr>
          <w:snapToGrid w:val="0"/>
          <w:spacing w:val="-1"/>
          <w:kern w:val="22"/>
          <w:szCs w:val="22"/>
        </w:rPr>
        <w:t>T</w:t>
      </w:r>
      <w:r w:rsidR="00574E83" w:rsidRPr="000D684B">
        <w:rPr>
          <w:snapToGrid w:val="0"/>
          <w:spacing w:val="-1"/>
          <w:kern w:val="22"/>
          <w:szCs w:val="22"/>
        </w:rPr>
        <w:t>o consider ways to improve the readiness and capacity of Parties to access and utilize financial resources in support of the implementation of the post-2020 framework.</w:t>
      </w:r>
    </w:p>
    <w:p w14:paraId="02531827" w14:textId="27F01530" w:rsidR="00C9161D" w:rsidRPr="000D684B" w:rsidRDefault="00C9161D" w:rsidP="00D86602">
      <w:pPr>
        <w:suppressLineNumbers/>
        <w:suppressAutoHyphens/>
        <w:spacing w:before="120" w:after="120"/>
        <w:jc w:val="center"/>
        <w:rPr>
          <w:kern w:val="22"/>
          <w:szCs w:val="22"/>
        </w:rPr>
      </w:pPr>
      <w:r w:rsidRPr="000D684B">
        <w:rPr>
          <w:kern w:val="22"/>
          <w:szCs w:val="22"/>
        </w:rPr>
        <w:t>______</w:t>
      </w:r>
      <w:r w:rsidR="00BB7E9D" w:rsidRPr="000D684B">
        <w:rPr>
          <w:kern w:val="22"/>
          <w:szCs w:val="22"/>
        </w:rPr>
        <w:t>____</w:t>
      </w:r>
    </w:p>
    <w:p w14:paraId="48D24824" w14:textId="77777777" w:rsidR="00B3369F" w:rsidRPr="000D684B" w:rsidRDefault="00B3369F" w:rsidP="00B64A51">
      <w:pPr>
        <w:suppressLineNumbers/>
        <w:suppressAutoHyphens/>
        <w:rPr>
          <w:kern w:val="22"/>
          <w:szCs w:val="22"/>
        </w:rPr>
      </w:pPr>
      <w:bookmarkStart w:id="0" w:name="_GoBack"/>
      <w:bookmarkEnd w:id="0"/>
    </w:p>
    <w:sectPr w:rsidR="00B3369F" w:rsidRPr="000D684B"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CFF3E" w14:textId="77777777" w:rsidR="00114174" w:rsidRDefault="00114174" w:rsidP="00CF1848">
      <w:r>
        <w:separator/>
      </w:r>
    </w:p>
  </w:endnote>
  <w:endnote w:type="continuationSeparator" w:id="0">
    <w:p w14:paraId="6038497F" w14:textId="77777777" w:rsidR="00114174" w:rsidRDefault="00114174"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56998" w14:textId="77777777" w:rsidR="00114174" w:rsidRDefault="00114174" w:rsidP="00CF1848">
      <w:r>
        <w:separator/>
      </w:r>
    </w:p>
  </w:footnote>
  <w:footnote w:type="continuationSeparator" w:id="0">
    <w:p w14:paraId="0BF28B06" w14:textId="77777777" w:rsidR="00114174" w:rsidRDefault="00114174" w:rsidP="00CF1848">
      <w:r>
        <w:continuationSeparator/>
      </w:r>
    </w:p>
  </w:footnote>
  <w:footnote w:id="1">
    <w:p w14:paraId="55F1DEA6" w14:textId="02FB4361" w:rsidR="00F03F82" w:rsidRPr="00F43684" w:rsidRDefault="00F03F82" w:rsidP="00230B6E">
      <w:pPr>
        <w:pStyle w:val="FootnoteText"/>
        <w:suppressLineNumbers/>
        <w:suppressAutoHyphens/>
        <w:kinsoku w:val="0"/>
        <w:overflowPunct w:val="0"/>
        <w:autoSpaceDE w:val="0"/>
        <w:autoSpaceDN w:val="0"/>
        <w:ind w:firstLine="0"/>
        <w:jc w:val="left"/>
        <w:rPr>
          <w:snapToGrid w:val="0"/>
          <w:kern w:val="18"/>
          <w:szCs w:val="18"/>
        </w:rPr>
      </w:pPr>
      <w:r w:rsidRPr="00F43684">
        <w:rPr>
          <w:rStyle w:val="FootnoteReference"/>
          <w:snapToGrid w:val="0"/>
          <w:kern w:val="18"/>
          <w:sz w:val="18"/>
          <w:szCs w:val="18"/>
        </w:rPr>
        <w:footnoteRef/>
      </w:r>
      <w:r w:rsidRPr="00F43684">
        <w:rPr>
          <w:snapToGrid w:val="0"/>
          <w:kern w:val="18"/>
          <w:szCs w:val="18"/>
        </w:rPr>
        <w:t xml:space="preserve"> </w:t>
      </w:r>
      <w:r w:rsidR="00504945" w:rsidRPr="00F43684">
        <w:rPr>
          <w:kern w:val="18"/>
          <w:szCs w:val="18"/>
        </w:rPr>
        <w:t>CBD/COP/14/6</w:t>
      </w:r>
      <w:r w:rsidR="009A40A0" w:rsidRPr="00F43684">
        <w:rPr>
          <w:kern w:val="18"/>
          <w:szCs w:val="18"/>
        </w:rPr>
        <w:t>.</w:t>
      </w:r>
    </w:p>
  </w:footnote>
  <w:footnote w:id="2">
    <w:p w14:paraId="3AF76C95" w14:textId="77777777" w:rsidR="00F03F82" w:rsidRPr="00F43684" w:rsidRDefault="00F03F82" w:rsidP="00230B6E">
      <w:pPr>
        <w:pStyle w:val="FootnoteText"/>
        <w:suppressLineNumbers/>
        <w:suppressAutoHyphens/>
        <w:kinsoku w:val="0"/>
        <w:overflowPunct w:val="0"/>
        <w:autoSpaceDE w:val="0"/>
        <w:autoSpaceDN w:val="0"/>
        <w:ind w:firstLine="0"/>
        <w:jc w:val="left"/>
        <w:rPr>
          <w:snapToGrid w:val="0"/>
          <w:kern w:val="18"/>
          <w:szCs w:val="18"/>
        </w:rPr>
      </w:pPr>
      <w:r w:rsidRPr="00F43684">
        <w:rPr>
          <w:rStyle w:val="FootnoteReference"/>
          <w:snapToGrid w:val="0"/>
          <w:kern w:val="18"/>
          <w:sz w:val="18"/>
          <w:szCs w:val="18"/>
        </w:rPr>
        <w:footnoteRef/>
      </w:r>
      <w:r w:rsidRPr="00F43684">
        <w:rPr>
          <w:snapToGrid w:val="0"/>
          <w:kern w:val="18"/>
          <w:szCs w:val="18"/>
        </w:rPr>
        <w:t xml:space="preserve"> Decision </w:t>
      </w:r>
      <w:hyperlink r:id="rId1" w:history="1">
        <w:r w:rsidRPr="00F43684">
          <w:rPr>
            <w:rStyle w:val="Hyperlink"/>
            <w:snapToGrid w:val="0"/>
            <w:kern w:val="18"/>
            <w:szCs w:val="18"/>
          </w:rPr>
          <w:t>XII/3</w:t>
        </w:r>
      </w:hyperlink>
      <w:r w:rsidRPr="00F43684">
        <w:rPr>
          <w:snapToGrid w:val="0"/>
          <w:kern w:val="18"/>
          <w:szCs w:val="18"/>
        </w:rPr>
        <w:t>.</w:t>
      </w:r>
    </w:p>
  </w:footnote>
  <w:footnote w:id="3">
    <w:p w14:paraId="67CC1F4F" w14:textId="185C57D5" w:rsidR="00C2301C" w:rsidRPr="00F43684" w:rsidRDefault="00C2301C" w:rsidP="00230B6E">
      <w:pPr>
        <w:pStyle w:val="FootnoteText"/>
        <w:suppressLineNumbers/>
        <w:suppressAutoHyphens/>
        <w:ind w:firstLine="0"/>
        <w:jc w:val="left"/>
        <w:rPr>
          <w:kern w:val="18"/>
          <w:szCs w:val="18"/>
        </w:rPr>
      </w:pPr>
      <w:r w:rsidRPr="00F43684">
        <w:rPr>
          <w:rStyle w:val="FootnoteReference"/>
          <w:kern w:val="18"/>
          <w:sz w:val="18"/>
          <w:szCs w:val="18"/>
        </w:rPr>
        <w:footnoteRef/>
      </w:r>
      <w:r w:rsidRPr="00F43684">
        <w:rPr>
          <w:kern w:val="18"/>
          <w:szCs w:val="18"/>
        </w:rPr>
        <w:t xml:space="preserve"> See decision </w:t>
      </w:r>
      <w:r w:rsidR="00A62495">
        <w:rPr>
          <w:kern w:val="18"/>
          <w:szCs w:val="18"/>
        </w:rPr>
        <w:t>14</w:t>
      </w:r>
      <w:r w:rsidRPr="00F43684">
        <w:rPr>
          <w:kern w:val="18"/>
          <w:szCs w:val="18"/>
        </w:rPr>
        <w:t>/</w:t>
      </w:r>
      <w:r w:rsidR="00A62495">
        <w:rPr>
          <w:kern w:val="18"/>
          <w:szCs w:val="18"/>
        </w:rPr>
        <w:t>2</w:t>
      </w:r>
      <w:r w:rsidRPr="00F43684">
        <w:rPr>
          <w:kern w:val="18"/>
          <w:szCs w:val="18"/>
        </w:rPr>
        <w:t xml:space="preserve"> on Scenarios for the 2050 Vision for </w:t>
      </w:r>
      <w:r w:rsidR="002265B4" w:rsidRPr="00F43684">
        <w:rPr>
          <w:kern w:val="18"/>
          <w:szCs w:val="18"/>
        </w:rPr>
        <w:t>B</w:t>
      </w:r>
      <w:r w:rsidR="003B53AA">
        <w:rPr>
          <w:kern w:val="18"/>
          <w:szCs w:val="18"/>
        </w:rPr>
        <w:t>iodiversity, paragraph 2</w:t>
      </w:r>
      <w:r w:rsidR="002265B4" w:rsidRPr="003D2184">
        <w:rPr>
          <w:kern w:val="18"/>
          <w:szCs w:val="18"/>
        </w:rPr>
        <w:t>(</w:t>
      </w:r>
      <w:r w:rsidRPr="003D2184">
        <w:rPr>
          <w:kern w:val="18"/>
          <w:szCs w:val="18"/>
        </w:rPr>
        <w:t>f)</w:t>
      </w:r>
      <w:r w:rsidR="00A62495">
        <w:rPr>
          <w:kern w:val="18"/>
          <w:szCs w:val="18"/>
        </w:rPr>
        <w:t>.</w:t>
      </w:r>
    </w:p>
  </w:footnote>
  <w:footnote w:id="4">
    <w:p w14:paraId="6C5A07FC" w14:textId="2CC8B8FD" w:rsidR="00C2301C" w:rsidRPr="00F43684" w:rsidRDefault="00C2301C" w:rsidP="009968CA">
      <w:pPr>
        <w:pStyle w:val="FootnoteText"/>
        <w:suppressLineNumbers/>
        <w:suppressAutoHyphens/>
        <w:ind w:firstLine="0"/>
        <w:jc w:val="left"/>
        <w:rPr>
          <w:kern w:val="18"/>
          <w:szCs w:val="18"/>
        </w:rPr>
      </w:pPr>
      <w:r w:rsidRPr="00F43684">
        <w:rPr>
          <w:rStyle w:val="FootnoteReference"/>
          <w:kern w:val="18"/>
          <w:sz w:val="18"/>
          <w:szCs w:val="18"/>
        </w:rPr>
        <w:footnoteRef/>
      </w:r>
      <w:r w:rsidRPr="00F43684">
        <w:rPr>
          <w:kern w:val="18"/>
          <w:szCs w:val="18"/>
        </w:rPr>
        <w:t xml:space="preserve"> See the second report of the High-level Panel on Global Assessment of Resources for Implementing the Strategic Plan for Biodiversity 2011-2020 (</w:t>
      </w:r>
      <w:r w:rsidRPr="003D2184">
        <w:rPr>
          <w:i/>
          <w:kern w:val="18"/>
          <w:szCs w:val="18"/>
        </w:rPr>
        <w:t>Resourcing the Aichi Biodiversity Targets, An Assessment of Benefits, Investments and Resource needs for Implementing the Strategic Plan for Biodiversity 2011-2020</w:t>
      </w:r>
      <w:r w:rsidRPr="00F43684">
        <w:rPr>
          <w:kern w:val="18"/>
          <w:szCs w:val="18"/>
        </w:rPr>
        <w:t>); the reports of the global initiative on the Economics of Ecosystems and Biodiversity (TEEB), and relevant assessments of the Intergovernmental Science-Policy Platform on Biodiversity and Ecosystem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224180C6" w:rsidR="00F03F82" w:rsidRPr="006B3CF6" w:rsidRDefault="00063291" w:rsidP="006B3CF6">
        <w:pPr>
          <w:pStyle w:val="Header"/>
          <w:tabs>
            <w:tab w:val="clear" w:pos="4320"/>
            <w:tab w:val="clear" w:pos="8640"/>
          </w:tabs>
          <w:jc w:val="left"/>
          <w:rPr>
            <w:noProof/>
            <w:kern w:val="22"/>
          </w:rPr>
        </w:pPr>
        <w:r>
          <w:rPr>
            <w:noProof/>
            <w:kern w:val="22"/>
          </w:rPr>
          <w:t>CBD/COP/DEC/14/22</w:t>
        </w:r>
      </w:p>
    </w:sdtContent>
  </w:sdt>
  <w:p w14:paraId="57597240" w14:textId="5CA1090E" w:rsidR="00F03F82" w:rsidRPr="006B3CF6" w:rsidRDefault="00F03F82" w:rsidP="006B3CF6">
    <w:pPr>
      <w:pStyle w:val="Header"/>
      <w:tabs>
        <w:tab w:val="clear" w:pos="4320"/>
        <w:tab w:val="clear" w:pos="8640"/>
      </w:tabs>
      <w:jc w:val="left"/>
      <w:rPr>
        <w:noProof/>
        <w:kern w:val="22"/>
      </w:rPr>
    </w:pPr>
    <w:r w:rsidRPr="006B3CF6">
      <w:rPr>
        <w:noProof/>
        <w:kern w:val="22"/>
      </w:rPr>
      <w:t xml:space="preserve">Page </w:t>
    </w:r>
    <w:r w:rsidRPr="006B3CF6">
      <w:rPr>
        <w:noProof/>
        <w:kern w:val="22"/>
      </w:rPr>
      <w:fldChar w:fldCharType="begin"/>
    </w:r>
    <w:r w:rsidRPr="006B3CF6">
      <w:rPr>
        <w:noProof/>
        <w:kern w:val="22"/>
      </w:rPr>
      <w:instrText xml:space="preserve"> PAGE   \* MERGEFORMAT </w:instrText>
    </w:r>
    <w:r w:rsidRPr="006B3CF6">
      <w:rPr>
        <w:noProof/>
        <w:kern w:val="22"/>
      </w:rPr>
      <w:fldChar w:fldCharType="separate"/>
    </w:r>
    <w:r w:rsidR="006B3CF6">
      <w:rPr>
        <w:noProof/>
        <w:kern w:val="22"/>
      </w:rPr>
      <w:t>2</w:t>
    </w:r>
    <w:r w:rsidRPr="006B3CF6">
      <w:rPr>
        <w:noProof/>
        <w:kern w:val="22"/>
      </w:rPr>
      <w:fldChar w:fldCharType="end"/>
    </w:r>
  </w:p>
  <w:p w14:paraId="1D80EB20" w14:textId="77777777" w:rsidR="00F03F82" w:rsidRPr="006B3CF6" w:rsidRDefault="00F03F82" w:rsidP="006B3CF6">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45F5E2B4" w:rsidR="00F03F82" w:rsidRPr="006B3CF6" w:rsidRDefault="00063291" w:rsidP="006B3CF6">
        <w:pPr>
          <w:pStyle w:val="Header"/>
          <w:tabs>
            <w:tab w:val="clear" w:pos="4320"/>
            <w:tab w:val="clear" w:pos="8640"/>
          </w:tabs>
          <w:jc w:val="right"/>
          <w:rPr>
            <w:noProof/>
            <w:kern w:val="22"/>
          </w:rPr>
        </w:pPr>
        <w:r>
          <w:rPr>
            <w:noProof/>
            <w:kern w:val="22"/>
          </w:rPr>
          <w:t>CBD/COP/DEC/14/22</w:t>
        </w:r>
      </w:p>
    </w:sdtContent>
  </w:sdt>
  <w:p w14:paraId="7E9B8683" w14:textId="03A65473" w:rsidR="00F03F82" w:rsidRPr="006B3CF6" w:rsidRDefault="00F03F82" w:rsidP="006B3CF6">
    <w:pPr>
      <w:pStyle w:val="Header"/>
      <w:tabs>
        <w:tab w:val="clear" w:pos="4320"/>
        <w:tab w:val="clear" w:pos="8640"/>
      </w:tabs>
      <w:jc w:val="right"/>
      <w:rPr>
        <w:noProof/>
        <w:kern w:val="22"/>
      </w:rPr>
    </w:pPr>
    <w:r w:rsidRPr="006B3CF6">
      <w:rPr>
        <w:noProof/>
        <w:kern w:val="22"/>
      </w:rPr>
      <w:t xml:space="preserve">Page </w:t>
    </w:r>
    <w:r w:rsidRPr="006B3CF6">
      <w:rPr>
        <w:noProof/>
        <w:kern w:val="22"/>
      </w:rPr>
      <w:fldChar w:fldCharType="begin"/>
    </w:r>
    <w:r w:rsidRPr="006B3CF6">
      <w:rPr>
        <w:noProof/>
        <w:kern w:val="22"/>
      </w:rPr>
      <w:instrText xml:space="preserve"> PAGE   \* MERGEFORMAT </w:instrText>
    </w:r>
    <w:r w:rsidRPr="006B3CF6">
      <w:rPr>
        <w:noProof/>
        <w:kern w:val="22"/>
      </w:rPr>
      <w:fldChar w:fldCharType="separate"/>
    </w:r>
    <w:r w:rsidR="006B3CF6">
      <w:rPr>
        <w:noProof/>
        <w:kern w:val="22"/>
      </w:rPr>
      <w:t>3</w:t>
    </w:r>
    <w:r w:rsidRPr="006B3CF6">
      <w:rPr>
        <w:noProof/>
        <w:kern w:val="22"/>
      </w:rPr>
      <w:fldChar w:fldCharType="end"/>
    </w:r>
  </w:p>
  <w:p w14:paraId="2F845650" w14:textId="77777777" w:rsidR="00F03F82" w:rsidRPr="006B3CF6" w:rsidRDefault="00F03F82" w:rsidP="006B3CF6">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7CA66BE"/>
    <w:multiLevelType w:val="hybridMultilevel"/>
    <w:tmpl w:val="8CCE25F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7"/>
  </w:num>
  <w:num w:numId="5">
    <w:abstractNumId w:val="6"/>
  </w:num>
  <w:num w:numId="6">
    <w:abstractNumId w:val="0"/>
  </w:num>
  <w:num w:numId="7">
    <w:abstractNumId w:val="2"/>
  </w:num>
  <w:num w:numId="8">
    <w:abstractNumId w:val="4"/>
    <w:lvlOverride w:ilvl="0">
      <w:startOverride w:val="1"/>
    </w:lvlOverride>
  </w:num>
  <w:num w:numId="9">
    <w:abstractNumId w:val="10"/>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CA"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4096" w:nlCheck="1" w:checkStyle="0"/>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7AB2"/>
    <w:rsid w:val="00011249"/>
    <w:rsid w:val="00030252"/>
    <w:rsid w:val="000400B3"/>
    <w:rsid w:val="0004507A"/>
    <w:rsid w:val="00063291"/>
    <w:rsid w:val="00084342"/>
    <w:rsid w:val="000860ED"/>
    <w:rsid w:val="000A1668"/>
    <w:rsid w:val="000D684B"/>
    <w:rsid w:val="000E673A"/>
    <w:rsid w:val="000F051B"/>
    <w:rsid w:val="000F74F5"/>
    <w:rsid w:val="00102B78"/>
    <w:rsid w:val="00105372"/>
    <w:rsid w:val="00114174"/>
    <w:rsid w:val="00116A6A"/>
    <w:rsid w:val="00120510"/>
    <w:rsid w:val="00123D6D"/>
    <w:rsid w:val="00126162"/>
    <w:rsid w:val="00131E7A"/>
    <w:rsid w:val="00164BBF"/>
    <w:rsid w:val="001656D6"/>
    <w:rsid w:val="00165791"/>
    <w:rsid w:val="00172AF6"/>
    <w:rsid w:val="00173759"/>
    <w:rsid w:val="00176CEE"/>
    <w:rsid w:val="001D1464"/>
    <w:rsid w:val="001F0F8E"/>
    <w:rsid w:val="00217097"/>
    <w:rsid w:val="002265B4"/>
    <w:rsid w:val="00230B6E"/>
    <w:rsid w:val="00250A70"/>
    <w:rsid w:val="002821FB"/>
    <w:rsid w:val="002B377A"/>
    <w:rsid w:val="002C5EEE"/>
    <w:rsid w:val="002D043A"/>
    <w:rsid w:val="00324CCC"/>
    <w:rsid w:val="003640AF"/>
    <w:rsid w:val="0037257E"/>
    <w:rsid w:val="00372F74"/>
    <w:rsid w:val="003B53AA"/>
    <w:rsid w:val="003B59E3"/>
    <w:rsid w:val="003D2184"/>
    <w:rsid w:val="003F7224"/>
    <w:rsid w:val="00405146"/>
    <w:rsid w:val="00410A30"/>
    <w:rsid w:val="0042412C"/>
    <w:rsid w:val="00427D21"/>
    <w:rsid w:val="0044688B"/>
    <w:rsid w:val="004644C2"/>
    <w:rsid w:val="00464CCD"/>
    <w:rsid w:val="0046693A"/>
    <w:rsid w:val="00467F9C"/>
    <w:rsid w:val="00486863"/>
    <w:rsid w:val="0049446F"/>
    <w:rsid w:val="00496E05"/>
    <w:rsid w:val="004A6517"/>
    <w:rsid w:val="004B4732"/>
    <w:rsid w:val="0050025E"/>
    <w:rsid w:val="00504945"/>
    <w:rsid w:val="00532A46"/>
    <w:rsid w:val="005335B1"/>
    <w:rsid w:val="00534681"/>
    <w:rsid w:val="00574E83"/>
    <w:rsid w:val="00593BE1"/>
    <w:rsid w:val="005B4D10"/>
    <w:rsid w:val="005E4798"/>
    <w:rsid w:val="0060695E"/>
    <w:rsid w:val="006122BA"/>
    <w:rsid w:val="0061445E"/>
    <w:rsid w:val="00630207"/>
    <w:rsid w:val="00634AD0"/>
    <w:rsid w:val="006548FE"/>
    <w:rsid w:val="00666635"/>
    <w:rsid w:val="00694BCF"/>
    <w:rsid w:val="006B2290"/>
    <w:rsid w:val="006B3CF6"/>
    <w:rsid w:val="006C7015"/>
    <w:rsid w:val="006C751B"/>
    <w:rsid w:val="006F1CC8"/>
    <w:rsid w:val="00710AA7"/>
    <w:rsid w:val="00717D88"/>
    <w:rsid w:val="00737101"/>
    <w:rsid w:val="00752183"/>
    <w:rsid w:val="0075770D"/>
    <w:rsid w:val="00780487"/>
    <w:rsid w:val="0078499F"/>
    <w:rsid w:val="00790888"/>
    <w:rsid w:val="007942D3"/>
    <w:rsid w:val="007B6C09"/>
    <w:rsid w:val="007E09DA"/>
    <w:rsid w:val="008178B6"/>
    <w:rsid w:val="0082126C"/>
    <w:rsid w:val="0082333A"/>
    <w:rsid w:val="0084339D"/>
    <w:rsid w:val="00861CFD"/>
    <w:rsid w:val="00865B74"/>
    <w:rsid w:val="0087549E"/>
    <w:rsid w:val="00882C6A"/>
    <w:rsid w:val="008908C0"/>
    <w:rsid w:val="008B29BC"/>
    <w:rsid w:val="008B3FE5"/>
    <w:rsid w:val="008C590E"/>
    <w:rsid w:val="008D54EC"/>
    <w:rsid w:val="008E44A1"/>
    <w:rsid w:val="00915F0D"/>
    <w:rsid w:val="00930BA1"/>
    <w:rsid w:val="0093169E"/>
    <w:rsid w:val="00937D2F"/>
    <w:rsid w:val="00944B0E"/>
    <w:rsid w:val="009505C9"/>
    <w:rsid w:val="00960464"/>
    <w:rsid w:val="00975F96"/>
    <w:rsid w:val="00987B9E"/>
    <w:rsid w:val="0099069F"/>
    <w:rsid w:val="00992BCB"/>
    <w:rsid w:val="00994993"/>
    <w:rsid w:val="009968CA"/>
    <w:rsid w:val="009A40A0"/>
    <w:rsid w:val="009C200D"/>
    <w:rsid w:val="009F1E35"/>
    <w:rsid w:val="00A00B65"/>
    <w:rsid w:val="00A046AF"/>
    <w:rsid w:val="00A17E01"/>
    <w:rsid w:val="00A21F4E"/>
    <w:rsid w:val="00A22388"/>
    <w:rsid w:val="00A343FD"/>
    <w:rsid w:val="00A57E7F"/>
    <w:rsid w:val="00A62495"/>
    <w:rsid w:val="00AA3BC0"/>
    <w:rsid w:val="00AE17A1"/>
    <w:rsid w:val="00AE1DD1"/>
    <w:rsid w:val="00B034D3"/>
    <w:rsid w:val="00B3038E"/>
    <w:rsid w:val="00B3369F"/>
    <w:rsid w:val="00B33B5B"/>
    <w:rsid w:val="00B464D0"/>
    <w:rsid w:val="00B64A51"/>
    <w:rsid w:val="00B7137C"/>
    <w:rsid w:val="00BB7E9D"/>
    <w:rsid w:val="00BD3426"/>
    <w:rsid w:val="00BD3FA6"/>
    <w:rsid w:val="00BE783E"/>
    <w:rsid w:val="00BF1F1A"/>
    <w:rsid w:val="00BF738D"/>
    <w:rsid w:val="00C14A96"/>
    <w:rsid w:val="00C2301C"/>
    <w:rsid w:val="00C24156"/>
    <w:rsid w:val="00C35096"/>
    <w:rsid w:val="00C35D4A"/>
    <w:rsid w:val="00C42A27"/>
    <w:rsid w:val="00C44E5A"/>
    <w:rsid w:val="00C56AF2"/>
    <w:rsid w:val="00C62DED"/>
    <w:rsid w:val="00C9161D"/>
    <w:rsid w:val="00CB45AF"/>
    <w:rsid w:val="00CC01EC"/>
    <w:rsid w:val="00CC1451"/>
    <w:rsid w:val="00CC425B"/>
    <w:rsid w:val="00CE1097"/>
    <w:rsid w:val="00CE4B56"/>
    <w:rsid w:val="00CF1848"/>
    <w:rsid w:val="00D04307"/>
    <w:rsid w:val="00D11338"/>
    <w:rsid w:val="00D12044"/>
    <w:rsid w:val="00D372BB"/>
    <w:rsid w:val="00D426AB"/>
    <w:rsid w:val="00D76A18"/>
    <w:rsid w:val="00D86602"/>
    <w:rsid w:val="00DB27BC"/>
    <w:rsid w:val="00DD118C"/>
    <w:rsid w:val="00DE2A7B"/>
    <w:rsid w:val="00E021F5"/>
    <w:rsid w:val="00E02ED8"/>
    <w:rsid w:val="00E04D93"/>
    <w:rsid w:val="00E06425"/>
    <w:rsid w:val="00E142AC"/>
    <w:rsid w:val="00E66235"/>
    <w:rsid w:val="00E74D7B"/>
    <w:rsid w:val="00E83C24"/>
    <w:rsid w:val="00E90617"/>
    <w:rsid w:val="00E9318D"/>
    <w:rsid w:val="00ED326D"/>
    <w:rsid w:val="00EF1F8A"/>
    <w:rsid w:val="00F03F82"/>
    <w:rsid w:val="00F40B07"/>
    <w:rsid w:val="00F4352E"/>
    <w:rsid w:val="00F43684"/>
    <w:rsid w:val="00F44FE3"/>
    <w:rsid w:val="00F63FA9"/>
    <w:rsid w:val="00F8490E"/>
    <w:rsid w:val="00F912D0"/>
    <w:rsid w:val="00F917D5"/>
    <w:rsid w:val="00F94774"/>
    <w:rsid w:val="00FA1286"/>
    <w:rsid w:val="00FA2451"/>
    <w:rsid w:val="00FB1194"/>
    <w:rsid w:val="00FB48D4"/>
    <w:rsid w:val="00FB5620"/>
    <w:rsid w:val="00FC53DB"/>
    <w:rsid w:val="00FE3A77"/>
    <w:rsid w:val="00FE41DF"/>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59608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Item">
    <w:name w:val="Item"/>
    <w:basedOn w:val="Normal"/>
    <w:qFormat/>
    <w:rsid w:val="00975F96"/>
    <w:pPr>
      <w:keepNext/>
      <w:spacing w:before="240" w:after="120"/>
      <w:ind w:left="720" w:hanging="720"/>
      <w:jc w:val="center"/>
    </w:pPr>
    <w:rPr>
      <w:b/>
      <w:kern w:val="22"/>
    </w:rPr>
  </w:style>
  <w:style w:type="paragraph" w:styleId="NormalWeb">
    <w:name w:val="Normal (Web)"/>
    <w:basedOn w:val="Normal"/>
    <w:uiPriority w:val="99"/>
    <w:rsid w:val="00975F96"/>
    <w:pPr>
      <w:spacing w:before="100" w:beforeAutospacing="1" w:after="100" w:afterAutospacing="1"/>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975F96"/>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basedOn w:val="DefaultParagraphFont"/>
    <w:link w:val="ListParagraph"/>
    <w:uiPriority w:val="34"/>
    <w:qFormat/>
    <w:locked/>
    <w:rsid w:val="00975F96"/>
    <w:rPr>
      <w:rFonts w:ascii="Times New Roman" w:eastAsia="Times New Roman" w:hAnsi="Times New Roman" w:cs="Times New Roman"/>
      <w:sz w:val="22"/>
      <w:lang w:val="en-GB"/>
    </w:rPr>
  </w:style>
  <w:style w:type="paragraph" w:customStyle="1" w:styleId="sub-item">
    <w:name w:val="sub-item"/>
    <w:basedOn w:val="Heading2"/>
    <w:qFormat/>
    <w:rsid w:val="00975F96"/>
    <w:pPr>
      <w:spacing w:before="240"/>
      <w:ind w:firstLine="709"/>
      <w:jc w:val="left"/>
      <w:outlineLvl w:val="0"/>
    </w:pPr>
    <w:rPr>
      <w:szCs w:val="22"/>
      <w:lang w:val="en-CA" w:eastAsia="en-CA"/>
    </w:rPr>
  </w:style>
  <w:style w:type="paragraph" w:styleId="CommentSubject">
    <w:name w:val="annotation subject"/>
    <w:basedOn w:val="CommentText"/>
    <w:next w:val="CommentText"/>
    <w:link w:val="CommentSubjectChar"/>
    <w:uiPriority w:val="99"/>
    <w:semiHidden/>
    <w:unhideWhenUsed/>
    <w:rsid w:val="00975F96"/>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975F96"/>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12/cop-12-dec-03-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3C94CED9B98D4389A1C91C399F18377C"/>
        <w:category>
          <w:name w:val="General"/>
          <w:gallery w:val="placeholder"/>
        </w:category>
        <w:types>
          <w:type w:val="bbPlcHdr"/>
        </w:types>
        <w:behaviors>
          <w:behavior w:val="content"/>
        </w:behaviors>
        <w:guid w:val="{7BE9F09B-2A4B-408C-A4E4-B72979C4F729}"/>
      </w:docPartPr>
      <w:docPartBody>
        <w:p w:rsidR="00462E61" w:rsidRDefault="00483BFE" w:rsidP="00483BFE">
          <w:pPr>
            <w:pStyle w:val="3C94CED9B98D4389A1C91C399F18377C"/>
          </w:pPr>
          <w:r w:rsidRPr="007E02EB">
            <w:rPr>
              <w:rStyle w:val="PlaceholderText"/>
            </w:rPr>
            <w:t>[Status]</w:t>
          </w:r>
        </w:p>
      </w:docPartBody>
    </w:docPart>
    <w:docPart>
      <w:docPartPr>
        <w:name w:val="7AF01CE646CC4262A70B83E326C8867D"/>
        <w:category>
          <w:name w:val="General"/>
          <w:gallery w:val="placeholder"/>
        </w:category>
        <w:types>
          <w:type w:val="bbPlcHdr"/>
        </w:types>
        <w:behaviors>
          <w:behavior w:val="content"/>
        </w:behaviors>
        <w:guid w:val="{A510987A-365C-4AE7-8793-371C42FA7D5F}"/>
      </w:docPartPr>
      <w:docPartBody>
        <w:p w:rsidR="00462E61" w:rsidRDefault="00483BFE" w:rsidP="00483BFE">
          <w:pPr>
            <w:pStyle w:val="7AF01CE646CC4262A70B83E326C8867D"/>
          </w:pPr>
          <w:r w:rsidRPr="007E02EB">
            <w:rPr>
              <w:rStyle w:val="PlaceholderText"/>
            </w:rPr>
            <w:t>[Subject]</w:t>
          </w:r>
        </w:p>
      </w:docPartBody>
    </w:docPart>
    <w:docPart>
      <w:docPartPr>
        <w:name w:val="4A4C672F5B3D4E3AB8297130FB9D27A7"/>
        <w:category>
          <w:name w:val="General"/>
          <w:gallery w:val="placeholder"/>
        </w:category>
        <w:types>
          <w:type w:val="bbPlcHdr"/>
        </w:types>
        <w:behaviors>
          <w:behavior w:val="content"/>
        </w:behaviors>
        <w:guid w:val="{2B47648A-0005-440B-AA92-BB0E3E9B0D7E}"/>
      </w:docPartPr>
      <w:docPartBody>
        <w:p w:rsidR="00B63B04" w:rsidRDefault="003A3CAD">
          <w:r w:rsidRPr="004C6EA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61E9A"/>
    <w:rsid w:val="003A3CAD"/>
    <w:rsid w:val="003C29B8"/>
    <w:rsid w:val="00462E61"/>
    <w:rsid w:val="00483BFE"/>
    <w:rsid w:val="004A392B"/>
    <w:rsid w:val="00500A2B"/>
    <w:rsid w:val="0058288D"/>
    <w:rsid w:val="006801B3"/>
    <w:rsid w:val="00720F63"/>
    <w:rsid w:val="007F1B76"/>
    <w:rsid w:val="00810A55"/>
    <w:rsid w:val="008C6619"/>
    <w:rsid w:val="008D420E"/>
    <w:rsid w:val="0098642F"/>
    <w:rsid w:val="00994070"/>
    <w:rsid w:val="00B442EE"/>
    <w:rsid w:val="00B63B04"/>
    <w:rsid w:val="00CE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A3CAD"/>
    <w:rPr>
      <w:color w:val="808080"/>
    </w:rPr>
  </w:style>
  <w:style w:type="paragraph" w:customStyle="1" w:styleId="C444DEE40D7C456B82AF1A09CD132ABF">
    <w:name w:val="C444DEE40D7C456B82AF1A09CD132ABF"/>
    <w:rsid w:val="00CE6602"/>
    <w:pPr>
      <w:spacing w:after="160" w:line="259" w:lineRule="auto"/>
    </w:pPr>
  </w:style>
  <w:style w:type="paragraph" w:customStyle="1" w:styleId="B1C53E57AB8F40009FBDFFF319441144">
    <w:name w:val="B1C53E57AB8F40009FBDFFF319441144"/>
    <w:rsid w:val="00483BFE"/>
    <w:pPr>
      <w:spacing w:after="160" w:line="259" w:lineRule="auto"/>
    </w:pPr>
    <w:rPr>
      <w:lang w:val="en-CA" w:eastAsia="en-CA"/>
    </w:rPr>
  </w:style>
  <w:style w:type="paragraph" w:customStyle="1" w:styleId="5455CFA90C8D4BE4B6BA0EBF059E5BD0">
    <w:name w:val="5455CFA90C8D4BE4B6BA0EBF059E5BD0"/>
    <w:rsid w:val="00483BFE"/>
    <w:pPr>
      <w:spacing w:after="160" w:line="259" w:lineRule="auto"/>
    </w:pPr>
    <w:rPr>
      <w:lang w:val="en-CA" w:eastAsia="en-CA"/>
    </w:rPr>
  </w:style>
  <w:style w:type="paragraph" w:customStyle="1" w:styleId="1B6CE6BCB9BD4523B043A395DF1E3961">
    <w:name w:val="1B6CE6BCB9BD4523B043A395DF1E3961"/>
    <w:rsid w:val="00483BFE"/>
    <w:pPr>
      <w:spacing w:after="160" w:line="259" w:lineRule="auto"/>
    </w:pPr>
    <w:rPr>
      <w:lang w:val="en-CA" w:eastAsia="en-CA"/>
    </w:rPr>
  </w:style>
  <w:style w:type="paragraph" w:customStyle="1" w:styleId="0F9DEC742FDB48D4B57B7D803D8D8068">
    <w:name w:val="0F9DEC742FDB48D4B57B7D803D8D8068"/>
    <w:rsid w:val="00483BFE"/>
    <w:pPr>
      <w:spacing w:after="160" w:line="259" w:lineRule="auto"/>
    </w:pPr>
    <w:rPr>
      <w:lang w:val="en-CA" w:eastAsia="en-CA"/>
    </w:rPr>
  </w:style>
  <w:style w:type="paragraph" w:customStyle="1" w:styleId="DF8756B6016F419497CDD5D06314DE55">
    <w:name w:val="DF8756B6016F419497CDD5D06314DE55"/>
    <w:rsid w:val="00483BFE"/>
    <w:pPr>
      <w:spacing w:after="160" w:line="259" w:lineRule="auto"/>
    </w:pPr>
    <w:rPr>
      <w:lang w:val="en-CA" w:eastAsia="en-CA"/>
    </w:rPr>
  </w:style>
  <w:style w:type="paragraph" w:customStyle="1" w:styleId="A04925F538B74605A16BCE542D38297F">
    <w:name w:val="A04925F538B74605A16BCE542D38297F"/>
    <w:rsid w:val="00483BFE"/>
    <w:pPr>
      <w:spacing w:after="160" w:line="259" w:lineRule="auto"/>
    </w:pPr>
    <w:rPr>
      <w:lang w:val="en-CA" w:eastAsia="en-CA"/>
    </w:rPr>
  </w:style>
  <w:style w:type="paragraph" w:customStyle="1" w:styleId="608B37F277894773839766CDCABFF31D">
    <w:name w:val="608B37F277894773839766CDCABFF31D"/>
    <w:rsid w:val="00483BFE"/>
    <w:pPr>
      <w:spacing w:after="160" w:line="259" w:lineRule="auto"/>
    </w:pPr>
    <w:rPr>
      <w:lang w:val="en-CA" w:eastAsia="en-CA"/>
    </w:rPr>
  </w:style>
  <w:style w:type="paragraph" w:customStyle="1" w:styleId="3C94CED9B98D4389A1C91C399F18377C">
    <w:name w:val="3C94CED9B98D4389A1C91C399F18377C"/>
    <w:rsid w:val="00483BFE"/>
    <w:pPr>
      <w:spacing w:after="160" w:line="259" w:lineRule="auto"/>
    </w:pPr>
    <w:rPr>
      <w:lang w:val="en-CA" w:eastAsia="en-CA"/>
    </w:rPr>
  </w:style>
  <w:style w:type="paragraph" w:customStyle="1" w:styleId="7AF01CE646CC4262A70B83E326C8867D">
    <w:name w:val="7AF01CE646CC4262A70B83E326C8867D"/>
    <w:rsid w:val="00483BFE"/>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392B4E-CBDF-4FC2-B9EB-E7651D833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14/22.	Resource mobilization</vt:lpstr>
    </vt:vector>
  </TitlesOfParts>
  <Company>SCBD</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14/22.	Resource mobilization</dc:title>
  <dc:subject>CBD/COP/DEC/14/22</dc:subject>
  <dc:creator>COP 14</dc:creator>
  <cp:keywords>Resource mobilization and the financial mechanism, Convention on Biological Diversity</cp:keywords>
  <cp:lastModifiedBy>Veronique Lefebvre</cp:lastModifiedBy>
  <cp:revision>5</cp:revision>
  <cp:lastPrinted>2018-11-20T08:32:00Z</cp:lastPrinted>
  <dcterms:created xsi:type="dcterms:W3CDTF">2019-01-21T15:34:00Z</dcterms:created>
  <dcterms:modified xsi:type="dcterms:W3CDTF">2019-01-21T15:43:00Z</dcterms:modified>
  <cp:contentStatus>GENERAL</cp:contentStatus>
</cp:coreProperties>
</file>