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F1E35" w:rsidRPr="00074981" w14:paraId="3E5EF08C" w14:textId="77777777" w:rsidTr="00527836">
        <w:trPr>
          <w:trHeight w:val="709"/>
        </w:trPr>
        <w:tc>
          <w:tcPr>
            <w:tcW w:w="976" w:type="dxa"/>
            <w:tcBorders>
              <w:bottom w:val="single" w:sz="12" w:space="0" w:color="auto"/>
            </w:tcBorders>
          </w:tcPr>
          <w:p w14:paraId="6D5C98D4" w14:textId="77777777" w:rsidR="009F1E35" w:rsidRPr="00074981" w:rsidRDefault="009F1E35" w:rsidP="00527836">
            <w:pPr>
              <w:rPr>
                <w:kern w:val="22"/>
              </w:rPr>
            </w:pPr>
            <w:r w:rsidRPr="00074981">
              <w:rPr>
                <w:noProof/>
                <w:kern w:val="22"/>
                <w:lang w:eastAsia="en-GB"/>
              </w:rPr>
              <w:drawing>
                <wp:inline distT="0" distB="0" distL="0" distR="0" wp14:anchorId="53BC9FE6" wp14:editId="064F2AE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145FE817" w14:textId="77777777" w:rsidR="009F1E35" w:rsidRPr="00074981" w:rsidRDefault="009F1E35" w:rsidP="00527836">
            <w:pPr>
              <w:rPr>
                <w:kern w:val="22"/>
              </w:rPr>
            </w:pPr>
            <w:r w:rsidRPr="00074981">
              <w:rPr>
                <w:noProof/>
                <w:kern w:val="22"/>
                <w:lang w:eastAsia="en-GB"/>
              </w:rPr>
              <w:drawing>
                <wp:inline distT="0" distB="0" distL="0" distR="0" wp14:anchorId="262C9191" wp14:editId="16D9386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3E578390" w14:textId="77777777" w:rsidR="009F1E35" w:rsidRPr="00074981" w:rsidRDefault="009F1E35" w:rsidP="00527836">
            <w:pPr>
              <w:jc w:val="right"/>
              <w:rPr>
                <w:rFonts w:ascii="Arial" w:hAnsi="Arial" w:cs="Arial"/>
                <w:b/>
                <w:kern w:val="22"/>
                <w:sz w:val="32"/>
                <w:szCs w:val="32"/>
              </w:rPr>
            </w:pPr>
            <w:r w:rsidRPr="00074981">
              <w:rPr>
                <w:rFonts w:ascii="Arial" w:hAnsi="Arial" w:cs="Arial"/>
                <w:b/>
                <w:kern w:val="22"/>
                <w:sz w:val="32"/>
                <w:szCs w:val="32"/>
              </w:rPr>
              <w:t>CBD</w:t>
            </w:r>
          </w:p>
        </w:tc>
      </w:tr>
      <w:tr w:rsidR="009F1E35" w:rsidRPr="00074981" w14:paraId="793A7C39" w14:textId="77777777" w:rsidTr="00527836">
        <w:tc>
          <w:tcPr>
            <w:tcW w:w="6117" w:type="dxa"/>
            <w:gridSpan w:val="2"/>
            <w:tcBorders>
              <w:top w:val="single" w:sz="12" w:space="0" w:color="auto"/>
              <w:bottom w:val="single" w:sz="36" w:space="0" w:color="auto"/>
            </w:tcBorders>
            <w:vAlign w:val="center"/>
          </w:tcPr>
          <w:p w14:paraId="5B3EFE67" w14:textId="61CB69DE" w:rsidR="009F1E35" w:rsidRPr="00074981" w:rsidRDefault="008B6B73" w:rsidP="00527836">
            <w:pPr>
              <w:rPr>
                <w:kern w:val="22"/>
              </w:rPr>
            </w:pPr>
            <w:r w:rsidRPr="00C74076">
              <w:rPr>
                <w:noProof/>
                <w:szCs w:val="22"/>
                <w:lang w:eastAsia="en-GB"/>
              </w:rPr>
              <w:drawing>
                <wp:inline distT="0" distB="0" distL="0" distR="0" wp14:anchorId="53A94BE1" wp14:editId="20D0D59A">
                  <wp:extent cx="2855595" cy="1080135"/>
                  <wp:effectExtent l="0" t="0" r="1905" b="5715"/>
                  <wp:docPr id="2" name="Picture 2" descr="CBD_logo_fr-CMYK-black [Converted]"/>
                  <wp:cNvGraphicFramePr/>
                  <a:graphic xmlns:a="http://schemas.openxmlformats.org/drawingml/2006/main">
                    <a:graphicData uri="http://schemas.openxmlformats.org/drawingml/2006/picture">
                      <pic:pic xmlns:pic="http://schemas.openxmlformats.org/drawingml/2006/picture">
                        <pic:nvPicPr>
                          <pic:cNvPr id="2" name="Picture 2" descr="CBD_logo_fr-CMYK-black [Converted]"/>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5595" cy="108013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AB2A391" w14:textId="77777777" w:rsidR="009F1E35" w:rsidRPr="000827E1" w:rsidRDefault="009F1E35" w:rsidP="00527836">
            <w:pPr>
              <w:ind w:left="1215"/>
              <w:rPr>
                <w:noProof/>
                <w:kern w:val="22"/>
                <w:szCs w:val="22"/>
                <w:lang w:val="fr-FR"/>
              </w:rPr>
            </w:pPr>
            <w:r w:rsidRPr="000827E1">
              <w:rPr>
                <w:noProof/>
                <w:kern w:val="22"/>
                <w:szCs w:val="22"/>
                <w:lang w:val="fr-FR"/>
              </w:rPr>
              <w:t>Distr.</w:t>
            </w:r>
          </w:p>
          <w:p w14:paraId="5239A59A" w14:textId="3CB0D6A2" w:rsidR="009F1E35" w:rsidRPr="000827E1" w:rsidRDefault="004E4DB4" w:rsidP="00527836">
            <w:pPr>
              <w:ind w:left="1215"/>
              <w:rPr>
                <w:kern w:val="22"/>
                <w:szCs w:val="22"/>
                <w:lang w:val="fr-FR"/>
              </w:rPr>
            </w:pPr>
            <w:sdt>
              <w:sdtPr>
                <w:rPr>
                  <w:caps/>
                  <w:szCs w:val="22"/>
                  <w:lang w:val="fr-FR"/>
                </w:rPr>
                <w:alias w:val="Status"/>
                <w:tag w:val=""/>
                <w:id w:val="307985777"/>
                <w:placeholder>
                  <w:docPart w:val="3C94CED9B98D4389A1C91C399F18377C"/>
                </w:placeholder>
                <w:dataBinding w:prefixMappings="xmlns:ns0='http://purl.org/dc/elements/1.1/' xmlns:ns1='http://schemas.openxmlformats.org/package/2006/metadata/core-properties' " w:xpath="/ns1:coreProperties[1]/ns1:contentStatus[1]" w:storeItemID="{6C3C8BC8-F283-45AE-878A-BAB7291924A1}"/>
                <w:text/>
              </w:sdtPr>
              <w:sdtEndPr/>
              <w:sdtContent>
                <w:r w:rsidR="000827E1" w:rsidRPr="000827E1">
                  <w:rPr>
                    <w:caps/>
                    <w:szCs w:val="22"/>
                    <w:lang w:val="fr-FR"/>
                  </w:rPr>
                  <w:t>GÉNÉRALE</w:t>
                </w:r>
              </w:sdtContent>
            </w:sdt>
          </w:p>
          <w:p w14:paraId="0892DA11" w14:textId="77777777" w:rsidR="009F1E35" w:rsidRPr="000827E1" w:rsidRDefault="009F1E35" w:rsidP="00527836">
            <w:pPr>
              <w:ind w:left="1215"/>
              <w:rPr>
                <w:kern w:val="22"/>
                <w:szCs w:val="22"/>
                <w:lang w:val="fr-FR"/>
              </w:rPr>
            </w:pPr>
          </w:p>
          <w:p w14:paraId="04C47ED8" w14:textId="59F2A2A9" w:rsidR="009F1E35" w:rsidRPr="000827E1" w:rsidRDefault="004E4DB4" w:rsidP="00527836">
            <w:pPr>
              <w:ind w:left="1215"/>
              <w:rPr>
                <w:kern w:val="22"/>
                <w:szCs w:val="22"/>
                <w:lang w:val="fr-FR"/>
              </w:rPr>
            </w:pPr>
            <w:sdt>
              <w:sdtPr>
                <w:rPr>
                  <w:kern w:val="22"/>
                  <w:lang w:val="fr-FR"/>
                </w:rPr>
                <w:alias w:val="Subject"/>
                <w:tag w:val=""/>
                <w:id w:val="2137136483"/>
                <w:placeholder>
                  <w:docPart w:val="7AF01CE646CC4262A70B83E326C8867D"/>
                </w:placeholder>
                <w:dataBinding w:prefixMappings="xmlns:ns0='http://purl.org/dc/elements/1.1/' xmlns:ns1='http://schemas.openxmlformats.org/package/2006/metadata/core-properties' " w:xpath="/ns1:coreProperties[1]/ns0:subject[1]" w:storeItemID="{6C3C8BC8-F283-45AE-878A-BAB7291924A1}"/>
                <w:text/>
              </w:sdtPr>
              <w:sdtEndPr/>
              <w:sdtContent>
                <w:r w:rsidR="000827E1" w:rsidRPr="000827E1">
                  <w:rPr>
                    <w:kern w:val="22"/>
                    <w:lang w:val="fr-FR"/>
                  </w:rPr>
                  <w:t>CBD/COP/DEC/14/22</w:t>
                </w:r>
              </w:sdtContent>
            </w:sdt>
          </w:p>
          <w:p w14:paraId="0142CE95" w14:textId="44653E16" w:rsidR="009F1E35" w:rsidRPr="000827E1" w:rsidRDefault="000827E1" w:rsidP="00527836">
            <w:pPr>
              <w:ind w:left="1215"/>
              <w:rPr>
                <w:kern w:val="22"/>
                <w:szCs w:val="22"/>
                <w:lang w:val="fr-FR"/>
              </w:rPr>
            </w:pPr>
            <w:r w:rsidRPr="000827E1">
              <w:rPr>
                <w:kern w:val="22"/>
                <w:szCs w:val="22"/>
                <w:lang w:val="fr-FR"/>
              </w:rPr>
              <w:t>30</w:t>
            </w:r>
            <w:r w:rsidR="009F1E35" w:rsidRPr="000827E1">
              <w:rPr>
                <w:kern w:val="22"/>
                <w:szCs w:val="22"/>
                <w:lang w:val="fr-FR"/>
              </w:rPr>
              <w:t xml:space="preserve"> </w:t>
            </w:r>
            <w:r w:rsidR="00B41967" w:rsidRPr="000827E1">
              <w:rPr>
                <w:kern w:val="22"/>
                <w:szCs w:val="22"/>
                <w:lang w:val="fr-FR"/>
              </w:rPr>
              <w:t>novembre</w:t>
            </w:r>
            <w:r w:rsidR="009F1E35" w:rsidRPr="000827E1">
              <w:rPr>
                <w:kern w:val="22"/>
                <w:szCs w:val="22"/>
                <w:lang w:val="fr-FR"/>
              </w:rPr>
              <w:t xml:space="preserve"> 2018</w:t>
            </w:r>
          </w:p>
          <w:p w14:paraId="7AFBE0C0" w14:textId="77777777" w:rsidR="009F1E35" w:rsidRPr="000827E1" w:rsidRDefault="009F1E35" w:rsidP="00527836">
            <w:pPr>
              <w:ind w:left="1215"/>
              <w:rPr>
                <w:kern w:val="22"/>
                <w:szCs w:val="22"/>
                <w:lang w:val="fr-FR"/>
              </w:rPr>
            </w:pPr>
          </w:p>
          <w:p w14:paraId="1FC992DC" w14:textId="77777777" w:rsidR="00B41967" w:rsidRPr="000827E1" w:rsidRDefault="00B41967" w:rsidP="00B41967">
            <w:pPr>
              <w:ind w:left="1215"/>
              <w:rPr>
                <w:kern w:val="22"/>
                <w:szCs w:val="22"/>
                <w:lang w:val="fr-FR"/>
              </w:rPr>
            </w:pPr>
            <w:r w:rsidRPr="000827E1">
              <w:rPr>
                <w:kern w:val="22"/>
                <w:szCs w:val="22"/>
                <w:lang w:val="fr-FR"/>
              </w:rPr>
              <w:t>FRANÇAIS</w:t>
            </w:r>
          </w:p>
          <w:p w14:paraId="4D636585" w14:textId="1C123B15" w:rsidR="009F1E35" w:rsidRPr="00074981" w:rsidRDefault="00B41967" w:rsidP="00B41967">
            <w:pPr>
              <w:rPr>
                <w:kern w:val="22"/>
              </w:rPr>
            </w:pPr>
            <w:r w:rsidRPr="000827E1">
              <w:rPr>
                <w:kern w:val="22"/>
                <w:szCs w:val="22"/>
                <w:lang w:val="fr-FR"/>
              </w:rPr>
              <w:t xml:space="preserve">                      ORIGINAL : ANGLAIS </w:t>
            </w:r>
          </w:p>
        </w:tc>
      </w:tr>
    </w:tbl>
    <w:p w14:paraId="63C23120" w14:textId="77777777" w:rsidR="00B41967" w:rsidRPr="002C6C4C" w:rsidRDefault="00B41967" w:rsidP="00B41967">
      <w:pPr>
        <w:pStyle w:val="NoSpacing"/>
        <w:suppressLineNumbers/>
        <w:suppressAutoHyphens/>
        <w:ind w:left="142" w:right="4682" w:hanging="142"/>
        <w:rPr>
          <w:rFonts w:ascii="Times New Roman" w:hAnsi="Times New Roman"/>
          <w:kern w:val="22"/>
          <w:lang w:val="fr-FR"/>
        </w:rPr>
      </w:pPr>
      <w:r w:rsidRPr="002C6C4C">
        <w:rPr>
          <w:rFonts w:ascii="Times New Roman" w:hAnsi="Times New Roman"/>
          <w:kern w:val="22"/>
          <w:lang w:val="fr-FR"/>
        </w:rPr>
        <w:t>CONFÉRENCE DES PARTIES À LA CONVENTION SUR LA DIVERSITÉ BIOLOGIQUE</w:t>
      </w:r>
    </w:p>
    <w:p w14:paraId="2BE386B2" w14:textId="77777777" w:rsidR="00B41967" w:rsidRPr="002C6C4C" w:rsidRDefault="00B41967" w:rsidP="00B41967">
      <w:pPr>
        <w:pStyle w:val="NoSpacing"/>
        <w:suppressLineNumbers/>
        <w:suppressAutoHyphens/>
        <w:rPr>
          <w:rFonts w:ascii="Times New Roman" w:hAnsi="Times New Roman"/>
          <w:kern w:val="22"/>
          <w:lang w:val="fr-FR"/>
        </w:rPr>
      </w:pPr>
      <w:r w:rsidRPr="002C6C4C">
        <w:rPr>
          <w:rFonts w:ascii="Times New Roman" w:hAnsi="Times New Roman"/>
          <w:kern w:val="22"/>
          <w:lang w:val="fr-FR"/>
        </w:rPr>
        <w:t>Quatorzième réunion</w:t>
      </w:r>
    </w:p>
    <w:p w14:paraId="52B32DFC" w14:textId="600C651F" w:rsidR="00B41967" w:rsidRPr="002C6C4C" w:rsidRDefault="000827E1" w:rsidP="00B41967">
      <w:pPr>
        <w:pStyle w:val="NoSpacing"/>
        <w:suppressLineNumbers/>
        <w:suppressAutoHyphens/>
        <w:rPr>
          <w:rFonts w:ascii="Times New Roman" w:hAnsi="Times New Roman"/>
          <w:kern w:val="22"/>
          <w:lang w:val="fr-FR"/>
        </w:rPr>
      </w:pPr>
      <w:r>
        <w:rPr>
          <w:rFonts w:ascii="Times New Roman" w:hAnsi="Times New Roman"/>
          <w:noProof/>
          <w:kern w:val="22"/>
          <w:lang w:val="fr-FR"/>
        </w:rPr>
        <w:t xml:space="preserve">Charm </w:t>
      </w:r>
      <w:r>
        <w:rPr>
          <w:rFonts w:ascii="Times New Roman" w:hAnsi="Times New Roman"/>
          <w:kern w:val="22"/>
          <w:lang w:val="fr-FR"/>
        </w:rPr>
        <w:t>el-C</w:t>
      </w:r>
      <w:r w:rsidR="00B41967" w:rsidRPr="002C6C4C">
        <w:rPr>
          <w:rFonts w:ascii="Times New Roman" w:hAnsi="Times New Roman"/>
          <w:kern w:val="22"/>
          <w:lang w:val="fr-FR"/>
        </w:rPr>
        <w:t>heikh, Égypte, 17-29 novembre 2018</w:t>
      </w:r>
    </w:p>
    <w:p w14:paraId="0B9BBCE1" w14:textId="3EF7F5C9" w:rsidR="00C9161D" w:rsidRPr="00B41967" w:rsidRDefault="00B41967" w:rsidP="00B41967">
      <w:pPr>
        <w:suppressLineNumbers/>
        <w:suppressAutoHyphens/>
        <w:rPr>
          <w:kern w:val="22"/>
          <w:szCs w:val="22"/>
          <w:lang w:val="fr-FR"/>
        </w:rPr>
      </w:pPr>
      <w:r w:rsidRPr="002C6C4C">
        <w:rPr>
          <w:kern w:val="22"/>
          <w:szCs w:val="22"/>
          <w:lang w:val="fr-FR"/>
        </w:rPr>
        <w:t>Point 9 de l’ordre du jour</w:t>
      </w:r>
    </w:p>
    <w:p w14:paraId="3598857C" w14:textId="7F65D41B" w:rsidR="000827E1" w:rsidRPr="000827E1" w:rsidRDefault="000827E1" w:rsidP="000827E1">
      <w:pPr>
        <w:suppressLineNumbers/>
        <w:suppressAutoHyphens/>
        <w:spacing w:before="240" w:after="120"/>
        <w:jc w:val="center"/>
        <w:rPr>
          <w:caps/>
          <w:kern w:val="22"/>
          <w:szCs w:val="22"/>
          <w:lang w:val="fr-FR"/>
        </w:rPr>
      </w:pPr>
      <w:r>
        <w:rPr>
          <w:b/>
          <w:caps/>
          <w:kern w:val="22"/>
          <w:szCs w:val="22"/>
          <w:lang w:val="fr-FR"/>
        </w:rPr>
        <w:t>DÉcision adoptÉe par la confÉrence des parties À la convention sur la diversitÉ biologique</w:t>
      </w:r>
      <w:bookmarkStart w:id="0" w:name="_GoBack"/>
      <w:bookmarkEnd w:id="0"/>
    </w:p>
    <w:p w14:paraId="27384AC1" w14:textId="6E9C0790" w:rsidR="000827E1" w:rsidRDefault="004E4DB4" w:rsidP="000827E1">
      <w:pPr>
        <w:suppressLineNumbers/>
        <w:suppressAutoHyphens/>
        <w:spacing w:before="120" w:after="240"/>
        <w:jc w:val="center"/>
        <w:rPr>
          <w:b/>
          <w:caps/>
          <w:kern w:val="22"/>
          <w:szCs w:val="22"/>
          <w:lang w:val="fr-FR"/>
        </w:rPr>
      </w:pPr>
      <w:sdt>
        <w:sdtPr>
          <w:rPr>
            <w:b/>
            <w:kern w:val="22"/>
            <w:szCs w:val="22"/>
            <w:lang w:val="fr-FR"/>
          </w:rPr>
          <w:alias w:val="Title"/>
          <w:tag w:val=""/>
          <w:id w:val="-798069578"/>
          <w:placeholder>
            <w:docPart w:val="1D9C73C89F414DA1AE1910F519EE72ED"/>
          </w:placeholder>
          <w:dataBinding w:prefixMappings="xmlns:ns0='http://purl.org/dc/elements/1.1/' xmlns:ns1='http://schemas.openxmlformats.org/package/2006/metadata/core-properties' " w:xpath="/ns1:coreProperties[1]/ns0:title[1]" w:storeItemID="{6C3C8BC8-F283-45AE-878A-BAB7291924A1}"/>
          <w:text/>
        </w:sdtPr>
        <w:sdtEndPr/>
        <w:sdtContent>
          <w:r w:rsidR="003B7008">
            <w:rPr>
              <w:b/>
              <w:kern w:val="22"/>
              <w:szCs w:val="22"/>
              <w:lang w:val="fr-FR"/>
            </w:rPr>
            <w:t>14/22.</w:t>
          </w:r>
          <w:r w:rsidR="003B7008">
            <w:rPr>
              <w:b/>
              <w:kern w:val="22"/>
              <w:szCs w:val="22"/>
              <w:lang w:val="fr-FR"/>
            </w:rPr>
            <w:tab/>
            <w:t>Mobilisation des ressources</w:t>
          </w:r>
        </w:sdtContent>
      </w:sdt>
    </w:p>
    <w:p w14:paraId="706307DA" w14:textId="77777777" w:rsidR="00B41967" w:rsidRPr="004B2C27" w:rsidRDefault="00B41967" w:rsidP="00B41967">
      <w:pPr>
        <w:keepNext/>
        <w:suppressLineNumbers/>
        <w:suppressAutoHyphens/>
        <w:kinsoku w:val="0"/>
        <w:overflowPunct w:val="0"/>
        <w:autoSpaceDE w:val="0"/>
        <w:autoSpaceDN w:val="0"/>
        <w:adjustRightInd w:val="0"/>
        <w:snapToGrid w:val="0"/>
        <w:spacing w:before="120" w:after="120"/>
        <w:ind w:firstLine="851"/>
        <w:rPr>
          <w:i/>
          <w:snapToGrid w:val="0"/>
          <w:kern w:val="22"/>
          <w:szCs w:val="22"/>
          <w:lang w:val="fr-FR"/>
        </w:rPr>
      </w:pPr>
      <w:r w:rsidRPr="004B2C27">
        <w:rPr>
          <w:i/>
          <w:snapToGrid w:val="0"/>
          <w:kern w:val="22"/>
          <w:szCs w:val="22"/>
          <w:lang w:val="fr-FR"/>
        </w:rPr>
        <w:t>La Conférence des Parties</w:t>
      </w:r>
    </w:p>
    <w:p w14:paraId="223117C1" w14:textId="77777777" w:rsidR="00B41967" w:rsidRPr="004B2C27" w:rsidRDefault="00B41967" w:rsidP="00B41967">
      <w:pPr>
        <w:keepNext/>
        <w:suppressLineNumbers/>
        <w:tabs>
          <w:tab w:val="left" w:pos="1080"/>
        </w:tabs>
        <w:suppressAutoHyphens/>
        <w:kinsoku w:val="0"/>
        <w:overflowPunct w:val="0"/>
        <w:autoSpaceDE w:val="0"/>
        <w:autoSpaceDN w:val="0"/>
        <w:adjustRightInd w:val="0"/>
        <w:snapToGrid w:val="0"/>
        <w:jc w:val="center"/>
        <w:rPr>
          <w:b/>
          <w:snapToGrid w:val="0"/>
          <w:kern w:val="22"/>
          <w:szCs w:val="22"/>
          <w:lang w:val="fr-FR"/>
        </w:rPr>
      </w:pPr>
      <w:r>
        <w:rPr>
          <w:b/>
          <w:snapToGrid w:val="0"/>
          <w:kern w:val="22"/>
          <w:szCs w:val="22"/>
          <w:lang w:val="fr-FR"/>
        </w:rPr>
        <w:t xml:space="preserve">A. </w:t>
      </w:r>
      <w:r w:rsidRPr="004B2C27">
        <w:rPr>
          <w:b/>
          <w:snapToGrid w:val="0"/>
          <w:kern w:val="22"/>
          <w:szCs w:val="22"/>
          <w:lang w:val="fr-FR"/>
        </w:rPr>
        <w:t>Rapports financiers</w:t>
      </w:r>
    </w:p>
    <w:p w14:paraId="50690DC5" w14:textId="77777777" w:rsidR="00B41967" w:rsidRPr="004B2C27" w:rsidRDefault="00B41967" w:rsidP="00757BDA">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sidRPr="004B2C27">
        <w:rPr>
          <w:snapToGrid w:val="0"/>
          <w:kern w:val="22"/>
          <w:szCs w:val="22"/>
          <w:lang w:val="fr-FR"/>
        </w:rPr>
        <w:t>1.</w:t>
      </w:r>
      <w:r w:rsidRPr="004B2C27">
        <w:rPr>
          <w:snapToGrid w:val="0"/>
          <w:kern w:val="22"/>
          <w:szCs w:val="22"/>
          <w:lang w:val="fr-FR"/>
        </w:rPr>
        <w:tab/>
      </w:r>
      <w:r w:rsidRPr="004B2C27">
        <w:rPr>
          <w:i/>
          <w:snapToGrid w:val="0"/>
          <w:kern w:val="22"/>
          <w:szCs w:val="22"/>
          <w:lang w:val="fr-FR"/>
        </w:rPr>
        <w:t>Prend note avec satisfaction</w:t>
      </w:r>
      <w:r w:rsidRPr="004B2C27">
        <w:rPr>
          <w:snapToGrid w:val="0"/>
          <w:kern w:val="22"/>
          <w:szCs w:val="22"/>
          <w:lang w:val="fr-FR"/>
        </w:rPr>
        <w:t xml:space="preserve"> des informations présentées par les Parties par le biais du cadre de présentation des rapports financiers ;</w:t>
      </w:r>
    </w:p>
    <w:p w14:paraId="6942236B" w14:textId="77777777" w:rsidR="00B41967" w:rsidRPr="004B2C27" w:rsidRDefault="00B41967" w:rsidP="00757BDA">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sidRPr="004B2C27">
        <w:rPr>
          <w:snapToGrid w:val="0"/>
          <w:kern w:val="22"/>
          <w:szCs w:val="22"/>
          <w:lang w:val="fr-FR"/>
        </w:rPr>
        <w:t>2.</w:t>
      </w:r>
      <w:r w:rsidRPr="004B2C27">
        <w:rPr>
          <w:snapToGrid w:val="0"/>
          <w:kern w:val="22"/>
          <w:szCs w:val="22"/>
          <w:lang w:val="fr-FR"/>
        </w:rPr>
        <w:tab/>
      </w:r>
      <w:r w:rsidRPr="004B2C27">
        <w:rPr>
          <w:i/>
          <w:snapToGrid w:val="0"/>
          <w:kern w:val="22"/>
          <w:szCs w:val="22"/>
          <w:lang w:val="fr-FR"/>
        </w:rPr>
        <w:t>Prend note</w:t>
      </w:r>
      <w:r w:rsidRPr="004B2C27">
        <w:rPr>
          <w:snapToGrid w:val="0"/>
          <w:kern w:val="22"/>
          <w:szCs w:val="22"/>
          <w:lang w:val="fr-FR"/>
        </w:rPr>
        <w:t xml:space="preserve"> de l’analyse des informations fournies par les Parties par le biais du cadre de présentation des rapports financiers, en particulier les progrès accomplis dans la réalisation des objectifs adoptés dans la décision XII/3, tels qu’ils figurent dans la note de la Secrétaire exécutive sur la mobilisation des ressources intitulée « Bilan et analyse actualisée des informations fournies par le biais du cadre de présentation des rapports financiers »</w:t>
      </w:r>
      <w:r>
        <w:rPr>
          <w:snapToGrid w:val="0"/>
          <w:kern w:val="22"/>
          <w:szCs w:val="22"/>
          <w:vertAlign w:val="superscript"/>
        </w:rPr>
        <w:footnoteReference w:id="1"/>
      </w:r>
      <w:r w:rsidRPr="004B2C27">
        <w:rPr>
          <w:snapToGrid w:val="0"/>
          <w:kern w:val="22"/>
          <w:szCs w:val="22"/>
          <w:lang w:val="fr-FR"/>
        </w:rPr>
        <w:t>;</w:t>
      </w:r>
    </w:p>
    <w:p w14:paraId="2955AC72" w14:textId="5B043250" w:rsidR="00B41967" w:rsidRPr="004B2C27" w:rsidRDefault="00B41967" w:rsidP="00757BDA">
      <w:pPr>
        <w:suppressLineNumbers/>
        <w:suppressAutoHyphens/>
        <w:kinsoku w:val="0"/>
        <w:overflowPunct w:val="0"/>
        <w:autoSpaceDE w:val="0"/>
        <w:autoSpaceDN w:val="0"/>
        <w:adjustRightInd w:val="0"/>
        <w:snapToGrid w:val="0"/>
        <w:spacing w:before="120" w:after="120" w:line="238" w:lineRule="auto"/>
        <w:ind w:firstLine="709"/>
        <w:rPr>
          <w:snapToGrid w:val="0"/>
          <w:kern w:val="22"/>
          <w:szCs w:val="22"/>
          <w:lang w:val="fr-FR"/>
        </w:rPr>
      </w:pPr>
      <w:r w:rsidRPr="004B2C27">
        <w:rPr>
          <w:snapToGrid w:val="0"/>
          <w:kern w:val="22"/>
          <w:szCs w:val="22"/>
          <w:lang w:val="fr-FR"/>
        </w:rPr>
        <w:t>3.</w:t>
      </w:r>
      <w:r w:rsidRPr="004B2C27">
        <w:rPr>
          <w:snapToGrid w:val="0"/>
          <w:kern w:val="22"/>
          <w:szCs w:val="22"/>
          <w:lang w:val="fr-FR"/>
        </w:rPr>
        <w:tab/>
      </w:r>
      <w:r w:rsidRPr="004B2C27">
        <w:rPr>
          <w:i/>
          <w:snapToGrid w:val="0"/>
          <w:kern w:val="22"/>
          <w:szCs w:val="22"/>
          <w:lang w:val="fr-FR"/>
        </w:rPr>
        <w:t>Exhorte</w:t>
      </w:r>
      <w:r w:rsidRPr="004B2C27">
        <w:rPr>
          <w:snapToGrid w:val="0"/>
          <w:kern w:val="22"/>
          <w:szCs w:val="22"/>
          <w:lang w:val="fr-FR"/>
        </w:rPr>
        <w:t xml:space="preserve"> les Parties à faire rapport, à l’aide du cadre de présentation des rapports financiers en ligne, sur leur future contribution aux efforts collectifs déployés pour atteindre les objectifs mondiaux de mobilisation des ressources, au regard du niveau de référence établi, en même temps que leurs sixièmes rapports nationaux, avant le 31 décembre 2018 ;</w:t>
      </w:r>
      <w:r>
        <w:rPr>
          <w:snapToGrid w:val="0"/>
          <w:kern w:val="22"/>
          <w:szCs w:val="22"/>
          <w:lang w:val="fr-FR"/>
        </w:rPr>
        <w:t xml:space="preserve"> </w:t>
      </w:r>
    </w:p>
    <w:p w14:paraId="56C54C75" w14:textId="77777777" w:rsidR="00B41967" w:rsidRPr="004B2C27" w:rsidRDefault="00B41967" w:rsidP="00B41967">
      <w:pPr>
        <w:keepNext/>
        <w:suppressLineNumbers/>
        <w:tabs>
          <w:tab w:val="left" w:pos="1080"/>
        </w:tabs>
        <w:suppressAutoHyphens/>
        <w:kinsoku w:val="0"/>
        <w:overflowPunct w:val="0"/>
        <w:autoSpaceDE w:val="0"/>
        <w:autoSpaceDN w:val="0"/>
        <w:adjustRightInd w:val="0"/>
        <w:snapToGrid w:val="0"/>
        <w:ind w:firstLine="851"/>
        <w:jc w:val="center"/>
        <w:rPr>
          <w:b/>
          <w:snapToGrid w:val="0"/>
          <w:kern w:val="22"/>
          <w:szCs w:val="22"/>
          <w:lang w:val="fr-FR"/>
        </w:rPr>
      </w:pPr>
      <w:r>
        <w:rPr>
          <w:b/>
          <w:snapToGrid w:val="0"/>
          <w:kern w:val="22"/>
          <w:szCs w:val="22"/>
          <w:lang w:val="fr-FR"/>
        </w:rPr>
        <w:t xml:space="preserve">B. </w:t>
      </w:r>
      <w:r w:rsidRPr="004B2C27">
        <w:rPr>
          <w:b/>
          <w:snapToGrid w:val="0"/>
          <w:kern w:val="22"/>
          <w:szCs w:val="22"/>
          <w:lang w:val="fr-FR"/>
        </w:rPr>
        <w:t>Renforcement des capacités et appui technique</w:t>
      </w:r>
    </w:p>
    <w:p w14:paraId="6A130370" w14:textId="77777777" w:rsidR="00B41967" w:rsidRPr="004B2C27" w:rsidRDefault="00B41967" w:rsidP="00757BDA">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sidRPr="004B2C27">
        <w:rPr>
          <w:snapToGrid w:val="0"/>
          <w:kern w:val="22"/>
          <w:szCs w:val="22"/>
          <w:lang w:val="fr-FR"/>
        </w:rPr>
        <w:t>4.</w:t>
      </w:r>
      <w:r w:rsidRPr="004B2C27">
        <w:rPr>
          <w:snapToGrid w:val="0"/>
          <w:kern w:val="22"/>
          <w:szCs w:val="22"/>
          <w:lang w:val="fr-FR"/>
        </w:rPr>
        <w:tab/>
      </w:r>
      <w:r w:rsidRPr="004B2C27">
        <w:rPr>
          <w:i/>
          <w:snapToGrid w:val="0"/>
          <w:kern w:val="22"/>
          <w:szCs w:val="22"/>
          <w:lang w:val="fr-FR"/>
        </w:rPr>
        <w:t>Se félicite</w:t>
      </w:r>
      <w:r w:rsidRPr="004B2C27">
        <w:rPr>
          <w:snapToGrid w:val="0"/>
          <w:kern w:val="22"/>
          <w:szCs w:val="22"/>
          <w:lang w:val="fr-FR"/>
        </w:rPr>
        <w:t xml:space="preserve"> des travaux des organisations et initiatives concernées, y compris l’Initiative pour le financement de la biodiversité du Programme des Nations Unies pour le développement, visant à fournir un appui technique et un renforcement des capacités aux pays en développement Parties intéressés, en particulier les pays les moins avancés et les petits États insulaires en développement, ainsi que les pays à économie en transition, notamment aux peuples autochtones et communautés locales ainsi qu’aux autres acteurs concernés dans ces pays, en ce qui concerne l’identification des besoins, lacunes et priorités en matière de financement, l’élaboration et la mise en œuvre de stratégies nationales de mobilisation de ressources, et l’établissement de rapports financiers, et </w:t>
      </w:r>
      <w:r w:rsidRPr="003B7008">
        <w:rPr>
          <w:i/>
          <w:snapToGrid w:val="0"/>
          <w:kern w:val="22"/>
          <w:szCs w:val="22"/>
          <w:lang w:val="fr-FR"/>
        </w:rPr>
        <w:t>invite</w:t>
      </w:r>
      <w:r w:rsidRPr="004B2C27">
        <w:rPr>
          <w:snapToGrid w:val="0"/>
          <w:kern w:val="22"/>
          <w:szCs w:val="22"/>
          <w:lang w:val="fr-FR"/>
        </w:rPr>
        <w:t xml:space="preserve"> l’Initiative pour le financement de la biodiversité et d’autres programmes ou initiatives semblables à continuer de fournir un appui financier et technique aux pays en développement Parties qui souhaitent participer à l’initiative et à soutenir le renforcement de leurs capacités</w:t>
      </w:r>
      <w:r w:rsidRPr="004B2C27">
        <w:rPr>
          <w:i/>
          <w:snapToGrid w:val="0"/>
          <w:kern w:val="22"/>
          <w:szCs w:val="22"/>
          <w:lang w:val="fr-FR"/>
        </w:rPr>
        <w:t> ;</w:t>
      </w:r>
    </w:p>
    <w:p w14:paraId="7677BED8" w14:textId="2C6A70A0" w:rsidR="00B41967" w:rsidRPr="004B2C27" w:rsidRDefault="00B41967" w:rsidP="00757BDA">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sidRPr="004B2C27">
        <w:rPr>
          <w:snapToGrid w:val="0"/>
          <w:kern w:val="22"/>
          <w:szCs w:val="22"/>
          <w:lang w:val="fr-FR"/>
        </w:rPr>
        <w:t>5.</w:t>
      </w:r>
      <w:r w:rsidRPr="004B2C27">
        <w:rPr>
          <w:snapToGrid w:val="0"/>
          <w:kern w:val="22"/>
          <w:szCs w:val="22"/>
          <w:lang w:val="fr-FR"/>
        </w:rPr>
        <w:tab/>
      </w:r>
      <w:r w:rsidRPr="00256D38">
        <w:rPr>
          <w:i/>
          <w:snapToGrid w:val="0"/>
          <w:kern w:val="22"/>
          <w:szCs w:val="22"/>
          <w:lang w:val="fr-FR"/>
        </w:rPr>
        <w:t xml:space="preserve">Invite </w:t>
      </w:r>
      <w:r w:rsidRPr="00256D38">
        <w:rPr>
          <w:snapToGrid w:val="0"/>
          <w:kern w:val="22"/>
          <w:szCs w:val="22"/>
          <w:lang w:val="fr-FR"/>
        </w:rPr>
        <w:t xml:space="preserve">les Parties, les autres gouvernements et </w:t>
      </w:r>
      <w:r w:rsidR="003B7008">
        <w:rPr>
          <w:snapToGrid w:val="0"/>
          <w:kern w:val="22"/>
          <w:szCs w:val="22"/>
          <w:lang w:val="fr-FR"/>
        </w:rPr>
        <w:t xml:space="preserve">les </w:t>
      </w:r>
      <w:r w:rsidRPr="00256D38">
        <w:rPr>
          <w:snapToGrid w:val="0"/>
          <w:kern w:val="22"/>
          <w:szCs w:val="22"/>
          <w:lang w:val="fr-FR"/>
        </w:rPr>
        <w:t>donateurs qui sont en mesure de le faire</w:t>
      </w:r>
      <w:r w:rsidRPr="004B2C27">
        <w:rPr>
          <w:snapToGrid w:val="0"/>
          <w:kern w:val="22"/>
          <w:szCs w:val="22"/>
          <w:lang w:val="fr-FR"/>
        </w:rPr>
        <w:t xml:space="preserve">, à fournir des ressources financières conformément à l'article 20 de la Convention et à réaliser les objectifs </w:t>
      </w:r>
      <w:r w:rsidRPr="004B2C27">
        <w:rPr>
          <w:snapToGrid w:val="0"/>
          <w:kern w:val="22"/>
          <w:szCs w:val="22"/>
          <w:lang w:val="fr-FR"/>
        </w:rPr>
        <w:lastRenderedPageBreak/>
        <w:t>de mobilisation des ressources adoptés dans la décision XII/3, pour</w:t>
      </w:r>
      <w:r w:rsidRPr="004B2C27">
        <w:rPr>
          <w:rStyle w:val="CommentReference"/>
          <w:sz w:val="22"/>
          <w:szCs w:val="22"/>
          <w:lang w:val="fr-FR"/>
        </w:rPr>
        <w:t xml:space="preserve"> </w:t>
      </w:r>
      <w:r w:rsidRPr="004B2C27">
        <w:rPr>
          <w:snapToGrid w:val="0"/>
          <w:kern w:val="22"/>
          <w:szCs w:val="22"/>
          <w:lang w:val="fr-FR"/>
        </w:rPr>
        <w:t>le renforcement des capacités et l'appui technique, ainsi qu'à faciliter le transfert de technologies, et à soutenir le suivi des ressources financières pour la Convention</w:t>
      </w:r>
      <w:r>
        <w:rPr>
          <w:snapToGrid w:val="0"/>
          <w:kern w:val="22"/>
          <w:szCs w:val="22"/>
          <w:lang w:val="fr-FR"/>
        </w:rPr>
        <w:t xml:space="preserve">, </w:t>
      </w:r>
      <w:r w:rsidRPr="00BE6E98">
        <w:rPr>
          <w:snapToGrid w:val="0"/>
          <w:kern w:val="22"/>
          <w:szCs w:val="22"/>
          <w:lang w:val="fr-FR"/>
        </w:rPr>
        <w:t xml:space="preserve">notamment en ce qui concerne les </w:t>
      </w:r>
      <w:r w:rsidR="003B7008">
        <w:rPr>
          <w:snapToGrid w:val="0"/>
          <w:kern w:val="22"/>
          <w:szCs w:val="22"/>
          <w:lang w:val="fr-FR"/>
        </w:rPr>
        <w:t xml:space="preserve">objectifs d'Aichi pour la </w:t>
      </w:r>
      <w:r w:rsidRPr="00BE6E98">
        <w:rPr>
          <w:snapToGrid w:val="0"/>
          <w:kern w:val="22"/>
          <w:szCs w:val="22"/>
          <w:lang w:val="fr-FR"/>
        </w:rPr>
        <w:t>biodiversité pouvant être atteints au cours des deux prochaines années, au titre du cadre de prése</w:t>
      </w:r>
      <w:r w:rsidR="003B7008">
        <w:rPr>
          <w:snapToGrid w:val="0"/>
          <w:kern w:val="22"/>
          <w:szCs w:val="22"/>
          <w:lang w:val="fr-FR"/>
        </w:rPr>
        <w:t>ntation des rapports financiers</w:t>
      </w:r>
      <w:r w:rsidRPr="004B2C27">
        <w:rPr>
          <w:snapToGrid w:val="0"/>
          <w:kern w:val="22"/>
          <w:szCs w:val="22"/>
          <w:lang w:val="fr-FR"/>
        </w:rPr>
        <w:t> ;</w:t>
      </w:r>
    </w:p>
    <w:p w14:paraId="620E412E" w14:textId="76783D08" w:rsidR="00B41967" w:rsidRDefault="00580AF2" w:rsidP="00757BDA">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6</w:t>
      </w:r>
      <w:r w:rsidR="00B41967" w:rsidRPr="004B2C27">
        <w:rPr>
          <w:snapToGrid w:val="0"/>
          <w:kern w:val="22"/>
          <w:szCs w:val="22"/>
          <w:lang w:val="fr-FR"/>
        </w:rPr>
        <w:t>.</w:t>
      </w:r>
      <w:r w:rsidR="00B41967" w:rsidRPr="004B2C27">
        <w:rPr>
          <w:snapToGrid w:val="0"/>
          <w:kern w:val="22"/>
          <w:szCs w:val="22"/>
          <w:lang w:val="fr-FR"/>
        </w:rPr>
        <w:tab/>
      </w:r>
      <w:r w:rsidR="00B41967" w:rsidRPr="004B2C27">
        <w:rPr>
          <w:i/>
          <w:snapToGrid w:val="0"/>
          <w:kern w:val="22"/>
          <w:szCs w:val="22"/>
          <w:lang w:val="fr-FR"/>
        </w:rPr>
        <w:t>Prend note</w:t>
      </w:r>
      <w:r w:rsidR="00B41967" w:rsidRPr="004B2C27">
        <w:rPr>
          <w:snapToGrid w:val="0"/>
          <w:kern w:val="22"/>
          <w:szCs w:val="22"/>
          <w:lang w:val="fr-FR"/>
        </w:rPr>
        <w:t xml:space="preserve"> des travaux entrepris par le Comité d’aide au développement de l’Organisation de coopération et de développement économiques visant à affiner la méthodologie des marqueurs de Rio, et des travaux du Comité des politiques d’environnement de cette organisation visant à assurer un suivi des instruments économiques et du financement qu’ils mobilisent, et invite l’organisation à poursuivre et à intensifier davantage ces travaux ;</w:t>
      </w:r>
    </w:p>
    <w:p w14:paraId="57E77194" w14:textId="77777777" w:rsidR="00B41967" w:rsidRDefault="00B41967" w:rsidP="00B41967">
      <w:pPr>
        <w:suppressLineNumbers/>
        <w:suppressAutoHyphens/>
        <w:kinsoku w:val="0"/>
        <w:overflowPunct w:val="0"/>
        <w:autoSpaceDE w:val="0"/>
        <w:autoSpaceDN w:val="0"/>
        <w:adjustRightInd w:val="0"/>
        <w:snapToGrid w:val="0"/>
        <w:spacing w:before="120" w:after="120"/>
        <w:ind w:firstLine="851"/>
        <w:jc w:val="center"/>
        <w:rPr>
          <w:b/>
          <w:snapToGrid w:val="0"/>
          <w:kern w:val="22"/>
          <w:szCs w:val="22"/>
          <w:lang w:val="fr-FR"/>
        </w:rPr>
      </w:pPr>
      <w:r w:rsidRPr="00BE6E98">
        <w:rPr>
          <w:b/>
          <w:snapToGrid w:val="0"/>
          <w:kern w:val="22"/>
          <w:szCs w:val="22"/>
          <w:lang w:val="fr-FR"/>
        </w:rPr>
        <w:t>C. Synergies entre les conventions</w:t>
      </w:r>
    </w:p>
    <w:p w14:paraId="64FD1BDF" w14:textId="3F9DD934" w:rsidR="00B41967" w:rsidRPr="00BE6E98" w:rsidRDefault="00580AF2" w:rsidP="00757BDA">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7</w:t>
      </w:r>
      <w:r w:rsidR="00B41967" w:rsidRPr="00BE6E98">
        <w:rPr>
          <w:snapToGrid w:val="0"/>
          <w:kern w:val="22"/>
          <w:szCs w:val="22"/>
          <w:lang w:val="fr-FR"/>
        </w:rPr>
        <w:t>.</w:t>
      </w:r>
      <w:r w:rsidR="00757BDA">
        <w:rPr>
          <w:snapToGrid w:val="0"/>
          <w:kern w:val="22"/>
          <w:szCs w:val="22"/>
          <w:lang w:val="fr-FR"/>
        </w:rPr>
        <w:tab/>
      </w:r>
      <w:r w:rsidR="00B41967" w:rsidRPr="002F4FF0">
        <w:rPr>
          <w:i/>
          <w:snapToGrid w:val="0"/>
          <w:kern w:val="22"/>
          <w:szCs w:val="22"/>
          <w:lang w:val="fr-FR"/>
        </w:rPr>
        <w:t>Souligne</w:t>
      </w:r>
      <w:r w:rsidR="00B41967" w:rsidRPr="002F4FF0">
        <w:rPr>
          <w:snapToGrid w:val="0"/>
          <w:kern w:val="22"/>
          <w:szCs w:val="22"/>
          <w:lang w:val="fr-FR"/>
        </w:rPr>
        <w:t xml:space="preserve"> </w:t>
      </w:r>
      <w:r>
        <w:rPr>
          <w:snapToGrid w:val="0"/>
          <w:kern w:val="22"/>
          <w:szCs w:val="22"/>
          <w:lang w:val="fr-FR"/>
        </w:rPr>
        <w:t xml:space="preserve">que toute </w:t>
      </w:r>
      <w:r w:rsidR="00B41967" w:rsidRPr="002F4FF0">
        <w:rPr>
          <w:snapToGrid w:val="0"/>
          <w:kern w:val="22"/>
          <w:szCs w:val="22"/>
          <w:lang w:val="fr-FR"/>
        </w:rPr>
        <w:t>stratég</w:t>
      </w:r>
      <w:r>
        <w:rPr>
          <w:snapToGrid w:val="0"/>
          <w:kern w:val="22"/>
          <w:szCs w:val="22"/>
          <w:lang w:val="fr-FR"/>
        </w:rPr>
        <w:t>ie</w:t>
      </w:r>
      <w:r w:rsidR="00B41967" w:rsidRPr="002F4FF0">
        <w:rPr>
          <w:snapToGrid w:val="0"/>
          <w:kern w:val="22"/>
          <w:szCs w:val="22"/>
          <w:lang w:val="fr-FR"/>
        </w:rPr>
        <w:t xml:space="preserve"> de mobilisation des ressources</w:t>
      </w:r>
      <w:r w:rsidR="00B41967">
        <w:rPr>
          <w:snapToGrid w:val="0"/>
          <w:kern w:val="22"/>
          <w:szCs w:val="22"/>
          <w:lang w:val="fr-FR"/>
        </w:rPr>
        <w:t xml:space="preserve"> </w:t>
      </w:r>
      <w:r w:rsidR="00A26FE7">
        <w:rPr>
          <w:snapToGrid w:val="0"/>
          <w:kern w:val="22"/>
          <w:szCs w:val="22"/>
          <w:lang w:val="fr-FR"/>
        </w:rPr>
        <w:t>devra</w:t>
      </w:r>
      <w:r>
        <w:rPr>
          <w:snapToGrid w:val="0"/>
          <w:kern w:val="22"/>
          <w:szCs w:val="22"/>
          <w:lang w:val="fr-FR"/>
        </w:rPr>
        <w:t xml:space="preserve"> permettre de </w:t>
      </w:r>
      <w:r w:rsidR="00B41967" w:rsidRPr="002F4FF0">
        <w:rPr>
          <w:snapToGrid w:val="0"/>
          <w:kern w:val="22"/>
          <w:szCs w:val="22"/>
          <w:lang w:val="fr-FR"/>
        </w:rPr>
        <w:t>promouvoir et exploiter les synergies entre les conventions, y compris les synergies dans le cadre des systèmes de suivi des ressources financières de différentes sources et de l'application des conventions</w:t>
      </w:r>
      <w:r>
        <w:rPr>
          <w:snapToGrid w:val="0"/>
          <w:kern w:val="22"/>
          <w:szCs w:val="22"/>
          <w:lang w:val="fr-FR"/>
        </w:rPr>
        <w:t xml:space="preserve"> </w:t>
      </w:r>
      <w:r w:rsidR="00B41967" w:rsidRPr="002F4FF0">
        <w:rPr>
          <w:snapToGrid w:val="0"/>
          <w:kern w:val="22"/>
          <w:szCs w:val="22"/>
          <w:lang w:val="fr-FR"/>
        </w:rPr>
        <w:t>;</w:t>
      </w:r>
    </w:p>
    <w:p w14:paraId="5D23236F" w14:textId="77777777" w:rsidR="00B41967" w:rsidRPr="004B2C27" w:rsidRDefault="00B41967" w:rsidP="00E05647">
      <w:pPr>
        <w:keepNext/>
        <w:suppressLineNumbers/>
        <w:suppressAutoHyphens/>
        <w:kinsoku w:val="0"/>
        <w:overflowPunct w:val="0"/>
        <w:autoSpaceDE w:val="0"/>
        <w:autoSpaceDN w:val="0"/>
        <w:adjustRightInd w:val="0"/>
        <w:snapToGrid w:val="0"/>
        <w:spacing w:before="120" w:after="120"/>
        <w:jc w:val="center"/>
        <w:rPr>
          <w:b/>
          <w:snapToGrid w:val="0"/>
          <w:kern w:val="22"/>
          <w:szCs w:val="22"/>
          <w:lang w:val="fr-FR"/>
        </w:rPr>
      </w:pPr>
      <w:r>
        <w:rPr>
          <w:b/>
          <w:snapToGrid w:val="0"/>
          <w:kern w:val="22"/>
          <w:szCs w:val="22"/>
          <w:lang w:val="fr-FR"/>
        </w:rPr>
        <w:t xml:space="preserve">D. </w:t>
      </w:r>
      <w:r w:rsidRPr="004B2C27">
        <w:rPr>
          <w:b/>
          <w:snapToGrid w:val="0"/>
          <w:kern w:val="22"/>
          <w:szCs w:val="22"/>
          <w:lang w:val="fr-FR"/>
        </w:rPr>
        <w:t>Étapes pour la pleine mise en œuvre de l’Objectif 3 d’Aichi pour la biodiversité</w:t>
      </w:r>
    </w:p>
    <w:p w14:paraId="281348F8" w14:textId="6C6AD55A" w:rsidR="00B41967" w:rsidRPr="004B2C27" w:rsidRDefault="00A26FE7" w:rsidP="00757BDA">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8</w:t>
      </w:r>
      <w:r w:rsidR="00B41967" w:rsidRPr="004B2C27">
        <w:rPr>
          <w:snapToGrid w:val="0"/>
          <w:kern w:val="22"/>
          <w:szCs w:val="22"/>
          <w:lang w:val="fr-FR"/>
        </w:rPr>
        <w:t>.</w:t>
      </w:r>
      <w:r w:rsidR="00B41967" w:rsidRPr="004B2C27">
        <w:rPr>
          <w:snapToGrid w:val="0"/>
          <w:kern w:val="22"/>
          <w:szCs w:val="22"/>
          <w:lang w:val="fr-FR"/>
        </w:rPr>
        <w:tab/>
      </w:r>
      <w:r w:rsidR="00B41967" w:rsidRPr="004B2C27">
        <w:rPr>
          <w:i/>
          <w:snapToGrid w:val="0"/>
          <w:kern w:val="22"/>
          <w:szCs w:val="22"/>
          <w:lang w:val="fr-FR"/>
        </w:rPr>
        <w:t>Reconnaît</w:t>
      </w:r>
      <w:r w:rsidR="00B41967" w:rsidRPr="004B2C27">
        <w:rPr>
          <w:snapToGrid w:val="0"/>
          <w:kern w:val="22"/>
          <w:szCs w:val="22"/>
          <w:lang w:val="fr-FR"/>
        </w:rPr>
        <w:t xml:space="preserve"> la contribution potentielle de la réalisation de l’Objectif 3 d’Aichi pour la biodiversité à la mobilisation de ressources financières de toutes provenances</w:t>
      </w:r>
      <w:r w:rsidR="00B41967" w:rsidRPr="00580AF2">
        <w:rPr>
          <w:snapToGrid w:val="0"/>
          <w:kern w:val="22"/>
          <w:szCs w:val="22"/>
          <w:lang w:val="fr-FR"/>
        </w:rPr>
        <w:t> ;</w:t>
      </w:r>
    </w:p>
    <w:p w14:paraId="06E31E4D" w14:textId="5E0CF3DE" w:rsidR="00B41967" w:rsidRPr="004B2C27" w:rsidRDefault="00A26FE7" w:rsidP="00757BDA">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9</w:t>
      </w:r>
      <w:r w:rsidR="00B41967" w:rsidRPr="004B2C27">
        <w:rPr>
          <w:snapToGrid w:val="0"/>
          <w:kern w:val="22"/>
          <w:szCs w:val="22"/>
          <w:lang w:val="fr-FR"/>
        </w:rPr>
        <w:t>.</w:t>
      </w:r>
      <w:r w:rsidR="00B41967" w:rsidRPr="004B2C27">
        <w:rPr>
          <w:snapToGrid w:val="0"/>
          <w:kern w:val="22"/>
          <w:szCs w:val="22"/>
          <w:lang w:val="fr-FR"/>
        </w:rPr>
        <w:tab/>
      </w:r>
      <w:r w:rsidR="00B41967" w:rsidRPr="004B2C27">
        <w:rPr>
          <w:i/>
          <w:snapToGrid w:val="0"/>
          <w:kern w:val="22"/>
          <w:szCs w:val="22"/>
          <w:lang w:val="fr-FR"/>
        </w:rPr>
        <w:t>Prend note</w:t>
      </w:r>
      <w:r w:rsidR="00B41967" w:rsidRPr="004B2C27">
        <w:rPr>
          <w:snapToGrid w:val="0"/>
          <w:kern w:val="22"/>
          <w:szCs w:val="22"/>
          <w:lang w:val="fr-FR"/>
        </w:rPr>
        <w:t xml:space="preserve"> </w:t>
      </w:r>
      <w:r w:rsidR="00B41967" w:rsidRPr="004B2C27">
        <w:rPr>
          <w:i/>
          <w:snapToGrid w:val="0"/>
          <w:kern w:val="22"/>
          <w:szCs w:val="22"/>
          <w:lang w:val="fr-FR"/>
        </w:rPr>
        <w:t>avec préoccupation</w:t>
      </w:r>
      <w:r w:rsidR="00B41967" w:rsidRPr="004B2C27">
        <w:rPr>
          <w:snapToGrid w:val="0"/>
          <w:kern w:val="22"/>
          <w:szCs w:val="22"/>
          <w:lang w:val="fr-FR"/>
        </w:rPr>
        <w:t xml:space="preserve"> des progrès limités accomplis dans la réalisation de l’Objectif 3 d’Aichi pour la biodiversité et des étapes à franchir pour sa mise en œuvre, en particulier en ce qui concerne l’élimination, l’élimination à terme ou la réforme d’incitations, y compris les subventions, néfastes pour la diversité biologique, en accord et en harmonie avec la Convention et d’autres obligations internationales pertinentes, et compte tenu des conditions socioéconomiques nationales ;</w:t>
      </w:r>
    </w:p>
    <w:p w14:paraId="520E1908" w14:textId="58094501" w:rsidR="00B41967" w:rsidRPr="004B2C27" w:rsidRDefault="00A26FE7" w:rsidP="00757BDA">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10</w:t>
      </w:r>
      <w:r w:rsidR="00B41967" w:rsidRPr="004B2C27">
        <w:rPr>
          <w:snapToGrid w:val="0"/>
          <w:kern w:val="22"/>
          <w:szCs w:val="22"/>
          <w:lang w:val="fr-FR"/>
        </w:rPr>
        <w:t>.</w:t>
      </w:r>
      <w:r w:rsidR="00B41967" w:rsidRPr="004B2C27">
        <w:rPr>
          <w:snapToGrid w:val="0"/>
          <w:kern w:val="22"/>
          <w:szCs w:val="22"/>
          <w:lang w:val="fr-FR"/>
        </w:rPr>
        <w:tab/>
      </w:r>
      <w:r w:rsidR="00B41967" w:rsidRPr="004B2C27">
        <w:rPr>
          <w:i/>
          <w:snapToGrid w:val="0"/>
          <w:kern w:val="22"/>
          <w:szCs w:val="22"/>
          <w:lang w:val="fr-FR"/>
        </w:rPr>
        <w:t>Encourage</w:t>
      </w:r>
      <w:r w:rsidR="00B41967" w:rsidRPr="004B2C27">
        <w:rPr>
          <w:snapToGrid w:val="0"/>
          <w:kern w:val="22"/>
          <w:szCs w:val="22"/>
          <w:lang w:val="fr-FR"/>
        </w:rPr>
        <w:t xml:space="preserve"> les Parties et les autres gouvernements à intensifier leurs efforts pour appliquer des mesures propres à assurer la réalisation complète de l’Objectif 3 d’Aichi pour la biodiversité, en prenant en considération, comme cadre de travail souple, les étapes adoptées par la Conférence des Parties à sa douzième réunion</w:t>
      </w:r>
      <w:r w:rsidR="00B41967">
        <w:rPr>
          <w:snapToGrid w:val="0"/>
          <w:kern w:val="22"/>
          <w:szCs w:val="22"/>
          <w:vertAlign w:val="superscript"/>
        </w:rPr>
        <w:footnoteReference w:id="2"/>
      </w:r>
      <w:r w:rsidR="00B41967" w:rsidRPr="004B2C27">
        <w:rPr>
          <w:snapToGrid w:val="0"/>
          <w:kern w:val="22"/>
          <w:szCs w:val="22"/>
          <w:lang w:val="fr-FR"/>
        </w:rPr>
        <w:t>, en accord avec les dispositions de la Convention et d’autres obligations internationales pertinentes et compte tenu des conditions socioéconomiques nationales ;</w:t>
      </w:r>
    </w:p>
    <w:p w14:paraId="01E3366E" w14:textId="5D1415BB" w:rsidR="00B41967" w:rsidRPr="004B2C27" w:rsidRDefault="00A26FE7" w:rsidP="00757BDA">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11</w:t>
      </w:r>
      <w:r w:rsidR="00B41967" w:rsidRPr="004B2C27">
        <w:rPr>
          <w:snapToGrid w:val="0"/>
          <w:kern w:val="22"/>
          <w:szCs w:val="22"/>
          <w:lang w:val="fr-FR"/>
        </w:rPr>
        <w:t>.</w:t>
      </w:r>
      <w:r w:rsidR="00B41967" w:rsidRPr="004B2C27">
        <w:rPr>
          <w:snapToGrid w:val="0"/>
          <w:kern w:val="22"/>
          <w:szCs w:val="22"/>
          <w:lang w:val="fr-FR"/>
        </w:rPr>
        <w:tab/>
      </w:r>
      <w:r w:rsidR="00B41967" w:rsidRPr="004B2C27">
        <w:rPr>
          <w:i/>
          <w:snapToGrid w:val="0"/>
          <w:kern w:val="22"/>
          <w:szCs w:val="22"/>
          <w:lang w:val="fr-FR"/>
        </w:rPr>
        <w:t>Se félicite</w:t>
      </w:r>
      <w:r w:rsidR="00B41967" w:rsidRPr="004B2C27">
        <w:rPr>
          <w:snapToGrid w:val="0"/>
          <w:kern w:val="22"/>
          <w:szCs w:val="22"/>
          <w:lang w:val="fr-FR"/>
        </w:rPr>
        <w:t xml:space="preserve"> des travaux des organisations et initiatives concernées, notamment l’Initiative pour le financement de la biodiversité du Programme des Nations Unies pour le développement, le Programme des Nations Unies pour l’environnement, l’Organisation de coopération et de développement économiques, l’Institut international du développement durable, et d’autres partenaires, travaux visant à fournir un soutien analytique et technique et un renforcement des capacités pour la mise en œuvre de l’Objectif 3 d’Aichi pour la biodiversité, et les invite à poursuivre et à intensifier davantage ces travaux ;</w:t>
      </w:r>
    </w:p>
    <w:p w14:paraId="04ABCA5E" w14:textId="6CD08657" w:rsidR="00B41967" w:rsidRPr="009662AD" w:rsidRDefault="00A26FE7" w:rsidP="00757BDA">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12</w:t>
      </w:r>
      <w:r w:rsidR="00B41967" w:rsidRPr="004B2C27">
        <w:rPr>
          <w:snapToGrid w:val="0"/>
          <w:kern w:val="22"/>
          <w:szCs w:val="22"/>
          <w:lang w:val="fr-FR"/>
        </w:rPr>
        <w:t>.</w:t>
      </w:r>
      <w:r w:rsidR="00B41967" w:rsidRPr="004B2C27">
        <w:rPr>
          <w:snapToGrid w:val="0"/>
          <w:kern w:val="22"/>
          <w:szCs w:val="22"/>
          <w:lang w:val="fr-FR"/>
        </w:rPr>
        <w:tab/>
      </w:r>
      <w:r w:rsidR="00B41967" w:rsidRPr="004B2C27">
        <w:rPr>
          <w:i/>
          <w:snapToGrid w:val="0"/>
          <w:kern w:val="22"/>
          <w:szCs w:val="22"/>
          <w:lang w:val="fr-FR"/>
        </w:rPr>
        <w:t>Prend note</w:t>
      </w:r>
      <w:r w:rsidR="00B41967" w:rsidRPr="004B2C27">
        <w:rPr>
          <w:snapToGrid w:val="0"/>
          <w:kern w:val="22"/>
          <w:szCs w:val="22"/>
          <w:lang w:val="fr-FR"/>
        </w:rPr>
        <w:t xml:space="preserve"> du rôle </w:t>
      </w:r>
      <w:r w:rsidR="00D4699A">
        <w:rPr>
          <w:snapToGrid w:val="0"/>
          <w:kern w:val="22"/>
          <w:szCs w:val="22"/>
          <w:lang w:val="fr-FR"/>
        </w:rPr>
        <w:t>utile des études nationales visant à</w:t>
      </w:r>
      <w:r w:rsidR="00B41967" w:rsidRPr="004B2C27">
        <w:rPr>
          <w:snapToGrid w:val="0"/>
          <w:kern w:val="22"/>
          <w:szCs w:val="22"/>
          <w:lang w:val="fr-FR"/>
        </w:rPr>
        <w:t xml:space="preserve"> identifier les incitations</w:t>
      </w:r>
      <w:r w:rsidR="00D4699A">
        <w:rPr>
          <w:snapToGrid w:val="0"/>
          <w:kern w:val="22"/>
          <w:szCs w:val="22"/>
          <w:lang w:val="fr-FR"/>
        </w:rPr>
        <w:t xml:space="preserve"> néfastes et les possibilités de les </w:t>
      </w:r>
      <w:r w:rsidR="00B41967" w:rsidRPr="004B2C27">
        <w:rPr>
          <w:snapToGrid w:val="0"/>
          <w:kern w:val="22"/>
          <w:szCs w:val="22"/>
          <w:lang w:val="fr-FR"/>
        </w:rPr>
        <w:t>él</w:t>
      </w:r>
      <w:r w:rsidR="00D4699A">
        <w:rPr>
          <w:snapToGrid w:val="0"/>
          <w:kern w:val="22"/>
          <w:szCs w:val="22"/>
          <w:lang w:val="fr-FR"/>
        </w:rPr>
        <w:t>iminer ou de les réformer</w:t>
      </w:r>
      <w:r w:rsidR="00B41967" w:rsidRPr="004B2C27">
        <w:rPr>
          <w:snapToGrid w:val="0"/>
          <w:kern w:val="22"/>
          <w:szCs w:val="22"/>
          <w:lang w:val="fr-FR"/>
        </w:rPr>
        <w:t xml:space="preserve">, y </w:t>
      </w:r>
      <w:r w:rsidR="00D4699A">
        <w:rPr>
          <w:snapToGrid w:val="0"/>
          <w:kern w:val="22"/>
          <w:szCs w:val="22"/>
          <w:lang w:val="fr-FR"/>
        </w:rPr>
        <w:t>compris les subventions, et à</w:t>
      </w:r>
      <w:r w:rsidR="00B41967" w:rsidRPr="004B2C27">
        <w:rPr>
          <w:snapToGrid w:val="0"/>
          <w:kern w:val="22"/>
          <w:szCs w:val="22"/>
          <w:lang w:val="fr-FR"/>
        </w:rPr>
        <w:t xml:space="preserve"> identifier les mesures politiques les plus efficaces et définir leur portée, </w:t>
      </w:r>
      <w:r w:rsidR="00B41967" w:rsidRPr="004B2C27">
        <w:rPr>
          <w:i/>
          <w:snapToGrid w:val="0"/>
          <w:kern w:val="22"/>
          <w:szCs w:val="22"/>
          <w:lang w:val="fr-FR"/>
        </w:rPr>
        <w:t>invite</w:t>
      </w:r>
      <w:r w:rsidR="00B41967" w:rsidRPr="004B2C27">
        <w:rPr>
          <w:snapToGrid w:val="0"/>
          <w:kern w:val="22"/>
          <w:szCs w:val="22"/>
          <w:lang w:val="fr-FR"/>
        </w:rPr>
        <w:t xml:space="preserve"> les organisations intéressées, telles que les organisations et initiatives mentionnées au paragraphe précédent, à envisager de compiler et d’analyser systématiquement les études existantes en vue de relever les méthodes de bonnes pratiques pour identifier les incitations néfastes et élaborer les réponses politiques appropriées, et élaborer une norme ou un modèle pour de telles normes à titre d’orientations </w:t>
      </w:r>
      <w:r w:rsidR="00B41967" w:rsidRPr="009662AD">
        <w:rPr>
          <w:snapToGrid w:val="0"/>
          <w:kern w:val="22"/>
          <w:szCs w:val="22"/>
          <w:lang w:val="fr-FR"/>
        </w:rPr>
        <w:t>facultatives ;</w:t>
      </w:r>
    </w:p>
    <w:p w14:paraId="4D7F38AA" w14:textId="3AEB50F4" w:rsidR="00B41967" w:rsidRPr="004B2C27" w:rsidRDefault="00A26FE7" w:rsidP="00757BDA">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13</w:t>
      </w:r>
      <w:r w:rsidR="00B41967" w:rsidRPr="004B2C27">
        <w:rPr>
          <w:snapToGrid w:val="0"/>
          <w:kern w:val="22"/>
          <w:szCs w:val="22"/>
          <w:lang w:val="fr-FR"/>
        </w:rPr>
        <w:t>.</w:t>
      </w:r>
      <w:r w:rsidR="00B41967" w:rsidRPr="004B2C27">
        <w:rPr>
          <w:snapToGrid w:val="0"/>
          <w:kern w:val="22"/>
          <w:szCs w:val="22"/>
          <w:lang w:val="fr-FR"/>
        </w:rPr>
        <w:tab/>
      </w:r>
      <w:r w:rsidR="00B41967" w:rsidRPr="004B2C27">
        <w:rPr>
          <w:i/>
          <w:snapToGrid w:val="0"/>
          <w:kern w:val="22"/>
          <w:szCs w:val="22"/>
          <w:lang w:val="fr-FR"/>
        </w:rPr>
        <w:t>Prie</w:t>
      </w:r>
      <w:r w:rsidR="00B41967">
        <w:rPr>
          <w:snapToGrid w:val="0"/>
          <w:kern w:val="22"/>
          <w:szCs w:val="22"/>
          <w:lang w:val="fr-FR"/>
        </w:rPr>
        <w:t xml:space="preserve"> la Secrétaire exécutive </w:t>
      </w:r>
      <w:r w:rsidR="00B41967" w:rsidRPr="004B2C27">
        <w:rPr>
          <w:snapToGrid w:val="0"/>
          <w:kern w:val="22"/>
          <w:szCs w:val="22"/>
          <w:lang w:val="fr-FR"/>
        </w:rPr>
        <w:t xml:space="preserve">de </w:t>
      </w:r>
      <w:r w:rsidR="009662AD">
        <w:rPr>
          <w:snapToGrid w:val="0"/>
          <w:kern w:val="22"/>
          <w:szCs w:val="22"/>
          <w:lang w:val="fr-FR"/>
        </w:rPr>
        <w:t>poursuivre et de renforcer davantage</w:t>
      </w:r>
      <w:r w:rsidR="00B41967">
        <w:rPr>
          <w:snapToGrid w:val="0"/>
          <w:kern w:val="22"/>
          <w:szCs w:val="22"/>
          <w:lang w:val="fr-FR"/>
        </w:rPr>
        <w:t xml:space="preserve"> la coopération avec </w:t>
      </w:r>
      <w:r w:rsidR="00B41967" w:rsidRPr="004B2C27">
        <w:rPr>
          <w:snapToGrid w:val="0"/>
          <w:kern w:val="22"/>
          <w:szCs w:val="22"/>
          <w:lang w:val="fr-FR"/>
        </w:rPr>
        <w:t xml:space="preserve">les partenaires qui contribuent aux travaux </w:t>
      </w:r>
      <w:r w:rsidR="009662AD">
        <w:rPr>
          <w:snapToGrid w:val="0"/>
          <w:kern w:val="22"/>
          <w:szCs w:val="22"/>
          <w:lang w:val="fr-FR"/>
        </w:rPr>
        <w:t>mentionnés aux paragraphes 4, 11 et 12</w:t>
      </w:r>
      <w:r w:rsidR="00B41967" w:rsidRPr="004B2C27">
        <w:rPr>
          <w:snapToGrid w:val="0"/>
          <w:kern w:val="22"/>
          <w:szCs w:val="22"/>
          <w:lang w:val="fr-FR"/>
        </w:rPr>
        <w:t xml:space="preserve"> ci-dessus ;</w:t>
      </w:r>
    </w:p>
    <w:p w14:paraId="24ADAB4A" w14:textId="77777777" w:rsidR="00B41967" w:rsidRPr="004B2C27" w:rsidRDefault="00B41967" w:rsidP="00746F73">
      <w:pPr>
        <w:keepNext/>
        <w:suppressLineNumbers/>
        <w:suppressAutoHyphens/>
        <w:kinsoku w:val="0"/>
        <w:overflowPunct w:val="0"/>
        <w:autoSpaceDE w:val="0"/>
        <w:autoSpaceDN w:val="0"/>
        <w:adjustRightInd w:val="0"/>
        <w:snapToGrid w:val="0"/>
        <w:spacing w:before="120" w:after="120"/>
        <w:jc w:val="center"/>
        <w:rPr>
          <w:b/>
          <w:snapToGrid w:val="0"/>
          <w:kern w:val="22"/>
          <w:szCs w:val="22"/>
          <w:lang w:val="fr-FR"/>
        </w:rPr>
      </w:pPr>
      <w:r>
        <w:rPr>
          <w:b/>
          <w:snapToGrid w:val="0"/>
          <w:kern w:val="22"/>
          <w:szCs w:val="22"/>
          <w:lang w:val="fr-FR"/>
        </w:rPr>
        <w:t xml:space="preserve">E. </w:t>
      </w:r>
      <w:r w:rsidRPr="004B2C27">
        <w:rPr>
          <w:b/>
          <w:snapToGrid w:val="0"/>
          <w:kern w:val="22"/>
          <w:szCs w:val="22"/>
          <w:lang w:val="fr-FR"/>
        </w:rPr>
        <w:t>Élément sur la mobilisation des ressources du cadre de la biodiversité pour l’après-2020</w:t>
      </w:r>
    </w:p>
    <w:p w14:paraId="359102C3" w14:textId="3BB18CDC" w:rsidR="00B41967" w:rsidRPr="004B2C27" w:rsidRDefault="00A26FE7" w:rsidP="00757BDA">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szCs w:val="22"/>
          <w:lang w:val="fr-FR"/>
        </w:rPr>
        <w:t>14</w:t>
      </w:r>
      <w:r w:rsidR="00B41967" w:rsidRPr="004B2C27">
        <w:rPr>
          <w:snapToGrid w:val="0"/>
          <w:kern w:val="22"/>
          <w:szCs w:val="22"/>
          <w:lang w:val="fr-FR"/>
        </w:rPr>
        <w:t>.</w:t>
      </w:r>
      <w:r w:rsidR="00B41967" w:rsidRPr="004B2C27">
        <w:rPr>
          <w:snapToGrid w:val="0"/>
          <w:kern w:val="22"/>
          <w:szCs w:val="22"/>
          <w:lang w:val="fr-FR"/>
        </w:rPr>
        <w:tab/>
      </w:r>
      <w:r w:rsidR="00B41967" w:rsidRPr="004B2C27">
        <w:rPr>
          <w:i/>
          <w:snapToGrid w:val="0"/>
          <w:kern w:val="22"/>
          <w:szCs w:val="22"/>
          <w:lang w:val="fr-FR"/>
        </w:rPr>
        <w:t>Affirme</w:t>
      </w:r>
      <w:r w:rsidR="00B41967" w:rsidRPr="004B2C27">
        <w:rPr>
          <w:snapToGrid w:val="0"/>
          <w:kern w:val="22"/>
          <w:szCs w:val="22"/>
          <w:lang w:val="fr-FR"/>
        </w:rPr>
        <w:t xml:space="preserve"> que la mobilisation des ressources fera partie intégrante du cadre de la biodiversité pour l’après-2020, qui sera adopté par la Conférence des Parties à la Convention à sa quinzième réunion, et </w:t>
      </w:r>
      <w:r w:rsidR="00B41967" w:rsidRPr="004B2C27">
        <w:rPr>
          <w:i/>
          <w:snapToGrid w:val="0"/>
          <w:kern w:val="22"/>
          <w:szCs w:val="22"/>
          <w:lang w:val="fr-FR"/>
        </w:rPr>
        <w:lastRenderedPageBreak/>
        <w:t>décide</w:t>
      </w:r>
      <w:r w:rsidR="00B41967" w:rsidRPr="004B2C27">
        <w:rPr>
          <w:snapToGrid w:val="0"/>
          <w:kern w:val="22"/>
          <w:szCs w:val="22"/>
          <w:lang w:val="fr-FR"/>
        </w:rPr>
        <w:t xml:space="preserve"> de commencer la préparation de cet élément au tout début du processus d’élaboration de ce cadre, en pleine cohérence et coordination avec le processus global d’élaboration du cadre post-2020, comm</w:t>
      </w:r>
      <w:r w:rsidR="005C4BEC">
        <w:rPr>
          <w:snapToGrid w:val="0"/>
          <w:kern w:val="22"/>
          <w:szCs w:val="22"/>
          <w:lang w:val="fr-FR"/>
        </w:rPr>
        <w:t>e convenu dans la décision 14/34</w:t>
      </w:r>
      <w:r w:rsidR="00B41967" w:rsidRPr="004B2C27">
        <w:rPr>
          <w:snapToGrid w:val="0"/>
          <w:kern w:val="22"/>
          <w:szCs w:val="22"/>
          <w:lang w:val="fr-FR"/>
        </w:rPr>
        <w:t> ;</w:t>
      </w:r>
    </w:p>
    <w:p w14:paraId="1723B441" w14:textId="1B02FFE9" w:rsidR="00B41967" w:rsidRDefault="00A26FE7" w:rsidP="00757BDA">
      <w:pPr>
        <w:suppressLineNumbers/>
        <w:suppressAutoHyphens/>
        <w:kinsoku w:val="0"/>
        <w:overflowPunct w:val="0"/>
        <w:autoSpaceDE w:val="0"/>
        <w:autoSpaceDN w:val="0"/>
        <w:adjustRightInd w:val="0"/>
        <w:snapToGrid w:val="0"/>
        <w:spacing w:before="120" w:after="120"/>
        <w:ind w:firstLine="709"/>
        <w:rPr>
          <w:snapToGrid w:val="0"/>
          <w:spacing w:val="-1"/>
          <w:kern w:val="22"/>
          <w:szCs w:val="22"/>
          <w:lang w:val="fr-FR"/>
        </w:rPr>
      </w:pPr>
      <w:r>
        <w:rPr>
          <w:snapToGrid w:val="0"/>
          <w:spacing w:val="-1"/>
          <w:kern w:val="22"/>
          <w:szCs w:val="22"/>
          <w:lang w:val="fr-FR"/>
        </w:rPr>
        <w:t>15</w:t>
      </w:r>
      <w:r w:rsidR="00B41967" w:rsidRPr="004B2C27">
        <w:rPr>
          <w:snapToGrid w:val="0"/>
          <w:spacing w:val="-1"/>
          <w:kern w:val="22"/>
          <w:szCs w:val="22"/>
          <w:lang w:val="fr-FR"/>
        </w:rPr>
        <w:t>.</w:t>
      </w:r>
      <w:r w:rsidR="00B41967" w:rsidRPr="004B2C27">
        <w:rPr>
          <w:snapToGrid w:val="0"/>
          <w:spacing w:val="-1"/>
          <w:kern w:val="22"/>
          <w:szCs w:val="22"/>
          <w:lang w:val="fr-FR"/>
        </w:rPr>
        <w:tab/>
      </w:r>
      <w:r w:rsidR="00B41967" w:rsidRPr="00C96440">
        <w:rPr>
          <w:i/>
          <w:snapToGrid w:val="0"/>
          <w:spacing w:val="-1"/>
          <w:kern w:val="22"/>
          <w:szCs w:val="22"/>
          <w:lang w:val="fr-FR"/>
        </w:rPr>
        <w:t xml:space="preserve">Prie </w:t>
      </w:r>
      <w:r w:rsidR="00746F73">
        <w:rPr>
          <w:snapToGrid w:val="0"/>
          <w:spacing w:val="-1"/>
          <w:kern w:val="22"/>
          <w:szCs w:val="22"/>
          <w:lang w:val="fr-FR"/>
        </w:rPr>
        <w:t xml:space="preserve">la Secrétaire exécutive, </w:t>
      </w:r>
      <w:r w:rsidR="00B41967" w:rsidRPr="00C96440">
        <w:rPr>
          <w:snapToGrid w:val="0"/>
          <w:spacing w:val="-1"/>
          <w:kern w:val="22"/>
          <w:szCs w:val="22"/>
          <w:lang w:val="fr-FR"/>
        </w:rPr>
        <w:t>sous réserve de la disponibilité des ressour</w:t>
      </w:r>
      <w:r w:rsidR="00746F73">
        <w:rPr>
          <w:snapToGrid w:val="0"/>
          <w:spacing w:val="-1"/>
          <w:kern w:val="22"/>
          <w:szCs w:val="22"/>
          <w:lang w:val="fr-FR"/>
        </w:rPr>
        <w:t>ces financières</w:t>
      </w:r>
      <w:r w:rsidR="00B41967" w:rsidRPr="00C96440">
        <w:rPr>
          <w:snapToGrid w:val="0"/>
          <w:spacing w:val="-1"/>
          <w:kern w:val="22"/>
          <w:szCs w:val="22"/>
          <w:lang w:val="fr-FR"/>
        </w:rPr>
        <w:t xml:space="preserve">, de charger un </w:t>
      </w:r>
      <w:r w:rsidR="005C4BEC">
        <w:rPr>
          <w:snapToGrid w:val="0"/>
          <w:spacing w:val="-1"/>
          <w:kern w:val="22"/>
          <w:szCs w:val="22"/>
          <w:lang w:val="fr-FR"/>
        </w:rPr>
        <w:t>groupe de trois ou cinq experts</w:t>
      </w:r>
      <w:r w:rsidR="00B41967" w:rsidRPr="00C96440">
        <w:rPr>
          <w:snapToGrid w:val="0"/>
          <w:spacing w:val="-1"/>
          <w:kern w:val="22"/>
          <w:szCs w:val="22"/>
          <w:lang w:val="fr-FR"/>
        </w:rPr>
        <w:t xml:space="preserve"> à représentation </w:t>
      </w:r>
      <w:r w:rsidR="005C4BEC">
        <w:rPr>
          <w:snapToGrid w:val="0"/>
          <w:spacing w:val="-1"/>
          <w:kern w:val="22"/>
          <w:szCs w:val="22"/>
          <w:lang w:val="fr-FR"/>
        </w:rPr>
        <w:t>égale de pays en développement Parties et de pays développés P</w:t>
      </w:r>
      <w:r w:rsidR="00B41967" w:rsidRPr="00C96440">
        <w:rPr>
          <w:snapToGrid w:val="0"/>
          <w:spacing w:val="-1"/>
          <w:kern w:val="22"/>
          <w:szCs w:val="22"/>
          <w:lang w:val="fr-FR"/>
        </w:rPr>
        <w:t>arties et</w:t>
      </w:r>
      <w:r w:rsidR="005C4BEC">
        <w:rPr>
          <w:snapToGrid w:val="0"/>
          <w:spacing w:val="-1"/>
          <w:kern w:val="22"/>
          <w:szCs w:val="22"/>
          <w:lang w:val="fr-FR"/>
        </w:rPr>
        <w:t xml:space="preserve"> un</w:t>
      </w:r>
      <w:r w:rsidR="00B41967" w:rsidRPr="00C96440">
        <w:rPr>
          <w:snapToGrid w:val="0"/>
          <w:spacing w:val="-1"/>
          <w:kern w:val="22"/>
          <w:szCs w:val="22"/>
          <w:lang w:val="fr-FR"/>
        </w:rPr>
        <w:t xml:space="preserve"> d'une organisation non gouvernementale internationale, d'entreprendre les activités énumérées ci-après et d'établir des rapports y afférents</w:t>
      </w:r>
      <w:r w:rsidR="00C56DB9">
        <w:rPr>
          <w:snapToGrid w:val="0"/>
          <w:spacing w:val="-1"/>
          <w:kern w:val="22"/>
          <w:szCs w:val="22"/>
          <w:lang w:val="fr-FR"/>
        </w:rPr>
        <w:t>,</w:t>
      </w:r>
      <w:r w:rsidR="00B41967" w:rsidRPr="00C96440">
        <w:rPr>
          <w:snapToGrid w:val="0"/>
          <w:spacing w:val="-1"/>
          <w:kern w:val="22"/>
          <w:szCs w:val="22"/>
          <w:lang w:val="fr-FR"/>
        </w:rPr>
        <w:t xml:space="preserve"> en vue de contribuer au processus mondial d'élaboratio</w:t>
      </w:r>
      <w:r>
        <w:rPr>
          <w:snapToGrid w:val="0"/>
          <w:spacing w:val="-1"/>
          <w:kern w:val="22"/>
          <w:szCs w:val="22"/>
          <w:lang w:val="fr-FR"/>
        </w:rPr>
        <w:t>n du cadre pour l'après-2020</w:t>
      </w:r>
      <w:r w:rsidR="00C56DB9">
        <w:rPr>
          <w:snapToGrid w:val="0"/>
          <w:spacing w:val="-1"/>
          <w:kern w:val="22"/>
          <w:szCs w:val="22"/>
          <w:lang w:val="fr-FR"/>
        </w:rPr>
        <w:t>,</w:t>
      </w:r>
      <w:r>
        <w:rPr>
          <w:snapToGrid w:val="0"/>
          <w:spacing w:val="-1"/>
          <w:kern w:val="22"/>
          <w:szCs w:val="22"/>
          <w:lang w:val="fr-FR"/>
        </w:rPr>
        <w:t xml:space="preserve"> </w:t>
      </w:r>
      <w:r w:rsidR="00C56DB9">
        <w:rPr>
          <w:snapToGrid w:val="0"/>
          <w:spacing w:val="-1"/>
          <w:kern w:val="22"/>
          <w:szCs w:val="22"/>
          <w:lang w:val="fr-FR"/>
        </w:rPr>
        <w:t>pour examen par le</w:t>
      </w:r>
      <w:r w:rsidR="00B41967" w:rsidRPr="00C96440">
        <w:rPr>
          <w:snapToGrid w:val="0"/>
          <w:spacing w:val="-1"/>
          <w:kern w:val="22"/>
          <w:szCs w:val="22"/>
          <w:lang w:val="fr-FR"/>
        </w:rPr>
        <w:t xml:space="preserve"> Groupe de tra</w:t>
      </w:r>
      <w:r w:rsidR="00C56DB9">
        <w:rPr>
          <w:snapToGrid w:val="0"/>
          <w:spacing w:val="-1"/>
          <w:kern w:val="22"/>
          <w:szCs w:val="22"/>
          <w:lang w:val="fr-FR"/>
        </w:rPr>
        <w:t xml:space="preserve">vail à composition non limitée et par </w:t>
      </w:r>
      <w:r>
        <w:rPr>
          <w:snapToGrid w:val="0"/>
          <w:spacing w:val="-1"/>
          <w:kern w:val="22"/>
          <w:szCs w:val="22"/>
          <w:lang w:val="fr-FR"/>
        </w:rPr>
        <w:t>la Conférence des Parties</w:t>
      </w:r>
      <w:r w:rsidR="00B41967" w:rsidRPr="00C96440">
        <w:rPr>
          <w:snapToGrid w:val="0"/>
          <w:spacing w:val="-1"/>
          <w:kern w:val="22"/>
          <w:szCs w:val="22"/>
          <w:lang w:val="fr-FR"/>
        </w:rPr>
        <w:t xml:space="preserve"> </w:t>
      </w:r>
      <w:r>
        <w:rPr>
          <w:snapToGrid w:val="0"/>
          <w:spacing w:val="-1"/>
          <w:kern w:val="22"/>
          <w:szCs w:val="22"/>
          <w:lang w:val="fr-FR"/>
        </w:rPr>
        <w:t>à</w:t>
      </w:r>
      <w:r w:rsidR="00B41967" w:rsidRPr="00C96440">
        <w:rPr>
          <w:snapToGrid w:val="0"/>
          <w:spacing w:val="-1"/>
          <w:kern w:val="22"/>
          <w:szCs w:val="22"/>
          <w:lang w:val="fr-FR"/>
        </w:rPr>
        <w:t xml:space="preserve"> sa quinzième réunion :</w:t>
      </w:r>
    </w:p>
    <w:p w14:paraId="4FC6EB0B" w14:textId="2DF15D4D" w:rsidR="00B41967" w:rsidRPr="002F4FF0" w:rsidRDefault="00B41967" w:rsidP="008D59B6">
      <w:pPr>
        <w:suppressLineNumbers/>
        <w:suppressAutoHyphens/>
        <w:kinsoku w:val="0"/>
        <w:overflowPunct w:val="0"/>
        <w:autoSpaceDE w:val="0"/>
        <w:autoSpaceDN w:val="0"/>
        <w:adjustRightInd w:val="0"/>
        <w:snapToGrid w:val="0"/>
        <w:spacing w:before="120" w:after="120"/>
        <w:ind w:firstLine="709"/>
        <w:rPr>
          <w:snapToGrid w:val="0"/>
          <w:spacing w:val="-1"/>
          <w:kern w:val="22"/>
          <w:szCs w:val="22"/>
          <w:lang w:val="fr-FR"/>
        </w:rPr>
      </w:pPr>
      <w:r>
        <w:rPr>
          <w:snapToGrid w:val="0"/>
          <w:spacing w:val="-1"/>
          <w:kern w:val="22"/>
          <w:szCs w:val="22"/>
          <w:lang w:val="fr-FR"/>
        </w:rPr>
        <w:t>a)</w:t>
      </w:r>
      <w:r w:rsidR="00757BDA">
        <w:rPr>
          <w:snapToGrid w:val="0"/>
          <w:spacing w:val="-1"/>
          <w:kern w:val="22"/>
          <w:szCs w:val="22"/>
          <w:lang w:val="fr-FR"/>
        </w:rPr>
        <w:tab/>
      </w:r>
      <w:r>
        <w:rPr>
          <w:snapToGrid w:val="0"/>
          <w:spacing w:val="-1"/>
          <w:kern w:val="22"/>
          <w:szCs w:val="22"/>
          <w:lang w:val="fr-FR"/>
        </w:rPr>
        <w:t>É</w:t>
      </w:r>
      <w:r w:rsidRPr="002F4FF0">
        <w:rPr>
          <w:snapToGrid w:val="0"/>
          <w:spacing w:val="-1"/>
          <w:kern w:val="22"/>
          <w:szCs w:val="22"/>
          <w:lang w:val="fr-FR"/>
        </w:rPr>
        <w:t xml:space="preserve">valuer la structure, le contenu et l'efficacité de la Stratégie de mobilisation des ressources en </w:t>
      </w:r>
      <w:r>
        <w:rPr>
          <w:snapToGrid w:val="0"/>
          <w:spacing w:val="-1"/>
          <w:kern w:val="22"/>
          <w:szCs w:val="22"/>
          <w:lang w:val="fr-FR"/>
        </w:rPr>
        <w:t>recensant</w:t>
      </w:r>
      <w:r w:rsidRPr="002F4FF0">
        <w:rPr>
          <w:snapToGrid w:val="0"/>
          <w:spacing w:val="-1"/>
          <w:kern w:val="22"/>
          <w:szCs w:val="22"/>
          <w:lang w:val="fr-FR"/>
        </w:rPr>
        <w:t xml:space="preserve"> autant que possible les difficultés rencontrées pour atteindre ces objectifs ;</w:t>
      </w:r>
    </w:p>
    <w:p w14:paraId="1D33DF23" w14:textId="02239050" w:rsidR="00B41967" w:rsidRPr="002F4FF0" w:rsidRDefault="00B41967" w:rsidP="008D59B6">
      <w:pPr>
        <w:suppressLineNumbers/>
        <w:suppressAutoHyphens/>
        <w:kinsoku w:val="0"/>
        <w:overflowPunct w:val="0"/>
        <w:autoSpaceDE w:val="0"/>
        <w:autoSpaceDN w:val="0"/>
        <w:adjustRightInd w:val="0"/>
        <w:snapToGrid w:val="0"/>
        <w:spacing w:before="120" w:after="120"/>
        <w:ind w:firstLine="709"/>
        <w:rPr>
          <w:snapToGrid w:val="0"/>
          <w:spacing w:val="-1"/>
          <w:kern w:val="22"/>
          <w:szCs w:val="22"/>
          <w:lang w:val="fr-FR"/>
        </w:rPr>
      </w:pPr>
      <w:r w:rsidRPr="002F4FF0">
        <w:rPr>
          <w:snapToGrid w:val="0"/>
          <w:spacing w:val="-1"/>
          <w:kern w:val="22"/>
          <w:szCs w:val="22"/>
          <w:lang w:val="fr-FR"/>
        </w:rPr>
        <w:t>b)</w:t>
      </w:r>
      <w:r w:rsidR="00757BDA">
        <w:rPr>
          <w:snapToGrid w:val="0"/>
          <w:spacing w:val="-1"/>
          <w:kern w:val="22"/>
          <w:szCs w:val="22"/>
          <w:lang w:val="fr-FR"/>
        </w:rPr>
        <w:tab/>
      </w:r>
      <w:r w:rsidRPr="002F4FF0">
        <w:rPr>
          <w:snapToGrid w:val="0"/>
          <w:spacing w:val="-1"/>
          <w:kern w:val="22"/>
          <w:szCs w:val="22"/>
          <w:lang w:val="fr-FR"/>
        </w:rPr>
        <w:t>Passer en revue l'expérience acquise dans la réalisati</w:t>
      </w:r>
      <w:r w:rsidR="00D67E19">
        <w:rPr>
          <w:snapToGrid w:val="0"/>
          <w:spacing w:val="-1"/>
          <w:kern w:val="22"/>
          <w:szCs w:val="22"/>
          <w:lang w:val="fr-FR"/>
        </w:rPr>
        <w:t>on de l'objectif 20 d'Aichi pour la biodiversité</w:t>
      </w:r>
      <w:r w:rsidRPr="002F4FF0">
        <w:rPr>
          <w:snapToGrid w:val="0"/>
          <w:spacing w:val="-1"/>
          <w:kern w:val="22"/>
          <w:szCs w:val="22"/>
          <w:lang w:val="fr-FR"/>
        </w:rPr>
        <w:t xml:space="preserve"> et la mise en œuvre de la Stratégie de mobilisation des ressources, ainsi que leur adéquation, et s'appuyer sur ces expériences, ainsi que sur celles qui ont été accumulées dans la mise en œuvre d'</w:t>
      </w:r>
      <w:r w:rsidR="00D67E19">
        <w:rPr>
          <w:snapToGrid w:val="0"/>
          <w:spacing w:val="-1"/>
          <w:kern w:val="22"/>
          <w:szCs w:val="22"/>
          <w:lang w:val="fr-FR"/>
        </w:rPr>
        <w:t xml:space="preserve">autres </w:t>
      </w:r>
      <w:r w:rsidRPr="002F4FF0">
        <w:rPr>
          <w:snapToGrid w:val="0"/>
          <w:spacing w:val="-1"/>
          <w:kern w:val="22"/>
          <w:szCs w:val="22"/>
          <w:lang w:val="fr-FR"/>
        </w:rPr>
        <w:t>accords mult</w:t>
      </w:r>
      <w:r w:rsidR="00D67E19">
        <w:rPr>
          <w:snapToGrid w:val="0"/>
          <w:spacing w:val="-1"/>
          <w:kern w:val="22"/>
          <w:szCs w:val="22"/>
          <w:lang w:val="fr-FR"/>
        </w:rPr>
        <w:t xml:space="preserve">ilatéraux pertinents sur </w:t>
      </w:r>
      <w:r w:rsidRPr="002F4FF0">
        <w:rPr>
          <w:snapToGrid w:val="0"/>
          <w:spacing w:val="-1"/>
          <w:kern w:val="22"/>
          <w:szCs w:val="22"/>
          <w:lang w:val="fr-FR"/>
        </w:rPr>
        <w:t xml:space="preserve">l'environnement et dans la participation d'autres acteurs publics et privés, de </w:t>
      </w:r>
      <w:r>
        <w:rPr>
          <w:snapToGrid w:val="0"/>
          <w:spacing w:val="-1"/>
          <w:kern w:val="22"/>
          <w:szCs w:val="22"/>
          <w:lang w:val="fr-FR"/>
        </w:rPr>
        <w:t>peuples</w:t>
      </w:r>
      <w:r w:rsidRPr="002F4FF0">
        <w:rPr>
          <w:snapToGrid w:val="0"/>
          <w:spacing w:val="-1"/>
          <w:kern w:val="22"/>
          <w:szCs w:val="22"/>
          <w:lang w:val="fr-FR"/>
        </w:rPr>
        <w:t xml:space="preserve"> autochtones et </w:t>
      </w:r>
      <w:r>
        <w:rPr>
          <w:snapToGrid w:val="0"/>
          <w:spacing w:val="-1"/>
          <w:kern w:val="22"/>
          <w:szCs w:val="22"/>
          <w:lang w:val="fr-FR"/>
        </w:rPr>
        <w:t xml:space="preserve">communautés </w:t>
      </w:r>
      <w:r w:rsidRPr="002F4FF0">
        <w:rPr>
          <w:snapToGrid w:val="0"/>
          <w:spacing w:val="-1"/>
          <w:kern w:val="22"/>
          <w:szCs w:val="22"/>
          <w:lang w:val="fr-FR"/>
        </w:rPr>
        <w:t>locales, pour déterminer les actions à mener, en se fondant sur les renseignements fournis par</w:t>
      </w:r>
      <w:r w:rsidR="00D67E19">
        <w:rPr>
          <w:snapToGrid w:val="0"/>
          <w:spacing w:val="-1"/>
          <w:kern w:val="22"/>
          <w:szCs w:val="22"/>
          <w:lang w:val="fr-FR"/>
        </w:rPr>
        <w:t xml:space="preserve"> les Parties par le biais du</w:t>
      </w:r>
      <w:r w:rsidRPr="002F4FF0">
        <w:rPr>
          <w:snapToGrid w:val="0"/>
          <w:spacing w:val="-1"/>
          <w:kern w:val="22"/>
          <w:szCs w:val="22"/>
          <w:lang w:val="fr-FR"/>
        </w:rPr>
        <w:t xml:space="preserve"> cadre de présentation des rapports financiers, notamment sur leurs besoins respectifs en ressources, et sur d'autres sources pertinentes</w:t>
      </w:r>
      <w:r>
        <w:rPr>
          <w:snapToGrid w:val="0"/>
          <w:spacing w:val="-1"/>
          <w:kern w:val="22"/>
          <w:szCs w:val="22"/>
          <w:lang w:val="fr-FR"/>
        </w:rPr>
        <w:t xml:space="preserve"> </w:t>
      </w:r>
      <w:r w:rsidRPr="002F4FF0">
        <w:rPr>
          <w:snapToGrid w:val="0"/>
          <w:spacing w:val="-1"/>
          <w:kern w:val="22"/>
          <w:szCs w:val="22"/>
          <w:lang w:val="fr-FR"/>
        </w:rPr>
        <w:t>;</w:t>
      </w:r>
    </w:p>
    <w:p w14:paraId="6A0408E5" w14:textId="07BC12CC" w:rsidR="00B41967" w:rsidRPr="002F4FF0" w:rsidRDefault="00C56DB9" w:rsidP="008D59B6">
      <w:pPr>
        <w:suppressLineNumbers/>
        <w:suppressAutoHyphens/>
        <w:kinsoku w:val="0"/>
        <w:overflowPunct w:val="0"/>
        <w:autoSpaceDE w:val="0"/>
        <w:autoSpaceDN w:val="0"/>
        <w:adjustRightInd w:val="0"/>
        <w:snapToGrid w:val="0"/>
        <w:spacing w:before="120" w:after="120"/>
        <w:ind w:firstLine="709"/>
        <w:rPr>
          <w:snapToGrid w:val="0"/>
          <w:spacing w:val="-1"/>
          <w:kern w:val="22"/>
          <w:szCs w:val="22"/>
          <w:lang w:val="fr-FR"/>
        </w:rPr>
      </w:pPr>
      <w:r>
        <w:rPr>
          <w:snapToGrid w:val="0"/>
          <w:spacing w:val="-1"/>
          <w:kern w:val="22"/>
          <w:szCs w:val="22"/>
          <w:lang w:val="fr-FR"/>
        </w:rPr>
        <w:t>c)</w:t>
      </w:r>
      <w:r w:rsidR="00757BDA">
        <w:rPr>
          <w:snapToGrid w:val="0"/>
          <w:spacing w:val="-1"/>
          <w:kern w:val="22"/>
          <w:szCs w:val="22"/>
          <w:lang w:val="fr-FR"/>
        </w:rPr>
        <w:tab/>
      </w:r>
      <w:r w:rsidR="00B41967">
        <w:rPr>
          <w:snapToGrid w:val="0"/>
          <w:spacing w:val="-1"/>
          <w:kern w:val="22"/>
          <w:szCs w:val="22"/>
          <w:lang w:val="fr-FR"/>
        </w:rPr>
        <w:t>É</w:t>
      </w:r>
      <w:r w:rsidR="00B41967" w:rsidRPr="002F4FF0">
        <w:rPr>
          <w:snapToGrid w:val="0"/>
          <w:spacing w:val="-1"/>
          <w:kern w:val="22"/>
          <w:szCs w:val="22"/>
          <w:lang w:val="fr-FR"/>
        </w:rPr>
        <w:t>valuer les ressources, provenant de toutes les sources, nécessaires dans les différents scénarios</w:t>
      </w:r>
      <w:r w:rsidR="00B41967" w:rsidRPr="00574E83">
        <w:rPr>
          <w:snapToGrid w:val="0"/>
          <w:spacing w:val="-1"/>
          <w:kern w:val="22"/>
          <w:szCs w:val="22"/>
          <w:vertAlign w:val="superscript"/>
        </w:rPr>
        <w:footnoteReference w:id="3"/>
      </w:r>
      <w:r w:rsidR="00B41967" w:rsidRPr="002F4FF0">
        <w:rPr>
          <w:snapToGrid w:val="0"/>
          <w:spacing w:val="-1"/>
          <w:kern w:val="22"/>
          <w:szCs w:val="22"/>
          <w:lang w:val="fr-FR"/>
        </w:rPr>
        <w:t xml:space="preserve"> de mise</w:t>
      </w:r>
      <w:r w:rsidR="00D67E19">
        <w:rPr>
          <w:snapToGrid w:val="0"/>
          <w:spacing w:val="-1"/>
          <w:kern w:val="22"/>
          <w:szCs w:val="22"/>
          <w:lang w:val="fr-FR"/>
        </w:rPr>
        <w:t xml:space="preserve"> en œuvre du cadre pour l'après-</w:t>
      </w:r>
      <w:r w:rsidR="00B41967" w:rsidRPr="002F4FF0">
        <w:rPr>
          <w:snapToGrid w:val="0"/>
          <w:spacing w:val="-1"/>
          <w:kern w:val="22"/>
          <w:szCs w:val="22"/>
          <w:lang w:val="fr-FR"/>
        </w:rPr>
        <w:t>2020, en tenant compte de</w:t>
      </w:r>
      <w:r w:rsidR="00757BDA">
        <w:rPr>
          <w:snapToGrid w:val="0"/>
          <w:spacing w:val="-1"/>
          <w:kern w:val="22"/>
          <w:szCs w:val="22"/>
          <w:lang w:val="fr-FR"/>
        </w:rPr>
        <w:t xml:space="preserve"> l'évaluation des besoins du Fonds pour l’environnement mondial</w:t>
      </w:r>
      <w:r w:rsidR="00B41967" w:rsidRPr="002F4FF0">
        <w:rPr>
          <w:snapToGrid w:val="0"/>
          <w:spacing w:val="-1"/>
          <w:kern w:val="22"/>
          <w:szCs w:val="22"/>
          <w:lang w:val="fr-FR"/>
        </w:rPr>
        <w:t>, ainsi que les coûts et avantages</w:t>
      </w:r>
      <w:r w:rsidR="00B41967" w:rsidRPr="00574E83">
        <w:rPr>
          <w:snapToGrid w:val="0"/>
          <w:spacing w:val="-1"/>
          <w:kern w:val="22"/>
          <w:szCs w:val="22"/>
          <w:vertAlign w:val="superscript"/>
        </w:rPr>
        <w:footnoteReference w:id="4"/>
      </w:r>
      <w:r w:rsidR="00B41967" w:rsidRPr="002F4FF0">
        <w:rPr>
          <w:snapToGrid w:val="0"/>
          <w:spacing w:val="-1"/>
          <w:kern w:val="22"/>
          <w:szCs w:val="22"/>
          <w:lang w:val="fr-FR"/>
        </w:rPr>
        <w:t xml:space="preserve"> découlant de la mise</w:t>
      </w:r>
      <w:r w:rsidR="00757BDA">
        <w:rPr>
          <w:snapToGrid w:val="0"/>
          <w:spacing w:val="-1"/>
          <w:kern w:val="22"/>
          <w:szCs w:val="22"/>
          <w:lang w:val="fr-FR"/>
        </w:rPr>
        <w:t xml:space="preserve"> en œuvre du cadre pour l'après-2020</w:t>
      </w:r>
      <w:r w:rsidR="00B41967" w:rsidRPr="002F4FF0">
        <w:rPr>
          <w:snapToGrid w:val="0"/>
          <w:spacing w:val="-1"/>
          <w:kern w:val="22"/>
          <w:szCs w:val="22"/>
          <w:lang w:val="fr-FR"/>
        </w:rPr>
        <w:t xml:space="preserve"> ;</w:t>
      </w:r>
    </w:p>
    <w:p w14:paraId="4698B2E2" w14:textId="68A1C1FA" w:rsidR="00B41967" w:rsidRPr="002F4FF0" w:rsidRDefault="00B41967" w:rsidP="008D59B6">
      <w:pPr>
        <w:suppressLineNumbers/>
        <w:suppressAutoHyphens/>
        <w:kinsoku w:val="0"/>
        <w:overflowPunct w:val="0"/>
        <w:autoSpaceDE w:val="0"/>
        <w:autoSpaceDN w:val="0"/>
        <w:adjustRightInd w:val="0"/>
        <w:snapToGrid w:val="0"/>
        <w:spacing w:before="120" w:after="120"/>
        <w:ind w:firstLine="709"/>
        <w:rPr>
          <w:snapToGrid w:val="0"/>
          <w:spacing w:val="-1"/>
          <w:kern w:val="22"/>
          <w:szCs w:val="22"/>
          <w:lang w:val="fr-FR"/>
        </w:rPr>
      </w:pPr>
      <w:r w:rsidRPr="002F4FF0">
        <w:rPr>
          <w:snapToGrid w:val="0"/>
          <w:spacing w:val="-1"/>
          <w:kern w:val="22"/>
          <w:szCs w:val="22"/>
          <w:lang w:val="fr-FR"/>
        </w:rPr>
        <w:t>d)</w:t>
      </w:r>
      <w:r w:rsidR="00757BDA">
        <w:rPr>
          <w:snapToGrid w:val="0"/>
          <w:spacing w:val="-1"/>
          <w:kern w:val="22"/>
          <w:szCs w:val="22"/>
          <w:lang w:val="fr-FR"/>
        </w:rPr>
        <w:tab/>
      </w:r>
      <w:r>
        <w:rPr>
          <w:snapToGrid w:val="0"/>
          <w:spacing w:val="-1"/>
          <w:kern w:val="22"/>
          <w:szCs w:val="22"/>
          <w:lang w:val="fr-FR"/>
        </w:rPr>
        <w:t>C</w:t>
      </w:r>
      <w:r w:rsidRPr="002F4FF0">
        <w:rPr>
          <w:snapToGrid w:val="0"/>
          <w:spacing w:val="-1"/>
          <w:kern w:val="22"/>
          <w:szCs w:val="22"/>
          <w:lang w:val="fr-FR"/>
        </w:rPr>
        <w:t xml:space="preserve">ontribuer à l'élaboration d'un projet de mobilisation des ressources </w:t>
      </w:r>
      <w:r>
        <w:rPr>
          <w:snapToGrid w:val="0"/>
          <w:spacing w:val="-1"/>
          <w:kern w:val="22"/>
          <w:szCs w:val="22"/>
          <w:lang w:val="fr-FR"/>
        </w:rPr>
        <w:t>au titre du</w:t>
      </w:r>
      <w:r w:rsidRPr="002F4FF0">
        <w:rPr>
          <w:snapToGrid w:val="0"/>
          <w:spacing w:val="-1"/>
          <w:kern w:val="22"/>
          <w:szCs w:val="22"/>
          <w:lang w:val="fr-FR"/>
        </w:rPr>
        <w:t xml:space="preserve"> cadre</w:t>
      </w:r>
      <w:r w:rsidR="00757BDA">
        <w:rPr>
          <w:snapToGrid w:val="0"/>
          <w:spacing w:val="-1"/>
          <w:kern w:val="22"/>
          <w:szCs w:val="22"/>
          <w:lang w:val="fr-FR"/>
        </w:rPr>
        <w:t xml:space="preserve"> de la biodiversité pour l’après-</w:t>
      </w:r>
      <w:r w:rsidRPr="002F4FF0">
        <w:rPr>
          <w:snapToGrid w:val="0"/>
          <w:spacing w:val="-1"/>
          <w:kern w:val="22"/>
          <w:szCs w:val="22"/>
          <w:lang w:val="fr-FR"/>
        </w:rPr>
        <w:t>2020</w:t>
      </w:r>
      <w:r w:rsidR="00757BDA">
        <w:rPr>
          <w:snapToGrid w:val="0"/>
          <w:spacing w:val="-1"/>
          <w:kern w:val="22"/>
          <w:szCs w:val="22"/>
          <w:lang w:val="fr-FR"/>
        </w:rPr>
        <w:t xml:space="preserve"> pour donner suite à</w:t>
      </w:r>
      <w:r w:rsidRPr="002F4FF0">
        <w:rPr>
          <w:snapToGrid w:val="0"/>
          <w:spacing w:val="-1"/>
          <w:kern w:val="22"/>
          <w:szCs w:val="22"/>
          <w:lang w:val="fr-FR"/>
        </w:rPr>
        <w:t xml:space="preserve"> la Stratégie actuelle de mobilisation des ressources, en se fondant sur cette dernière et les actions décrites aux alinéas a) à c) ci-dessus ;</w:t>
      </w:r>
    </w:p>
    <w:p w14:paraId="6B1374BF" w14:textId="3AAEE24B" w:rsidR="00B41967" w:rsidRDefault="00B41967" w:rsidP="008D59B6">
      <w:pPr>
        <w:suppressLineNumbers/>
        <w:suppressAutoHyphens/>
        <w:kinsoku w:val="0"/>
        <w:overflowPunct w:val="0"/>
        <w:autoSpaceDE w:val="0"/>
        <w:autoSpaceDN w:val="0"/>
        <w:adjustRightInd w:val="0"/>
        <w:snapToGrid w:val="0"/>
        <w:spacing w:before="120" w:after="120"/>
        <w:ind w:firstLine="709"/>
        <w:rPr>
          <w:snapToGrid w:val="0"/>
          <w:spacing w:val="-1"/>
          <w:kern w:val="22"/>
          <w:szCs w:val="22"/>
          <w:lang w:val="fr-FR"/>
        </w:rPr>
      </w:pPr>
      <w:r w:rsidRPr="00B251A8">
        <w:rPr>
          <w:snapToGrid w:val="0"/>
          <w:spacing w:val="-1"/>
          <w:kern w:val="22"/>
          <w:szCs w:val="22"/>
          <w:lang w:val="fr-FR"/>
        </w:rPr>
        <w:t>e)</w:t>
      </w:r>
      <w:r w:rsidR="00757BDA">
        <w:rPr>
          <w:snapToGrid w:val="0"/>
          <w:spacing w:val="-1"/>
          <w:kern w:val="22"/>
          <w:szCs w:val="22"/>
          <w:lang w:val="fr-FR"/>
        </w:rPr>
        <w:tab/>
        <w:t>Étudier</w:t>
      </w:r>
      <w:r w:rsidRPr="00B251A8">
        <w:rPr>
          <w:snapToGrid w:val="0"/>
          <w:spacing w:val="-1"/>
          <w:kern w:val="22"/>
          <w:szCs w:val="22"/>
          <w:lang w:val="fr-FR"/>
        </w:rPr>
        <w:t xml:space="preserve"> les solutions et les méthodes permettant de mobiliser et de fournir des ressources supplémentaires provenant de toutes sources ;</w:t>
      </w:r>
    </w:p>
    <w:p w14:paraId="6472ABC3" w14:textId="00D524E1" w:rsidR="00B41967" w:rsidRPr="00B251A8" w:rsidRDefault="00B41967" w:rsidP="008D59B6">
      <w:pPr>
        <w:suppressLineNumbers/>
        <w:suppressAutoHyphens/>
        <w:kinsoku w:val="0"/>
        <w:overflowPunct w:val="0"/>
        <w:autoSpaceDE w:val="0"/>
        <w:autoSpaceDN w:val="0"/>
        <w:adjustRightInd w:val="0"/>
        <w:snapToGrid w:val="0"/>
        <w:spacing w:before="120" w:after="120"/>
        <w:ind w:firstLine="709"/>
        <w:rPr>
          <w:snapToGrid w:val="0"/>
          <w:spacing w:val="-1"/>
          <w:kern w:val="22"/>
          <w:szCs w:val="22"/>
          <w:lang w:val="fr-FR"/>
        </w:rPr>
      </w:pPr>
      <w:r>
        <w:rPr>
          <w:snapToGrid w:val="0"/>
          <w:spacing w:val="-1"/>
          <w:kern w:val="22"/>
          <w:szCs w:val="22"/>
          <w:lang w:val="fr-FR"/>
        </w:rPr>
        <w:t>f)</w:t>
      </w:r>
      <w:r w:rsidR="00757BDA">
        <w:rPr>
          <w:snapToGrid w:val="0"/>
          <w:spacing w:val="-1"/>
          <w:kern w:val="22"/>
          <w:szCs w:val="22"/>
          <w:lang w:val="fr-FR"/>
        </w:rPr>
        <w:tab/>
      </w:r>
      <w:r>
        <w:rPr>
          <w:snapToGrid w:val="0"/>
          <w:spacing w:val="-1"/>
          <w:kern w:val="22"/>
          <w:szCs w:val="22"/>
          <w:lang w:val="fr-FR"/>
        </w:rPr>
        <w:t>É</w:t>
      </w:r>
      <w:r w:rsidRPr="00B251A8">
        <w:rPr>
          <w:snapToGrid w:val="0"/>
          <w:spacing w:val="-1"/>
          <w:kern w:val="22"/>
          <w:szCs w:val="22"/>
          <w:lang w:val="fr-FR"/>
        </w:rPr>
        <w:t>tudier les moyens de renforcer l'engagement d'un plus large éventail d'institutions financières et privées, à tous les niveaux et provenant de toutes les sources, pour appuyer la mise en œuvre du cadre pour l'après-2020 ;</w:t>
      </w:r>
    </w:p>
    <w:p w14:paraId="1E3432BB" w14:textId="41527316" w:rsidR="00B41967" w:rsidRPr="00B251A8" w:rsidRDefault="00B41967" w:rsidP="008D59B6">
      <w:pPr>
        <w:suppressLineNumbers/>
        <w:suppressAutoHyphens/>
        <w:kinsoku w:val="0"/>
        <w:overflowPunct w:val="0"/>
        <w:autoSpaceDE w:val="0"/>
        <w:autoSpaceDN w:val="0"/>
        <w:adjustRightInd w:val="0"/>
        <w:snapToGrid w:val="0"/>
        <w:spacing w:before="120" w:after="120"/>
        <w:ind w:firstLine="709"/>
        <w:rPr>
          <w:snapToGrid w:val="0"/>
          <w:spacing w:val="-1"/>
          <w:kern w:val="22"/>
          <w:szCs w:val="22"/>
          <w:lang w:val="fr-FR"/>
        </w:rPr>
      </w:pPr>
      <w:r w:rsidRPr="00B251A8">
        <w:rPr>
          <w:snapToGrid w:val="0"/>
          <w:spacing w:val="-1"/>
          <w:kern w:val="22"/>
          <w:szCs w:val="22"/>
          <w:lang w:val="fr-FR"/>
        </w:rPr>
        <w:t>g)</w:t>
      </w:r>
      <w:r w:rsidR="00757BDA">
        <w:rPr>
          <w:snapToGrid w:val="0"/>
          <w:spacing w:val="-1"/>
          <w:kern w:val="22"/>
          <w:szCs w:val="22"/>
          <w:lang w:val="fr-FR"/>
        </w:rPr>
        <w:tab/>
        <w:t>Examiner</w:t>
      </w:r>
      <w:r w:rsidRPr="00B251A8">
        <w:rPr>
          <w:snapToGrid w:val="0"/>
          <w:spacing w:val="-1"/>
          <w:kern w:val="22"/>
          <w:szCs w:val="22"/>
          <w:lang w:val="fr-FR"/>
        </w:rPr>
        <w:t xml:space="preserve"> les moyens d'intégrer davantage la question de la biodiversité dans les budgets économiques nationaux et les plans de développement, y compris dans les secteurs productifs clés ;</w:t>
      </w:r>
    </w:p>
    <w:p w14:paraId="538AF012" w14:textId="2BFAF1B8" w:rsidR="00B41967" w:rsidRPr="00B251A8" w:rsidRDefault="00B41967" w:rsidP="008D59B6">
      <w:pPr>
        <w:suppressLineNumbers/>
        <w:suppressAutoHyphens/>
        <w:kinsoku w:val="0"/>
        <w:overflowPunct w:val="0"/>
        <w:autoSpaceDE w:val="0"/>
        <w:autoSpaceDN w:val="0"/>
        <w:adjustRightInd w:val="0"/>
        <w:snapToGrid w:val="0"/>
        <w:spacing w:before="120" w:after="120"/>
        <w:ind w:firstLine="709"/>
        <w:rPr>
          <w:snapToGrid w:val="0"/>
          <w:spacing w:val="-1"/>
          <w:kern w:val="22"/>
          <w:szCs w:val="22"/>
          <w:lang w:val="fr-FR"/>
        </w:rPr>
      </w:pPr>
      <w:r w:rsidRPr="00B251A8">
        <w:rPr>
          <w:snapToGrid w:val="0"/>
          <w:spacing w:val="-1"/>
          <w:kern w:val="22"/>
          <w:szCs w:val="22"/>
          <w:lang w:val="fr-FR"/>
        </w:rPr>
        <w:t>h)</w:t>
      </w:r>
      <w:r w:rsidR="00757BDA">
        <w:rPr>
          <w:snapToGrid w:val="0"/>
          <w:spacing w:val="-1"/>
          <w:kern w:val="22"/>
          <w:szCs w:val="22"/>
          <w:lang w:val="fr-FR"/>
        </w:rPr>
        <w:tab/>
      </w:r>
      <w:r>
        <w:rPr>
          <w:snapToGrid w:val="0"/>
          <w:spacing w:val="-1"/>
          <w:kern w:val="22"/>
          <w:szCs w:val="22"/>
          <w:lang w:val="fr-FR"/>
        </w:rPr>
        <w:t>E</w:t>
      </w:r>
      <w:r w:rsidRPr="00B251A8">
        <w:rPr>
          <w:snapToGrid w:val="0"/>
          <w:spacing w:val="-1"/>
          <w:kern w:val="22"/>
          <w:szCs w:val="22"/>
          <w:lang w:val="fr-FR"/>
        </w:rPr>
        <w:t>xaminer les moyens d'améliorer l'état de préparation et la capacité des Parties à accéder aux ressources financières et à les exploiter pour faciliter la mise en œuvre du cadre pour l'après-2020.</w:t>
      </w:r>
    </w:p>
    <w:p w14:paraId="315DA0AC" w14:textId="2F64F09B" w:rsidR="00D04307" w:rsidRPr="00B41967" w:rsidRDefault="00D04307" w:rsidP="006B3CF6">
      <w:pPr>
        <w:suppressLineNumbers/>
        <w:suppressAutoHyphens/>
        <w:kinsoku w:val="0"/>
        <w:overflowPunct w:val="0"/>
        <w:autoSpaceDE w:val="0"/>
        <w:autoSpaceDN w:val="0"/>
        <w:adjustRightInd w:val="0"/>
        <w:snapToGrid w:val="0"/>
        <w:spacing w:before="120" w:after="120"/>
        <w:ind w:firstLine="720"/>
        <w:rPr>
          <w:snapToGrid w:val="0"/>
          <w:spacing w:val="-1"/>
          <w:kern w:val="22"/>
          <w:szCs w:val="22"/>
          <w:lang w:val="fr-FR"/>
        </w:rPr>
      </w:pPr>
    </w:p>
    <w:p w14:paraId="02531827" w14:textId="27F01530" w:rsidR="00C9161D" w:rsidRPr="00BD3426" w:rsidRDefault="00C9161D" w:rsidP="00D86602">
      <w:pPr>
        <w:suppressLineNumbers/>
        <w:suppressAutoHyphens/>
        <w:spacing w:before="120" w:after="120"/>
        <w:jc w:val="center"/>
        <w:rPr>
          <w:kern w:val="22"/>
          <w:szCs w:val="22"/>
        </w:rPr>
      </w:pPr>
      <w:r w:rsidRPr="00BD3426">
        <w:rPr>
          <w:kern w:val="22"/>
          <w:szCs w:val="22"/>
        </w:rPr>
        <w:t>______</w:t>
      </w:r>
      <w:r w:rsidR="00BB7E9D" w:rsidRPr="00BD3426">
        <w:rPr>
          <w:kern w:val="22"/>
          <w:szCs w:val="22"/>
        </w:rPr>
        <w:t>____</w:t>
      </w:r>
    </w:p>
    <w:p w14:paraId="48D24824" w14:textId="77777777" w:rsidR="00B3369F" w:rsidRPr="00C62DED" w:rsidRDefault="00B3369F" w:rsidP="00B64A51">
      <w:pPr>
        <w:suppressLineNumbers/>
        <w:suppressAutoHyphens/>
        <w:rPr>
          <w:kern w:val="22"/>
          <w:szCs w:val="22"/>
        </w:rPr>
      </w:pPr>
    </w:p>
    <w:sectPr w:rsidR="00B3369F" w:rsidRPr="00C62DED"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53F74" w14:textId="77777777" w:rsidR="004E4DB4" w:rsidRDefault="004E4DB4" w:rsidP="00CF1848">
      <w:r>
        <w:separator/>
      </w:r>
    </w:p>
  </w:endnote>
  <w:endnote w:type="continuationSeparator" w:id="0">
    <w:p w14:paraId="1F61F258" w14:textId="77777777" w:rsidR="004E4DB4" w:rsidRDefault="004E4DB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85E9F" w14:textId="77777777" w:rsidR="004E4DB4" w:rsidRDefault="004E4DB4" w:rsidP="00CF1848">
      <w:r>
        <w:separator/>
      </w:r>
    </w:p>
  </w:footnote>
  <w:footnote w:type="continuationSeparator" w:id="0">
    <w:p w14:paraId="5DA9813C" w14:textId="77777777" w:rsidR="004E4DB4" w:rsidRDefault="004E4DB4" w:rsidP="00CF1848">
      <w:r>
        <w:continuationSeparator/>
      </w:r>
    </w:p>
  </w:footnote>
  <w:footnote w:id="1">
    <w:p w14:paraId="1428CEF7" w14:textId="77777777" w:rsidR="00B41967" w:rsidRPr="004B2C27" w:rsidRDefault="00B41967" w:rsidP="00B41967">
      <w:pPr>
        <w:pStyle w:val="FootnoteText"/>
        <w:suppressLineNumbers/>
        <w:suppressAutoHyphens/>
        <w:kinsoku w:val="0"/>
        <w:overflowPunct w:val="0"/>
        <w:autoSpaceDE w:val="0"/>
        <w:autoSpaceDN w:val="0"/>
        <w:ind w:firstLine="0"/>
        <w:jc w:val="left"/>
        <w:rPr>
          <w:snapToGrid w:val="0"/>
          <w:kern w:val="18"/>
          <w:szCs w:val="18"/>
          <w:lang w:val="fr-FR"/>
        </w:rPr>
      </w:pPr>
      <w:r>
        <w:rPr>
          <w:rStyle w:val="FootnoteReference"/>
          <w:snapToGrid w:val="0"/>
          <w:kern w:val="18"/>
          <w:sz w:val="18"/>
          <w:szCs w:val="18"/>
        </w:rPr>
        <w:footnoteRef/>
      </w:r>
      <w:r w:rsidRPr="00BE6E98">
        <w:rPr>
          <w:snapToGrid w:val="0"/>
          <w:kern w:val="18"/>
          <w:szCs w:val="18"/>
          <w:lang w:val="fr-FR"/>
        </w:rPr>
        <w:t xml:space="preserve">  CBD/COP/14/6</w:t>
      </w:r>
    </w:p>
  </w:footnote>
  <w:footnote w:id="2">
    <w:p w14:paraId="7C9886D5" w14:textId="6ADE4A79" w:rsidR="00B41967" w:rsidRPr="004B2C27" w:rsidRDefault="00B41967" w:rsidP="00B41967">
      <w:pPr>
        <w:pStyle w:val="FootnoteText"/>
        <w:suppressLineNumbers/>
        <w:suppressAutoHyphens/>
        <w:kinsoku w:val="0"/>
        <w:overflowPunct w:val="0"/>
        <w:autoSpaceDE w:val="0"/>
        <w:autoSpaceDN w:val="0"/>
        <w:ind w:firstLine="0"/>
        <w:jc w:val="left"/>
        <w:rPr>
          <w:snapToGrid w:val="0"/>
          <w:kern w:val="18"/>
          <w:szCs w:val="18"/>
          <w:lang w:val="fr-FR"/>
        </w:rPr>
      </w:pPr>
      <w:r>
        <w:rPr>
          <w:rStyle w:val="FootnoteReference"/>
          <w:snapToGrid w:val="0"/>
          <w:kern w:val="18"/>
          <w:sz w:val="18"/>
          <w:szCs w:val="18"/>
        </w:rPr>
        <w:footnoteRef/>
      </w:r>
      <w:r w:rsidRPr="004B2C27">
        <w:rPr>
          <w:snapToGrid w:val="0"/>
          <w:kern w:val="18"/>
          <w:szCs w:val="18"/>
          <w:lang w:val="fr-FR"/>
        </w:rPr>
        <w:t xml:space="preserve"> Décision</w:t>
      </w:r>
      <w:r w:rsidR="005C4BEC">
        <w:rPr>
          <w:snapToGrid w:val="0"/>
          <w:kern w:val="18"/>
          <w:szCs w:val="18"/>
          <w:lang w:val="fr-FR"/>
        </w:rPr>
        <w:t xml:space="preserve"> </w:t>
      </w:r>
      <w:hyperlink r:id="rId1" w:history="1">
        <w:r w:rsidRPr="004B2C27">
          <w:rPr>
            <w:rStyle w:val="Hyperlink"/>
            <w:snapToGrid w:val="0"/>
            <w:kern w:val="18"/>
            <w:szCs w:val="18"/>
            <w:lang w:val="fr-FR"/>
          </w:rPr>
          <w:t>XII/3</w:t>
        </w:r>
      </w:hyperlink>
      <w:r w:rsidRPr="004B2C27">
        <w:rPr>
          <w:snapToGrid w:val="0"/>
          <w:kern w:val="18"/>
          <w:szCs w:val="18"/>
          <w:lang w:val="fr-FR"/>
        </w:rPr>
        <w:t>.</w:t>
      </w:r>
    </w:p>
  </w:footnote>
  <w:footnote w:id="3">
    <w:p w14:paraId="0279A6EC" w14:textId="0024E465" w:rsidR="00B41967" w:rsidRPr="001524CB" w:rsidRDefault="00B41967" w:rsidP="00B41967">
      <w:pPr>
        <w:pStyle w:val="FootnoteText"/>
        <w:suppressLineNumbers/>
        <w:suppressAutoHyphens/>
        <w:ind w:firstLine="0"/>
        <w:jc w:val="left"/>
        <w:rPr>
          <w:kern w:val="18"/>
          <w:szCs w:val="18"/>
          <w:lang w:val="fr-FR"/>
        </w:rPr>
      </w:pPr>
      <w:r w:rsidRPr="00D86602">
        <w:rPr>
          <w:rStyle w:val="FootnoteReference"/>
          <w:kern w:val="18"/>
          <w:sz w:val="18"/>
          <w:szCs w:val="18"/>
        </w:rPr>
        <w:footnoteRef/>
      </w:r>
      <w:r w:rsidR="00746F73">
        <w:rPr>
          <w:kern w:val="18"/>
          <w:szCs w:val="18"/>
          <w:lang w:val="fr-FR"/>
        </w:rPr>
        <w:t xml:space="preserve"> Voir décision 14/2</w:t>
      </w:r>
      <w:r w:rsidRPr="001524CB">
        <w:rPr>
          <w:kern w:val="18"/>
          <w:szCs w:val="18"/>
          <w:lang w:val="fr-FR"/>
        </w:rPr>
        <w:t xml:space="preserve"> sur les scénarios </w:t>
      </w:r>
      <w:r>
        <w:rPr>
          <w:kern w:val="18"/>
          <w:szCs w:val="18"/>
          <w:lang w:val="fr-FR"/>
        </w:rPr>
        <w:t>de</w:t>
      </w:r>
      <w:r w:rsidRPr="001524CB">
        <w:rPr>
          <w:kern w:val="18"/>
          <w:szCs w:val="18"/>
          <w:lang w:val="fr-FR"/>
        </w:rPr>
        <w:t xml:space="preserve"> la vision 2050 de la diversité biologique, paragraphe 2.</w:t>
      </w:r>
      <w:r>
        <w:rPr>
          <w:kern w:val="18"/>
          <w:szCs w:val="18"/>
          <w:lang w:val="fr-FR"/>
        </w:rPr>
        <w:t xml:space="preserve"> </w:t>
      </w:r>
      <w:r w:rsidR="00746F73">
        <w:rPr>
          <w:kern w:val="18"/>
          <w:szCs w:val="18"/>
          <w:lang w:val="fr-FR"/>
        </w:rPr>
        <w:t>f)</w:t>
      </w:r>
      <w:r w:rsidRPr="001524CB">
        <w:rPr>
          <w:kern w:val="18"/>
          <w:szCs w:val="18"/>
          <w:lang w:val="fr-FR"/>
        </w:rPr>
        <w:t>.</w:t>
      </w:r>
    </w:p>
  </w:footnote>
  <w:footnote w:id="4">
    <w:p w14:paraId="100563DC" w14:textId="77777777" w:rsidR="00B41967" w:rsidRPr="001524CB" w:rsidRDefault="00B41967" w:rsidP="00B41967">
      <w:pPr>
        <w:pStyle w:val="FootnoteText"/>
        <w:suppressLineNumbers/>
        <w:suppressAutoHyphens/>
        <w:ind w:firstLine="0"/>
        <w:jc w:val="left"/>
        <w:rPr>
          <w:kern w:val="18"/>
          <w:szCs w:val="18"/>
          <w:lang w:val="fr-FR"/>
        </w:rPr>
      </w:pPr>
      <w:r w:rsidRPr="00D86602">
        <w:rPr>
          <w:rStyle w:val="FootnoteReference"/>
          <w:kern w:val="18"/>
          <w:sz w:val="18"/>
          <w:szCs w:val="18"/>
        </w:rPr>
        <w:footnoteRef/>
      </w:r>
      <w:r w:rsidRPr="001524CB">
        <w:rPr>
          <w:kern w:val="18"/>
          <w:szCs w:val="18"/>
          <w:lang w:val="fr-FR"/>
        </w:rPr>
        <w:t xml:space="preserve"> Voir le deuxième rapport du Groupe d'experts de haut niveau sur l'évaluation mondiale des ressources pour la mise en œuvre du Plan stratégique pour la biodiversité 2011-2020 (Affectation des ressources nécessaires à la réalisation des objectifs d'Aichi rel</w:t>
      </w:r>
      <w:r>
        <w:rPr>
          <w:kern w:val="18"/>
          <w:szCs w:val="18"/>
          <w:lang w:val="fr-FR"/>
        </w:rPr>
        <w:t>atifs à la biodiversité, évaluation des avantages, b</w:t>
      </w:r>
      <w:r w:rsidRPr="001524CB">
        <w:rPr>
          <w:kern w:val="18"/>
          <w:szCs w:val="18"/>
          <w:lang w:val="fr-FR"/>
        </w:rPr>
        <w:t>esoins en investissements et en ressources pour la réalisation du Plan stratégiqu</w:t>
      </w:r>
      <w:r>
        <w:rPr>
          <w:kern w:val="18"/>
          <w:szCs w:val="18"/>
          <w:lang w:val="fr-FR"/>
        </w:rPr>
        <w:t>e 2011-2020) ; les rapports de l'Initiative sur l'é</w:t>
      </w:r>
      <w:r w:rsidRPr="001524CB">
        <w:rPr>
          <w:kern w:val="18"/>
          <w:szCs w:val="18"/>
          <w:lang w:val="fr-FR"/>
        </w:rPr>
        <w:t>conomie des écosystèmes et de la biodiversité (EEB) et les évaluations pertinentes de la plate-forme intergouvernementale scientifique et politique sur la biodiversité et les services écosystémiques.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55FE2338" w:rsidR="00F03F82" w:rsidRPr="006B3CF6" w:rsidRDefault="000827E1" w:rsidP="006B3CF6">
        <w:pPr>
          <w:pStyle w:val="Header"/>
          <w:tabs>
            <w:tab w:val="clear" w:pos="4320"/>
            <w:tab w:val="clear" w:pos="8640"/>
          </w:tabs>
          <w:jc w:val="left"/>
          <w:rPr>
            <w:noProof/>
            <w:kern w:val="22"/>
          </w:rPr>
        </w:pPr>
        <w:r>
          <w:rPr>
            <w:noProof/>
            <w:kern w:val="22"/>
          </w:rPr>
          <w:t>CBD/COP/DEC/14/22</w:t>
        </w:r>
      </w:p>
    </w:sdtContent>
  </w:sdt>
  <w:p w14:paraId="57597240" w14:textId="5CA1090E" w:rsidR="00F03F82" w:rsidRPr="006B3CF6" w:rsidRDefault="00F03F82" w:rsidP="006B3CF6">
    <w:pPr>
      <w:pStyle w:val="Header"/>
      <w:tabs>
        <w:tab w:val="clear" w:pos="4320"/>
        <w:tab w:val="clear" w:pos="8640"/>
      </w:tabs>
      <w:jc w:val="left"/>
      <w:rPr>
        <w:noProof/>
        <w:kern w:val="22"/>
      </w:rPr>
    </w:pPr>
    <w:r w:rsidRPr="006B3CF6">
      <w:rPr>
        <w:noProof/>
        <w:kern w:val="22"/>
      </w:rPr>
      <w:t xml:space="preserve">Page </w:t>
    </w:r>
    <w:r w:rsidRPr="006B3CF6">
      <w:rPr>
        <w:noProof/>
        <w:kern w:val="22"/>
      </w:rPr>
      <w:fldChar w:fldCharType="begin"/>
    </w:r>
    <w:r w:rsidRPr="006B3CF6">
      <w:rPr>
        <w:noProof/>
        <w:kern w:val="22"/>
      </w:rPr>
      <w:instrText xml:space="preserve"> PAGE   \* MERGEFORMAT </w:instrText>
    </w:r>
    <w:r w:rsidRPr="006B3CF6">
      <w:rPr>
        <w:noProof/>
        <w:kern w:val="22"/>
      </w:rPr>
      <w:fldChar w:fldCharType="separate"/>
    </w:r>
    <w:r w:rsidR="00746F73">
      <w:rPr>
        <w:noProof/>
        <w:kern w:val="22"/>
      </w:rPr>
      <w:t>2</w:t>
    </w:r>
    <w:r w:rsidRPr="006B3CF6">
      <w:rPr>
        <w:noProof/>
        <w:kern w:val="22"/>
      </w:rPr>
      <w:fldChar w:fldCharType="end"/>
    </w:r>
  </w:p>
  <w:p w14:paraId="1D80EB20" w14:textId="77777777" w:rsidR="00F03F82" w:rsidRPr="006B3CF6" w:rsidRDefault="00F03F82" w:rsidP="006B3CF6">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4224D5D0" w:rsidR="00F03F82" w:rsidRPr="006B3CF6" w:rsidRDefault="000827E1" w:rsidP="006B3CF6">
        <w:pPr>
          <w:pStyle w:val="Header"/>
          <w:tabs>
            <w:tab w:val="clear" w:pos="4320"/>
            <w:tab w:val="clear" w:pos="8640"/>
          </w:tabs>
          <w:jc w:val="right"/>
          <w:rPr>
            <w:noProof/>
            <w:kern w:val="22"/>
          </w:rPr>
        </w:pPr>
        <w:r>
          <w:rPr>
            <w:noProof/>
            <w:kern w:val="22"/>
          </w:rPr>
          <w:t>CBD/COP/DEC/14/22</w:t>
        </w:r>
      </w:p>
    </w:sdtContent>
  </w:sdt>
  <w:p w14:paraId="7E9B8683" w14:textId="03A65473" w:rsidR="00F03F82" w:rsidRPr="006B3CF6" w:rsidRDefault="00F03F82" w:rsidP="006B3CF6">
    <w:pPr>
      <w:pStyle w:val="Header"/>
      <w:tabs>
        <w:tab w:val="clear" w:pos="4320"/>
        <w:tab w:val="clear" w:pos="8640"/>
      </w:tabs>
      <w:jc w:val="right"/>
      <w:rPr>
        <w:noProof/>
        <w:kern w:val="22"/>
      </w:rPr>
    </w:pPr>
    <w:r w:rsidRPr="006B3CF6">
      <w:rPr>
        <w:noProof/>
        <w:kern w:val="22"/>
      </w:rPr>
      <w:t xml:space="preserve">Page </w:t>
    </w:r>
    <w:r w:rsidRPr="006B3CF6">
      <w:rPr>
        <w:noProof/>
        <w:kern w:val="22"/>
      </w:rPr>
      <w:fldChar w:fldCharType="begin"/>
    </w:r>
    <w:r w:rsidRPr="006B3CF6">
      <w:rPr>
        <w:noProof/>
        <w:kern w:val="22"/>
      </w:rPr>
      <w:instrText xml:space="preserve"> PAGE   \* MERGEFORMAT </w:instrText>
    </w:r>
    <w:r w:rsidRPr="006B3CF6">
      <w:rPr>
        <w:noProof/>
        <w:kern w:val="22"/>
      </w:rPr>
      <w:fldChar w:fldCharType="separate"/>
    </w:r>
    <w:r w:rsidR="00746F73">
      <w:rPr>
        <w:noProof/>
        <w:kern w:val="22"/>
      </w:rPr>
      <w:t>3</w:t>
    </w:r>
    <w:r w:rsidRPr="006B3CF6">
      <w:rPr>
        <w:noProof/>
        <w:kern w:val="22"/>
      </w:rPr>
      <w:fldChar w:fldCharType="end"/>
    </w:r>
  </w:p>
  <w:p w14:paraId="2F845650" w14:textId="77777777" w:rsidR="00F03F82" w:rsidRPr="006B3CF6" w:rsidRDefault="00F03F82" w:rsidP="006B3CF6">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7CA66BE"/>
    <w:multiLevelType w:val="hybridMultilevel"/>
    <w:tmpl w:val="8CCE25F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7"/>
  </w:num>
  <w:num w:numId="5">
    <w:abstractNumId w:val="6"/>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11249"/>
    <w:rsid w:val="00030252"/>
    <w:rsid w:val="000400B3"/>
    <w:rsid w:val="000827E1"/>
    <w:rsid w:val="00084342"/>
    <w:rsid w:val="000A1668"/>
    <w:rsid w:val="000A1965"/>
    <w:rsid w:val="000E673A"/>
    <w:rsid w:val="000F051B"/>
    <w:rsid w:val="000F74F5"/>
    <w:rsid w:val="00102B78"/>
    <w:rsid w:val="00105372"/>
    <w:rsid w:val="00123D6D"/>
    <w:rsid w:val="00126162"/>
    <w:rsid w:val="00131E7A"/>
    <w:rsid w:val="00164BBF"/>
    <w:rsid w:val="001656D6"/>
    <w:rsid w:val="00165791"/>
    <w:rsid w:val="00172AF6"/>
    <w:rsid w:val="00176CEE"/>
    <w:rsid w:val="001D1464"/>
    <w:rsid w:val="001F0F8E"/>
    <w:rsid w:val="00217097"/>
    <w:rsid w:val="002265B4"/>
    <w:rsid w:val="00230B6E"/>
    <w:rsid w:val="00250A70"/>
    <w:rsid w:val="002B377A"/>
    <w:rsid w:val="002C5EEE"/>
    <w:rsid w:val="002D043A"/>
    <w:rsid w:val="003362F8"/>
    <w:rsid w:val="003640AF"/>
    <w:rsid w:val="0037257E"/>
    <w:rsid w:val="00372F74"/>
    <w:rsid w:val="003B59E3"/>
    <w:rsid w:val="003B7008"/>
    <w:rsid w:val="003F7224"/>
    <w:rsid w:val="00405146"/>
    <w:rsid w:val="00410A30"/>
    <w:rsid w:val="0042412C"/>
    <w:rsid w:val="00427D21"/>
    <w:rsid w:val="0044688B"/>
    <w:rsid w:val="00454955"/>
    <w:rsid w:val="004644C2"/>
    <w:rsid w:val="00464CCD"/>
    <w:rsid w:val="0046693A"/>
    <w:rsid w:val="00467F9C"/>
    <w:rsid w:val="00486863"/>
    <w:rsid w:val="0049446F"/>
    <w:rsid w:val="00496E05"/>
    <w:rsid w:val="004A6517"/>
    <w:rsid w:val="004B4732"/>
    <w:rsid w:val="004E4DB4"/>
    <w:rsid w:val="0050025E"/>
    <w:rsid w:val="00504945"/>
    <w:rsid w:val="00534681"/>
    <w:rsid w:val="00574E83"/>
    <w:rsid w:val="00580AF2"/>
    <w:rsid w:val="005B4D10"/>
    <w:rsid w:val="005C4BEC"/>
    <w:rsid w:val="005E4798"/>
    <w:rsid w:val="0060695E"/>
    <w:rsid w:val="006122BA"/>
    <w:rsid w:val="0061445E"/>
    <w:rsid w:val="00630207"/>
    <w:rsid w:val="00634AD0"/>
    <w:rsid w:val="006548FE"/>
    <w:rsid w:val="00666635"/>
    <w:rsid w:val="00694BCF"/>
    <w:rsid w:val="006B2290"/>
    <w:rsid w:val="006B3CF6"/>
    <w:rsid w:val="006C7015"/>
    <w:rsid w:val="006C751B"/>
    <w:rsid w:val="006F1CC8"/>
    <w:rsid w:val="00710AA7"/>
    <w:rsid w:val="00717D88"/>
    <w:rsid w:val="00746F73"/>
    <w:rsid w:val="00752183"/>
    <w:rsid w:val="0075770D"/>
    <w:rsid w:val="00757BDA"/>
    <w:rsid w:val="00780487"/>
    <w:rsid w:val="0078499F"/>
    <w:rsid w:val="00790888"/>
    <w:rsid w:val="007942D3"/>
    <w:rsid w:val="007B6C09"/>
    <w:rsid w:val="007E09DA"/>
    <w:rsid w:val="007E5704"/>
    <w:rsid w:val="008178B6"/>
    <w:rsid w:val="0082333A"/>
    <w:rsid w:val="0084339D"/>
    <w:rsid w:val="00861CFD"/>
    <w:rsid w:val="00865B74"/>
    <w:rsid w:val="0087549E"/>
    <w:rsid w:val="00882C6A"/>
    <w:rsid w:val="008908C0"/>
    <w:rsid w:val="008B29BC"/>
    <w:rsid w:val="008B3FE5"/>
    <w:rsid w:val="008B6B73"/>
    <w:rsid w:val="008C590E"/>
    <w:rsid w:val="008D54EC"/>
    <w:rsid w:val="008D59B6"/>
    <w:rsid w:val="008E44A1"/>
    <w:rsid w:val="00915F0D"/>
    <w:rsid w:val="00930BA1"/>
    <w:rsid w:val="0093169E"/>
    <w:rsid w:val="0093349C"/>
    <w:rsid w:val="00937D2F"/>
    <w:rsid w:val="00944B0E"/>
    <w:rsid w:val="009505C9"/>
    <w:rsid w:val="00960464"/>
    <w:rsid w:val="009662AD"/>
    <w:rsid w:val="00975F96"/>
    <w:rsid w:val="00987B9E"/>
    <w:rsid w:val="0099069F"/>
    <w:rsid w:val="00992BCB"/>
    <w:rsid w:val="00994993"/>
    <w:rsid w:val="009968CA"/>
    <w:rsid w:val="009A40A0"/>
    <w:rsid w:val="009C200D"/>
    <w:rsid w:val="009F1E35"/>
    <w:rsid w:val="00A00B65"/>
    <w:rsid w:val="00A046AF"/>
    <w:rsid w:val="00A17E01"/>
    <w:rsid w:val="00A21F4E"/>
    <w:rsid w:val="00A22388"/>
    <w:rsid w:val="00A26FE7"/>
    <w:rsid w:val="00A57E7F"/>
    <w:rsid w:val="00AA3BC0"/>
    <w:rsid w:val="00AE17A1"/>
    <w:rsid w:val="00AE1DD1"/>
    <w:rsid w:val="00B034D3"/>
    <w:rsid w:val="00B3038E"/>
    <w:rsid w:val="00B3369F"/>
    <w:rsid w:val="00B33B5B"/>
    <w:rsid w:val="00B41967"/>
    <w:rsid w:val="00B464D0"/>
    <w:rsid w:val="00B64A51"/>
    <w:rsid w:val="00B7137C"/>
    <w:rsid w:val="00BB7E9D"/>
    <w:rsid w:val="00BD3426"/>
    <w:rsid w:val="00BD3FA6"/>
    <w:rsid w:val="00BE783E"/>
    <w:rsid w:val="00BF1F1A"/>
    <w:rsid w:val="00BF738D"/>
    <w:rsid w:val="00C14A96"/>
    <w:rsid w:val="00C2301C"/>
    <w:rsid w:val="00C24156"/>
    <w:rsid w:val="00C35D4A"/>
    <w:rsid w:val="00C42A27"/>
    <w:rsid w:val="00C44E5A"/>
    <w:rsid w:val="00C56AF2"/>
    <w:rsid w:val="00C56DB9"/>
    <w:rsid w:val="00C62DED"/>
    <w:rsid w:val="00C9161D"/>
    <w:rsid w:val="00CB45AF"/>
    <w:rsid w:val="00CC1451"/>
    <w:rsid w:val="00CC425B"/>
    <w:rsid w:val="00CC4803"/>
    <w:rsid w:val="00CE1097"/>
    <w:rsid w:val="00CE4B56"/>
    <w:rsid w:val="00CF1848"/>
    <w:rsid w:val="00D04307"/>
    <w:rsid w:val="00D12044"/>
    <w:rsid w:val="00D372BB"/>
    <w:rsid w:val="00D426AB"/>
    <w:rsid w:val="00D4699A"/>
    <w:rsid w:val="00D54826"/>
    <w:rsid w:val="00D67E19"/>
    <w:rsid w:val="00D76A18"/>
    <w:rsid w:val="00D86602"/>
    <w:rsid w:val="00DB27BC"/>
    <w:rsid w:val="00DD118C"/>
    <w:rsid w:val="00DE2A7B"/>
    <w:rsid w:val="00E021F5"/>
    <w:rsid w:val="00E02ED8"/>
    <w:rsid w:val="00E04D93"/>
    <w:rsid w:val="00E05647"/>
    <w:rsid w:val="00E06425"/>
    <w:rsid w:val="00E142AC"/>
    <w:rsid w:val="00E66235"/>
    <w:rsid w:val="00E74D7B"/>
    <w:rsid w:val="00E83C24"/>
    <w:rsid w:val="00E90617"/>
    <w:rsid w:val="00E9318D"/>
    <w:rsid w:val="00ED326D"/>
    <w:rsid w:val="00EF1F8A"/>
    <w:rsid w:val="00F03F82"/>
    <w:rsid w:val="00F12B82"/>
    <w:rsid w:val="00F40B07"/>
    <w:rsid w:val="00F4352E"/>
    <w:rsid w:val="00F63FA9"/>
    <w:rsid w:val="00F8490E"/>
    <w:rsid w:val="00F912D0"/>
    <w:rsid w:val="00F917D5"/>
    <w:rsid w:val="00F94774"/>
    <w:rsid w:val="00FA1286"/>
    <w:rsid w:val="00FA2451"/>
    <w:rsid w:val="00FB1194"/>
    <w:rsid w:val="00FB48D4"/>
    <w:rsid w:val="00FB5620"/>
    <w:rsid w:val="00FC53DB"/>
    <w:rsid w:val="00FE3A77"/>
    <w:rsid w:val="00FE41D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975F96"/>
    <w:pPr>
      <w:keepNext/>
      <w:spacing w:before="240" w:after="120"/>
      <w:ind w:left="720" w:hanging="720"/>
      <w:jc w:val="center"/>
    </w:pPr>
    <w:rPr>
      <w:b/>
      <w:kern w:val="22"/>
    </w:rPr>
  </w:style>
  <w:style w:type="paragraph" w:styleId="NormalWeb">
    <w:name w:val="Normal (Web)"/>
    <w:basedOn w:val="Normal"/>
    <w:uiPriority w:val="99"/>
    <w:rsid w:val="00975F96"/>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975F96"/>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975F96"/>
    <w:rPr>
      <w:rFonts w:ascii="Times New Roman" w:eastAsia="Times New Roman" w:hAnsi="Times New Roman" w:cs="Times New Roman"/>
      <w:sz w:val="22"/>
      <w:lang w:val="en-GB"/>
    </w:rPr>
  </w:style>
  <w:style w:type="paragraph" w:customStyle="1" w:styleId="sub-item">
    <w:name w:val="sub-item"/>
    <w:basedOn w:val="Heading2"/>
    <w:qFormat/>
    <w:rsid w:val="00975F96"/>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975F9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75F9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975F96"/>
    <w:pPr>
      <w:keepNext/>
      <w:spacing w:before="240" w:after="120"/>
      <w:ind w:left="720" w:hanging="720"/>
      <w:jc w:val="center"/>
    </w:pPr>
    <w:rPr>
      <w:b/>
      <w:kern w:val="22"/>
    </w:rPr>
  </w:style>
  <w:style w:type="paragraph" w:styleId="NormalWeb">
    <w:name w:val="Normal (Web)"/>
    <w:basedOn w:val="Normal"/>
    <w:uiPriority w:val="99"/>
    <w:rsid w:val="00975F96"/>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975F96"/>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975F96"/>
    <w:rPr>
      <w:rFonts w:ascii="Times New Roman" w:eastAsia="Times New Roman" w:hAnsi="Times New Roman" w:cs="Times New Roman"/>
      <w:sz w:val="22"/>
      <w:lang w:val="en-GB"/>
    </w:rPr>
  </w:style>
  <w:style w:type="paragraph" w:customStyle="1" w:styleId="sub-item">
    <w:name w:val="sub-item"/>
    <w:basedOn w:val="Heading2"/>
    <w:qFormat/>
    <w:rsid w:val="00975F96"/>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975F9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75F9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2/cop-12-dec-03-fr.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3C94CED9B98D4389A1C91C399F18377C"/>
        <w:category>
          <w:name w:val="General"/>
          <w:gallery w:val="placeholder"/>
        </w:category>
        <w:types>
          <w:type w:val="bbPlcHdr"/>
        </w:types>
        <w:behaviors>
          <w:behavior w:val="content"/>
        </w:behaviors>
        <w:guid w:val="{7BE9F09B-2A4B-408C-A4E4-B72979C4F729}"/>
      </w:docPartPr>
      <w:docPartBody>
        <w:p w:rsidR="00462E61" w:rsidRDefault="00483BFE" w:rsidP="00483BFE">
          <w:pPr>
            <w:pStyle w:val="3C94CED9B98D4389A1C91C399F18377C"/>
          </w:pPr>
          <w:r w:rsidRPr="007E02EB">
            <w:rPr>
              <w:rStyle w:val="PlaceholderText"/>
            </w:rPr>
            <w:t>[Status]</w:t>
          </w:r>
        </w:p>
      </w:docPartBody>
    </w:docPart>
    <w:docPart>
      <w:docPartPr>
        <w:name w:val="7AF01CE646CC4262A70B83E326C8867D"/>
        <w:category>
          <w:name w:val="General"/>
          <w:gallery w:val="placeholder"/>
        </w:category>
        <w:types>
          <w:type w:val="bbPlcHdr"/>
        </w:types>
        <w:behaviors>
          <w:behavior w:val="content"/>
        </w:behaviors>
        <w:guid w:val="{A510987A-365C-4AE7-8793-371C42FA7D5F}"/>
      </w:docPartPr>
      <w:docPartBody>
        <w:p w:rsidR="00462E61" w:rsidRDefault="00483BFE" w:rsidP="00483BFE">
          <w:pPr>
            <w:pStyle w:val="7AF01CE646CC4262A70B83E326C8867D"/>
          </w:pPr>
          <w:r w:rsidRPr="007E02EB">
            <w:rPr>
              <w:rStyle w:val="PlaceholderText"/>
            </w:rPr>
            <w:t>[Subject]</w:t>
          </w:r>
        </w:p>
      </w:docPartBody>
    </w:docPart>
    <w:docPart>
      <w:docPartPr>
        <w:name w:val="1D9C73C89F414DA1AE1910F519EE72ED"/>
        <w:category>
          <w:name w:val="General"/>
          <w:gallery w:val="placeholder"/>
        </w:category>
        <w:types>
          <w:type w:val="bbPlcHdr"/>
        </w:types>
        <w:behaviors>
          <w:behavior w:val="content"/>
        </w:behaviors>
        <w:guid w:val="{33DA1FF4-78EC-4BB7-9864-5111079FAD39}"/>
      </w:docPartPr>
      <w:docPartBody>
        <w:p w:rsidR="00F87C89" w:rsidRDefault="001F19A9" w:rsidP="001F19A9">
          <w:pPr>
            <w:pStyle w:val="1D9C73C89F414DA1AE1910F519EE72ED"/>
          </w:pPr>
          <w:r w:rsidRPr="004C6EA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F19A9"/>
    <w:rsid w:val="00261E9A"/>
    <w:rsid w:val="00462E61"/>
    <w:rsid w:val="00483BFE"/>
    <w:rsid w:val="004967A2"/>
    <w:rsid w:val="004A392B"/>
    <w:rsid w:val="00500A2B"/>
    <w:rsid w:val="0058288D"/>
    <w:rsid w:val="005A2A55"/>
    <w:rsid w:val="006801B3"/>
    <w:rsid w:val="00720F63"/>
    <w:rsid w:val="007F1B76"/>
    <w:rsid w:val="00810A55"/>
    <w:rsid w:val="008A35C4"/>
    <w:rsid w:val="008C6619"/>
    <w:rsid w:val="008D420E"/>
    <w:rsid w:val="0098642F"/>
    <w:rsid w:val="00994070"/>
    <w:rsid w:val="00B442EE"/>
    <w:rsid w:val="00CE6602"/>
    <w:rsid w:val="00F87C89"/>
    <w:rsid w:val="00FE2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19A9"/>
    <w:rPr>
      <w:color w:val="808080"/>
    </w:rPr>
  </w:style>
  <w:style w:type="paragraph" w:customStyle="1" w:styleId="C444DEE40D7C456B82AF1A09CD132ABF">
    <w:name w:val="C444DEE40D7C456B82AF1A09CD132ABF"/>
    <w:rsid w:val="00CE6602"/>
    <w:pPr>
      <w:spacing w:after="160" w:line="259" w:lineRule="auto"/>
    </w:pPr>
  </w:style>
  <w:style w:type="paragraph" w:customStyle="1" w:styleId="B1C53E57AB8F40009FBDFFF319441144">
    <w:name w:val="B1C53E57AB8F40009FBDFFF319441144"/>
    <w:rsid w:val="00483BFE"/>
    <w:pPr>
      <w:spacing w:after="160" w:line="259" w:lineRule="auto"/>
    </w:pPr>
    <w:rPr>
      <w:lang w:val="en-CA" w:eastAsia="en-CA"/>
    </w:rPr>
  </w:style>
  <w:style w:type="paragraph" w:customStyle="1" w:styleId="5455CFA90C8D4BE4B6BA0EBF059E5BD0">
    <w:name w:val="5455CFA90C8D4BE4B6BA0EBF059E5BD0"/>
    <w:rsid w:val="00483BFE"/>
    <w:pPr>
      <w:spacing w:after="160" w:line="259" w:lineRule="auto"/>
    </w:pPr>
    <w:rPr>
      <w:lang w:val="en-CA" w:eastAsia="en-CA"/>
    </w:rPr>
  </w:style>
  <w:style w:type="paragraph" w:customStyle="1" w:styleId="1B6CE6BCB9BD4523B043A395DF1E3961">
    <w:name w:val="1B6CE6BCB9BD4523B043A395DF1E3961"/>
    <w:rsid w:val="00483BFE"/>
    <w:pPr>
      <w:spacing w:after="160" w:line="259" w:lineRule="auto"/>
    </w:pPr>
    <w:rPr>
      <w:lang w:val="en-CA" w:eastAsia="en-CA"/>
    </w:rPr>
  </w:style>
  <w:style w:type="paragraph" w:customStyle="1" w:styleId="0F9DEC742FDB48D4B57B7D803D8D8068">
    <w:name w:val="0F9DEC742FDB48D4B57B7D803D8D8068"/>
    <w:rsid w:val="00483BFE"/>
    <w:pPr>
      <w:spacing w:after="160" w:line="259" w:lineRule="auto"/>
    </w:pPr>
    <w:rPr>
      <w:lang w:val="en-CA" w:eastAsia="en-CA"/>
    </w:rPr>
  </w:style>
  <w:style w:type="paragraph" w:customStyle="1" w:styleId="DF8756B6016F419497CDD5D06314DE55">
    <w:name w:val="DF8756B6016F419497CDD5D06314DE55"/>
    <w:rsid w:val="00483BFE"/>
    <w:pPr>
      <w:spacing w:after="160" w:line="259" w:lineRule="auto"/>
    </w:pPr>
    <w:rPr>
      <w:lang w:val="en-CA" w:eastAsia="en-CA"/>
    </w:rPr>
  </w:style>
  <w:style w:type="paragraph" w:customStyle="1" w:styleId="A04925F538B74605A16BCE542D38297F">
    <w:name w:val="A04925F538B74605A16BCE542D38297F"/>
    <w:rsid w:val="00483BFE"/>
    <w:pPr>
      <w:spacing w:after="160" w:line="259" w:lineRule="auto"/>
    </w:pPr>
    <w:rPr>
      <w:lang w:val="en-CA" w:eastAsia="en-CA"/>
    </w:rPr>
  </w:style>
  <w:style w:type="paragraph" w:customStyle="1" w:styleId="608B37F277894773839766CDCABFF31D">
    <w:name w:val="608B37F277894773839766CDCABFF31D"/>
    <w:rsid w:val="00483BFE"/>
    <w:pPr>
      <w:spacing w:after="160" w:line="259" w:lineRule="auto"/>
    </w:pPr>
    <w:rPr>
      <w:lang w:val="en-CA" w:eastAsia="en-CA"/>
    </w:rPr>
  </w:style>
  <w:style w:type="paragraph" w:customStyle="1" w:styleId="3C94CED9B98D4389A1C91C399F18377C">
    <w:name w:val="3C94CED9B98D4389A1C91C399F18377C"/>
    <w:rsid w:val="00483BFE"/>
    <w:pPr>
      <w:spacing w:after="160" w:line="259" w:lineRule="auto"/>
    </w:pPr>
    <w:rPr>
      <w:lang w:val="en-CA" w:eastAsia="en-CA"/>
    </w:rPr>
  </w:style>
  <w:style w:type="paragraph" w:customStyle="1" w:styleId="7AF01CE646CC4262A70B83E326C8867D">
    <w:name w:val="7AF01CE646CC4262A70B83E326C8867D"/>
    <w:rsid w:val="00483BFE"/>
    <w:pPr>
      <w:spacing w:after="160" w:line="259" w:lineRule="auto"/>
    </w:pPr>
    <w:rPr>
      <w:lang w:val="en-CA" w:eastAsia="en-CA"/>
    </w:rPr>
  </w:style>
  <w:style w:type="paragraph" w:customStyle="1" w:styleId="1D9C73C89F414DA1AE1910F519EE72ED">
    <w:name w:val="1D9C73C89F414DA1AE1910F519EE72ED"/>
    <w:rsid w:val="001F19A9"/>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19A9"/>
    <w:rPr>
      <w:color w:val="808080"/>
    </w:rPr>
  </w:style>
  <w:style w:type="paragraph" w:customStyle="1" w:styleId="C444DEE40D7C456B82AF1A09CD132ABF">
    <w:name w:val="C444DEE40D7C456B82AF1A09CD132ABF"/>
    <w:rsid w:val="00CE6602"/>
    <w:pPr>
      <w:spacing w:after="160" w:line="259" w:lineRule="auto"/>
    </w:pPr>
  </w:style>
  <w:style w:type="paragraph" w:customStyle="1" w:styleId="B1C53E57AB8F40009FBDFFF319441144">
    <w:name w:val="B1C53E57AB8F40009FBDFFF319441144"/>
    <w:rsid w:val="00483BFE"/>
    <w:pPr>
      <w:spacing w:after="160" w:line="259" w:lineRule="auto"/>
    </w:pPr>
    <w:rPr>
      <w:lang w:val="en-CA" w:eastAsia="en-CA"/>
    </w:rPr>
  </w:style>
  <w:style w:type="paragraph" w:customStyle="1" w:styleId="5455CFA90C8D4BE4B6BA0EBF059E5BD0">
    <w:name w:val="5455CFA90C8D4BE4B6BA0EBF059E5BD0"/>
    <w:rsid w:val="00483BFE"/>
    <w:pPr>
      <w:spacing w:after="160" w:line="259" w:lineRule="auto"/>
    </w:pPr>
    <w:rPr>
      <w:lang w:val="en-CA" w:eastAsia="en-CA"/>
    </w:rPr>
  </w:style>
  <w:style w:type="paragraph" w:customStyle="1" w:styleId="1B6CE6BCB9BD4523B043A395DF1E3961">
    <w:name w:val="1B6CE6BCB9BD4523B043A395DF1E3961"/>
    <w:rsid w:val="00483BFE"/>
    <w:pPr>
      <w:spacing w:after="160" w:line="259" w:lineRule="auto"/>
    </w:pPr>
    <w:rPr>
      <w:lang w:val="en-CA" w:eastAsia="en-CA"/>
    </w:rPr>
  </w:style>
  <w:style w:type="paragraph" w:customStyle="1" w:styleId="0F9DEC742FDB48D4B57B7D803D8D8068">
    <w:name w:val="0F9DEC742FDB48D4B57B7D803D8D8068"/>
    <w:rsid w:val="00483BFE"/>
    <w:pPr>
      <w:spacing w:after="160" w:line="259" w:lineRule="auto"/>
    </w:pPr>
    <w:rPr>
      <w:lang w:val="en-CA" w:eastAsia="en-CA"/>
    </w:rPr>
  </w:style>
  <w:style w:type="paragraph" w:customStyle="1" w:styleId="DF8756B6016F419497CDD5D06314DE55">
    <w:name w:val="DF8756B6016F419497CDD5D06314DE55"/>
    <w:rsid w:val="00483BFE"/>
    <w:pPr>
      <w:spacing w:after="160" w:line="259" w:lineRule="auto"/>
    </w:pPr>
    <w:rPr>
      <w:lang w:val="en-CA" w:eastAsia="en-CA"/>
    </w:rPr>
  </w:style>
  <w:style w:type="paragraph" w:customStyle="1" w:styleId="A04925F538B74605A16BCE542D38297F">
    <w:name w:val="A04925F538B74605A16BCE542D38297F"/>
    <w:rsid w:val="00483BFE"/>
    <w:pPr>
      <w:spacing w:after="160" w:line="259" w:lineRule="auto"/>
    </w:pPr>
    <w:rPr>
      <w:lang w:val="en-CA" w:eastAsia="en-CA"/>
    </w:rPr>
  </w:style>
  <w:style w:type="paragraph" w:customStyle="1" w:styleId="608B37F277894773839766CDCABFF31D">
    <w:name w:val="608B37F277894773839766CDCABFF31D"/>
    <w:rsid w:val="00483BFE"/>
    <w:pPr>
      <w:spacing w:after="160" w:line="259" w:lineRule="auto"/>
    </w:pPr>
    <w:rPr>
      <w:lang w:val="en-CA" w:eastAsia="en-CA"/>
    </w:rPr>
  </w:style>
  <w:style w:type="paragraph" w:customStyle="1" w:styleId="3C94CED9B98D4389A1C91C399F18377C">
    <w:name w:val="3C94CED9B98D4389A1C91C399F18377C"/>
    <w:rsid w:val="00483BFE"/>
    <w:pPr>
      <w:spacing w:after="160" w:line="259" w:lineRule="auto"/>
    </w:pPr>
    <w:rPr>
      <w:lang w:val="en-CA" w:eastAsia="en-CA"/>
    </w:rPr>
  </w:style>
  <w:style w:type="paragraph" w:customStyle="1" w:styleId="7AF01CE646CC4262A70B83E326C8867D">
    <w:name w:val="7AF01CE646CC4262A70B83E326C8867D"/>
    <w:rsid w:val="00483BFE"/>
    <w:pPr>
      <w:spacing w:after="160" w:line="259" w:lineRule="auto"/>
    </w:pPr>
    <w:rPr>
      <w:lang w:val="en-CA" w:eastAsia="en-CA"/>
    </w:rPr>
  </w:style>
  <w:style w:type="paragraph" w:customStyle="1" w:styleId="1D9C73C89F414DA1AE1910F519EE72ED">
    <w:name w:val="1D9C73C89F414DA1AE1910F519EE72ED"/>
    <w:rsid w:val="001F19A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B84A1F-A0C2-413E-A215-BEA618E3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1507</Words>
  <Characters>8596</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14/22.	Mobilisation des ressources</vt:lpstr>
      <vt:lpstr>Resource mobilization</vt:lpstr>
    </vt:vector>
  </TitlesOfParts>
  <Company>SCBD</Company>
  <LinksUpToDate>false</LinksUpToDate>
  <CharactersWithSpaces>10083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14/22.	Mobilisation des ressources</dc:title>
  <dc:subject>CBD/COP/DEC/14/22</dc:subject>
  <dc:creator>COP 14</dc:creator>
  <cp:keywords>Resource mobilization and the financial mechanism, Convention on Biological Diversity</cp:keywords>
  <cp:lastModifiedBy>--</cp:lastModifiedBy>
  <cp:revision>9</cp:revision>
  <cp:lastPrinted>2018-11-20T08:32:00Z</cp:lastPrinted>
  <dcterms:created xsi:type="dcterms:W3CDTF">2019-01-17T11:05:00Z</dcterms:created>
  <dcterms:modified xsi:type="dcterms:W3CDTF">2019-01-23T10:32:00Z</dcterms:modified>
  <cp:contentStatus>GÉNÉRALE</cp:contentStatus>
</cp:coreProperties>
</file>