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27FFD" w:rsidRPr="00D229BA" w14:paraId="0A2C34AC" w14:textId="77777777" w:rsidTr="00A72D3E">
        <w:trPr>
          <w:trHeight w:val="709"/>
        </w:trPr>
        <w:tc>
          <w:tcPr>
            <w:tcW w:w="976" w:type="dxa"/>
            <w:tcBorders>
              <w:bottom w:val="single" w:sz="12" w:space="0" w:color="auto"/>
            </w:tcBorders>
          </w:tcPr>
          <w:p w14:paraId="37C0E61E" w14:textId="77777777" w:rsidR="00227FFD" w:rsidRPr="00D229BA" w:rsidRDefault="00227FFD" w:rsidP="00A72D3E">
            <w:pPr>
              <w:rPr>
                <w:lang w:val="fr-FR"/>
              </w:rPr>
            </w:pPr>
            <w:bookmarkStart w:id="0" w:name="_Toc522023216"/>
            <w:bookmarkStart w:id="1" w:name="_GoBack"/>
            <w:bookmarkEnd w:id="1"/>
            <w:r w:rsidRPr="00D229BA">
              <w:rPr>
                <w:noProof/>
                <w:lang w:eastAsia="en-GB"/>
              </w:rPr>
              <w:drawing>
                <wp:inline distT="0" distB="0" distL="0" distR="0" wp14:anchorId="39F0B69B" wp14:editId="629A366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7E48DB7F" w14:textId="77777777" w:rsidR="00227FFD" w:rsidRPr="00D229BA" w:rsidRDefault="00227FFD" w:rsidP="00A72D3E">
            <w:pPr>
              <w:rPr>
                <w:lang w:val="fr-FR"/>
              </w:rPr>
            </w:pPr>
            <w:r w:rsidRPr="00D229BA">
              <w:rPr>
                <w:noProof/>
                <w:lang w:eastAsia="en-GB"/>
              </w:rPr>
              <w:drawing>
                <wp:inline distT="0" distB="0" distL="0" distR="0" wp14:anchorId="5126861B" wp14:editId="4DF38E7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C1985BB" w14:textId="77777777" w:rsidR="00227FFD" w:rsidRPr="00D229BA" w:rsidRDefault="00227FFD" w:rsidP="00A72D3E">
            <w:pPr>
              <w:jc w:val="right"/>
              <w:rPr>
                <w:rFonts w:ascii="Arial" w:hAnsi="Arial" w:cs="Arial"/>
                <w:b/>
                <w:sz w:val="32"/>
                <w:szCs w:val="32"/>
                <w:lang w:val="fr-FR"/>
              </w:rPr>
            </w:pPr>
            <w:r w:rsidRPr="00D229BA">
              <w:rPr>
                <w:rFonts w:ascii="Arial" w:hAnsi="Arial" w:cs="Arial"/>
                <w:b/>
                <w:sz w:val="32"/>
                <w:szCs w:val="32"/>
                <w:lang w:val="fr-FR"/>
              </w:rPr>
              <w:t>CBD</w:t>
            </w:r>
          </w:p>
        </w:tc>
      </w:tr>
      <w:tr w:rsidR="00227FFD" w:rsidRPr="00D229BA" w14:paraId="271DB68B" w14:textId="77777777" w:rsidTr="00A72D3E">
        <w:tc>
          <w:tcPr>
            <w:tcW w:w="6117" w:type="dxa"/>
            <w:gridSpan w:val="2"/>
            <w:tcBorders>
              <w:top w:val="single" w:sz="12" w:space="0" w:color="auto"/>
              <w:bottom w:val="single" w:sz="36" w:space="0" w:color="auto"/>
            </w:tcBorders>
            <w:vAlign w:val="center"/>
          </w:tcPr>
          <w:p w14:paraId="5CED66E0" w14:textId="77777777" w:rsidR="00227FFD" w:rsidRPr="00D229BA" w:rsidRDefault="00227FFD" w:rsidP="00A72D3E">
            <w:pPr>
              <w:rPr>
                <w:lang w:val="fr-FR"/>
              </w:rPr>
            </w:pPr>
            <w:r w:rsidRPr="00D229BA">
              <w:rPr>
                <w:noProof/>
                <w:lang w:eastAsia="en-GB"/>
              </w:rPr>
              <w:drawing>
                <wp:inline distT="0" distB="0" distL="0" distR="0" wp14:anchorId="13ADC1E7" wp14:editId="0BF47DC2">
                  <wp:extent cx="2857500" cy="1076325"/>
                  <wp:effectExtent l="0" t="0" r="0" b="9525"/>
                  <wp:docPr id="2" name="Picture 2" descr="CBD_logo_fr-CMYK-black [Converted]"/>
                  <wp:cNvGraphicFramePr/>
                  <a:graphic xmlns:a="http://schemas.openxmlformats.org/drawingml/2006/main">
                    <a:graphicData uri="http://schemas.openxmlformats.org/drawingml/2006/picture">
                      <pic:pic xmlns:pic="http://schemas.openxmlformats.org/drawingml/2006/picture">
                        <pic:nvPicPr>
                          <pic:cNvPr id="2" name="Picture 2" descr="CBD_logo_fr-CMYK-black [Conver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A9088A7" w14:textId="77777777" w:rsidR="00227FFD" w:rsidRPr="00D229BA" w:rsidRDefault="00227FFD" w:rsidP="00A72D3E">
            <w:pPr>
              <w:ind w:left="1215"/>
              <w:rPr>
                <w:noProof/>
                <w:szCs w:val="22"/>
                <w:lang w:val="fr-FR"/>
              </w:rPr>
            </w:pPr>
            <w:r w:rsidRPr="00D229BA">
              <w:rPr>
                <w:noProof/>
                <w:szCs w:val="22"/>
                <w:lang w:val="fr-FR"/>
              </w:rPr>
              <w:t>Distr.</w:t>
            </w:r>
          </w:p>
          <w:p w14:paraId="35D72A03" w14:textId="7D8A72E5" w:rsidR="00227FFD" w:rsidRPr="00D229BA" w:rsidRDefault="006B0C83" w:rsidP="00A72D3E">
            <w:pPr>
              <w:ind w:left="1215"/>
              <w:rPr>
                <w:szCs w:val="22"/>
                <w:lang w:val="fr-FR"/>
              </w:rPr>
            </w:pPr>
            <w:sdt>
              <w:sdtPr>
                <w:rPr>
                  <w:caps/>
                  <w:szCs w:val="22"/>
                  <w:lang w:val="fr-FR"/>
                </w:rPr>
                <w:alias w:val="Status"/>
                <w:tag w:val=""/>
                <w:id w:val="307985777"/>
                <w:placeholder>
                  <w:docPart w:val="95110B270E2340708CF7D532AAD3EAB1"/>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7FFD" w:rsidRPr="00D229BA">
                  <w:rPr>
                    <w:caps/>
                    <w:szCs w:val="22"/>
                    <w:lang w:val="fr-FR"/>
                  </w:rPr>
                  <w:t>GÉNÉRALE</w:t>
                </w:r>
              </w:sdtContent>
            </w:sdt>
          </w:p>
          <w:p w14:paraId="1E536E3E" w14:textId="77777777" w:rsidR="00D229BA" w:rsidRPr="00D229BA" w:rsidRDefault="00D229BA" w:rsidP="00D229BA">
            <w:pPr>
              <w:ind w:left="1215"/>
              <w:rPr>
                <w:szCs w:val="22"/>
                <w:lang w:val="fr-FR"/>
              </w:rPr>
            </w:pPr>
          </w:p>
          <w:p w14:paraId="01B8F20E" w14:textId="75A2E62E" w:rsidR="00D229BA" w:rsidRPr="00D229BA" w:rsidRDefault="006B0C83" w:rsidP="00D229BA">
            <w:pPr>
              <w:ind w:left="1215"/>
              <w:rPr>
                <w:szCs w:val="22"/>
                <w:lang w:val="fr-FR"/>
              </w:rPr>
            </w:pPr>
            <w:sdt>
              <w:sdtPr>
                <w:rPr>
                  <w:lang w:val="fr-FR"/>
                </w:rPr>
                <w:alias w:val="Subject"/>
                <w:tag w:val=""/>
                <w:id w:val="1756163533"/>
                <w:placeholder>
                  <w:docPart w:val="F48CEC41F8CF439C8F7E8B4D58294B26"/>
                </w:placeholder>
                <w:dataBinding w:prefixMappings="xmlns:ns0='http://purl.org/dc/elements/1.1/' xmlns:ns1='http://schemas.openxmlformats.org/package/2006/metadata/core-properties' " w:xpath="/ns1:coreProperties[1]/ns0:subject[1]" w:storeItemID="{6C3C8BC8-F283-45AE-878A-BAB7291924A1}"/>
                <w:text/>
              </w:sdtPr>
              <w:sdtEndPr/>
              <w:sdtContent>
                <w:r w:rsidR="00020FE2">
                  <w:t>CBD/COP/DEC/14/34</w:t>
                </w:r>
              </w:sdtContent>
            </w:sdt>
          </w:p>
          <w:p w14:paraId="2F2AB909" w14:textId="77777777" w:rsidR="00D229BA" w:rsidRPr="00D229BA" w:rsidRDefault="00D229BA" w:rsidP="00D229BA">
            <w:pPr>
              <w:ind w:left="1215"/>
              <w:rPr>
                <w:szCs w:val="22"/>
                <w:lang w:val="fr-FR"/>
              </w:rPr>
            </w:pPr>
            <w:r w:rsidRPr="00D229BA">
              <w:rPr>
                <w:szCs w:val="22"/>
                <w:lang w:val="fr-FR"/>
              </w:rPr>
              <w:t>30 novembre 2018</w:t>
            </w:r>
          </w:p>
          <w:p w14:paraId="1A738989" w14:textId="77777777" w:rsidR="00227FFD" w:rsidRPr="00D229BA" w:rsidRDefault="00227FFD" w:rsidP="00A72D3E">
            <w:pPr>
              <w:ind w:left="1215"/>
              <w:rPr>
                <w:szCs w:val="22"/>
                <w:lang w:val="fr-FR"/>
              </w:rPr>
            </w:pPr>
          </w:p>
          <w:p w14:paraId="7EB12E6E" w14:textId="1A10D796" w:rsidR="00227FFD" w:rsidRPr="00D229BA" w:rsidRDefault="00D229BA" w:rsidP="00A72D3E">
            <w:pPr>
              <w:ind w:left="1215"/>
              <w:rPr>
                <w:szCs w:val="22"/>
                <w:lang w:val="fr-FR"/>
              </w:rPr>
            </w:pPr>
            <w:r w:rsidRPr="00D229BA">
              <w:rPr>
                <w:szCs w:val="22"/>
                <w:lang w:val="fr-FR"/>
              </w:rPr>
              <w:t>FRANÇ</w:t>
            </w:r>
            <w:r w:rsidR="00227FFD" w:rsidRPr="00D229BA">
              <w:rPr>
                <w:szCs w:val="22"/>
                <w:lang w:val="fr-FR"/>
              </w:rPr>
              <w:t>AIS</w:t>
            </w:r>
          </w:p>
          <w:p w14:paraId="6E4F3E13" w14:textId="77777777" w:rsidR="00227FFD" w:rsidRPr="00D229BA" w:rsidRDefault="00227FFD" w:rsidP="00A72D3E">
            <w:pPr>
              <w:ind w:left="1215"/>
              <w:rPr>
                <w:szCs w:val="22"/>
                <w:lang w:val="fr-FR"/>
              </w:rPr>
            </w:pPr>
            <w:r w:rsidRPr="00D229BA">
              <w:rPr>
                <w:szCs w:val="22"/>
                <w:lang w:val="fr-FR"/>
              </w:rPr>
              <w:t>ORIGINAL : ANGLAIS</w:t>
            </w:r>
          </w:p>
          <w:p w14:paraId="710D525D" w14:textId="77777777" w:rsidR="00227FFD" w:rsidRPr="00D229BA" w:rsidRDefault="00227FFD" w:rsidP="00A72D3E">
            <w:pPr>
              <w:rPr>
                <w:kern w:val="22"/>
                <w:lang w:val="fr-FR"/>
              </w:rPr>
            </w:pPr>
          </w:p>
        </w:tc>
      </w:tr>
    </w:tbl>
    <w:p w14:paraId="23F44A59" w14:textId="77777777" w:rsidR="00EF228D" w:rsidRPr="00D229BA" w:rsidRDefault="00EF228D" w:rsidP="00EF228D">
      <w:pPr>
        <w:pStyle w:val="Cornernotation"/>
        <w:kinsoku w:val="0"/>
        <w:overflowPunct w:val="0"/>
        <w:autoSpaceDE w:val="0"/>
        <w:autoSpaceDN w:val="0"/>
        <w:ind w:left="187" w:right="4423" w:hanging="187"/>
        <w:rPr>
          <w:snapToGrid w:val="0"/>
          <w:kern w:val="22"/>
          <w:szCs w:val="22"/>
          <w:lang w:val="fr-FR"/>
        </w:rPr>
      </w:pPr>
      <w:r w:rsidRPr="00D229BA">
        <w:rPr>
          <w:kern w:val="22"/>
          <w:lang w:val="fr-FR"/>
        </w:rPr>
        <w:t>CONFÉRENCE DES PARTIES À LA CONVENTION SUR LA DIVERSITÉ BIOLOGIQUE</w:t>
      </w:r>
    </w:p>
    <w:p w14:paraId="6DD4EFC7" w14:textId="77777777" w:rsidR="00EF228D" w:rsidRPr="00D229BA" w:rsidRDefault="00EF228D" w:rsidP="00EF228D">
      <w:pPr>
        <w:pStyle w:val="Cornernotation"/>
        <w:kinsoku w:val="0"/>
        <w:overflowPunct w:val="0"/>
        <w:autoSpaceDE w:val="0"/>
        <w:autoSpaceDN w:val="0"/>
        <w:ind w:left="187" w:right="4421" w:hanging="187"/>
        <w:rPr>
          <w:snapToGrid w:val="0"/>
          <w:kern w:val="22"/>
          <w:szCs w:val="22"/>
          <w:lang w:val="fr-FR"/>
        </w:rPr>
      </w:pPr>
      <w:r w:rsidRPr="00D229BA">
        <w:rPr>
          <w:snapToGrid w:val="0"/>
          <w:kern w:val="22"/>
          <w:szCs w:val="22"/>
          <w:lang w:val="fr-FR"/>
        </w:rPr>
        <w:t>Quatorzième réunion</w:t>
      </w:r>
    </w:p>
    <w:p w14:paraId="1CFF8F05" w14:textId="234C2B59" w:rsidR="00EF228D" w:rsidRPr="00D229BA" w:rsidRDefault="00227FFD" w:rsidP="00EF228D">
      <w:pPr>
        <w:pStyle w:val="NoSpacing"/>
        <w:rPr>
          <w:rFonts w:ascii="Times New Roman" w:hAnsi="Times New Roman"/>
          <w:lang w:val="fr-FR"/>
        </w:rPr>
      </w:pPr>
      <w:r w:rsidRPr="00D229BA">
        <w:rPr>
          <w:rFonts w:ascii="Times New Roman" w:hAnsi="Times New Roman"/>
          <w:noProof/>
          <w:snapToGrid w:val="0"/>
          <w:kern w:val="22"/>
          <w:lang w:val="fr-FR"/>
        </w:rPr>
        <w:t>C</w:t>
      </w:r>
      <w:r w:rsidR="00EF228D" w:rsidRPr="00D229BA">
        <w:rPr>
          <w:rFonts w:ascii="Times New Roman" w:hAnsi="Times New Roman"/>
          <w:noProof/>
          <w:snapToGrid w:val="0"/>
          <w:kern w:val="22"/>
          <w:lang w:val="fr-FR"/>
        </w:rPr>
        <w:t>harm</w:t>
      </w:r>
      <w:r w:rsidRPr="00D229BA">
        <w:rPr>
          <w:rFonts w:ascii="Times New Roman" w:hAnsi="Times New Roman"/>
          <w:snapToGrid w:val="0"/>
          <w:kern w:val="22"/>
          <w:lang w:val="fr-FR"/>
        </w:rPr>
        <w:t xml:space="preserve"> el-C</w:t>
      </w:r>
      <w:r w:rsidR="00EF228D" w:rsidRPr="00D229BA">
        <w:rPr>
          <w:rFonts w:ascii="Times New Roman" w:hAnsi="Times New Roman"/>
          <w:snapToGrid w:val="0"/>
          <w:kern w:val="22"/>
          <w:lang w:val="fr-FR"/>
        </w:rPr>
        <w:t xml:space="preserve">heikh, Égypte, 17-29 novembre </w:t>
      </w:r>
      <w:r w:rsidR="00EF228D" w:rsidRPr="00D229BA">
        <w:rPr>
          <w:rFonts w:ascii="Times New Roman" w:hAnsi="Times New Roman"/>
          <w:lang w:val="fr-FR"/>
        </w:rPr>
        <w:t>2018</w:t>
      </w:r>
    </w:p>
    <w:p w14:paraId="17FBBAA1" w14:textId="36B6B2BC" w:rsidR="0005036A" w:rsidRPr="00D229BA" w:rsidRDefault="00EF228D" w:rsidP="00EF228D">
      <w:pPr>
        <w:rPr>
          <w:lang w:val="fr-FR"/>
        </w:rPr>
      </w:pPr>
      <w:r w:rsidRPr="00D229BA">
        <w:rPr>
          <w:szCs w:val="22"/>
          <w:lang w:val="fr-FR"/>
        </w:rPr>
        <w:t>Point 17 de l’ordre du jour</w:t>
      </w:r>
    </w:p>
    <w:bookmarkEnd w:id="0"/>
    <w:p w14:paraId="5F207974" w14:textId="6A42DC89" w:rsidR="00DB0925" w:rsidRPr="00D229BA" w:rsidRDefault="00227FFD" w:rsidP="00227FFD">
      <w:pPr>
        <w:spacing w:before="240" w:after="120"/>
        <w:jc w:val="center"/>
        <w:rPr>
          <w:b/>
          <w:lang w:val="fr-FR"/>
        </w:rPr>
      </w:pPr>
      <w:r w:rsidRPr="00D229BA">
        <w:rPr>
          <w:b/>
          <w:lang w:val="fr-FR"/>
        </w:rPr>
        <w:t>DÉCISION ADOPTÉE PAR LA CONFÉRENCE DES PARTIES À LA CONVENTION SUR LA DIVERSITÉ BIOLOGIQUE</w:t>
      </w:r>
    </w:p>
    <w:sdt>
      <w:sdtPr>
        <w:rPr>
          <w:b/>
          <w:bCs/>
          <w:iCs/>
          <w:kern w:val="22"/>
          <w:szCs w:val="22"/>
          <w:shd w:val="clear" w:color="auto" w:fill="FFFFFF"/>
          <w:lang w:val="fr-FR"/>
        </w:rPr>
        <w:alias w:val="Title"/>
        <w:tag w:val=""/>
        <w:id w:val="-1974675887"/>
        <w:placeholder>
          <w:docPart w:val="64AAC581CED44820B8CFC7485EAD2442"/>
        </w:placeholder>
        <w:dataBinding w:prefixMappings="xmlns:ns0='http://purl.org/dc/elements/1.1/' xmlns:ns1='http://schemas.openxmlformats.org/package/2006/metadata/core-properties' " w:xpath="/ns1:coreProperties[1]/ns0:title[1]" w:storeItemID="{6C3C8BC8-F283-45AE-878A-BAB7291924A1}"/>
        <w:text/>
      </w:sdtPr>
      <w:sdtEndPr/>
      <w:sdtContent>
        <w:p w14:paraId="3EF0F6AA" w14:textId="3BEAC8E9" w:rsidR="003718DB" w:rsidRPr="00D229BA" w:rsidRDefault="003718DB" w:rsidP="003718DB">
          <w:pPr>
            <w:suppressLineNumbers/>
            <w:suppressAutoHyphens/>
            <w:kinsoku w:val="0"/>
            <w:overflowPunct w:val="0"/>
            <w:autoSpaceDE w:val="0"/>
            <w:autoSpaceDN w:val="0"/>
            <w:adjustRightInd w:val="0"/>
            <w:snapToGrid w:val="0"/>
            <w:spacing w:before="120" w:after="120"/>
            <w:ind w:left="1004" w:hanging="720"/>
            <w:rPr>
              <w:b/>
              <w:kern w:val="22"/>
              <w:szCs w:val="22"/>
              <w:lang w:val="fr-FR"/>
            </w:rPr>
          </w:pPr>
          <w:r w:rsidRPr="00D229BA">
            <w:rPr>
              <w:b/>
              <w:bCs/>
              <w:iCs/>
              <w:kern w:val="22"/>
              <w:szCs w:val="22"/>
              <w:shd w:val="clear" w:color="auto" w:fill="FFFFFF"/>
              <w:lang w:val="fr-FR"/>
            </w:rPr>
            <w:t>14/34.</w:t>
          </w:r>
          <w:r w:rsidRPr="00D229BA">
            <w:rPr>
              <w:b/>
              <w:bCs/>
              <w:iCs/>
              <w:kern w:val="22"/>
              <w:szCs w:val="22"/>
              <w:shd w:val="clear" w:color="auto" w:fill="FFFFFF"/>
              <w:lang w:val="fr-FR"/>
            </w:rPr>
            <w:tab/>
            <w:t>Processus complet et participatif pour l’élaboration du cadre mondial de la biodiversité pour l’après-2020</w:t>
          </w:r>
        </w:p>
      </w:sdtContent>
    </w:sdt>
    <w:p w14:paraId="6AEDDBC3" w14:textId="77777777" w:rsidR="00500B7F" w:rsidRPr="00D229BA" w:rsidRDefault="00500B7F" w:rsidP="00FB2349">
      <w:pPr>
        <w:suppressLineNumbers/>
        <w:suppressAutoHyphens/>
        <w:kinsoku w:val="0"/>
        <w:overflowPunct w:val="0"/>
        <w:autoSpaceDE w:val="0"/>
        <w:autoSpaceDN w:val="0"/>
        <w:adjustRightInd w:val="0"/>
        <w:snapToGrid w:val="0"/>
        <w:spacing w:before="120" w:after="120"/>
        <w:ind w:firstLine="709"/>
        <w:rPr>
          <w:i/>
          <w:snapToGrid w:val="0"/>
          <w:kern w:val="22"/>
          <w:szCs w:val="22"/>
          <w:lang w:val="fr-FR"/>
        </w:rPr>
      </w:pPr>
      <w:r w:rsidRPr="00D229BA">
        <w:rPr>
          <w:i/>
          <w:snapToGrid w:val="0"/>
          <w:kern w:val="22"/>
          <w:szCs w:val="22"/>
          <w:lang w:val="fr-FR"/>
        </w:rPr>
        <w:t>La Conférence des Parties</w:t>
      </w:r>
    </w:p>
    <w:p w14:paraId="4214BE74" w14:textId="5D9D0E46" w:rsidR="00500B7F" w:rsidRPr="00D229BA" w:rsidRDefault="00500B7F" w:rsidP="005441AC">
      <w:pPr>
        <w:numPr>
          <w:ilvl w:val="0"/>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iCs/>
          <w:snapToGrid w:val="0"/>
          <w:kern w:val="22"/>
          <w:szCs w:val="22"/>
          <w:lang w:val="fr-FR"/>
        </w:rPr>
        <w:t>Adopte</w:t>
      </w:r>
      <w:r w:rsidRPr="00D229BA">
        <w:rPr>
          <w:snapToGrid w:val="0"/>
          <w:kern w:val="22"/>
          <w:szCs w:val="22"/>
          <w:lang w:val="fr-FR"/>
        </w:rPr>
        <w:t xml:space="preserve"> le processus préparatoire pour l’élaboration du </w:t>
      </w:r>
      <w:r w:rsidR="00344D53">
        <w:rPr>
          <w:snapToGrid w:val="0"/>
          <w:kern w:val="22"/>
          <w:szCs w:val="22"/>
          <w:lang w:val="fr-FR"/>
        </w:rPr>
        <w:t>cadre mondial de la biodiversité pour l’après-2020</w:t>
      </w:r>
      <w:r w:rsidR="00EF228D" w:rsidRPr="00D229BA">
        <w:rPr>
          <w:snapToGrid w:val="0"/>
          <w:kern w:val="22"/>
          <w:szCs w:val="22"/>
          <w:lang w:val="fr-FR"/>
        </w:rPr>
        <w:t xml:space="preserve"> joint en annexe à la présente décision</w:t>
      </w:r>
      <w:r w:rsidRPr="00D229BA">
        <w:rPr>
          <w:snapToGrid w:val="0"/>
          <w:kern w:val="22"/>
          <w:szCs w:val="22"/>
          <w:lang w:val="fr-FR"/>
        </w:rPr>
        <w:t xml:space="preserve">, et </w:t>
      </w:r>
      <w:r w:rsidRPr="00D229BA">
        <w:rPr>
          <w:i/>
          <w:iCs/>
          <w:snapToGrid w:val="0"/>
          <w:kern w:val="22"/>
          <w:szCs w:val="22"/>
          <w:lang w:val="fr-FR"/>
        </w:rPr>
        <w:t>prie</w:t>
      </w:r>
      <w:r w:rsidRPr="00D229BA">
        <w:rPr>
          <w:snapToGrid w:val="0"/>
          <w:kern w:val="22"/>
          <w:szCs w:val="22"/>
          <w:lang w:val="fr-FR"/>
        </w:rPr>
        <w:t xml:space="preserve"> la Secrétaire exécutive de faciliter sa mise en œuvre, notant que la mise en œuvre du processus préparatoire devra être assez souple pour s’adapter aux circonstances et saisir les opportunités qui se présentent</w:t>
      </w:r>
      <w:r w:rsidR="0023379D" w:rsidRPr="00D229BA">
        <w:rPr>
          <w:snapToGrid w:val="0"/>
          <w:kern w:val="22"/>
          <w:szCs w:val="22"/>
          <w:lang w:val="fr-FR"/>
        </w:rPr>
        <w:t> ;</w:t>
      </w:r>
    </w:p>
    <w:p w14:paraId="7AF818CC" w14:textId="116FE6EF" w:rsidR="00EF228D" w:rsidRPr="00D229BA" w:rsidRDefault="00EF228D" w:rsidP="005441AC">
      <w:pPr>
        <w:numPr>
          <w:ilvl w:val="0"/>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iCs/>
          <w:snapToGrid w:val="0"/>
          <w:kern w:val="22"/>
          <w:szCs w:val="22"/>
          <w:lang w:val="fr-FR"/>
        </w:rPr>
        <w:t xml:space="preserve">Décide </w:t>
      </w:r>
      <w:r w:rsidR="003718DB" w:rsidRPr="00D229BA">
        <w:rPr>
          <w:iCs/>
          <w:snapToGrid w:val="0"/>
          <w:kern w:val="22"/>
          <w:szCs w:val="22"/>
          <w:lang w:val="fr-FR"/>
        </w:rPr>
        <w:t>de constituer un g</w:t>
      </w:r>
      <w:r w:rsidRPr="00D229BA">
        <w:rPr>
          <w:iCs/>
          <w:snapToGrid w:val="0"/>
          <w:kern w:val="22"/>
          <w:szCs w:val="22"/>
          <w:lang w:val="fr-FR"/>
        </w:rPr>
        <w:t xml:space="preserve">roupe de travail intersessions à composition non limitée afin de soutenir </w:t>
      </w:r>
      <w:r w:rsidR="003718DB" w:rsidRPr="00D229BA">
        <w:rPr>
          <w:iCs/>
          <w:snapToGrid w:val="0"/>
          <w:kern w:val="22"/>
          <w:szCs w:val="22"/>
          <w:lang w:val="fr-FR"/>
        </w:rPr>
        <w:t>l’élaboration</w:t>
      </w:r>
      <w:r w:rsidR="00C823C8" w:rsidRPr="00D229BA">
        <w:rPr>
          <w:iCs/>
          <w:snapToGrid w:val="0"/>
          <w:kern w:val="22"/>
          <w:szCs w:val="22"/>
          <w:lang w:val="fr-FR"/>
        </w:rPr>
        <w:t xml:space="preserve"> du</w:t>
      </w:r>
      <w:r w:rsidRPr="00D229BA">
        <w:rPr>
          <w:iCs/>
          <w:snapToGrid w:val="0"/>
          <w:kern w:val="22"/>
          <w:szCs w:val="22"/>
          <w:lang w:val="fr-FR"/>
        </w:rPr>
        <w:t xml:space="preserve"> </w:t>
      </w:r>
      <w:r w:rsidR="00344D53">
        <w:rPr>
          <w:iCs/>
          <w:snapToGrid w:val="0"/>
          <w:kern w:val="22"/>
          <w:szCs w:val="22"/>
          <w:lang w:val="fr-FR"/>
        </w:rPr>
        <w:t>cadre mondial de la biodiversité pour l’après-2020</w:t>
      </w:r>
      <w:r w:rsidR="00C823C8" w:rsidRPr="00D229BA">
        <w:rPr>
          <w:iCs/>
          <w:snapToGrid w:val="0"/>
          <w:kern w:val="22"/>
          <w:szCs w:val="22"/>
          <w:lang w:val="fr-FR"/>
        </w:rPr>
        <w:t>, tel</w:t>
      </w:r>
      <w:r w:rsidR="000F2D11" w:rsidRPr="00D229BA">
        <w:rPr>
          <w:iCs/>
          <w:snapToGrid w:val="0"/>
          <w:kern w:val="22"/>
          <w:szCs w:val="22"/>
          <w:lang w:val="fr-FR"/>
        </w:rPr>
        <w:t xml:space="preserve"> qu’il </w:t>
      </w:r>
      <w:r w:rsidR="003718DB" w:rsidRPr="00D229BA">
        <w:rPr>
          <w:iCs/>
          <w:snapToGrid w:val="0"/>
          <w:kern w:val="22"/>
          <w:szCs w:val="22"/>
          <w:lang w:val="fr-FR"/>
        </w:rPr>
        <w:t>est décrit dans l’annexe de la présente</w:t>
      </w:r>
      <w:r w:rsidR="000F2D11" w:rsidRPr="00D229BA">
        <w:rPr>
          <w:iCs/>
          <w:snapToGrid w:val="0"/>
          <w:kern w:val="22"/>
          <w:szCs w:val="22"/>
          <w:lang w:val="fr-FR"/>
        </w:rPr>
        <w:t xml:space="preserve"> décision, et </w:t>
      </w:r>
      <w:r w:rsidR="000F2D11" w:rsidRPr="00D229BA">
        <w:rPr>
          <w:i/>
          <w:iCs/>
          <w:snapToGrid w:val="0"/>
          <w:kern w:val="22"/>
          <w:szCs w:val="22"/>
          <w:lang w:val="fr-FR"/>
        </w:rPr>
        <w:t>décide</w:t>
      </w:r>
      <w:r w:rsidR="003718DB" w:rsidRPr="00D229BA">
        <w:rPr>
          <w:i/>
          <w:iCs/>
          <w:snapToGrid w:val="0"/>
          <w:kern w:val="22"/>
          <w:szCs w:val="22"/>
          <w:lang w:val="fr-FR"/>
        </w:rPr>
        <w:t xml:space="preserve"> également</w:t>
      </w:r>
      <w:r w:rsidR="000F2D11" w:rsidRPr="00D229BA">
        <w:rPr>
          <w:iCs/>
          <w:snapToGrid w:val="0"/>
          <w:kern w:val="22"/>
          <w:szCs w:val="22"/>
          <w:lang w:val="fr-FR"/>
        </w:rPr>
        <w:t xml:space="preserve"> de désigner </w:t>
      </w:r>
      <w:r w:rsidR="003718DB" w:rsidRPr="00D229BA">
        <w:rPr>
          <w:iCs/>
          <w:snapToGrid w:val="0"/>
          <w:kern w:val="22"/>
          <w:szCs w:val="22"/>
          <w:lang w:val="fr-FR"/>
        </w:rPr>
        <w:t xml:space="preserve">M. Francis </w:t>
      </w:r>
      <w:proofErr w:type="spellStart"/>
      <w:r w:rsidR="003718DB" w:rsidRPr="00D229BA">
        <w:rPr>
          <w:iCs/>
          <w:snapToGrid w:val="0"/>
          <w:kern w:val="22"/>
          <w:szCs w:val="22"/>
          <w:lang w:val="fr-FR"/>
        </w:rPr>
        <w:t>Ogwal</w:t>
      </w:r>
      <w:proofErr w:type="spellEnd"/>
      <w:r w:rsidR="003718DB" w:rsidRPr="00D229BA">
        <w:rPr>
          <w:iCs/>
          <w:snapToGrid w:val="0"/>
          <w:kern w:val="22"/>
          <w:szCs w:val="22"/>
          <w:lang w:val="fr-FR"/>
        </w:rPr>
        <w:t xml:space="preserve"> (Oug</w:t>
      </w:r>
      <w:r w:rsidR="00D73042">
        <w:rPr>
          <w:iCs/>
          <w:snapToGrid w:val="0"/>
          <w:kern w:val="22"/>
          <w:szCs w:val="22"/>
          <w:lang w:val="fr-FR"/>
        </w:rPr>
        <w:t>anda) et M. Basile van Havr</w:t>
      </w:r>
      <w:r w:rsidR="003718DB" w:rsidRPr="00D229BA">
        <w:rPr>
          <w:iCs/>
          <w:snapToGrid w:val="0"/>
          <w:kern w:val="22"/>
          <w:szCs w:val="22"/>
          <w:lang w:val="fr-FR"/>
        </w:rPr>
        <w:t xml:space="preserve">e (Canada) </w:t>
      </w:r>
      <w:r w:rsidR="006B5896" w:rsidRPr="00D229BA">
        <w:rPr>
          <w:iCs/>
          <w:snapToGrid w:val="0"/>
          <w:kern w:val="22"/>
          <w:szCs w:val="22"/>
          <w:lang w:val="fr-FR"/>
        </w:rPr>
        <w:t>comme</w:t>
      </w:r>
      <w:r w:rsidR="000F2D11" w:rsidRPr="00D229BA">
        <w:rPr>
          <w:iCs/>
          <w:snapToGrid w:val="0"/>
          <w:kern w:val="22"/>
          <w:szCs w:val="22"/>
          <w:lang w:val="fr-FR"/>
        </w:rPr>
        <w:t xml:space="preserve"> coprésidents</w:t>
      </w:r>
      <w:r w:rsidR="006B5896" w:rsidRPr="00D229BA">
        <w:rPr>
          <w:iCs/>
          <w:snapToGrid w:val="0"/>
          <w:kern w:val="22"/>
          <w:szCs w:val="22"/>
          <w:lang w:val="fr-FR"/>
        </w:rPr>
        <w:t> ;</w:t>
      </w:r>
    </w:p>
    <w:p w14:paraId="37D719FA" w14:textId="72DD8799" w:rsidR="000F2D11" w:rsidRPr="00D229BA" w:rsidRDefault="000F2D11" w:rsidP="005441AC">
      <w:pPr>
        <w:numPr>
          <w:ilvl w:val="0"/>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snapToGrid w:val="0"/>
          <w:kern w:val="22"/>
          <w:szCs w:val="22"/>
          <w:lang w:val="fr-FR"/>
        </w:rPr>
        <w:t>Prie</w:t>
      </w:r>
      <w:r w:rsidRPr="00D229BA">
        <w:rPr>
          <w:snapToGrid w:val="0"/>
          <w:kern w:val="22"/>
          <w:szCs w:val="22"/>
          <w:lang w:val="fr-FR"/>
        </w:rPr>
        <w:t xml:space="preserve"> la Secrétaire exécutive de soutenir le Groupe de travail à composition non limitée et les coprésidents ;</w:t>
      </w:r>
    </w:p>
    <w:p w14:paraId="37A7FD81" w14:textId="602B12B5" w:rsidR="000F2D11" w:rsidRPr="00D229BA" w:rsidRDefault="000F2D11" w:rsidP="005441AC">
      <w:pPr>
        <w:numPr>
          <w:ilvl w:val="0"/>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snapToGrid w:val="0"/>
          <w:kern w:val="22"/>
          <w:szCs w:val="22"/>
          <w:lang w:val="fr-FR"/>
        </w:rPr>
        <w:t>Prie</w:t>
      </w:r>
      <w:r w:rsidRPr="00D229BA">
        <w:rPr>
          <w:snapToGrid w:val="0"/>
          <w:kern w:val="22"/>
          <w:szCs w:val="22"/>
          <w:lang w:val="fr-FR"/>
        </w:rPr>
        <w:t xml:space="preserve"> l</w:t>
      </w:r>
      <w:r w:rsidR="006B5896" w:rsidRPr="00D229BA">
        <w:rPr>
          <w:snapToGrid w:val="0"/>
          <w:kern w:val="22"/>
          <w:szCs w:val="22"/>
          <w:lang w:val="fr-FR"/>
        </w:rPr>
        <w:t>a Secrétaire exécutive de constituer un g</w:t>
      </w:r>
      <w:r w:rsidRPr="00D229BA">
        <w:rPr>
          <w:snapToGrid w:val="0"/>
          <w:kern w:val="22"/>
          <w:szCs w:val="22"/>
          <w:lang w:val="fr-FR"/>
        </w:rPr>
        <w:t>roupe de haut niveau</w:t>
      </w:r>
      <w:r w:rsidR="006B5896" w:rsidRPr="00D229BA">
        <w:rPr>
          <w:snapToGrid w:val="0"/>
          <w:kern w:val="22"/>
          <w:szCs w:val="22"/>
          <w:lang w:val="fr-FR"/>
        </w:rPr>
        <w:t>, dans la limite des ressources disponibles,</w:t>
      </w:r>
      <w:r w:rsidRPr="00D229BA">
        <w:rPr>
          <w:snapToGrid w:val="0"/>
          <w:kern w:val="22"/>
          <w:szCs w:val="22"/>
          <w:lang w:val="fr-FR"/>
        </w:rPr>
        <w:t xml:space="preserve"> tel </w:t>
      </w:r>
      <w:r w:rsidR="006B5896" w:rsidRPr="00D229BA">
        <w:rPr>
          <w:snapToGrid w:val="0"/>
          <w:kern w:val="22"/>
          <w:szCs w:val="22"/>
          <w:lang w:val="fr-FR"/>
        </w:rPr>
        <w:t>qu’il est décrit dans l’annexe de</w:t>
      </w:r>
      <w:r w:rsidRPr="00D229BA">
        <w:rPr>
          <w:snapToGrid w:val="0"/>
          <w:kern w:val="22"/>
          <w:szCs w:val="22"/>
          <w:lang w:val="fr-FR"/>
        </w:rPr>
        <w:t xml:space="preserve"> la présente décision</w:t>
      </w:r>
      <w:r w:rsidR="00C823C8" w:rsidRPr="00D229BA">
        <w:rPr>
          <w:snapToGrid w:val="0"/>
          <w:kern w:val="22"/>
          <w:szCs w:val="22"/>
          <w:lang w:val="fr-FR"/>
        </w:rPr>
        <w:t> ;</w:t>
      </w:r>
    </w:p>
    <w:p w14:paraId="30DB304C" w14:textId="6F19E9AB" w:rsidR="00500B7F" w:rsidRPr="00D229BA" w:rsidRDefault="00500B7F" w:rsidP="005441AC">
      <w:pPr>
        <w:numPr>
          <w:ilvl w:val="0"/>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lang w:val="fr-FR"/>
        </w:rPr>
        <w:t xml:space="preserve">Décide </w:t>
      </w:r>
      <w:r w:rsidRPr="00D229BA">
        <w:rPr>
          <w:lang w:val="fr-FR"/>
        </w:rPr>
        <w:t>que le</w:t>
      </w:r>
      <w:r w:rsidRPr="00D229BA">
        <w:rPr>
          <w:snapToGrid w:val="0"/>
          <w:kern w:val="22"/>
          <w:szCs w:val="22"/>
          <w:lang w:val="fr-FR"/>
        </w:rPr>
        <w:t xml:space="preserve"> </w:t>
      </w:r>
      <w:r w:rsidR="00344D53">
        <w:rPr>
          <w:snapToGrid w:val="0"/>
          <w:kern w:val="22"/>
          <w:szCs w:val="22"/>
          <w:lang w:val="fr-FR"/>
        </w:rPr>
        <w:t>cadre mondial de la biodiversité pour l’après-2020</w:t>
      </w:r>
      <w:r w:rsidR="006B5896" w:rsidRPr="00D229BA">
        <w:rPr>
          <w:lang w:val="fr-FR"/>
        </w:rPr>
        <w:t xml:space="preserve"> devrait être accompagné d’</w:t>
      </w:r>
      <w:r w:rsidRPr="00D229BA">
        <w:rPr>
          <w:lang w:val="fr-FR"/>
        </w:rPr>
        <w:t>une mission inspirante et motivante à l’horizon</w:t>
      </w:r>
      <w:r w:rsidR="006B5896" w:rsidRPr="00D229BA">
        <w:rPr>
          <w:lang w:val="fr-FR"/>
        </w:rPr>
        <w:t xml:space="preserve"> 2030, comme première étape vers</w:t>
      </w:r>
      <w:r w:rsidRPr="00D229BA">
        <w:rPr>
          <w:lang w:val="fr-FR"/>
        </w:rPr>
        <w:t xml:space="preserve"> la réalisation de la vision 2050</w:t>
      </w:r>
      <w:r w:rsidR="00D614DD" w:rsidRPr="00D229BA">
        <w:rPr>
          <w:lang w:val="fr-FR"/>
        </w:rPr>
        <w:t>, qui reposera sur une stratégie de communication co</w:t>
      </w:r>
      <w:r w:rsidR="006B5896" w:rsidRPr="00D229BA">
        <w:rPr>
          <w:lang w:val="fr-FR"/>
        </w:rPr>
        <w:t>hérente, complète et innovante</w:t>
      </w:r>
      <w:r w:rsidR="004A500F" w:rsidRPr="00D229BA">
        <w:rPr>
          <w:snapToGrid w:val="0"/>
          <w:kern w:val="22"/>
          <w:szCs w:val="22"/>
          <w:lang w:val="fr-FR"/>
        </w:rPr>
        <w:t> ;</w:t>
      </w:r>
    </w:p>
    <w:p w14:paraId="63D8AA60" w14:textId="35042BF1" w:rsidR="00500B7F" w:rsidRPr="00D229BA" w:rsidRDefault="003A01E7" w:rsidP="005441AC">
      <w:pPr>
        <w:numPr>
          <w:ilvl w:val="0"/>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iCs/>
          <w:snapToGrid w:val="0"/>
          <w:kern w:val="22"/>
          <w:szCs w:val="22"/>
          <w:lang w:val="fr-FR"/>
        </w:rPr>
        <w:t>Exhorte</w:t>
      </w:r>
      <w:r w:rsidR="00500B7F" w:rsidRPr="00D229BA">
        <w:rPr>
          <w:snapToGrid w:val="0"/>
          <w:kern w:val="22"/>
          <w:szCs w:val="22"/>
          <w:lang w:val="fr-FR"/>
        </w:rPr>
        <w:t xml:space="preserve"> les Parties et</w:t>
      </w:r>
      <w:r w:rsidR="00500B7F" w:rsidRPr="00D229BA">
        <w:rPr>
          <w:i/>
          <w:snapToGrid w:val="0"/>
          <w:kern w:val="22"/>
          <w:szCs w:val="22"/>
          <w:lang w:val="fr-FR"/>
        </w:rPr>
        <w:t xml:space="preserve"> invite</w:t>
      </w:r>
      <w:r w:rsidR="00500B7F" w:rsidRPr="00D229BA">
        <w:rPr>
          <w:snapToGrid w:val="0"/>
          <w:kern w:val="22"/>
          <w:szCs w:val="22"/>
          <w:lang w:val="fr-FR"/>
        </w:rPr>
        <w:t xml:space="preserve"> les autres gouvernements, les peuples autochtones et les communautés locales, l</w:t>
      </w:r>
      <w:r w:rsidR="0069636F" w:rsidRPr="00D229BA">
        <w:rPr>
          <w:snapToGrid w:val="0"/>
          <w:kern w:val="22"/>
          <w:szCs w:val="22"/>
          <w:lang w:val="fr-FR"/>
        </w:rPr>
        <w:t>es organisations et programmes des Nations Unies</w:t>
      </w:r>
      <w:r w:rsidR="00500B7F" w:rsidRPr="00D229BA">
        <w:rPr>
          <w:snapToGrid w:val="0"/>
          <w:kern w:val="22"/>
          <w:szCs w:val="22"/>
          <w:lang w:val="fr-FR"/>
        </w:rPr>
        <w:t xml:space="preserve">, </w:t>
      </w:r>
      <w:r w:rsidR="009B306C" w:rsidRPr="00D229BA">
        <w:rPr>
          <w:snapToGrid w:val="0"/>
          <w:kern w:val="22"/>
          <w:szCs w:val="22"/>
          <w:lang w:val="fr-FR"/>
        </w:rPr>
        <w:t>les autres accords multilatér</w:t>
      </w:r>
      <w:r w:rsidR="0069636F" w:rsidRPr="00D229BA">
        <w:rPr>
          <w:snapToGrid w:val="0"/>
          <w:kern w:val="22"/>
          <w:szCs w:val="22"/>
          <w:lang w:val="fr-FR"/>
        </w:rPr>
        <w:t>aux sur l’environnement</w:t>
      </w:r>
      <w:r w:rsidR="006B5896" w:rsidRPr="00D229BA">
        <w:rPr>
          <w:snapToGrid w:val="0"/>
          <w:kern w:val="22"/>
          <w:szCs w:val="22"/>
          <w:lang w:val="fr-FR"/>
        </w:rPr>
        <w:t>,</w:t>
      </w:r>
      <w:r w:rsidRPr="00D229BA">
        <w:rPr>
          <w:snapToGrid w:val="0"/>
          <w:kern w:val="22"/>
          <w:szCs w:val="22"/>
          <w:lang w:val="fr-FR"/>
        </w:rPr>
        <w:t xml:space="preserve"> les gouvernements infranationaux,</w:t>
      </w:r>
      <w:r w:rsidR="006B5896" w:rsidRPr="00D229BA">
        <w:rPr>
          <w:snapToGrid w:val="0"/>
          <w:kern w:val="22"/>
          <w:szCs w:val="22"/>
          <w:lang w:val="fr-FR"/>
        </w:rPr>
        <w:t xml:space="preserve"> les </w:t>
      </w:r>
      <w:r w:rsidRPr="00D229BA">
        <w:rPr>
          <w:snapToGrid w:val="0"/>
          <w:kern w:val="22"/>
          <w:szCs w:val="22"/>
          <w:lang w:val="fr-FR"/>
        </w:rPr>
        <w:t>municipalités et autres</w:t>
      </w:r>
      <w:r w:rsidR="006B5896" w:rsidRPr="00D229BA">
        <w:rPr>
          <w:snapToGrid w:val="0"/>
          <w:kern w:val="22"/>
          <w:szCs w:val="22"/>
          <w:lang w:val="fr-FR"/>
        </w:rPr>
        <w:t xml:space="preserve"> autorités locales</w:t>
      </w:r>
      <w:r w:rsidR="0069636F" w:rsidRPr="00D229BA">
        <w:rPr>
          <w:snapToGrid w:val="0"/>
          <w:kern w:val="22"/>
          <w:szCs w:val="22"/>
          <w:lang w:val="fr-FR"/>
        </w:rPr>
        <w:t>, les organisations intergouvernementales, les organisations non gouvernementales</w:t>
      </w:r>
      <w:r w:rsidR="00C823C8" w:rsidRPr="00D229BA">
        <w:rPr>
          <w:snapToGrid w:val="0"/>
          <w:kern w:val="22"/>
          <w:szCs w:val="22"/>
          <w:lang w:val="fr-FR"/>
        </w:rPr>
        <w:t>,</w:t>
      </w:r>
      <w:r w:rsidR="0069636F" w:rsidRPr="00D229BA">
        <w:rPr>
          <w:snapToGrid w:val="0"/>
          <w:kern w:val="22"/>
          <w:szCs w:val="22"/>
          <w:lang w:val="fr-FR"/>
        </w:rPr>
        <w:t xml:space="preserve"> les groupes de f</w:t>
      </w:r>
      <w:r w:rsidR="009B306C" w:rsidRPr="00D229BA">
        <w:rPr>
          <w:snapToGrid w:val="0"/>
          <w:kern w:val="22"/>
          <w:szCs w:val="22"/>
          <w:lang w:val="fr-FR"/>
        </w:rPr>
        <w:t>e</w:t>
      </w:r>
      <w:r w:rsidRPr="00D229BA">
        <w:rPr>
          <w:snapToGrid w:val="0"/>
          <w:kern w:val="22"/>
          <w:szCs w:val="22"/>
          <w:lang w:val="fr-FR"/>
        </w:rPr>
        <w:t>mmes, les groupes de jeunes, le milieu</w:t>
      </w:r>
      <w:r w:rsidR="0069636F" w:rsidRPr="00D229BA">
        <w:rPr>
          <w:snapToGrid w:val="0"/>
          <w:kern w:val="22"/>
          <w:szCs w:val="22"/>
          <w:lang w:val="fr-FR"/>
        </w:rPr>
        <w:t xml:space="preserve"> des aff</w:t>
      </w:r>
      <w:r w:rsidR="009B306C" w:rsidRPr="00D229BA">
        <w:rPr>
          <w:snapToGrid w:val="0"/>
          <w:kern w:val="22"/>
          <w:szCs w:val="22"/>
          <w:lang w:val="fr-FR"/>
        </w:rPr>
        <w:t>a</w:t>
      </w:r>
      <w:r w:rsidRPr="00D229BA">
        <w:rPr>
          <w:snapToGrid w:val="0"/>
          <w:kern w:val="22"/>
          <w:szCs w:val="22"/>
          <w:lang w:val="fr-FR"/>
        </w:rPr>
        <w:t>ires et des finances</w:t>
      </w:r>
      <w:r w:rsidR="0069636F" w:rsidRPr="00D229BA">
        <w:rPr>
          <w:snapToGrid w:val="0"/>
          <w:kern w:val="22"/>
          <w:szCs w:val="22"/>
          <w:lang w:val="fr-FR"/>
        </w:rPr>
        <w:t>, la communauté scientifique, le milieu universitaire, les organismes confessionnels, les représentants de secte</w:t>
      </w:r>
      <w:r w:rsidR="009B306C" w:rsidRPr="00D229BA">
        <w:rPr>
          <w:snapToGrid w:val="0"/>
          <w:kern w:val="22"/>
          <w:szCs w:val="22"/>
          <w:lang w:val="fr-FR"/>
        </w:rPr>
        <w:t xml:space="preserve">urs liés </w:t>
      </w:r>
      <w:r w:rsidR="001E50E6" w:rsidRPr="00D229BA">
        <w:rPr>
          <w:snapToGrid w:val="0"/>
          <w:kern w:val="22"/>
          <w:szCs w:val="22"/>
          <w:lang w:val="fr-FR"/>
        </w:rPr>
        <w:t>à</w:t>
      </w:r>
      <w:r w:rsidR="009B306C" w:rsidRPr="00D229BA">
        <w:rPr>
          <w:snapToGrid w:val="0"/>
          <w:kern w:val="22"/>
          <w:szCs w:val="22"/>
          <w:lang w:val="fr-FR"/>
        </w:rPr>
        <w:t xml:space="preserve"> la div</w:t>
      </w:r>
      <w:r w:rsidR="0069636F" w:rsidRPr="00D229BA">
        <w:rPr>
          <w:snapToGrid w:val="0"/>
          <w:kern w:val="22"/>
          <w:szCs w:val="22"/>
          <w:lang w:val="fr-FR"/>
        </w:rPr>
        <w:t>ersité biologique</w:t>
      </w:r>
      <w:r w:rsidR="001E50E6" w:rsidRPr="00D229BA">
        <w:rPr>
          <w:snapToGrid w:val="0"/>
          <w:kern w:val="22"/>
          <w:szCs w:val="22"/>
          <w:lang w:val="fr-FR"/>
        </w:rPr>
        <w:t xml:space="preserve"> ou qui en dépendent</w:t>
      </w:r>
      <w:r w:rsidR="0069636F" w:rsidRPr="00D229BA">
        <w:rPr>
          <w:snapToGrid w:val="0"/>
          <w:kern w:val="22"/>
          <w:szCs w:val="22"/>
          <w:lang w:val="fr-FR"/>
        </w:rPr>
        <w:t xml:space="preserve">, le grand public et </w:t>
      </w:r>
      <w:r w:rsidR="00500B7F" w:rsidRPr="00D229BA">
        <w:rPr>
          <w:snapToGrid w:val="0"/>
          <w:kern w:val="22"/>
          <w:szCs w:val="22"/>
          <w:lang w:val="fr-FR"/>
        </w:rPr>
        <w:t>d’autres parties prenantes</w:t>
      </w:r>
      <w:r w:rsidR="00C823C8" w:rsidRPr="00D229BA">
        <w:rPr>
          <w:snapToGrid w:val="0"/>
          <w:kern w:val="22"/>
          <w:szCs w:val="22"/>
          <w:lang w:val="fr-FR"/>
        </w:rPr>
        <w:t>,</w:t>
      </w:r>
      <w:r w:rsidR="00500B7F" w:rsidRPr="00D229BA">
        <w:rPr>
          <w:snapToGrid w:val="0"/>
          <w:kern w:val="22"/>
          <w:szCs w:val="22"/>
          <w:lang w:val="fr-FR"/>
        </w:rPr>
        <w:t xml:space="preserve"> à participer activement et à contribuer au processus d’élaboration d’un cadre mondial de la </w:t>
      </w:r>
      <w:r w:rsidRPr="00D229BA">
        <w:rPr>
          <w:snapToGrid w:val="0"/>
          <w:kern w:val="22"/>
          <w:szCs w:val="22"/>
          <w:lang w:val="fr-FR"/>
        </w:rPr>
        <w:t>biodiversité</w:t>
      </w:r>
      <w:r w:rsidR="00500B7F" w:rsidRPr="00D229BA">
        <w:rPr>
          <w:snapToGrid w:val="0"/>
          <w:kern w:val="22"/>
          <w:szCs w:val="22"/>
          <w:lang w:val="fr-FR"/>
        </w:rPr>
        <w:t xml:space="preserve"> robuste pour l’après-2020 afin de favoriser une forte adhésion au cadre à convenir et un soutien solide pour sa mise en œuvre immédiate</w:t>
      </w:r>
      <w:r w:rsidR="009044BD" w:rsidRPr="00D229BA">
        <w:rPr>
          <w:snapToGrid w:val="0"/>
          <w:kern w:val="22"/>
          <w:szCs w:val="22"/>
          <w:lang w:val="fr-FR"/>
        </w:rPr>
        <w:t> ;</w:t>
      </w:r>
    </w:p>
    <w:p w14:paraId="0A0D0BC1" w14:textId="54898F80" w:rsidR="00500B7F" w:rsidRPr="00D229BA" w:rsidRDefault="003A01E7" w:rsidP="005441AC">
      <w:pPr>
        <w:numPr>
          <w:ilvl w:val="0"/>
          <w:numId w:val="7"/>
        </w:numPr>
        <w:suppressLineNumbers/>
        <w:suppressAutoHyphens/>
        <w:kinsoku w:val="0"/>
        <w:overflowPunct w:val="0"/>
        <w:autoSpaceDE w:val="0"/>
        <w:autoSpaceDN w:val="0"/>
        <w:adjustRightInd w:val="0"/>
        <w:snapToGrid w:val="0"/>
        <w:spacing w:before="120" w:after="120"/>
        <w:ind w:left="0" w:firstLine="709"/>
        <w:rPr>
          <w:i/>
          <w:iCs/>
          <w:snapToGrid w:val="0"/>
          <w:kern w:val="22"/>
          <w:szCs w:val="22"/>
          <w:lang w:val="fr-FR"/>
        </w:rPr>
      </w:pPr>
      <w:r w:rsidRPr="00D229BA">
        <w:rPr>
          <w:i/>
          <w:iCs/>
          <w:snapToGrid w:val="0"/>
          <w:kern w:val="22"/>
          <w:szCs w:val="22"/>
          <w:lang w:val="fr-FR"/>
        </w:rPr>
        <w:t>Exhorte également</w:t>
      </w:r>
      <w:r w:rsidR="00500B7F" w:rsidRPr="00D229BA">
        <w:rPr>
          <w:snapToGrid w:val="0"/>
          <w:kern w:val="22"/>
          <w:szCs w:val="22"/>
          <w:lang w:val="fr-FR"/>
        </w:rPr>
        <w:t xml:space="preserve"> les Parties et </w:t>
      </w:r>
      <w:r w:rsidR="00500B7F" w:rsidRPr="00D229BA">
        <w:rPr>
          <w:i/>
          <w:snapToGrid w:val="0"/>
          <w:kern w:val="22"/>
          <w:szCs w:val="22"/>
          <w:lang w:val="fr-FR"/>
        </w:rPr>
        <w:t>invite</w:t>
      </w:r>
      <w:r w:rsidR="00500B7F" w:rsidRPr="00D229BA">
        <w:rPr>
          <w:snapToGrid w:val="0"/>
          <w:kern w:val="22"/>
          <w:szCs w:val="22"/>
          <w:lang w:val="fr-FR"/>
        </w:rPr>
        <w:t xml:space="preserve"> </w:t>
      </w:r>
      <w:r w:rsidR="009B306C" w:rsidRPr="00D229BA">
        <w:rPr>
          <w:snapToGrid w:val="0"/>
          <w:kern w:val="22"/>
          <w:szCs w:val="22"/>
          <w:lang w:val="fr-FR"/>
        </w:rPr>
        <w:t xml:space="preserve">les autres gouvernements, les peuples autochtones et les communautés locales, </w:t>
      </w:r>
      <w:r w:rsidR="00293504" w:rsidRPr="00D229BA">
        <w:rPr>
          <w:snapToGrid w:val="0"/>
          <w:kern w:val="22"/>
          <w:szCs w:val="22"/>
          <w:lang w:val="fr-FR"/>
        </w:rPr>
        <w:t>les organisations et programmes des Nations Unies, les autres accords multilatéraux sur l’environneme</w:t>
      </w:r>
      <w:r w:rsidRPr="00D229BA">
        <w:rPr>
          <w:snapToGrid w:val="0"/>
          <w:kern w:val="22"/>
          <w:szCs w:val="22"/>
          <w:lang w:val="fr-FR"/>
        </w:rPr>
        <w:t xml:space="preserve">nt, les gouvernements </w:t>
      </w:r>
      <w:r w:rsidR="00293504" w:rsidRPr="00D229BA">
        <w:rPr>
          <w:snapToGrid w:val="0"/>
          <w:kern w:val="22"/>
          <w:szCs w:val="22"/>
          <w:lang w:val="fr-FR"/>
        </w:rPr>
        <w:t>infranationaux,</w:t>
      </w:r>
      <w:r w:rsidRPr="00D229BA">
        <w:rPr>
          <w:snapToGrid w:val="0"/>
          <w:kern w:val="22"/>
          <w:szCs w:val="22"/>
          <w:lang w:val="fr-FR"/>
        </w:rPr>
        <w:t xml:space="preserve"> les municipalités et autres autorités locales,</w:t>
      </w:r>
      <w:r w:rsidR="00293504" w:rsidRPr="00D229BA">
        <w:rPr>
          <w:snapToGrid w:val="0"/>
          <w:kern w:val="22"/>
          <w:szCs w:val="22"/>
          <w:lang w:val="fr-FR"/>
        </w:rPr>
        <w:t xml:space="preserve"> les organisations intergouvernementales, les organisations non gouvernementales, les groupes de </w:t>
      </w:r>
      <w:r w:rsidR="00293504" w:rsidRPr="00D229BA">
        <w:rPr>
          <w:snapToGrid w:val="0"/>
          <w:kern w:val="22"/>
          <w:szCs w:val="22"/>
          <w:lang w:val="fr-FR"/>
        </w:rPr>
        <w:lastRenderedPageBreak/>
        <w:t>femmes, les gr</w:t>
      </w:r>
      <w:r w:rsidRPr="00D229BA">
        <w:rPr>
          <w:snapToGrid w:val="0"/>
          <w:kern w:val="22"/>
          <w:szCs w:val="22"/>
          <w:lang w:val="fr-FR"/>
        </w:rPr>
        <w:t>oupes de jeunes, le milieu des affaires et des finances</w:t>
      </w:r>
      <w:r w:rsidR="00293504" w:rsidRPr="00D229BA">
        <w:rPr>
          <w:snapToGrid w:val="0"/>
          <w:kern w:val="22"/>
          <w:szCs w:val="22"/>
          <w:lang w:val="fr-FR"/>
        </w:rPr>
        <w:t xml:space="preserve">, la communauté scientifique, le milieu universitaire, les organismes confessionnels, les représentants de secteurs liés </w:t>
      </w:r>
      <w:r w:rsidR="001E50E6" w:rsidRPr="00D229BA">
        <w:rPr>
          <w:snapToGrid w:val="0"/>
          <w:kern w:val="22"/>
          <w:szCs w:val="22"/>
          <w:lang w:val="fr-FR"/>
        </w:rPr>
        <w:t>à la diversité biologique ou qui en dépendent</w:t>
      </w:r>
      <w:r w:rsidR="00293504" w:rsidRPr="00D229BA">
        <w:rPr>
          <w:snapToGrid w:val="0"/>
          <w:kern w:val="22"/>
          <w:szCs w:val="22"/>
          <w:lang w:val="fr-FR"/>
        </w:rPr>
        <w:t xml:space="preserve">, le grand public et d’autres parties prenantes </w:t>
      </w:r>
      <w:r w:rsidR="00500B7F" w:rsidRPr="00D229BA">
        <w:rPr>
          <w:snapToGrid w:val="0"/>
          <w:kern w:val="22"/>
          <w:szCs w:val="22"/>
          <w:lang w:val="fr-FR"/>
        </w:rPr>
        <w:t xml:space="preserve">à faciliter des dialogues sur le cadre mondial de la </w:t>
      </w:r>
      <w:r w:rsidRPr="00D229BA">
        <w:rPr>
          <w:snapToGrid w:val="0"/>
          <w:kern w:val="22"/>
          <w:szCs w:val="22"/>
          <w:lang w:val="fr-FR"/>
        </w:rPr>
        <w:t>biodiversité</w:t>
      </w:r>
      <w:r w:rsidR="00500B7F" w:rsidRPr="00D229BA">
        <w:rPr>
          <w:snapToGrid w:val="0"/>
          <w:kern w:val="22"/>
          <w:szCs w:val="22"/>
          <w:lang w:val="fr-FR"/>
        </w:rPr>
        <w:t xml:space="preserve"> pour l’après-2020 et de mettre les résultats de ces dialogues</w:t>
      </w:r>
      <w:r w:rsidRPr="00D229BA">
        <w:rPr>
          <w:snapToGrid w:val="0"/>
          <w:kern w:val="22"/>
          <w:szCs w:val="22"/>
          <w:lang w:val="fr-FR"/>
        </w:rPr>
        <w:t xml:space="preserve"> à disposition par le biais du c</w:t>
      </w:r>
      <w:r w:rsidR="00500B7F" w:rsidRPr="00D229BA">
        <w:rPr>
          <w:snapToGrid w:val="0"/>
          <w:kern w:val="22"/>
          <w:szCs w:val="22"/>
          <w:lang w:val="fr-FR"/>
        </w:rPr>
        <w:t>entre d’échange de la Convention et par d’autres moyens appropriés</w:t>
      </w:r>
      <w:r w:rsidR="006803D0" w:rsidRPr="00D229BA">
        <w:rPr>
          <w:snapToGrid w:val="0"/>
          <w:kern w:val="22"/>
          <w:szCs w:val="22"/>
          <w:lang w:val="fr-FR"/>
        </w:rPr>
        <w:t> ;</w:t>
      </w:r>
    </w:p>
    <w:p w14:paraId="3188ADA7" w14:textId="671614B5" w:rsidR="00500B7F" w:rsidRPr="00D229BA" w:rsidRDefault="00500B7F" w:rsidP="005441AC">
      <w:pPr>
        <w:numPr>
          <w:ilvl w:val="0"/>
          <w:numId w:val="7"/>
        </w:numPr>
        <w:suppressLineNumbers/>
        <w:suppressAutoHyphens/>
        <w:kinsoku w:val="0"/>
        <w:overflowPunct w:val="0"/>
        <w:autoSpaceDE w:val="0"/>
        <w:autoSpaceDN w:val="0"/>
        <w:adjustRightInd w:val="0"/>
        <w:snapToGrid w:val="0"/>
        <w:spacing w:before="120" w:after="120"/>
        <w:ind w:left="0" w:firstLine="709"/>
        <w:rPr>
          <w:i/>
          <w:iCs/>
          <w:snapToGrid w:val="0"/>
          <w:kern w:val="22"/>
          <w:szCs w:val="22"/>
          <w:lang w:val="fr-FR"/>
        </w:rPr>
      </w:pPr>
      <w:r w:rsidRPr="00D229BA">
        <w:rPr>
          <w:i/>
          <w:snapToGrid w:val="0"/>
          <w:kern w:val="22"/>
          <w:lang w:val="fr-FR"/>
        </w:rPr>
        <w:t>Se félicite</w:t>
      </w:r>
      <w:r w:rsidRPr="00D229BA">
        <w:rPr>
          <w:snapToGrid w:val="0"/>
          <w:kern w:val="22"/>
          <w:lang w:val="fr-FR"/>
        </w:rPr>
        <w:t xml:space="preserve"> des </w:t>
      </w:r>
      <w:r w:rsidRPr="00D229BA">
        <w:rPr>
          <w:snapToGrid w:val="0"/>
          <w:kern w:val="22"/>
          <w:szCs w:val="22"/>
          <w:lang w:val="fr-FR"/>
        </w:rPr>
        <w:t xml:space="preserve">avis fournis aux Parties, au Secrétariat et à d’autres organisations concernées pour permettre un </w:t>
      </w:r>
      <w:r w:rsidRPr="00D229BA">
        <w:rPr>
          <w:snapToGrid w:val="0"/>
          <w:kern w:val="22"/>
          <w:lang w:val="fr-FR"/>
        </w:rPr>
        <w:t xml:space="preserve">processus </w:t>
      </w:r>
      <w:r w:rsidR="00D33AF9">
        <w:rPr>
          <w:snapToGrid w:val="0"/>
          <w:kern w:val="22"/>
          <w:lang w:val="fr-FR"/>
        </w:rPr>
        <w:t>tenant compte de la problématique femmes-hommes et reflétant l’égalité des</w:t>
      </w:r>
      <w:r w:rsidRPr="00D229BA">
        <w:rPr>
          <w:snapToGrid w:val="0"/>
          <w:kern w:val="22"/>
          <w:lang w:val="fr-FR"/>
        </w:rPr>
        <w:t xml:space="preserve"> sexes dans l’élaboration du </w:t>
      </w:r>
      <w:r w:rsidR="00344D53">
        <w:rPr>
          <w:snapToGrid w:val="0"/>
          <w:kern w:val="22"/>
          <w:lang w:val="fr-FR"/>
        </w:rPr>
        <w:t>cadre mondial de la biodiversité pour l’après-2020</w:t>
      </w:r>
      <w:r w:rsidRPr="00D229BA">
        <w:rPr>
          <w:rStyle w:val="FootnoteReference"/>
          <w:snapToGrid w:val="0"/>
          <w:kern w:val="22"/>
          <w:szCs w:val="22"/>
          <w:lang w:val="fr-FR"/>
        </w:rPr>
        <w:footnoteReference w:id="2"/>
      </w:r>
      <w:r w:rsidRPr="00D229BA">
        <w:rPr>
          <w:snapToGrid w:val="0"/>
          <w:kern w:val="22"/>
          <w:lang w:val="fr-FR"/>
        </w:rPr>
        <w:t xml:space="preserve">, et </w:t>
      </w:r>
      <w:r w:rsidRPr="00D229BA">
        <w:rPr>
          <w:i/>
          <w:snapToGrid w:val="0"/>
          <w:kern w:val="22"/>
          <w:lang w:val="fr-FR"/>
        </w:rPr>
        <w:t xml:space="preserve">prie instamment </w:t>
      </w:r>
      <w:r w:rsidRPr="00D229BA">
        <w:rPr>
          <w:snapToGrid w:val="0"/>
          <w:kern w:val="22"/>
          <w:lang w:val="fr-FR"/>
        </w:rPr>
        <w:t xml:space="preserve">les </w:t>
      </w:r>
      <w:r w:rsidRPr="00D229BA">
        <w:rPr>
          <w:snapToGrid w:val="0"/>
          <w:kern w:val="22"/>
          <w:szCs w:val="22"/>
          <w:lang w:val="fr-FR"/>
        </w:rPr>
        <w:t>Parties, le Secrétariat et les autres organisations</w:t>
      </w:r>
      <w:r w:rsidR="00312C3D">
        <w:rPr>
          <w:snapToGrid w:val="0"/>
          <w:kern w:val="22"/>
          <w:szCs w:val="22"/>
          <w:lang w:val="fr-FR"/>
        </w:rPr>
        <w:t xml:space="preserve"> compétentes de</w:t>
      </w:r>
      <w:r w:rsidRPr="00D229BA">
        <w:rPr>
          <w:snapToGrid w:val="0"/>
          <w:kern w:val="22"/>
          <w:szCs w:val="22"/>
          <w:lang w:val="fr-FR"/>
        </w:rPr>
        <w:t xml:space="preserve"> tenir compte de ces avis</w:t>
      </w:r>
      <w:r w:rsidR="00D33AF9">
        <w:rPr>
          <w:snapToGrid w:val="0"/>
          <w:kern w:val="22"/>
          <w:szCs w:val="22"/>
          <w:lang w:val="fr-FR"/>
        </w:rPr>
        <w:t xml:space="preserve"> dans leurs processus relatifs au</w:t>
      </w:r>
      <w:r w:rsidRPr="00D229BA">
        <w:rPr>
          <w:snapToGrid w:val="0"/>
          <w:kern w:val="22"/>
          <w:szCs w:val="22"/>
          <w:lang w:val="fr-FR"/>
        </w:rPr>
        <w:t xml:space="preserve"> cadre mondial de la </w:t>
      </w:r>
      <w:r w:rsidR="00D33AF9">
        <w:rPr>
          <w:snapToGrid w:val="0"/>
          <w:kern w:val="22"/>
          <w:szCs w:val="22"/>
          <w:lang w:val="fr-FR"/>
        </w:rPr>
        <w:t>biodiversité</w:t>
      </w:r>
      <w:r w:rsidRPr="00D229BA">
        <w:rPr>
          <w:snapToGrid w:val="0"/>
          <w:kern w:val="22"/>
          <w:szCs w:val="22"/>
          <w:lang w:val="fr-FR"/>
        </w:rPr>
        <w:t xml:space="preserve"> pour l’après-2020</w:t>
      </w:r>
      <w:r w:rsidR="00B25715" w:rsidRPr="00D229BA">
        <w:rPr>
          <w:snapToGrid w:val="0"/>
          <w:kern w:val="22"/>
          <w:szCs w:val="22"/>
          <w:lang w:val="fr-FR"/>
        </w:rPr>
        <w:t> ;</w:t>
      </w:r>
    </w:p>
    <w:p w14:paraId="637A9E88" w14:textId="62B990A0" w:rsidR="00500B7F" w:rsidRPr="00D229BA" w:rsidRDefault="00500B7F" w:rsidP="005441AC">
      <w:pPr>
        <w:numPr>
          <w:ilvl w:val="0"/>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iCs/>
          <w:snapToGrid w:val="0"/>
          <w:kern w:val="22"/>
          <w:szCs w:val="22"/>
          <w:lang w:val="fr-FR"/>
        </w:rPr>
        <w:t xml:space="preserve">Invite </w:t>
      </w:r>
      <w:r w:rsidRPr="00D229BA">
        <w:rPr>
          <w:snapToGrid w:val="0"/>
          <w:kern w:val="22"/>
          <w:szCs w:val="22"/>
          <w:lang w:val="fr-FR"/>
        </w:rPr>
        <w:t>les Parties, les autres gouvernements et toutes les organisations compétentes et les parties prenantes, y compris le secteur privé</w:t>
      </w:r>
      <w:r w:rsidR="00B93027" w:rsidRPr="00D229BA">
        <w:rPr>
          <w:snapToGrid w:val="0"/>
          <w:kern w:val="22"/>
          <w:szCs w:val="22"/>
          <w:lang w:val="fr-FR"/>
        </w:rPr>
        <w:t>, les peuples autochtones et les communautés locales, les femmes</w:t>
      </w:r>
      <w:r w:rsidRPr="00D229BA">
        <w:rPr>
          <w:snapToGrid w:val="0"/>
          <w:kern w:val="22"/>
          <w:szCs w:val="22"/>
          <w:lang w:val="fr-FR"/>
        </w:rPr>
        <w:t xml:space="preserve"> et les jeunes, lorsqu’ils organisent des r</w:t>
      </w:r>
      <w:r w:rsidR="00D33AF9">
        <w:rPr>
          <w:snapToGrid w:val="0"/>
          <w:kern w:val="22"/>
          <w:szCs w:val="22"/>
          <w:lang w:val="fr-FR"/>
        </w:rPr>
        <w:t xml:space="preserve">éunions et consultations présentant un intérêt pour la </w:t>
      </w:r>
      <w:r w:rsidRPr="00D229BA">
        <w:rPr>
          <w:snapToGrid w:val="0"/>
          <w:kern w:val="22"/>
          <w:szCs w:val="22"/>
          <w:lang w:val="fr-FR"/>
        </w:rPr>
        <w:t>biodiversité</w:t>
      </w:r>
      <w:r w:rsidR="00B93027" w:rsidRPr="00D229BA">
        <w:rPr>
          <w:snapToGrid w:val="0"/>
          <w:kern w:val="22"/>
          <w:szCs w:val="22"/>
          <w:lang w:val="fr-FR"/>
        </w:rPr>
        <w:t xml:space="preserve"> et les </w:t>
      </w:r>
      <w:r w:rsidR="00312C3D">
        <w:rPr>
          <w:snapToGrid w:val="0"/>
          <w:kern w:val="22"/>
          <w:szCs w:val="22"/>
          <w:lang w:val="fr-FR"/>
        </w:rPr>
        <w:t xml:space="preserve">fonctions et </w:t>
      </w:r>
      <w:r w:rsidR="00B93027" w:rsidRPr="00D229BA">
        <w:rPr>
          <w:snapToGrid w:val="0"/>
          <w:kern w:val="22"/>
          <w:szCs w:val="22"/>
          <w:lang w:val="fr-FR"/>
        </w:rPr>
        <w:t>services écosystémiques</w:t>
      </w:r>
      <w:r w:rsidRPr="00D229BA">
        <w:rPr>
          <w:snapToGrid w:val="0"/>
          <w:kern w:val="22"/>
          <w:szCs w:val="22"/>
          <w:lang w:val="fr-FR"/>
        </w:rPr>
        <w:t xml:space="preserve">, à envisager des séances ou un espace consacrés, pour faciliter les discussions sur l’élaboration du cadre mondial de la </w:t>
      </w:r>
      <w:r w:rsidR="00D33AF9">
        <w:rPr>
          <w:snapToGrid w:val="0"/>
          <w:kern w:val="22"/>
          <w:szCs w:val="22"/>
          <w:lang w:val="fr-FR"/>
        </w:rPr>
        <w:t>biodiversité</w:t>
      </w:r>
      <w:r w:rsidRPr="00D229BA">
        <w:rPr>
          <w:snapToGrid w:val="0"/>
          <w:kern w:val="22"/>
          <w:szCs w:val="22"/>
          <w:lang w:val="fr-FR"/>
        </w:rPr>
        <w:t xml:space="preserve"> pour l’après-2020 ;</w:t>
      </w:r>
    </w:p>
    <w:p w14:paraId="7220B074" w14:textId="77E6891A" w:rsidR="00500B7F" w:rsidRPr="00D229BA" w:rsidRDefault="00B93027" w:rsidP="005441AC">
      <w:pPr>
        <w:numPr>
          <w:ilvl w:val="0"/>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iCs/>
          <w:snapToGrid w:val="0"/>
          <w:kern w:val="22"/>
          <w:szCs w:val="22"/>
          <w:lang w:val="fr-FR"/>
        </w:rPr>
        <w:t>Exhorte</w:t>
      </w:r>
      <w:r w:rsidR="00500B7F" w:rsidRPr="00D229BA">
        <w:rPr>
          <w:i/>
          <w:iCs/>
          <w:snapToGrid w:val="0"/>
          <w:kern w:val="22"/>
          <w:szCs w:val="22"/>
          <w:lang w:val="fr-FR"/>
        </w:rPr>
        <w:t xml:space="preserve"> </w:t>
      </w:r>
      <w:r w:rsidR="00500B7F" w:rsidRPr="00D229BA">
        <w:rPr>
          <w:snapToGrid w:val="0"/>
          <w:kern w:val="22"/>
          <w:szCs w:val="22"/>
          <w:lang w:val="fr-FR"/>
        </w:rPr>
        <w:t xml:space="preserve">les Parties, </w:t>
      </w:r>
      <w:r w:rsidRPr="00D229BA">
        <w:rPr>
          <w:snapToGrid w:val="0"/>
          <w:kern w:val="22"/>
          <w:szCs w:val="22"/>
          <w:lang w:val="fr-FR"/>
        </w:rPr>
        <w:t xml:space="preserve">selon leurs capacités, et </w:t>
      </w:r>
      <w:r w:rsidRPr="00D229BA">
        <w:rPr>
          <w:i/>
          <w:snapToGrid w:val="0"/>
          <w:kern w:val="22"/>
          <w:szCs w:val="22"/>
          <w:lang w:val="fr-FR"/>
        </w:rPr>
        <w:t>encourage</w:t>
      </w:r>
      <w:r w:rsidRPr="00D229BA">
        <w:rPr>
          <w:snapToGrid w:val="0"/>
          <w:kern w:val="22"/>
          <w:szCs w:val="22"/>
          <w:lang w:val="fr-FR"/>
        </w:rPr>
        <w:t xml:space="preserve"> </w:t>
      </w:r>
      <w:r w:rsidR="00500B7F" w:rsidRPr="00D229BA">
        <w:rPr>
          <w:snapToGrid w:val="0"/>
          <w:kern w:val="22"/>
          <w:szCs w:val="22"/>
          <w:lang w:val="fr-FR"/>
        </w:rPr>
        <w:t>les autres gouvernements et toutes les organisations</w:t>
      </w:r>
      <w:r w:rsidR="00312C3D">
        <w:rPr>
          <w:snapToGrid w:val="0"/>
          <w:kern w:val="22"/>
          <w:szCs w:val="22"/>
          <w:lang w:val="fr-FR"/>
        </w:rPr>
        <w:t xml:space="preserve"> et parties prenantes compétentes</w:t>
      </w:r>
      <w:r w:rsidR="00500B7F" w:rsidRPr="00D229BA">
        <w:rPr>
          <w:snapToGrid w:val="0"/>
          <w:kern w:val="22"/>
          <w:szCs w:val="22"/>
          <w:lang w:val="fr-FR"/>
        </w:rPr>
        <w:t xml:space="preserve"> qui sont en mesure de le faire, à verser des contributions financières et </w:t>
      </w:r>
      <w:r w:rsidR="00F123E1" w:rsidRPr="00D229BA">
        <w:rPr>
          <w:snapToGrid w:val="0"/>
          <w:kern w:val="22"/>
          <w:szCs w:val="22"/>
          <w:lang w:val="fr-FR"/>
        </w:rPr>
        <w:t xml:space="preserve">à </w:t>
      </w:r>
      <w:r w:rsidR="00500B7F" w:rsidRPr="00D229BA">
        <w:rPr>
          <w:snapToGrid w:val="0"/>
          <w:kern w:val="22"/>
          <w:szCs w:val="22"/>
          <w:lang w:val="fr-FR"/>
        </w:rPr>
        <w:t xml:space="preserve">fournir d’autres types de soutien en temps opportun au processus d’élaboration du cadre mondial de la </w:t>
      </w:r>
      <w:r w:rsidR="00312C3D">
        <w:rPr>
          <w:snapToGrid w:val="0"/>
          <w:kern w:val="22"/>
          <w:szCs w:val="22"/>
          <w:lang w:val="fr-FR"/>
        </w:rPr>
        <w:t>biodiversité pour l’après-2020, notamment</w:t>
      </w:r>
      <w:r w:rsidR="00500B7F" w:rsidRPr="00D229BA">
        <w:rPr>
          <w:snapToGrid w:val="0"/>
          <w:kern w:val="22"/>
          <w:szCs w:val="22"/>
          <w:lang w:val="fr-FR"/>
        </w:rPr>
        <w:t xml:space="preserve"> en offrant d’héberger des consultations mondiales, régionales</w:t>
      </w:r>
      <w:r w:rsidRPr="00D229BA">
        <w:rPr>
          <w:snapToGrid w:val="0"/>
          <w:kern w:val="22"/>
          <w:szCs w:val="22"/>
          <w:lang w:val="fr-FR"/>
        </w:rPr>
        <w:t>,</w:t>
      </w:r>
      <w:r w:rsidR="00500B7F" w:rsidRPr="00D229BA">
        <w:rPr>
          <w:snapToGrid w:val="0"/>
          <w:kern w:val="22"/>
          <w:szCs w:val="22"/>
          <w:lang w:val="fr-FR"/>
        </w:rPr>
        <w:t xml:space="preserve"> sectorielles</w:t>
      </w:r>
      <w:r w:rsidRPr="00D229BA">
        <w:rPr>
          <w:snapToGrid w:val="0"/>
          <w:kern w:val="22"/>
          <w:szCs w:val="22"/>
          <w:lang w:val="fr-FR"/>
        </w:rPr>
        <w:t xml:space="preserve"> ou thématiques</w:t>
      </w:r>
      <w:r w:rsidR="00500B7F" w:rsidRPr="00D229BA">
        <w:rPr>
          <w:snapToGrid w:val="0"/>
          <w:kern w:val="22"/>
          <w:szCs w:val="22"/>
          <w:lang w:val="fr-FR"/>
        </w:rPr>
        <w:t xml:space="preserve"> sur cette question ;</w:t>
      </w:r>
    </w:p>
    <w:p w14:paraId="6B1E454E" w14:textId="1B3FDBB5" w:rsidR="00500B7F" w:rsidRPr="00D229BA" w:rsidRDefault="00B93027" w:rsidP="00FB234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D229BA">
        <w:rPr>
          <w:iCs/>
          <w:snapToGrid w:val="0"/>
          <w:kern w:val="22"/>
          <w:szCs w:val="22"/>
          <w:lang w:val="fr-FR"/>
        </w:rPr>
        <w:t>11</w:t>
      </w:r>
      <w:r w:rsidRPr="00D229BA">
        <w:rPr>
          <w:i/>
          <w:iCs/>
          <w:snapToGrid w:val="0"/>
          <w:kern w:val="22"/>
          <w:szCs w:val="22"/>
          <w:lang w:val="fr-FR"/>
        </w:rPr>
        <w:t>.</w:t>
      </w:r>
      <w:r w:rsidRPr="00D229BA">
        <w:rPr>
          <w:i/>
          <w:iCs/>
          <w:snapToGrid w:val="0"/>
          <w:kern w:val="22"/>
          <w:szCs w:val="22"/>
          <w:lang w:val="fr-FR"/>
        </w:rPr>
        <w:tab/>
      </w:r>
      <w:r w:rsidR="00763DA6" w:rsidRPr="00312C3D">
        <w:rPr>
          <w:i/>
          <w:iCs/>
          <w:snapToGrid w:val="0"/>
          <w:kern w:val="22"/>
          <w:szCs w:val="22"/>
          <w:lang w:val="fr-FR"/>
        </w:rPr>
        <w:t>Invite</w:t>
      </w:r>
      <w:r w:rsidR="00312C3D">
        <w:rPr>
          <w:iCs/>
          <w:snapToGrid w:val="0"/>
          <w:kern w:val="22"/>
          <w:szCs w:val="22"/>
          <w:lang w:val="fr-FR"/>
        </w:rPr>
        <w:t xml:space="preserve"> </w:t>
      </w:r>
      <w:r w:rsidR="00312C3D" w:rsidRPr="00312C3D">
        <w:rPr>
          <w:snapToGrid w:val="0"/>
          <w:kern w:val="22"/>
          <w:szCs w:val="22"/>
          <w:lang w:val="fr-FR"/>
        </w:rPr>
        <w:t>les</w:t>
      </w:r>
      <w:r w:rsidR="00312C3D">
        <w:rPr>
          <w:snapToGrid w:val="0"/>
          <w:kern w:val="22"/>
          <w:szCs w:val="22"/>
          <w:lang w:val="fr-FR"/>
        </w:rPr>
        <w:t xml:space="preserve"> Parties</w:t>
      </w:r>
      <w:r w:rsidR="00500B7F" w:rsidRPr="00D229BA">
        <w:rPr>
          <w:snapToGrid w:val="0"/>
          <w:kern w:val="22"/>
          <w:szCs w:val="22"/>
          <w:lang w:val="fr-FR"/>
        </w:rPr>
        <w:t xml:space="preserve"> </w:t>
      </w:r>
      <w:r w:rsidR="00763DA6" w:rsidRPr="00D229BA">
        <w:rPr>
          <w:snapToGrid w:val="0"/>
          <w:kern w:val="22"/>
          <w:szCs w:val="22"/>
          <w:lang w:val="fr-FR"/>
        </w:rPr>
        <w:t>et</w:t>
      </w:r>
      <w:r w:rsidR="00500B7F" w:rsidRPr="00D229BA">
        <w:rPr>
          <w:snapToGrid w:val="0"/>
          <w:kern w:val="22"/>
          <w:szCs w:val="22"/>
          <w:lang w:val="fr-FR"/>
        </w:rPr>
        <w:t xml:space="preserve"> </w:t>
      </w:r>
      <w:r w:rsidR="00763DA6" w:rsidRPr="00D229BA">
        <w:rPr>
          <w:snapToGrid w:val="0"/>
          <w:kern w:val="22"/>
          <w:szCs w:val="22"/>
          <w:lang w:val="fr-FR"/>
        </w:rPr>
        <w:t>les autres gouvernements</w:t>
      </w:r>
      <w:r w:rsidR="00500B7F" w:rsidRPr="00D229BA">
        <w:rPr>
          <w:snapToGrid w:val="0"/>
          <w:kern w:val="22"/>
          <w:szCs w:val="22"/>
          <w:lang w:val="fr-FR"/>
        </w:rPr>
        <w:t xml:space="preserve"> à envisager de mettre au point, selon le contexte national</w:t>
      </w:r>
      <w:r w:rsidR="00312C3D">
        <w:rPr>
          <w:snapToGrid w:val="0"/>
          <w:kern w:val="22"/>
          <w:szCs w:val="22"/>
          <w:lang w:val="fr-FR"/>
        </w:rPr>
        <w:t>, individuellement ou en conjointement</w:t>
      </w:r>
      <w:r w:rsidR="00500B7F" w:rsidRPr="00D229BA">
        <w:rPr>
          <w:snapToGrid w:val="0"/>
          <w:kern w:val="22"/>
          <w:szCs w:val="22"/>
          <w:lang w:val="fr-FR"/>
        </w:rPr>
        <w:t xml:space="preserve"> et sur une base volontaire, des engagements en faveur de la </w:t>
      </w:r>
      <w:r w:rsidR="005F2DB9" w:rsidRPr="00D229BA">
        <w:rPr>
          <w:snapToGrid w:val="0"/>
          <w:kern w:val="22"/>
          <w:szCs w:val="22"/>
          <w:lang w:val="fr-FR"/>
        </w:rPr>
        <w:t>diversité biologique</w:t>
      </w:r>
      <w:r w:rsidR="00500B7F" w:rsidRPr="00D229BA">
        <w:rPr>
          <w:snapToGrid w:val="0"/>
          <w:kern w:val="22"/>
          <w:szCs w:val="22"/>
          <w:lang w:val="fr-FR"/>
        </w:rPr>
        <w:t xml:space="preserve"> susceptibles de</w:t>
      </w:r>
      <w:r w:rsidR="00312C3D">
        <w:rPr>
          <w:snapToGrid w:val="0"/>
          <w:kern w:val="22"/>
          <w:szCs w:val="22"/>
          <w:lang w:val="fr-FR"/>
        </w:rPr>
        <w:t xml:space="preserve"> contribuer à</w:t>
      </w:r>
      <w:r w:rsidR="00763DA6" w:rsidRPr="00D229BA">
        <w:rPr>
          <w:snapToGrid w:val="0"/>
          <w:kern w:val="22"/>
          <w:szCs w:val="22"/>
          <w:lang w:val="fr-FR"/>
        </w:rPr>
        <w:t xml:space="preserve"> la réalisation des</w:t>
      </w:r>
      <w:r w:rsidR="00312C3D">
        <w:rPr>
          <w:snapToGrid w:val="0"/>
          <w:kern w:val="22"/>
          <w:szCs w:val="22"/>
          <w:lang w:val="fr-FR"/>
        </w:rPr>
        <w:t xml:space="preserve"> trois objectifs de la Convention, de renforcer les stratégies et plans d’action nationaux pour la diversité biologique, de faciliter la réalisation des Objectifs d’Aichi pour la biodiversité</w:t>
      </w:r>
      <w:r w:rsidR="00305449">
        <w:rPr>
          <w:snapToGrid w:val="0"/>
          <w:kern w:val="22"/>
          <w:szCs w:val="22"/>
          <w:lang w:val="fr-FR"/>
        </w:rPr>
        <w:t xml:space="preserve">, </w:t>
      </w:r>
      <w:r w:rsidR="00763DA6" w:rsidRPr="00D229BA">
        <w:rPr>
          <w:snapToGrid w:val="0"/>
          <w:kern w:val="22"/>
          <w:szCs w:val="22"/>
          <w:lang w:val="fr-FR"/>
        </w:rPr>
        <w:t>de</w:t>
      </w:r>
      <w:r w:rsidR="00500B7F" w:rsidRPr="00D229BA">
        <w:rPr>
          <w:snapToGrid w:val="0"/>
          <w:kern w:val="22"/>
          <w:szCs w:val="22"/>
          <w:lang w:val="fr-FR"/>
        </w:rPr>
        <w:t xml:space="preserve"> contribuer </w:t>
      </w:r>
      <w:r w:rsidR="00312C3D">
        <w:rPr>
          <w:snapToGrid w:val="0"/>
          <w:kern w:val="22"/>
          <w:szCs w:val="22"/>
          <w:lang w:val="fr-FR"/>
        </w:rPr>
        <w:t xml:space="preserve">à un cadre mondial de la biodiversité </w:t>
      </w:r>
      <w:r w:rsidR="00305449">
        <w:rPr>
          <w:snapToGrid w:val="0"/>
          <w:kern w:val="22"/>
          <w:szCs w:val="22"/>
          <w:lang w:val="fr-FR"/>
        </w:rPr>
        <w:t xml:space="preserve">efficace sans préjuger des résultats du processus d’élaboration de ce cadre, de contribuer  </w:t>
      </w:r>
      <w:r w:rsidR="00500B7F" w:rsidRPr="00D229BA">
        <w:rPr>
          <w:snapToGrid w:val="0"/>
          <w:kern w:val="22"/>
          <w:szCs w:val="22"/>
          <w:lang w:val="fr-FR"/>
        </w:rPr>
        <w:t xml:space="preserve">à la réalisation de la Vision 2050 pour la biodiversité, et de </w:t>
      </w:r>
      <w:r w:rsidR="00BA402A" w:rsidRPr="00D229BA">
        <w:rPr>
          <w:snapToGrid w:val="0"/>
          <w:kern w:val="22"/>
          <w:szCs w:val="22"/>
          <w:lang w:val="fr-FR"/>
        </w:rPr>
        <w:t>partager les</w:t>
      </w:r>
      <w:r w:rsidR="00500B7F" w:rsidRPr="00D229BA">
        <w:rPr>
          <w:snapToGrid w:val="0"/>
          <w:kern w:val="22"/>
          <w:szCs w:val="22"/>
          <w:lang w:val="fr-FR"/>
        </w:rPr>
        <w:t xml:space="preserve"> informations sur ces engagements </w:t>
      </w:r>
      <w:r w:rsidR="00BA402A" w:rsidRPr="00D229BA">
        <w:rPr>
          <w:snapToGrid w:val="0"/>
          <w:kern w:val="22"/>
          <w:szCs w:val="22"/>
          <w:lang w:val="fr-FR"/>
        </w:rPr>
        <w:t>par l’entremise du centre d’échange et par d’autres moyens</w:t>
      </w:r>
      <w:r w:rsidR="00B25715" w:rsidRPr="00D229BA">
        <w:rPr>
          <w:snapToGrid w:val="0"/>
          <w:kern w:val="22"/>
          <w:szCs w:val="22"/>
          <w:lang w:val="fr-FR"/>
        </w:rPr>
        <w:t> ;</w:t>
      </w:r>
      <w:r w:rsidR="00500B7F" w:rsidRPr="00D229BA">
        <w:rPr>
          <w:snapToGrid w:val="0"/>
          <w:kern w:val="22"/>
          <w:szCs w:val="22"/>
          <w:lang w:val="fr-FR"/>
        </w:rPr>
        <w:t xml:space="preserve"> </w:t>
      </w:r>
    </w:p>
    <w:p w14:paraId="53A6F2C7" w14:textId="77CA773A" w:rsidR="00BA402A" w:rsidRPr="00D229BA" w:rsidRDefault="00BA402A" w:rsidP="00FB2349">
      <w:pPr>
        <w:suppressLineNumbers/>
        <w:suppressAutoHyphens/>
        <w:kinsoku w:val="0"/>
        <w:overflowPunct w:val="0"/>
        <w:autoSpaceDE w:val="0"/>
        <w:autoSpaceDN w:val="0"/>
        <w:adjustRightInd w:val="0"/>
        <w:snapToGrid w:val="0"/>
        <w:spacing w:before="120" w:after="120"/>
        <w:ind w:firstLine="720"/>
        <w:rPr>
          <w:iCs/>
          <w:snapToGrid w:val="0"/>
          <w:kern w:val="22"/>
          <w:szCs w:val="22"/>
          <w:lang w:val="fr-FR"/>
        </w:rPr>
      </w:pPr>
      <w:r w:rsidRPr="00D229BA">
        <w:rPr>
          <w:iCs/>
          <w:snapToGrid w:val="0"/>
          <w:kern w:val="22"/>
          <w:szCs w:val="22"/>
          <w:lang w:val="fr-FR"/>
        </w:rPr>
        <w:t>12.</w:t>
      </w:r>
      <w:r w:rsidRPr="00D229BA">
        <w:rPr>
          <w:iCs/>
          <w:snapToGrid w:val="0"/>
          <w:kern w:val="22"/>
          <w:szCs w:val="22"/>
          <w:lang w:val="fr-FR"/>
        </w:rPr>
        <w:tab/>
      </w:r>
      <w:r w:rsidR="00305449">
        <w:rPr>
          <w:i/>
          <w:iCs/>
          <w:snapToGrid w:val="0"/>
          <w:kern w:val="22"/>
          <w:szCs w:val="22"/>
          <w:lang w:val="fr-FR"/>
        </w:rPr>
        <w:t>Encourage</w:t>
      </w:r>
      <w:r w:rsidRPr="00D229BA">
        <w:rPr>
          <w:i/>
          <w:iCs/>
          <w:snapToGrid w:val="0"/>
          <w:kern w:val="22"/>
          <w:szCs w:val="22"/>
          <w:lang w:val="fr-FR"/>
        </w:rPr>
        <w:t xml:space="preserve"> </w:t>
      </w:r>
      <w:r w:rsidRPr="00D229BA">
        <w:rPr>
          <w:iCs/>
          <w:snapToGrid w:val="0"/>
          <w:kern w:val="22"/>
          <w:szCs w:val="22"/>
          <w:lang w:val="fr-FR"/>
        </w:rPr>
        <w:t xml:space="preserve">les peuples autochtones et les communautés locales, </w:t>
      </w:r>
      <w:r w:rsidR="004A0522" w:rsidRPr="00D229BA">
        <w:rPr>
          <w:iCs/>
          <w:snapToGrid w:val="0"/>
          <w:kern w:val="22"/>
          <w:szCs w:val="22"/>
          <w:lang w:val="fr-FR"/>
        </w:rPr>
        <w:t>ainsi que</w:t>
      </w:r>
      <w:r w:rsidRPr="00D229BA">
        <w:rPr>
          <w:iCs/>
          <w:snapToGrid w:val="0"/>
          <w:kern w:val="22"/>
          <w:szCs w:val="22"/>
          <w:lang w:val="fr-FR"/>
        </w:rPr>
        <w:t xml:space="preserve"> toutes les orga</w:t>
      </w:r>
      <w:r w:rsidR="004A0522" w:rsidRPr="00D229BA">
        <w:rPr>
          <w:iCs/>
          <w:snapToGrid w:val="0"/>
          <w:kern w:val="22"/>
          <w:szCs w:val="22"/>
          <w:lang w:val="fr-FR"/>
        </w:rPr>
        <w:t>nisatio</w:t>
      </w:r>
      <w:r w:rsidRPr="00D229BA">
        <w:rPr>
          <w:iCs/>
          <w:snapToGrid w:val="0"/>
          <w:kern w:val="22"/>
          <w:szCs w:val="22"/>
          <w:lang w:val="fr-FR"/>
        </w:rPr>
        <w:t xml:space="preserve">ns et parties prenantes pertinentes, y compris le secteur privé, à envisager de </w:t>
      </w:r>
      <w:r w:rsidR="005F2DB9" w:rsidRPr="00D229BA">
        <w:rPr>
          <w:iCs/>
          <w:snapToGrid w:val="0"/>
          <w:kern w:val="22"/>
          <w:szCs w:val="22"/>
          <w:lang w:val="fr-FR"/>
        </w:rPr>
        <w:t>mettre au point</w:t>
      </w:r>
      <w:r w:rsidRPr="00D229BA">
        <w:rPr>
          <w:iCs/>
          <w:snapToGrid w:val="0"/>
          <w:kern w:val="22"/>
          <w:szCs w:val="22"/>
          <w:lang w:val="fr-FR"/>
        </w:rPr>
        <w:t>, avant la quinzi</w:t>
      </w:r>
      <w:r w:rsidR="004A0522" w:rsidRPr="00D229BA">
        <w:rPr>
          <w:iCs/>
          <w:snapToGrid w:val="0"/>
          <w:kern w:val="22"/>
          <w:szCs w:val="22"/>
          <w:lang w:val="fr-FR"/>
        </w:rPr>
        <w:t>ème ré</w:t>
      </w:r>
      <w:r w:rsidRPr="00D229BA">
        <w:rPr>
          <w:iCs/>
          <w:snapToGrid w:val="0"/>
          <w:kern w:val="22"/>
          <w:szCs w:val="22"/>
          <w:lang w:val="fr-FR"/>
        </w:rPr>
        <w:t xml:space="preserve">union de la Conférence des Parties, des engagements </w:t>
      </w:r>
      <w:r w:rsidR="005F2DB9" w:rsidRPr="00D229BA">
        <w:rPr>
          <w:iCs/>
          <w:snapToGrid w:val="0"/>
          <w:kern w:val="22"/>
          <w:szCs w:val="22"/>
          <w:lang w:val="fr-FR"/>
        </w:rPr>
        <w:t>en faveur de</w:t>
      </w:r>
      <w:r w:rsidRPr="00D229BA">
        <w:rPr>
          <w:iCs/>
          <w:snapToGrid w:val="0"/>
          <w:kern w:val="22"/>
          <w:szCs w:val="22"/>
          <w:lang w:val="fr-FR"/>
        </w:rPr>
        <w:t xml:space="preserve"> la diversité biologique susceptibles de contribuer </w:t>
      </w:r>
      <w:r w:rsidR="0014594B" w:rsidRPr="00D229BA">
        <w:rPr>
          <w:iCs/>
          <w:snapToGrid w:val="0"/>
          <w:kern w:val="22"/>
          <w:szCs w:val="22"/>
          <w:lang w:val="fr-FR"/>
        </w:rPr>
        <w:t>à un cadre mo</w:t>
      </w:r>
      <w:r w:rsidR="00305449">
        <w:rPr>
          <w:iCs/>
          <w:snapToGrid w:val="0"/>
          <w:kern w:val="22"/>
          <w:szCs w:val="22"/>
          <w:lang w:val="fr-FR"/>
        </w:rPr>
        <w:t>ndial de la biodiversité</w:t>
      </w:r>
      <w:r w:rsidR="0014594B" w:rsidRPr="00D229BA">
        <w:rPr>
          <w:iCs/>
          <w:snapToGrid w:val="0"/>
          <w:kern w:val="22"/>
          <w:szCs w:val="22"/>
          <w:lang w:val="fr-FR"/>
        </w:rPr>
        <w:t xml:space="preserve"> </w:t>
      </w:r>
      <w:r w:rsidR="005F2DB9" w:rsidRPr="00D229BA">
        <w:rPr>
          <w:iCs/>
          <w:snapToGrid w:val="0"/>
          <w:kern w:val="22"/>
          <w:szCs w:val="22"/>
          <w:lang w:val="fr-FR"/>
        </w:rPr>
        <w:t xml:space="preserve">efficace </w:t>
      </w:r>
      <w:r w:rsidR="0014594B" w:rsidRPr="00D229BA">
        <w:rPr>
          <w:iCs/>
          <w:snapToGrid w:val="0"/>
          <w:kern w:val="22"/>
          <w:szCs w:val="22"/>
          <w:lang w:val="fr-FR"/>
        </w:rPr>
        <w:t xml:space="preserve">pour l’après-2020 </w:t>
      </w:r>
      <w:r w:rsidR="004A0522" w:rsidRPr="00D229BA">
        <w:rPr>
          <w:iCs/>
          <w:snapToGrid w:val="0"/>
          <w:kern w:val="22"/>
          <w:szCs w:val="22"/>
          <w:lang w:val="fr-FR"/>
        </w:rPr>
        <w:t>et de mettre ces informati</w:t>
      </w:r>
      <w:r w:rsidR="0014594B" w:rsidRPr="00D229BA">
        <w:rPr>
          <w:iCs/>
          <w:snapToGrid w:val="0"/>
          <w:kern w:val="22"/>
          <w:szCs w:val="22"/>
          <w:lang w:val="fr-FR"/>
        </w:rPr>
        <w:t xml:space="preserve">ons à disposition en tant que contribution au Programme d’action </w:t>
      </w:r>
      <w:r w:rsidR="00623C2A" w:rsidRPr="00D229BA">
        <w:rPr>
          <w:iCs/>
          <w:snapToGrid w:val="0"/>
          <w:kern w:val="22"/>
          <w:szCs w:val="22"/>
          <w:lang w:val="fr-FR"/>
        </w:rPr>
        <w:t xml:space="preserve">de </w:t>
      </w:r>
      <w:r w:rsidR="00D229BA" w:rsidRPr="00D229BA">
        <w:rPr>
          <w:iCs/>
          <w:noProof/>
          <w:snapToGrid w:val="0"/>
          <w:kern w:val="22"/>
          <w:szCs w:val="22"/>
          <w:lang w:val="fr-FR"/>
        </w:rPr>
        <w:t>Charm</w:t>
      </w:r>
      <w:r w:rsidR="00D229BA" w:rsidRPr="00D229BA">
        <w:rPr>
          <w:iCs/>
          <w:snapToGrid w:val="0"/>
          <w:kern w:val="22"/>
          <w:szCs w:val="22"/>
          <w:lang w:val="fr-FR"/>
        </w:rPr>
        <w:t xml:space="preserve"> el-C</w:t>
      </w:r>
      <w:r w:rsidR="0014594B" w:rsidRPr="00D229BA">
        <w:rPr>
          <w:iCs/>
          <w:snapToGrid w:val="0"/>
          <w:kern w:val="22"/>
          <w:szCs w:val="22"/>
          <w:lang w:val="fr-FR"/>
        </w:rPr>
        <w:t xml:space="preserve">heikh à Beijing pour </w:t>
      </w:r>
      <w:r w:rsidR="00305449">
        <w:rPr>
          <w:iCs/>
          <w:snapToGrid w:val="0"/>
          <w:kern w:val="22"/>
          <w:szCs w:val="22"/>
          <w:lang w:val="fr-FR"/>
        </w:rPr>
        <w:t>la  nature et les populations</w:t>
      </w:r>
      <w:r w:rsidR="00344D53" w:rsidRPr="00AE3053">
        <w:rPr>
          <w:rStyle w:val="FootnoteReference"/>
          <w:snapToGrid w:val="0"/>
          <w:kern w:val="22"/>
          <w:szCs w:val="22"/>
        </w:rPr>
        <w:footnoteReference w:id="3"/>
      </w:r>
      <w:r w:rsidR="00305449">
        <w:rPr>
          <w:iCs/>
          <w:snapToGrid w:val="0"/>
          <w:kern w:val="22"/>
          <w:szCs w:val="22"/>
          <w:lang w:val="fr-FR"/>
        </w:rPr>
        <w:t> ;</w:t>
      </w:r>
    </w:p>
    <w:p w14:paraId="0355A239" w14:textId="21F7BEA5" w:rsidR="00500B7F" w:rsidRPr="00D229BA" w:rsidRDefault="00500B7F" w:rsidP="005441AC">
      <w:pPr>
        <w:pStyle w:val="ListParagraph"/>
        <w:numPr>
          <w:ilvl w:val="0"/>
          <w:numId w:val="9"/>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D229BA">
        <w:rPr>
          <w:i/>
          <w:iCs/>
          <w:snapToGrid w:val="0"/>
          <w:kern w:val="22"/>
          <w:szCs w:val="22"/>
          <w:lang w:val="fr-FR"/>
        </w:rPr>
        <w:t>Invite</w:t>
      </w:r>
      <w:r w:rsidRPr="00D229BA">
        <w:rPr>
          <w:snapToGrid w:val="0"/>
          <w:kern w:val="22"/>
          <w:szCs w:val="22"/>
          <w:lang w:val="fr-FR"/>
        </w:rPr>
        <w:t xml:space="preserve"> l’Assemblée générale des Nations Unies à convoquer</w:t>
      </w:r>
      <w:r w:rsidR="00305449">
        <w:rPr>
          <w:snapToGrid w:val="0"/>
          <w:kern w:val="22"/>
          <w:szCs w:val="22"/>
          <w:lang w:val="fr-FR"/>
        </w:rPr>
        <w:t>, en 2020,</w:t>
      </w:r>
      <w:r w:rsidRPr="00D229BA">
        <w:rPr>
          <w:snapToGrid w:val="0"/>
          <w:kern w:val="22"/>
          <w:szCs w:val="22"/>
          <w:lang w:val="fr-FR"/>
        </w:rPr>
        <w:t xml:space="preserve"> un sommet de haut nive</w:t>
      </w:r>
      <w:r w:rsidR="00305449">
        <w:rPr>
          <w:snapToGrid w:val="0"/>
          <w:kern w:val="22"/>
          <w:szCs w:val="22"/>
          <w:lang w:val="fr-FR"/>
        </w:rPr>
        <w:t>au sur la biodiversité au niveau des c</w:t>
      </w:r>
      <w:r w:rsidRPr="00D229BA">
        <w:rPr>
          <w:snapToGrid w:val="0"/>
          <w:kern w:val="22"/>
          <w:szCs w:val="22"/>
          <w:lang w:val="fr-FR"/>
        </w:rPr>
        <w:t>hefs d’État et de gouvernements, afin d’accroître la visibilité</w:t>
      </w:r>
      <w:r w:rsidR="00344D53">
        <w:rPr>
          <w:snapToGrid w:val="0"/>
          <w:kern w:val="22"/>
          <w:szCs w:val="22"/>
          <w:lang w:val="fr-FR"/>
        </w:rPr>
        <w:t xml:space="preserve"> politique</w:t>
      </w:r>
      <w:r w:rsidRPr="00D229BA">
        <w:rPr>
          <w:snapToGrid w:val="0"/>
          <w:kern w:val="22"/>
          <w:szCs w:val="22"/>
          <w:lang w:val="fr-FR"/>
        </w:rPr>
        <w:t xml:space="preserve"> de la biodiversité et de faire connaître sa contribution au Programme de développement durable à l’horizon 2030</w:t>
      </w:r>
      <w:r w:rsidRPr="00D229BA">
        <w:rPr>
          <w:rStyle w:val="FootnoteReference"/>
          <w:snapToGrid w:val="0"/>
          <w:kern w:val="22"/>
          <w:szCs w:val="22"/>
          <w:lang w:val="fr-FR"/>
        </w:rPr>
        <w:footnoteReference w:id="4"/>
      </w:r>
      <w:r w:rsidRPr="00D229BA">
        <w:rPr>
          <w:snapToGrid w:val="0"/>
          <w:kern w:val="22"/>
          <w:szCs w:val="22"/>
          <w:lang w:val="fr-FR"/>
        </w:rPr>
        <w:t xml:space="preserve"> </w:t>
      </w:r>
      <w:r w:rsidR="00623C2A" w:rsidRPr="00D229BA">
        <w:rPr>
          <w:snapToGrid w:val="0"/>
          <w:kern w:val="22"/>
          <w:szCs w:val="22"/>
          <w:lang w:val="fr-FR"/>
        </w:rPr>
        <w:t>et</w:t>
      </w:r>
      <w:r w:rsidRPr="00D229BA">
        <w:rPr>
          <w:snapToGrid w:val="0"/>
          <w:kern w:val="22"/>
          <w:szCs w:val="22"/>
          <w:lang w:val="fr-FR"/>
        </w:rPr>
        <w:t xml:space="preserve"> à l’élabo</w:t>
      </w:r>
      <w:r w:rsidR="00344D53">
        <w:rPr>
          <w:snapToGrid w:val="0"/>
          <w:kern w:val="22"/>
          <w:szCs w:val="22"/>
          <w:lang w:val="fr-FR"/>
        </w:rPr>
        <w:t>ration d’un cadre mondial de la biodiversité robuste pour l’après-</w:t>
      </w:r>
      <w:r w:rsidRPr="00D229BA">
        <w:rPr>
          <w:snapToGrid w:val="0"/>
          <w:kern w:val="22"/>
          <w:szCs w:val="22"/>
          <w:lang w:val="fr-FR"/>
        </w:rPr>
        <w:t>2020</w:t>
      </w:r>
      <w:r w:rsidR="00F05388" w:rsidRPr="00D229BA">
        <w:rPr>
          <w:snapToGrid w:val="0"/>
          <w:kern w:val="22"/>
          <w:szCs w:val="22"/>
          <w:lang w:val="fr-FR"/>
        </w:rPr>
        <w:t> ;</w:t>
      </w:r>
    </w:p>
    <w:p w14:paraId="6FE7F507" w14:textId="77777777" w:rsidR="004A0522" w:rsidRPr="00D229BA" w:rsidRDefault="004A0522" w:rsidP="00FB2349">
      <w:pPr>
        <w:pStyle w:val="ListParagraph"/>
        <w:suppressLineNumbers/>
        <w:suppressAutoHyphens/>
        <w:kinsoku w:val="0"/>
        <w:overflowPunct w:val="0"/>
        <w:autoSpaceDE w:val="0"/>
        <w:autoSpaceDN w:val="0"/>
        <w:adjustRightInd w:val="0"/>
        <w:snapToGrid w:val="0"/>
        <w:spacing w:before="120" w:after="120"/>
        <w:rPr>
          <w:snapToGrid w:val="0"/>
          <w:kern w:val="22"/>
          <w:szCs w:val="22"/>
          <w:lang w:val="fr-FR"/>
        </w:rPr>
      </w:pPr>
    </w:p>
    <w:p w14:paraId="205465D5" w14:textId="25EDD3F1" w:rsidR="00623C2A" w:rsidRPr="00D229BA" w:rsidRDefault="00623C2A" w:rsidP="005441AC">
      <w:pPr>
        <w:pStyle w:val="ListParagraph"/>
        <w:numPr>
          <w:ilvl w:val="0"/>
          <w:numId w:val="9"/>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D229BA">
        <w:rPr>
          <w:i/>
          <w:snapToGrid w:val="0"/>
          <w:kern w:val="22"/>
          <w:szCs w:val="22"/>
          <w:lang w:val="fr-FR"/>
        </w:rPr>
        <w:t>Encourage</w:t>
      </w:r>
      <w:r w:rsidRPr="00D229BA">
        <w:rPr>
          <w:snapToGrid w:val="0"/>
          <w:kern w:val="22"/>
          <w:szCs w:val="22"/>
          <w:lang w:val="fr-FR"/>
        </w:rPr>
        <w:t xml:space="preserve"> les Parties à découvrir des occasions d’</w:t>
      </w:r>
      <w:r w:rsidR="00A939D1" w:rsidRPr="00D229BA">
        <w:rPr>
          <w:snapToGrid w:val="0"/>
          <w:kern w:val="22"/>
          <w:szCs w:val="22"/>
          <w:lang w:val="fr-FR"/>
        </w:rPr>
        <w:t>engagement régional de haut niveau au processus préparatoire du cadre mo</w:t>
      </w:r>
      <w:r w:rsidR="00344D53">
        <w:rPr>
          <w:snapToGrid w:val="0"/>
          <w:kern w:val="22"/>
          <w:szCs w:val="22"/>
          <w:lang w:val="fr-FR"/>
        </w:rPr>
        <w:t>ndial de la biodiversité</w:t>
      </w:r>
      <w:r w:rsidR="00A939D1" w:rsidRPr="00D229BA">
        <w:rPr>
          <w:snapToGrid w:val="0"/>
          <w:kern w:val="22"/>
          <w:szCs w:val="22"/>
          <w:lang w:val="fr-FR"/>
        </w:rPr>
        <w:t xml:space="preserve"> pour l’après-2020 ;</w:t>
      </w:r>
    </w:p>
    <w:p w14:paraId="6FD190C4" w14:textId="77777777" w:rsidR="00A939D1" w:rsidRPr="00D229BA" w:rsidRDefault="00A939D1" w:rsidP="00FB2349">
      <w:pPr>
        <w:pStyle w:val="ListParagraph"/>
        <w:rPr>
          <w:snapToGrid w:val="0"/>
          <w:kern w:val="22"/>
          <w:szCs w:val="22"/>
          <w:lang w:val="fr-FR"/>
        </w:rPr>
      </w:pPr>
    </w:p>
    <w:p w14:paraId="073D12F1" w14:textId="14987547" w:rsidR="00500B7F" w:rsidRPr="00D229BA" w:rsidRDefault="00500B7F" w:rsidP="005441AC">
      <w:pPr>
        <w:pStyle w:val="ListParagraph"/>
        <w:numPr>
          <w:ilvl w:val="0"/>
          <w:numId w:val="9"/>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D229BA">
        <w:rPr>
          <w:i/>
          <w:iCs/>
          <w:snapToGrid w:val="0"/>
          <w:kern w:val="22"/>
          <w:szCs w:val="22"/>
          <w:lang w:val="fr-FR"/>
        </w:rPr>
        <w:t>Note</w:t>
      </w:r>
      <w:r w:rsidRPr="00D229BA">
        <w:rPr>
          <w:snapToGrid w:val="0"/>
          <w:kern w:val="22"/>
          <w:szCs w:val="22"/>
          <w:lang w:val="fr-FR"/>
        </w:rPr>
        <w:t xml:space="preserve"> que plusieurs cibles relatives à la biodiversité du Programme de développement durable à l’horizon 2030 ont leur échéance en 2020, et </w:t>
      </w:r>
      <w:r w:rsidRPr="00D229BA">
        <w:rPr>
          <w:i/>
          <w:snapToGrid w:val="0"/>
          <w:kern w:val="22"/>
          <w:szCs w:val="22"/>
          <w:lang w:val="fr-FR"/>
        </w:rPr>
        <w:t>demande</w:t>
      </w:r>
      <w:r w:rsidRPr="00D229BA">
        <w:rPr>
          <w:snapToGrid w:val="0"/>
          <w:kern w:val="22"/>
          <w:szCs w:val="22"/>
          <w:lang w:val="fr-FR"/>
        </w:rPr>
        <w:t xml:space="preserve"> à la Secrétaire exécutive de porter le </w:t>
      </w:r>
      <w:r w:rsidRPr="00D229BA">
        <w:rPr>
          <w:snapToGrid w:val="0"/>
          <w:kern w:val="22"/>
          <w:szCs w:val="22"/>
          <w:lang w:val="fr-FR"/>
        </w:rPr>
        <w:lastRenderedPageBreak/>
        <w:t xml:space="preserve">processus préparatoire du </w:t>
      </w:r>
      <w:r w:rsidR="00344D53">
        <w:rPr>
          <w:snapToGrid w:val="0"/>
          <w:kern w:val="22"/>
          <w:szCs w:val="22"/>
          <w:lang w:val="fr-FR"/>
        </w:rPr>
        <w:t>cadre mondial de la biodiversité pour l’après-2020</w:t>
      </w:r>
      <w:r w:rsidRPr="00D229BA">
        <w:rPr>
          <w:snapToGrid w:val="0"/>
          <w:kern w:val="22"/>
          <w:szCs w:val="22"/>
          <w:lang w:val="fr-FR"/>
        </w:rPr>
        <w:t xml:space="preserve"> à l’attention de l’Assemblée générale des Nations Unies</w:t>
      </w:r>
      <w:r w:rsidR="00F05388" w:rsidRPr="00D229BA">
        <w:rPr>
          <w:snapToGrid w:val="0"/>
          <w:kern w:val="22"/>
          <w:szCs w:val="22"/>
          <w:lang w:val="fr-FR"/>
        </w:rPr>
        <w:t> ;</w:t>
      </w:r>
    </w:p>
    <w:p w14:paraId="4D0C5DCC" w14:textId="013533F0" w:rsidR="00500B7F" w:rsidRPr="00D229BA" w:rsidRDefault="00500B7F" w:rsidP="005441AC">
      <w:pPr>
        <w:numPr>
          <w:ilvl w:val="0"/>
          <w:numId w:val="9"/>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iCs/>
          <w:snapToGrid w:val="0"/>
          <w:kern w:val="22"/>
          <w:szCs w:val="22"/>
          <w:lang w:val="fr-FR"/>
        </w:rPr>
        <w:t>Prie</w:t>
      </w:r>
      <w:r w:rsidRPr="00D229BA">
        <w:rPr>
          <w:snapToGrid w:val="0"/>
          <w:kern w:val="22"/>
          <w:szCs w:val="22"/>
          <w:lang w:val="fr-FR"/>
        </w:rPr>
        <w:t xml:space="preserve"> l’Organe subsidiaire chargé de fournir des avis scientifiques, te</w:t>
      </w:r>
      <w:r w:rsidR="00A939D1" w:rsidRPr="00D229BA">
        <w:rPr>
          <w:snapToGrid w:val="0"/>
          <w:kern w:val="22"/>
          <w:szCs w:val="22"/>
          <w:lang w:val="fr-FR"/>
        </w:rPr>
        <w:t>chniques et technologiques, à ses</w:t>
      </w:r>
      <w:r w:rsidRPr="00D229BA">
        <w:rPr>
          <w:snapToGrid w:val="0"/>
          <w:kern w:val="22"/>
          <w:szCs w:val="22"/>
          <w:lang w:val="fr-FR"/>
        </w:rPr>
        <w:t xml:space="preserve"> vingt-troisième </w:t>
      </w:r>
      <w:r w:rsidR="00A939D1" w:rsidRPr="00D229BA">
        <w:rPr>
          <w:snapToGrid w:val="0"/>
          <w:kern w:val="22"/>
          <w:szCs w:val="22"/>
          <w:lang w:val="fr-FR"/>
        </w:rPr>
        <w:t xml:space="preserve">et vingt-quatrième </w:t>
      </w:r>
      <w:r w:rsidRPr="00D229BA">
        <w:rPr>
          <w:snapToGrid w:val="0"/>
          <w:kern w:val="22"/>
          <w:szCs w:val="22"/>
          <w:lang w:val="fr-FR"/>
        </w:rPr>
        <w:t>réunion</w:t>
      </w:r>
      <w:r w:rsidR="00A939D1" w:rsidRPr="00D229BA">
        <w:rPr>
          <w:snapToGrid w:val="0"/>
          <w:kern w:val="22"/>
          <w:szCs w:val="22"/>
          <w:lang w:val="fr-FR"/>
        </w:rPr>
        <w:t>s</w:t>
      </w:r>
      <w:r w:rsidRPr="00D229BA">
        <w:rPr>
          <w:snapToGrid w:val="0"/>
          <w:kern w:val="22"/>
          <w:szCs w:val="22"/>
          <w:lang w:val="fr-FR"/>
        </w:rPr>
        <w:t xml:space="preserve">, de contribuer à l’élaboration </w:t>
      </w:r>
      <w:r w:rsidR="00A939D1" w:rsidRPr="00D229BA">
        <w:rPr>
          <w:snapToGrid w:val="0"/>
          <w:kern w:val="22"/>
          <w:szCs w:val="22"/>
          <w:lang w:val="fr-FR"/>
        </w:rPr>
        <w:t>d</w:t>
      </w:r>
      <w:r w:rsidRPr="00D229BA">
        <w:rPr>
          <w:snapToGrid w:val="0"/>
          <w:kern w:val="22"/>
          <w:szCs w:val="22"/>
          <w:lang w:val="fr-FR"/>
        </w:rPr>
        <w:t xml:space="preserve">u </w:t>
      </w:r>
      <w:r w:rsidR="00344D53">
        <w:rPr>
          <w:snapToGrid w:val="0"/>
          <w:kern w:val="22"/>
          <w:szCs w:val="22"/>
          <w:lang w:val="fr-FR"/>
        </w:rPr>
        <w:t>cadre mondial de la biodiversité pour l’après-2020</w:t>
      </w:r>
      <w:r w:rsidRPr="00D229BA">
        <w:rPr>
          <w:snapToGrid w:val="0"/>
          <w:kern w:val="22"/>
          <w:szCs w:val="22"/>
          <w:lang w:val="fr-FR"/>
        </w:rPr>
        <w:t xml:space="preserve">, </w:t>
      </w:r>
      <w:r w:rsidR="00A939D1" w:rsidRPr="00D229BA">
        <w:rPr>
          <w:snapToGrid w:val="0"/>
          <w:kern w:val="22"/>
          <w:szCs w:val="22"/>
          <w:lang w:val="fr-FR"/>
        </w:rPr>
        <w:t xml:space="preserve">et </w:t>
      </w:r>
      <w:r w:rsidR="00103FA7" w:rsidRPr="00D229BA">
        <w:rPr>
          <w:snapToGrid w:val="0"/>
          <w:kern w:val="22"/>
          <w:szCs w:val="22"/>
          <w:lang w:val="fr-FR"/>
        </w:rPr>
        <w:t>à soutenir les</w:t>
      </w:r>
      <w:r w:rsidR="00422BEB">
        <w:rPr>
          <w:snapToGrid w:val="0"/>
          <w:kern w:val="22"/>
          <w:szCs w:val="22"/>
          <w:lang w:val="fr-FR"/>
        </w:rPr>
        <w:t xml:space="preserve"> travaux du g</w:t>
      </w:r>
      <w:r w:rsidR="00A939D1" w:rsidRPr="00D229BA">
        <w:rPr>
          <w:snapToGrid w:val="0"/>
          <w:kern w:val="22"/>
          <w:szCs w:val="22"/>
          <w:lang w:val="fr-FR"/>
        </w:rPr>
        <w:t>roupe de travail intersessions à composition non limitée</w:t>
      </w:r>
      <w:r w:rsidR="00F05388" w:rsidRPr="00D229BA">
        <w:rPr>
          <w:snapToGrid w:val="0"/>
          <w:kern w:val="22"/>
          <w:szCs w:val="22"/>
          <w:lang w:val="fr-FR"/>
        </w:rPr>
        <w:t> ;</w:t>
      </w:r>
    </w:p>
    <w:p w14:paraId="6E3CDD86" w14:textId="761EFFA9" w:rsidR="002C1004" w:rsidRPr="00D229BA" w:rsidRDefault="002C1004" w:rsidP="005441AC">
      <w:pPr>
        <w:numPr>
          <w:ilvl w:val="0"/>
          <w:numId w:val="9"/>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snapToGrid w:val="0"/>
          <w:kern w:val="22"/>
          <w:szCs w:val="22"/>
          <w:lang w:val="fr-FR"/>
        </w:rPr>
        <w:t>Prie</w:t>
      </w:r>
      <w:r w:rsidRPr="00D229BA">
        <w:rPr>
          <w:snapToGrid w:val="0"/>
          <w:kern w:val="22"/>
          <w:szCs w:val="22"/>
          <w:lang w:val="fr-FR"/>
        </w:rPr>
        <w:t xml:space="preserve"> le Groupe de travail spécial à composition non limitée sur l’article 8 j), à sa onzième réunion, de fournir des recommandations sur le rôle que pourraient jouer les connaissances traditionnelle</w:t>
      </w:r>
      <w:r w:rsidR="0018402A" w:rsidRPr="00D229BA">
        <w:rPr>
          <w:snapToGrid w:val="0"/>
          <w:kern w:val="22"/>
          <w:szCs w:val="22"/>
          <w:lang w:val="fr-FR"/>
        </w:rPr>
        <w:t>s</w:t>
      </w:r>
      <w:r w:rsidRPr="00D229BA">
        <w:rPr>
          <w:snapToGrid w:val="0"/>
          <w:kern w:val="22"/>
          <w:szCs w:val="22"/>
          <w:lang w:val="fr-FR"/>
        </w:rPr>
        <w:t xml:space="preserve">, l’utilisation durable coutumière et la contribution des actions collectives des peuples autochtones et des communautés locales au </w:t>
      </w:r>
      <w:r w:rsidR="00344D53">
        <w:rPr>
          <w:snapToGrid w:val="0"/>
          <w:kern w:val="22"/>
          <w:szCs w:val="22"/>
          <w:lang w:val="fr-FR"/>
        </w:rPr>
        <w:t>cadre mondial de la biodiversité pour l’après-2020</w:t>
      </w:r>
      <w:r w:rsidRPr="00D229BA">
        <w:rPr>
          <w:snapToGrid w:val="0"/>
          <w:kern w:val="22"/>
          <w:szCs w:val="22"/>
          <w:lang w:val="fr-FR"/>
        </w:rPr>
        <w:t>, en appui aux travaux du Groupe de travail intersessions à composition non limitée ;</w:t>
      </w:r>
    </w:p>
    <w:p w14:paraId="6E77486D" w14:textId="622849D6" w:rsidR="00500B7F" w:rsidRPr="00D229BA" w:rsidRDefault="00334D2C" w:rsidP="005441AC">
      <w:pPr>
        <w:numPr>
          <w:ilvl w:val="0"/>
          <w:numId w:val="9"/>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iCs/>
          <w:snapToGrid w:val="0"/>
          <w:kern w:val="22"/>
          <w:szCs w:val="22"/>
          <w:lang w:val="fr-FR"/>
        </w:rPr>
        <w:t>Prie</w:t>
      </w:r>
      <w:r w:rsidRPr="00D229BA">
        <w:rPr>
          <w:iCs/>
          <w:snapToGrid w:val="0"/>
          <w:kern w:val="22"/>
          <w:szCs w:val="22"/>
          <w:lang w:val="fr-FR"/>
        </w:rPr>
        <w:t xml:space="preserve"> l’Organe subsidiaire chargé de l’application </w:t>
      </w:r>
      <w:r w:rsidR="000D2348" w:rsidRPr="00D229BA">
        <w:rPr>
          <w:iCs/>
          <w:snapToGrid w:val="0"/>
          <w:kern w:val="22"/>
          <w:szCs w:val="22"/>
          <w:lang w:val="fr-FR"/>
        </w:rPr>
        <w:t>de contribuer</w:t>
      </w:r>
      <w:r w:rsidRPr="00D229BA">
        <w:rPr>
          <w:iCs/>
          <w:snapToGrid w:val="0"/>
          <w:kern w:val="22"/>
          <w:szCs w:val="22"/>
          <w:lang w:val="fr-FR"/>
        </w:rPr>
        <w:t>, à sa troisième réunion, à l’élaboration du cadre mondial de la diversité biologique po</w:t>
      </w:r>
      <w:r w:rsidR="00422BEB">
        <w:rPr>
          <w:iCs/>
          <w:snapToGrid w:val="0"/>
          <w:kern w:val="22"/>
          <w:szCs w:val="22"/>
          <w:lang w:val="fr-FR"/>
        </w:rPr>
        <w:t>ur l’après 2020 préparé par le g</w:t>
      </w:r>
      <w:r w:rsidRPr="00D229BA">
        <w:rPr>
          <w:iCs/>
          <w:snapToGrid w:val="0"/>
          <w:kern w:val="22"/>
          <w:szCs w:val="22"/>
          <w:lang w:val="fr-FR"/>
        </w:rPr>
        <w:t xml:space="preserve">roupe de travail intersessions à composition non limitée, et de le compléter </w:t>
      </w:r>
      <w:r w:rsidR="000D2348" w:rsidRPr="00D229BA">
        <w:rPr>
          <w:iCs/>
          <w:snapToGrid w:val="0"/>
          <w:kern w:val="22"/>
          <w:szCs w:val="22"/>
          <w:lang w:val="fr-FR"/>
        </w:rPr>
        <w:t>au moyen d’</w:t>
      </w:r>
      <w:r w:rsidRPr="00D229BA">
        <w:rPr>
          <w:iCs/>
          <w:snapToGrid w:val="0"/>
          <w:kern w:val="22"/>
          <w:szCs w:val="22"/>
          <w:lang w:val="fr-FR"/>
        </w:rPr>
        <w:t>éléments sur des moyens de soutenir et d’analyser sa mise en œuvre ;</w:t>
      </w:r>
    </w:p>
    <w:p w14:paraId="0830E600" w14:textId="58B70A8E" w:rsidR="00334D2C" w:rsidRPr="00422BEB" w:rsidRDefault="00334D2C" w:rsidP="005441AC">
      <w:pPr>
        <w:numPr>
          <w:ilvl w:val="0"/>
          <w:numId w:val="9"/>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D229BA">
        <w:rPr>
          <w:i/>
          <w:iCs/>
          <w:snapToGrid w:val="0"/>
          <w:kern w:val="22"/>
          <w:szCs w:val="22"/>
          <w:lang w:val="fr-FR"/>
        </w:rPr>
        <w:t xml:space="preserve">Prie </w:t>
      </w:r>
      <w:r w:rsidR="00422BEB">
        <w:rPr>
          <w:iCs/>
          <w:snapToGrid w:val="0"/>
          <w:kern w:val="22"/>
          <w:szCs w:val="22"/>
          <w:lang w:val="fr-FR"/>
        </w:rPr>
        <w:t>les coprésidents du g</w:t>
      </w:r>
      <w:r w:rsidRPr="00D229BA">
        <w:rPr>
          <w:iCs/>
          <w:snapToGrid w:val="0"/>
          <w:kern w:val="22"/>
          <w:szCs w:val="22"/>
          <w:lang w:val="fr-FR"/>
        </w:rPr>
        <w:t>roupe de travail à compos</w:t>
      </w:r>
      <w:r w:rsidR="00422BEB">
        <w:rPr>
          <w:iCs/>
          <w:snapToGrid w:val="0"/>
          <w:kern w:val="22"/>
          <w:szCs w:val="22"/>
          <w:lang w:val="fr-FR"/>
        </w:rPr>
        <w:t>ition non limitée de fournir des</w:t>
      </w:r>
      <w:r w:rsidRPr="00D229BA">
        <w:rPr>
          <w:iCs/>
          <w:snapToGrid w:val="0"/>
          <w:kern w:val="22"/>
          <w:szCs w:val="22"/>
          <w:lang w:val="fr-FR"/>
        </w:rPr>
        <w:t xml:space="preserve"> orientation</w:t>
      </w:r>
      <w:r w:rsidR="00422BEB">
        <w:rPr>
          <w:iCs/>
          <w:snapToGrid w:val="0"/>
          <w:kern w:val="22"/>
          <w:szCs w:val="22"/>
          <w:lang w:val="fr-FR"/>
        </w:rPr>
        <w:t>s</w:t>
      </w:r>
      <w:r w:rsidRPr="00D229BA">
        <w:rPr>
          <w:iCs/>
          <w:snapToGrid w:val="0"/>
          <w:kern w:val="22"/>
          <w:szCs w:val="22"/>
          <w:lang w:val="fr-FR"/>
        </w:rPr>
        <w:t xml:space="preserve"> </w:t>
      </w:r>
      <w:r w:rsidR="001F035A" w:rsidRPr="00D229BA">
        <w:rPr>
          <w:iCs/>
          <w:snapToGrid w:val="0"/>
          <w:kern w:val="22"/>
          <w:szCs w:val="22"/>
          <w:lang w:val="fr-FR"/>
        </w:rPr>
        <w:t>plus poussée</w:t>
      </w:r>
      <w:r w:rsidR="00422BEB">
        <w:rPr>
          <w:iCs/>
          <w:snapToGrid w:val="0"/>
          <w:kern w:val="22"/>
          <w:szCs w:val="22"/>
          <w:lang w:val="fr-FR"/>
        </w:rPr>
        <w:t>s</w:t>
      </w:r>
      <w:r w:rsidRPr="00D229BA">
        <w:rPr>
          <w:iCs/>
          <w:snapToGrid w:val="0"/>
          <w:kern w:val="22"/>
          <w:szCs w:val="22"/>
          <w:lang w:val="fr-FR"/>
        </w:rPr>
        <w:t xml:space="preserve"> sur les éléments </w:t>
      </w:r>
      <w:r w:rsidR="001F035A" w:rsidRPr="00D229BA">
        <w:rPr>
          <w:iCs/>
          <w:snapToGrid w:val="0"/>
          <w:kern w:val="22"/>
          <w:szCs w:val="22"/>
          <w:lang w:val="fr-FR"/>
        </w:rPr>
        <w:t>de travail</w:t>
      </w:r>
      <w:r w:rsidRPr="00D229BA">
        <w:rPr>
          <w:iCs/>
          <w:snapToGrid w:val="0"/>
          <w:kern w:val="22"/>
          <w:szCs w:val="22"/>
          <w:lang w:val="fr-FR"/>
        </w:rPr>
        <w:t xml:space="preserve"> </w:t>
      </w:r>
      <w:r w:rsidR="001F035A" w:rsidRPr="00D229BA">
        <w:rPr>
          <w:iCs/>
          <w:snapToGrid w:val="0"/>
          <w:kern w:val="22"/>
          <w:szCs w:val="22"/>
          <w:lang w:val="fr-FR"/>
        </w:rPr>
        <w:t>pour l’élaboration du</w:t>
      </w:r>
      <w:r w:rsidRPr="00D229BA">
        <w:rPr>
          <w:iCs/>
          <w:snapToGrid w:val="0"/>
          <w:kern w:val="22"/>
          <w:szCs w:val="22"/>
          <w:lang w:val="fr-FR"/>
        </w:rPr>
        <w:t xml:space="preserve"> </w:t>
      </w:r>
      <w:r w:rsidR="00344D53">
        <w:rPr>
          <w:iCs/>
          <w:snapToGrid w:val="0"/>
          <w:kern w:val="22"/>
          <w:szCs w:val="22"/>
          <w:lang w:val="fr-FR"/>
        </w:rPr>
        <w:t>cadre mondial de la biodiversité pour l’après-2020</w:t>
      </w:r>
      <w:r w:rsidR="001F035A" w:rsidRPr="00D229BA">
        <w:rPr>
          <w:iCs/>
          <w:snapToGrid w:val="0"/>
          <w:kern w:val="22"/>
          <w:szCs w:val="22"/>
          <w:lang w:val="fr-FR"/>
        </w:rPr>
        <w:t xml:space="preserve"> qui sera entreprise par l’Organe subsidiaire chargé de fournir des avis scientifiques, techniques et technologiques à ses vingt-troisième et vingt-quatrième réunions, l’Organe subsidiaire chargé de l’</w:t>
      </w:r>
      <w:r w:rsidR="00FB2349" w:rsidRPr="00D229BA">
        <w:rPr>
          <w:iCs/>
          <w:snapToGrid w:val="0"/>
          <w:kern w:val="22"/>
          <w:szCs w:val="22"/>
          <w:lang w:val="fr-FR"/>
        </w:rPr>
        <w:t>applicati</w:t>
      </w:r>
      <w:r w:rsidR="001F035A" w:rsidRPr="00D229BA">
        <w:rPr>
          <w:iCs/>
          <w:snapToGrid w:val="0"/>
          <w:kern w:val="22"/>
          <w:szCs w:val="22"/>
          <w:lang w:val="fr-FR"/>
        </w:rPr>
        <w:t xml:space="preserve">on à sa troisième réunion et le Groupe de travail </w:t>
      </w:r>
      <w:r w:rsidR="00DB1665" w:rsidRPr="00D229BA">
        <w:rPr>
          <w:iCs/>
          <w:snapToGrid w:val="0"/>
          <w:kern w:val="22"/>
          <w:szCs w:val="22"/>
          <w:lang w:val="fr-FR"/>
        </w:rPr>
        <w:t xml:space="preserve">spécial à composition non limitée </w:t>
      </w:r>
      <w:r w:rsidR="001F035A" w:rsidRPr="00D229BA">
        <w:rPr>
          <w:iCs/>
          <w:snapToGrid w:val="0"/>
          <w:kern w:val="22"/>
          <w:szCs w:val="22"/>
          <w:lang w:val="fr-FR"/>
        </w:rPr>
        <w:t>sur l’article 8 j) à sa onzième réunion, et d’intégrer les résul</w:t>
      </w:r>
      <w:r w:rsidR="000D2348" w:rsidRPr="00D229BA">
        <w:rPr>
          <w:iCs/>
          <w:snapToGrid w:val="0"/>
          <w:kern w:val="22"/>
          <w:szCs w:val="22"/>
          <w:lang w:val="fr-FR"/>
        </w:rPr>
        <w:t>tats de ces réunions ainsi que d’</w:t>
      </w:r>
      <w:r w:rsidR="00422BEB">
        <w:rPr>
          <w:iCs/>
          <w:snapToGrid w:val="0"/>
          <w:kern w:val="22"/>
          <w:szCs w:val="22"/>
          <w:lang w:val="fr-FR"/>
        </w:rPr>
        <w:t>autres considérations</w:t>
      </w:r>
      <w:r w:rsidR="001F035A" w:rsidRPr="00D229BA">
        <w:rPr>
          <w:iCs/>
          <w:snapToGrid w:val="0"/>
          <w:kern w:val="22"/>
          <w:szCs w:val="22"/>
          <w:lang w:val="fr-FR"/>
        </w:rPr>
        <w:t xml:space="preserve"> dans son projet de cadre de travail</w:t>
      </w:r>
      <w:r w:rsidR="000D2348" w:rsidRPr="00D229BA">
        <w:rPr>
          <w:iCs/>
          <w:snapToGrid w:val="0"/>
          <w:kern w:val="22"/>
          <w:szCs w:val="22"/>
          <w:lang w:val="fr-FR"/>
        </w:rPr>
        <w:t>,</w:t>
      </w:r>
      <w:r w:rsidR="001F035A" w:rsidRPr="00D229BA">
        <w:rPr>
          <w:iCs/>
          <w:snapToGrid w:val="0"/>
          <w:kern w:val="22"/>
          <w:szCs w:val="22"/>
          <w:lang w:val="fr-FR"/>
        </w:rPr>
        <w:t xml:space="preserve"> et de le développer davantage</w:t>
      </w:r>
      <w:r w:rsidR="00FB2349" w:rsidRPr="00D229BA">
        <w:rPr>
          <w:iCs/>
          <w:snapToGrid w:val="0"/>
          <w:kern w:val="22"/>
          <w:szCs w:val="22"/>
          <w:lang w:val="fr-FR"/>
        </w:rPr>
        <w:t xml:space="preserve"> en vue de présenter le projet de cadre de travail final à la quinzième réunion de la Conférence des Parties ;</w:t>
      </w:r>
    </w:p>
    <w:p w14:paraId="011CCD2B" w14:textId="5A0A17B0" w:rsidR="00422BEB" w:rsidRPr="00D229BA" w:rsidRDefault="00422BEB" w:rsidP="005441AC">
      <w:pPr>
        <w:numPr>
          <w:ilvl w:val="0"/>
          <w:numId w:val="9"/>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Pr>
          <w:i/>
          <w:iCs/>
          <w:snapToGrid w:val="0"/>
          <w:kern w:val="22"/>
          <w:szCs w:val="22"/>
          <w:lang w:val="fr-FR"/>
        </w:rPr>
        <w:t>Prie</w:t>
      </w:r>
      <w:r>
        <w:rPr>
          <w:iCs/>
          <w:snapToGrid w:val="0"/>
          <w:kern w:val="22"/>
          <w:szCs w:val="22"/>
          <w:lang w:val="fr-FR"/>
        </w:rPr>
        <w:t xml:space="preserve"> la Secrétaire exécutive de fournir dès que possible aux coprésidents du groupe de travail intersessions à composition non limitée et aux Bureaux de la Conférence des Parties et de l’Organe subsidiaire chargé de fournir des avis scientifiques, techniques et technologiques une vue d’ensemble des décisions adoptées à la quatorzième réunion de la Conférence des Parties </w:t>
      </w:r>
      <w:r w:rsidR="00BA3A2F">
        <w:rPr>
          <w:iCs/>
          <w:snapToGrid w:val="0"/>
          <w:kern w:val="22"/>
          <w:szCs w:val="22"/>
          <w:lang w:val="fr-FR"/>
        </w:rPr>
        <w:t>intéressant l’élaboration du cadre mondial de la biodiversité pour l’après-2020 ;</w:t>
      </w:r>
      <w:r>
        <w:rPr>
          <w:iCs/>
          <w:snapToGrid w:val="0"/>
          <w:kern w:val="22"/>
          <w:szCs w:val="22"/>
          <w:lang w:val="fr-FR"/>
        </w:rPr>
        <w:t xml:space="preserve">  </w:t>
      </w:r>
    </w:p>
    <w:p w14:paraId="5EF2A68B" w14:textId="6F383860" w:rsidR="00FB2349" w:rsidRPr="00D229BA" w:rsidRDefault="00BA3A2F" w:rsidP="005441AC">
      <w:pPr>
        <w:numPr>
          <w:ilvl w:val="0"/>
          <w:numId w:val="9"/>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Pr>
          <w:i/>
          <w:iCs/>
          <w:snapToGrid w:val="0"/>
          <w:kern w:val="22"/>
          <w:szCs w:val="22"/>
          <w:lang w:val="fr-FR"/>
        </w:rPr>
        <w:t>Prend note</w:t>
      </w:r>
      <w:r>
        <w:rPr>
          <w:iCs/>
          <w:snapToGrid w:val="0"/>
          <w:kern w:val="22"/>
          <w:szCs w:val="22"/>
          <w:lang w:val="fr-FR"/>
        </w:rPr>
        <w:t xml:space="preserve"> de la décision 14/20 relative à </w:t>
      </w:r>
      <w:r w:rsidR="00FB2349" w:rsidRPr="00D229BA">
        <w:rPr>
          <w:iCs/>
          <w:snapToGrid w:val="0"/>
          <w:kern w:val="22"/>
          <w:szCs w:val="22"/>
          <w:lang w:val="fr-FR"/>
        </w:rPr>
        <w:t>l’information de séquençage numériq</w:t>
      </w:r>
      <w:r w:rsidR="000D2348" w:rsidRPr="00D229BA">
        <w:rPr>
          <w:iCs/>
          <w:snapToGrid w:val="0"/>
          <w:kern w:val="22"/>
          <w:szCs w:val="22"/>
          <w:lang w:val="fr-FR"/>
        </w:rPr>
        <w:t>ue su</w:t>
      </w:r>
      <w:r>
        <w:rPr>
          <w:iCs/>
          <w:snapToGrid w:val="0"/>
          <w:kern w:val="22"/>
          <w:szCs w:val="22"/>
          <w:lang w:val="fr-FR"/>
        </w:rPr>
        <w:t>r les ressources génétiques.</w:t>
      </w:r>
    </w:p>
    <w:p w14:paraId="686A9F1E" w14:textId="3CE68D4A" w:rsidR="00421ED5" w:rsidRPr="00D229BA" w:rsidRDefault="00BA3A2F" w:rsidP="00421ED5">
      <w:pPr>
        <w:spacing w:after="120"/>
        <w:jc w:val="center"/>
        <w:rPr>
          <w:i/>
          <w:snapToGrid w:val="0"/>
          <w:kern w:val="22"/>
          <w:szCs w:val="22"/>
          <w:lang w:val="fr-FR"/>
        </w:rPr>
      </w:pPr>
      <w:r>
        <w:rPr>
          <w:i/>
          <w:snapToGrid w:val="0"/>
          <w:kern w:val="22"/>
          <w:szCs w:val="22"/>
          <w:lang w:val="fr-FR"/>
        </w:rPr>
        <w:t>Annexe</w:t>
      </w:r>
      <w:r w:rsidR="00421ED5" w:rsidRPr="00D229BA">
        <w:rPr>
          <w:i/>
          <w:snapToGrid w:val="0"/>
          <w:kern w:val="22"/>
          <w:szCs w:val="22"/>
          <w:lang w:val="fr-FR"/>
        </w:rPr>
        <w:t xml:space="preserve"> </w:t>
      </w:r>
    </w:p>
    <w:p w14:paraId="5D672ED8" w14:textId="610F7838" w:rsidR="00421ED5" w:rsidRPr="00D229BA" w:rsidRDefault="00421ED5" w:rsidP="00421ED5">
      <w:pPr>
        <w:jc w:val="center"/>
        <w:rPr>
          <w:b/>
          <w:caps/>
          <w:snapToGrid w:val="0"/>
          <w:kern w:val="22"/>
          <w:szCs w:val="22"/>
          <w:lang w:val="fr-FR"/>
        </w:rPr>
      </w:pPr>
      <w:r w:rsidRPr="00D229BA">
        <w:rPr>
          <w:b/>
          <w:snapToGrid w:val="0"/>
          <w:kern w:val="22"/>
          <w:szCs w:val="22"/>
          <w:lang w:val="fr-FR"/>
        </w:rPr>
        <w:t xml:space="preserve">PROCESSUS PRÉPARATOIRE DU </w:t>
      </w:r>
      <w:r w:rsidR="00344D53">
        <w:rPr>
          <w:b/>
          <w:snapToGrid w:val="0"/>
          <w:kern w:val="22"/>
          <w:szCs w:val="22"/>
          <w:lang w:val="fr-FR"/>
        </w:rPr>
        <w:t>CADRE MONDIAL DE LA BIODIVERSITÉ POUR L’APRÈS-2020</w:t>
      </w:r>
    </w:p>
    <w:p w14:paraId="5A7CF25A" w14:textId="32D8507D" w:rsidR="00421ED5" w:rsidRPr="00D229BA" w:rsidRDefault="00421ED5"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snapToGrid/>
          <w:kern w:val="22"/>
          <w:szCs w:val="22"/>
          <w:lang w:val="fr-FR"/>
        </w:rPr>
        <w:t>La Conférence des Parties adopter</w:t>
      </w:r>
      <w:r w:rsidR="007E252F" w:rsidRPr="00D229BA">
        <w:rPr>
          <w:snapToGrid/>
          <w:kern w:val="22"/>
          <w:szCs w:val="22"/>
          <w:lang w:val="fr-FR"/>
        </w:rPr>
        <w:t>a</w:t>
      </w:r>
      <w:r w:rsidRPr="00D229BA">
        <w:rPr>
          <w:snapToGrid/>
          <w:kern w:val="22"/>
          <w:szCs w:val="22"/>
          <w:lang w:val="fr-FR"/>
        </w:rPr>
        <w:t xml:space="preserve"> le </w:t>
      </w:r>
      <w:r w:rsidR="00344D53">
        <w:rPr>
          <w:snapToGrid/>
          <w:kern w:val="22"/>
          <w:szCs w:val="22"/>
          <w:lang w:val="fr-FR"/>
        </w:rPr>
        <w:t>cadre mondial de la biodiversité pour l’après-2020</w:t>
      </w:r>
      <w:r w:rsidRPr="00D229BA">
        <w:rPr>
          <w:rStyle w:val="FootnoteReference"/>
          <w:rFonts w:eastAsiaTheme="majorEastAsia"/>
          <w:snapToGrid/>
          <w:kern w:val="22"/>
          <w:szCs w:val="22"/>
          <w:lang w:val="fr-FR"/>
        </w:rPr>
        <w:footnoteReference w:id="5"/>
      </w:r>
      <w:r w:rsidRPr="00D229BA">
        <w:rPr>
          <w:snapToGrid/>
          <w:kern w:val="22"/>
          <w:szCs w:val="22"/>
          <w:lang w:val="fr-FR"/>
        </w:rPr>
        <w:t xml:space="preserve"> à sa quinzième réunion, en 2020</w:t>
      </w:r>
      <w:r w:rsidRPr="00D229BA">
        <w:rPr>
          <w:kern w:val="22"/>
          <w:szCs w:val="22"/>
          <w:lang w:val="fr-FR"/>
        </w:rPr>
        <w:t xml:space="preserve">. La décision XIII/1 énonce le mandat du processus préparatoire </w:t>
      </w:r>
      <w:r w:rsidR="007E252F" w:rsidRPr="00D229BA">
        <w:rPr>
          <w:kern w:val="22"/>
          <w:szCs w:val="22"/>
          <w:lang w:val="fr-FR"/>
        </w:rPr>
        <w:t xml:space="preserve">du </w:t>
      </w:r>
      <w:r w:rsidR="00344D53">
        <w:rPr>
          <w:kern w:val="22"/>
          <w:szCs w:val="22"/>
          <w:lang w:val="fr-FR"/>
        </w:rPr>
        <w:t>cadre mondial de la biodiversité pour l’après-2020</w:t>
      </w:r>
      <w:r w:rsidR="007E252F" w:rsidRPr="00D229BA">
        <w:rPr>
          <w:kern w:val="22"/>
          <w:szCs w:val="22"/>
          <w:lang w:val="fr-FR"/>
        </w:rPr>
        <w:t xml:space="preserve"> </w:t>
      </w:r>
      <w:r w:rsidRPr="00D229BA">
        <w:rPr>
          <w:kern w:val="22"/>
          <w:szCs w:val="22"/>
          <w:lang w:val="fr-FR"/>
        </w:rPr>
        <w:t xml:space="preserve">et fournit des orientations sur ses caractéristiques, qui sont reproduites dans l’ensemble de principes directeurs, </w:t>
      </w:r>
      <w:r w:rsidR="007E252F" w:rsidRPr="00D229BA">
        <w:rPr>
          <w:kern w:val="22"/>
          <w:szCs w:val="22"/>
          <w:lang w:val="fr-FR"/>
        </w:rPr>
        <w:t>l’organisation des travaux, les processus de consultation, la documentation</w:t>
      </w:r>
      <w:r w:rsidRPr="00D229BA">
        <w:rPr>
          <w:kern w:val="22"/>
          <w:szCs w:val="22"/>
          <w:lang w:val="fr-FR"/>
        </w:rPr>
        <w:t xml:space="preserve"> et </w:t>
      </w:r>
      <w:r w:rsidR="007E252F" w:rsidRPr="00D229BA">
        <w:rPr>
          <w:kern w:val="22"/>
          <w:szCs w:val="22"/>
          <w:lang w:val="fr-FR"/>
        </w:rPr>
        <w:t xml:space="preserve">les </w:t>
      </w:r>
      <w:r w:rsidR="00BA3A2F">
        <w:rPr>
          <w:kern w:val="22"/>
          <w:szCs w:val="22"/>
          <w:lang w:val="fr-FR"/>
        </w:rPr>
        <w:t>principales sources d’information</w:t>
      </w:r>
      <w:r w:rsidRPr="00D229BA">
        <w:rPr>
          <w:kern w:val="22"/>
          <w:szCs w:val="22"/>
          <w:lang w:val="fr-FR"/>
        </w:rPr>
        <w:t xml:space="preserve"> ci-dessous.</w:t>
      </w:r>
    </w:p>
    <w:p w14:paraId="066A5764" w14:textId="482EDC62" w:rsidR="00421ED5" w:rsidRPr="00D229BA" w:rsidRDefault="00421ED5" w:rsidP="00421ED5">
      <w:pPr>
        <w:pStyle w:val="Heading2"/>
        <w:ind w:left="1560" w:hanging="850"/>
        <w:jc w:val="left"/>
        <w:rPr>
          <w:kern w:val="22"/>
          <w:lang w:val="fr-FR"/>
        </w:rPr>
      </w:pPr>
      <w:r w:rsidRPr="00D229BA">
        <w:rPr>
          <w:kern w:val="22"/>
          <w:lang w:val="fr-FR"/>
        </w:rPr>
        <w:lastRenderedPageBreak/>
        <w:t>A.</w:t>
      </w:r>
      <w:r w:rsidRPr="00D229BA">
        <w:rPr>
          <w:kern w:val="22"/>
          <w:lang w:val="fr-FR"/>
        </w:rPr>
        <w:tab/>
        <w:t xml:space="preserve">Principes fondamentaux guidant le processus préparatoire du </w:t>
      </w:r>
      <w:r w:rsidR="00344D53">
        <w:rPr>
          <w:kern w:val="22"/>
          <w:lang w:val="fr-FR"/>
        </w:rPr>
        <w:t>cadre mondial de la biodiversité pour l’après-2020</w:t>
      </w:r>
    </w:p>
    <w:p w14:paraId="38A751FF" w14:textId="73A2A21C" w:rsidR="00421ED5" w:rsidRPr="00D229BA" w:rsidRDefault="00421ED5"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lang w:val="fr-FR"/>
        </w:rPr>
        <w:t xml:space="preserve">Le processus d’élaboration du </w:t>
      </w:r>
      <w:r w:rsidR="00344D53">
        <w:rPr>
          <w:lang w:val="fr-FR"/>
        </w:rPr>
        <w:t>cadre mondial de la biodiversité pour l’après-2020</w:t>
      </w:r>
      <w:r w:rsidRPr="00D229BA">
        <w:rPr>
          <w:lang w:val="fr-FR"/>
        </w:rPr>
        <w:t xml:space="preserve"> </w:t>
      </w:r>
      <w:r w:rsidR="007E252F" w:rsidRPr="00D229BA">
        <w:rPr>
          <w:lang w:val="fr-FR"/>
        </w:rPr>
        <w:t>sera dirigé par les Parties</w:t>
      </w:r>
      <w:r w:rsidRPr="00D229BA">
        <w:rPr>
          <w:lang w:val="fr-FR"/>
        </w:rPr>
        <w:t xml:space="preserve"> et guidé par les principes énumérés ci-après. Le processus doit être :</w:t>
      </w:r>
    </w:p>
    <w:p w14:paraId="06018619" w14:textId="67124D63" w:rsidR="00421ED5" w:rsidRPr="00D229BA" w:rsidRDefault="00421ED5" w:rsidP="005441AC">
      <w:pPr>
        <w:pStyle w:val="Para1"/>
        <w:numPr>
          <w:ilvl w:val="1"/>
          <w:numId w:val="5"/>
        </w:numPr>
        <w:kinsoku w:val="0"/>
        <w:overflowPunct w:val="0"/>
        <w:autoSpaceDE w:val="0"/>
        <w:autoSpaceDN w:val="0"/>
        <w:ind w:left="0" w:firstLine="720"/>
        <w:rPr>
          <w:kern w:val="22"/>
          <w:szCs w:val="22"/>
          <w:lang w:val="fr-FR" w:eastAsia="en-CA"/>
        </w:rPr>
      </w:pPr>
      <w:r w:rsidRPr="00D229BA">
        <w:rPr>
          <w:bCs/>
          <w:i/>
          <w:kern w:val="22"/>
          <w:szCs w:val="22"/>
          <w:lang w:val="fr-FR"/>
        </w:rPr>
        <w:t xml:space="preserve">Participatif </w:t>
      </w:r>
      <w:r w:rsidRPr="00D229BA">
        <w:rPr>
          <w:kern w:val="22"/>
          <w:szCs w:val="22"/>
          <w:lang w:val="fr-FR"/>
        </w:rPr>
        <w:t xml:space="preserve">– Bien que dirigé par les Parties, </w:t>
      </w:r>
      <w:r w:rsidR="00A40533" w:rsidRPr="00D229BA">
        <w:rPr>
          <w:kern w:val="22"/>
          <w:szCs w:val="22"/>
          <w:lang w:val="fr-FR"/>
        </w:rPr>
        <w:t>reconnaissant les principes de la Déclaration de Rio sur l’en</w:t>
      </w:r>
      <w:r w:rsidR="00DF48E3">
        <w:rPr>
          <w:kern w:val="22"/>
          <w:szCs w:val="22"/>
          <w:lang w:val="fr-FR"/>
        </w:rPr>
        <w:t>vironnement</w:t>
      </w:r>
      <w:r w:rsidR="002D1689" w:rsidRPr="00AE3053">
        <w:rPr>
          <w:rStyle w:val="FootnoteReference"/>
          <w:kern w:val="22"/>
          <w:sz w:val="22"/>
          <w:szCs w:val="22"/>
          <w:lang w:eastAsia="en-CA"/>
        </w:rPr>
        <w:footnoteReference w:id="6"/>
      </w:r>
      <w:r w:rsidR="00DF48E3">
        <w:rPr>
          <w:kern w:val="22"/>
          <w:szCs w:val="22"/>
          <w:lang w:val="fr-FR"/>
        </w:rPr>
        <w:t xml:space="preserve"> et le développement</w:t>
      </w:r>
      <w:r w:rsidR="00A40533" w:rsidRPr="00D229BA">
        <w:rPr>
          <w:kern w:val="22"/>
          <w:szCs w:val="22"/>
          <w:lang w:val="fr-FR"/>
        </w:rPr>
        <w:t xml:space="preserve">, </w:t>
      </w:r>
      <w:r w:rsidRPr="00D229BA">
        <w:rPr>
          <w:kern w:val="22"/>
          <w:szCs w:val="22"/>
          <w:lang w:val="fr-FR"/>
        </w:rPr>
        <w:t>le processus permettra la participation effective de tous ceux qui souhaitent s’y engager, notamment en participant aux ateliers, aux consultations et aux réunions officielles pertinents, et en fournissant des informations en retour et des commentaires sur les débats et les documents officiels élaborés</w:t>
      </w:r>
      <w:r w:rsidR="00520142" w:rsidRPr="00D229BA">
        <w:rPr>
          <w:kern w:val="22"/>
          <w:szCs w:val="22"/>
          <w:lang w:val="fr-FR"/>
        </w:rPr>
        <w:t>, conformément au</w:t>
      </w:r>
      <w:r w:rsidR="00A40533" w:rsidRPr="00D229BA">
        <w:rPr>
          <w:kern w:val="22"/>
          <w:szCs w:val="22"/>
          <w:lang w:val="fr-FR"/>
        </w:rPr>
        <w:t xml:space="preserve"> règlement intérieur de la Convention</w:t>
      </w:r>
      <w:r w:rsidRPr="00D229BA">
        <w:rPr>
          <w:kern w:val="22"/>
          <w:szCs w:val="22"/>
          <w:lang w:val="fr-FR"/>
        </w:rPr>
        <w:t> ;</w:t>
      </w:r>
    </w:p>
    <w:p w14:paraId="03821420" w14:textId="282D7A3D" w:rsidR="00421ED5" w:rsidRPr="00D229BA" w:rsidRDefault="00421ED5" w:rsidP="005441AC">
      <w:pPr>
        <w:pStyle w:val="Para1"/>
        <w:numPr>
          <w:ilvl w:val="1"/>
          <w:numId w:val="5"/>
        </w:numPr>
        <w:kinsoku w:val="0"/>
        <w:overflowPunct w:val="0"/>
        <w:autoSpaceDE w:val="0"/>
        <w:autoSpaceDN w:val="0"/>
        <w:ind w:left="0" w:firstLine="709"/>
        <w:rPr>
          <w:kern w:val="22"/>
          <w:szCs w:val="22"/>
          <w:lang w:val="fr-FR" w:eastAsia="en-CA"/>
        </w:rPr>
      </w:pPr>
      <w:r w:rsidRPr="00D229BA">
        <w:rPr>
          <w:i/>
          <w:iCs/>
          <w:kern w:val="22"/>
          <w:szCs w:val="22"/>
          <w:lang w:val="fr-FR" w:eastAsia="en-CA"/>
        </w:rPr>
        <w:t>Inclusif</w:t>
      </w:r>
      <w:r w:rsidRPr="00D229BA">
        <w:rPr>
          <w:kern w:val="22"/>
          <w:szCs w:val="22"/>
          <w:lang w:val="fr-FR" w:eastAsia="en-CA"/>
        </w:rPr>
        <w:t xml:space="preserve"> – </w:t>
      </w:r>
      <w:r w:rsidRPr="00D229BA">
        <w:rPr>
          <w:kern w:val="22"/>
          <w:szCs w:val="22"/>
          <w:lang w:val="fr-FR"/>
        </w:rPr>
        <w:t xml:space="preserve">Le processus </w:t>
      </w:r>
      <w:r w:rsidR="00A40533" w:rsidRPr="00D229BA">
        <w:rPr>
          <w:kern w:val="22"/>
          <w:szCs w:val="22"/>
          <w:lang w:val="fr-FR"/>
        </w:rPr>
        <w:t>aidera à habiliter</w:t>
      </w:r>
      <w:r w:rsidRPr="00D229BA">
        <w:rPr>
          <w:kern w:val="22"/>
          <w:szCs w:val="22"/>
          <w:lang w:val="fr-FR"/>
        </w:rPr>
        <w:t xml:space="preserve"> tous les groupes et parties prenantes concern</w:t>
      </w:r>
      <w:r w:rsidR="00A40533" w:rsidRPr="00D229BA">
        <w:rPr>
          <w:kern w:val="22"/>
          <w:szCs w:val="22"/>
          <w:lang w:val="fr-FR"/>
        </w:rPr>
        <w:t>és à donner leurs points de vue pour examen,</w:t>
      </w:r>
      <w:r w:rsidRPr="00D229BA">
        <w:rPr>
          <w:kern w:val="22"/>
          <w:szCs w:val="22"/>
          <w:lang w:val="fr-FR"/>
        </w:rPr>
        <w:t xml:space="preserve"> à savoir les Parties, les autres </w:t>
      </w:r>
      <w:r w:rsidR="00CA1A2B" w:rsidRPr="00D229BA">
        <w:rPr>
          <w:kern w:val="22"/>
          <w:szCs w:val="22"/>
          <w:lang w:val="fr-FR"/>
        </w:rPr>
        <w:t>gouvernements, les peuples autochtones et les communautés locales, les organisations et programmes des Nations Unies, les autres accords multilatéraux sur l’environnem</w:t>
      </w:r>
      <w:r w:rsidR="00DF48E3">
        <w:rPr>
          <w:kern w:val="22"/>
          <w:szCs w:val="22"/>
          <w:lang w:val="fr-FR"/>
        </w:rPr>
        <w:t>ent, les gouvernements</w:t>
      </w:r>
      <w:r w:rsidR="00CA1A2B" w:rsidRPr="00D229BA">
        <w:rPr>
          <w:kern w:val="22"/>
          <w:szCs w:val="22"/>
          <w:lang w:val="fr-FR"/>
        </w:rPr>
        <w:t xml:space="preserve"> infranationaux, les</w:t>
      </w:r>
      <w:r w:rsidR="00DF48E3">
        <w:rPr>
          <w:kern w:val="22"/>
          <w:szCs w:val="22"/>
          <w:lang w:val="fr-FR"/>
        </w:rPr>
        <w:t xml:space="preserve"> municipalités et autres autorités locales, les</w:t>
      </w:r>
      <w:r w:rsidR="00CA1A2B" w:rsidRPr="00D229BA">
        <w:rPr>
          <w:kern w:val="22"/>
          <w:szCs w:val="22"/>
          <w:lang w:val="fr-FR"/>
        </w:rPr>
        <w:t xml:space="preserve"> organisations intergouvernementales, les organisations non gouvernementales, les groupes de femmes, l</w:t>
      </w:r>
      <w:r w:rsidR="00DF48E3">
        <w:rPr>
          <w:kern w:val="22"/>
          <w:szCs w:val="22"/>
          <w:lang w:val="fr-FR"/>
        </w:rPr>
        <w:t>es groupes de jeunes, le milieu des affaires et des finances</w:t>
      </w:r>
      <w:r w:rsidR="00CA1A2B" w:rsidRPr="00D229BA">
        <w:rPr>
          <w:kern w:val="22"/>
          <w:szCs w:val="22"/>
          <w:lang w:val="fr-FR"/>
        </w:rPr>
        <w:t xml:space="preserve">, la communauté scientifique, le milieu universitaire, les organismes confessionnels, les représentants de secteurs liés </w:t>
      </w:r>
      <w:r w:rsidR="004D0C24" w:rsidRPr="00D229BA">
        <w:rPr>
          <w:kern w:val="22"/>
          <w:szCs w:val="22"/>
          <w:lang w:val="fr-FR"/>
        </w:rPr>
        <w:t>à la</w:t>
      </w:r>
      <w:r w:rsidR="00CA1A2B" w:rsidRPr="00D229BA">
        <w:rPr>
          <w:kern w:val="22"/>
          <w:szCs w:val="22"/>
          <w:lang w:val="fr-FR"/>
        </w:rPr>
        <w:t xml:space="preserve"> diversité biologique</w:t>
      </w:r>
      <w:r w:rsidR="004D0C24" w:rsidRPr="00D229BA">
        <w:rPr>
          <w:kern w:val="22"/>
          <w:szCs w:val="22"/>
          <w:lang w:val="fr-FR"/>
        </w:rPr>
        <w:t xml:space="preserve"> ou qui en dépendent</w:t>
      </w:r>
      <w:r w:rsidR="00CA1A2B" w:rsidRPr="00D229BA">
        <w:rPr>
          <w:kern w:val="22"/>
          <w:szCs w:val="22"/>
          <w:lang w:val="fr-FR"/>
        </w:rPr>
        <w:t>, le grand public et d’autres parties prenantes</w:t>
      </w:r>
      <w:r w:rsidRPr="00D229BA">
        <w:rPr>
          <w:kern w:val="22"/>
          <w:szCs w:val="22"/>
          <w:lang w:val="fr-FR"/>
        </w:rPr>
        <w:t>. Des efforts doivent être déployés pour solliciter des points de vue à partir d’une large gamme de perspectives, allant au-delà de ceux qui participent traditionnellement aux travaux de la Convention et des deux protocoles.</w:t>
      </w:r>
    </w:p>
    <w:p w14:paraId="5FE41245" w14:textId="4B007590" w:rsidR="00CA1A2B" w:rsidRPr="00D229BA" w:rsidRDefault="00CA1A2B" w:rsidP="005441AC">
      <w:pPr>
        <w:pStyle w:val="Para1"/>
        <w:numPr>
          <w:ilvl w:val="1"/>
          <w:numId w:val="5"/>
        </w:numPr>
        <w:kinsoku w:val="0"/>
        <w:overflowPunct w:val="0"/>
        <w:autoSpaceDE w:val="0"/>
        <w:autoSpaceDN w:val="0"/>
        <w:ind w:left="0" w:firstLine="709"/>
        <w:rPr>
          <w:kern w:val="22"/>
          <w:szCs w:val="22"/>
          <w:lang w:val="fr-FR" w:eastAsia="en-CA"/>
        </w:rPr>
      </w:pPr>
      <w:r w:rsidRPr="00D229BA">
        <w:rPr>
          <w:i/>
          <w:iCs/>
          <w:kern w:val="22"/>
          <w:szCs w:val="22"/>
          <w:lang w:val="fr-FR" w:eastAsia="en-CA"/>
        </w:rPr>
        <w:t>Sensi</w:t>
      </w:r>
      <w:r w:rsidR="00DF48E3">
        <w:rPr>
          <w:i/>
          <w:iCs/>
          <w:kern w:val="22"/>
          <w:szCs w:val="22"/>
          <w:lang w:val="fr-FR" w:eastAsia="en-CA"/>
        </w:rPr>
        <w:t>ble à la problématique femmes-hommes</w:t>
      </w:r>
      <w:r w:rsidRPr="00D229BA">
        <w:rPr>
          <w:i/>
          <w:iCs/>
          <w:kern w:val="22"/>
          <w:szCs w:val="22"/>
          <w:lang w:val="fr-FR" w:eastAsia="en-CA"/>
        </w:rPr>
        <w:t xml:space="preserve"> </w:t>
      </w:r>
      <w:r w:rsidRPr="00D229BA">
        <w:rPr>
          <w:kern w:val="22"/>
          <w:szCs w:val="22"/>
          <w:lang w:val="fr-FR" w:eastAsia="en-CA"/>
        </w:rPr>
        <w:t xml:space="preserve">– Le </w:t>
      </w:r>
      <w:r w:rsidR="00DF48E3">
        <w:rPr>
          <w:kern w:val="22"/>
          <w:szCs w:val="22"/>
          <w:lang w:val="fr-FR" w:eastAsia="en-CA"/>
        </w:rPr>
        <w:t>processus sera sensible à la problématique femmes-hommes</w:t>
      </w:r>
      <w:r w:rsidRPr="00D229BA">
        <w:rPr>
          <w:kern w:val="22"/>
          <w:szCs w:val="22"/>
          <w:lang w:val="fr-FR" w:eastAsia="en-CA"/>
        </w:rPr>
        <w:t xml:space="preserve"> en intégrant systématiquement une </w:t>
      </w:r>
      <w:r w:rsidR="00F72DEE" w:rsidRPr="00D229BA">
        <w:rPr>
          <w:kern w:val="22"/>
          <w:szCs w:val="22"/>
          <w:lang w:val="fr-FR" w:eastAsia="en-CA"/>
        </w:rPr>
        <w:t>perspective</w:t>
      </w:r>
      <w:r w:rsidRPr="00D229BA">
        <w:rPr>
          <w:kern w:val="22"/>
          <w:szCs w:val="22"/>
          <w:lang w:val="fr-FR" w:eastAsia="en-CA"/>
        </w:rPr>
        <w:t xml:space="preserve"> d’égalité des sexes et en assurant la représentation pertinente, surtout des femmes et des filles, au processus. Des efforts doivent </w:t>
      </w:r>
      <w:r w:rsidR="00F72DEE" w:rsidRPr="00D229BA">
        <w:rPr>
          <w:kern w:val="22"/>
          <w:szCs w:val="22"/>
          <w:lang w:val="fr-FR" w:eastAsia="en-CA"/>
        </w:rPr>
        <w:t>être</w:t>
      </w:r>
      <w:r w:rsidRPr="00D229BA">
        <w:rPr>
          <w:kern w:val="22"/>
          <w:szCs w:val="22"/>
          <w:lang w:val="fr-FR" w:eastAsia="en-CA"/>
        </w:rPr>
        <w:t xml:space="preserve"> déployés</w:t>
      </w:r>
      <w:r w:rsidR="00F72DEE" w:rsidRPr="00D229BA">
        <w:rPr>
          <w:kern w:val="22"/>
          <w:szCs w:val="22"/>
          <w:lang w:val="fr-FR" w:eastAsia="en-CA"/>
        </w:rPr>
        <w:t xml:space="preserve"> pour faire avancer la collecte, l’analyse et l’utilisati</w:t>
      </w:r>
      <w:r w:rsidR="00DF48E3">
        <w:rPr>
          <w:kern w:val="22"/>
          <w:szCs w:val="22"/>
          <w:lang w:val="fr-FR" w:eastAsia="en-CA"/>
        </w:rPr>
        <w:t xml:space="preserve">on de données </w:t>
      </w:r>
      <w:r w:rsidR="00C65534">
        <w:rPr>
          <w:kern w:val="22"/>
          <w:szCs w:val="22"/>
          <w:lang w:val="fr-FR" w:eastAsia="en-CA"/>
        </w:rPr>
        <w:t>tenant compte de l’égalité des sexes</w:t>
      </w:r>
      <w:r w:rsidR="00F72DEE" w:rsidRPr="00D229BA">
        <w:rPr>
          <w:kern w:val="22"/>
          <w:szCs w:val="22"/>
          <w:lang w:val="fr-FR" w:eastAsia="en-CA"/>
        </w:rPr>
        <w:t>, y compris des</w:t>
      </w:r>
      <w:r w:rsidR="00C65534">
        <w:rPr>
          <w:kern w:val="22"/>
          <w:szCs w:val="22"/>
          <w:lang w:val="fr-FR" w:eastAsia="en-CA"/>
        </w:rPr>
        <w:t xml:space="preserve"> données ventilées par </w:t>
      </w:r>
      <w:r w:rsidR="00F05388" w:rsidRPr="00D229BA">
        <w:rPr>
          <w:kern w:val="22"/>
          <w:szCs w:val="22"/>
          <w:lang w:val="fr-FR" w:eastAsia="en-CA"/>
        </w:rPr>
        <w:t>sexe</w:t>
      </w:r>
      <w:r w:rsidR="00F72DEE" w:rsidRPr="00D229BA">
        <w:rPr>
          <w:rStyle w:val="FootnoteReference"/>
          <w:lang w:val="fr-FR"/>
        </w:rPr>
        <w:footnoteReference w:id="7"/>
      </w:r>
      <w:r w:rsidR="00517BF9" w:rsidRPr="00D229BA">
        <w:rPr>
          <w:kern w:val="22"/>
          <w:szCs w:val="22"/>
          <w:lang w:val="fr-FR"/>
        </w:rPr>
        <w:t> ;</w:t>
      </w:r>
    </w:p>
    <w:p w14:paraId="304AB517" w14:textId="5C7DEEFD" w:rsidR="00421ED5" w:rsidRPr="00D229BA" w:rsidRDefault="00421ED5" w:rsidP="005441AC">
      <w:pPr>
        <w:pStyle w:val="Para1"/>
        <w:numPr>
          <w:ilvl w:val="1"/>
          <w:numId w:val="5"/>
        </w:numPr>
        <w:kinsoku w:val="0"/>
        <w:overflowPunct w:val="0"/>
        <w:autoSpaceDE w:val="0"/>
        <w:autoSpaceDN w:val="0"/>
        <w:ind w:left="0" w:firstLine="709"/>
        <w:rPr>
          <w:kern w:val="22"/>
          <w:szCs w:val="22"/>
          <w:lang w:val="fr-FR" w:eastAsia="en-CA"/>
        </w:rPr>
      </w:pPr>
      <w:r w:rsidRPr="00D229BA">
        <w:rPr>
          <w:bCs/>
          <w:i/>
          <w:kern w:val="22"/>
          <w:szCs w:val="22"/>
          <w:lang w:val="fr-FR"/>
        </w:rPr>
        <w:t>Transformateur –</w:t>
      </w:r>
      <w:r w:rsidRPr="00D229BA">
        <w:rPr>
          <w:kern w:val="22"/>
          <w:szCs w:val="22"/>
          <w:lang w:val="fr-FR"/>
        </w:rPr>
        <w:t xml:space="preserve"> Le processus mobilisera un ample engagement de la société à long terme afin d’accélérer des transformations durables</w:t>
      </w:r>
      <w:r w:rsidR="00F72DEE" w:rsidRPr="00D229BA">
        <w:rPr>
          <w:kern w:val="22"/>
          <w:szCs w:val="22"/>
          <w:lang w:val="fr-FR"/>
        </w:rPr>
        <w:t xml:space="preserve"> pour la mise en œuvre des trois objectifs de la Convention,</w:t>
      </w:r>
      <w:r w:rsidRPr="00D229BA">
        <w:rPr>
          <w:kern w:val="22"/>
          <w:szCs w:val="22"/>
          <w:lang w:val="fr-FR"/>
        </w:rPr>
        <w:t xml:space="preserve"> selon lesquelles la biodiversité et les écosystèmes sont reconnus comme étant l’infrastructure essentielle qui soutient la vie sur Terre sans laquelle le développement et le bien-être humains ne seront pas possibles. Il placera ainsi la biodiversité</w:t>
      </w:r>
      <w:r w:rsidR="00F72DEE" w:rsidRPr="00D229BA">
        <w:rPr>
          <w:kern w:val="22"/>
          <w:szCs w:val="22"/>
          <w:lang w:val="fr-FR"/>
        </w:rPr>
        <w:t>, sa conservation, l’utilisation durable de ses éléments constitutifs et le partage juste et équitable des avantages découlant de l’utilisation des ressources génétiques</w:t>
      </w:r>
      <w:r w:rsidRPr="00D229BA">
        <w:rPr>
          <w:kern w:val="22"/>
          <w:szCs w:val="22"/>
          <w:lang w:val="fr-FR"/>
        </w:rPr>
        <w:t xml:space="preserve"> au cœur du programme de développement durable</w:t>
      </w:r>
      <w:r w:rsidR="00F72DEE" w:rsidRPr="00D229BA">
        <w:rPr>
          <w:kern w:val="22"/>
          <w:szCs w:val="22"/>
          <w:lang w:val="fr-FR"/>
        </w:rPr>
        <w:t>, reconnaissant les liens importants entre la diversité biologique et culturelle</w:t>
      </w:r>
      <w:r w:rsidRPr="00D229BA">
        <w:rPr>
          <w:kern w:val="22"/>
          <w:szCs w:val="22"/>
          <w:lang w:val="fr-FR"/>
        </w:rPr>
        <w:t> ;</w:t>
      </w:r>
    </w:p>
    <w:p w14:paraId="3D12064D" w14:textId="639327F9" w:rsidR="00421ED5" w:rsidRPr="00D229BA" w:rsidRDefault="00421ED5" w:rsidP="005441AC">
      <w:pPr>
        <w:pStyle w:val="Para1"/>
        <w:numPr>
          <w:ilvl w:val="1"/>
          <w:numId w:val="5"/>
        </w:numPr>
        <w:kinsoku w:val="0"/>
        <w:overflowPunct w:val="0"/>
        <w:autoSpaceDE w:val="0"/>
        <w:autoSpaceDN w:val="0"/>
        <w:ind w:left="0" w:firstLine="709"/>
        <w:rPr>
          <w:kern w:val="22"/>
          <w:szCs w:val="22"/>
          <w:lang w:val="fr-FR" w:eastAsia="en-CA"/>
        </w:rPr>
      </w:pPr>
      <w:r w:rsidRPr="00D229BA">
        <w:rPr>
          <w:bCs/>
          <w:i/>
          <w:kern w:val="22"/>
          <w:szCs w:val="22"/>
          <w:lang w:val="fr-FR"/>
        </w:rPr>
        <w:t>Complet</w:t>
      </w:r>
      <w:r w:rsidRPr="00D229BA">
        <w:rPr>
          <w:i/>
          <w:kern w:val="22"/>
          <w:szCs w:val="22"/>
          <w:lang w:val="fr-FR"/>
        </w:rPr>
        <w:t xml:space="preserve"> </w:t>
      </w:r>
      <w:r w:rsidRPr="00D229BA">
        <w:rPr>
          <w:kern w:val="22"/>
          <w:szCs w:val="22"/>
          <w:lang w:val="fr-FR"/>
        </w:rPr>
        <w:t>– Le proc</w:t>
      </w:r>
      <w:r w:rsidR="00C65534">
        <w:rPr>
          <w:kern w:val="22"/>
          <w:szCs w:val="22"/>
          <w:lang w:val="fr-FR"/>
        </w:rPr>
        <w:t>essus permettra l’information en retour</w:t>
      </w:r>
      <w:r w:rsidRPr="00D229BA">
        <w:rPr>
          <w:kern w:val="22"/>
          <w:szCs w:val="22"/>
          <w:lang w:val="fr-FR"/>
        </w:rPr>
        <w:t xml:space="preserve"> sur toutes les questions pertinentes présentant un intérêt pour les travaux de la Convention et de ses protocoles. Il fera également usage de toutes les informations disponibles</w:t>
      </w:r>
      <w:r w:rsidR="00520142" w:rsidRPr="00D229BA">
        <w:rPr>
          <w:kern w:val="22"/>
          <w:szCs w:val="22"/>
          <w:lang w:val="fr-FR"/>
        </w:rPr>
        <w:t xml:space="preserve"> et</w:t>
      </w:r>
      <w:r w:rsidRPr="00D229BA">
        <w:rPr>
          <w:kern w:val="22"/>
          <w:szCs w:val="22"/>
          <w:lang w:val="fr-FR"/>
        </w:rPr>
        <w:t xml:space="preserve"> tiendra compte des autres cadres, stratégies et plans internationaux pertinents ;</w:t>
      </w:r>
    </w:p>
    <w:p w14:paraId="778894BB" w14:textId="3046853A" w:rsidR="00421ED5" w:rsidRPr="00D229BA" w:rsidRDefault="00421ED5" w:rsidP="005441AC">
      <w:pPr>
        <w:pStyle w:val="Para1"/>
        <w:numPr>
          <w:ilvl w:val="1"/>
          <w:numId w:val="5"/>
        </w:numPr>
        <w:kinsoku w:val="0"/>
        <w:overflowPunct w:val="0"/>
        <w:autoSpaceDE w:val="0"/>
        <w:autoSpaceDN w:val="0"/>
        <w:ind w:left="0" w:firstLine="709"/>
        <w:rPr>
          <w:kern w:val="22"/>
          <w:szCs w:val="22"/>
          <w:lang w:val="fr-FR" w:eastAsia="en-CA"/>
        </w:rPr>
      </w:pPr>
      <w:r w:rsidRPr="00D229BA">
        <w:rPr>
          <w:i/>
          <w:kern w:val="22"/>
          <w:szCs w:val="22"/>
          <w:lang w:val="fr-FR"/>
        </w:rPr>
        <w:t>Catalyseur</w:t>
      </w:r>
      <w:r w:rsidRPr="00D229BA">
        <w:rPr>
          <w:kern w:val="22"/>
          <w:szCs w:val="22"/>
          <w:lang w:val="fr-FR"/>
        </w:rPr>
        <w:t xml:space="preserve"> – Le processus catalysera un mouvement pour la biodiversité à l’échelle mondiale en créant un sentiment d’urgence politique et en mobilisant des partenariats multipartites afin de mettre en œuvre des mesures concrètes aux niveaux local, national</w:t>
      </w:r>
      <w:r w:rsidR="005F6824" w:rsidRPr="00D229BA">
        <w:rPr>
          <w:kern w:val="22"/>
          <w:szCs w:val="22"/>
          <w:lang w:val="fr-FR"/>
        </w:rPr>
        <w:t>, régional</w:t>
      </w:r>
      <w:r w:rsidRPr="00D229BA">
        <w:rPr>
          <w:kern w:val="22"/>
          <w:szCs w:val="22"/>
          <w:lang w:val="fr-FR"/>
        </w:rPr>
        <w:t xml:space="preserve"> et mondial</w:t>
      </w:r>
      <w:r w:rsidR="005F6824" w:rsidRPr="00D229BA">
        <w:rPr>
          <w:kern w:val="22"/>
          <w:szCs w:val="22"/>
          <w:lang w:val="fr-FR"/>
        </w:rPr>
        <w:t> ;</w:t>
      </w:r>
    </w:p>
    <w:p w14:paraId="1C71D6AB" w14:textId="5DD5E8C2" w:rsidR="005F6824" w:rsidRPr="00D229BA" w:rsidRDefault="005F6824" w:rsidP="005441AC">
      <w:pPr>
        <w:pStyle w:val="Para1"/>
        <w:numPr>
          <w:ilvl w:val="1"/>
          <w:numId w:val="5"/>
        </w:numPr>
        <w:kinsoku w:val="0"/>
        <w:overflowPunct w:val="0"/>
        <w:autoSpaceDE w:val="0"/>
        <w:autoSpaceDN w:val="0"/>
        <w:ind w:left="0" w:firstLine="709"/>
        <w:rPr>
          <w:kern w:val="22"/>
          <w:szCs w:val="22"/>
          <w:lang w:val="fr-FR" w:eastAsia="en-CA"/>
        </w:rPr>
      </w:pPr>
      <w:r w:rsidRPr="00D229BA">
        <w:rPr>
          <w:i/>
          <w:kern w:val="22"/>
          <w:szCs w:val="22"/>
          <w:lang w:val="fr-FR"/>
        </w:rPr>
        <w:t xml:space="preserve">Visible </w:t>
      </w:r>
      <w:r w:rsidRPr="00D229BA">
        <w:rPr>
          <w:kern w:val="22"/>
          <w:szCs w:val="22"/>
          <w:lang w:val="fr-FR" w:eastAsia="en-CA"/>
        </w:rPr>
        <w:t xml:space="preserve">– Le processus d’élaboration du </w:t>
      </w:r>
      <w:r w:rsidR="00344D53">
        <w:rPr>
          <w:kern w:val="22"/>
          <w:szCs w:val="22"/>
          <w:lang w:val="fr-FR" w:eastAsia="en-CA"/>
        </w:rPr>
        <w:t>cadre mondial de la biodiversité pour l’après-2020</w:t>
      </w:r>
      <w:r w:rsidR="00C65534">
        <w:rPr>
          <w:kern w:val="22"/>
          <w:szCs w:val="22"/>
          <w:lang w:val="fr-FR" w:eastAsia="en-CA"/>
        </w:rPr>
        <w:t xml:space="preserve"> sera visible mondialement</w:t>
      </w:r>
      <w:r w:rsidRPr="00D229BA">
        <w:rPr>
          <w:kern w:val="22"/>
          <w:szCs w:val="22"/>
          <w:lang w:val="fr-FR" w:eastAsia="en-CA"/>
        </w:rPr>
        <w:t xml:space="preserve"> afin de d’incorporer le processus au programme mondial, le rendre pertinent à l’échelle nationale et</w:t>
      </w:r>
      <w:r w:rsidR="00DF46EC" w:rsidRPr="00D229BA">
        <w:rPr>
          <w:kern w:val="22"/>
          <w:szCs w:val="22"/>
          <w:lang w:val="fr-FR" w:eastAsia="en-CA"/>
        </w:rPr>
        <w:t xml:space="preserve"> le porter à l’attention du plus grand nombre de personnes possible ;</w:t>
      </w:r>
    </w:p>
    <w:p w14:paraId="4DBEC531" w14:textId="1CE0B6E5" w:rsidR="00421ED5" w:rsidRPr="00D229BA" w:rsidRDefault="00421ED5" w:rsidP="005441AC">
      <w:pPr>
        <w:pStyle w:val="Para1"/>
        <w:numPr>
          <w:ilvl w:val="1"/>
          <w:numId w:val="5"/>
        </w:numPr>
        <w:kinsoku w:val="0"/>
        <w:overflowPunct w:val="0"/>
        <w:autoSpaceDE w:val="0"/>
        <w:autoSpaceDN w:val="0"/>
        <w:ind w:left="0" w:firstLine="709"/>
        <w:rPr>
          <w:kern w:val="22"/>
          <w:szCs w:val="22"/>
          <w:lang w:val="fr-FR" w:eastAsia="en-CA"/>
        </w:rPr>
      </w:pPr>
      <w:r w:rsidRPr="00D229BA">
        <w:rPr>
          <w:bCs/>
          <w:i/>
          <w:kern w:val="22"/>
          <w:szCs w:val="22"/>
          <w:lang w:val="fr-FR"/>
        </w:rPr>
        <w:lastRenderedPageBreak/>
        <w:t>Fondé sur les connaissances</w:t>
      </w:r>
      <w:r w:rsidRPr="00D229BA">
        <w:rPr>
          <w:i/>
          <w:kern w:val="22"/>
          <w:szCs w:val="22"/>
          <w:lang w:val="fr-FR"/>
        </w:rPr>
        <w:t xml:space="preserve"> </w:t>
      </w:r>
      <w:r w:rsidRPr="00D229BA">
        <w:rPr>
          <w:kern w:val="22"/>
          <w:szCs w:val="22"/>
          <w:lang w:val="fr-FR"/>
        </w:rPr>
        <w:t xml:space="preserve">– Le processus sera fondé sur les meilleures connaissances et données scientifiques disponibles provenant de systèmes de données pertinents, y compris les sciences naturelles et sociales, les connaissances locales, traditionnelles et autochtones, </w:t>
      </w:r>
      <w:r w:rsidR="00DF46EC" w:rsidRPr="00D229BA">
        <w:rPr>
          <w:kern w:val="22"/>
          <w:szCs w:val="22"/>
          <w:lang w:val="fr-FR"/>
        </w:rPr>
        <w:t xml:space="preserve">la science </w:t>
      </w:r>
      <w:r w:rsidR="00320630" w:rsidRPr="00D229BA">
        <w:rPr>
          <w:kern w:val="22"/>
          <w:szCs w:val="22"/>
          <w:lang w:val="fr-FR"/>
        </w:rPr>
        <w:t>participative</w:t>
      </w:r>
      <w:r w:rsidR="00DF46EC" w:rsidRPr="00D229BA">
        <w:rPr>
          <w:kern w:val="22"/>
          <w:szCs w:val="22"/>
          <w:lang w:val="fr-FR"/>
        </w:rPr>
        <w:t xml:space="preserve">, </w:t>
      </w:r>
      <w:r w:rsidRPr="00D229BA">
        <w:rPr>
          <w:kern w:val="22"/>
          <w:szCs w:val="22"/>
          <w:lang w:val="fr-FR"/>
        </w:rPr>
        <w:t>ainsi sur les bonnes pratiques et les enseignements tirés de l’application de la Convention et de ses protocoles jusqu’à présent ;</w:t>
      </w:r>
    </w:p>
    <w:p w14:paraId="2A9FBB00" w14:textId="71D4A7A1" w:rsidR="00421ED5" w:rsidRPr="00D229BA" w:rsidRDefault="00421ED5" w:rsidP="005441AC">
      <w:pPr>
        <w:pStyle w:val="Para1"/>
        <w:numPr>
          <w:ilvl w:val="1"/>
          <w:numId w:val="5"/>
        </w:numPr>
        <w:kinsoku w:val="0"/>
        <w:overflowPunct w:val="0"/>
        <w:autoSpaceDE w:val="0"/>
        <w:autoSpaceDN w:val="0"/>
        <w:ind w:left="0" w:firstLine="709"/>
        <w:rPr>
          <w:kern w:val="22"/>
          <w:szCs w:val="22"/>
          <w:lang w:val="fr-FR" w:eastAsia="en-CA"/>
        </w:rPr>
      </w:pPr>
      <w:r w:rsidRPr="00D229BA">
        <w:rPr>
          <w:i/>
          <w:iCs/>
          <w:kern w:val="22"/>
          <w:szCs w:val="22"/>
          <w:lang w:val="fr-FR" w:eastAsia="en-CA"/>
        </w:rPr>
        <w:t>Transparent</w:t>
      </w:r>
      <w:r w:rsidRPr="00D229BA">
        <w:rPr>
          <w:kern w:val="22"/>
          <w:szCs w:val="22"/>
          <w:lang w:val="fr-FR" w:eastAsia="en-CA"/>
        </w:rPr>
        <w:t xml:space="preserve"> – Le processus sera </w:t>
      </w:r>
      <w:r w:rsidRPr="00D229BA">
        <w:rPr>
          <w:kern w:val="22"/>
          <w:szCs w:val="22"/>
          <w:lang w:val="fr-FR"/>
        </w:rPr>
        <w:t xml:space="preserve">clairement documenté  grâce à des rapports d’activité réguliers présentés </w:t>
      </w:r>
      <w:r w:rsidR="00C65534">
        <w:rPr>
          <w:kern w:val="22"/>
          <w:szCs w:val="22"/>
          <w:lang w:val="fr-FR"/>
        </w:rPr>
        <w:t>par les coprésidents du g</w:t>
      </w:r>
      <w:r w:rsidR="00DF46EC" w:rsidRPr="00D229BA">
        <w:rPr>
          <w:kern w:val="22"/>
          <w:szCs w:val="22"/>
          <w:lang w:val="fr-FR"/>
        </w:rPr>
        <w:t xml:space="preserve">roupe de travail à composition non limitée </w:t>
      </w:r>
      <w:r w:rsidRPr="00D229BA">
        <w:rPr>
          <w:kern w:val="22"/>
          <w:szCs w:val="22"/>
          <w:lang w:val="fr-FR"/>
        </w:rPr>
        <w:t xml:space="preserve">au Bureau de la Conférence des Parties et aux réunions des organes subsidiaires. Les progrès réalisés dans l’élaboration du </w:t>
      </w:r>
      <w:r w:rsidR="00344D53">
        <w:rPr>
          <w:kern w:val="22"/>
          <w:szCs w:val="22"/>
          <w:lang w:val="fr-FR"/>
        </w:rPr>
        <w:t>cadre mondial de la biodiversité pour l’après-2020</w:t>
      </w:r>
      <w:r w:rsidRPr="00D229BA">
        <w:rPr>
          <w:kern w:val="22"/>
          <w:szCs w:val="22"/>
          <w:lang w:val="fr-FR"/>
        </w:rPr>
        <w:t xml:space="preserve"> et les possibilités d’engagement dans le processus seront aussi effectivement communiqués ;</w:t>
      </w:r>
    </w:p>
    <w:p w14:paraId="4CD5AC71" w14:textId="02B3D210" w:rsidR="00421ED5" w:rsidRPr="00D229BA" w:rsidRDefault="00421ED5" w:rsidP="005441AC">
      <w:pPr>
        <w:pStyle w:val="Para1"/>
        <w:numPr>
          <w:ilvl w:val="1"/>
          <w:numId w:val="5"/>
        </w:numPr>
        <w:kinsoku w:val="0"/>
        <w:overflowPunct w:val="0"/>
        <w:autoSpaceDE w:val="0"/>
        <w:autoSpaceDN w:val="0"/>
        <w:ind w:left="0" w:firstLine="709"/>
        <w:rPr>
          <w:kern w:val="22"/>
          <w:szCs w:val="22"/>
          <w:lang w:val="fr-FR" w:eastAsia="en-CA"/>
        </w:rPr>
      </w:pPr>
      <w:r w:rsidRPr="00D229BA">
        <w:rPr>
          <w:i/>
          <w:iCs/>
          <w:kern w:val="22"/>
          <w:szCs w:val="22"/>
          <w:lang w:val="fr-FR" w:eastAsia="en-CA"/>
        </w:rPr>
        <w:t xml:space="preserve">Efficace </w:t>
      </w:r>
      <w:r w:rsidRPr="00D229BA">
        <w:rPr>
          <w:kern w:val="22"/>
          <w:szCs w:val="22"/>
          <w:lang w:val="fr-FR" w:eastAsia="en-CA"/>
        </w:rPr>
        <w:t>– Le processus mettra à profit les processus existants</w:t>
      </w:r>
      <w:r w:rsidR="00DF46EC" w:rsidRPr="00D229BA">
        <w:rPr>
          <w:kern w:val="22"/>
          <w:szCs w:val="22"/>
          <w:lang w:val="fr-FR" w:eastAsia="en-CA"/>
        </w:rPr>
        <w:t>, sera économique,</w:t>
      </w:r>
      <w:r w:rsidRPr="00D229BA">
        <w:rPr>
          <w:kern w:val="22"/>
          <w:szCs w:val="22"/>
          <w:lang w:val="fr-FR" w:eastAsia="en-CA"/>
        </w:rPr>
        <w:t xml:space="preserve"> et tirera parti des possibilités qui se présentent de partager les points de vue et de parvenir à un consensus ; </w:t>
      </w:r>
    </w:p>
    <w:p w14:paraId="3C4542CB" w14:textId="38CF26F3" w:rsidR="00421ED5" w:rsidRPr="00D229BA" w:rsidRDefault="00421ED5" w:rsidP="005441AC">
      <w:pPr>
        <w:pStyle w:val="Para1"/>
        <w:numPr>
          <w:ilvl w:val="1"/>
          <w:numId w:val="5"/>
        </w:numPr>
        <w:kinsoku w:val="0"/>
        <w:overflowPunct w:val="0"/>
        <w:autoSpaceDE w:val="0"/>
        <w:autoSpaceDN w:val="0"/>
        <w:ind w:left="0" w:firstLine="709"/>
        <w:rPr>
          <w:kern w:val="22"/>
          <w:szCs w:val="22"/>
          <w:lang w:val="fr-FR" w:eastAsia="en-CA"/>
        </w:rPr>
      </w:pPr>
      <w:r w:rsidRPr="00D229BA">
        <w:rPr>
          <w:i/>
          <w:iCs/>
          <w:kern w:val="22"/>
          <w:szCs w:val="22"/>
          <w:lang w:val="fr-FR" w:eastAsia="en-CA"/>
        </w:rPr>
        <w:t xml:space="preserve">Axé sur les résultats </w:t>
      </w:r>
      <w:r w:rsidRPr="00D229BA">
        <w:rPr>
          <w:kern w:val="22"/>
          <w:szCs w:val="22"/>
          <w:lang w:val="fr-FR" w:eastAsia="en-CA"/>
        </w:rPr>
        <w:t>– Le processus cherchera à identifier dès le départ les questions qui doivent être clarifiées, examinées et étudiées. Des experts et des parties prenantes pertinents seront engagés pour traiter les questions et les solutions potentielles</w:t>
      </w:r>
      <w:r w:rsidR="000D79D6" w:rsidRPr="00D229BA">
        <w:rPr>
          <w:kern w:val="22"/>
          <w:szCs w:val="22"/>
          <w:lang w:val="fr-FR" w:eastAsia="en-CA"/>
        </w:rPr>
        <w:t xml:space="preserve"> raisonnablement atteignables</w:t>
      </w:r>
      <w:r w:rsidRPr="00D229BA">
        <w:rPr>
          <w:kern w:val="22"/>
          <w:szCs w:val="22"/>
          <w:lang w:val="fr-FR" w:eastAsia="en-CA"/>
        </w:rPr>
        <w:t>, en se fondant sur les expériences de la mise en œuvre du Plan stratégique pour la diversité biologique</w:t>
      </w:r>
      <w:r w:rsidR="00AC53EB">
        <w:rPr>
          <w:kern w:val="22"/>
          <w:szCs w:val="22"/>
          <w:lang w:val="fr-FR" w:eastAsia="en-CA"/>
        </w:rPr>
        <w:t xml:space="preserve"> </w:t>
      </w:r>
      <w:r w:rsidR="00AC53EB" w:rsidRPr="00D229BA">
        <w:rPr>
          <w:kern w:val="22"/>
          <w:szCs w:val="22"/>
          <w:lang w:val="fr-FR" w:eastAsia="en-CA"/>
        </w:rPr>
        <w:t>2011-2020</w:t>
      </w:r>
      <w:r w:rsidRPr="00D229BA">
        <w:rPr>
          <w:kern w:val="22"/>
          <w:szCs w:val="22"/>
          <w:lang w:val="fr-FR" w:eastAsia="en-CA"/>
        </w:rPr>
        <w:t xml:space="preserve"> ; </w:t>
      </w:r>
    </w:p>
    <w:p w14:paraId="4820341F" w14:textId="33B91C62" w:rsidR="00421ED5" w:rsidRPr="00D229BA" w:rsidRDefault="00421ED5" w:rsidP="005441AC">
      <w:pPr>
        <w:pStyle w:val="Para1"/>
        <w:numPr>
          <w:ilvl w:val="1"/>
          <w:numId w:val="5"/>
        </w:numPr>
        <w:kinsoku w:val="0"/>
        <w:overflowPunct w:val="0"/>
        <w:autoSpaceDE w:val="0"/>
        <w:autoSpaceDN w:val="0"/>
        <w:ind w:left="0" w:firstLine="709"/>
        <w:rPr>
          <w:kern w:val="22"/>
          <w:szCs w:val="22"/>
          <w:lang w:val="fr-FR" w:eastAsia="en-CA"/>
        </w:rPr>
      </w:pPr>
      <w:r w:rsidRPr="00D229BA">
        <w:rPr>
          <w:bCs/>
          <w:i/>
          <w:kern w:val="22"/>
          <w:szCs w:val="22"/>
          <w:lang w:val="fr-FR"/>
        </w:rPr>
        <w:t>Itératif</w:t>
      </w:r>
      <w:r w:rsidRPr="00D229BA">
        <w:rPr>
          <w:kern w:val="22"/>
          <w:szCs w:val="22"/>
          <w:lang w:val="fr-FR"/>
        </w:rPr>
        <w:t xml:space="preserve"> – Le </w:t>
      </w:r>
      <w:r w:rsidR="00344D53">
        <w:rPr>
          <w:kern w:val="22"/>
          <w:szCs w:val="22"/>
          <w:lang w:val="fr-FR"/>
        </w:rPr>
        <w:t>cadre mondial de la biodiversité pour l’après-2020</w:t>
      </w:r>
      <w:r w:rsidRPr="00D229BA">
        <w:rPr>
          <w:kern w:val="22"/>
          <w:szCs w:val="22"/>
          <w:lang w:val="fr-FR"/>
        </w:rPr>
        <w:t xml:space="preserve"> sera élaboré de manière itérative, afin de parvenir à un consensus et favoriser la prise en charge</w:t>
      </w:r>
      <w:r w:rsidR="00C64C5C" w:rsidRPr="00D229BA">
        <w:rPr>
          <w:kern w:val="22"/>
          <w:szCs w:val="22"/>
          <w:lang w:val="fr-FR"/>
        </w:rPr>
        <w:t> ;</w:t>
      </w:r>
    </w:p>
    <w:p w14:paraId="366347A4" w14:textId="0E485770" w:rsidR="00B51E39" w:rsidRPr="00D229BA" w:rsidRDefault="00B51E39" w:rsidP="005441AC">
      <w:pPr>
        <w:pStyle w:val="Para1"/>
        <w:numPr>
          <w:ilvl w:val="1"/>
          <w:numId w:val="5"/>
        </w:numPr>
        <w:kinsoku w:val="0"/>
        <w:overflowPunct w:val="0"/>
        <w:autoSpaceDE w:val="0"/>
        <w:autoSpaceDN w:val="0"/>
        <w:ind w:left="0" w:firstLine="709"/>
        <w:rPr>
          <w:kern w:val="22"/>
          <w:szCs w:val="22"/>
          <w:lang w:val="fr-FR" w:eastAsia="en-CA"/>
        </w:rPr>
      </w:pPr>
      <w:r w:rsidRPr="00D229BA">
        <w:rPr>
          <w:bCs/>
          <w:i/>
          <w:kern w:val="22"/>
          <w:szCs w:val="22"/>
          <w:lang w:val="fr-FR"/>
        </w:rPr>
        <w:t xml:space="preserve">Souple </w:t>
      </w:r>
      <w:r w:rsidRPr="00D229BA">
        <w:rPr>
          <w:kern w:val="22"/>
          <w:szCs w:val="22"/>
          <w:lang w:val="fr-FR" w:eastAsia="en-CA"/>
        </w:rPr>
        <w:t xml:space="preserve">– Le processus sera mis en œuvre avec souplesse afin qu’il s’adapte aux circonstances en évolution, aux nouveaux développements sur </w:t>
      </w:r>
      <w:r w:rsidR="00AC53EB">
        <w:rPr>
          <w:kern w:val="22"/>
          <w:szCs w:val="22"/>
          <w:lang w:val="fr-FR" w:eastAsia="en-CA"/>
        </w:rPr>
        <w:t>la scène mondiale, de tirer parti</w:t>
      </w:r>
      <w:r w:rsidRPr="00D229BA">
        <w:rPr>
          <w:kern w:val="22"/>
          <w:szCs w:val="22"/>
          <w:lang w:val="fr-FR" w:eastAsia="en-CA"/>
        </w:rPr>
        <w:t xml:space="preserve"> des nou</w:t>
      </w:r>
      <w:r w:rsidR="00AC53EB">
        <w:rPr>
          <w:kern w:val="22"/>
          <w:szCs w:val="22"/>
          <w:lang w:val="fr-FR" w:eastAsia="en-CA"/>
        </w:rPr>
        <w:t>velles occasions qui se présentent</w:t>
      </w:r>
      <w:r w:rsidRPr="00D229BA">
        <w:rPr>
          <w:kern w:val="22"/>
          <w:szCs w:val="22"/>
          <w:lang w:val="fr-FR" w:eastAsia="en-CA"/>
        </w:rPr>
        <w:t xml:space="preserve"> pendan</w:t>
      </w:r>
      <w:r w:rsidR="00AC53EB">
        <w:rPr>
          <w:kern w:val="22"/>
          <w:szCs w:val="22"/>
          <w:lang w:val="fr-FR" w:eastAsia="en-CA"/>
        </w:rPr>
        <w:t>t la période intersessions et d’utiliser au mieux les ressources et l</w:t>
      </w:r>
      <w:r w:rsidRPr="00D229BA">
        <w:rPr>
          <w:kern w:val="22"/>
          <w:szCs w:val="22"/>
          <w:lang w:val="fr-FR" w:eastAsia="en-CA"/>
        </w:rPr>
        <w:t>es connaissances.</w:t>
      </w:r>
    </w:p>
    <w:p w14:paraId="19196C47" w14:textId="301F13C6" w:rsidR="00421ED5" w:rsidRPr="00D229BA" w:rsidRDefault="00421ED5" w:rsidP="00320630">
      <w:pPr>
        <w:pStyle w:val="Heading2"/>
        <w:tabs>
          <w:tab w:val="clear" w:pos="720"/>
        </w:tabs>
        <w:ind w:left="1440" w:hanging="720"/>
        <w:jc w:val="both"/>
        <w:rPr>
          <w:lang w:val="fr-FR"/>
        </w:rPr>
      </w:pPr>
      <w:r w:rsidRPr="00D229BA">
        <w:rPr>
          <w:lang w:val="fr-FR"/>
        </w:rPr>
        <w:t>B.</w:t>
      </w:r>
      <w:r w:rsidRPr="00D229BA">
        <w:rPr>
          <w:lang w:val="fr-FR"/>
        </w:rPr>
        <w:tab/>
      </w:r>
      <w:r w:rsidR="00320630" w:rsidRPr="00D229BA">
        <w:rPr>
          <w:lang w:val="fr-FR"/>
        </w:rPr>
        <w:t xml:space="preserve">Organisation des travaux pour la préparation du </w:t>
      </w:r>
      <w:r w:rsidR="00344D53">
        <w:rPr>
          <w:lang w:val="fr-FR"/>
        </w:rPr>
        <w:t>cadre mondial de la biodiversité pour l’après-2020</w:t>
      </w:r>
    </w:p>
    <w:p w14:paraId="5A8EE764" w14:textId="551178C8" w:rsidR="00F67572" w:rsidRPr="00D229BA" w:rsidRDefault="00F67572"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 xml:space="preserve">Les négociations </w:t>
      </w:r>
      <w:r w:rsidR="0037438E" w:rsidRPr="00D229BA">
        <w:rPr>
          <w:kern w:val="22"/>
          <w:szCs w:val="22"/>
          <w:lang w:val="fr-FR"/>
        </w:rPr>
        <w:t>entourant</w:t>
      </w:r>
      <w:r w:rsidRPr="00D229BA">
        <w:rPr>
          <w:kern w:val="22"/>
          <w:szCs w:val="22"/>
          <w:lang w:val="fr-FR"/>
        </w:rPr>
        <w:t xml:space="preserve"> l’élaboration du </w:t>
      </w:r>
      <w:r w:rsidR="00344D53">
        <w:rPr>
          <w:kern w:val="22"/>
          <w:szCs w:val="22"/>
          <w:lang w:val="fr-FR"/>
        </w:rPr>
        <w:t>cadre mondial de la biodiversité pour l’après-2020</w:t>
      </w:r>
      <w:r w:rsidRPr="00D229BA">
        <w:rPr>
          <w:kern w:val="22"/>
          <w:szCs w:val="22"/>
          <w:lang w:val="fr-FR"/>
        </w:rPr>
        <w:t>, avant la quinzième réunion de la Conférence des Parties, sero</w:t>
      </w:r>
      <w:r w:rsidR="00AC53EB">
        <w:rPr>
          <w:kern w:val="22"/>
          <w:szCs w:val="22"/>
          <w:lang w:val="fr-FR"/>
        </w:rPr>
        <w:t>nt entreprises par un g</w:t>
      </w:r>
      <w:r w:rsidRPr="00D229BA">
        <w:rPr>
          <w:kern w:val="22"/>
          <w:szCs w:val="22"/>
          <w:lang w:val="fr-FR"/>
        </w:rPr>
        <w:t>roupe de travail</w:t>
      </w:r>
      <w:r w:rsidR="001300D2">
        <w:rPr>
          <w:kern w:val="22"/>
          <w:szCs w:val="22"/>
          <w:lang w:val="fr-FR"/>
        </w:rPr>
        <w:t xml:space="preserve"> intersessions</w:t>
      </w:r>
      <w:r w:rsidRPr="00D229BA">
        <w:rPr>
          <w:kern w:val="22"/>
          <w:szCs w:val="22"/>
          <w:lang w:val="fr-FR"/>
        </w:rPr>
        <w:t xml:space="preserve"> </w:t>
      </w:r>
      <w:r w:rsidR="00712BC9" w:rsidRPr="00D229BA">
        <w:rPr>
          <w:kern w:val="22"/>
          <w:szCs w:val="22"/>
          <w:lang w:val="fr-FR"/>
        </w:rPr>
        <w:t>à co</w:t>
      </w:r>
      <w:r w:rsidRPr="00D229BA">
        <w:rPr>
          <w:kern w:val="22"/>
          <w:szCs w:val="22"/>
          <w:lang w:val="fr-FR"/>
        </w:rPr>
        <w:t>mposition non limitée dédié</w:t>
      </w:r>
      <w:r w:rsidR="00712BC9" w:rsidRPr="00D229BA">
        <w:rPr>
          <w:kern w:val="22"/>
          <w:szCs w:val="22"/>
          <w:lang w:val="fr-FR"/>
        </w:rPr>
        <w:t xml:space="preserve"> sous la direction des deux coprésidents et sous la supervision du Bureau de la Conférence des Parties. Le processus officiel de négociation du </w:t>
      </w:r>
      <w:r w:rsidR="00344D53">
        <w:rPr>
          <w:kern w:val="22"/>
          <w:szCs w:val="22"/>
          <w:lang w:val="fr-FR"/>
        </w:rPr>
        <w:t>cadre mondial de la biodiversité pour l’après-2020</w:t>
      </w:r>
      <w:r w:rsidR="00712BC9" w:rsidRPr="00D229BA">
        <w:rPr>
          <w:kern w:val="22"/>
          <w:szCs w:val="22"/>
          <w:lang w:val="fr-FR"/>
        </w:rPr>
        <w:t xml:space="preserve"> </w:t>
      </w:r>
      <w:r w:rsidR="00F47136" w:rsidRPr="00D229BA">
        <w:rPr>
          <w:kern w:val="22"/>
          <w:szCs w:val="22"/>
          <w:lang w:val="fr-FR"/>
        </w:rPr>
        <w:t>atteindra son point culminant</w:t>
      </w:r>
      <w:r w:rsidR="00712BC9" w:rsidRPr="00D229BA">
        <w:rPr>
          <w:kern w:val="22"/>
          <w:szCs w:val="22"/>
          <w:lang w:val="fr-FR"/>
        </w:rPr>
        <w:t xml:space="preserve"> </w:t>
      </w:r>
      <w:r w:rsidR="00F47136" w:rsidRPr="00D229BA">
        <w:rPr>
          <w:kern w:val="22"/>
          <w:szCs w:val="22"/>
          <w:lang w:val="fr-FR"/>
        </w:rPr>
        <w:t>lors de</w:t>
      </w:r>
      <w:r w:rsidR="00712BC9" w:rsidRPr="00D229BA">
        <w:rPr>
          <w:kern w:val="22"/>
          <w:szCs w:val="22"/>
          <w:lang w:val="fr-FR"/>
        </w:rPr>
        <w:t xml:space="preserve"> l’adoption du </w:t>
      </w:r>
      <w:r w:rsidR="00344D53">
        <w:rPr>
          <w:kern w:val="22"/>
          <w:szCs w:val="22"/>
          <w:lang w:val="fr-FR"/>
        </w:rPr>
        <w:t>cadre mondial de la biodiversité pour l’après-2020</w:t>
      </w:r>
      <w:r w:rsidR="00712BC9" w:rsidRPr="00D229BA">
        <w:rPr>
          <w:kern w:val="22"/>
          <w:szCs w:val="22"/>
          <w:lang w:val="fr-FR"/>
        </w:rPr>
        <w:t xml:space="preserve"> par la Conférence </w:t>
      </w:r>
      <w:r w:rsidR="00AC53EB">
        <w:rPr>
          <w:kern w:val="22"/>
          <w:szCs w:val="22"/>
          <w:lang w:val="fr-FR"/>
        </w:rPr>
        <w:t>des Parties et son appui par la</w:t>
      </w:r>
      <w:r w:rsidR="00712BC9" w:rsidRPr="00D229BA">
        <w:rPr>
          <w:kern w:val="22"/>
          <w:szCs w:val="22"/>
          <w:lang w:val="fr-FR"/>
        </w:rPr>
        <w:t xml:space="preserve"> Conférence des Parties siégeant en tant que réunion des Parties</w:t>
      </w:r>
      <w:r w:rsidR="00AC53EB">
        <w:rPr>
          <w:kern w:val="22"/>
          <w:szCs w:val="22"/>
          <w:lang w:val="fr-FR"/>
        </w:rPr>
        <w:t xml:space="preserve"> aux p</w:t>
      </w:r>
      <w:r w:rsidR="00DB1665" w:rsidRPr="00D229BA">
        <w:rPr>
          <w:kern w:val="22"/>
          <w:szCs w:val="22"/>
          <w:lang w:val="fr-FR"/>
        </w:rPr>
        <w:t>rotocoles</w:t>
      </w:r>
      <w:r w:rsidR="001300D2">
        <w:rPr>
          <w:kern w:val="22"/>
          <w:szCs w:val="22"/>
          <w:lang w:val="fr-FR"/>
        </w:rPr>
        <w:t>,</w:t>
      </w:r>
      <w:r w:rsidR="00712BC9" w:rsidRPr="00D229BA">
        <w:rPr>
          <w:kern w:val="22"/>
          <w:szCs w:val="22"/>
          <w:lang w:val="fr-FR"/>
        </w:rPr>
        <w:t xml:space="preserve"> lors de leurs réunions de 2020.</w:t>
      </w:r>
    </w:p>
    <w:p w14:paraId="626FD48A" w14:textId="6DDAE850" w:rsidR="008D78A0" w:rsidRPr="00D229BA" w:rsidRDefault="00AC53EB"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Pr>
          <w:kern w:val="22"/>
          <w:szCs w:val="22"/>
          <w:lang w:val="fr-FR"/>
        </w:rPr>
        <w:t>Le g</w:t>
      </w:r>
      <w:r w:rsidR="008D78A0" w:rsidRPr="00D229BA">
        <w:rPr>
          <w:kern w:val="22"/>
          <w:szCs w:val="22"/>
          <w:lang w:val="fr-FR"/>
        </w:rPr>
        <w:t xml:space="preserve">roupe de travail </w:t>
      </w:r>
      <w:r w:rsidR="001300D2">
        <w:rPr>
          <w:kern w:val="22"/>
          <w:szCs w:val="22"/>
          <w:lang w:val="fr-FR"/>
        </w:rPr>
        <w:t xml:space="preserve">intersessions </w:t>
      </w:r>
      <w:r w:rsidR="008D78A0" w:rsidRPr="00D229BA">
        <w:rPr>
          <w:kern w:val="22"/>
          <w:szCs w:val="22"/>
          <w:lang w:val="fr-FR"/>
        </w:rPr>
        <w:t xml:space="preserve">à composition non limitée sera composé de représentants des </w:t>
      </w:r>
      <w:r w:rsidR="001300D2">
        <w:rPr>
          <w:kern w:val="22"/>
          <w:szCs w:val="22"/>
          <w:lang w:val="fr-FR"/>
        </w:rPr>
        <w:t>Parties à la Convention et aux p</w:t>
      </w:r>
      <w:r w:rsidR="008D78A0" w:rsidRPr="00D229BA">
        <w:rPr>
          <w:kern w:val="22"/>
          <w:szCs w:val="22"/>
          <w:lang w:val="fr-FR"/>
        </w:rPr>
        <w:t xml:space="preserve">rotocoles </w:t>
      </w:r>
      <w:r w:rsidR="00F47136" w:rsidRPr="00D229BA">
        <w:rPr>
          <w:kern w:val="22"/>
          <w:szCs w:val="22"/>
          <w:lang w:val="fr-FR"/>
        </w:rPr>
        <w:t>et</w:t>
      </w:r>
      <w:r w:rsidR="008D78A0" w:rsidRPr="00D229BA">
        <w:rPr>
          <w:kern w:val="22"/>
          <w:szCs w:val="22"/>
          <w:lang w:val="fr-FR"/>
        </w:rPr>
        <w:t xml:space="preserve"> ouvert aux observateurs, dont les gouvernements, les peuples autochtones et les communautés locales, les organisations et programmes des Nations Unies, les autres accords multilatéraux sur l’environneme</w:t>
      </w:r>
      <w:r w:rsidR="001300D2">
        <w:rPr>
          <w:kern w:val="22"/>
          <w:szCs w:val="22"/>
          <w:lang w:val="fr-FR"/>
        </w:rPr>
        <w:t xml:space="preserve">nt, les gouvernements </w:t>
      </w:r>
      <w:r w:rsidR="008D78A0" w:rsidRPr="00D229BA">
        <w:rPr>
          <w:kern w:val="22"/>
          <w:szCs w:val="22"/>
          <w:lang w:val="fr-FR"/>
        </w:rPr>
        <w:t xml:space="preserve">infranationaux, </w:t>
      </w:r>
      <w:r w:rsidR="001300D2">
        <w:rPr>
          <w:kern w:val="22"/>
          <w:szCs w:val="22"/>
          <w:lang w:val="fr-FR"/>
        </w:rPr>
        <w:t xml:space="preserve">les municipalités et autres autorités locales, </w:t>
      </w:r>
      <w:r w:rsidR="008D78A0" w:rsidRPr="00D229BA">
        <w:rPr>
          <w:kern w:val="22"/>
          <w:szCs w:val="22"/>
          <w:lang w:val="fr-FR"/>
        </w:rPr>
        <w:t>les organisations intergouvernementales, les organisations non gouvernementales, les groupes de femmes, l</w:t>
      </w:r>
      <w:r w:rsidR="001300D2">
        <w:rPr>
          <w:kern w:val="22"/>
          <w:szCs w:val="22"/>
          <w:lang w:val="fr-FR"/>
        </w:rPr>
        <w:t>es groupes de jeunes, le milieu des affaires et des finances</w:t>
      </w:r>
      <w:r w:rsidR="008D78A0" w:rsidRPr="00D229BA">
        <w:rPr>
          <w:kern w:val="22"/>
          <w:szCs w:val="22"/>
          <w:lang w:val="fr-FR"/>
        </w:rPr>
        <w:t xml:space="preserve">, la communauté scientifique, le milieu universitaire, les organismes confessionnels, les représentants de secteurs liés </w:t>
      </w:r>
      <w:r w:rsidR="008649F2" w:rsidRPr="00D229BA">
        <w:rPr>
          <w:kern w:val="22"/>
          <w:szCs w:val="22"/>
          <w:lang w:val="fr-FR"/>
        </w:rPr>
        <w:t>à la</w:t>
      </w:r>
      <w:r w:rsidR="008D78A0" w:rsidRPr="00D229BA">
        <w:rPr>
          <w:kern w:val="22"/>
          <w:szCs w:val="22"/>
          <w:lang w:val="fr-FR"/>
        </w:rPr>
        <w:t xml:space="preserve"> diversité biologique</w:t>
      </w:r>
      <w:r w:rsidR="008649F2" w:rsidRPr="00D229BA">
        <w:rPr>
          <w:kern w:val="22"/>
          <w:szCs w:val="22"/>
          <w:lang w:val="fr-FR"/>
        </w:rPr>
        <w:t xml:space="preserve"> ou qui en dépendent</w:t>
      </w:r>
      <w:r w:rsidR="008D78A0" w:rsidRPr="00D229BA">
        <w:rPr>
          <w:kern w:val="22"/>
          <w:szCs w:val="22"/>
          <w:lang w:val="fr-FR"/>
        </w:rPr>
        <w:t>, le grand public et d’autres parties prenantes.</w:t>
      </w:r>
    </w:p>
    <w:p w14:paraId="53039E18" w14:textId="5811D205" w:rsidR="008D78A0" w:rsidRPr="00D229BA" w:rsidRDefault="001300D2"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Pr>
          <w:kern w:val="22"/>
          <w:szCs w:val="22"/>
          <w:lang w:val="fr-FR"/>
        </w:rPr>
        <w:t>Il est prévu que le g</w:t>
      </w:r>
      <w:r w:rsidR="008D78A0" w:rsidRPr="00D229BA">
        <w:rPr>
          <w:kern w:val="22"/>
          <w:szCs w:val="22"/>
          <w:lang w:val="fr-FR"/>
        </w:rPr>
        <w:t>roupe de travail</w:t>
      </w:r>
      <w:r>
        <w:rPr>
          <w:kern w:val="22"/>
          <w:szCs w:val="22"/>
          <w:lang w:val="fr-FR"/>
        </w:rPr>
        <w:t xml:space="preserve"> intersessions</w:t>
      </w:r>
      <w:r w:rsidR="008D78A0" w:rsidRPr="00D229BA">
        <w:rPr>
          <w:kern w:val="22"/>
          <w:szCs w:val="22"/>
          <w:lang w:val="fr-FR"/>
        </w:rPr>
        <w:t xml:space="preserve"> à composition non limitée se réunira à au moins deux reprises pendant la période intersessions. Des réunions supplémentaires pou</w:t>
      </w:r>
      <w:r w:rsidR="000F0013" w:rsidRPr="00D229BA">
        <w:rPr>
          <w:kern w:val="22"/>
          <w:szCs w:val="22"/>
          <w:lang w:val="fr-FR"/>
        </w:rPr>
        <w:t>r</w:t>
      </w:r>
      <w:r w:rsidR="008D78A0" w:rsidRPr="00D229BA">
        <w:rPr>
          <w:kern w:val="22"/>
          <w:szCs w:val="22"/>
          <w:lang w:val="fr-FR"/>
        </w:rPr>
        <w:t xml:space="preserve">raient être envisagées, au besoin, selon la disponibilité des ressources. </w:t>
      </w:r>
      <w:r w:rsidR="000F0013" w:rsidRPr="00D229BA">
        <w:rPr>
          <w:kern w:val="22"/>
          <w:szCs w:val="22"/>
          <w:lang w:val="fr-FR"/>
        </w:rPr>
        <w:t>Le choix du m</w:t>
      </w:r>
      <w:r>
        <w:rPr>
          <w:kern w:val="22"/>
          <w:szCs w:val="22"/>
          <w:lang w:val="fr-FR"/>
        </w:rPr>
        <w:t>oment de tenir les réunions du g</w:t>
      </w:r>
      <w:r w:rsidR="000F0013" w:rsidRPr="00D229BA">
        <w:rPr>
          <w:kern w:val="22"/>
          <w:szCs w:val="22"/>
          <w:lang w:val="fr-FR"/>
        </w:rPr>
        <w:t>roupe de travail</w:t>
      </w:r>
      <w:r>
        <w:rPr>
          <w:kern w:val="22"/>
          <w:szCs w:val="22"/>
          <w:lang w:val="fr-FR"/>
        </w:rPr>
        <w:t xml:space="preserve"> intersessions</w:t>
      </w:r>
      <w:r w:rsidR="000F0013" w:rsidRPr="00D229BA">
        <w:rPr>
          <w:kern w:val="22"/>
          <w:szCs w:val="22"/>
          <w:lang w:val="fr-FR"/>
        </w:rPr>
        <w:t xml:space="preserve"> à composition </w:t>
      </w:r>
      <w:r w:rsidR="008649F2" w:rsidRPr="00D229BA">
        <w:rPr>
          <w:kern w:val="22"/>
          <w:szCs w:val="22"/>
          <w:lang w:val="fr-FR"/>
        </w:rPr>
        <w:t xml:space="preserve">non </w:t>
      </w:r>
      <w:r w:rsidR="000F0013" w:rsidRPr="00D229BA">
        <w:rPr>
          <w:kern w:val="22"/>
          <w:szCs w:val="22"/>
          <w:lang w:val="fr-FR"/>
        </w:rPr>
        <w:t>limitée dépend</w:t>
      </w:r>
      <w:r w:rsidR="00F47136" w:rsidRPr="00D229BA">
        <w:rPr>
          <w:kern w:val="22"/>
          <w:szCs w:val="22"/>
          <w:lang w:val="fr-FR"/>
        </w:rPr>
        <w:t>ra</w:t>
      </w:r>
      <w:r w:rsidR="000F0013" w:rsidRPr="00D229BA">
        <w:rPr>
          <w:kern w:val="22"/>
          <w:szCs w:val="22"/>
          <w:lang w:val="fr-FR"/>
        </w:rPr>
        <w:t xml:space="preserve"> de divers facteurs, à savoir </w:t>
      </w:r>
      <w:r w:rsidR="00E27E31" w:rsidRPr="00D229BA">
        <w:rPr>
          <w:kern w:val="22"/>
          <w:szCs w:val="22"/>
          <w:lang w:val="fr-FR"/>
        </w:rPr>
        <w:t>a</w:t>
      </w:r>
      <w:r w:rsidR="000F0013" w:rsidRPr="00D229BA">
        <w:rPr>
          <w:kern w:val="22"/>
          <w:szCs w:val="22"/>
          <w:lang w:val="fr-FR"/>
        </w:rPr>
        <w:t>) la nécessité de prendre appui sur un processus de consultation suffisamment dévelop</w:t>
      </w:r>
      <w:r>
        <w:rPr>
          <w:kern w:val="22"/>
          <w:szCs w:val="22"/>
          <w:lang w:val="fr-FR"/>
        </w:rPr>
        <w:t>pé comme base pour les échanges ;</w:t>
      </w:r>
      <w:r w:rsidR="000F0013" w:rsidRPr="00D229BA">
        <w:rPr>
          <w:kern w:val="22"/>
          <w:szCs w:val="22"/>
          <w:lang w:val="fr-FR"/>
        </w:rPr>
        <w:t xml:space="preserve"> </w:t>
      </w:r>
      <w:r w:rsidR="00E27E31" w:rsidRPr="00D229BA">
        <w:rPr>
          <w:kern w:val="22"/>
          <w:szCs w:val="22"/>
          <w:lang w:val="fr-FR"/>
        </w:rPr>
        <w:t>b</w:t>
      </w:r>
      <w:r>
        <w:rPr>
          <w:kern w:val="22"/>
          <w:szCs w:val="22"/>
          <w:lang w:val="fr-FR"/>
        </w:rPr>
        <w:t xml:space="preserve">) le choix du moment et la séquence des </w:t>
      </w:r>
      <w:r w:rsidR="000F0013" w:rsidRPr="00D229BA">
        <w:rPr>
          <w:kern w:val="22"/>
          <w:szCs w:val="22"/>
          <w:lang w:val="fr-FR"/>
        </w:rPr>
        <w:t>autres réunions prévues pendant la période intersessions et</w:t>
      </w:r>
      <w:r>
        <w:rPr>
          <w:kern w:val="22"/>
          <w:szCs w:val="22"/>
          <w:lang w:val="fr-FR"/>
        </w:rPr>
        <w:t xml:space="preserve"> le rapport avec celles-ci ;</w:t>
      </w:r>
      <w:r w:rsidR="000F0013" w:rsidRPr="00D229BA">
        <w:rPr>
          <w:kern w:val="22"/>
          <w:szCs w:val="22"/>
          <w:lang w:val="fr-FR"/>
        </w:rPr>
        <w:t xml:space="preserve"> </w:t>
      </w:r>
      <w:r w:rsidR="00E27E31" w:rsidRPr="00D229BA">
        <w:rPr>
          <w:kern w:val="22"/>
          <w:szCs w:val="22"/>
          <w:lang w:val="fr-FR"/>
        </w:rPr>
        <w:t>c</w:t>
      </w:r>
      <w:r w:rsidR="000F0013" w:rsidRPr="00D229BA">
        <w:rPr>
          <w:kern w:val="22"/>
          <w:szCs w:val="22"/>
          <w:lang w:val="fr-FR"/>
        </w:rPr>
        <w:t xml:space="preserve">) la disponibilité d’installations convenables pouvant </w:t>
      </w:r>
      <w:r w:rsidR="00F47136" w:rsidRPr="00D229BA">
        <w:rPr>
          <w:kern w:val="22"/>
          <w:szCs w:val="22"/>
          <w:lang w:val="fr-FR"/>
        </w:rPr>
        <w:t>recevoir</w:t>
      </w:r>
      <w:r w:rsidR="000F0013" w:rsidRPr="00D229BA">
        <w:rPr>
          <w:kern w:val="22"/>
          <w:szCs w:val="22"/>
          <w:lang w:val="fr-FR"/>
        </w:rPr>
        <w:t xml:space="preserve"> le nombre de délégués qui pourraient y</w:t>
      </w:r>
      <w:r>
        <w:rPr>
          <w:kern w:val="22"/>
          <w:szCs w:val="22"/>
          <w:lang w:val="fr-FR"/>
        </w:rPr>
        <w:t xml:space="preserve"> assister. E</w:t>
      </w:r>
      <w:r w:rsidRPr="00D229BA">
        <w:rPr>
          <w:kern w:val="22"/>
          <w:szCs w:val="22"/>
          <w:lang w:val="fr-FR"/>
        </w:rPr>
        <w:t>n consultation avec le Bureau de la Conférence des Parties</w:t>
      </w:r>
      <w:r>
        <w:rPr>
          <w:kern w:val="22"/>
          <w:szCs w:val="22"/>
          <w:lang w:val="fr-FR"/>
        </w:rPr>
        <w:t>, les coprésidents du g</w:t>
      </w:r>
      <w:r w:rsidR="000F0013" w:rsidRPr="00D229BA">
        <w:rPr>
          <w:kern w:val="22"/>
          <w:szCs w:val="22"/>
          <w:lang w:val="fr-FR"/>
        </w:rPr>
        <w:t xml:space="preserve">roupe de travail </w:t>
      </w:r>
      <w:r w:rsidR="00E27E31" w:rsidRPr="00D229BA">
        <w:rPr>
          <w:kern w:val="22"/>
          <w:szCs w:val="22"/>
          <w:lang w:val="fr-FR"/>
        </w:rPr>
        <w:t xml:space="preserve">intersessions </w:t>
      </w:r>
      <w:r w:rsidR="000F0013" w:rsidRPr="00D229BA">
        <w:rPr>
          <w:kern w:val="22"/>
          <w:szCs w:val="22"/>
          <w:lang w:val="fr-FR"/>
        </w:rPr>
        <w:t>à composition non limi</w:t>
      </w:r>
      <w:r w:rsidR="00C90663">
        <w:rPr>
          <w:kern w:val="22"/>
          <w:szCs w:val="22"/>
          <w:lang w:val="fr-FR"/>
        </w:rPr>
        <w:t xml:space="preserve">tée et la Secrétaire exécutive </w:t>
      </w:r>
      <w:r w:rsidR="00F47136" w:rsidRPr="00D229BA">
        <w:rPr>
          <w:kern w:val="22"/>
          <w:szCs w:val="22"/>
          <w:lang w:val="fr-FR"/>
        </w:rPr>
        <w:t>développeront</w:t>
      </w:r>
      <w:r w:rsidR="00D84E47" w:rsidRPr="00D229BA">
        <w:rPr>
          <w:kern w:val="22"/>
          <w:szCs w:val="22"/>
          <w:lang w:val="fr-FR"/>
        </w:rPr>
        <w:t xml:space="preserve"> aussitôt que possible et m</w:t>
      </w:r>
      <w:r w:rsidR="00F47136" w:rsidRPr="00D229BA">
        <w:rPr>
          <w:kern w:val="22"/>
          <w:szCs w:val="22"/>
          <w:lang w:val="fr-FR"/>
        </w:rPr>
        <w:t>ettront</w:t>
      </w:r>
      <w:r w:rsidR="00D84E47" w:rsidRPr="00D229BA">
        <w:rPr>
          <w:kern w:val="22"/>
          <w:szCs w:val="22"/>
          <w:lang w:val="fr-FR"/>
        </w:rPr>
        <w:t xml:space="preserve"> à jour régulièrement un calendrier des principales activités de l’élaboration du </w:t>
      </w:r>
      <w:r w:rsidR="00344D53">
        <w:rPr>
          <w:kern w:val="22"/>
          <w:szCs w:val="22"/>
          <w:lang w:val="fr-FR"/>
        </w:rPr>
        <w:lastRenderedPageBreak/>
        <w:t>cadre mondial de la biodiversité pour l’après-2020</w:t>
      </w:r>
      <w:r w:rsidR="00D84E47" w:rsidRPr="00D229BA">
        <w:rPr>
          <w:kern w:val="22"/>
          <w:szCs w:val="22"/>
          <w:lang w:val="fr-FR"/>
        </w:rPr>
        <w:t xml:space="preserve"> et le mettr</w:t>
      </w:r>
      <w:r w:rsidR="00F47136" w:rsidRPr="00D229BA">
        <w:rPr>
          <w:kern w:val="22"/>
          <w:szCs w:val="22"/>
          <w:lang w:val="fr-FR"/>
        </w:rPr>
        <w:t>ont à</w:t>
      </w:r>
      <w:r w:rsidR="00D84E47" w:rsidRPr="00D229BA">
        <w:rPr>
          <w:kern w:val="22"/>
          <w:szCs w:val="22"/>
          <w:lang w:val="fr-FR"/>
        </w:rPr>
        <w:t xml:space="preserve"> la disposition des Parties et des parties prenantes.</w:t>
      </w:r>
    </w:p>
    <w:p w14:paraId="5A531B53" w14:textId="3A58B56A" w:rsidR="00D84E47" w:rsidRPr="00D229BA" w:rsidRDefault="00D84E47"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 xml:space="preserve">Les </w:t>
      </w:r>
      <w:r w:rsidR="00C90663">
        <w:rPr>
          <w:kern w:val="22"/>
          <w:szCs w:val="22"/>
          <w:lang w:val="fr-FR"/>
        </w:rPr>
        <w:t>éléments de travail pertinents pour</w:t>
      </w:r>
      <w:r w:rsidRPr="00D229BA">
        <w:rPr>
          <w:kern w:val="22"/>
          <w:szCs w:val="22"/>
          <w:lang w:val="fr-FR"/>
        </w:rPr>
        <w:t xml:space="preserve"> l’élaboration du cadre mo</w:t>
      </w:r>
      <w:r w:rsidR="00C90663">
        <w:rPr>
          <w:kern w:val="22"/>
          <w:szCs w:val="22"/>
          <w:lang w:val="fr-FR"/>
        </w:rPr>
        <w:t>ndial de la biodiversité pour</w:t>
      </w:r>
      <w:r w:rsidRPr="00D229BA">
        <w:rPr>
          <w:kern w:val="22"/>
          <w:szCs w:val="22"/>
          <w:lang w:val="fr-FR"/>
        </w:rPr>
        <w:t xml:space="preserve"> l’après-2020 qui seront entrepris par l’Organe subsidiaire chargé de fournir des avis scientifiques, techniques et technologiques, l’Organe subsidiaire chargé de l’application et le Groupe de travail </w:t>
      </w:r>
      <w:r w:rsidR="00B67A6D" w:rsidRPr="00D229BA">
        <w:rPr>
          <w:kern w:val="22"/>
          <w:szCs w:val="22"/>
          <w:lang w:val="fr-FR"/>
        </w:rPr>
        <w:t xml:space="preserve">spécial à composition non limitée </w:t>
      </w:r>
      <w:r w:rsidRPr="00D229BA">
        <w:rPr>
          <w:kern w:val="22"/>
          <w:szCs w:val="22"/>
          <w:lang w:val="fr-FR"/>
        </w:rPr>
        <w:t>sur l’article 8 j)</w:t>
      </w:r>
      <w:r w:rsidR="00C90663">
        <w:rPr>
          <w:kern w:val="22"/>
          <w:szCs w:val="22"/>
          <w:lang w:val="fr-FR"/>
        </w:rPr>
        <w:t xml:space="preserve"> et les dispositions connexes, et les travaux du g</w:t>
      </w:r>
      <w:r w:rsidR="0000795C" w:rsidRPr="00D229BA">
        <w:rPr>
          <w:kern w:val="22"/>
          <w:szCs w:val="22"/>
          <w:lang w:val="fr-FR"/>
        </w:rPr>
        <w:t xml:space="preserve">roupe de travail </w:t>
      </w:r>
      <w:r w:rsidR="00C90663">
        <w:rPr>
          <w:kern w:val="22"/>
          <w:szCs w:val="22"/>
          <w:lang w:val="fr-FR"/>
        </w:rPr>
        <w:t xml:space="preserve">intersessions </w:t>
      </w:r>
      <w:r w:rsidR="0000795C" w:rsidRPr="00D229BA">
        <w:rPr>
          <w:kern w:val="22"/>
          <w:szCs w:val="22"/>
          <w:lang w:val="fr-FR"/>
        </w:rPr>
        <w:t>à composition no</w:t>
      </w:r>
      <w:r w:rsidR="00C90663">
        <w:rPr>
          <w:kern w:val="22"/>
          <w:szCs w:val="22"/>
          <w:lang w:val="fr-FR"/>
        </w:rPr>
        <w:t>n limitée seront complémentaires</w:t>
      </w:r>
      <w:r w:rsidR="0000795C" w:rsidRPr="00D229BA">
        <w:rPr>
          <w:kern w:val="22"/>
          <w:szCs w:val="22"/>
          <w:lang w:val="fr-FR"/>
        </w:rPr>
        <w:t xml:space="preserve"> afin d’éviter le double emploi.</w:t>
      </w:r>
    </w:p>
    <w:p w14:paraId="3EAF3982" w14:textId="6FD6D78F" w:rsidR="0000795C" w:rsidRPr="00D229BA" w:rsidRDefault="0000795C"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 xml:space="preserve">Quant aux </w:t>
      </w:r>
      <w:r w:rsidR="00432B12" w:rsidRPr="00D229BA">
        <w:rPr>
          <w:kern w:val="22"/>
          <w:szCs w:val="22"/>
          <w:lang w:val="fr-FR"/>
        </w:rPr>
        <w:t>questions</w:t>
      </w:r>
      <w:r w:rsidRPr="00D229BA">
        <w:rPr>
          <w:kern w:val="22"/>
          <w:szCs w:val="22"/>
          <w:lang w:val="fr-FR"/>
        </w:rPr>
        <w:t xml:space="preserve"> pour lesquelles les contri</w:t>
      </w:r>
      <w:r w:rsidR="00432B12" w:rsidRPr="00D229BA">
        <w:rPr>
          <w:kern w:val="22"/>
          <w:szCs w:val="22"/>
          <w:lang w:val="fr-FR"/>
        </w:rPr>
        <w:t>butio</w:t>
      </w:r>
      <w:r w:rsidRPr="00D229BA">
        <w:rPr>
          <w:kern w:val="22"/>
          <w:szCs w:val="22"/>
          <w:lang w:val="fr-FR"/>
        </w:rPr>
        <w:t>ns respectives de l’Organe subsidiaire chargé de fournir des avis scientifiques, techniques et technologiques, de l’Organe subsidiaire chargé de l’</w:t>
      </w:r>
      <w:r w:rsidR="00432B12" w:rsidRPr="00D229BA">
        <w:rPr>
          <w:kern w:val="22"/>
          <w:szCs w:val="22"/>
          <w:lang w:val="fr-FR"/>
        </w:rPr>
        <w:t>application, du Groupe de travai</w:t>
      </w:r>
      <w:r w:rsidRPr="00D229BA">
        <w:rPr>
          <w:kern w:val="22"/>
          <w:szCs w:val="22"/>
          <w:lang w:val="fr-FR"/>
        </w:rPr>
        <w:t>l</w:t>
      </w:r>
      <w:r w:rsidR="00C90663">
        <w:rPr>
          <w:kern w:val="22"/>
          <w:szCs w:val="22"/>
          <w:lang w:val="fr-FR"/>
        </w:rPr>
        <w:t xml:space="preserve"> spécial à composition non limitée</w:t>
      </w:r>
      <w:r w:rsidRPr="00D229BA">
        <w:rPr>
          <w:kern w:val="22"/>
          <w:szCs w:val="22"/>
          <w:lang w:val="fr-FR"/>
        </w:rPr>
        <w:t xml:space="preserve"> sur l’article 8 j)</w:t>
      </w:r>
      <w:r w:rsidR="00C90663">
        <w:rPr>
          <w:kern w:val="22"/>
          <w:szCs w:val="22"/>
          <w:lang w:val="fr-FR"/>
        </w:rPr>
        <w:t xml:space="preserve"> et les dispositions connexes et du g</w:t>
      </w:r>
      <w:r w:rsidRPr="00D229BA">
        <w:rPr>
          <w:kern w:val="22"/>
          <w:szCs w:val="22"/>
          <w:lang w:val="fr-FR"/>
        </w:rPr>
        <w:t xml:space="preserve">roupe de travail </w:t>
      </w:r>
      <w:r w:rsidR="00B67A6D" w:rsidRPr="00D229BA">
        <w:rPr>
          <w:kern w:val="22"/>
          <w:szCs w:val="22"/>
          <w:lang w:val="fr-FR"/>
        </w:rPr>
        <w:t xml:space="preserve">intersessions </w:t>
      </w:r>
      <w:r w:rsidRPr="00D229BA">
        <w:rPr>
          <w:kern w:val="22"/>
          <w:szCs w:val="22"/>
          <w:lang w:val="fr-FR"/>
        </w:rPr>
        <w:t>à composition non limitée ne sont pas détermi</w:t>
      </w:r>
      <w:r w:rsidR="00C90663">
        <w:rPr>
          <w:kern w:val="22"/>
          <w:szCs w:val="22"/>
          <w:lang w:val="fr-FR"/>
        </w:rPr>
        <w:t>nées, les coprésidents du g</w:t>
      </w:r>
      <w:r w:rsidRPr="00D229BA">
        <w:rPr>
          <w:kern w:val="22"/>
          <w:szCs w:val="22"/>
          <w:lang w:val="fr-FR"/>
        </w:rPr>
        <w:t xml:space="preserve">roupe de </w:t>
      </w:r>
      <w:r w:rsidR="00432B12" w:rsidRPr="00D229BA">
        <w:rPr>
          <w:kern w:val="22"/>
          <w:szCs w:val="22"/>
          <w:lang w:val="fr-FR"/>
        </w:rPr>
        <w:t>travail</w:t>
      </w:r>
      <w:r w:rsidR="00C90663">
        <w:rPr>
          <w:kern w:val="22"/>
          <w:szCs w:val="22"/>
          <w:lang w:val="fr-FR"/>
        </w:rPr>
        <w:t xml:space="preserve"> intersessions</w:t>
      </w:r>
      <w:r w:rsidRPr="00D229BA">
        <w:rPr>
          <w:kern w:val="22"/>
          <w:szCs w:val="22"/>
          <w:lang w:val="fr-FR"/>
        </w:rPr>
        <w:t xml:space="preserve"> à </w:t>
      </w:r>
      <w:r w:rsidR="00432B12" w:rsidRPr="00D229BA">
        <w:rPr>
          <w:kern w:val="22"/>
          <w:szCs w:val="22"/>
          <w:lang w:val="fr-FR"/>
        </w:rPr>
        <w:t>composition</w:t>
      </w:r>
      <w:r w:rsidRPr="00D229BA">
        <w:rPr>
          <w:kern w:val="22"/>
          <w:szCs w:val="22"/>
          <w:lang w:val="fr-FR"/>
        </w:rPr>
        <w:t xml:space="preserve"> non limitée devraient assurer la liaison avec</w:t>
      </w:r>
      <w:r w:rsidR="00C90663">
        <w:rPr>
          <w:kern w:val="22"/>
          <w:szCs w:val="22"/>
          <w:lang w:val="fr-FR"/>
        </w:rPr>
        <w:t xml:space="preserve"> le président de la Conférence des Parties et</w:t>
      </w:r>
      <w:r w:rsidRPr="00D229BA">
        <w:rPr>
          <w:kern w:val="22"/>
          <w:szCs w:val="22"/>
          <w:lang w:val="fr-FR"/>
        </w:rPr>
        <w:t xml:space="preserve"> les </w:t>
      </w:r>
      <w:r w:rsidR="00432B12" w:rsidRPr="00D229BA">
        <w:rPr>
          <w:kern w:val="22"/>
          <w:szCs w:val="22"/>
          <w:lang w:val="fr-FR"/>
        </w:rPr>
        <w:t>présidents</w:t>
      </w:r>
      <w:r w:rsidRPr="00D229BA">
        <w:rPr>
          <w:kern w:val="22"/>
          <w:szCs w:val="22"/>
          <w:lang w:val="fr-FR"/>
        </w:rPr>
        <w:t xml:space="preserve"> de l’Organe subsidiaire chargé de fournir des avis scientifique</w:t>
      </w:r>
      <w:r w:rsidR="00C90663">
        <w:rPr>
          <w:kern w:val="22"/>
          <w:szCs w:val="22"/>
          <w:lang w:val="fr-FR"/>
        </w:rPr>
        <w:t>s, techniques et technologiques et</w:t>
      </w:r>
      <w:r w:rsidR="00432B12" w:rsidRPr="00D229BA">
        <w:rPr>
          <w:kern w:val="22"/>
          <w:szCs w:val="22"/>
          <w:lang w:val="fr-FR"/>
        </w:rPr>
        <w:t xml:space="preserve"> de</w:t>
      </w:r>
      <w:r w:rsidRPr="00D229BA">
        <w:rPr>
          <w:kern w:val="22"/>
          <w:szCs w:val="22"/>
          <w:lang w:val="fr-FR"/>
        </w:rPr>
        <w:t xml:space="preserve"> l’Organe subsidiaire chargé de l’appli</w:t>
      </w:r>
      <w:r w:rsidR="00C90663">
        <w:rPr>
          <w:kern w:val="22"/>
          <w:szCs w:val="22"/>
          <w:lang w:val="fr-FR"/>
        </w:rPr>
        <w:t>cation</w:t>
      </w:r>
      <w:r w:rsidR="00432B12" w:rsidRPr="00D229BA">
        <w:rPr>
          <w:kern w:val="22"/>
          <w:szCs w:val="22"/>
          <w:lang w:val="fr-FR"/>
        </w:rPr>
        <w:t xml:space="preserve"> afin de</w:t>
      </w:r>
      <w:r w:rsidR="00AA2216">
        <w:rPr>
          <w:kern w:val="22"/>
          <w:szCs w:val="22"/>
          <w:lang w:val="fr-FR"/>
        </w:rPr>
        <w:t xml:space="preserve"> conseiller aux Bureaux respectifs de</w:t>
      </w:r>
      <w:r w:rsidR="00432B12" w:rsidRPr="00D229BA">
        <w:rPr>
          <w:kern w:val="22"/>
          <w:szCs w:val="22"/>
          <w:lang w:val="fr-FR"/>
        </w:rPr>
        <w:t xml:space="preserve"> déterminer les calendriers des réunions pertinentes dans les meilleurs délais et en vue de développer la documentation nécessaire.</w:t>
      </w:r>
    </w:p>
    <w:p w14:paraId="23DEEFDF" w14:textId="72DC5F6B" w:rsidR="00432B12" w:rsidRPr="00D229BA" w:rsidRDefault="00AA2216"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Pr>
          <w:kern w:val="22"/>
          <w:szCs w:val="22"/>
          <w:lang w:val="fr-FR"/>
        </w:rPr>
        <w:t>Les coprésidents du g</w:t>
      </w:r>
      <w:r w:rsidR="00447682" w:rsidRPr="00D229BA">
        <w:rPr>
          <w:kern w:val="22"/>
          <w:szCs w:val="22"/>
          <w:lang w:val="fr-FR"/>
        </w:rPr>
        <w:t>roupe de travail</w:t>
      </w:r>
      <w:r>
        <w:rPr>
          <w:kern w:val="22"/>
          <w:szCs w:val="22"/>
          <w:lang w:val="fr-FR"/>
        </w:rPr>
        <w:t xml:space="preserve"> intersessions</w:t>
      </w:r>
      <w:r w:rsidR="00447682" w:rsidRPr="00D229BA">
        <w:rPr>
          <w:kern w:val="22"/>
          <w:szCs w:val="22"/>
          <w:lang w:val="fr-FR"/>
        </w:rPr>
        <w:t xml:space="preserve"> à composition non limitée pour la préparation du </w:t>
      </w:r>
      <w:r w:rsidR="00344D53">
        <w:rPr>
          <w:kern w:val="22"/>
          <w:szCs w:val="22"/>
          <w:lang w:val="fr-FR"/>
        </w:rPr>
        <w:t>cadre mondial de la biodiversité pour l’après-2020</w:t>
      </w:r>
      <w:r>
        <w:rPr>
          <w:kern w:val="22"/>
          <w:szCs w:val="22"/>
          <w:lang w:val="fr-FR"/>
        </w:rPr>
        <w:t xml:space="preserve"> devront consacrer considérablement </w:t>
      </w:r>
      <w:r w:rsidR="00447682" w:rsidRPr="00D229BA">
        <w:rPr>
          <w:kern w:val="22"/>
          <w:szCs w:val="22"/>
          <w:lang w:val="fr-FR"/>
        </w:rPr>
        <w:t xml:space="preserve">de temps à diriger le processus tout au long des 22 mois </w:t>
      </w:r>
      <w:r w:rsidR="0018028F" w:rsidRPr="00D229BA">
        <w:rPr>
          <w:kern w:val="22"/>
          <w:szCs w:val="22"/>
          <w:lang w:val="fr-FR"/>
        </w:rPr>
        <w:t>de</w:t>
      </w:r>
      <w:r w:rsidR="00447682" w:rsidRPr="00D229BA">
        <w:rPr>
          <w:kern w:val="22"/>
          <w:szCs w:val="22"/>
          <w:lang w:val="fr-FR"/>
        </w:rPr>
        <w:t xml:space="preserve"> son élaboration. Ils guideront  les travaux du Secrétariat pour faciliter le processus. Ils parti</w:t>
      </w:r>
      <w:r w:rsidR="002B5BBA">
        <w:rPr>
          <w:kern w:val="22"/>
          <w:szCs w:val="22"/>
          <w:lang w:val="fr-FR"/>
        </w:rPr>
        <w:t>ciperont en qualité de membres de droit</w:t>
      </w:r>
      <w:r w:rsidR="00447682" w:rsidRPr="00D229BA">
        <w:rPr>
          <w:kern w:val="22"/>
          <w:szCs w:val="22"/>
          <w:lang w:val="fr-FR"/>
        </w:rPr>
        <w:t xml:space="preserve"> au</w:t>
      </w:r>
      <w:r>
        <w:rPr>
          <w:kern w:val="22"/>
          <w:szCs w:val="22"/>
          <w:lang w:val="fr-FR"/>
        </w:rPr>
        <w:t>x réunions du</w:t>
      </w:r>
      <w:r w:rsidR="00447682" w:rsidRPr="00D229BA">
        <w:rPr>
          <w:kern w:val="22"/>
          <w:szCs w:val="22"/>
          <w:lang w:val="fr-FR"/>
        </w:rPr>
        <w:t xml:space="preserve"> Bureau de la Conférence des Parties, qui assure la supervision du processus d’</w:t>
      </w:r>
      <w:r w:rsidR="008D50A9" w:rsidRPr="00D229BA">
        <w:rPr>
          <w:kern w:val="22"/>
          <w:szCs w:val="22"/>
          <w:lang w:val="fr-FR"/>
        </w:rPr>
        <w:t>é</w:t>
      </w:r>
      <w:r w:rsidR="00447682" w:rsidRPr="00D229BA">
        <w:rPr>
          <w:kern w:val="22"/>
          <w:szCs w:val="22"/>
          <w:lang w:val="fr-FR"/>
        </w:rPr>
        <w:t xml:space="preserve">laboration du </w:t>
      </w:r>
      <w:r w:rsidR="00344D53">
        <w:rPr>
          <w:kern w:val="22"/>
          <w:szCs w:val="22"/>
          <w:lang w:val="fr-FR"/>
        </w:rPr>
        <w:t>cadre mondial de la biodiversité pour l’après-2020</w:t>
      </w:r>
      <w:r w:rsidR="00447682" w:rsidRPr="00D229BA">
        <w:rPr>
          <w:kern w:val="22"/>
          <w:szCs w:val="22"/>
          <w:lang w:val="fr-FR"/>
        </w:rPr>
        <w:t xml:space="preserve"> </w:t>
      </w:r>
      <w:r w:rsidR="008D50A9" w:rsidRPr="00D229BA">
        <w:rPr>
          <w:kern w:val="22"/>
          <w:szCs w:val="22"/>
          <w:lang w:val="fr-FR"/>
        </w:rPr>
        <w:t xml:space="preserve">et </w:t>
      </w:r>
      <w:r w:rsidR="0018028F" w:rsidRPr="00D229BA">
        <w:rPr>
          <w:kern w:val="22"/>
          <w:szCs w:val="22"/>
          <w:lang w:val="fr-FR"/>
        </w:rPr>
        <w:t>aux</w:t>
      </w:r>
      <w:r w:rsidR="008D50A9" w:rsidRPr="00D229BA">
        <w:rPr>
          <w:kern w:val="22"/>
          <w:szCs w:val="22"/>
          <w:lang w:val="fr-FR"/>
        </w:rPr>
        <w:t xml:space="preserve"> réunions pertinentes du Bureau de l’Organe subsidiaire chargé de fournir des avis scientifiques, techniques et technologiques. Les présidents de l’Organe subsidiaire chargé de l'application, de l’Organe subsidiaire chargé de fournir des avis scientifiques, techniques et technologiques, ainsi que de la quinzième réunion de la Conférence des Parties seront invités </w:t>
      </w:r>
      <w:r w:rsidR="002B5BBA">
        <w:rPr>
          <w:kern w:val="22"/>
          <w:szCs w:val="22"/>
          <w:lang w:val="fr-FR"/>
        </w:rPr>
        <w:t xml:space="preserve">à participer ex </w:t>
      </w:r>
      <w:r w:rsidR="002B5BBA">
        <w:rPr>
          <w:noProof/>
          <w:kern w:val="22"/>
          <w:szCs w:val="22"/>
          <w:lang w:val="fr-FR"/>
        </w:rPr>
        <w:t>officio</w:t>
      </w:r>
      <w:r w:rsidR="002B5BBA">
        <w:rPr>
          <w:kern w:val="22"/>
          <w:szCs w:val="22"/>
          <w:lang w:val="fr-FR"/>
        </w:rPr>
        <w:t xml:space="preserve"> aux réunions </w:t>
      </w:r>
      <w:r w:rsidR="008D50A9" w:rsidRPr="00D229BA">
        <w:rPr>
          <w:kern w:val="22"/>
          <w:szCs w:val="22"/>
          <w:lang w:val="fr-FR"/>
        </w:rPr>
        <w:t>du Bureau de la Conférence des Partie</w:t>
      </w:r>
      <w:r w:rsidR="002921D8">
        <w:rPr>
          <w:kern w:val="22"/>
          <w:szCs w:val="22"/>
          <w:lang w:val="fr-FR"/>
        </w:rPr>
        <w:t>s sur les questions relatives à</w:t>
      </w:r>
      <w:r w:rsidR="008D50A9" w:rsidRPr="00D229BA">
        <w:rPr>
          <w:kern w:val="22"/>
          <w:szCs w:val="22"/>
          <w:lang w:val="fr-FR"/>
        </w:rPr>
        <w:t xml:space="preserve"> l’élaboration du </w:t>
      </w:r>
      <w:r w:rsidR="00344D53">
        <w:rPr>
          <w:kern w:val="22"/>
          <w:szCs w:val="22"/>
          <w:lang w:val="fr-FR"/>
        </w:rPr>
        <w:t>cadre mondial de la biodiversité pour l’après-2020</w:t>
      </w:r>
      <w:r w:rsidR="008D50A9" w:rsidRPr="00D229BA">
        <w:rPr>
          <w:kern w:val="22"/>
          <w:szCs w:val="22"/>
          <w:lang w:val="fr-FR"/>
        </w:rPr>
        <w:t>.</w:t>
      </w:r>
    </w:p>
    <w:p w14:paraId="6691F7FF" w14:textId="5CFC5DD9" w:rsidR="008D50A9" w:rsidRPr="00D229BA" w:rsidRDefault="002921D8"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Pr>
          <w:kern w:val="22"/>
          <w:szCs w:val="22"/>
          <w:lang w:val="fr-FR"/>
        </w:rPr>
        <w:t>Les coprésidents chercheront à assurer</w:t>
      </w:r>
      <w:r w:rsidR="002149CA" w:rsidRPr="00D229BA">
        <w:rPr>
          <w:kern w:val="22"/>
          <w:szCs w:val="22"/>
          <w:lang w:val="fr-FR"/>
        </w:rPr>
        <w:t xml:space="preserve"> la cohérence et la complément</w:t>
      </w:r>
      <w:r w:rsidR="008D50A9" w:rsidRPr="00D229BA">
        <w:rPr>
          <w:kern w:val="22"/>
          <w:szCs w:val="22"/>
          <w:lang w:val="fr-FR"/>
        </w:rPr>
        <w:t xml:space="preserve">arité du </w:t>
      </w:r>
      <w:r w:rsidR="00344D53">
        <w:rPr>
          <w:kern w:val="22"/>
          <w:szCs w:val="22"/>
          <w:lang w:val="fr-FR"/>
        </w:rPr>
        <w:t>cadre mondial de la biodiversité pour l’après-2020</w:t>
      </w:r>
      <w:r w:rsidR="008D50A9" w:rsidRPr="00D229BA">
        <w:rPr>
          <w:kern w:val="22"/>
          <w:szCs w:val="22"/>
          <w:lang w:val="fr-FR"/>
        </w:rPr>
        <w:t xml:space="preserve"> </w:t>
      </w:r>
      <w:r w:rsidR="0018028F" w:rsidRPr="00D229BA">
        <w:rPr>
          <w:kern w:val="22"/>
          <w:szCs w:val="22"/>
          <w:lang w:val="fr-FR"/>
        </w:rPr>
        <w:t>avec d</w:t>
      </w:r>
      <w:r w:rsidR="008D50A9" w:rsidRPr="00D229BA">
        <w:rPr>
          <w:kern w:val="22"/>
          <w:szCs w:val="22"/>
          <w:lang w:val="fr-FR"/>
        </w:rPr>
        <w:t>’autres processus internationaux existants ou à venir</w:t>
      </w:r>
      <w:r w:rsidR="0018028F" w:rsidRPr="00D229BA">
        <w:rPr>
          <w:kern w:val="22"/>
          <w:szCs w:val="22"/>
          <w:lang w:val="fr-FR"/>
        </w:rPr>
        <w:t>, n</w:t>
      </w:r>
      <w:r>
        <w:rPr>
          <w:kern w:val="22"/>
          <w:szCs w:val="22"/>
          <w:lang w:val="fr-FR"/>
        </w:rPr>
        <w:t>otamment sa cohérence et son harmonisation avec le</w:t>
      </w:r>
      <w:r w:rsidR="008D50A9" w:rsidRPr="00D229BA">
        <w:rPr>
          <w:kern w:val="22"/>
          <w:szCs w:val="22"/>
          <w:lang w:val="fr-FR"/>
        </w:rPr>
        <w:t xml:space="preserve"> Programme de développement </w:t>
      </w:r>
      <w:r w:rsidR="002149CA" w:rsidRPr="00D229BA">
        <w:rPr>
          <w:kern w:val="22"/>
          <w:szCs w:val="22"/>
          <w:lang w:val="fr-FR"/>
        </w:rPr>
        <w:t xml:space="preserve">durable </w:t>
      </w:r>
      <w:r w:rsidR="008D50A9" w:rsidRPr="00D229BA">
        <w:rPr>
          <w:kern w:val="22"/>
          <w:szCs w:val="22"/>
          <w:lang w:val="fr-FR"/>
        </w:rPr>
        <w:t>à l’horizon 2030</w:t>
      </w:r>
      <w:r w:rsidR="0018028F" w:rsidRPr="00D229BA">
        <w:rPr>
          <w:kern w:val="22"/>
          <w:szCs w:val="22"/>
          <w:lang w:val="fr-FR"/>
        </w:rPr>
        <w:t>, l</w:t>
      </w:r>
      <w:r w:rsidR="002149CA" w:rsidRPr="00D229BA">
        <w:rPr>
          <w:kern w:val="22"/>
          <w:szCs w:val="22"/>
          <w:lang w:val="fr-FR"/>
        </w:rPr>
        <w:t>’Accord de Paris sur le climat</w:t>
      </w:r>
      <w:r w:rsidR="002D1689" w:rsidRPr="00AE3053">
        <w:rPr>
          <w:rStyle w:val="FootnoteReference"/>
          <w:kern w:val="22"/>
          <w:sz w:val="22"/>
          <w:szCs w:val="22"/>
        </w:rPr>
        <w:footnoteReference w:id="8"/>
      </w:r>
      <w:r w:rsidR="002149CA" w:rsidRPr="00D229BA">
        <w:rPr>
          <w:kern w:val="22"/>
          <w:szCs w:val="22"/>
          <w:lang w:val="fr-FR"/>
        </w:rPr>
        <w:t xml:space="preserve"> et autres </w:t>
      </w:r>
      <w:r w:rsidR="00CD5A7F" w:rsidRPr="00D229BA">
        <w:rPr>
          <w:kern w:val="22"/>
          <w:szCs w:val="22"/>
          <w:lang w:val="fr-FR"/>
        </w:rPr>
        <w:t>processus, cadres et stratégies</w:t>
      </w:r>
      <w:r>
        <w:rPr>
          <w:kern w:val="22"/>
          <w:szCs w:val="22"/>
          <w:lang w:val="fr-FR"/>
        </w:rPr>
        <w:t xml:space="preserve"> connexes</w:t>
      </w:r>
      <w:r w:rsidR="002149CA" w:rsidRPr="00D229BA">
        <w:rPr>
          <w:kern w:val="22"/>
          <w:szCs w:val="22"/>
          <w:vertAlign w:val="superscript"/>
          <w:lang w:val="fr-FR"/>
        </w:rPr>
        <w:footnoteReference w:id="9"/>
      </w:r>
      <w:r w:rsidR="00CD5A7F" w:rsidRPr="00D229BA">
        <w:rPr>
          <w:kern w:val="22"/>
          <w:szCs w:val="22"/>
          <w:lang w:val="fr-FR"/>
        </w:rPr>
        <w:t xml:space="preserve">. </w:t>
      </w:r>
      <w:r w:rsidR="002149CA" w:rsidRPr="00D229BA">
        <w:rPr>
          <w:kern w:val="22"/>
          <w:szCs w:val="22"/>
          <w:lang w:val="fr-FR"/>
        </w:rPr>
        <w:t>Ils encourageront d’autres accords multilatéraux sur l’environnement, y compris les conventions liées à la diversité biologique et les conventions de Rio, les organisations internationales pertinentes et leurs programmes, et les autres processus pertinents</w:t>
      </w:r>
      <w:r w:rsidR="00671884" w:rsidRPr="00D229BA">
        <w:rPr>
          <w:kern w:val="22"/>
          <w:szCs w:val="22"/>
          <w:lang w:val="fr-FR"/>
        </w:rPr>
        <w:t>,</w:t>
      </w:r>
      <w:r w:rsidR="002149CA" w:rsidRPr="00D229BA">
        <w:rPr>
          <w:kern w:val="22"/>
          <w:szCs w:val="22"/>
          <w:lang w:val="fr-FR"/>
        </w:rPr>
        <w:t xml:space="preserve"> à participer activement au processus d’élaboration du </w:t>
      </w:r>
      <w:r w:rsidR="00344D53">
        <w:rPr>
          <w:kern w:val="22"/>
          <w:szCs w:val="22"/>
          <w:lang w:val="fr-FR"/>
        </w:rPr>
        <w:t>cadre mondial de la biodiversité pour l’après-2020</w:t>
      </w:r>
      <w:r>
        <w:rPr>
          <w:kern w:val="22"/>
          <w:szCs w:val="22"/>
          <w:lang w:val="fr-FR"/>
        </w:rPr>
        <w:t>. Le processus s’appuiera</w:t>
      </w:r>
      <w:r w:rsidR="002149CA" w:rsidRPr="00D229BA">
        <w:rPr>
          <w:kern w:val="22"/>
          <w:szCs w:val="22"/>
          <w:lang w:val="fr-FR"/>
        </w:rPr>
        <w:t xml:space="preserve"> sur les travaux en cours au titre de la Convention et des deux protocoles, afin de renforcer les mécanismes d’</w:t>
      </w:r>
      <w:r w:rsidR="004B424C" w:rsidRPr="00D229BA">
        <w:rPr>
          <w:kern w:val="22"/>
          <w:szCs w:val="22"/>
          <w:lang w:val="fr-FR"/>
        </w:rPr>
        <w:t>applicati</w:t>
      </w:r>
      <w:r w:rsidR="002149CA" w:rsidRPr="00D229BA">
        <w:rPr>
          <w:kern w:val="22"/>
          <w:szCs w:val="22"/>
          <w:lang w:val="fr-FR"/>
        </w:rPr>
        <w:t>on et l’examen de la mise en œuvre.</w:t>
      </w:r>
    </w:p>
    <w:p w14:paraId="39A80DCE" w14:textId="27C08967" w:rsidR="00421ED5" w:rsidRPr="00D229BA" w:rsidRDefault="00421ED5" w:rsidP="004B424C">
      <w:pPr>
        <w:pStyle w:val="Para1"/>
        <w:kinsoku w:val="0"/>
        <w:overflowPunct w:val="0"/>
        <w:autoSpaceDE w:val="0"/>
        <w:autoSpaceDN w:val="0"/>
        <w:rPr>
          <w:kern w:val="22"/>
          <w:szCs w:val="22"/>
          <w:lang w:val="fr-FR" w:eastAsia="en-CA"/>
        </w:rPr>
      </w:pPr>
    </w:p>
    <w:p w14:paraId="7F26799D" w14:textId="73C732CA" w:rsidR="00421ED5" w:rsidRPr="00D229BA" w:rsidRDefault="00421ED5" w:rsidP="00421ED5">
      <w:pPr>
        <w:pStyle w:val="Heading2"/>
        <w:rPr>
          <w:lang w:val="fr-FR"/>
        </w:rPr>
      </w:pPr>
      <w:r w:rsidRPr="00D229BA">
        <w:rPr>
          <w:lang w:val="fr-FR"/>
        </w:rPr>
        <w:t>C.</w:t>
      </w:r>
      <w:r w:rsidRPr="00D229BA">
        <w:rPr>
          <w:lang w:val="fr-FR"/>
        </w:rPr>
        <w:tab/>
      </w:r>
      <w:r w:rsidR="004B424C" w:rsidRPr="00D229BA">
        <w:rPr>
          <w:lang w:val="fr-FR"/>
        </w:rPr>
        <w:t>Processus de consultation</w:t>
      </w:r>
    </w:p>
    <w:p w14:paraId="33ED8881" w14:textId="566654E9" w:rsidR="00671884" w:rsidRPr="00D229BA" w:rsidRDefault="00671884"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Sous la</w:t>
      </w:r>
      <w:r w:rsidR="00D366E9">
        <w:rPr>
          <w:kern w:val="22"/>
          <w:szCs w:val="22"/>
          <w:lang w:val="fr-FR"/>
        </w:rPr>
        <w:t xml:space="preserve"> direction des coprésidents du g</w:t>
      </w:r>
      <w:r w:rsidRPr="00D229BA">
        <w:rPr>
          <w:kern w:val="22"/>
          <w:szCs w:val="22"/>
          <w:lang w:val="fr-FR"/>
        </w:rPr>
        <w:t xml:space="preserve">roupe de travail </w:t>
      </w:r>
      <w:r w:rsidR="00D366E9">
        <w:rPr>
          <w:kern w:val="22"/>
          <w:szCs w:val="22"/>
          <w:lang w:val="fr-FR"/>
        </w:rPr>
        <w:t xml:space="preserve">intersessions </w:t>
      </w:r>
      <w:r w:rsidRPr="00D229BA">
        <w:rPr>
          <w:kern w:val="22"/>
          <w:szCs w:val="22"/>
          <w:lang w:val="fr-FR"/>
        </w:rPr>
        <w:t>à composition non l</w:t>
      </w:r>
      <w:r w:rsidR="00D366E9">
        <w:rPr>
          <w:kern w:val="22"/>
          <w:szCs w:val="22"/>
          <w:lang w:val="fr-FR"/>
        </w:rPr>
        <w:t>imitée, des consultations seront organisées</w:t>
      </w:r>
      <w:r w:rsidRPr="00D229BA">
        <w:rPr>
          <w:kern w:val="22"/>
          <w:szCs w:val="22"/>
          <w:lang w:val="fr-FR"/>
        </w:rPr>
        <w:t xml:space="preserve"> au moyen de processus appropriés, y compris, sans s’y limiter, des forums de discussion en ligne, et des ateliers mondiaux, régionaux et thématiques. Les premières consultations régionales auront lieu au début du processus. Les résultats de ces consultations seront rendus pu</w:t>
      </w:r>
      <w:r w:rsidR="003A3F64" w:rsidRPr="00D229BA">
        <w:rPr>
          <w:kern w:val="22"/>
          <w:szCs w:val="22"/>
          <w:lang w:val="fr-FR"/>
        </w:rPr>
        <w:t>bl</w:t>
      </w:r>
      <w:r w:rsidR="00D366E9">
        <w:rPr>
          <w:kern w:val="22"/>
          <w:szCs w:val="22"/>
          <w:lang w:val="fr-FR"/>
        </w:rPr>
        <w:t>ics et mis à la disposition du g</w:t>
      </w:r>
      <w:r w:rsidRPr="00D229BA">
        <w:rPr>
          <w:kern w:val="22"/>
          <w:szCs w:val="22"/>
          <w:lang w:val="fr-FR"/>
        </w:rPr>
        <w:t>roupe de travail intersessions à comp</w:t>
      </w:r>
      <w:r w:rsidR="005D4B92" w:rsidRPr="00D229BA">
        <w:rPr>
          <w:kern w:val="22"/>
          <w:szCs w:val="22"/>
          <w:lang w:val="fr-FR"/>
        </w:rPr>
        <w:t>o</w:t>
      </w:r>
      <w:r w:rsidRPr="00D229BA">
        <w:rPr>
          <w:kern w:val="22"/>
          <w:szCs w:val="22"/>
          <w:lang w:val="fr-FR"/>
        </w:rPr>
        <w:t>sition non limité</w:t>
      </w:r>
      <w:r w:rsidR="00FF00ED" w:rsidRPr="00D229BA">
        <w:rPr>
          <w:kern w:val="22"/>
          <w:szCs w:val="22"/>
          <w:lang w:val="fr-FR"/>
        </w:rPr>
        <w:t>e</w:t>
      </w:r>
      <w:r w:rsidRPr="00D229BA">
        <w:rPr>
          <w:kern w:val="22"/>
          <w:szCs w:val="22"/>
          <w:lang w:val="fr-FR"/>
        </w:rPr>
        <w:t xml:space="preserve"> aux fins d’examen.</w:t>
      </w:r>
    </w:p>
    <w:p w14:paraId="0705B9EA" w14:textId="43733DE1" w:rsidR="00671884" w:rsidRPr="00D229BA" w:rsidRDefault="005D4B92"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 xml:space="preserve">L’efficacité du processus d’élaboration du </w:t>
      </w:r>
      <w:r w:rsidR="00344D53">
        <w:rPr>
          <w:kern w:val="22"/>
          <w:szCs w:val="22"/>
          <w:lang w:val="fr-FR"/>
        </w:rPr>
        <w:t>cadre mondial de la biodiversité pour l’après-2020</w:t>
      </w:r>
      <w:r w:rsidRPr="00D229BA">
        <w:rPr>
          <w:kern w:val="22"/>
          <w:szCs w:val="22"/>
          <w:lang w:val="fr-FR"/>
        </w:rPr>
        <w:t xml:space="preserve"> dépend de la participation active de toutes les </w:t>
      </w:r>
      <w:r w:rsidR="00D366E9">
        <w:rPr>
          <w:kern w:val="22"/>
          <w:szCs w:val="22"/>
          <w:lang w:val="fr-FR"/>
        </w:rPr>
        <w:t>Parties à la Convention et aux p</w:t>
      </w:r>
      <w:r w:rsidRPr="00D229BA">
        <w:rPr>
          <w:kern w:val="22"/>
          <w:szCs w:val="22"/>
          <w:lang w:val="fr-FR"/>
        </w:rPr>
        <w:t>rotocoles, y compris par la promo</w:t>
      </w:r>
      <w:r w:rsidR="003A3F64" w:rsidRPr="00D229BA">
        <w:rPr>
          <w:kern w:val="22"/>
          <w:szCs w:val="22"/>
          <w:lang w:val="fr-FR"/>
        </w:rPr>
        <w:t>tion de consultations national</w:t>
      </w:r>
      <w:r w:rsidRPr="00D229BA">
        <w:rPr>
          <w:kern w:val="22"/>
          <w:szCs w:val="22"/>
          <w:lang w:val="fr-FR"/>
        </w:rPr>
        <w:t xml:space="preserve">es utiles. Les Parties sont notamment encouragées à faire ce qui suit dans le contexte de l’élaboration du </w:t>
      </w:r>
      <w:r w:rsidR="00344D53">
        <w:rPr>
          <w:kern w:val="22"/>
          <w:szCs w:val="22"/>
          <w:lang w:val="fr-FR"/>
        </w:rPr>
        <w:t>cadre mondial de la biodiversité pour l’après-2020</w:t>
      </w:r>
      <w:r w:rsidRPr="00D229BA">
        <w:rPr>
          <w:kern w:val="22"/>
          <w:szCs w:val="22"/>
          <w:lang w:val="fr-FR"/>
        </w:rPr>
        <w:t> :</w:t>
      </w:r>
    </w:p>
    <w:p w14:paraId="052F2DC1" w14:textId="32A6DDF5" w:rsidR="005D4B92" w:rsidRPr="00D229BA" w:rsidRDefault="005D4B92" w:rsidP="005441AC">
      <w:pPr>
        <w:pStyle w:val="Para1"/>
        <w:numPr>
          <w:ilvl w:val="0"/>
          <w:numId w:val="10"/>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Promouvoir l’engagement actif des correspondants nation</w:t>
      </w:r>
      <w:r w:rsidR="00580911">
        <w:rPr>
          <w:kern w:val="22"/>
          <w:szCs w:val="22"/>
          <w:lang w:val="fr-FR"/>
        </w:rPr>
        <w:t>aux de la Convention et de ses p</w:t>
      </w:r>
      <w:r w:rsidRPr="00D229BA">
        <w:rPr>
          <w:kern w:val="22"/>
          <w:szCs w:val="22"/>
          <w:lang w:val="fr-FR"/>
        </w:rPr>
        <w:t>rotocoles, et encourager la participation active des correspondants nationaux d’</w:t>
      </w:r>
      <w:r w:rsidR="00EA0523" w:rsidRPr="00D229BA">
        <w:rPr>
          <w:kern w:val="22"/>
          <w:szCs w:val="22"/>
          <w:lang w:val="fr-FR"/>
        </w:rPr>
        <w:t>autre</w:t>
      </w:r>
      <w:r w:rsidRPr="00D229BA">
        <w:rPr>
          <w:kern w:val="22"/>
          <w:szCs w:val="22"/>
          <w:lang w:val="fr-FR"/>
        </w:rPr>
        <w:t>s accords et processus internationaux et régionaux apparentés, y compris les conventions liées à la diversité biologique, les corr</w:t>
      </w:r>
      <w:r w:rsidR="00EA0523" w:rsidRPr="00D229BA">
        <w:rPr>
          <w:kern w:val="22"/>
          <w:szCs w:val="22"/>
          <w:lang w:val="fr-FR"/>
        </w:rPr>
        <w:t>e</w:t>
      </w:r>
      <w:r w:rsidRPr="00D229BA">
        <w:rPr>
          <w:kern w:val="22"/>
          <w:szCs w:val="22"/>
          <w:lang w:val="fr-FR"/>
        </w:rPr>
        <w:t>spondants nationaux</w:t>
      </w:r>
      <w:r w:rsidR="00EA0523" w:rsidRPr="00D229BA">
        <w:rPr>
          <w:kern w:val="22"/>
          <w:szCs w:val="22"/>
          <w:lang w:val="fr-FR"/>
        </w:rPr>
        <w:t xml:space="preserve"> des organisations et programmes des Nations Unies tels que l’Organisation des Nations Unies pour l’alimenta</w:t>
      </w:r>
      <w:r w:rsidR="00580911">
        <w:rPr>
          <w:kern w:val="22"/>
          <w:szCs w:val="22"/>
          <w:lang w:val="fr-FR"/>
        </w:rPr>
        <w:t>tion et l’agriculture, et</w:t>
      </w:r>
      <w:r w:rsidR="00EA0523" w:rsidRPr="00D229BA">
        <w:rPr>
          <w:kern w:val="22"/>
          <w:szCs w:val="22"/>
          <w:lang w:val="fr-FR"/>
        </w:rPr>
        <w:t xml:space="preserve"> des représentants d’autres secteurs ;</w:t>
      </w:r>
    </w:p>
    <w:p w14:paraId="572F3A8A" w14:textId="076E73C8" w:rsidR="00EA0523" w:rsidRPr="00D229BA" w:rsidRDefault="00EA0523" w:rsidP="005441AC">
      <w:pPr>
        <w:pStyle w:val="Para1"/>
        <w:numPr>
          <w:ilvl w:val="0"/>
          <w:numId w:val="10"/>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Encourager l’engagement actif des observateurs et parties prenantes ;</w:t>
      </w:r>
    </w:p>
    <w:p w14:paraId="335C62CC" w14:textId="70299B8D" w:rsidR="00EA0523" w:rsidRPr="00D229BA" w:rsidRDefault="003A3F64" w:rsidP="005441AC">
      <w:pPr>
        <w:pStyle w:val="Para1"/>
        <w:numPr>
          <w:ilvl w:val="0"/>
          <w:numId w:val="10"/>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S’efforcer de soutenir l’</w:t>
      </w:r>
      <w:r w:rsidR="00EA0523" w:rsidRPr="00D229BA">
        <w:rPr>
          <w:kern w:val="22"/>
          <w:szCs w:val="22"/>
          <w:lang w:val="fr-FR"/>
        </w:rPr>
        <w:t xml:space="preserve">engagement actif de toutes les parties prenantes nationales et infranationales telles que les </w:t>
      </w:r>
      <w:r w:rsidR="007E2425" w:rsidRPr="00D229BA">
        <w:rPr>
          <w:kern w:val="22"/>
          <w:szCs w:val="22"/>
          <w:lang w:val="fr-FR"/>
        </w:rPr>
        <w:t>autorités</w:t>
      </w:r>
      <w:r w:rsidR="00EA0523" w:rsidRPr="00D229BA">
        <w:rPr>
          <w:kern w:val="22"/>
          <w:szCs w:val="22"/>
          <w:lang w:val="fr-FR"/>
        </w:rPr>
        <w:t xml:space="preserve"> locales, les municipalités, le se</w:t>
      </w:r>
      <w:r w:rsidR="007E2425" w:rsidRPr="00D229BA">
        <w:rPr>
          <w:kern w:val="22"/>
          <w:szCs w:val="22"/>
          <w:lang w:val="fr-FR"/>
        </w:rPr>
        <w:t>c</w:t>
      </w:r>
      <w:r w:rsidR="00EA0523" w:rsidRPr="00D229BA">
        <w:rPr>
          <w:kern w:val="22"/>
          <w:szCs w:val="22"/>
          <w:lang w:val="fr-FR"/>
        </w:rPr>
        <w:t xml:space="preserve">teur privé, </w:t>
      </w:r>
      <w:r w:rsidR="007E2425" w:rsidRPr="00D229BA">
        <w:rPr>
          <w:kern w:val="22"/>
          <w:szCs w:val="22"/>
          <w:lang w:val="fr-FR"/>
        </w:rPr>
        <w:t>le secteur financier, les secteurs productifs tels que l’agriculture, les forêts, la pêche, le tourisme, la santé, les infrastructures, l’énergie et les mines, les secteurs de la fabrication et de la transformation, la société civile, les organismes de femmes, les jeunes, le milieu universitaire, et</w:t>
      </w:r>
      <w:r w:rsidR="00580911">
        <w:rPr>
          <w:kern w:val="22"/>
          <w:szCs w:val="22"/>
          <w:lang w:val="fr-FR"/>
        </w:rPr>
        <w:t xml:space="preserve"> les peuples autochtones et </w:t>
      </w:r>
      <w:r w:rsidR="007E2425" w:rsidRPr="00D229BA">
        <w:rPr>
          <w:kern w:val="22"/>
          <w:szCs w:val="22"/>
          <w:lang w:val="fr-FR"/>
        </w:rPr>
        <w:t>communautés locales.</w:t>
      </w:r>
    </w:p>
    <w:p w14:paraId="3090D924" w14:textId="699E9F4C" w:rsidR="007E2425" w:rsidRPr="00D229BA" w:rsidRDefault="007E2425" w:rsidP="006669F0">
      <w:pPr>
        <w:pStyle w:val="Para1"/>
        <w:suppressLineNumbers/>
        <w:suppressAutoHyphens/>
        <w:kinsoku w:val="0"/>
        <w:overflowPunct w:val="0"/>
        <w:autoSpaceDE w:val="0"/>
        <w:autoSpaceDN w:val="0"/>
        <w:adjustRightInd w:val="0"/>
        <w:snapToGrid w:val="0"/>
        <w:jc w:val="center"/>
        <w:rPr>
          <w:b/>
          <w:kern w:val="22"/>
          <w:szCs w:val="22"/>
          <w:lang w:val="fr-FR"/>
        </w:rPr>
      </w:pPr>
      <w:r w:rsidRPr="00D229BA">
        <w:rPr>
          <w:b/>
          <w:kern w:val="22"/>
          <w:szCs w:val="22"/>
          <w:lang w:val="fr-FR"/>
        </w:rPr>
        <w:t>D.</w:t>
      </w:r>
      <w:r w:rsidRPr="00D229BA">
        <w:rPr>
          <w:b/>
          <w:kern w:val="22"/>
          <w:szCs w:val="22"/>
          <w:lang w:val="fr-FR"/>
        </w:rPr>
        <w:tab/>
        <w:t>Documentation</w:t>
      </w:r>
    </w:p>
    <w:p w14:paraId="2857EECE" w14:textId="20103D5B" w:rsidR="006669F0" w:rsidRPr="00D229BA" w:rsidRDefault="006669F0"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Un premier document de discussion comprenant un résumé et une analyse des points de vue initiaux des Parties et des observateurs sera mis à disposition en janvier 2019. Ce premier document de discussion,</w:t>
      </w:r>
      <w:r w:rsidR="00580911">
        <w:rPr>
          <w:kern w:val="22"/>
          <w:szCs w:val="22"/>
          <w:lang w:val="fr-FR"/>
        </w:rPr>
        <w:t xml:space="preserve"> et les commentaires ultérieurs</w:t>
      </w:r>
      <w:r w:rsidRPr="00D229BA">
        <w:rPr>
          <w:kern w:val="22"/>
          <w:szCs w:val="22"/>
          <w:lang w:val="fr-FR"/>
        </w:rPr>
        <w:t xml:space="preserve"> émis par les Parties, les observateurs et les parties prenantes, seront développés davantage de manière itérative</w:t>
      </w:r>
      <w:r w:rsidR="00A3187E" w:rsidRPr="00D229BA">
        <w:rPr>
          <w:kern w:val="22"/>
          <w:szCs w:val="22"/>
          <w:lang w:val="fr-FR"/>
        </w:rPr>
        <w:t>, en puisant dans les différent</w:t>
      </w:r>
      <w:r w:rsidRPr="00D229BA">
        <w:rPr>
          <w:kern w:val="22"/>
          <w:szCs w:val="22"/>
          <w:lang w:val="fr-FR"/>
        </w:rPr>
        <w:t xml:space="preserve">s </w:t>
      </w:r>
      <w:r w:rsidR="00A3187E" w:rsidRPr="00D229BA">
        <w:rPr>
          <w:kern w:val="22"/>
          <w:szCs w:val="22"/>
          <w:lang w:val="fr-FR"/>
        </w:rPr>
        <w:t>processus de consultation</w:t>
      </w:r>
      <w:r w:rsidRPr="00D229BA">
        <w:rPr>
          <w:kern w:val="22"/>
          <w:szCs w:val="22"/>
          <w:lang w:val="fr-FR"/>
        </w:rPr>
        <w:t xml:space="preserve">, </w:t>
      </w:r>
      <w:r w:rsidR="00A3187E" w:rsidRPr="00D229BA">
        <w:rPr>
          <w:kern w:val="22"/>
          <w:szCs w:val="22"/>
          <w:lang w:val="fr-FR"/>
        </w:rPr>
        <w:t xml:space="preserve">de </w:t>
      </w:r>
      <w:r w:rsidRPr="00D229BA">
        <w:rPr>
          <w:kern w:val="22"/>
          <w:szCs w:val="22"/>
          <w:lang w:val="fr-FR"/>
        </w:rPr>
        <w:t>contri</w:t>
      </w:r>
      <w:r w:rsidR="00A3187E" w:rsidRPr="00D229BA">
        <w:rPr>
          <w:kern w:val="22"/>
          <w:szCs w:val="22"/>
          <w:lang w:val="fr-FR"/>
        </w:rPr>
        <w:t>b</w:t>
      </w:r>
      <w:r w:rsidRPr="00D229BA">
        <w:rPr>
          <w:kern w:val="22"/>
          <w:szCs w:val="22"/>
          <w:lang w:val="fr-FR"/>
        </w:rPr>
        <w:t>ution</w:t>
      </w:r>
      <w:r w:rsidR="00A11A56" w:rsidRPr="00D229BA">
        <w:rPr>
          <w:kern w:val="22"/>
          <w:szCs w:val="22"/>
          <w:lang w:val="fr-FR"/>
        </w:rPr>
        <w:t xml:space="preserve"> et d’examen, et formeront</w:t>
      </w:r>
      <w:r w:rsidR="00A3187E" w:rsidRPr="00D229BA">
        <w:rPr>
          <w:kern w:val="22"/>
          <w:szCs w:val="22"/>
          <w:lang w:val="fr-FR"/>
        </w:rPr>
        <w:t xml:space="preserve"> les base de la documentation à examiner pendant la période intersessions. La documentation fournira une base pour débattre :</w:t>
      </w:r>
    </w:p>
    <w:p w14:paraId="0CD3757D" w14:textId="1973167E" w:rsidR="00A3187E" w:rsidRPr="00D229BA" w:rsidRDefault="00A3187E"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 xml:space="preserve">Du champ d’application, des éléments et de la structure du </w:t>
      </w:r>
      <w:r w:rsidR="00344D53">
        <w:rPr>
          <w:kern w:val="22"/>
          <w:szCs w:val="22"/>
          <w:lang w:val="fr-FR"/>
        </w:rPr>
        <w:t>cadre mondial de la biodiversité pour l’après-2020</w:t>
      </w:r>
      <w:r w:rsidRPr="00D229BA">
        <w:rPr>
          <w:kern w:val="22"/>
          <w:szCs w:val="22"/>
          <w:lang w:val="fr-FR"/>
        </w:rPr>
        <w:t> ;</w:t>
      </w:r>
    </w:p>
    <w:p w14:paraId="2180A2C2" w14:textId="719E2C67" w:rsidR="00A3187E" w:rsidRPr="00D229BA" w:rsidRDefault="00580911"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Pr>
          <w:kern w:val="22"/>
          <w:szCs w:val="22"/>
          <w:lang w:val="fr-FR"/>
        </w:rPr>
        <w:t>De considérations liées à des objectifs</w:t>
      </w:r>
      <w:r w:rsidR="00123D13" w:rsidRPr="00D229BA">
        <w:rPr>
          <w:kern w:val="22"/>
          <w:szCs w:val="22"/>
          <w:lang w:val="fr-FR"/>
        </w:rPr>
        <w:t xml:space="preserve"> ambitieux, réalistes et, si possible, mesurables</w:t>
      </w:r>
      <w:r>
        <w:rPr>
          <w:kern w:val="22"/>
          <w:szCs w:val="22"/>
          <w:lang w:val="fr-FR"/>
        </w:rPr>
        <w:t>, assortis de délais et d</w:t>
      </w:r>
      <w:r w:rsidR="00123D13" w:rsidRPr="00D229BA">
        <w:rPr>
          <w:kern w:val="22"/>
          <w:szCs w:val="22"/>
          <w:lang w:val="fr-FR"/>
        </w:rPr>
        <w:t xml:space="preserve">es indicateurs correspondants, </w:t>
      </w:r>
      <w:r>
        <w:rPr>
          <w:kern w:val="22"/>
          <w:szCs w:val="22"/>
          <w:lang w:val="fr-FR"/>
        </w:rPr>
        <w:t>d</w:t>
      </w:r>
      <w:r w:rsidR="00123D13" w:rsidRPr="00D229BA">
        <w:rPr>
          <w:kern w:val="22"/>
          <w:szCs w:val="22"/>
          <w:lang w:val="fr-FR"/>
        </w:rPr>
        <w:t>es cadres d’établiss</w:t>
      </w:r>
      <w:r>
        <w:rPr>
          <w:kern w:val="22"/>
          <w:szCs w:val="22"/>
          <w:lang w:val="fr-FR"/>
        </w:rPr>
        <w:t>ement des rapports et de suivi et les valeurs de référence</w:t>
      </w:r>
      <w:r w:rsidR="00123D13" w:rsidRPr="00D229BA">
        <w:rPr>
          <w:kern w:val="22"/>
          <w:szCs w:val="22"/>
          <w:lang w:val="fr-FR"/>
        </w:rPr>
        <w:t xml:space="preserve"> à élaborer de manière cohérente ;</w:t>
      </w:r>
    </w:p>
    <w:p w14:paraId="3FCA8855" w14:textId="29E46E97" w:rsidR="00123D13" w:rsidRPr="00D229BA" w:rsidRDefault="00123D13"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Des mécanismes de suivi et d’examen de l’application, notamment par l’utilisation d’</w:t>
      </w:r>
      <w:r w:rsidR="005B7FF6">
        <w:rPr>
          <w:kern w:val="22"/>
          <w:szCs w:val="22"/>
          <w:lang w:val="fr-FR"/>
        </w:rPr>
        <w:t>indicateurs et l’harmonisation de</w:t>
      </w:r>
      <w:r w:rsidRPr="00D229BA">
        <w:rPr>
          <w:kern w:val="22"/>
          <w:szCs w:val="22"/>
          <w:lang w:val="fr-FR"/>
        </w:rPr>
        <w:t xml:space="preserve"> l’établissement de</w:t>
      </w:r>
      <w:r w:rsidR="005B7FF6">
        <w:rPr>
          <w:kern w:val="22"/>
          <w:szCs w:val="22"/>
          <w:lang w:val="fr-FR"/>
        </w:rPr>
        <w:t>s</w:t>
      </w:r>
      <w:r w:rsidRPr="00D229BA">
        <w:rPr>
          <w:kern w:val="22"/>
          <w:szCs w:val="22"/>
          <w:lang w:val="fr-FR"/>
        </w:rPr>
        <w:t xml:space="preserve"> rapports</w:t>
      </w:r>
      <w:r w:rsidR="005B7FF6">
        <w:rPr>
          <w:kern w:val="22"/>
          <w:szCs w:val="22"/>
          <w:lang w:val="fr-FR"/>
        </w:rPr>
        <w:t xml:space="preserve"> nationaux</w:t>
      </w:r>
      <w:r w:rsidRPr="00D229BA">
        <w:rPr>
          <w:kern w:val="22"/>
          <w:szCs w:val="22"/>
          <w:lang w:val="fr-FR"/>
        </w:rPr>
        <w:t xml:space="preserve"> au ti</w:t>
      </w:r>
      <w:r w:rsidR="005B7FF6">
        <w:rPr>
          <w:kern w:val="22"/>
          <w:szCs w:val="22"/>
          <w:lang w:val="fr-FR"/>
        </w:rPr>
        <w:t>tre de la Convention et de ses p</w:t>
      </w:r>
      <w:r w:rsidRPr="00D229BA">
        <w:rPr>
          <w:kern w:val="22"/>
          <w:szCs w:val="22"/>
          <w:lang w:val="fr-FR"/>
        </w:rPr>
        <w:t>rotocoles ;</w:t>
      </w:r>
    </w:p>
    <w:p w14:paraId="3A6DA23F" w14:textId="77777777" w:rsidR="005B7FF6" w:rsidRDefault="00123D13"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 xml:space="preserve">Des moyens de renforcer les modes d’application et les </w:t>
      </w:r>
      <w:r w:rsidR="00CF7765" w:rsidRPr="00D229BA">
        <w:rPr>
          <w:kern w:val="22"/>
          <w:szCs w:val="22"/>
          <w:lang w:val="fr-FR"/>
        </w:rPr>
        <w:t>mécanismes</w:t>
      </w:r>
      <w:r w:rsidRPr="00D229BA">
        <w:rPr>
          <w:kern w:val="22"/>
          <w:szCs w:val="22"/>
          <w:lang w:val="fr-FR"/>
        </w:rPr>
        <w:t xml:space="preserve"> d’</w:t>
      </w:r>
      <w:r w:rsidR="00CF7765" w:rsidRPr="00D229BA">
        <w:rPr>
          <w:kern w:val="22"/>
          <w:szCs w:val="22"/>
          <w:lang w:val="fr-FR"/>
        </w:rPr>
        <w:t>applicati</w:t>
      </w:r>
      <w:r w:rsidRPr="00D229BA">
        <w:rPr>
          <w:kern w:val="22"/>
          <w:szCs w:val="22"/>
          <w:lang w:val="fr-FR"/>
        </w:rPr>
        <w:t>on, notamment le transfert de technologie, le renforcement des capacités</w:t>
      </w:r>
      <w:r w:rsidR="00CF7765" w:rsidRPr="00D229BA">
        <w:rPr>
          <w:kern w:val="22"/>
          <w:szCs w:val="22"/>
          <w:lang w:val="fr-FR"/>
        </w:rPr>
        <w:t xml:space="preserve"> et </w:t>
      </w:r>
      <w:r w:rsidR="005B7FF6">
        <w:rPr>
          <w:kern w:val="22"/>
          <w:szCs w:val="22"/>
          <w:lang w:val="fr-FR"/>
        </w:rPr>
        <w:t>la mobilisation des ressources ;</w:t>
      </w:r>
    </w:p>
    <w:p w14:paraId="419BE355" w14:textId="0F7078D3" w:rsidR="00123D13" w:rsidRPr="00D229BA" w:rsidRDefault="005B7FF6"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Pr>
          <w:kern w:val="22"/>
          <w:szCs w:val="22"/>
          <w:lang w:val="fr-FR"/>
        </w:rPr>
        <w:t>Du rôle et des modalités éventuels des engagements volontaires</w:t>
      </w:r>
      <w:r w:rsidR="00CF7765" w:rsidRPr="00D229BA">
        <w:rPr>
          <w:kern w:val="22"/>
          <w:szCs w:val="22"/>
          <w:lang w:val="fr-FR"/>
        </w:rPr>
        <w:t> ;</w:t>
      </w:r>
    </w:p>
    <w:p w14:paraId="018FD8FF" w14:textId="0BC5943C" w:rsidR="00CF7765" w:rsidRPr="00D229BA" w:rsidRDefault="00CF7765"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Du fondement scientifique de l’</w:t>
      </w:r>
      <w:r w:rsidR="00281B29" w:rsidRPr="00D229BA">
        <w:rPr>
          <w:kern w:val="22"/>
          <w:szCs w:val="22"/>
          <w:lang w:val="fr-FR"/>
        </w:rPr>
        <w:t>env</w:t>
      </w:r>
      <w:r w:rsidRPr="00D229BA">
        <w:rPr>
          <w:kern w:val="22"/>
          <w:szCs w:val="22"/>
          <w:lang w:val="fr-FR"/>
        </w:rPr>
        <w:t xml:space="preserve">ergure et de la portée des mesures nécessaires </w:t>
      </w:r>
      <w:r w:rsidR="00281B29" w:rsidRPr="00D229BA">
        <w:rPr>
          <w:kern w:val="22"/>
          <w:szCs w:val="22"/>
          <w:lang w:val="fr-FR"/>
        </w:rPr>
        <w:t>afin de</w:t>
      </w:r>
      <w:r w:rsidR="005B7FF6">
        <w:rPr>
          <w:kern w:val="22"/>
          <w:szCs w:val="22"/>
          <w:lang w:val="fr-FR"/>
        </w:rPr>
        <w:t xml:space="preserve"> progresser vers la réalisation de la Vision 2050, </w:t>
      </w:r>
      <w:r w:rsidRPr="00D229BA">
        <w:rPr>
          <w:kern w:val="22"/>
          <w:szCs w:val="22"/>
          <w:lang w:val="fr-FR"/>
        </w:rPr>
        <w:t>du Programme de développement durable à</w:t>
      </w:r>
      <w:r w:rsidR="00281B29" w:rsidRPr="00D229BA">
        <w:rPr>
          <w:kern w:val="22"/>
          <w:szCs w:val="22"/>
          <w:lang w:val="fr-FR"/>
        </w:rPr>
        <w:t xml:space="preserve"> </w:t>
      </w:r>
      <w:r w:rsidRPr="00D229BA">
        <w:rPr>
          <w:kern w:val="22"/>
          <w:szCs w:val="22"/>
          <w:lang w:val="fr-FR"/>
        </w:rPr>
        <w:t>l’horizon 2030</w:t>
      </w:r>
      <w:r w:rsidR="005B7FF6">
        <w:rPr>
          <w:kern w:val="22"/>
          <w:szCs w:val="22"/>
          <w:lang w:val="fr-FR"/>
        </w:rPr>
        <w:t xml:space="preserve"> </w:t>
      </w:r>
      <w:r w:rsidR="005B7FF6">
        <w:rPr>
          <w:kern w:val="22"/>
          <w:szCs w:val="22"/>
          <w:lang w:val="fr-FR"/>
        </w:rPr>
        <w:lastRenderedPageBreak/>
        <w:t>et des Objectifs de développement durable, de l’Accord de Paris</w:t>
      </w:r>
      <w:r w:rsidR="005B7FF6" w:rsidRPr="00AE3053">
        <w:rPr>
          <w:rStyle w:val="FootnoteReference"/>
          <w:kern w:val="22"/>
          <w:sz w:val="22"/>
          <w:szCs w:val="22"/>
        </w:rPr>
        <w:footnoteReference w:id="10"/>
      </w:r>
      <w:r w:rsidR="00281B29" w:rsidRPr="00D229BA">
        <w:rPr>
          <w:kern w:val="22"/>
          <w:szCs w:val="22"/>
          <w:lang w:val="fr-FR"/>
        </w:rPr>
        <w:t>et de renverser la tendance à l’appauvrisse</w:t>
      </w:r>
      <w:r w:rsidR="00CE7C3C">
        <w:rPr>
          <w:kern w:val="22"/>
          <w:szCs w:val="22"/>
          <w:lang w:val="fr-FR"/>
        </w:rPr>
        <w:t>ment de la diversité biologique, et du changement transformateur ;</w:t>
      </w:r>
    </w:p>
    <w:p w14:paraId="16D1D952" w14:textId="0D5C3B16" w:rsidR="00281B29" w:rsidRPr="00D229BA" w:rsidRDefault="00CE7C3C"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Pr>
          <w:kern w:val="22"/>
          <w:szCs w:val="22"/>
          <w:lang w:val="fr-FR"/>
        </w:rPr>
        <w:t xml:space="preserve"> </w:t>
      </w:r>
      <w:r w:rsidR="00281B29" w:rsidRPr="00D229BA">
        <w:rPr>
          <w:kern w:val="22"/>
          <w:szCs w:val="22"/>
          <w:lang w:val="fr-FR"/>
        </w:rPr>
        <w:t>Des autres tendances mondiales pouvant avoir des conséquences sur la diversité biologique et les écosyst</w:t>
      </w:r>
      <w:r w:rsidR="003A55C6" w:rsidRPr="00D229BA">
        <w:rPr>
          <w:kern w:val="22"/>
          <w:szCs w:val="22"/>
          <w:lang w:val="fr-FR"/>
        </w:rPr>
        <w:t>èmes au cours de</w:t>
      </w:r>
      <w:r w:rsidR="00281B29" w:rsidRPr="00D229BA">
        <w:rPr>
          <w:kern w:val="22"/>
          <w:szCs w:val="22"/>
          <w:lang w:val="fr-FR"/>
        </w:rPr>
        <w:t>s</w:t>
      </w:r>
      <w:r w:rsidR="003A55C6" w:rsidRPr="00D229BA">
        <w:rPr>
          <w:kern w:val="22"/>
          <w:szCs w:val="22"/>
          <w:lang w:val="fr-FR"/>
        </w:rPr>
        <w:t xml:space="preserve"> </w:t>
      </w:r>
      <w:r w:rsidR="00281B29" w:rsidRPr="00D229BA">
        <w:rPr>
          <w:kern w:val="22"/>
          <w:szCs w:val="22"/>
          <w:lang w:val="fr-FR"/>
        </w:rPr>
        <w:t>prochaines décennies</w:t>
      </w:r>
      <w:r w:rsidR="003A55C6" w:rsidRPr="00D229BA">
        <w:rPr>
          <w:kern w:val="22"/>
          <w:szCs w:val="22"/>
          <w:lang w:val="fr-FR"/>
        </w:rPr>
        <w:t xml:space="preserve"> et les principaux défis pour la diversité biologique, y compris les avancées technologiques, </w:t>
      </w:r>
      <w:r>
        <w:rPr>
          <w:kern w:val="22"/>
          <w:szCs w:val="22"/>
          <w:lang w:val="fr-FR"/>
        </w:rPr>
        <w:t xml:space="preserve">les habitudes de consommation, </w:t>
      </w:r>
      <w:r w:rsidR="003A55C6" w:rsidRPr="00D229BA">
        <w:rPr>
          <w:kern w:val="22"/>
          <w:szCs w:val="22"/>
          <w:lang w:val="fr-FR"/>
        </w:rPr>
        <w:t>les tendances démographiques et migratoires, et autres dé</w:t>
      </w:r>
      <w:r>
        <w:rPr>
          <w:kern w:val="22"/>
          <w:szCs w:val="22"/>
          <w:lang w:val="fr-FR"/>
        </w:rPr>
        <w:t>veloppements socioéconomiques</w:t>
      </w:r>
      <w:r w:rsidR="003A55C6" w:rsidRPr="00D229BA">
        <w:rPr>
          <w:kern w:val="22"/>
          <w:szCs w:val="22"/>
          <w:lang w:val="fr-FR"/>
        </w:rPr>
        <w:t> ;</w:t>
      </w:r>
    </w:p>
    <w:p w14:paraId="2AC2AE04" w14:textId="078EA4A1" w:rsidR="003A55C6" w:rsidRPr="00D229BA" w:rsidRDefault="003A55C6"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Des approches favorisant le changement transformateur et une réalisation plus efficace des résultats positifs pour la diversité biologique après 2020 ;</w:t>
      </w:r>
    </w:p>
    <w:p w14:paraId="036CFF66" w14:textId="0C35FA57" w:rsidR="003A55C6" w:rsidRPr="00D229BA" w:rsidRDefault="003A55C6"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Des approches, implications et occasions d’accroître l’intégration ;</w:t>
      </w:r>
    </w:p>
    <w:p w14:paraId="0572BAB1" w14:textId="0FE54CAB" w:rsidR="003A55C6" w:rsidRPr="00D229BA" w:rsidRDefault="00CE7C3C"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Pr>
          <w:kern w:val="22"/>
          <w:szCs w:val="22"/>
          <w:lang w:val="fr-FR"/>
        </w:rPr>
        <w:t>Des approches pour encourager</w:t>
      </w:r>
      <w:r w:rsidR="003A55C6" w:rsidRPr="00D229BA">
        <w:rPr>
          <w:kern w:val="22"/>
          <w:szCs w:val="22"/>
          <w:lang w:val="fr-FR"/>
        </w:rPr>
        <w:t xml:space="preserve"> l’égalité des sexes ; </w:t>
      </w:r>
    </w:p>
    <w:p w14:paraId="369F459E" w14:textId="78A42ADF" w:rsidR="003A55C6" w:rsidRPr="00D229BA" w:rsidRDefault="003A55C6" w:rsidP="005441AC">
      <w:pPr>
        <w:pStyle w:val="Para1"/>
        <w:numPr>
          <w:ilvl w:val="0"/>
          <w:numId w:val="11"/>
        </w:numPr>
        <w:suppressLineNumbers/>
        <w:suppressAutoHyphens/>
        <w:kinsoku w:val="0"/>
        <w:overflowPunct w:val="0"/>
        <w:autoSpaceDE w:val="0"/>
        <w:autoSpaceDN w:val="0"/>
        <w:adjustRightInd w:val="0"/>
        <w:snapToGrid w:val="0"/>
        <w:ind w:left="0" w:firstLine="720"/>
        <w:rPr>
          <w:kern w:val="22"/>
          <w:szCs w:val="22"/>
          <w:lang w:val="fr-FR"/>
        </w:rPr>
      </w:pPr>
      <w:r w:rsidRPr="00D229BA">
        <w:rPr>
          <w:kern w:val="22"/>
          <w:szCs w:val="22"/>
          <w:lang w:val="fr-FR"/>
        </w:rPr>
        <w:t>Des moyens d’améliorer la cohérence et la coopération entre les conventions liées à la diversité biologique, y compris les moyens d’améliorer les synergies</w:t>
      </w:r>
      <w:r w:rsidR="00A81F67" w:rsidRPr="00D229BA">
        <w:rPr>
          <w:kern w:val="22"/>
          <w:szCs w:val="22"/>
          <w:lang w:val="fr-FR"/>
        </w:rPr>
        <w:t xml:space="preserve"> dans l’établissement des rapports nationaux entre les conventions liées à la diversité biologique, les conventions de Rio et les objectifs de développement durable.</w:t>
      </w:r>
    </w:p>
    <w:p w14:paraId="4D0DAFD6" w14:textId="34E5892B" w:rsidR="00A81F67" w:rsidRPr="00D229BA" w:rsidRDefault="00A81F67" w:rsidP="00A81F67">
      <w:pPr>
        <w:pStyle w:val="Para1"/>
        <w:suppressLineNumbers/>
        <w:suppressAutoHyphens/>
        <w:kinsoku w:val="0"/>
        <w:overflowPunct w:val="0"/>
        <w:autoSpaceDE w:val="0"/>
        <w:autoSpaceDN w:val="0"/>
        <w:adjustRightInd w:val="0"/>
        <w:snapToGrid w:val="0"/>
        <w:jc w:val="center"/>
        <w:rPr>
          <w:b/>
          <w:kern w:val="22"/>
          <w:szCs w:val="22"/>
          <w:lang w:val="fr-FR"/>
        </w:rPr>
      </w:pPr>
      <w:r w:rsidRPr="00D229BA">
        <w:rPr>
          <w:b/>
          <w:kern w:val="22"/>
          <w:szCs w:val="22"/>
          <w:lang w:val="fr-FR"/>
        </w:rPr>
        <w:t>E.</w:t>
      </w:r>
      <w:r w:rsidRPr="00D229BA">
        <w:rPr>
          <w:b/>
          <w:kern w:val="22"/>
          <w:szCs w:val="22"/>
          <w:lang w:val="fr-FR"/>
        </w:rPr>
        <w:tab/>
        <w:t>Principales sources d’information</w:t>
      </w:r>
    </w:p>
    <w:p w14:paraId="7D46EAEC" w14:textId="0635E2A9" w:rsidR="00421ED5" w:rsidRPr="00D229BA" w:rsidRDefault="00421ED5"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 xml:space="preserve">Les principales sources d’information qui seront utilisées pour élaborer les documents relatifs au processus préparatoire du </w:t>
      </w:r>
      <w:r w:rsidR="00344D53">
        <w:rPr>
          <w:kern w:val="22"/>
          <w:szCs w:val="22"/>
          <w:lang w:val="fr-FR"/>
        </w:rPr>
        <w:t>cadre mondial de la biodiversité pour l’après-2020</w:t>
      </w:r>
      <w:r w:rsidRPr="00D229BA">
        <w:rPr>
          <w:kern w:val="22"/>
          <w:szCs w:val="22"/>
          <w:lang w:val="fr-FR"/>
        </w:rPr>
        <w:t xml:space="preserve"> et pour éclairer les activités sont les suivantes :</w:t>
      </w:r>
    </w:p>
    <w:p w14:paraId="24AF6B07" w14:textId="77D98E42" w:rsidR="00421ED5" w:rsidRPr="00D229BA" w:rsidRDefault="00421ED5" w:rsidP="005441AC">
      <w:pPr>
        <w:pStyle w:val="Para1"/>
        <w:numPr>
          <w:ilvl w:val="1"/>
          <w:numId w:val="6"/>
        </w:numPr>
        <w:kinsoku w:val="0"/>
        <w:overflowPunct w:val="0"/>
        <w:autoSpaceDE w:val="0"/>
        <w:autoSpaceDN w:val="0"/>
        <w:ind w:left="0" w:firstLine="720"/>
        <w:rPr>
          <w:kern w:val="22"/>
          <w:szCs w:val="22"/>
          <w:lang w:val="fr-FR" w:eastAsia="en-CA"/>
        </w:rPr>
      </w:pPr>
      <w:r w:rsidRPr="00D229BA">
        <w:rPr>
          <w:kern w:val="22"/>
          <w:szCs w:val="22"/>
          <w:lang w:val="fr-FR"/>
        </w:rPr>
        <w:t>Les contributions et les communications d</w:t>
      </w:r>
      <w:r w:rsidR="00CE7C3C">
        <w:rPr>
          <w:kern w:val="22"/>
          <w:szCs w:val="22"/>
          <w:lang w:val="fr-FR"/>
        </w:rPr>
        <w:t>es Parties et des observateurs de la Convention et des</w:t>
      </w:r>
      <w:r w:rsidRPr="00D229BA">
        <w:rPr>
          <w:kern w:val="22"/>
          <w:szCs w:val="22"/>
          <w:lang w:val="fr-FR"/>
        </w:rPr>
        <w:t xml:space="preserve"> protocoles, et des parties prenantes concernées ;</w:t>
      </w:r>
    </w:p>
    <w:p w14:paraId="78A9B8CA" w14:textId="77777777"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Les rapports nationaux présentés à la Convention et à ses protocoles ;</w:t>
      </w:r>
    </w:p>
    <w:p w14:paraId="22232801" w14:textId="77777777"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Les stratégies et plans d’action nationaux pour la diversité biologique (SPANB) ;</w:t>
      </w:r>
    </w:p>
    <w:p w14:paraId="39C26357" w14:textId="125F4D3B"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Les conclusions de l’évaluation et examen de l’efficacité du Protocole de Nagoya qui ser</w:t>
      </w:r>
      <w:r w:rsidR="00FA0CD8" w:rsidRPr="00D229BA">
        <w:rPr>
          <w:kern w:val="22"/>
          <w:szCs w:val="22"/>
          <w:lang w:val="fr-FR"/>
        </w:rPr>
        <w:t>ont</w:t>
      </w:r>
      <w:r w:rsidRPr="00D229BA">
        <w:rPr>
          <w:kern w:val="22"/>
          <w:szCs w:val="22"/>
          <w:lang w:val="fr-FR"/>
        </w:rPr>
        <w:t xml:space="preserve"> mené</w:t>
      </w:r>
      <w:r w:rsidR="001F5937" w:rsidRPr="00D229BA">
        <w:rPr>
          <w:kern w:val="22"/>
          <w:szCs w:val="22"/>
          <w:lang w:val="fr-FR"/>
        </w:rPr>
        <w:t>s</w:t>
      </w:r>
      <w:r w:rsidRPr="00D229BA">
        <w:rPr>
          <w:kern w:val="22"/>
          <w:szCs w:val="22"/>
          <w:lang w:val="fr-FR"/>
        </w:rPr>
        <w:t xml:space="preserve"> par la troisième réunion de la Conférence des Parties siégeant en tant que réunion des Parties au Protocole de Nagoya</w:t>
      </w:r>
      <w:r w:rsidR="00097EBB" w:rsidRPr="00AE3053">
        <w:rPr>
          <w:rStyle w:val="FootnoteReference"/>
          <w:kern w:val="22"/>
          <w:sz w:val="22"/>
          <w:szCs w:val="22"/>
          <w:lang w:eastAsia="en-CA"/>
        </w:rPr>
        <w:footnoteReference w:id="11"/>
      </w:r>
      <w:r w:rsidRPr="00D229BA">
        <w:rPr>
          <w:kern w:val="22"/>
          <w:szCs w:val="22"/>
          <w:lang w:val="fr-FR"/>
        </w:rPr>
        <w:t> ;</w:t>
      </w:r>
    </w:p>
    <w:p w14:paraId="7169C430" w14:textId="6F31A798" w:rsidR="00421ED5" w:rsidRPr="00097EBB"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097EBB">
        <w:rPr>
          <w:kern w:val="22"/>
          <w:szCs w:val="22"/>
          <w:lang w:val="fr-FR"/>
        </w:rPr>
        <w:t xml:space="preserve">Les conclusions de la </w:t>
      </w:r>
      <w:r w:rsidR="00F5595C" w:rsidRPr="00097EBB">
        <w:rPr>
          <w:kern w:val="22"/>
          <w:szCs w:val="22"/>
          <w:lang w:val="fr-FR"/>
        </w:rPr>
        <w:t>troisième</w:t>
      </w:r>
      <w:r w:rsidRPr="00097EBB">
        <w:rPr>
          <w:kern w:val="22"/>
          <w:szCs w:val="22"/>
          <w:lang w:val="fr-FR"/>
        </w:rPr>
        <w:t xml:space="preserve"> évaluation et examen de l’efficacité du Protocole de </w:t>
      </w:r>
      <w:r w:rsidR="00CE7C3C" w:rsidRPr="00097EBB">
        <w:rPr>
          <w:kern w:val="22"/>
          <w:szCs w:val="22"/>
          <w:lang w:val="fr-FR"/>
        </w:rPr>
        <w:t>Cartagena et l’évaluation à mi-parcours</w:t>
      </w:r>
      <w:r w:rsidRPr="00097EBB">
        <w:rPr>
          <w:kern w:val="22"/>
          <w:szCs w:val="22"/>
          <w:lang w:val="fr-FR"/>
        </w:rPr>
        <w:t xml:space="preserve"> de </w:t>
      </w:r>
      <w:r w:rsidR="00CE7C3C" w:rsidRPr="00097EBB">
        <w:rPr>
          <w:kern w:val="22"/>
          <w:szCs w:val="22"/>
          <w:lang w:val="fr-FR"/>
        </w:rPr>
        <w:t xml:space="preserve">son plan stratégique </w:t>
      </w:r>
      <w:r w:rsidRPr="00097EBB">
        <w:rPr>
          <w:kern w:val="22"/>
          <w:szCs w:val="22"/>
          <w:lang w:val="fr-FR"/>
        </w:rPr>
        <w:t>menés</w:t>
      </w:r>
      <w:r w:rsidR="00CE7C3C" w:rsidRPr="00097EBB">
        <w:rPr>
          <w:kern w:val="22"/>
          <w:szCs w:val="22"/>
          <w:lang w:val="fr-FR"/>
        </w:rPr>
        <w:t xml:space="preserve"> en préparation de</w:t>
      </w:r>
      <w:r w:rsidRPr="00097EBB">
        <w:rPr>
          <w:kern w:val="22"/>
          <w:szCs w:val="22"/>
          <w:lang w:val="fr-FR"/>
        </w:rPr>
        <w:t xml:space="preserve"> la </w:t>
      </w:r>
      <w:r w:rsidR="00F5595C" w:rsidRPr="00097EBB">
        <w:rPr>
          <w:kern w:val="22"/>
          <w:szCs w:val="22"/>
          <w:lang w:val="fr-FR"/>
        </w:rPr>
        <w:t>neuvième</w:t>
      </w:r>
      <w:r w:rsidRPr="00097EBB">
        <w:rPr>
          <w:kern w:val="22"/>
          <w:szCs w:val="22"/>
          <w:lang w:val="fr-FR"/>
        </w:rPr>
        <w:t xml:space="preserve"> réunion de la Conférence des Parties siégeant en tant que réunion des Parties au Protocole de Cartagena</w:t>
      </w:r>
      <w:r w:rsidR="00097EBB" w:rsidRPr="00097EBB">
        <w:rPr>
          <w:rStyle w:val="FootnoteReference"/>
          <w:kern w:val="22"/>
          <w:sz w:val="22"/>
          <w:szCs w:val="22"/>
          <w:lang w:val="fr-FR" w:eastAsia="en-CA"/>
        </w:rPr>
        <w:footnoteReference w:id="12"/>
      </w:r>
      <w:r w:rsidRPr="00097EBB">
        <w:rPr>
          <w:kern w:val="22"/>
          <w:szCs w:val="22"/>
          <w:lang w:val="fr-FR"/>
        </w:rPr>
        <w:t> ;</w:t>
      </w:r>
    </w:p>
    <w:p w14:paraId="54ED7A8E" w14:textId="303032D6" w:rsidR="00F5595C" w:rsidRPr="00D229BA" w:rsidRDefault="00F5595C"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 xml:space="preserve">Les résultats des travaux </w:t>
      </w:r>
      <w:r w:rsidR="00AF16F0" w:rsidRPr="00D229BA">
        <w:rPr>
          <w:kern w:val="22"/>
          <w:szCs w:val="22"/>
          <w:lang w:val="fr-FR"/>
        </w:rPr>
        <w:t xml:space="preserve">sur la mobilisation des ressources, comme précisé dans la décision </w:t>
      </w:r>
      <w:r w:rsidR="00BB48AE" w:rsidRPr="00D229BA">
        <w:rPr>
          <w:kern w:val="22"/>
          <w:szCs w:val="22"/>
          <w:lang w:val="fr-FR"/>
        </w:rPr>
        <w:t>14</w:t>
      </w:r>
      <w:r w:rsidR="00097EBB">
        <w:rPr>
          <w:kern w:val="22"/>
          <w:szCs w:val="22"/>
          <w:lang w:val="fr-FR"/>
        </w:rPr>
        <w:t>/22 ;</w:t>
      </w:r>
    </w:p>
    <w:p w14:paraId="01985F80" w14:textId="75AC487B"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 xml:space="preserve">La cinquième édition des </w:t>
      </w:r>
      <w:r w:rsidRPr="00D229BA">
        <w:rPr>
          <w:i/>
          <w:kern w:val="22"/>
          <w:szCs w:val="22"/>
          <w:lang w:val="fr-FR"/>
        </w:rPr>
        <w:t>Perspectives mondiales de la diversité biologique</w:t>
      </w:r>
      <w:r w:rsidR="00AF16F0" w:rsidRPr="00D229BA">
        <w:rPr>
          <w:i/>
          <w:kern w:val="22"/>
          <w:szCs w:val="22"/>
          <w:lang w:val="fr-FR"/>
        </w:rPr>
        <w:t xml:space="preserve">, </w:t>
      </w:r>
      <w:r w:rsidR="00AF16F0" w:rsidRPr="00D229BA">
        <w:rPr>
          <w:kern w:val="22"/>
          <w:szCs w:val="22"/>
          <w:lang w:val="fr-FR"/>
        </w:rPr>
        <w:t xml:space="preserve">la deuxième édition des </w:t>
      </w:r>
      <w:r w:rsidR="00AF16F0" w:rsidRPr="00D229BA">
        <w:rPr>
          <w:i/>
          <w:kern w:val="22"/>
          <w:szCs w:val="22"/>
          <w:lang w:val="fr-FR"/>
        </w:rPr>
        <w:t>Perspectives locales de la diversité biologique</w:t>
      </w:r>
      <w:r w:rsidR="00AF16F0" w:rsidRPr="00D229BA">
        <w:rPr>
          <w:kern w:val="22"/>
          <w:szCs w:val="22"/>
          <w:lang w:val="fr-FR"/>
        </w:rPr>
        <w:t xml:space="preserve">, </w:t>
      </w:r>
      <w:r w:rsidR="00762AB3" w:rsidRPr="00D229BA">
        <w:rPr>
          <w:kern w:val="22"/>
          <w:szCs w:val="22"/>
          <w:lang w:val="fr-FR"/>
        </w:rPr>
        <w:t xml:space="preserve">les rapports sur la mise en œuvre de la Stratégie mondiale pour la conservation des plantes </w:t>
      </w:r>
      <w:r w:rsidRPr="00D229BA">
        <w:rPr>
          <w:kern w:val="22"/>
          <w:szCs w:val="22"/>
          <w:lang w:val="fr-FR"/>
        </w:rPr>
        <w:t>et les rapports connexes ;</w:t>
      </w:r>
    </w:p>
    <w:p w14:paraId="4AEC912A" w14:textId="3C01EED8" w:rsidR="00AF16F0" w:rsidRPr="00D229BA" w:rsidRDefault="00AF16F0"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L’examen de la mise en œuvre du plan d’action sur l’égalité des sexes 2015-2020 ;</w:t>
      </w:r>
    </w:p>
    <w:p w14:paraId="4D9460EE" w14:textId="4CD660F5"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Les évaluations mondiale et régionales de la biodiversité et des services écosystémiques et les évaluations thématiques achevées de la Plateforme intergouvernementale scientifique et politique sur la biodiversité et les services écosystémiques (IPBES)</w:t>
      </w:r>
      <w:r w:rsidR="00AF16F0" w:rsidRPr="00D229BA">
        <w:rPr>
          <w:kern w:val="22"/>
          <w:szCs w:val="22"/>
          <w:lang w:val="fr-FR"/>
        </w:rPr>
        <w:t xml:space="preserve"> et autres produits de la Plateforme ;</w:t>
      </w:r>
    </w:p>
    <w:p w14:paraId="5057637A" w14:textId="1E1408EF"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lastRenderedPageBreak/>
        <w:t xml:space="preserve">Des évaluations d’autres processus, tels que le </w:t>
      </w:r>
      <w:r w:rsidR="008B5D6B" w:rsidRPr="00D229BA">
        <w:rPr>
          <w:kern w:val="22"/>
          <w:szCs w:val="22"/>
          <w:lang w:val="fr-FR"/>
        </w:rPr>
        <w:t>Groupe d’experts intergouvernemental sur l’évolution du climat (GIEC), le sixième rapport sur l’</w:t>
      </w:r>
      <w:r w:rsidR="00A206C9" w:rsidRPr="00D229BA">
        <w:rPr>
          <w:i/>
          <w:kern w:val="22"/>
          <w:szCs w:val="22"/>
          <w:lang w:val="fr-FR"/>
        </w:rPr>
        <w:t>A</w:t>
      </w:r>
      <w:r w:rsidR="008B5D6B" w:rsidRPr="00D229BA">
        <w:rPr>
          <w:i/>
          <w:kern w:val="22"/>
          <w:szCs w:val="22"/>
          <w:lang w:val="fr-FR"/>
        </w:rPr>
        <w:t>venir de l’environnement mondial</w:t>
      </w:r>
      <w:r w:rsidRPr="00D229BA">
        <w:rPr>
          <w:kern w:val="22"/>
          <w:szCs w:val="22"/>
          <w:lang w:val="fr-FR"/>
        </w:rPr>
        <w:t xml:space="preserve"> et les évaluations nationales et infrarégionales pertinentes ;</w:t>
      </w:r>
    </w:p>
    <w:p w14:paraId="43901C88" w14:textId="77777777"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Des informations des autres conventions relatives à la biodiversité, des conventions de Rio et d’autres organisations compétentes, y compris les rapports nationaux présentés à d’autres accords multilatéraux sur l’environnement, et les stratégies pertinentes adoptées par les autres conventions relatives à la biodiversité ;</w:t>
      </w:r>
    </w:p>
    <w:p w14:paraId="0AA365C0" w14:textId="77777777"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 xml:space="preserve">Les examens nationaux volontaires présentés au Forum politique de haut niveau sur le développement durable et le Rapport mondial sur le développement durable 2019 </w:t>
      </w:r>
      <w:r w:rsidRPr="00D229BA">
        <w:rPr>
          <w:rStyle w:val="FootnoteReference"/>
          <w:rFonts w:eastAsiaTheme="majorEastAsia"/>
          <w:kern w:val="22"/>
          <w:sz w:val="22"/>
          <w:szCs w:val="22"/>
          <w:lang w:val="fr-FR"/>
        </w:rPr>
        <w:footnoteReference w:id="13"/>
      </w:r>
      <w:r w:rsidRPr="00D229BA">
        <w:rPr>
          <w:kern w:val="22"/>
          <w:szCs w:val="22"/>
          <w:lang w:val="fr-FR"/>
        </w:rPr>
        <w:t> ;</w:t>
      </w:r>
    </w:p>
    <w:p w14:paraId="39833025" w14:textId="77777777"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Les informations fournies par le Partenariat relatif aux indicateurs de biodiversité ;</w:t>
      </w:r>
    </w:p>
    <w:p w14:paraId="78DADA86" w14:textId="1B76DE72"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Des documents soumis à un examen critique par les pairs et autres rapports pertinents, y compris les rapports sur l’évolution des systèmes, la gestion de la transition et le changement transformateur, ainsi que des informations d’autres systèmes de connaissances ;</w:t>
      </w:r>
    </w:p>
    <w:p w14:paraId="153A3A5F" w14:textId="7A66B158" w:rsidR="007F606E" w:rsidRPr="00D229BA" w:rsidRDefault="007F606E"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 xml:space="preserve">Les résultats </w:t>
      </w:r>
      <w:r w:rsidR="00097EBB">
        <w:rPr>
          <w:kern w:val="22"/>
          <w:szCs w:val="22"/>
          <w:lang w:val="fr-FR"/>
        </w:rPr>
        <w:t>et produits des forums et des manifestations</w:t>
      </w:r>
      <w:r w:rsidRPr="00D229BA">
        <w:rPr>
          <w:kern w:val="22"/>
          <w:szCs w:val="22"/>
          <w:lang w:val="fr-FR"/>
        </w:rPr>
        <w:t xml:space="preserve"> à la </w:t>
      </w:r>
      <w:r w:rsidR="002B0A37" w:rsidRPr="00D229BA">
        <w:rPr>
          <w:kern w:val="22"/>
          <w:szCs w:val="22"/>
          <w:lang w:val="fr-FR"/>
        </w:rPr>
        <w:t>quatorzième réunion de la Conférence des Parties à la Convention, la neuvième réunion des Parties siégeant en tant que réunion des Parties au Protocole de Cartagena et la troisième réunion des Parties siégeant en tant que Conférence des Parties au Protocole de Nagoya</w:t>
      </w:r>
      <w:r w:rsidR="00097EBB">
        <w:rPr>
          <w:kern w:val="22"/>
          <w:szCs w:val="22"/>
          <w:lang w:val="fr-FR"/>
        </w:rPr>
        <w:t>, dont la Conférence des ministres africains sur la diversité biologique</w:t>
      </w:r>
      <w:r w:rsidR="00D80913" w:rsidRPr="00AE3053">
        <w:rPr>
          <w:rStyle w:val="FootnoteReference"/>
          <w:kern w:val="22"/>
          <w:sz w:val="22"/>
          <w:szCs w:val="22"/>
          <w:lang w:eastAsia="en-CA"/>
        </w:rPr>
        <w:footnoteReference w:id="14"/>
      </w:r>
      <w:r w:rsidR="00D80913">
        <w:rPr>
          <w:kern w:val="22"/>
          <w:szCs w:val="22"/>
          <w:lang w:val="fr-FR"/>
        </w:rPr>
        <w:t>,</w:t>
      </w:r>
      <w:r w:rsidR="00097EBB">
        <w:rPr>
          <w:kern w:val="22"/>
          <w:szCs w:val="22"/>
          <w:lang w:val="fr-FR"/>
        </w:rPr>
        <w:t xml:space="preserve"> le F</w:t>
      </w:r>
      <w:r w:rsidRPr="00D229BA">
        <w:rPr>
          <w:kern w:val="22"/>
          <w:szCs w:val="22"/>
          <w:lang w:val="fr-FR"/>
        </w:rPr>
        <w:t>orum de la science</w:t>
      </w:r>
      <w:r w:rsidR="002B0A37" w:rsidRPr="00D80913">
        <w:rPr>
          <w:rStyle w:val="FootnoteReference"/>
          <w:kern w:val="22"/>
          <w:sz w:val="22"/>
          <w:szCs w:val="22"/>
          <w:lang w:val="fr-FR" w:eastAsia="en-CA"/>
        </w:rPr>
        <w:footnoteReference w:id="15"/>
      </w:r>
      <w:r w:rsidR="001F5937" w:rsidRPr="00D229BA">
        <w:rPr>
          <w:kern w:val="22"/>
          <w:szCs w:val="22"/>
          <w:lang w:val="fr-FR"/>
        </w:rPr>
        <w:t>,</w:t>
      </w:r>
      <w:r w:rsidR="00D80913">
        <w:rPr>
          <w:kern w:val="22"/>
          <w:szCs w:val="22"/>
          <w:lang w:val="fr-FR"/>
        </w:rPr>
        <w:t xml:space="preserve"> le forum</w:t>
      </w:r>
      <w:r w:rsidRPr="00D229BA">
        <w:rPr>
          <w:kern w:val="22"/>
          <w:szCs w:val="22"/>
          <w:lang w:val="fr-FR"/>
        </w:rPr>
        <w:t xml:space="preserve"> des affaires et de la biodiversité</w:t>
      </w:r>
      <w:r w:rsidR="002B0A37" w:rsidRPr="00D80913">
        <w:rPr>
          <w:rStyle w:val="FootnoteReference"/>
          <w:kern w:val="22"/>
          <w:sz w:val="22"/>
          <w:szCs w:val="22"/>
          <w:lang w:val="fr-FR" w:eastAsia="en-CA"/>
        </w:rPr>
        <w:footnoteReference w:id="16"/>
      </w:r>
      <w:r w:rsidR="00D80913">
        <w:rPr>
          <w:kern w:val="22"/>
          <w:szCs w:val="22"/>
          <w:lang w:val="fr-FR"/>
        </w:rPr>
        <w:t xml:space="preserve">, </w:t>
      </w:r>
      <w:r w:rsidRPr="00D229BA">
        <w:rPr>
          <w:kern w:val="22"/>
          <w:szCs w:val="22"/>
          <w:lang w:val="fr-FR"/>
        </w:rPr>
        <w:t>le Sommet sur la nature et la culture</w:t>
      </w:r>
      <w:r w:rsidR="002B0A37" w:rsidRPr="00D229BA">
        <w:rPr>
          <w:rStyle w:val="FootnoteReference"/>
          <w:kern w:val="22"/>
          <w:szCs w:val="22"/>
          <w:lang w:val="fr-FR" w:eastAsia="en-CA"/>
        </w:rPr>
        <w:footnoteReference w:id="17"/>
      </w:r>
      <w:r w:rsidR="00D80913">
        <w:rPr>
          <w:kern w:val="22"/>
          <w:szCs w:val="22"/>
          <w:lang w:val="fr-FR"/>
        </w:rPr>
        <w:t xml:space="preserve"> et le sixième Sommet mondial de la biodiversité des gouvernements locaux et infranationaux</w:t>
      </w:r>
      <w:r w:rsidR="00D80913" w:rsidRPr="00AE3053">
        <w:rPr>
          <w:rStyle w:val="FootnoteReference"/>
          <w:kern w:val="22"/>
          <w:sz w:val="22"/>
          <w:szCs w:val="22"/>
          <w:lang w:eastAsia="en-CA"/>
        </w:rPr>
        <w:footnoteReference w:id="18"/>
      </w:r>
      <w:r w:rsidRPr="00D229BA">
        <w:rPr>
          <w:kern w:val="22"/>
          <w:szCs w:val="22"/>
          <w:lang w:val="fr-FR"/>
        </w:rPr>
        <w:t> ;</w:t>
      </w:r>
    </w:p>
    <w:p w14:paraId="7EFE33C6" w14:textId="514B75BC"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D’autres sources d’informations pertinentes en ce qui concerne les liens plus larges entre la diversité biologique et les autres processus sociétaux et économiques, notamment la transformation des secteurs économiques et financiers afin de réaliser le développement durable dans les limites écologiques de la planète (sécurité alimentaire, santé, villes et développement urbain, innovation commerciale, technologie, consommation et production durables, eau et utilisation efficace des ressources, etc.) ;</w:t>
      </w:r>
    </w:p>
    <w:p w14:paraId="6D1C03EF" w14:textId="6B48A7C4" w:rsidR="00FF2A1A" w:rsidRPr="00D229BA" w:rsidRDefault="00FF2A1A" w:rsidP="005441AC">
      <w:pPr>
        <w:pStyle w:val="Para1"/>
        <w:numPr>
          <w:ilvl w:val="1"/>
          <w:numId w:val="6"/>
        </w:numPr>
        <w:kinsoku w:val="0"/>
        <w:overflowPunct w:val="0"/>
        <w:autoSpaceDE w:val="0"/>
        <w:autoSpaceDN w:val="0"/>
        <w:ind w:left="0" w:firstLine="709"/>
        <w:rPr>
          <w:kern w:val="22"/>
          <w:szCs w:val="22"/>
          <w:lang w:val="fr-FR" w:eastAsia="en-CA"/>
        </w:rPr>
      </w:pPr>
      <w:r w:rsidRPr="00D229BA">
        <w:rPr>
          <w:kern w:val="22"/>
          <w:szCs w:val="22"/>
          <w:lang w:val="fr-FR"/>
        </w:rPr>
        <w:t>Les rapports sur l’État du monde et autres rapports d’évaluation préparés par l’Organisation des Nations Unies pour l’alimentation et l’agriculture ;</w:t>
      </w:r>
    </w:p>
    <w:p w14:paraId="79151EC0" w14:textId="5EEC95FF" w:rsidR="00421ED5" w:rsidRPr="00D229BA" w:rsidRDefault="00421ED5" w:rsidP="005441AC">
      <w:pPr>
        <w:pStyle w:val="Para1"/>
        <w:numPr>
          <w:ilvl w:val="1"/>
          <w:numId w:val="6"/>
        </w:numPr>
        <w:kinsoku w:val="0"/>
        <w:overflowPunct w:val="0"/>
        <w:autoSpaceDE w:val="0"/>
        <w:autoSpaceDN w:val="0"/>
        <w:ind w:left="0" w:firstLine="709"/>
        <w:rPr>
          <w:kern w:val="22"/>
          <w:szCs w:val="22"/>
          <w:lang w:val="fr-FR" w:eastAsia="en-CA"/>
        </w:rPr>
      </w:pPr>
      <w:r w:rsidRPr="00D229BA">
        <w:rPr>
          <w:lang w:val="fr-FR"/>
        </w:rPr>
        <w:t>Des travaux d’analyse effectués conform</w:t>
      </w:r>
      <w:r w:rsidR="000A3751">
        <w:rPr>
          <w:lang w:val="fr-FR"/>
        </w:rPr>
        <w:t xml:space="preserve">ément aux recommandations XXI/1 </w:t>
      </w:r>
      <w:r w:rsidR="000A3751">
        <w:rPr>
          <w:kern w:val="22"/>
          <w:szCs w:val="22"/>
          <w:lang w:val="fr-FR" w:eastAsia="en-CA"/>
        </w:rPr>
        <w:t>et XXI/5</w:t>
      </w:r>
      <w:r w:rsidRPr="00D229BA">
        <w:rPr>
          <w:kern w:val="22"/>
          <w:szCs w:val="22"/>
          <w:lang w:val="fr-FR" w:eastAsia="en-CA"/>
        </w:rPr>
        <w:t xml:space="preserve"> </w:t>
      </w:r>
      <w:r w:rsidRPr="00D229BA">
        <w:rPr>
          <w:lang w:val="fr-FR"/>
        </w:rPr>
        <w:t>de l’Organe subsidiaire chargé de fournir des avis scientifiques, techniques et technologique</w:t>
      </w:r>
      <w:r w:rsidR="00E2357C" w:rsidRPr="00D229BA">
        <w:rPr>
          <w:lang w:val="fr-FR"/>
        </w:rPr>
        <w:t>, et la décision COP/</w:t>
      </w:r>
      <w:r w:rsidR="00A675B1" w:rsidRPr="00D229BA">
        <w:rPr>
          <w:lang w:val="fr-FR"/>
        </w:rPr>
        <w:t>14</w:t>
      </w:r>
      <w:r w:rsidR="000A3751">
        <w:rPr>
          <w:lang w:val="fr-FR"/>
        </w:rPr>
        <w:t>/35 de la Conférence des Parties</w:t>
      </w:r>
      <w:r w:rsidRPr="00D229BA">
        <w:rPr>
          <w:lang w:val="fr-FR"/>
        </w:rPr>
        <w:t>. Ces travaux d’analyse comprennent :</w:t>
      </w:r>
    </w:p>
    <w:p w14:paraId="3A499447" w14:textId="105F8585" w:rsidR="00421ED5" w:rsidRPr="00D229BA" w:rsidRDefault="00421ED5" w:rsidP="005441AC">
      <w:pPr>
        <w:pStyle w:val="Para1"/>
        <w:numPr>
          <w:ilvl w:val="0"/>
          <w:numId w:val="8"/>
        </w:numPr>
        <w:suppressLineNumbers/>
        <w:suppressAutoHyphens/>
        <w:kinsoku w:val="0"/>
        <w:overflowPunct w:val="0"/>
        <w:autoSpaceDE w:val="0"/>
        <w:autoSpaceDN w:val="0"/>
        <w:ind w:left="1418" w:hanging="284"/>
        <w:rPr>
          <w:kern w:val="22"/>
          <w:szCs w:val="22"/>
          <w:lang w:val="fr-FR" w:eastAsia="en-CA"/>
        </w:rPr>
      </w:pPr>
      <w:r w:rsidRPr="00D229BA">
        <w:rPr>
          <w:kern w:val="22"/>
          <w:szCs w:val="22"/>
          <w:lang w:val="fr-FR" w:eastAsia="en-CA"/>
        </w:rPr>
        <w:tab/>
        <w:t>Les liens entre la biodiversité et les Objectifs de développement durable et le rôle du Programme de développement durable à l'horizon 2030</w:t>
      </w:r>
      <w:r w:rsidR="009E7EC3" w:rsidRPr="00D229BA">
        <w:rPr>
          <w:kern w:val="22"/>
          <w:szCs w:val="22"/>
          <w:lang w:val="fr-FR" w:eastAsia="en-CA"/>
        </w:rPr>
        <w:t xml:space="preserve"> </w:t>
      </w:r>
      <w:r w:rsidRPr="00D229BA">
        <w:rPr>
          <w:kern w:val="22"/>
          <w:szCs w:val="22"/>
          <w:lang w:val="fr-FR" w:eastAsia="en-CA"/>
        </w:rPr>
        <w:t>dans la mise en pl</w:t>
      </w:r>
      <w:r w:rsidR="000A3751">
        <w:rPr>
          <w:kern w:val="22"/>
          <w:szCs w:val="22"/>
          <w:lang w:val="fr-FR" w:eastAsia="en-CA"/>
        </w:rPr>
        <w:t>ace d'un environnement propice pour lutter contre les facteurs de perte de biodiversité ;</w:t>
      </w:r>
    </w:p>
    <w:p w14:paraId="33CA2A41" w14:textId="797D2205" w:rsidR="00421ED5" w:rsidRPr="00D229BA" w:rsidRDefault="00421ED5" w:rsidP="005441AC">
      <w:pPr>
        <w:pStyle w:val="Para1"/>
        <w:numPr>
          <w:ilvl w:val="0"/>
          <w:numId w:val="8"/>
        </w:numPr>
        <w:suppressLineNumbers/>
        <w:suppressAutoHyphens/>
        <w:kinsoku w:val="0"/>
        <w:overflowPunct w:val="0"/>
        <w:autoSpaceDE w:val="0"/>
        <w:autoSpaceDN w:val="0"/>
        <w:ind w:left="1418" w:hanging="284"/>
        <w:rPr>
          <w:rFonts w:eastAsia="Malgun Gothic"/>
          <w:kern w:val="22"/>
          <w:szCs w:val="22"/>
          <w:lang w:val="fr-FR"/>
        </w:rPr>
      </w:pPr>
      <w:r w:rsidRPr="00D229BA">
        <w:rPr>
          <w:rFonts w:eastAsia="Malgun Gothic"/>
          <w:kern w:val="22"/>
          <w:szCs w:val="22"/>
          <w:lang w:val="fr-FR"/>
        </w:rPr>
        <w:t>Les enseignements tirés de l'application de la Convention, de ses pr</w:t>
      </w:r>
      <w:r w:rsidR="000A3751">
        <w:rPr>
          <w:rFonts w:eastAsia="Malgun Gothic"/>
          <w:kern w:val="22"/>
          <w:szCs w:val="22"/>
          <w:lang w:val="fr-FR"/>
        </w:rPr>
        <w:t>otocoles et du Plan stratégique</w:t>
      </w:r>
      <w:r w:rsidR="009E7EC3" w:rsidRPr="00D229BA">
        <w:rPr>
          <w:rFonts w:eastAsia="Malgun Gothic"/>
          <w:kern w:val="22"/>
          <w:szCs w:val="22"/>
          <w:lang w:val="fr-FR"/>
        </w:rPr>
        <w:t xml:space="preserve"> pour la diversité biologique</w:t>
      </w:r>
      <w:r w:rsidR="000A3751">
        <w:rPr>
          <w:rFonts w:eastAsia="Malgun Gothic"/>
          <w:kern w:val="22"/>
          <w:szCs w:val="22"/>
          <w:lang w:val="fr-FR"/>
        </w:rPr>
        <w:t xml:space="preserve"> </w:t>
      </w:r>
      <w:r w:rsidR="000A3751" w:rsidRPr="00D229BA">
        <w:rPr>
          <w:rFonts w:eastAsia="Malgun Gothic"/>
          <w:kern w:val="22"/>
          <w:szCs w:val="22"/>
          <w:lang w:val="fr-FR"/>
        </w:rPr>
        <w:t>2011-2020</w:t>
      </w:r>
      <w:r w:rsidRPr="00D229BA">
        <w:rPr>
          <w:rFonts w:eastAsia="Malgun Gothic"/>
          <w:kern w:val="22"/>
          <w:szCs w:val="22"/>
          <w:lang w:val="fr-FR"/>
        </w:rPr>
        <w:t xml:space="preserve">, notamment les succès, les difficultés rencontrées, les perspectives et les besoins en matière de renforcement des capacités ; </w:t>
      </w:r>
    </w:p>
    <w:p w14:paraId="6DC3DDDF" w14:textId="3B1D11A8" w:rsidR="00421ED5" w:rsidRPr="00D229BA" w:rsidRDefault="00421ED5" w:rsidP="005441AC">
      <w:pPr>
        <w:pStyle w:val="Para1"/>
        <w:numPr>
          <w:ilvl w:val="0"/>
          <w:numId w:val="8"/>
        </w:numPr>
        <w:suppressLineNumbers/>
        <w:suppressAutoHyphens/>
        <w:kinsoku w:val="0"/>
        <w:overflowPunct w:val="0"/>
        <w:autoSpaceDE w:val="0"/>
        <w:autoSpaceDN w:val="0"/>
        <w:ind w:left="1418" w:hanging="284"/>
        <w:rPr>
          <w:rFonts w:eastAsia="Malgun Gothic"/>
          <w:kern w:val="22"/>
          <w:szCs w:val="22"/>
          <w:lang w:val="fr-FR"/>
        </w:rPr>
      </w:pPr>
      <w:r w:rsidRPr="00D229BA">
        <w:rPr>
          <w:rFonts w:eastAsia="Malgun Gothic"/>
          <w:kern w:val="22"/>
          <w:szCs w:val="22"/>
          <w:lang w:val="fr-FR"/>
        </w:rPr>
        <w:t xml:space="preserve">Les raisons possibles des différents niveaux de progrès accomplis dans la réalisation des Objectifs d’Aichi </w:t>
      </w:r>
      <w:r w:rsidR="000A3751">
        <w:rPr>
          <w:rFonts w:eastAsia="Malgun Gothic"/>
          <w:kern w:val="22"/>
          <w:szCs w:val="22"/>
          <w:lang w:val="fr-FR"/>
        </w:rPr>
        <w:t>pour la biodiversité</w:t>
      </w:r>
      <w:r w:rsidRPr="00D229BA">
        <w:rPr>
          <w:rFonts w:eastAsia="Malgun Gothic"/>
          <w:kern w:val="22"/>
          <w:szCs w:val="22"/>
          <w:lang w:val="fr-FR"/>
        </w:rPr>
        <w:t> ;</w:t>
      </w:r>
    </w:p>
    <w:p w14:paraId="0E23A130" w14:textId="77777777" w:rsidR="00421ED5" w:rsidRPr="00D229BA" w:rsidRDefault="00421ED5" w:rsidP="005441AC">
      <w:pPr>
        <w:pStyle w:val="Para1"/>
        <w:numPr>
          <w:ilvl w:val="0"/>
          <w:numId w:val="8"/>
        </w:numPr>
        <w:suppressLineNumbers/>
        <w:suppressAutoHyphens/>
        <w:kinsoku w:val="0"/>
        <w:overflowPunct w:val="0"/>
        <w:autoSpaceDE w:val="0"/>
        <w:autoSpaceDN w:val="0"/>
        <w:ind w:left="1418" w:hanging="284"/>
        <w:rPr>
          <w:rFonts w:eastAsia="Malgun Gothic"/>
          <w:kern w:val="22"/>
          <w:szCs w:val="22"/>
          <w:lang w:val="fr-FR"/>
        </w:rPr>
      </w:pPr>
      <w:r w:rsidRPr="00D229BA">
        <w:rPr>
          <w:rFonts w:eastAsia="Malgun Gothic"/>
          <w:kern w:val="22"/>
          <w:szCs w:val="22"/>
          <w:lang w:val="fr-FR"/>
        </w:rPr>
        <w:lastRenderedPageBreak/>
        <w:t>Les options stratégiques et les recommandations au titre de la Convention qui pourraient induire la transformation nécessaire pour réaliser la Vision 2050 pour la biodiversité et contribuer à la mise en œuvre du Programme de développement durable à l’horizon 2030 ;</w:t>
      </w:r>
    </w:p>
    <w:p w14:paraId="07EB5494" w14:textId="565D7B6B" w:rsidR="00421ED5" w:rsidRPr="00D229BA" w:rsidRDefault="00421ED5" w:rsidP="005441AC">
      <w:pPr>
        <w:pStyle w:val="Para1"/>
        <w:numPr>
          <w:ilvl w:val="0"/>
          <w:numId w:val="8"/>
        </w:numPr>
        <w:suppressLineNumbers/>
        <w:suppressAutoHyphens/>
        <w:kinsoku w:val="0"/>
        <w:overflowPunct w:val="0"/>
        <w:autoSpaceDE w:val="0"/>
        <w:autoSpaceDN w:val="0"/>
        <w:ind w:left="1418" w:hanging="284"/>
        <w:rPr>
          <w:kern w:val="22"/>
          <w:szCs w:val="22"/>
          <w:lang w:val="fr-FR" w:eastAsia="en-CA"/>
        </w:rPr>
      </w:pPr>
      <w:r w:rsidRPr="00D229BA">
        <w:rPr>
          <w:rFonts w:eastAsia="Malgun Gothic"/>
          <w:snapToGrid/>
          <w:kern w:val="22"/>
          <w:szCs w:val="22"/>
          <w:lang w:val="fr-FR"/>
        </w:rPr>
        <w:t>La manière dont d’autres conventions relatives à la di</w:t>
      </w:r>
      <w:r w:rsidR="009E7EC3" w:rsidRPr="00D229BA">
        <w:rPr>
          <w:rFonts w:eastAsia="Malgun Gothic"/>
          <w:snapToGrid/>
          <w:kern w:val="22"/>
          <w:szCs w:val="22"/>
          <w:lang w:val="fr-FR"/>
        </w:rPr>
        <w:t>versité biologique, les autres c</w:t>
      </w:r>
      <w:r w:rsidRPr="00D229BA">
        <w:rPr>
          <w:rFonts w:eastAsia="Malgun Gothic"/>
          <w:snapToGrid/>
          <w:kern w:val="22"/>
          <w:szCs w:val="22"/>
          <w:lang w:val="fr-FR"/>
        </w:rPr>
        <w:t xml:space="preserve">onventions de Rio et d'autres conventions ou accords internationaux pertinents pourraient contribuer au </w:t>
      </w:r>
      <w:r w:rsidR="00344D53">
        <w:rPr>
          <w:rFonts w:eastAsia="Malgun Gothic"/>
          <w:snapToGrid/>
          <w:kern w:val="22"/>
          <w:szCs w:val="22"/>
          <w:lang w:val="fr-FR"/>
        </w:rPr>
        <w:t>cadre mondial de la biodiversité pour l’après-2020</w:t>
      </w:r>
      <w:r w:rsidRPr="00D229BA">
        <w:rPr>
          <w:rFonts w:eastAsia="Malgun Gothic"/>
          <w:snapToGrid/>
          <w:kern w:val="22"/>
          <w:szCs w:val="22"/>
          <w:lang w:val="fr-FR"/>
        </w:rPr>
        <w:t xml:space="preserve"> et à la </w:t>
      </w:r>
      <w:r w:rsidR="000A3751">
        <w:rPr>
          <w:rFonts w:eastAsia="Malgun Gothic"/>
          <w:snapToGrid/>
          <w:kern w:val="22"/>
          <w:szCs w:val="22"/>
          <w:lang w:val="fr-FR"/>
        </w:rPr>
        <w:t>Vision 2050 pour la diversité biologique</w:t>
      </w:r>
      <w:r w:rsidRPr="00D229BA">
        <w:rPr>
          <w:rFonts w:eastAsia="Malgun Gothic"/>
          <w:snapToGrid/>
          <w:kern w:val="22"/>
          <w:szCs w:val="22"/>
          <w:lang w:val="fr-FR"/>
        </w:rPr>
        <w:t> ;</w:t>
      </w:r>
    </w:p>
    <w:p w14:paraId="481E379B" w14:textId="017C3271" w:rsidR="00B40DDF" w:rsidRPr="00D229BA" w:rsidRDefault="00B40DDF" w:rsidP="005441AC">
      <w:pPr>
        <w:pStyle w:val="Para1"/>
        <w:numPr>
          <w:ilvl w:val="0"/>
          <w:numId w:val="8"/>
        </w:numPr>
        <w:suppressLineNumbers/>
        <w:suppressAutoHyphens/>
        <w:kinsoku w:val="0"/>
        <w:overflowPunct w:val="0"/>
        <w:autoSpaceDE w:val="0"/>
        <w:autoSpaceDN w:val="0"/>
        <w:ind w:left="1418" w:hanging="284"/>
        <w:rPr>
          <w:kern w:val="22"/>
          <w:szCs w:val="22"/>
          <w:lang w:val="fr-FR" w:eastAsia="en-CA"/>
        </w:rPr>
      </w:pPr>
      <w:r w:rsidRPr="00D229BA">
        <w:rPr>
          <w:rFonts w:eastAsia="Malgun Gothic"/>
          <w:snapToGrid/>
          <w:kern w:val="22"/>
          <w:szCs w:val="22"/>
          <w:lang w:val="fr-FR"/>
        </w:rPr>
        <w:t xml:space="preserve">Les connaissances traditionnelles et autres informations fournies par les peuples autochtones et les communautés locales, telles que les </w:t>
      </w:r>
      <w:r w:rsidRPr="00D229BA">
        <w:rPr>
          <w:rFonts w:eastAsia="Malgun Gothic"/>
          <w:i/>
          <w:snapToGrid/>
          <w:kern w:val="22"/>
          <w:szCs w:val="22"/>
          <w:lang w:val="fr-FR"/>
        </w:rPr>
        <w:t>Perspectives locales de la diversité biologique</w:t>
      </w:r>
      <w:r w:rsidRPr="00D229BA">
        <w:rPr>
          <w:rFonts w:eastAsia="Malgun Gothic"/>
          <w:snapToGrid/>
          <w:kern w:val="22"/>
          <w:szCs w:val="22"/>
          <w:lang w:val="fr-FR"/>
        </w:rPr>
        <w:t>.</w:t>
      </w:r>
    </w:p>
    <w:p w14:paraId="6A1876B3" w14:textId="1F4F4952" w:rsidR="00421ED5" w:rsidRPr="00D229BA" w:rsidRDefault="00DB6A34" w:rsidP="00421ED5">
      <w:pPr>
        <w:pStyle w:val="Heading2"/>
        <w:suppressLineNumbers/>
        <w:tabs>
          <w:tab w:val="clear" w:pos="720"/>
          <w:tab w:val="left" w:pos="360"/>
        </w:tabs>
        <w:suppressAutoHyphens/>
        <w:kinsoku w:val="0"/>
        <w:overflowPunct w:val="0"/>
        <w:autoSpaceDE w:val="0"/>
        <w:autoSpaceDN w:val="0"/>
        <w:adjustRightInd w:val="0"/>
        <w:snapToGrid w:val="0"/>
        <w:rPr>
          <w:i/>
          <w:snapToGrid w:val="0"/>
          <w:kern w:val="22"/>
          <w:szCs w:val="22"/>
          <w:lang w:val="fr-FR"/>
        </w:rPr>
      </w:pPr>
      <w:r w:rsidRPr="00D229BA">
        <w:rPr>
          <w:snapToGrid w:val="0"/>
          <w:kern w:val="22"/>
          <w:szCs w:val="22"/>
          <w:lang w:val="fr-FR"/>
        </w:rPr>
        <w:t>F</w:t>
      </w:r>
      <w:r w:rsidR="00421ED5" w:rsidRPr="00D229BA">
        <w:rPr>
          <w:snapToGrid w:val="0"/>
          <w:kern w:val="22"/>
          <w:szCs w:val="22"/>
          <w:lang w:val="fr-FR"/>
        </w:rPr>
        <w:t>.</w:t>
      </w:r>
      <w:r w:rsidR="00421ED5" w:rsidRPr="00D229BA">
        <w:rPr>
          <w:snapToGrid w:val="0"/>
          <w:kern w:val="22"/>
          <w:szCs w:val="22"/>
          <w:lang w:val="fr-FR"/>
        </w:rPr>
        <w:tab/>
      </w:r>
      <w:r w:rsidRPr="00D229BA">
        <w:rPr>
          <w:snapToGrid w:val="0"/>
          <w:kern w:val="22"/>
          <w:szCs w:val="22"/>
          <w:lang w:val="fr-FR"/>
        </w:rPr>
        <w:t>C</w:t>
      </w:r>
      <w:r w:rsidR="00421ED5" w:rsidRPr="00D229BA">
        <w:rPr>
          <w:snapToGrid w:val="0"/>
          <w:kern w:val="22"/>
          <w:szCs w:val="22"/>
          <w:lang w:val="fr-FR"/>
        </w:rPr>
        <w:t>ommunication et rayonnement</w:t>
      </w:r>
    </w:p>
    <w:p w14:paraId="737300B9" w14:textId="13F56CBF" w:rsidR="00421ED5" w:rsidRPr="00D229BA" w:rsidRDefault="00421ED5"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 xml:space="preserve">Lors de la mise en œuvre du processus d’élaboration du </w:t>
      </w:r>
      <w:r w:rsidR="00344D53">
        <w:rPr>
          <w:kern w:val="22"/>
          <w:szCs w:val="22"/>
          <w:lang w:val="fr-FR"/>
        </w:rPr>
        <w:t>cadre mondial de la biodiversité pour l’après-2020</w:t>
      </w:r>
      <w:r w:rsidRPr="00D229BA">
        <w:rPr>
          <w:kern w:val="22"/>
          <w:szCs w:val="22"/>
          <w:lang w:val="fr-FR"/>
        </w:rPr>
        <w:t xml:space="preserve">, le Secrétariat </w:t>
      </w:r>
      <w:r w:rsidR="00DB6A34" w:rsidRPr="00D229BA">
        <w:rPr>
          <w:kern w:val="22"/>
          <w:szCs w:val="22"/>
          <w:lang w:val="fr-FR"/>
        </w:rPr>
        <w:t>encouragera l’engagement politique de haut niveau de tous les groupes et parties prenantes aux réunions importantes</w:t>
      </w:r>
      <w:r w:rsidRPr="00D229BA">
        <w:rPr>
          <w:kern w:val="22"/>
          <w:szCs w:val="22"/>
          <w:lang w:val="fr-FR"/>
        </w:rPr>
        <w:t xml:space="preserve">, notamment en faisant mieux connaître le processus préparatoire au </w:t>
      </w:r>
      <w:r w:rsidR="00344D53">
        <w:rPr>
          <w:kern w:val="22"/>
          <w:szCs w:val="22"/>
          <w:lang w:val="fr-FR"/>
        </w:rPr>
        <w:t>cadre mondial de la biodiversité pour l’après-2020</w:t>
      </w:r>
      <w:r w:rsidRPr="00D229BA">
        <w:rPr>
          <w:kern w:val="22"/>
          <w:szCs w:val="22"/>
          <w:lang w:val="fr-FR"/>
        </w:rPr>
        <w:t xml:space="preserve">, la Convention et la diversité biologique de manière plus générale. </w:t>
      </w:r>
    </w:p>
    <w:p w14:paraId="1DEFA70E" w14:textId="77E7B2AC" w:rsidR="00421ED5" w:rsidRPr="00D229BA" w:rsidRDefault="00421ED5"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 xml:space="preserve">La mise en œuvre du processus d’élaboration du </w:t>
      </w:r>
      <w:r w:rsidR="00344D53">
        <w:rPr>
          <w:kern w:val="22"/>
          <w:szCs w:val="22"/>
          <w:lang w:val="fr-FR"/>
        </w:rPr>
        <w:t>cadre mondial de la biodiversité pour l’après-2020</w:t>
      </w:r>
      <w:r w:rsidRPr="00D229BA">
        <w:rPr>
          <w:kern w:val="22"/>
          <w:szCs w:val="22"/>
          <w:lang w:val="fr-FR"/>
        </w:rPr>
        <w:t xml:space="preserve"> sera soutenue par </w:t>
      </w:r>
      <w:r w:rsidR="00AC5A21" w:rsidRPr="00D229BA">
        <w:rPr>
          <w:kern w:val="22"/>
          <w:szCs w:val="22"/>
          <w:lang w:val="fr-FR"/>
        </w:rPr>
        <w:t xml:space="preserve">une stratégie de communication </w:t>
      </w:r>
      <w:r w:rsidRPr="00D229BA">
        <w:rPr>
          <w:kern w:val="22"/>
          <w:szCs w:val="22"/>
          <w:lang w:val="fr-FR"/>
        </w:rPr>
        <w:t>cohérente</w:t>
      </w:r>
      <w:r w:rsidR="00AC5A21" w:rsidRPr="00D229BA">
        <w:rPr>
          <w:kern w:val="22"/>
          <w:szCs w:val="22"/>
          <w:lang w:val="fr-FR"/>
        </w:rPr>
        <w:t>, complète</w:t>
      </w:r>
      <w:r w:rsidRPr="00D229BA">
        <w:rPr>
          <w:kern w:val="22"/>
          <w:szCs w:val="22"/>
          <w:lang w:val="fr-FR"/>
        </w:rPr>
        <w:t xml:space="preserve"> et </w:t>
      </w:r>
      <w:r w:rsidR="00AC5A21" w:rsidRPr="00D229BA">
        <w:rPr>
          <w:kern w:val="22"/>
          <w:szCs w:val="22"/>
          <w:lang w:val="fr-FR"/>
        </w:rPr>
        <w:t xml:space="preserve">innovatrice comprenant des mesures </w:t>
      </w:r>
      <w:r w:rsidRPr="00D229BA">
        <w:rPr>
          <w:kern w:val="22"/>
          <w:szCs w:val="22"/>
          <w:lang w:val="fr-FR"/>
        </w:rPr>
        <w:t xml:space="preserve">de communication et de rayonnement, développées </w:t>
      </w:r>
      <w:r w:rsidR="00AC5A21" w:rsidRPr="00D229BA">
        <w:rPr>
          <w:kern w:val="22"/>
          <w:szCs w:val="22"/>
          <w:lang w:val="fr-FR"/>
        </w:rPr>
        <w:t xml:space="preserve">par le Secrétariat </w:t>
      </w:r>
      <w:r w:rsidRPr="00D229BA">
        <w:rPr>
          <w:kern w:val="22"/>
          <w:szCs w:val="22"/>
          <w:lang w:val="fr-FR"/>
        </w:rPr>
        <w:t>en partenariat avec d’autres organisations</w:t>
      </w:r>
      <w:r w:rsidR="00AC5A21" w:rsidRPr="00D229BA">
        <w:rPr>
          <w:kern w:val="22"/>
          <w:szCs w:val="22"/>
          <w:lang w:val="fr-FR"/>
        </w:rPr>
        <w:t xml:space="preserve">, conformément aux décisions XIII/2 et </w:t>
      </w:r>
      <w:r w:rsidR="00D43FBA" w:rsidRPr="00D229BA">
        <w:rPr>
          <w:kern w:val="22"/>
          <w:szCs w:val="22"/>
          <w:lang w:val="fr-FR"/>
        </w:rPr>
        <w:t>14</w:t>
      </w:r>
      <w:r w:rsidR="00E20732">
        <w:rPr>
          <w:kern w:val="22"/>
          <w:szCs w:val="22"/>
          <w:lang w:val="fr-FR"/>
        </w:rPr>
        <w:t>/26</w:t>
      </w:r>
      <w:r w:rsidR="00AC5A21" w:rsidRPr="00D229BA">
        <w:rPr>
          <w:kern w:val="22"/>
          <w:szCs w:val="22"/>
          <w:lang w:val="fr-FR"/>
        </w:rPr>
        <w:t>.</w:t>
      </w:r>
      <w:r w:rsidRPr="00D229BA">
        <w:rPr>
          <w:kern w:val="22"/>
          <w:szCs w:val="22"/>
          <w:lang w:val="fr-FR"/>
        </w:rPr>
        <w:t xml:space="preserve"> </w:t>
      </w:r>
      <w:r w:rsidR="00AC5A21" w:rsidRPr="00D229BA">
        <w:rPr>
          <w:kern w:val="22"/>
          <w:szCs w:val="22"/>
          <w:lang w:val="fr-FR"/>
        </w:rPr>
        <w:t>La stratégie</w:t>
      </w:r>
      <w:r w:rsidRPr="00D229BA">
        <w:rPr>
          <w:kern w:val="22"/>
          <w:szCs w:val="22"/>
          <w:lang w:val="fr-FR"/>
        </w:rPr>
        <w:t xml:space="preserve"> de communication sensibilisera le public au processus, encouragera la participation effective et créera une dynamique propice à sa mise en œuvre. Des informations sur l’état d’avancement et le contenu du </w:t>
      </w:r>
      <w:r w:rsidR="00344D53">
        <w:rPr>
          <w:kern w:val="22"/>
          <w:szCs w:val="22"/>
          <w:lang w:val="fr-FR"/>
        </w:rPr>
        <w:t>cadre mondial de la biodiversité pour l’après-2020</w:t>
      </w:r>
      <w:r w:rsidRPr="00D229BA">
        <w:rPr>
          <w:kern w:val="22"/>
          <w:szCs w:val="22"/>
          <w:lang w:val="fr-FR"/>
        </w:rPr>
        <w:t xml:space="preserve"> seront régulièrement diffusées par le biais du centre d’échange de la Convention et d’autres moyens.</w:t>
      </w:r>
    </w:p>
    <w:p w14:paraId="0DE882A8" w14:textId="3DA9485A" w:rsidR="00421ED5" w:rsidRPr="00D229BA" w:rsidRDefault="003D683B"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Pr>
          <w:kern w:val="22"/>
          <w:szCs w:val="22"/>
          <w:lang w:val="fr-FR"/>
        </w:rPr>
        <w:t>Un g</w:t>
      </w:r>
      <w:r w:rsidR="002E312A" w:rsidRPr="00D229BA">
        <w:rPr>
          <w:kern w:val="22"/>
          <w:szCs w:val="22"/>
          <w:lang w:val="fr-FR"/>
        </w:rPr>
        <w:t xml:space="preserve">roupe </w:t>
      </w:r>
      <w:r w:rsidR="0073690C">
        <w:rPr>
          <w:kern w:val="22"/>
          <w:szCs w:val="22"/>
          <w:lang w:val="fr-FR"/>
        </w:rPr>
        <w:t>de haut niveau chargé de faire connaître le</w:t>
      </w:r>
      <w:r w:rsidR="002E312A" w:rsidRPr="00D229BA">
        <w:rPr>
          <w:kern w:val="22"/>
          <w:szCs w:val="22"/>
          <w:lang w:val="fr-FR"/>
        </w:rPr>
        <w:t xml:space="preserve"> processus d’élaboration du </w:t>
      </w:r>
      <w:r w:rsidR="00344D53">
        <w:rPr>
          <w:kern w:val="22"/>
          <w:szCs w:val="22"/>
          <w:lang w:val="fr-FR"/>
        </w:rPr>
        <w:t>cadre mondial de la biodiversité pour l’après-2020</w:t>
      </w:r>
      <w:r w:rsidR="0073690C">
        <w:rPr>
          <w:kern w:val="22"/>
          <w:szCs w:val="22"/>
          <w:lang w:val="fr-FR"/>
        </w:rPr>
        <w:t xml:space="preserve"> sera créé. Le g</w:t>
      </w:r>
      <w:r w:rsidR="002E312A" w:rsidRPr="00D229BA">
        <w:rPr>
          <w:kern w:val="22"/>
          <w:szCs w:val="22"/>
          <w:lang w:val="fr-FR"/>
        </w:rPr>
        <w:t>roupe aura la tâche de promouvoir et d’encourager la participation et la contribution de toutes les parties prenantes pertinentes à l’</w:t>
      </w:r>
      <w:r w:rsidR="004C7AD6" w:rsidRPr="00D229BA">
        <w:rPr>
          <w:kern w:val="22"/>
          <w:szCs w:val="22"/>
          <w:lang w:val="fr-FR"/>
        </w:rPr>
        <w:t>élaborati</w:t>
      </w:r>
      <w:r w:rsidR="002E312A" w:rsidRPr="00D229BA">
        <w:rPr>
          <w:kern w:val="22"/>
          <w:szCs w:val="22"/>
          <w:lang w:val="fr-FR"/>
        </w:rPr>
        <w:t xml:space="preserve">on du </w:t>
      </w:r>
      <w:r w:rsidR="00344D53">
        <w:rPr>
          <w:kern w:val="22"/>
          <w:szCs w:val="22"/>
          <w:lang w:val="fr-FR"/>
        </w:rPr>
        <w:t>cadre mondial de la biodiversité pour l’après-2020</w:t>
      </w:r>
      <w:r w:rsidR="002E312A" w:rsidRPr="00D229BA">
        <w:rPr>
          <w:kern w:val="22"/>
          <w:szCs w:val="22"/>
          <w:lang w:val="fr-FR"/>
        </w:rPr>
        <w:t>, d’obteni</w:t>
      </w:r>
      <w:r w:rsidR="00E2357C" w:rsidRPr="00D229BA">
        <w:rPr>
          <w:kern w:val="22"/>
          <w:szCs w:val="22"/>
          <w:lang w:val="fr-FR"/>
        </w:rPr>
        <w:t xml:space="preserve">r des ressources pour soutenir son </w:t>
      </w:r>
      <w:r w:rsidR="000F2620">
        <w:rPr>
          <w:kern w:val="22"/>
          <w:szCs w:val="22"/>
          <w:lang w:val="fr-FR"/>
        </w:rPr>
        <w:t xml:space="preserve">élaboration et d’atteindre et de solliciter la participation </w:t>
      </w:r>
      <w:r w:rsidR="002E312A" w:rsidRPr="00D229BA">
        <w:rPr>
          <w:kern w:val="22"/>
          <w:szCs w:val="22"/>
          <w:lang w:val="fr-FR"/>
        </w:rPr>
        <w:t>d’autres secteurs, notamment les peuples autochtones et les communautés locales, la société civile et le sect</w:t>
      </w:r>
      <w:r w:rsidR="0073690C">
        <w:rPr>
          <w:kern w:val="22"/>
          <w:szCs w:val="22"/>
          <w:lang w:val="fr-FR"/>
        </w:rPr>
        <w:t>eur privé. Le groupe comptera dans</w:t>
      </w:r>
      <w:r w:rsidR="002E312A" w:rsidRPr="00D229BA">
        <w:rPr>
          <w:kern w:val="22"/>
          <w:szCs w:val="22"/>
          <w:lang w:val="fr-FR"/>
        </w:rPr>
        <w:t xml:space="preserve"> </w:t>
      </w:r>
      <w:r w:rsidR="00826441" w:rsidRPr="00D229BA">
        <w:rPr>
          <w:kern w:val="22"/>
          <w:szCs w:val="22"/>
          <w:lang w:val="fr-FR"/>
        </w:rPr>
        <w:t>s</w:t>
      </w:r>
      <w:r w:rsidR="002E312A" w:rsidRPr="00D229BA">
        <w:rPr>
          <w:kern w:val="22"/>
          <w:szCs w:val="22"/>
          <w:lang w:val="fr-FR"/>
        </w:rPr>
        <w:t xml:space="preserve">es rangs des champions politiques chargés de </w:t>
      </w:r>
      <w:r w:rsidR="0073690C">
        <w:rPr>
          <w:kern w:val="22"/>
          <w:szCs w:val="22"/>
          <w:lang w:val="fr-FR"/>
        </w:rPr>
        <w:t xml:space="preserve">sensibiliser le public </w:t>
      </w:r>
      <w:r w:rsidR="002E312A" w:rsidRPr="00D229BA">
        <w:rPr>
          <w:kern w:val="22"/>
          <w:szCs w:val="22"/>
          <w:lang w:val="fr-FR"/>
        </w:rPr>
        <w:t>au processus d’</w:t>
      </w:r>
      <w:r w:rsidR="004C7AD6" w:rsidRPr="00D229BA">
        <w:rPr>
          <w:kern w:val="22"/>
          <w:szCs w:val="22"/>
          <w:lang w:val="fr-FR"/>
        </w:rPr>
        <w:t>é</w:t>
      </w:r>
      <w:r w:rsidR="002E312A" w:rsidRPr="00D229BA">
        <w:rPr>
          <w:kern w:val="22"/>
          <w:szCs w:val="22"/>
          <w:lang w:val="fr-FR"/>
        </w:rPr>
        <w:t xml:space="preserve">laboration du </w:t>
      </w:r>
      <w:r w:rsidR="00344D53">
        <w:rPr>
          <w:kern w:val="22"/>
          <w:szCs w:val="22"/>
          <w:lang w:val="fr-FR"/>
        </w:rPr>
        <w:t>cadre mondial de la biodiversité pour l’après-2020</w:t>
      </w:r>
      <w:r w:rsidR="002E312A" w:rsidRPr="00D229BA">
        <w:rPr>
          <w:kern w:val="22"/>
          <w:szCs w:val="22"/>
          <w:lang w:val="fr-FR"/>
        </w:rPr>
        <w:t xml:space="preserve">. </w:t>
      </w:r>
    </w:p>
    <w:p w14:paraId="663DCEBA" w14:textId="77777777" w:rsidR="00421ED5" w:rsidRPr="00D229BA" w:rsidRDefault="00421ED5" w:rsidP="00421ED5">
      <w:pPr>
        <w:pStyle w:val="Heading2"/>
        <w:rPr>
          <w:i/>
          <w:snapToGrid w:val="0"/>
          <w:lang w:val="fr-FR"/>
        </w:rPr>
      </w:pPr>
      <w:r w:rsidRPr="00D229BA">
        <w:rPr>
          <w:snapToGrid w:val="0"/>
          <w:lang w:val="fr-FR"/>
        </w:rPr>
        <w:t>G.</w:t>
      </w:r>
      <w:r w:rsidRPr="00D229BA">
        <w:rPr>
          <w:snapToGrid w:val="0"/>
          <w:lang w:val="fr-FR"/>
        </w:rPr>
        <w:tab/>
        <w:t>Besoins de ressources et besoins logistiques</w:t>
      </w:r>
    </w:p>
    <w:p w14:paraId="6C30A057" w14:textId="5B27B3DA" w:rsidR="00421ED5" w:rsidRPr="00D229BA" w:rsidRDefault="00421ED5" w:rsidP="005441AC">
      <w:pPr>
        <w:pStyle w:val="Para1"/>
        <w:numPr>
          <w:ilvl w:val="0"/>
          <w:numId w:val="4"/>
        </w:numPr>
        <w:suppressLineNumbers/>
        <w:suppressAutoHyphens/>
        <w:kinsoku w:val="0"/>
        <w:overflowPunct w:val="0"/>
        <w:autoSpaceDE w:val="0"/>
        <w:autoSpaceDN w:val="0"/>
        <w:adjustRightInd w:val="0"/>
        <w:snapToGrid w:val="0"/>
        <w:ind w:left="0" w:firstLine="0"/>
        <w:rPr>
          <w:kern w:val="22"/>
          <w:szCs w:val="22"/>
          <w:lang w:val="fr-FR"/>
        </w:rPr>
      </w:pPr>
      <w:r w:rsidRPr="00D229BA">
        <w:rPr>
          <w:kern w:val="22"/>
          <w:szCs w:val="22"/>
          <w:lang w:val="fr-FR"/>
        </w:rPr>
        <w:t xml:space="preserve">Le processus d’élaboration du </w:t>
      </w:r>
      <w:r w:rsidR="00344D53">
        <w:rPr>
          <w:kern w:val="22"/>
          <w:szCs w:val="22"/>
          <w:lang w:val="fr-FR"/>
        </w:rPr>
        <w:t>cadre mondial de la biodiversité pour l’après-2020</w:t>
      </w:r>
      <w:r w:rsidRPr="00D229BA">
        <w:rPr>
          <w:kern w:val="22"/>
          <w:szCs w:val="22"/>
          <w:lang w:val="fr-FR"/>
        </w:rPr>
        <w:t xml:space="preserve"> </w:t>
      </w:r>
      <w:r w:rsidR="004C7AD6" w:rsidRPr="00D229BA">
        <w:rPr>
          <w:kern w:val="22"/>
          <w:szCs w:val="22"/>
          <w:lang w:val="fr-FR"/>
        </w:rPr>
        <w:t xml:space="preserve">recevra le soutien du </w:t>
      </w:r>
      <w:r w:rsidRPr="00D229BA">
        <w:rPr>
          <w:kern w:val="22"/>
          <w:szCs w:val="22"/>
          <w:lang w:val="fr-FR"/>
        </w:rPr>
        <w:t>Secrétariat</w:t>
      </w:r>
      <w:r w:rsidR="004C7AD6" w:rsidRPr="00D229BA">
        <w:rPr>
          <w:kern w:val="22"/>
          <w:szCs w:val="22"/>
          <w:lang w:val="fr-FR"/>
        </w:rPr>
        <w:t>, qui devra vraisemblablement réorienter certaines de ses capacités afin de soutenir le processus de l’</w:t>
      </w:r>
      <w:r w:rsidR="00826441" w:rsidRPr="00D229BA">
        <w:rPr>
          <w:kern w:val="22"/>
          <w:szCs w:val="22"/>
          <w:lang w:val="fr-FR"/>
        </w:rPr>
        <w:t>apr</w:t>
      </w:r>
      <w:r w:rsidR="004C7AD6" w:rsidRPr="00D229BA">
        <w:rPr>
          <w:kern w:val="22"/>
          <w:szCs w:val="22"/>
          <w:lang w:val="fr-FR"/>
        </w:rPr>
        <w:t xml:space="preserve">ès-2020. Les moyens financiers seront mis à la disposition du Secrétariat conformément à la décision </w:t>
      </w:r>
      <w:r w:rsidR="00C059F7" w:rsidRPr="00D229BA">
        <w:rPr>
          <w:kern w:val="22"/>
          <w:szCs w:val="22"/>
          <w:lang w:val="fr-FR"/>
        </w:rPr>
        <w:t>14</w:t>
      </w:r>
      <w:r w:rsidR="000F2620">
        <w:rPr>
          <w:kern w:val="22"/>
          <w:szCs w:val="22"/>
          <w:lang w:val="fr-FR"/>
        </w:rPr>
        <w:t>/37</w:t>
      </w:r>
      <w:r w:rsidR="004C7AD6" w:rsidRPr="00D229BA">
        <w:rPr>
          <w:kern w:val="22"/>
          <w:szCs w:val="22"/>
          <w:lang w:val="fr-FR"/>
        </w:rPr>
        <w:t xml:space="preserve"> sur le budget</w:t>
      </w:r>
      <w:r w:rsidRPr="00D229BA">
        <w:rPr>
          <w:kern w:val="22"/>
          <w:szCs w:val="22"/>
          <w:lang w:val="fr-FR"/>
        </w:rPr>
        <w:t xml:space="preserve">. </w:t>
      </w:r>
    </w:p>
    <w:p w14:paraId="514AC3D0" w14:textId="5ABEEDF7" w:rsidR="00421ED5" w:rsidRPr="00D229BA" w:rsidRDefault="00421ED5" w:rsidP="00421ED5">
      <w:pPr>
        <w:jc w:val="left"/>
        <w:rPr>
          <w:b/>
          <w:snapToGrid w:val="0"/>
          <w:kern w:val="22"/>
          <w:szCs w:val="22"/>
          <w:lang w:val="fr-FR"/>
        </w:rPr>
      </w:pPr>
    </w:p>
    <w:p w14:paraId="294C67B8" w14:textId="6C306ED9" w:rsidR="00860DF6" w:rsidRPr="00D229BA" w:rsidRDefault="00EC2503" w:rsidP="00421ED5">
      <w:pPr>
        <w:pStyle w:val="Heading2"/>
        <w:keepNext w:val="0"/>
        <w:suppressLineNumbers/>
        <w:suppressAutoHyphens/>
        <w:rPr>
          <w:kern w:val="22"/>
          <w:szCs w:val="22"/>
          <w:lang w:val="fr-FR"/>
        </w:rPr>
      </w:pPr>
      <w:r w:rsidRPr="00D229BA">
        <w:rPr>
          <w:kern w:val="22"/>
          <w:szCs w:val="22"/>
          <w:lang w:val="fr-FR"/>
        </w:rPr>
        <w:t>__________</w:t>
      </w:r>
    </w:p>
    <w:p w14:paraId="7333C972" w14:textId="77777777" w:rsidR="006078A0" w:rsidRPr="00D229BA" w:rsidRDefault="006078A0" w:rsidP="00FB3E0E">
      <w:pPr>
        <w:pStyle w:val="bodytextnoindent"/>
        <w:suppressLineNumbers/>
        <w:suppressAutoHyphens/>
        <w:kinsoku w:val="0"/>
        <w:overflowPunct w:val="0"/>
        <w:autoSpaceDE w:val="0"/>
        <w:autoSpaceDN w:val="0"/>
        <w:spacing w:before="120" w:after="120"/>
        <w:jc w:val="center"/>
        <w:rPr>
          <w:snapToGrid w:val="0"/>
          <w:kern w:val="22"/>
          <w:szCs w:val="22"/>
          <w:lang w:val="fr-FR"/>
        </w:rPr>
      </w:pPr>
    </w:p>
    <w:sectPr w:rsidR="006078A0" w:rsidRPr="00D229BA" w:rsidSect="00B613F9">
      <w:headerReference w:type="even" r:id="rId13"/>
      <w:headerReference w:type="default" r:id="rId14"/>
      <w:pgSz w:w="12240" w:h="15840"/>
      <w:pgMar w:top="567" w:right="1389" w:bottom="1134" w:left="1389" w:header="461"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B3401" w16cid:durableId="1FA85B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5D251" w14:textId="77777777" w:rsidR="006B0C83" w:rsidRDefault="006B0C83" w:rsidP="00CF1848">
      <w:r>
        <w:separator/>
      </w:r>
    </w:p>
  </w:endnote>
  <w:endnote w:type="continuationSeparator" w:id="0">
    <w:p w14:paraId="2182892B" w14:textId="77777777" w:rsidR="006B0C83" w:rsidRDefault="006B0C83" w:rsidP="00CF1848">
      <w:r>
        <w:continuationSeparator/>
      </w:r>
    </w:p>
  </w:endnote>
  <w:endnote w:type="continuationNotice" w:id="1">
    <w:p w14:paraId="30C074C0" w14:textId="77777777" w:rsidR="006B0C83" w:rsidRDefault="006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5D533" w14:textId="77777777" w:rsidR="006B0C83" w:rsidRDefault="006B0C83" w:rsidP="00CF1848">
      <w:r>
        <w:separator/>
      </w:r>
    </w:p>
  </w:footnote>
  <w:footnote w:type="continuationSeparator" w:id="0">
    <w:p w14:paraId="5C3EC058" w14:textId="77777777" w:rsidR="006B0C83" w:rsidRDefault="006B0C83" w:rsidP="00CF1848">
      <w:r>
        <w:continuationSeparator/>
      </w:r>
    </w:p>
  </w:footnote>
  <w:footnote w:type="continuationNotice" w:id="1">
    <w:p w14:paraId="53A268DC" w14:textId="77777777" w:rsidR="006B0C83" w:rsidRDefault="006B0C83"/>
  </w:footnote>
  <w:footnote w:id="2">
    <w:p w14:paraId="01AF50E3" w14:textId="7663AD42" w:rsidR="007F606E" w:rsidRPr="0018402A" w:rsidRDefault="007F606E" w:rsidP="00500B7F">
      <w:pPr>
        <w:pStyle w:val="FootnoteText"/>
        <w:kinsoku w:val="0"/>
        <w:overflowPunct w:val="0"/>
        <w:autoSpaceDE w:val="0"/>
        <w:autoSpaceDN w:val="0"/>
        <w:ind w:firstLine="0"/>
        <w:jc w:val="left"/>
        <w:rPr>
          <w:szCs w:val="18"/>
          <w:lang w:val="en-US"/>
        </w:rPr>
      </w:pPr>
      <w:r w:rsidRPr="00D32D5F">
        <w:rPr>
          <w:rStyle w:val="FootnoteReference"/>
          <w:szCs w:val="18"/>
        </w:rPr>
        <w:footnoteRef/>
      </w:r>
      <w:r w:rsidRPr="0018402A">
        <w:rPr>
          <w:szCs w:val="18"/>
          <w:lang w:val="en-US"/>
        </w:rPr>
        <w:t xml:space="preserve"> </w:t>
      </w:r>
      <w:r w:rsidR="00344D53">
        <w:rPr>
          <w:rStyle w:val="Strong"/>
          <w:b w:val="0"/>
        </w:rPr>
        <w:t>CBD/COP/14/9/Add.1</w:t>
      </w:r>
      <w:r>
        <w:rPr>
          <w:rStyle w:val="Strong"/>
          <w:b w:val="0"/>
        </w:rPr>
        <w:t xml:space="preserve">, </w:t>
      </w:r>
      <w:sdt>
        <w:sdtPr>
          <w:rPr>
            <w:kern w:val="22"/>
            <w:szCs w:val="22"/>
          </w:rPr>
          <w:alias w:val="Subject"/>
          <w:tag w:val=""/>
          <w:id w:val="-316186769"/>
          <w:placeholder>
            <w:docPart w:val="7D5D10FAE0834F1180DBEFA6706DBF66"/>
          </w:placeholder>
          <w:dataBinding w:prefixMappings="xmlns:ns0='http://purl.org/dc/elements/1.1/' xmlns:ns1='http://schemas.openxmlformats.org/package/2006/metadata/core-properties' " w:xpath="/ns1:coreProperties[1]/ns0:subject[1]" w:storeItemID="{6C3C8BC8-F283-45AE-878A-BAB7291924A1}"/>
          <w:text/>
        </w:sdtPr>
        <w:sdtEndPr/>
        <w:sdtContent>
          <w:r w:rsidR="00020FE2">
            <w:rPr>
              <w:kern w:val="22"/>
              <w:szCs w:val="22"/>
            </w:rPr>
            <w:t>CBD/COP/DEC/14/34</w:t>
          </w:r>
        </w:sdtContent>
      </w:sdt>
      <w:r w:rsidRPr="0055760F" w:rsidDel="0055760F">
        <w:rPr>
          <w:b/>
          <w:kern w:val="18"/>
          <w:szCs w:val="18"/>
        </w:rPr>
        <w:t xml:space="preserve"> </w:t>
      </w:r>
      <w:r>
        <w:rPr>
          <w:kern w:val="22"/>
          <w:szCs w:val="22"/>
        </w:rPr>
        <w:t>CBD/COP/14/INF/21</w:t>
      </w:r>
      <w:r w:rsidRPr="0018402A">
        <w:rPr>
          <w:szCs w:val="18"/>
          <w:lang w:val="en-US"/>
        </w:rPr>
        <w:t>.</w:t>
      </w:r>
      <w:r>
        <w:rPr>
          <w:szCs w:val="18"/>
          <w:lang w:val="en-US"/>
        </w:rPr>
        <w:t xml:space="preserve"> </w:t>
      </w:r>
    </w:p>
  </w:footnote>
  <w:footnote w:id="3">
    <w:p w14:paraId="2D4CDA4F" w14:textId="11715A95" w:rsidR="00344D53" w:rsidRPr="007E21C8" w:rsidRDefault="00344D53" w:rsidP="00344D53">
      <w:pPr>
        <w:pStyle w:val="FootnoteText"/>
        <w:ind w:firstLine="0"/>
      </w:pPr>
      <w:r>
        <w:rPr>
          <w:rStyle w:val="FootnoteReference"/>
        </w:rPr>
        <w:footnoteRef/>
      </w:r>
      <w:r>
        <w:t xml:space="preserve"> </w:t>
      </w:r>
      <w:r w:rsidRPr="00344D53">
        <w:t>https://www.cbd.int/cop/cop-14/annoucement/nature-action-agenda-egypt-to-china-en.pdf</w:t>
      </w:r>
    </w:p>
  </w:footnote>
  <w:footnote w:id="4">
    <w:p w14:paraId="3DBEBDAD" w14:textId="317880A7" w:rsidR="007F606E" w:rsidRPr="00B33EA7" w:rsidRDefault="007F606E" w:rsidP="00500B7F">
      <w:pPr>
        <w:pStyle w:val="FootnoteText"/>
        <w:keepLines w:val="0"/>
        <w:kinsoku w:val="0"/>
        <w:overflowPunct w:val="0"/>
        <w:autoSpaceDE w:val="0"/>
        <w:autoSpaceDN w:val="0"/>
        <w:adjustRightInd w:val="0"/>
        <w:snapToGrid w:val="0"/>
        <w:ind w:firstLine="0"/>
        <w:jc w:val="left"/>
        <w:rPr>
          <w:snapToGrid w:val="0"/>
          <w:kern w:val="18"/>
          <w:szCs w:val="18"/>
          <w:lang w:val="fr-FR"/>
        </w:rPr>
      </w:pPr>
      <w:r w:rsidRPr="004C2138">
        <w:rPr>
          <w:rStyle w:val="FootnoteReference"/>
          <w:snapToGrid w:val="0"/>
          <w:kern w:val="18"/>
        </w:rPr>
        <w:footnoteRef/>
      </w:r>
      <w:r w:rsidRPr="007F6781">
        <w:rPr>
          <w:snapToGrid w:val="0"/>
          <w:kern w:val="18"/>
          <w:szCs w:val="18"/>
          <w:lang w:val="fr-BE"/>
        </w:rPr>
        <w:t xml:space="preserve"> </w:t>
      </w:r>
      <w:r w:rsidRPr="00B33EA7">
        <w:rPr>
          <w:snapToGrid w:val="0"/>
          <w:kern w:val="18"/>
          <w:szCs w:val="18"/>
          <w:lang w:val="fr-FR"/>
        </w:rPr>
        <w:t xml:space="preserve">Résolution </w:t>
      </w:r>
      <w:r w:rsidRPr="00F9574B">
        <w:rPr>
          <w:snapToGrid w:val="0"/>
          <w:kern w:val="18"/>
          <w:szCs w:val="18"/>
          <w:lang w:val="fr-FR"/>
        </w:rPr>
        <w:t>70/1</w:t>
      </w:r>
      <w:r w:rsidRPr="00B33EA7">
        <w:rPr>
          <w:snapToGrid w:val="0"/>
          <w:kern w:val="18"/>
          <w:szCs w:val="18"/>
          <w:lang w:val="fr-FR"/>
        </w:rPr>
        <w:t xml:space="preserve"> </w:t>
      </w:r>
      <w:r>
        <w:rPr>
          <w:snapToGrid w:val="0"/>
          <w:kern w:val="18"/>
          <w:szCs w:val="18"/>
          <w:lang w:val="fr-FR"/>
        </w:rPr>
        <w:t>du 25 septembre</w:t>
      </w:r>
      <w:r w:rsidRPr="00B33EA7">
        <w:rPr>
          <w:snapToGrid w:val="0"/>
          <w:kern w:val="18"/>
          <w:szCs w:val="18"/>
          <w:lang w:val="fr-FR"/>
        </w:rPr>
        <w:t xml:space="preserve"> 2015</w:t>
      </w:r>
      <w:r>
        <w:rPr>
          <w:snapToGrid w:val="0"/>
          <w:kern w:val="18"/>
          <w:szCs w:val="18"/>
          <w:lang w:val="fr-FR"/>
        </w:rPr>
        <w:t xml:space="preserve"> de l’Assemblée générale.</w:t>
      </w:r>
    </w:p>
  </w:footnote>
  <w:footnote w:id="5">
    <w:p w14:paraId="167C62F4" w14:textId="50A95805" w:rsidR="007F606E" w:rsidRPr="004C1435" w:rsidRDefault="007F606E" w:rsidP="00421ED5">
      <w:pPr>
        <w:pStyle w:val="FootnoteText"/>
        <w:ind w:firstLine="0"/>
        <w:rPr>
          <w:lang w:val="fr-FR"/>
        </w:rPr>
      </w:pPr>
      <w:r w:rsidRPr="004C1435">
        <w:rPr>
          <w:rStyle w:val="FootnoteReference"/>
          <w:rFonts w:eastAsiaTheme="majorEastAsia"/>
          <w:lang w:val="fr-FR"/>
        </w:rPr>
        <w:footnoteRef/>
      </w:r>
      <w:r w:rsidRPr="004C1435">
        <w:rPr>
          <w:lang w:val="fr-FR"/>
        </w:rPr>
        <w:t xml:space="preserve"> Le terme « cadre » est employé dans le présent document afin de ne pas porter préjudice à toute décision de la Conférence des Parties, de la Conférence des Parties siégeant en tant que réunion des Parties au Protocole de Cartagena pour la prévention des risques biotechnologiques et de la Conférence des Parties siégeant en tant que réunion des Parties au Protocole de Nagoya sur l’accès et le partage des avantages concernant la forme que le suivi du Plan stratégique </w:t>
      </w:r>
      <w:r>
        <w:rPr>
          <w:lang w:val="fr-FR"/>
        </w:rPr>
        <w:t xml:space="preserve">2011-2020 </w:t>
      </w:r>
      <w:r w:rsidRPr="004C1435">
        <w:rPr>
          <w:lang w:val="fr-FR"/>
        </w:rPr>
        <w:t>pour la diversité biologique pourrait revêtir.</w:t>
      </w:r>
    </w:p>
  </w:footnote>
  <w:footnote w:id="6">
    <w:p w14:paraId="442FBF95" w14:textId="182D0C71" w:rsidR="002D1689" w:rsidRPr="002D1689" w:rsidRDefault="002D1689" w:rsidP="002D1689">
      <w:pPr>
        <w:pStyle w:val="FootnoteText"/>
        <w:suppressLineNumbers/>
        <w:suppressAutoHyphens/>
        <w:ind w:firstLine="0"/>
        <w:jc w:val="left"/>
        <w:rPr>
          <w:lang w:val="fr-FR"/>
        </w:rPr>
      </w:pPr>
      <w:r w:rsidRPr="002D1689">
        <w:rPr>
          <w:rStyle w:val="FootnoteReference"/>
          <w:lang w:val="fr-FR"/>
        </w:rPr>
        <w:footnoteRef/>
      </w:r>
      <w:r w:rsidRPr="002D1689">
        <w:rPr>
          <w:lang w:val="fr-FR"/>
        </w:rPr>
        <w:t xml:space="preserve"> Nations Unies, </w:t>
      </w:r>
      <w:r w:rsidRPr="002D1689">
        <w:rPr>
          <w:i/>
          <w:lang w:val="fr-FR"/>
        </w:rPr>
        <w:t>Action 21: Sommet de la Terre</w:t>
      </w:r>
      <w:r w:rsidR="005039B5">
        <w:rPr>
          <w:i/>
          <w:lang w:val="fr-FR"/>
        </w:rPr>
        <w:t>: Programme d’action des Nations Unies de Rio</w:t>
      </w:r>
      <w:r w:rsidR="005039B5">
        <w:rPr>
          <w:lang w:val="fr-FR"/>
        </w:rPr>
        <w:t xml:space="preserve"> (Publication des Nations Unies, Numéro de vente :</w:t>
      </w:r>
      <w:r w:rsidRPr="002D1689">
        <w:rPr>
          <w:lang w:val="fr-FR"/>
        </w:rPr>
        <w:t xml:space="preserve"> E.93.I.11).</w:t>
      </w:r>
    </w:p>
  </w:footnote>
  <w:footnote w:id="7">
    <w:p w14:paraId="5F0EC40A" w14:textId="6F1C6592" w:rsidR="007F606E" w:rsidRPr="002D1689" w:rsidRDefault="007F606E" w:rsidP="002A5910">
      <w:pPr>
        <w:pStyle w:val="Para1"/>
        <w:suppressLineNumbers/>
        <w:suppressAutoHyphens/>
        <w:kinsoku w:val="0"/>
        <w:overflowPunct w:val="0"/>
        <w:autoSpaceDE w:val="0"/>
        <w:autoSpaceDN w:val="0"/>
        <w:adjustRightInd w:val="0"/>
        <w:snapToGrid w:val="0"/>
        <w:rPr>
          <w:kern w:val="22"/>
          <w:sz w:val="18"/>
          <w:lang w:val="fr-FR"/>
        </w:rPr>
      </w:pPr>
      <w:r w:rsidRPr="002D1689">
        <w:rPr>
          <w:rStyle w:val="FootnoteReference"/>
          <w:lang w:val="fr-FR"/>
        </w:rPr>
        <w:footnoteRef/>
      </w:r>
      <w:r w:rsidRPr="002D1689">
        <w:rPr>
          <w:sz w:val="18"/>
          <w:lang w:val="fr-FR"/>
        </w:rPr>
        <w:t xml:space="preserve"> Un projet de conseil</w:t>
      </w:r>
      <w:r w:rsidR="00C65534" w:rsidRPr="002D1689">
        <w:rPr>
          <w:sz w:val="18"/>
          <w:lang w:val="fr-FR"/>
        </w:rPr>
        <w:t>s</w:t>
      </w:r>
      <w:r w:rsidRPr="002D1689">
        <w:rPr>
          <w:sz w:val="18"/>
          <w:lang w:val="fr-FR"/>
        </w:rPr>
        <w:t xml:space="preserve"> aux Parties, au Secrétariat et à d’autres organisations compétentes visant à faciliter un processus sensible au genre pour l’élaboration du cadre mondial de la diversité biologique de l’après-2020 a été développé et est présenté dans les documents </w:t>
      </w:r>
      <w:r w:rsidRPr="002D1689">
        <w:rPr>
          <w:kern w:val="22"/>
          <w:sz w:val="18"/>
          <w:lang w:val="fr-FR" w:eastAsia="en-CA"/>
        </w:rPr>
        <w:t>CBD/COP/14/9/Add.1, CBD/COP</w:t>
      </w:r>
      <w:r w:rsidR="00C65534" w:rsidRPr="002D1689">
        <w:rPr>
          <w:kern w:val="22"/>
          <w:sz w:val="18"/>
          <w:lang w:val="fr-FR" w:eastAsia="en-CA"/>
        </w:rPr>
        <w:t>/14/INF 15 et CBD/COP/14/INF/21</w:t>
      </w:r>
      <w:r w:rsidRPr="002D1689">
        <w:rPr>
          <w:kern w:val="22"/>
          <w:sz w:val="18"/>
          <w:lang w:val="fr-FR" w:eastAsia="en-CA"/>
        </w:rPr>
        <w:t>.</w:t>
      </w:r>
    </w:p>
  </w:footnote>
  <w:footnote w:id="8">
    <w:p w14:paraId="58A92965" w14:textId="119B0FA1" w:rsidR="002D1689" w:rsidRPr="005039B5" w:rsidRDefault="002D1689" w:rsidP="002D1689">
      <w:pPr>
        <w:pStyle w:val="FootnoteText"/>
        <w:suppressLineNumbers/>
        <w:suppressAutoHyphens/>
        <w:ind w:firstLine="0"/>
        <w:jc w:val="left"/>
        <w:rPr>
          <w:kern w:val="18"/>
          <w:szCs w:val="18"/>
          <w:lang w:val="fr-FR"/>
        </w:rPr>
      </w:pPr>
      <w:r w:rsidRPr="005039B5">
        <w:rPr>
          <w:rStyle w:val="FootnoteReference"/>
          <w:kern w:val="18"/>
          <w:szCs w:val="18"/>
          <w:lang w:val="fr-FR"/>
        </w:rPr>
        <w:footnoteRef/>
      </w:r>
      <w:r w:rsidRPr="005039B5">
        <w:rPr>
          <w:kern w:val="18"/>
          <w:szCs w:val="18"/>
          <w:lang w:val="fr-FR"/>
        </w:rPr>
        <w:t xml:space="preserve"> </w:t>
      </w:r>
      <w:r w:rsidR="005039B5" w:rsidRPr="005039B5">
        <w:rPr>
          <w:snapToGrid w:val="0"/>
          <w:kern w:val="18"/>
          <w:szCs w:val="18"/>
          <w:lang w:val="fr-FR"/>
        </w:rPr>
        <w:t>Adopté en vertu de la Convention-Cadre des Nations Unies sur les changements climatiques</w:t>
      </w:r>
      <w:r w:rsidR="00C46B6A">
        <w:rPr>
          <w:snapToGrid w:val="0"/>
          <w:kern w:val="18"/>
          <w:szCs w:val="18"/>
          <w:lang w:val="fr-FR"/>
        </w:rPr>
        <w:t xml:space="preserve"> (Nations Unies</w:t>
      </w:r>
      <w:r w:rsidRPr="005039B5">
        <w:rPr>
          <w:snapToGrid w:val="0"/>
          <w:kern w:val="18"/>
          <w:szCs w:val="18"/>
          <w:lang w:val="fr-FR"/>
        </w:rPr>
        <w:t xml:space="preserve">, </w:t>
      </w:r>
      <w:r w:rsidR="00C46B6A">
        <w:rPr>
          <w:i/>
          <w:snapToGrid w:val="0"/>
          <w:kern w:val="18"/>
          <w:szCs w:val="18"/>
          <w:lang w:val="fr-FR"/>
        </w:rPr>
        <w:t>Recueil des traité</w:t>
      </w:r>
      <w:r w:rsidRPr="005039B5">
        <w:rPr>
          <w:i/>
          <w:snapToGrid w:val="0"/>
          <w:kern w:val="18"/>
          <w:szCs w:val="18"/>
          <w:lang w:val="fr-FR"/>
        </w:rPr>
        <w:t>s</w:t>
      </w:r>
      <w:r w:rsidR="00C46B6A">
        <w:rPr>
          <w:snapToGrid w:val="0"/>
          <w:kern w:val="18"/>
          <w:szCs w:val="18"/>
          <w:lang w:val="fr-FR"/>
        </w:rPr>
        <w:t>, n</w:t>
      </w:r>
      <w:r w:rsidR="00C46B6A">
        <w:rPr>
          <w:snapToGrid w:val="0"/>
          <w:kern w:val="18"/>
          <w:szCs w:val="18"/>
          <w:vertAlign w:val="superscript"/>
          <w:lang w:val="fr-FR"/>
        </w:rPr>
        <w:t>o</w:t>
      </w:r>
      <w:r w:rsidRPr="005039B5">
        <w:rPr>
          <w:snapToGrid w:val="0"/>
          <w:kern w:val="18"/>
          <w:szCs w:val="18"/>
          <w:lang w:val="fr-FR"/>
        </w:rPr>
        <w:t xml:space="preserve"> I-54113).</w:t>
      </w:r>
    </w:p>
  </w:footnote>
  <w:footnote w:id="9">
    <w:p w14:paraId="72EE6A04" w14:textId="4135FA61" w:rsidR="007F606E" w:rsidRPr="00D5528A" w:rsidRDefault="007F606E" w:rsidP="002149CA">
      <w:pPr>
        <w:pStyle w:val="Para1"/>
        <w:keepLines/>
        <w:suppressLineNumbers/>
        <w:suppressAutoHyphens/>
        <w:spacing w:before="0" w:after="60"/>
        <w:jc w:val="left"/>
        <w:rPr>
          <w:kern w:val="18"/>
          <w:sz w:val="18"/>
          <w:lang w:val="fr-CA"/>
        </w:rPr>
      </w:pPr>
      <w:r w:rsidRPr="00C9428F">
        <w:rPr>
          <w:rStyle w:val="FootnoteReference"/>
          <w:kern w:val="18"/>
        </w:rPr>
        <w:footnoteRef/>
      </w:r>
      <w:r w:rsidR="006C3AD0">
        <w:rPr>
          <w:kern w:val="18"/>
          <w:sz w:val="18"/>
          <w:lang w:val="fr-CA"/>
        </w:rPr>
        <w:t xml:space="preserve"> Exemples de ces accords : </w:t>
      </w:r>
      <w:r w:rsidR="002921D8">
        <w:rPr>
          <w:kern w:val="18"/>
          <w:sz w:val="18"/>
          <w:lang w:val="fr-CA"/>
        </w:rPr>
        <w:t>a</w:t>
      </w:r>
      <w:r w:rsidRPr="00D5528A">
        <w:rPr>
          <w:kern w:val="18"/>
          <w:sz w:val="18"/>
          <w:lang w:val="fr-CA"/>
        </w:rPr>
        <w:t xml:space="preserve">) Code d’action de Sendai pour la </w:t>
      </w:r>
      <w:r>
        <w:rPr>
          <w:kern w:val="18"/>
          <w:sz w:val="18"/>
          <w:lang w:val="fr-CA"/>
        </w:rPr>
        <w:t>ré</w:t>
      </w:r>
      <w:r w:rsidRPr="00D5528A">
        <w:rPr>
          <w:kern w:val="18"/>
          <w:sz w:val="18"/>
          <w:lang w:val="fr-CA"/>
        </w:rPr>
        <w:t>duction des risques de catastrophe 2015-2030, adopté au titre du Bureau des Nations Unies pour la pr</w:t>
      </w:r>
      <w:r>
        <w:rPr>
          <w:kern w:val="18"/>
          <w:sz w:val="18"/>
          <w:lang w:val="fr-CA"/>
        </w:rPr>
        <w:t>é</w:t>
      </w:r>
      <w:r w:rsidRPr="00D5528A">
        <w:rPr>
          <w:kern w:val="18"/>
          <w:sz w:val="18"/>
          <w:lang w:val="fr-CA"/>
        </w:rPr>
        <w:t xml:space="preserve">vention des catastrophes, </w:t>
      </w:r>
      <w:r w:rsidR="002921D8">
        <w:rPr>
          <w:kern w:val="18"/>
          <w:sz w:val="18"/>
          <w:lang w:val="fr-CA"/>
        </w:rPr>
        <w:t>b</w:t>
      </w:r>
      <w:r w:rsidRPr="00D5528A">
        <w:rPr>
          <w:kern w:val="18"/>
          <w:sz w:val="18"/>
          <w:lang w:val="fr-CA"/>
        </w:rPr>
        <w:t>) l’</w:t>
      </w:r>
      <w:r>
        <w:rPr>
          <w:kern w:val="18"/>
          <w:sz w:val="18"/>
          <w:lang w:val="fr-CA"/>
        </w:rPr>
        <w:t>O</w:t>
      </w:r>
      <w:r w:rsidRPr="00D5528A">
        <w:rPr>
          <w:kern w:val="18"/>
          <w:sz w:val="18"/>
          <w:lang w:val="fr-CA"/>
        </w:rPr>
        <w:t xml:space="preserve">bjectif de neutralité dans la </w:t>
      </w:r>
      <w:r>
        <w:rPr>
          <w:kern w:val="18"/>
          <w:sz w:val="18"/>
          <w:lang w:val="fr-CA"/>
        </w:rPr>
        <w:t>dé</w:t>
      </w:r>
      <w:r w:rsidRPr="00D5528A">
        <w:rPr>
          <w:kern w:val="18"/>
          <w:sz w:val="18"/>
          <w:lang w:val="fr-CA"/>
        </w:rPr>
        <w:t>gradation des sols adopté au titre de la Convention des Nations Unies sur la lut</w:t>
      </w:r>
      <w:r>
        <w:rPr>
          <w:kern w:val="18"/>
          <w:sz w:val="18"/>
          <w:lang w:val="fr-CA"/>
        </w:rPr>
        <w:t>t</w:t>
      </w:r>
      <w:r w:rsidRPr="00D5528A">
        <w:rPr>
          <w:kern w:val="18"/>
          <w:sz w:val="18"/>
          <w:lang w:val="fr-CA"/>
        </w:rPr>
        <w:t xml:space="preserve">e </w:t>
      </w:r>
      <w:r>
        <w:rPr>
          <w:kern w:val="18"/>
          <w:sz w:val="18"/>
          <w:lang w:val="fr-CA"/>
        </w:rPr>
        <w:t>contre la désertificatio</w:t>
      </w:r>
      <w:r w:rsidRPr="00D5528A">
        <w:rPr>
          <w:kern w:val="18"/>
          <w:sz w:val="18"/>
          <w:lang w:val="fr-CA"/>
        </w:rPr>
        <w:t xml:space="preserve">n, </w:t>
      </w:r>
      <w:r w:rsidR="002921D8">
        <w:rPr>
          <w:kern w:val="18"/>
          <w:sz w:val="18"/>
          <w:lang w:val="fr-CA"/>
        </w:rPr>
        <w:t>c</w:t>
      </w:r>
      <w:r w:rsidRPr="00D5528A">
        <w:rPr>
          <w:kern w:val="18"/>
          <w:sz w:val="18"/>
          <w:lang w:val="fr-CA"/>
        </w:rPr>
        <w:t>) le Nouveau Programme pour les villes, adopté au titre du Programme des Nations Unies pour les établissements humains</w:t>
      </w:r>
      <w:r>
        <w:rPr>
          <w:kern w:val="18"/>
          <w:sz w:val="18"/>
          <w:lang w:val="fr-CA"/>
        </w:rPr>
        <w:t>,</w:t>
      </w:r>
      <w:r w:rsidRPr="00D5528A">
        <w:rPr>
          <w:kern w:val="18"/>
          <w:sz w:val="18"/>
          <w:lang w:val="fr-CA"/>
        </w:rPr>
        <w:t xml:space="preserve"> </w:t>
      </w:r>
      <w:r w:rsidR="002921D8">
        <w:rPr>
          <w:kern w:val="18"/>
          <w:sz w:val="18"/>
          <w:lang w:val="fr-CA"/>
        </w:rPr>
        <w:t>d</w:t>
      </w:r>
      <w:r w:rsidRPr="00D5528A">
        <w:rPr>
          <w:kern w:val="18"/>
          <w:sz w:val="18"/>
          <w:lang w:val="fr-CA"/>
        </w:rPr>
        <w:t xml:space="preserve">) </w:t>
      </w:r>
      <w:r>
        <w:rPr>
          <w:kern w:val="18"/>
          <w:sz w:val="18"/>
          <w:lang w:val="fr-CA"/>
        </w:rPr>
        <w:t xml:space="preserve">le Traité international sur les ressources </w:t>
      </w:r>
      <w:r>
        <w:rPr>
          <w:noProof/>
          <w:kern w:val="18"/>
          <w:sz w:val="18"/>
          <w:lang w:val="fr-CA"/>
        </w:rPr>
        <w:t>phytogénétiques</w:t>
      </w:r>
      <w:r>
        <w:rPr>
          <w:kern w:val="18"/>
          <w:sz w:val="18"/>
          <w:lang w:val="fr-CA"/>
        </w:rPr>
        <w:t xml:space="preserve"> pour l’alimentation et l’agriculture, </w:t>
      </w:r>
      <w:r w:rsidR="002921D8">
        <w:rPr>
          <w:kern w:val="18"/>
          <w:sz w:val="18"/>
          <w:lang w:val="fr-CA"/>
        </w:rPr>
        <w:t>e</w:t>
      </w:r>
      <w:r w:rsidRPr="00D5528A">
        <w:rPr>
          <w:kern w:val="18"/>
          <w:sz w:val="18"/>
          <w:lang w:val="fr-CA"/>
        </w:rPr>
        <w:t xml:space="preserve">) </w:t>
      </w:r>
      <w:r>
        <w:rPr>
          <w:kern w:val="18"/>
          <w:sz w:val="18"/>
          <w:lang w:val="fr-CA"/>
        </w:rPr>
        <w:t>le Programme sur l’h</w:t>
      </w:r>
      <w:r w:rsidR="002921D8">
        <w:rPr>
          <w:kern w:val="18"/>
          <w:sz w:val="18"/>
          <w:lang w:val="fr-CA"/>
        </w:rPr>
        <w:t>omme et la biosphère</w:t>
      </w:r>
      <w:r>
        <w:rPr>
          <w:kern w:val="18"/>
          <w:sz w:val="18"/>
          <w:lang w:val="fr-CA"/>
        </w:rPr>
        <w:t xml:space="preserve"> et son Réseau mondial des réserves de biosphère et la Convention du patrimoine mondial</w:t>
      </w:r>
      <w:r w:rsidR="002921D8">
        <w:rPr>
          <w:kern w:val="18"/>
          <w:sz w:val="18"/>
          <w:lang w:val="fr-CA"/>
        </w:rPr>
        <w:t xml:space="preserve"> de l’Organisation des Nations Unies pour l’éducation, la science et la culture (UNESCO)</w:t>
      </w:r>
      <w:r>
        <w:rPr>
          <w:kern w:val="18"/>
          <w:sz w:val="18"/>
          <w:lang w:val="fr-CA"/>
        </w:rPr>
        <w:t xml:space="preserve">, </w:t>
      </w:r>
      <w:r w:rsidR="002921D8">
        <w:rPr>
          <w:kern w:val="18"/>
          <w:sz w:val="18"/>
          <w:lang w:val="fr-CA"/>
        </w:rPr>
        <w:t>f</w:t>
      </w:r>
      <w:r w:rsidRPr="00D5528A">
        <w:rPr>
          <w:kern w:val="18"/>
          <w:sz w:val="18"/>
          <w:lang w:val="fr-CA"/>
        </w:rPr>
        <w:t xml:space="preserve">) </w:t>
      </w:r>
      <w:r>
        <w:rPr>
          <w:kern w:val="18"/>
          <w:sz w:val="18"/>
          <w:lang w:val="fr-CA"/>
        </w:rPr>
        <w:t>la Convention des Nations Unies sur le droit de la mer, ainsi que ses principaux programmes/stratégies adoptés par d’autres conventions liées à la diversité biologique, telles que</w:t>
      </w:r>
      <w:r w:rsidRPr="00D5528A">
        <w:rPr>
          <w:kern w:val="18"/>
          <w:sz w:val="18"/>
          <w:lang w:val="fr-CA"/>
        </w:rPr>
        <w:t xml:space="preserve"> </w:t>
      </w:r>
      <w:r w:rsidR="002D1689">
        <w:rPr>
          <w:kern w:val="18"/>
          <w:sz w:val="18"/>
          <w:lang w:val="fr-CA"/>
        </w:rPr>
        <w:t>g</w:t>
      </w:r>
      <w:r w:rsidRPr="00D5528A">
        <w:rPr>
          <w:kern w:val="18"/>
          <w:sz w:val="18"/>
          <w:lang w:val="fr-CA"/>
        </w:rPr>
        <w:t xml:space="preserve">) </w:t>
      </w:r>
      <w:r>
        <w:rPr>
          <w:kern w:val="18"/>
          <w:sz w:val="18"/>
          <w:lang w:val="fr-CA"/>
        </w:rPr>
        <w:t xml:space="preserve">le Plan stratégique pour les espèces migratrices 2015-2023, </w:t>
      </w:r>
      <w:r w:rsidR="002D1689">
        <w:rPr>
          <w:kern w:val="18"/>
          <w:sz w:val="18"/>
          <w:lang w:val="fr-CA"/>
        </w:rPr>
        <w:t>h</w:t>
      </w:r>
      <w:r w:rsidRPr="00D5528A">
        <w:rPr>
          <w:kern w:val="18"/>
          <w:sz w:val="18"/>
          <w:lang w:val="fr-CA"/>
        </w:rPr>
        <w:t xml:space="preserve">) </w:t>
      </w:r>
      <w:r>
        <w:rPr>
          <w:kern w:val="18"/>
          <w:sz w:val="18"/>
          <w:lang w:val="fr-CA"/>
        </w:rPr>
        <w:t xml:space="preserve">le Plan stratégique des Nations Unies pour les forêts 2017-2030, </w:t>
      </w:r>
      <w:r w:rsidR="002D1689">
        <w:rPr>
          <w:kern w:val="18"/>
          <w:sz w:val="18"/>
          <w:lang w:val="fr-CA"/>
        </w:rPr>
        <w:t>i</w:t>
      </w:r>
      <w:r w:rsidRPr="00D5528A">
        <w:rPr>
          <w:kern w:val="18"/>
          <w:sz w:val="18"/>
          <w:lang w:val="fr-CA"/>
        </w:rPr>
        <w:t>) </w:t>
      </w:r>
      <w:r>
        <w:rPr>
          <w:kern w:val="18"/>
          <w:sz w:val="18"/>
          <w:lang w:val="fr-CA"/>
        </w:rPr>
        <w:t xml:space="preserve">le quatrième plan stratégique de </w:t>
      </w:r>
      <w:r>
        <w:rPr>
          <w:noProof/>
          <w:kern w:val="18"/>
          <w:sz w:val="18"/>
          <w:lang w:val="fr-CA"/>
        </w:rPr>
        <w:t>Ramsar</w:t>
      </w:r>
      <w:r w:rsidRPr="00D5528A">
        <w:rPr>
          <w:kern w:val="18"/>
          <w:sz w:val="18"/>
          <w:lang w:val="fr-CA"/>
        </w:rPr>
        <w:t xml:space="preserve"> 2016-2024 </w:t>
      </w:r>
      <w:r>
        <w:rPr>
          <w:kern w:val="18"/>
          <w:sz w:val="18"/>
          <w:lang w:val="fr-CA"/>
        </w:rPr>
        <w:t xml:space="preserve">et </w:t>
      </w:r>
      <w:r w:rsidR="002D1689">
        <w:rPr>
          <w:kern w:val="18"/>
          <w:sz w:val="18"/>
          <w:lang w:val="fr-CA"/>
        </w:rPr>
        <w:t>j</w:t>
      </w:r>
      <w:r w:rsidRPr="00D5528A">
        <w:rPr>
          <w:kern w:val="18"/>
          <w:sz w:val="18"/>
          <w:lang w:val="fr-CA"/>
        </w:rPr>
        <w:t xml:space="preserve">) </w:t>
      </w:r>
      <w:r>
        <w:rPr>
          <w:kern w:val="18"/>
          <w:sz w:val="18"/>
          <w:lang w:val="fr-CA"/>
        </w:rPr>
        <w:t>la V</w:t>
      </w:r>
      <w:r w:rsidR="002D1689">
        <w:rPr>
          <w:kern w:val="18"/>
          <w:sz w:val="18"/>
          <w:lang w:val="fr-CA"/>
        </w:rPr>
        <w:t xml:space="preserve">ision stratégique </w:t>
      </w:r>
      <w:r>
        <w:rPr>
          <w:kern w:val="18"/>
          <w:sz w:val="18"/>
          <w:lang w:val="fr-CA"/>
        </w:rPr>
        <w:t>2008-2020</w:t>
      </w:r>
      <w:r w:rsidR="002D1689">
        <w:rPr>
          <w:kern w:val="18"/>
          <w:sz w:val="18"/>
          <w:lang w:val="fr-CA"/>
        </w:rPr>
        <w:t xml:space="preserve"> adoptée au titre de la Convention sur le commerce international d’espèces de faune et de flore sauvages menacées d’extinction (CITES)</w:t>
      </w:r>
      <w:r>
        <w:rPr>
          <w:kern w:val="18"/>
          <w:sz w:val="18"/>
          <w:lang w:val="fr-CA"/>
        </w:rPr>
        <w:t xml:space="preserve">, </w:t>
      </w:r>
      <w:r w:rsidR="002D1689">
        <w:rPr>
          <w:kern w:val="18"/>
          <w:sz w:val="18"/>
          <w:lang w:val="fr-CA"/>
        </w:rPr>
        <w:t>k</w:t>
      </w:r>
      <w:r w:rsidRPr="00D5528A">
        <w:rPr>
          <w:kern w:val="18"/>
          <w:sz w:val="18"/>
          <w:lang w:val="fr-CA"/>
        </w:rPr>
        <w:t xml:space="preserve">) </w:t>
      </w:r>
      <w:r>
        <w:rPr>
          <w:kern w:val="18"/>
          <w:sz w:val="18"/>
          <w:lang w:val="fr-CA"/>
        </w:rPr>
        <w:t xml:space="preserve">le Programme d’action d’Addis-Abeba pour la mobilisation des ressources adopté par la Troisième </w:t>
      </w:r>
      <w:r w:rsidRPr="0037438E">
        <w:rPr>
          <w:kern w:val="18"/>
          <w:sz w:val="18"/>
          <w:lang w:val="fr-CA"/>
        </w:rPr>
        <w:t>Conférence internationale sur le financement pour le dé</w:t>
      </w:r>
      <w:r w:rsidR="002D1689">
        <w:rPr>
          <w:kern w:val="18"/>
          <w:sz w:val="18"/>
          <w:lang w:val="fr-CA"/>
        </w:rPr>
        <w:t>veloppement, l</w:t>
      </w:r>
      <w:r w:rsidRPr="0037438E">
        <w:rPr>
          <w:kern w:val="18"/>
          <w:sz w:val="18"/>
          <w:lang w:val="fr-CA"/>
        </w:rPr>
        <w:t>) les</w:t>
      </w:r>
      <w:r w:rsidR="002D1689">
        <w:rPr>
          <w:kern w:val="18"/>
          <w:sz w:val="18"/>
          <w:lang w:val="fr-CA"/>
        </w:rPr>
        <w:t xml:space="preserve"> Modalités d’action accélérées des petits États insulaires en développement (</w:t>
      </w:r>
      <w:r w:rsidRPr="0037438E">
        <w:rPr>
          <w:kern w:val="18"/>
          <w:sz w:val="18"/>
          <w:lang w:val="fr-CA"/>
        </w:rPr>
        <w:t>Orientations de Samoa</w:t>
      </w:r>
      <w:r w:rsidR="002D1689">
        <w:rPr>
          <w:kern w:val="18"/>
          <w:sz w:val="18"/>
          <w:lang w:val="fr-CA"/>
        </w:rPr>
        <w:t>), et m</w:t>
      </w:r>
      <w:r w:rsidRPr="0037438E">
        <w:rPr>
          <w:kern w:val="18"/>
          <w:sz w:val="18"/>
          <w:lang w:val="fr-CA"/>
        </w:rPr>
        <w:t>) la vision et la mission du Partenariat de la montagne</w:t>
      </w:r>
      <w:r w:rsidRPr="00D5528A">
        <w:rPr>
          <w:kern w:val="18"/>
          <w:sz w:val="18"/>
          <w:lang w:val="fr-CA"/>
        </w:rPr>
        <w:t>.</w:t>
      </w:r>
    </w:p>
  </w:footnote>
  <w:footnote w:id="10">
    <w:p w14:paraId="5EE08395" w14:textId="4B8E89AD" w:rsidR="005B7FF6" w:rsidRPr="00D96554" w:rsidRDefault="005B7FF6" w:rsidP="005B7FF6">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w:t>
      </w:r>
      <w:r w:rsidR="00CE7C3C" w:rsidRPr="005039B5">
        <w:rPr>
          <w:snapToGrid w:val="0"/>
          <w:kern w:val="18"/>
          <w:szCs w:val="18"/>
          <w:lang w:val="fr-FR"/>
        </w:rPr>
        <w:t>Adopté en vertu de la Convention-Cadre des Nations Unies sur les changements climatiques</w:t>
      </w:r>
      <w:r w:rsidR="00CE7C3C">
        <w:rPr>
          <w:snapToGrid w:val="0"/>
          <w:kern w:val="18"/>
          <w:szCs w:val="18"/>
          <w:lang w:val="fr-FR"/>
        </w:rPr>
        <w:t xml:space="preserve"> (Nations Unies</w:t>
      </w:r>
      <w:r w:rsidR="00CE7C3C" w:rsidRPr="005039B5">
        <w:rPr>
          <w:snapToGrid w:val="0"/>
          <w:kern w:val="18"/>
          <w:szCs w:val="18"/>
          <w:lang w:val="fr-FR"/>
        </w:rPr>
        <w:t xml:space="preserve">, </w:t>
      </w:r>
      <w:r w:rsidR="00CE7C3C">
        <w:rPr>
          <w:i/>
          <w:snapToGrid w:val="0"/>
          <w:kern w:val="18"/>
          <w:szCs w:val="18"/>
          <w:lang w:val="fr-FR"/>
        </w:rPr>
        <w:t>Recueil des traité</w:t>
      </w:r>
      <w:r w:rsidR="00CE7C3C" w:rsidRPr="005039B5">
        <w:rPr>
          <w:i/>
          <w:snapToGrid w:val="0"/>
          <w:kern w:val="18"/>
          <w:szCs w:val="18"/>
          <w:lang w:val="fr-FR"/>
        </w:rPr>
        <w:t>s</w:t>
      </w:r>
      <w:r w:rsidR="00CE7C3C">
        <w:rPr>
          <w:snapToGrid w:val="0"/>
          <w:kern w:val="18"/>
          <w:szCs w:val="18"/>
          <w:lang w:val="fr-FR"/>
        </w:rPr>
        <w:t>, n</w:t>
      </w:r>
      <w:r w:rsidR="00CE7C3C">
        <w:rPr>
          <w:snapToGrid w:val="0"/>
          <w:kern w:val="18"/>
          <w:szCs w:val="18"/>
          <w:vertAlign w:val="superscript"/>
          <w:lang w:val="fr-FR"/>
        </w:rPr>
        <w:t>o</w:t>
      </w:r>
      <w:r w:rsidR="00CE7C3C" w:rsidRPr="005039B5">
        <w:rPr>
          <w:snapToGrid w:val="0"/>
          <w:kern w:val="18"/>
          <w:szCs w:val="18"/>
          <w:lang w:val="fr-FR"/>
        </w:rPr>
        <w:t xml:space="preserve"> I-54113).</w:t>
      </w:r>
    </w:p>
  </w:footnote>
  <w:footnote w:id="11">
    <w:p w14:paraId="6D228F25" w14:textId="77777777" w:rsidR="00097EBB" w:rsidRPr="00097EBB" w:rsidRDefault="00097EBB" w:rsidP="00097EBB">
      <w:pPr>
        <w:pStyle w:val="FootnoteText"/>
        <w:suppressLineNumbers/>
        <w:suppressAutoHyphens/>
        <w:ind w:firstLine="0"/>
        <w:jc w:val="left"/>
        <w:rPr>
          <w:kern w:val="18"/>
          <w:szCs w:val="18"/>
          <w:lang w:val="fr-FR"/>
        </w:rPr>
      </w:pPr>
      <w:r w:rsidRPr="00097EBB">
        <w:rPr>
          <w:rStyle w:val="FootnoteReference"/>
          <w:kern w:val="18"/>
          <w:szCs w:val="18"/>
          <w:lang w:val="fr-FR"/>
        </w:rPr>
        <w:footnoteRef/>
      </w:r>
      <w:r w:rsidRPr="00097EBB">
        <w:rPr>
          <w:kern w:val="18"/>
          <w:szCs w:val="18"/>
          <w:lang w:val="fr-FR"/>
        </w:rPr>
        <w:t xml:space="preserve"> CBD/NP/MOP/DEC/3/1.</w:t>
      </w:r>
    </w:p>
  </w:footnote>
  <w:footnote w:id="12">
    <w:p w14:paraId="5EF76B73" w14:textId="77777777" w:rsidR="00097EBB" w:rsidRPr="00097EBB" w:rsidRDefault="00097EBB" w:rsidP="00097EBB">
      <w:pPr>
        <w:pStyle w:val="FootnoteText"/>
        <w:suppressLineNumbers/>
        <w:suppressAutoHyphens/>
        <w:ind w:firstLine="0"/>
        <w:jc w:val="left"/>
        <w:rPr>
          <w:kern w:val="18"/>
          <w:szCs w:val="18"/>
          <w:lang w:val="fr-FR"/>
        </w:rPr>
      </w:pPr>
      <w:r w:rsidRPr="00097EBB">
        <w:rPr>
          <w:rStyle w:val="FootnoteReference"/>
          <w:kern w:val="18"/>
          <w:szCs w:val="18"/>
          <w:lang w:val="fr-FR"/>
        </w:rPr>
        <w:footnoteRef/>
      </w:r>
      <w:r w:rsidRPr="00097EBB">
        <w:rPr>
          <w:kern w:val="18"/>
          <w:szCs w:val="18"/>
          <w:lang w:val="fr-FR"/>
        </w:rPr>
        <w:t xml:space="preserve"> CBD/CP/MOP/DEC/9/3.</w:t>
      </w:r>
    </w:p>
  </w:footnote>
  <w:footnote w:id="13">
    <w:p w14:paraId="0965BBFA" w14:textId="77777777" w:rsidR="007F606E" w:rsidRPr="002B4431" w:rsidRDefault="007F606E" w:rsidP="00421ED5">
      <w:pPr>
        <w:kinsoku w:val="0"/>
        <w:overflowPunct w:val="0"/>
        <w:autoSpaceDE w:val="0"/>
        <w:autoSpaceDN w:val="0"/>
        <w:adjustRightInd w:val="0"/>
        <w:snapToGrid w:val="0"/>
        <w:spacing w:after="60"/>
        <w:jc w:val="left"/>
        <w:rPr>
          <w:snapToGrid w:val="0"/>
          <w:kern w:val="18"/>
          <w:sz w:val="18"/>
          <w:szCs w:val="18"/>
          <w:lang w:val="fr-FR"/>
        </w:rPr>
      </w:pPr>
      <w:r w:rsidRPr="002B4431">
        <w:rPr>
          <w:rStyle w:val="FootnoteReference"/>
          <w:rFonts w:eastAsiaTheme="majorEastAsia"/>
          <w:snapToGrid w:val="0"/>
          <w:kern w:val="18"/>
          <w:szCs w:val="18"/>
          <w:lang w:val="fr-FR"/>
        </w:rPr>
        <w:footnoteRef/>
      </w:r>
      <w:r w:rsidRPr="002B4431">
        <w:rPr>
          <w:snapToGrid w:val="0"/>
          <w:kern w:val="18"/>
          <w:sz w:val="18"/>
          <w:szCs w:val="18"/>
          <w:lang w:val="fr-FR"/>
        </w:rPr>
        <w:t xml:space="preserve"> R</w:t>
      </w:r>
      <w:r>
        <w:rPr>
          <w:snapToGrid w:val="0"/>
          <w:kern w:val="18"/>
          <w:sz w:val="18"/>
          <w:szCs w:val="18"/>
          <w:lang w:val="fr-FR"/>
        </w:rPr>
        <w:t>ésolution</w:t>
      </w:r>
      <w:r w:rsidRPr="002B4431">
        <w:rPr>
          <w:snapToGrid w:val="0"/>
          <w:kern w:val="18"/>
          <w:sz w:val="18"/>
          <w:szCs w:val="18"/>
          <w:lang w:val="fr-FR"/>
        </w:rPr>
        <w:t xml:space="preserve"> </w:t>
      </w:r>
      <w:hyperlink r:id="rId1" w:history="1">
        <w:r w:rsidRPr="002B4431">
          <w:rPr>
            <w:rStyle w:val="Hyperlink"/>
            <w:snapToGrid w:val="0"/>
            <w:kern w:val="18"/>
            <w:szCs w:val="18"/>
            <w:lang w:val="fr-FR"/>
          </w:rPr>
          <w:t>70/1</w:t>
        </w:r>
      </w:hyperlink>
      <w:r>
        <w:rPr>
          <w:snapToGrid w:val="0"/>
          <w:kern w:val="18"/>
          <w:sz w:val="18"/>
          <w:szCs w:val="18"/>
          <w:lang w:val="fr-FR"/>
        </w:rPr>
        <w:t xml:space="preserve"> du 25 septembre</w:t>
      </w:r>
      <w:r w:rsidRPr="002B4431">
        <w:rPr>
          <w:snapToGrid w:val="0"/>
          <w:kern w:val="18"/>
          <w:sz w:val="18"/>
          <w:szCs w:val="18"/>
          <w:lang w:val="fr-FR"/>
        </w:rPr>
        <w:t xml:space="preserve"> 2015</w:t>
      </w:r>
      <w:r>
        <w:rPr>
          <w:snapToGrid w:val="0"/>
          <w:kern w:val="18"/>
          <w:sz w:val="18"/>
          <w:szCs w:val="18"/>
          <w:lang w:val="fr-FR"/>
        </w:rPr>
        <w:t xml:space="preserve"> de l’Assemblée générale des Nations Unies intitulée « Transformer notre monde : le Programme de développement durable à l’horizon 2030 », </w:t>
      </w:r>
      <w:r w:rsidRPr="002B4431">
        <w:rPr>
          <w:snapToGrid w:val="0"/>
          <w:kern w:val="18"/>
          <w:sz w:val="18"/>
          <w:szCs w:val="18"/>
          <w:lang w:val="fr-FR"/>
        </w:rPr>
        <w:t>annex</w:t>
      </w:r>
      <w:r>
        <w:rPr>
          <w:snapToGrid w:val="0"/>
          <w:kern w:val="18"/>
          <w:sz w:val="18"/>
          <w:szCs w:val="18"/>
          <w:lang w:val="fr-FR"/>
        </w:rPr>
        <w:t>e</w:t>
      </w:r>
      <w:r w:rsidRPr="002B4431">
        <w:rPr>
          <w:snapToGrid w:val="0"/>
          <w:kern w:val="18"/>
          <w:sz w:val="18"/>
          <w:szCs w:val="18"/>
          <w:lang w:val="fr-FR"/>
        </w:rPr>
        <w:t>, p</w:t>
      </w:r>
      <w:r>
        <w:rPr>
          <w:snapToGrid w:val="0"/>
          <w:kern w:val="18"/>
          <w:sz w:val="18"/>
          <w:szCs w:val="18"/>
          <w:lang w:val="fr-FR"/>
        </w:rPr>
        <w:t>ar</w:t>
      </w:r>
      <w:r w:rsidRPr="002B4431">
        <w:rPr>
          <w:snapToGrid w:val="0"/>
          <w:kern w:val="18"/>
          <w:sz w:val="18"/>
          <w:szCs w:val="18"/>
          <w:lang w:val="fr-FR"/>
        </w:rPr>
        <w:t>. 83.</w:t>
      </w:r>
    </w:p>
  </w:footnote>
  <w:footnote w:id="14">
    <w:p w14:paraId="0E1F34F4" w14:textId="77777777" w:rsidR="00D80913" w:rsidRPr="00D96554" w:rsidRDefault="00D80913" w:rsidP="00D80913">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https://www.cbd.int/conferences/2018/cop-14-afr-hls</w:t>
      </w:r>
    </w:p>
  </w:footnote>
  <w:footnote w:id="15">
    <w:p w14:paraId="1C270274" w14:textId="1BBDD512" w:rsidR="002B0A37" w:rsidRPr="0006480A" w:rsidRDefault="002B0A37" w:rsidP="002B0A37">
      <w:pPr>
        <w:pStyle w:val="FootnoteText"/>
        <w:ind w:firstLine="0"/>
        <w:rPr>
          <w:lang w:val="en-US"/>
        </w:rPr>
      </w:pPr>
      <w:r>
        <w:rPr>
          <w:rStyle w:val="FootnoteReference"/>
        </w:rPr>
        <w:footnoteRef/>
      </w:r>
      <w:r>
        <w:t xml:space="preserve"> </w:t>
      </w:r>
      <w:r w:rsidR="00D80913" w:rsidRPr="007C146F">
        <w:rPr>
          <w:kern w:val="18"/>
          <w:szCs w:val="18"/>
        </w:rPr>
        <w:t>https://www.cbd.int/conferences/2018/parallel-meetings/science-forum</w:t>
      </w:r>
      <w:r>
        <w:rPr>
          <w:lang w:val="en-US"/>
        </w:rPr>
        <w:t>.</w:t>
      </w:r>
    </w:p>
  </w:footnote>
  <w:footnote w:id="16">
    <w:p w14:paraId="0F0C362D" w14:textId="7CC687E6" w:rsidR="002B0A37" w:rsidRPr="00351E7F" w:rsidRDefault="002B0A37" w:rsidP="002B0A37">
      <w:pPr>
        <w:pStyle w:val="FootnoteText"/>
        <w:ind w:firstLine="0"/>
      </w:pPr>
      <w:r>
        <w:rPr>
          <w:rStyle w:val="FootnoteReference"/>
        </w:rPr>
        <w:footnoteRef/>
      </w:r>
      <w:r w:rsidR="00D80913">
        <w:t xml:space="preserve"> </w:t>
      </w:r>
      <w:r w:rsidR="00D80913" w:rsidRPr="00D204B4">
        <w:rPr>
          <w:kern w:val="18"/>
          <w:szCs w:val="18"/>
        </w:rPr>
        <w:t>https://www.cbd.int/business/meetings-events/2018/default.shtml</w:t>
      </w:r>
      <w:r>
        <w:t>.</w:t>
      </w:r>
    </w:p>
  </w:footnote>
  <w:footnote w:id="17">
    <w:p w14:paraId="74A4C402" w14:textId="77777777" w:rsidR="002B0A37" w:rsidRPr="0006480A" w:rsidRDefault="002B0A37" w:rsidP="002B0A37">
      <w:pPr>
        <w:pStyle w:val="FootnoteText"/>
        <w:ind w:firstLine="0"/>
        <w:rPr>
          <w:b/>
          <w:lang w:val="en-US"/>
        </w:rPr>
      </w:pPr>
      <w:r w:rsidRPr="0006480A">
        <w:rPr>
          <w:rStyle w:val="FootnoteReference"/>
          <w:b/>
        </w:rPr>
        <w:footnoteRef/>
      </w:r>
      <w:r w:rsidRPr="0006480A">
        <w:rPr>
          <w:b/>
        </w:rPr>
        <w:t xml:space="preserve"> </w:t>
      </w:r>
      <w:r w:rsidRPr="0006480A">
        <w:rPr>
          <w:rStyle w:val="Strong"/>
          <w:b w:val="0"/>
        </w:rPr>
        <w:t>CBD/COP/14/INF/46</w:t>
      </w:r>
      <w:r>
        <w:rPr>
          <w:rStyle w:val="Strong"/>
          <w:b w:val="0"/>
        </w:rPr>
        <w:t>.</w:t>
      </w:r>
    </w:p>
  </w:footnote>
  <w:footnote w:id="18">
    <w:p w14:paraId="50AE814B" w14:textId="77777777" w:rsidR="00D80913" w:rsidRPr="00D96554" w:rsidRDefault="00D80913" w:rsidP="00D80913">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https://cbc.iclei.org/event/6thbiodiversitysummit/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DE501" w14:textId="1E8EFCD9" w:rsidR="00235E0B" w:rsidRPr="00D229BA" w:rsidRDefault="006B0C83" w:rsidP="00235E0B">
    <w:pPr>
      <w:rPr>
        <w:szCs w:val="22"/>
        <w:lang w:val="fr-FR"/>
      </w:rPr>
    </w:pPr>
    <w:sdt>
      <w:sdtPr>
        <w:rPr>
          <w:lang w:val="fr-FR"/>
        </w:rPr>
        <w:alias w:val="Subject"/>
        <w:tag w:val=""/>
        <w:id w:val="1430625395"/>
        <w:placeholder>
          <w:docPart w:val="5AF433D61F594C2480EEAA067A25E9CF"/>
        </w:placeholder>
        <w:dataBinding w:prefixMappings="xmlns:ns0='http://purl.org/dc/elements/1.1/' xmlns:ns1='http://schemas.openxmlformats.org/package/2006/metadata/core-properties' " w:xpath="/ns1:coreProperties[1]/ns0:subject[1]" w:storeItemID="{6C3C8BC8-F283-45AE-878A-BAB7291924A1}"/>
        <w:text/>
      </w:sdtPr>
      <w:sdtEndPr/>
      <w:sdtContent>
        <w:r w:rsidR="00020FE2">
          <w:t>CBD/COP/DEC/14/34</w:t>
        </w:r>
      </w:sdtContent>
    </w:sdt>
  </w:p>
  <w:p w14:paraId="67DEE734" w14:textId="66EED417" w:rsidR="007F606E" w:rsidRPr="007D048D" w:rsidRDefault="007F606E" w:rsidP="00534681">
    <w:pPr>
      <w:pStyle w:val="Header"/>
      <w:rPr>
        <w:noProof/>
        <w:lang w:val="fr-FR"/>
      </w:rPr>
    </w:pPr>
    <w:r w:rsidRPr="007D048D">
      <w:rPr>
        <w:noProof/>
        <w:lang w:val="fr-FR"/>
      </w:rPr>
      <w:t xml:space="preserve">Page </w:t>
    </w:r>
    <w:r>
      <w:rPr>
        <w:noProof/>
      </w:rPr>
      <w:fldChar w:fldCharType="begin"/>
    </w:r>
    <w:r w:rsidRPr="007D048D">
      <w:rPr>
        <w:noProof/>
        <w:lang w:val="fr-FR"/>
      </w:rPr>
      <w:instrText xml:space="preserve"> PAGE   \* MERGEFORMAT </w:instrText>
    </w:r>
    <w:r>
      <w:rPr>
        <w:noProof/>
      </w:rPr>
      <w:fldChar w:fldCharType="separate"/>
    </w:r>
    <w:r w:rsidR="00020FE2">
      <w:rPr>
        <w:noProof/>
        <w:lang w:val="fr-FR"/>
      </w:rPr>
      <w:t>10</w:t>
    </w:r>
    <w:r>
      <w:rPr>
        <w:noProof/>
      </w:rPr>
      <w:fldChar w:fldCharType="end"/>
    </w:r>
  </w:p>
  <w:p w14:paraId="6D58A289" w14:textId="77777777" w:rsidR="007F606E" w:rsidRPr="007D048D" w:rsidRDefault="007F606E">
    <w:pPr>
      <w:pStyle w:val="Header"/>
      <w:rPr>
        <w:noProof/>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AE52A" w14:textId="458A20D3" w:rsidR="00235E0B" w:rsidRPr="00D229BA" w:rsidRDefault="006B0C83" w:rsidP="00235E0B">
    <w:pPr>
      <w:ind w:left="1215"/>
      <w:jc w:val="right"/>
      <w:rPr>
        <w:szCs w:val="22"/>
        <w:lang w:val="fr-FR"/>
      </w:rPr>
    </w:pPr>
    <w:sdt>
      <w:sdtPr>
        <w:rPr>
          <w:lang w:val="fr-FR"/>
        </w:rPr>
        <w:alias w:val="Subject"/>
        <w:tag w:val=""/>
        <w:id w:val="828171259"/>
        <w:placeholder>
          <w:docPart w:val="66C6620374454374AE7E476E2AC318CF"/>
        </w:placeholder>
        <w:dataBinding w:prefixMappings="xmlns:ns0='http://purl.org/dc/elements/1.1/' xmlns:ns1='http://schemas.openxmlformats.org/package/2006/metadata/core-properties' " w:xpath="/ns1:coreProperties[1]/ns0:subject[1]" w:storeItemID="{6C3C8BC8-F283-45AE-878A-BAB7291924A1}"/>
        <w:text/>
      </w:sdtPr>
      <w:sdtEndPr/>
      <w:sdtContent>
        <w:r w:rsidR="00020FE2">
          <w:t>CBD/COP/DEC/14/34</w:t>
        </w:r>
      </w:sdtContent>
    </w:sdt>
  </w:p>
  <w:p w14:paraId="2028A518" w14:textId="0A1FDE67" w:rsidR="007F606E" w:rsidRPr="007D048D" w:rsidRDefault="007F606E" w:rsidP="009505C9">
    <w:pPr>
      <w:pStyle w:val="Header"/>
      <w:jc w:val="right"/>
      <w:rPr>
        <w:lang w:val="fr-FR"/>
      </w:rPr>
    </w:pPr>
    <w:r w:rsidRPr="007D048D">
      <w:rPr>
        <w:lang w:val="fr-FR"/>
      </w:rPr>
      <w:t xml:space="preserve">Page </w:t>
    </w:r>
    <w:r>
      <w:fldChar w:fldCharType="begin"/>
    </w:r>
    <w:r w:rsidRPr="007D048D">
      <w:rPr>
        <w:lang w:val="fr-FR"/>
      </w:rPr>
      <w:instrText xml:space="preserve"> PAGE   \* MERGEFORMAT </w:instrText>
    </w:r>
    <w:r>
      <w:fldChar w:fldCharType="separate"/>
    </w:r>
    <w:r w:rsidR="00020FE2">
      <w:rPr>
        <w:noProof/>
        <w:lang w:val="fr-FR"/>
      </w:rPr>
      <w:t>9</w:t>
    </w:r>
    <w:r>
      <w:rPr>
        <w:noProof/>
      </w:rPr>
      <w:fldChar w:fldCharType="end"/>
    </w:r>
  </w:p>
  <w:p w14:paraId="525256BF" w14:textId="77777777" w:rsidR="007F606E" w:rsidRPr="007D048D" w:rsidRDefault="007F606E">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548"/>
    <w:multiLevelType w:val="hybridMultilevel"/>
    <w:tmpl w:val="3CF038C4"/>
    <w:lvl w:ilvl="0" w:tplc="23BAEDD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901FA3"/>
    <w:multiLevelType w:val="hybridMultilevel"/>
    <w:tmpl w:val="EA1E2734"/>
    <w:lvl w:ilvl="0" w:tplc="B88A1B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B5512"/>
    <w:multiLevelType w:val="hybridMultilevel"/>
    <w:tmpl w:val="8CA4E41E"/>
    <w:lvl w:ilvl="0" w:tplc="2AC2DBBC">
      <w:start w:val="1"/>
      <w:numFmt w:val="decimal"/>
      <w:lvlText w:val="%1."/>
      <w:lvlJc w:val="left"/>
      <w:pPr>
        <w:ind w:left="1080" w:hanging="720"/>
      </w:pPr>
      <w:rPr>
        <w:rFonts w:hint="default"/>
      </w:rPr>
    </w:lvl>
    <w:lvl w:ilvl="1" w:tplc="D2DE1EA0">
      <w:start w:val="1"/>
      <w:numFmt w:val="lowerLetter"/>
      <w:lvlText w:val="%2)"/>
      <w:lvlJc w:val="left"/>
      <w:pPr>
        <w:ind w:left="1440" w:hanging="360"/>
      </w:pPr>
      <w:rPr>
        <w:rFonts w:ascii="Times New Roman" w:eastAsia="Times New Roman"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26E02"/>
    <w:multiLevelType w:val="hybridMultilevel"/>
    <w:tmpl w:val="686452B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321C2AB1"/>
    <w:multiLevelType w:val="hybridMultilevel"/>
    <w:tmpl w:val="E78A1508"/>
    <w:lvl w:ilvl="0" w:tplc="34365ABC">
      <w:start w:val="1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9E25416"/>
    <w:multiLevelType w:val="hybridMultilevel"/>
    <w:tmpl w:val="7B3AF2C6"/>
    <w:lvl w:ilvl="0" w:tplc="2AC2DBBC">
      <w:start w:val="1"/>
      <w:numFmt w:val="decimal"/>
      <w:lvlText w:val="%1."/>
      <w:lvlJc w:val="left"/>
      <w:pPr>
        <w:ind w:left="720" w:hanging="720"/>
      </w:pPr>
      <w:rPr>
        <w:rFonts w:hint="default"/>
      </w:rPr>
    </w:lvl>
    <w:lvl w:ilvl="1" w:tplc="9404DD7E">
      <w:start w:val="1"/>
      <w:numFmt w:val="lowerLetter"/>
      <w:lvlText w:val="(%2)"/>
      <w:lvlJc w:val="left"/>
      <w:pPr>
        <w:ind w:left="1440" w:hanging="360"/>
      </w:pPr>
      <w:rPr>
        <w:rFonts w:hint="default"/>
      </w:rPr>
    </w:lvl>
    <w:lvl w:ilvl="2" w:tplc="FD3CB0D8">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78313390"/>
    <w:multiLevelType w:val="hybridMultilevel"/>
    <w:tmpl w:val="26947D5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7EBD6C87"/>
    <w:multiLevelType w:val="hybridMultilevel"/>
    <w:tmpl w:val="3170E3EA"/>
    <w:lvl w:ilvl="0" w:tplc="2AC2DBBC">
      <w:start w:val="1"/>
      <w:numFmt w:val="decimal"/>
      <w:lvlText w:val="%1."/>
      <w:lvlJc w:val="left"/>
      <w:pPr>
        <w:ind w:left="1080" w:hanging="720"/>
      </w:pPr>
      <w:rPr>
        <w:rFonts w:hint="default"/>
      </w:rPr>
    </w:lvl>
    <w:lvl w:ilvl="1" w:tplc="35E87852">
      <w:start w:val="1"/>
      <w:numFmt w:val="lowerLetter"/>
      <w:lvlText w:val="%2)"/>
      <w:lvlJc w:val="left"/>
      <w:pPr>
        <w:ind w:left="1440" w:hanging="360"/>
      </w:pPr>
      <w:rPr>
        <w:rFonts w:ascii="Times New Roman" w:eastAsia="Times New Roman" w:hAnsi="Times New Roman" w:cs="Times New Roman"/>
        <w:b w:val="0"/>
        <w:i w:val="0"/>
      </w:rPr>
    </w:lvl>
    <w:lvl w:ilvl="2" w:tplc="9BDCEC2E">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7"/>
  </w:num>
  <w:num w:numId="5">
    <w:abstractNumId w:val="2"/>
  </w:num>
  <w:num w:numId="6">
    <w:abstractNumId w:val="10"/>
  </w:num>
  <w:num w:numId="7">
    <w:abstractNumId w:val="1"/>
  </w:num>
  <w:num w:numId="8">
    <w:abstractNumId w:val="0"/>
  </w:num>
  <w:num w:numId="9">
    <w:abstractNumId w:val="5"/>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fr-CA"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3528"/>
    <w:rsid w:val="0000698B"/>
    <w:rsid w:val="0000795C"/>
    <w:rsid w:val="0001146F"/>
    <w:rsid w:val="0001741F"/>
    <w:rsid w:val="00017FF2"/>
    <w:rsid w:val="00020D29"/>
    <w:rsid w:val="00020FE2"/>
    <w:rsid w:val="00024146"/>
    <w:rsid w:val="000251DC"/>
    <w:rsid w:val="000260FA"/>
    <w:rsid w:val="00032EFE"/>
    <w:rsid w:val="00037732"/>
    <w:rsid w:val="00041C0F"/>
    <w:rsid w:val="0005036A"/>
    <w:rsid w:val="00052963"/>
    <w:rsid w:val="00053D38"/>
    <w:rsid w:val="0005702E"/>
    <w:rsid w:val="000629AB"/>
    <w:rsid w:val="00063D6C"/>
    <w:rsid w:val="00065EDE"/>
    <w:rsid w:val="00067029"/>
    <w:rsid w:val="000737B2"/>
    <w:rsid w:val="00080DC1"/>
    <w:rsid w:val="00092B9E"/>
    <w:rsid w:val="00093579"/>
    <w:rsid w:val="00093B05"/>
    <w:rsid w:val="00094C1B"/>
    <w:rsid w:val="00097EBB"/>
    <w:rsid w:val="000A0258"/>
    <w:rsid w:val="000A0AC1"/>
    <w:rsid w:val="000A1DA9"/>
    <w:rsid w:val="000A3751"/>
    <w:rsid w:val="000A49DC"/>
    <w:rsid w:val="000B7B33"/>
    <w:rsid w:val="000B7BDC"/>
    <w:rsid w:val="000C38E2"/>
    <w:rsid w:val="000D2348"/>
    <w:rsid w:val="000D30C8"/>
    <w:rsid w:val="000D4076"/>
    <w:rsid w:val="000D459E"/>
    <w:rsid w:val="000D76A4"/>
    <w:rsid w:val="000D79D6"/>
    <w:rsid w:val="000E21EC"/>
    <w:rsid w:val="000E673A"/>
    <w:rsid w:val="000E70C8"/>
    <w:rsid w:val="000E7EB9"/>
    <w:rsid w:val="000F0013"/>
    <w:rsid w:val="000F12C2"/>
    <w:rsid w:val="000F2620"/>
    <w:rsid w:val="000F2D11"/>
    <w:rsid w:val="000F59EA"/>
    <w:rsid w:val="000F6154"/>
    <w:rsid w:val="000F6C3D"/>
    <w:rsid w:val="000F74F5"/>
    <w:rsid w:val="0010031C"/>
    <w:rsid w:val="001010DD"/>
    <w:rsid w:val="00103FA7"/>
    <w:rsid w:val="00105372"/>
    <w:rsid w:val="00106603"/>
    <w:rsid w:val="00110827"/>
    <w:rsid w:val="00110EC6"/>
    <w:rsid w:val="00113368"/>
    <w:rsid w:val="00115717"/>
    <w:rsid w:val="00123D13"/>
    <w:rsid w:val="00124DA0"/>
    <w:rsid w:val="00125375"/>
    <w:rsid w:val="00125608"/>
    <w:rsid w:val="001275C1"/>
    <w:rsid w:val="001300D2"/>
    <w:rsid w:val="00131E7A"/>
    <w:rsid w:val="00134D08"/>
    <w:rsid w:val="00142FFC"/>
    <w:rsid w:val="0014372A"/>
    <w:rsid w:val="00143DD3"/>
    <w:rsid w:val="0014407E"/>
    <w:rsid w:val="00144138"/>
    <w:rsid w:val="0014423A"/>
    <w:rsid w:val="00145120"/>
    <w:rsid w:val="0014594B"/>
    <w:rsid w:val="00146F96"/>
    <w:rsid w:val="00152CBE"/>
    <w:rsid w:val="00156A79"/>
    <w:rsid w:val="00157F02"/>
    <w:rsid w:val="001629FB"/>
    <w:rsid w:val="00163D10"/>
    <w:rsid w:val="001649D0"/>
    <w:rsid w:val="00165060"/>
    <w:rsid w:val="00170FF2"/>
    <w:rsid w:val="0017289A"/>
    <w:rsid w:val="00172AF6"/>
    <w:rsid w:val="00176CEE"/>
    <w:rsid w:val="00177CF9"/>
    <w:rsid w:val="0018028F"/>
    <w:rsid w:val="0018402A"/>
    <w:rsid w:val="0018407B"/>
    <w:rsid w:val="00185888"/>
    <w:rsid w:val="00185CDB"/>
    <w:rsid w:val="00186693"/>
    <w:rsid w:val="00187EDB"/>
    <w:rsid w:val="001933CC"/>
    <w:rsid w:val="00195A55"/>
    <w:rsid w:val="00195F8D"/>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50E6"/>
    <w:rsid w:val="001E7EAB"/>
    <w:rsid w:val="001F035A"/>
    <w:rsid w:val="001F3581"/>
    <w:rsid w:val="001F368D"/>
    <w:rsid w:val="001F43F8"/>
    <w:rsid w:val="001F5937"/>
    <w:rsid w:val="001F7DC6"/>
    <w:rsid w:val="00201066"/>
    <w:rsid w:val="002015BC"/>
    <w:rsid w:val="002061A5"/>
    <w:rsid w:val="0020750D"/>
    <w:rsid w:val="00211B51"/>
    <w:rsid w:val="002149CA"/>
    <w:rsid w:val="00215D44"/>
    <w:rsid w:val="00227C03"/>
    <w:rsid w:val="00227FFD"/>
    <w:rsid w:val="00231C2B"/>
    <w:rsid w:val="0023379D"/>
    <w:rsid w:val="00235C87"/>
    <w:rsid w:val="00235E0B"/>
    <w:rsid w:val="00241B15"/>
    <w:rsid w:val="00242869"/>
    <w:rsid w:val="00243630"/>
    <w:rsid w:val="00252C0F"/>
    <w:rsid w:val="00266295"/>
    <w:rsid w:val="002663E3"/>
    <w:rsid w:val="002773EA"/>
    <w:rsid w:val="00281B29"/>
    <w:rsid w:val="00282115"/>
    <w:rsid w:val="00282650"/>
    <w:rsid w:val="0028630A"/>
    <w:rsid w:val="002902EA"/>
    <w:rsid w:val="002921D8"/>
    <w:rsid w:val="00293504"/>
    <w:rsid w:val="00294B50"/>
    <w:rsid w:val="002960B7"/>
    <w:rsid w:val="00296E5D"/>
    <w:rsid w:val="002A26BA"/>
    <w:rsid w:val="002A3BB1"/>
    <w:rsid w:val="002A5910"/>
    <w:rsid w:val="002A673A"/>
    <w:rsid w:val="002B0A37"/>
    <w:rsid w:val="002B0B24"/>
    <w:rsid w:val="002B1715"/>
    <w:rsid w:val="002B5BBA"/>
    <w:rsid w:val="002C0B1C"/>
    <w:rsid w:val="002C1004"/>
    <w:rsid w:val="002C347E"/>
    <w:rsid w:val="002C69C8"/>
    <w:rsid w:val="002C6C0A"/>
    <w:rsid w:val="002C7AE6"/>
    <w:rsid w:val="002D1689"/>
    <w:rsid w:val="002D2489"/>
    <w:rsid w:val="002D6137"/>
    <w:rsid w:val="002D7C8C"/>
    <w:rsid w:val="002E312A"/>
    <w:rsid w:val="002E746B"/>
    <w:rsid w:val="002F1312"/>
    <w:rsid w:val="002F2649"/>
    <w:rsid w:val="002F2B5C"/>
    <w:rsid w:val="002F5857"/>
    <w:rsid w:val="002F58B2"/>
    <w:rsid w:val="00305449"/>
    <w:rsid w:val="00306166"/>
    <w:rsid w:val="003062AA"/>
    <w:rsid w:val="00307475"/>
    <w:rsid w:val="003076EE"/>
    <w:rsid w:val="003111A5"/>
    <w:rsid w:val="003112FB"/>
    <w:rsid w:val="00311950"/>
    <w:rsid w:val="00312C3D"/>
    <w:rsid w:val="003138CB"/>
    <w:rsid w:val="00313F3C"/>
    <w:rsid w:val="0031741D"/>
    <w:rsid w:val="00320630"/>
    <w:rsid w:val="00320F3F"/>
    <w:rsid w:val="0032115B"/>
    <w:rsid w:val="003213B4"/>
    <w:rsid w:val="003221C8"/>
    <w:rsid w:val="00322B7F"/>
    <w:rsid w:val="0032318C"/>
    <w:rsid w:val="003235BD"/>
    <w:rsid w:val="00327FB1"/>
    <w:rsid w:val="00334D2C"/>
    <w:rsid w:val="0033630B"/>
    <w:rsid w:val="00337846"/>
    <w:rsid w:val="00344646"/>
    <w:rsid w:val="00344D53"/>
    <w:rsid w:val="003531EF"/>
    <w:rsid w:val="003706D7"/>
    <w:rsid w:val="003718DB"/>
    <w:rsid w:val="00372286"/>
    <w:rsid w:val="00372F74"/>
    <w:rsid w:val="0037438E"/>
    <w:rsid w:val="00374AA7"/>
    <w:rsid w:val="0037798F"/>
    <w:rsid w:val="00380E17"/>
    <w:rsid w:val="0038105E"/>
    <w:rsid w:val="003818DA"/>
    <w:rsid w:val="00383AAD"/>
    <w:rsid w:val="00385A0C"/>
    <w:rsid w:val="00387C63"/>
    <w:rsid w:val="00394561"/>
    <w:rsid w:val="003A01E7"/>
    <w:rsid w:val="003A06A5"/>
    <w:rsid w:val="003A32C8"/>
    <w:rsid w:val="003A33E2"/>
    <w:rsid w:val="003A3F64"/>
    <w:rsid w:val="003A55C6"/>
    <w:rsid w:val="003A6F89"/>
    <w:rsid w:val="003B0269"/>
    <w:rsid w:val="003B07C8"/>
    <w:rsid w:val="003B094B"/>
    <w:rsid w:val="003B0EDA"/>
    <w:rsid w:val="003B46E4"/>
    <w:rsid w:val="003C0139"/>
    <w:rsid w:val="003C2D16"/>
    <w:rsid w:val="003C391A"/>
    <w:rsid w:val="003C4594"/>
    <w:rsid w:val="003C4C28"/>
    <w:rsid w:val="003D389E"/>
    <w:rsid w:val="003D3E06"/>
    <w:rsid w:val="003D43FB"/>
    <w:rsid w:val="003D5A87"/>
    <w:rsid w:val="003D683B"/>
    <w:rsid w:val="003E4AC6"/>
    <w:rsid w:val="003F4CD0"/>
    <w:rsid w:val="00401DD7"/>
    <w:rsid w:val="004028F9"/>
    <w:rsid w:val="00403EC3"/>
    <w:rsid w:val="0040473E"/>
    <w:rsid w:val="004108B6"/>
    <w:rsid w:val="0041110D"/>
    <w:rsid w:val="00412830"/>
    <w:rsid w:val="0041378D"/>
    <w:rsid w:val="00415390"/>
    <w:rsid w:val="00415935"/>
    <w:rsid w:val="00421ED5"/>
    <w:rsid w:val="00422BEB"/>
    <w:rsid w:val="0042651F"/>
    <w:rsid w:val="0042714B"/>
    <w:rsid w:val="00431912"/>
    <w:rsid w:val="00431D6F"/>
    <w:rsid w:val="00432364"/>
    <w:rsid w:val="00432B12"/>
    <w:rsid w:val="00433CDA"/>
    <w:rsid w:val="00436D48"/>
    <w:rsid w:val="00441735"/>
    <w:rsid w:val="00442907"/>
    <w:rsid w:val="00442A8C"/>
    <w:rsid w:val="00443068"/>
    <w:rsid w:val="004440D3"/>
    <w:rsid w:val="0044664C"/>
    <w:rsid w:val="00447682"/>
    <w:rsid w:val="00452202"/>
    <w:rsid w:val="0046013C"/>
    <w:rsid w:val="00460634"/>
    <w:rsid w:val="004644C2"/>
    <w:rsid w:val="0046503F"/>
    <w:rsid w:val="0047087F"/>
    <w:rsid w:val="00470E53"/>
    <w:rsid w:val="00471B76"/>
    <w:rsid w:val="00471DC3"/>
    <w:rsid w:val="00475959"/>
    <w:rsid w:val="004763C3"/>
    <w:rsid w:val="00476AF1"/>
    <w:rsid w:val="004849FB"/>
    <w:rsid w:val="00484DFE"/>
    <w:rsid w:val="00486086"/>
    <w:rsid w:val="00487689"/>
    <w:rsid w:val="00487BA5"/>
    <w:rsid w:val="004A0522"/>
    <w:rsid w:val="004A226E"/>
    <w:rsid w:val="004A2516"/>
    <w:rsid w:val="004A2E9E"/>
    <w:rsid w:val="004A500F"/>
    <w:rsid w:val="004A7D4B"/>
    <w:rsid w:val="004B153D"/>
    <w:rsid w:val="004B1F78"/>
    <w:rsid w:val="004B424C"/>
    <w:rsid w:val="004B51F1"/>
    <w:rsid w:val="004B7397"/>
    <w:rsid w:val="004C07CE"/>
    <w:rsid w:val="004C0E36"/>
    <w:rsid w:val="004C34A9"/>
    <w:rsid w:val="004C6CDA"/>
    <w:rsid w:val="004C7AD6"/>
    <w:rsid w:val="004D0C24"/>
    <w:rsid w:val="004D1170"/>
    <w:rsid w:val="004D3433"/>
    <w:rsid w:val="004D6DF8"/>
    <w:rsid w:val="004D74A7"/>
    <w:rsid w:val="004E090F"/>
    <w:rsid w:val="004E43F1"/>
    <w:rsid w:val="004E46F8"/>
    <w:rsid w:val="004E4A1F"/>
    <w:rsid w:val="004E6C66"/>
    <w:rsid w:val="004E6CE1"/>
    <w:rsid w:val="004E6F60"/>
    <w:rsid w:val="004E7EA8"/>
    <w:rsid w:val="004F1099"/>
    <w:rsid w:val="004F10B7"/>
    <w:rsid w:val="004F3127"/>
    <w:rsid w:val="004F5318"/>
    <w:rsid w:val="004F5542"/>
    <w:rsid w:val="005003C3"/>
    <w:rsid w:val="00500B7F"/>
    <w:rsid w:val="00501FD9"/>
    <w:rsid w:val="005031F1"/>
    <w:rsid w:val="005039B5"/>
    <w:rsid w:val="0050495D"/>
    <w:rsid w:val="00504973"/>
    <w:rsid w:val="00512541"/>
    <w:rsid w:val="00513CBD"/>
    <w:rsid w:val="0051721B"/>
    <w:rsid w:val="00517BF9"/>
    <w:rsid w:val="00520142"/>
    <w:rsid w:val="00520FB1"/>
    <w:rsid w:val="00523AB1"/>
    <w:rsid w:val="00524078"/>
    <w:rsid w:val="005245FA"/>
    <w:rsid w:val="00524F13"/>
    <w:rsid w:val="00525F3B"/>
    <w:rsid w:val="005301B4"/>
    <w:rsid w:val="005318D6"/>
    <w:rsid w:val="00534681"/>
    <w:rsid w:val="00535769"/>
    <w:rsid w:val="00537050"/>
    <w:rsid w:val="005441AC"/>
    <w:rsid w:val="00551F43"/>
    <w:rsid w:val="005546C1"/>
    <w:rsid w:val="00555B2A"/>
    <w:rsid w:val="00556ED1"/>
    <w:rsid w:val="0056099C"/>
    <w:rsid w:val="00562143"/>
    <w:rsid w:val="00563107"/>
    <w:rsid w:val="00567D16"/>
    <w:rsid w:val="0057750B"/>
    <w:rsid w:val="00580905"/>
    <w:rsid w:val="00580911"/>
    <w:rsid w:val="00592D1F"/>
    <w:rsid w:val="00593419"/>
    <w:rsid w:val="005943EB"/>
    <w:rsid w:val="00595966"/>
    <w:rsid w:val="005966BD"/>
    <w:rsid w:val="005A016B"/>
    <w:rsid w:val="005A29EF"/>
    <w:rsid w:val="005A31C5"/>
    <w:rsid w:val="005A4141"/>
    <w:rsid w:val="005A5179"/>
    <w:rsid w:val="005B273D"/>
    <w:rsid w:val="005B3221"/>
    <w:rsid w:val="005B5022"/>
    <w:rsid w:val="005B5800"/>
    <w:rsid w:val="005B7FF6"/>
    <w:rsid w:val="005C35FB"/>
    <w:rsid w:val="005C48D3"/>
    <w:rsid w:val="005C6C4B"/>
    <w:rsid w:val="005D4B92"/>
    <w:rsid w:val="005D664D"/>
    <w:rsid w:val="005E2279"/>
    <w:rsid w:val="005E3C21"/>
    <w:rsid w:val="005E651B"/>
    <w:rsid w:val="005F0CC3"/>
    <w:rsid w:val="005F2DB9"/>
    <w:rsid w:val="005F2F34"/>
    <w:rsid w:val="005F4178"/>
    <w:rsid w:val="005F498A"/>
    <w:rsid w:val="005F6824"/>
    <w:rsid w:val="00602F25"/>
    <w:rsid w:val="00603EC4"/>
    <w:rsid w:val="006078A0"/>
    <w:rsid w:val="00611C46"/>
    <w:rsid w:val="00612475"/>
    <w:rsid w:val="00615A98"/>
    <w:rsid w:val="00623C2A"/>
    <w:rsid w:val="00624B3E"/>
    <w:rsid w:val="0062597A"/>
    <w:rsid w:val="00630164"/>
    <w:rsid w:val="00632BB4"/>
    <w:rsid w:val="0063491E"/>
    <w:rsid w:val="0064054C"/>
    <w:rsid w:val="00641D19"/>
    <w:rsid w:val="00644848"/>
    <w:rsid w:val="00645C7E"/>
    <w:rsid w:val="00646EE6"/>
    <w:rsid w:val="00651B4D"/>
    <w:rsid w:val="00660370"/>
    <w:rsid w:val="0066383C"/>
    <w:rsid w:val="006669F0"/>
    <w:rsid w:val="00671884"/>
    <w:rsid w:val="006749DE"/>
    <w:rsid w:val="0067716A"/>
    <w:rsid w:val="006803D0"/>
    <w:rsid w:val="006806E4"/>
    <w:rsid w:val="00680803"/>
    <w:rsid w:val="00681F51"/>
    <w:rsid w:val="006824C3"/>
    <w:rsid w:val="00685A4E"/>
    <w:rsid w:val="006871B6"/>
    <w:rsid w:val="0069636F"/>
    <w:rsid w:val="006A040E"/>
    <w:rsid w:val="006A520A"/>
    <w:rsid w:val="006A60BE"/>
    <w:rsid w:val="006B0376"/>
    <w:rsid w:val="006B03E6"/>
    <w:rsid w:val="006B0C83"/>
    <w:rsid w:val="006B5896"/>
    <w:rsid w:val="006B7100"/>
    <w:rsid w:val="006C1EE9"/>
    <w:rsid w:val="006C3AD0"/>
    <w:rsid w:val="006C6F2A"/>
    <w:rsid w:val="006C6F6C"/>
    <w:rsid w:val="006D1D3B"/>
    <w:rsid w:val="006D21E7"/>
    <w:rsid w:val="006D79E2"/>
    <w:rsid w:val="006F36B9"/>
    <w:rsid w:val="006F64EB"/>
    <w:rsid w:val="0070410B"/>
    <w:rsid w:val="00704E2C"/>
    <w:rsid w:val="00705581"/>
    <w:rsid w:val="00706B3D"/>
    <w:rsid w:val="00710887"/>
    <w:rsid w:val="00712BC9"/>
    <w:rsid w:val="00717D88"/>
    <w:rsid w:val="007217AA"/>
    <w:rsid w:val="00727C77"/>
    <w:rsid w:val="0073199D"/>
    <w:rsid w:val="00734D85"/>
    <w:rsid w:val="0073690C"/>
    <w:rsid w:val="00741BA9"/>
    <w:rsid w:val="0074228D"/>
    <w:rsid w:val="00746909"/>
    <w:rsid w:val="00747FAD"/>
    <w:rsid w:val="00757714"/>
    <w:rsid w:val="00762AB3"/>
    <w:rsid w:val="00763DA6"/>
    <w:rsid w:val="00764248"/>
    <w:rsid w:val="00765884"/>
    <w:rsid w:val="007813C0"/>
    <w:rsid w:val="00781662"/>
    <w:rsid w:val="007841FF"/>
    <w:rsid w:val="00787781"/>
    <w:rsid w:val="007922DD"/>
    <w:rsid w:val="0079369B"/>
    <w:rsid w:val="007942D3"/>
    <w:rsid w:val="00797BA8"/>
    <w:rsid w:val="007A1D6D"/>
    <w:rsid w:val="007A4768"/>
    <w:rsid w:val="007A78EE"/>
    <w:rsid w:val="007B226C"/>
    <w:rsid w:val="007B24EB"/>
    <w:rsid w:val="007B4346"/>
    <w:rsid w:val="007B6C09"/>
    <w:rsid w:val="007C6AA4"/>
    <w:rsid w:val="007C79AE"/>
    <w:rsid w:val="007D048D"/>
    <w:rsid w:val="007D14E6"/>
    <w:rsid w:val="007D1A51"/>
    <w:rsid w:val="007D29DB"/>
    <w:rsid w:val="007D3AA3"/>
    <w:rsid w:val="007D7615"/>
    <w:rsid w:val="007E09DA"/>
    <w:rsid w:val="007E10BD"/>
    <w:rsid w:val="007E10EC"/>
    <w:rsid w:val="007E18AC"/>
    <w:rsid w:val="007E1B89"/>
    <w:rsid w:val="007E2425"/>
    <w:rsid w:val="007E252F"/>
    <w:rsid w:val="007E3770"/>
    <w:rsid w:val="007E5459"/>
    <w:rsid w:val="007F2720"/>
    <w:rsid w:val="007F59DB"/>
    <w:rsid w:val="007F606E"/>
    <w:rsid w:val="0080343D"/>
    <w:rsid w:val="008116E9"/>
    <w:rsid w:val="008134B8"/>
    <w:rsid w:val="0081646E"/>
    <w:rsid w:val="008178B6"/>
    <w:rsid w:val="00822A85"/>
    <w:rsid w:val="0082417D"/>
    <w:rsid w:val="008245A0"/>
    <w:rsid w:val="00824C46"/>
    <w:rsid w:val="00826441"/>
    <w:rsid w:val="008277CA"/>
    <w:rsid w:val="00830E9D"/>
    <w:rsid w:val="008312AD"/>
    <w:rsid w:val="008409D8"/>
    <w:rsid w:val="00844147"/>
    <w:rsid w:val="00860DF6"/>
    <w:rsid w:val="00863F69"/>
    <w:rsid w:val="008649F2"/>
    <w:rsid w:val="0086743A"/>
    <w:rsid w:val="00867B36"/>
    <w:rsid w:val="00867F6B"/>
    <w:rsid w:val="00871144"/>
    <w:rsid w:val="00872854"/>
    <w:rsid w:val="00881D24"/>
    <w:rsid w:val="00887DA0"/>
    <w:rsid w:val="0089333B"/>
    <w:rsid w:val="008943E9"/>
    <w:rsid w:val="008A477F"/>
    <w:rsid w:val="008B14D5"/>
    <w:rsid w:val="008B5D6B"/>
    <w:rsid w:val="008B7270"/>
    <w:rsid w:val="008C3382"/>
    <w:rsid w:val="008D41B8"/>
    <w:rsid w:val="008D4503"/>
    <w:rsid w:val="008D50A9"/>
    <w:rsid w:val="008D7034"/>
    <w:rsid w:val="008D78A0"/>
    <w:rsid w:val="008E1F09"/>
    <w:rsid w:val="008E2EC8"/>
    <w:rsid w:val="008E3E28"/>
    <w:rsid w:val="008E6060"/>
    <w:rsid w:val="008F0A1C"/>
    <w:rsid w:val="008F1266"/>
    <w:rsid w:val="008F2713"/>
    <w:rsid w:val="008F5B00"/>
    <w:rsid w:val="009004F7"/>
    <w:rsid w:val="00902123"/>
    <w:rsid w:val="009044BD"/>
    <w:rsid w:val="009054BA"/>
    <w:rsid w:val="00905FB8"/>
    <w:rsid w:val="00907ABE"/>
    <w:rsid w:val="00907E2B"/>
    <w:rsid w:val="00910ACC"/>
    <w:rsid w:val="00912C2F"/>
    <w:rsid w:val="009132FB"/>
    <w:rsid w:val="00913595"/>
    <w:rsid w:val="00916814"/>
    <w:rsid w:val="00917990"/>
    <w:rsid w:val="00925FE4"/>
    <w:rsid w:val="00927EFA"/>
    <w:rsid w:val="00931B93"/>
    <w:rsid w:val="00933654"/>
    <w:rsid w:val="00934B2E"/>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1CCB"/>
    <w:rsid w:val="009934C1"/>
    <w:rsid w:val="00994981"/>
    <w:rsid w:val="0099629E"/>
    <w:rsid w:val="00997208"/>
    <w:rsid w:val="009A49FD"/>
    <w:rsid w:val="009B306C"/>
    <w:rsid w:val="009B3AF5"/>
    <w:rsid w:val="009B5124"/>
    <w:rsid w:val="009B7376"/>
    <w:rsid w:val="009B7E03"/>
    <w:rsid w:val="009C234D"/>
    <w:rsid w:val="009C40F1"/>
    <w:rsid w:val="009C4710"/>
    <w:rsid w:val="009C7F37"/>
    <w:rsid w:val="009D52D5"/>
    <w:rsid w:val="009D75EA"/>
    <w:rsid w:val="009D7DCE"/>
    <w:rsid w:val="009E0C2E"/>
    <w:rsid w:val="009E0DEE"/>
    <w:rsid w:val="009E47AD"/>
    <w:rsid w:val="009E67A7"/>
    <w:rsid w:val="009E7EC3"/>
    <w:rsid w:val="009F0D15"/>
    <w:rsid w:val="009F18B8"/>
    <w:rsid w:val="009F3837"/>
    <w:rsid w:val="009F510B"/>
    <w:rsid w:val="00A0454B"/>
    <w:rsid w:val="00A04FC6"/>
    <w:rsid w:val="00A075B9"/>
    <w:rsid w:val="00A10DBA"/>
    <w:rsid w:val="00A11A56"/>
    <w:rsid w:val="00A135C5"/>
    <w:rsid w:val="00A206C9"/>
    <w:rsid w:val="00A223AA"/>
    <w:rsid w:val="00A241FC"/>
    <w:rsid w:val="00A26764"/>
    <w:rsid w:val="00A30E38"/>
    <w:rsid w:val="00A3187E"/>
    <w:rsid w:val="00A40533"/>
    <w:rsid w:val="00A40FB1"/>
    <w:rsid w:val="00A42B3A"/>
    <w:rsid w:val="00A42C90"/>
    <w:rsid w:val="00A43AFA"/>
    <w:rsid w:val="00A441EA"/>
    <w:rsid w:val="00A522AA"/>
    <w:rsid w:val="00A52383"/>
    <w:rsid w:val="00A54FAB"/>
    <w:rsid w:val="00A57B9C"/>
    <w:rsid w:val="00A638EC"/>
    <w:rsid w:val="00A64084"/>
    <w:rsid w:val="00A661F6"/>
    <w:rsid w:val="00A666A0"/>
    <w:rsid w:val="00A66807"/>
    <w:rsid w:val="00A675B1"/>
    <w:rsid w:val="00A7111B"/>
    <w:rsid w:val="00A72AF2"/>
    <w:rsid w:val="00A73A6D"/>
    <w:rsid w:val="00A74FC8"/>
    <w:rsid w:val="00A75D93"/>
    <w:rsid w:val="00A76A52"/>
    <w:rsid w:val="00A81F67"/>
    <w:rsid w:val="00A85567"/>
    <w:rsid w:val="00A86DA9"/>
    <w:rsid w:val="00A87F9C"/>
    <w:rsid w:val="00A939D1"/>
    <w:rsid w:val="00A93FC7"/>
    <w:rsid w:val="00AA10B9"/>
    <w:rsid w:val="00AA2216"/>
    <w:rsid w:val="00AA6D26"/>
    <w:rsid w:val="00AB4769"/>
    <w:rsid w:val="00AB5F62"/>
    <w:rsid w:val="00AB6333"/>
    <w:rsid w:val="00AB6990"/>
    <w:rsid w:val="00AB6BF5"/>
    <w:rsid w:val="00AB6E0C"/>
    <w:rsid w:val="00AB714E"/>
    <w:rsid w:val="00AB7BBC"/>
    <w:rsid w:val="00AC3F9A"/>
    <w:rsid w:val="00AC53EB"/>
    <w:rsid w:val="00AC5A21"/>
    <w:rsid w:val="00AC7376"/>
    <w:rsid w:val="00AD3141"/>
    <w:rsid w:val="00AF16F0"/>
    <w:rsid w:val="00AF5CB7"/>
    <w:rsid w:val="00B0176E"/>
    <w:rsid w:val="00B04BB9"/>
    <w:rsid w:val="00B128D0"/>
    <w:rsid w:val="00B137D2"/>
    <w:rsid w:val="00B1544A"/>
    <w:rsid w:val="00B16B02"/>
    <w:rsid w:val="00B17364"/>
    <w:rsid w:val="00B17A52"/>
    <w:rsid w:val="00B25000"/>
    <w:rsid w:val="00B25021"/>
    <w:rsid w:val="00B250BF"/>
    <w:rsid w:val="00B25715"/>
    <w:rsid w:val="00B26166"/>
    <w:rsid w:val="00B26776"/>
    <w:rsid w:val="00B27468"/>
    <w:rsid w:val="00B313ED"/>
    <w:rsid w:val="00B3369F"/>
    <w:rsid w:val="00B40DDF"/>
    <w:rsid w:val="00B412FA"/>
    <w:rsid w:val="00B41A6C"/>
    <w:rsid w:val="00B42E87"/>
    <w:rsid w:val="00B449CD"/>
    <w:rsid w:val="00B4583D"/>
    <w:rsid w:val="00B4789D"/>
    <w:rsid w:val="00B50C13"/>
    <w:rsid w:val="00B51E39"/>
    <w:rsid w:val="00B53B11"/>
    <w:rsid w:val="00B5448C"/>
    <w:rsid w:val="00B613F9"/>
    <w:rsid w:val="00B64B95"/>
    <w:rsid w:val="00B64C84"/>
    <w:rsid w:val="00B6714B"/>
    <w:rsid w:val="00B67A6D"/>
    <w:rsid w:val="00B71C5A"/>
    <w:rsid w:val="00B72F53"/>
    <w:rsid w:val="00B74B9D"/>
    <w:rsid w:val="00B77D13"/>
    <w:rsid w:val="00B905E5"/>
    <w:rsid w:val="00B91C7A"/>
    <w:rsid w:val="00B92219"/>
    <w:rsid w:val="00B93027"/>
    <w:rsid w:val="00B93638"/>
    <w:rsid w:val="00B953F1"/>
    <w:rsid w:val="00B95A4A"/>
    <w:rsid w:val="00B9627E"/>
    <w:rsid w:val="00B96C3C"/>
    <w:rsid w:val="00BA2131"/>
    <w:rsid w:val="00BA3A2F"/>
    <w:rsid w:val="00BA402A"/>
    <w:rsid w:val="00BA46A8"/>
    <w:rsid w:val="00BA46F9"/>
    <w:rsid w:val="00BA6F7D"/>
    <w:rsid w:val="00BB1D03"/>
    <w:rsid w:val="00BB3206"/>
    <w:rsid w:val="00BB48AE"/>
    <w:rsid w:val="00BC281A"/>
    <w:rsid w:val="00BC6329"/>
    <w:rsid w:val="00BD004D"/>
    <w:rsid w:val="00BD208D"/>
    <w:rsid w:val="00BD6462"/>
    <w:rsid w:val="00BD662A"/>
    <w:rsid w:val="00BE027B"/>
    <w:rsid w:val="00BE4905"/>
    <w:rsid w:val="00BE65D7"/>
    <w:rsid w:val="00BE6975"/>
    <w:rsid w:val="00BF3F47"/>
    <w:rsid w:val="00BF5EA4"/>
    <w:rsid w:val="00BF7C62"/>
    <w:rsid w:val="00C0082C"/>
    <w:rsid w:val="00C05596"/>
    <w:rsid w:val="00C059F7"/>
    <w:rsid w:val="00C06FB1"/>
    <w:rsid w:val="00C11C9B"/>
    <w:rsid w:val="00C137E4"/>
    <w:rsid w:val="00C17876"/>
    <w:rsid w:val="00C1788A"/>
    <w:rsid w:val="00C17C5C"/>
    <w:rsid w:val="00C21435"/>
    <w:rsid w:val="00C22BFC"/>
    <w:rsid w:val="00C24357"/>
    <w:rsid w:val="00C262CD"/>
    <w:rsid w:val="00C30F75"/>
    <w:rsid w:val="00C35EA3"/>
    <w:rsid w:val="00C360E8"/>
    <w:rsid w:val="00C372E6"/>
    <w:rsid w:val="00C45A9D"/>
    <w:rsid w:val="00C46B6A"/>
    <w:rsid w:val="00C51BD8"/>
    <w:rsid w:val="00C52B44"/>
    <w:rsid w:val="00C544B3"/>
    <w:rsid w:val="00C545EC"/>
    <w:rsid w:val="00C54B67"/>
    <w:rsid w:val="00C55E85"/>
    <w:rsid w:val="00C61AA1"/>
    <w:rsid w:val="00C62EE8"/>
    <w:rsid w:val="00C630E0"/>
    <w:rsid w:val="00C63851"/>
    <w:rsid w:val="00C64C5C"/>
    <w:rsid w:val="00C65534"/>
    <w:rsid w:val="00C70637"/>
    <w:rsid w:val="00C73C25"/>
    <w:rsid w:val="00C74BC0"/>
    <w:rsid w:val="00C76FB2"/>
    <w:rsid w:val="00C823C8"/>
    <w:rsid w:val="00C8660C"/>
    <w:rsid w:val="00C90395"/>
    <w:rsid w:val="00C90663"/>
    <w:rsid w:val="00C9161D"/>
    <w:rsid w:val="00C91786"/>
    <w:rsid w:val="00C93F32"/>
    <w:rsid w:val="00C9428F"/>
    <w:rsid w:val="00C952BC"/>
    <w:rsid w:val="00CA165C"/>
    <w:rsid w:val="00CA1A2B"/>
    <w:rsid w:val="00CA20C5"/>
    <w:rsid w:val="00CA4C22"/>
    <w:rsid w:val="00CA69C8"/>
    <w:rsid w:val="00CB2E02"/>
    <w:rsid w:val="00CB56C6"/>
    <w:rsid w:val="00CC34E6"/>
    <w:rsid w:val="00CD0565"/>
    <w:rsid w:val="00CD255D"/>
    <w:rsid w:val="00CD3AF0"/>
    <w:rsid w:val="00CD5A7F"/>
    <w:rsid w:val="00CE5AA9"/>
    <w:rsid w:val="00CE7777"/>
    <w:rsid w:val="00CE7C3C"/>
    <w:rsid w:val="00CF1848"/>
    <w:rsid w:val="00CF1C28"/>
    <w:rsid w:val="00CF2608"/>
    <w:rsid w:val="00CF70B3"/>
    <w:rsid w:val="00CF738C"/>
    <w:rsid w:val="00CF7461"/>
    <w:rsid w:val="00CF7765"/>
    <w:rsid w:val="00D02C76"/>
    <w:rsid w:val="00D03D2E"/>
    <w:rsid w:val="00D10D1C"/>
    <w:rsid w:val="00D156F8"/>
    <w:rsid w:val="00D16735"/>
    <w:rsid w:val="00D16968"/>
    <w:rsid w:val="00D2013E"/>
    <w:rsid w:val="00D20DDD"/>
    <w:rsid w:val="00D2103B"/>
    <w:rsid w:val="00D2169D"/>
    <w:rsid w:val="00D229BA"/>
    <w:rsid w:val="00D233C6"/>
    <w:rsid w:val="00D30BED"/>
    <w:rsid w:val="00D31026"/>
    <w:rsid w:val="00D325A2"/>
    <w:rsid w:val="00D33AF9"/>
    <w:rsid w:val="00D35693"/>
    <w:rsid w:val="00D358F9"/>
    <w:rsid w:val="00D366E9"/>
    <w:rsid w:val="00D372AC"/>
    <w:rsid w:val="00D37DE5"/>
    <w:rsid w:val="00D40CE3"/>
    <w:rsid w:val="00D40EBF"/>
    <w:rsid w:val="00D4282A"/>
    <w:rsid w:val="00D42C60"/>
    <w:rsid w:val="00D436C3"/>
    <w:rsid w:val="00D43CBD"/>
    <w:rsid w:val="00D43FBA"/>
    <w:rsid w:val="00D46979"/>
    <w:rsid w:val="00D4763F"/>
    <w:rsid w:val="00D5528A"/>
    <w:rsid w:val="00D55B5D"/>
    <w:rsid w:val="00D614DD"/>
    <w:rsid w:val="00D64023"/>
    <w:rsid w:val="00D643C7"/>
    <w:rsid w:val="00D6582E"/>
    <w:rsid w:val="00D717EF"/>
    <w:rsid w:val="00D73042"/>
    <w:rsid w:val="00D747A7"/>
    <w:rsid w:val="00D76A18"/>
    <w:rsid w:val="00D77F32"/>
    <w:rsid w:val="00D77F56"/>
    <w:rsid w:val="00D80913"/>
    <w:rsid w:val="00D82EA0"/>
    <w:rsid w:val="00D830BF"/>
    <w:rsid w:val="00D830E6"/>
    <w:rsid w:val="00D84E47"/>
    <w:rsid w:val="00D90711"/>
    <w:rsid w:val="00D95A7B"/>
    <w:rsid w:val="00D95E17"/>
    <w:rsid w:val="00D96209"/>
    <w:rsid w:val="00D9682C"/>
    <w:rsid w:val="00DA04F0"/>
    <w:rsid w:val="00DA0517"/>
    <w:rsid w:val="00DA116E"/>
    <w:rsid w:val="00DA4066"/>
    <w:rsid w:val="00DA43A4"/>
    <w:rsid w:val="00DA6AC1"/>
    <w:rsid w:val="00DB062B"/>
    <w:rsid w:val="00DB0925"/>
    <w:rsid w:val="00DB131E"/>
    <w:rsid w:val="00DB1665"/>
    <w:rsid w:val="00DB3013"/>
    <w:rsid w:val="00DB49CD"/>
    <w:rsid w:val="00DB5A7E"/>
    <w:rsid w:val="00DB5CEF"/>
    <w:rsid w:val="00DB62A5"/>
    <w:rsid w:val="00DB6A34"/>
    <w:rsid w:val="00DB7AF1"/>
    <w:rsid w:val="00DC2620"/>
    <w:rsid w:val="00DC3AC2"/>
    <w:rsid w:val="00DC61B9"/>
    <w:rsid w:val="00DC65AE"/>
    <w:rsid w:val="00DD0B15"/>
    <w:rsid w:val="00DD118C"/>
    <w:rsid w:val="00DD43BB"/>
    <w:rsid w:val="00DD6486"/>
    <w:rsid w:val="00DE0231"/>
    <w:rsid w:val="00DE32CF"/>
    <w:rsid w:val="00DE44A2"/>
    <w:rsid w:val="00DE6314"/>
    <w:rsid w:val="00DE65E2"/>
    <w:rsid w:val="00DF30F0"/>
    <w:rsid w:val="00DF46EC"/>
    <w:rsid w:val="00DF48E3"/>
    <w:rsid w:val="00DF6007"/>
    <w:rsid w:val="00E040DD"/>
    <w:rsid w:val="00E06067"/>
    <w:rsid w:val="00E069E2"/>
    <w:rsid w:val="00E10315"/>
    <w:rsid w:val="00E1145E"/>
    <w:rsid w:val="00E13124"/>
    <w:rsid w:val="00E20732"/>
    <w:rsid w:val="00E20FD3"/>
    <w:rsid w:val="00E21615"/>
    <w:rsid w:val="00E2357C"/>
    <w:rsid w:val="00E23980"/>
    <w:rsid w:val="00E24AF9"/>
    <w:rsid w:val="00E27522"/>
    <w:rsid w:val="00E2780A"/>
    <w:rsid w:val="00E27E31"/>
    <w:rsid w:val="00E36441"/>
    <w:rsid w:val="00E41AF1"/>
    <w:rsid w:val="00E54407"/>
    <w:rsid w:val="00E54EC5"/>
    <w:rsid w:val="00E5621B"/>
    <w:rsid w:val="00E5731E"/>
    <w:rsid w:val="00E66235"/>
    <w:rsid w:val="00E671EF"/>
    <w:rsid w:val="00E70296"/>
    <w:rsid w:val="00E71B4A"/>
    <w:rsid w:val="00E74654"/>
    <w:rsid w:val="00E75953"/>
    <w:rsid w:val="00E77CDF"/>
    <w:rsid w:val="00E83BF2"/>
    <w:rsid w:val="00E83C24"/>
    <w:rsid w:val="00E935D1"/>
    <w:rsid w:val="00EA0523"/>
    <w:rsid w:val="00EA3C9C"/>
    <w:rsid w:val="00EA79B0"/>
    <w:rsid w:val="00EB3E9A"/>
    <w:rsid w:val="00EB56F1"/>
    <w:rsid w:val="00EB63CA"/>
    <w:rsid w:val="00EC2503"/>
    <w:rsid w:val="00EC29F5"/>
    <w:rsid w:val="00ED3FB4"/>
    <w:rsid w:val="00EE06D8"/>
    <w:rsid w:val="00EE1719"/>
    <w:rsid w:val="00EE4AB4"/>
    <w:rsid w:val="00EE598E"/>
    <w:rsid w:val="00EE6B1E"/>
    <w:rsid w:val="00EE7E02"/>
    <w:rsid w:val="00EF228D"/>
    <w:rsid w:val="00EF611C"/>
    <w:rsid w:val="00EF76C3"/>
    <w:rsid w:val="00EF7F13"/>
    <w:rsid w:val="00F012B4"/>
    <w:rsid w:val="00F01BC7"/>
    <w:rsid w:val="00F04B67"/>
    <w:rsid w:val="00F05388"/>
    <w:rsid w:val="00F05AA1"/>
    <w:rsid w:val="00F0651C"/>
    <w:rsid w:val="00F0784B"/>
    <w:rsid w:val="00F123E1"/>
    <w:rsid w:val="00F13EC6"/>
    <w:rsid w:val="00F14CF0"/>
    <w:rsid w:val="00F15F9F"/>
    <w:rsid w:val="00F1661D"/>
    <w:rsid w:val="00F1739C"/>
    <w:rsid w:val="00F17680"/>
    <w:rsid w:val="00F21140"/>
    <w:rsid w:val="00F24E7E"/>
    <w:rsid w:val="00F250D0"/>
    <w:rsid w:val="00F338EA"/>
    <w:rsid w:val="00F35CD6"/>
    <w:rsid w:val="00F36E69"/>
    <w:rsid w:val="00F37F51"/>
    <w:rsid w:val="00F45F0F"/>
    <w:rsid w:val="00F47136"/>
    <w:rsid w:val="00F5152F"/>
    <w:rsid w:val="00F5595C"/>
    <w:rsid w:val="00F60EFE"/>
    <w:rsid w:val="00F61DDE"/>
    <w:rsid w:val="00F6509E"/>
    <w:rsid w:val="00F6680D"/>
    <w:rsid w:val="00F67181"/>
    <w:rsid w:val="00F67530"/>
    <w:rsid w:val="00F67572"/>
    <w:rsid w:val="00F70A84"/>
    <w:rsid w:val="00F715EE"/>
    <w:rsid w:val="00F71B9A"/>
    <w:rsid w:val="00F72DEE"/>
    <w:rsid w:val="00F75CA0"/>
    <w:rsid w:val="00F814CC"/>
    <w:rsid w:val="00F83217"/>
    <w:rsid w:val="00F94774"/>
    <w:rsid w:val="00F97E5D"/>
    <w:rsid w:val="00FA03A9"/>
    <w:rsid w:val="00FA0CD8"/>
    <w:rsid w:val="00FA1D81"/>
    <w:rsid w:val="00FA1F14"/>
    <w:rsid w:val="00FA27EB"/>
    <w:rsid w:val="00FA2FE6"/>
    <w:rsid w:val="00FA36A6"/>
    <w:rsid w:val="00FA6094"/>
    <w:rsid w:val="00FB16DE"/>
    <w:rsid w:val="00FB2027"/>
    <w:rsid w:val="00FB2349"/>
    <w:rsid w:val="00FB3E0E"/>
    <w:rsid w:val="00FB479F"/>
    <w:rsid w:val="00FB7682"/>
    <w:rsid w:val="00FC1359"/>
    <w:rsid w:val="00FC175D"/>
    <w:rsid w:val="00FC1954"/>
    <w:rsid w:val="00FC1A29"/>
    <w:rsid w:val="00FC2A16"/>
    <w:rsid w:val="00FC3277"/>
    <w:rsid w:val="00FC4259"/>
    <w:rsid w:val="00FC53DB"/>
    <w:rsid w:val="00FD1DBB"/>
    <w:rsid w:val="00FD3056"/>
    <w:rsid w:val="00FD5B40"/>
    <w:rsid w:val="00FD6378"/>
    <w:rsid w:val="00FD7504"/>
    <w:rsid w:val="00FE657F"/>
    <w:rsid w:val="00FF00ED"/>
    <w:rsid w:val="00FF2A1A"/>
    <w:rsid w:val="00FF51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en-GB" w:eastAsia="en-US"/>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D4282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link w:val="BalloonText"/>
    <w:uiPriority w:val="99"/>
    <w:semiHidden/>
    <w:rsid w:val="00C9161D"/>
    <w:rPr>
      <w:rFonts w:ascii="Lucida Grande" w:hAnsi="Lucida Grande" w:cs="Lucida Grande"/>
      <w:sz w:val="18"/>
      <w:szCs w:val="18"/>
      <w:lang w:val="en-US"/>
    </w:rPr>
  </w:style>
  <w:style w:type="character" w:styleId="PlaceholderText">
    <w:name w:val="Placeholder Tex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leChar">
    <w:name w:val="Title Char"/>
    <w:link w:val="Title"/>
    <w:uiPriority w:val="10"/>
    <w:rsid w:val="007E09DA"/>
    <w:rPr>
      <w:rFonts w:ascii="Calibri" w:hAnsi="Calibri" w:cs="Times New Roman"/>
      <w:color w:val="17365D"/>
      <w:spacing w:val="5"/>
      <w:kern w:val="28"/>
      <w:sz w:val="52"/>
      <w:szCs w:val="52"/>
      <w:lang w:val="en-GB" w:eastAsia="en-US"/>
    </w:rPr>
  </w:style>
  <w:style w:type="paragraph" w:styleId="Subtitle">
    <w:name w:val="Subtitle"/>
    <w:basedOn w:val="Normal"/>
    <w:next w:val="Normal"/>
    <w:link w:val="SubtitleChar"/>
    <w:uiPriority w:val="11"/>
    <w:qFormat/>
    <w:rsid w:val="003818DA"/>
    <w:pPr>
      <w:numPr>
        <w:ilvl w:val="1"/>
      </w:numPr>
    </w:pPr>
    <w:rPr>
      <w:rFonts w:ascii="Calibri" w:eastAsia="SimSun" w:hAnsi="Calibri"/>
      <w:i/>
      <w:iCs/>
      <w:color w:val="4F81BD"/>
      <w:spacing w:val="15"/>
      <w:sz w:val="24"/>
    </w:rPr>
  </w:style>
  <w:style w:type="character" w:customStyle="1" w:styleId="SubtitleChar">
    <w:name w:val="Subtitle Char"/>
    <w:link w:val="Subtitle"/>
    <w:uiPriority w:val="11"/>
    <w:rsid w:val="007E09DA"/>
    <w:rPr>
      <w:rFonts w:ascii="Calibri" w:hAnsi="Calibri" w:cs="Times New Roman"/>
      <w:i/>
      <w:iCs/>
      <w:color w:val="4F81BD"/>
      <w:spacing w:val="15"/>
      <w:sz w:val="24"/>
      <w:szCs w:val="24"/>
      <w:lang w:val="en-GB" w:eastAsia="en-US"/>
    </w:rPr>
  </w:style>
  <w:style w:type="character" w:customStyle="1" w:styleId="Heading1Char">
    <w:name w:val="Heading 1 Char"/>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D4282A"/>
    <w:rPr>
      <w:sz w:val="18"/>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link w:val="Heading2"/>
    <w:rsid w:val="00D4282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link w:val="Heading5"/>
    <w:rsid w:val="007E09DA"/>
    <w:rPr>
      <w:rFonts w:ascii="Times New Roman" w:eastAsia="Times New Roman" w:hAnsi="Times New Roman" w:cs="Times New Roman"/>
      <w:bCs/>
      <w:i/>
      <w:sz w:val="22"/>
      <w:szCs w:val="26"/>
      <w:lang w:eastAsia="en-US"/>
    </w:rPr>
  </w:style>
  <w:style w:type="character" w:customStyle="1" w:styleId="Heading6Char">
    <w:name w:val="Heading 6 Char"/>
    <w:link w:val="Heading6"/>
    <w:rsid w:val="007E09DA"/>
    <w:rPr>
      <w:rFonts w:ascii="Times New Roman" w:eastAsia="Times New Roman" w:hAnsi="Times New Roman" w:cs="Times New Roman"/>
      <w:sz w:val="22"/>
      <w:u w:val="single"/>
      <w:lang w:val="en-GB"/>
    </w:rPr>
  </w:style>
  <w:style w:type="character" w:customStyle="1" w:styleId="Heading7Char">
    <w:name w:val="Heading 7 Char"/>
    <w:link w:val="Heading7"/>
    <w:rsid w:val="007E09DA"/>
    <w:rPr>
      <w:rFonts w:ascii="Univers" w:eastAsia="Times New Roman" w:hAnsi="Univers" w:cs="Times New Roman"/>
      <w:b/>
      <w:sz w:val="28"/>
      <w:lang w:val="en-GB"/>
    </w:rPr>
  </w:style>
  <w:style w:type="character" w:customStyle="1" w:styleId="Heading8Char">
    <w:name w:val="Heading 8 Char"/>
    <w:link w:val="Heading8"/>
    <w:rsid w:val="007E09DA"/>
    <w:rPr>
      <w:rFonts w:ascii="Univers" w:eastAsia="Times New Roman" w:hAnsi="Univers" w:cs="Times New Roman"/>
      <w:b/>
      <w:sz w:val="32"/>
      <w:lang w:val="en-GB"/>
    </w:rPr>
  </w:style>
  <w:style w:type="character" w:customStyle="1" w:styleId="Heading9Char">
    <w:name w:val="Heading 9 Char"/>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ListParagraph">
    <w:name w:val="List Paragraph"/>
    <w:basedOn w:val="Normal"/>
    <w:link w:val="ListParagraphChar"/>
    <w:uiPriority w:val="34"/>
    <w:qFormat/>
    <w:rsid w:val="00266295"/>
    <w:pPr>
      <w:ind w:left="720"/>
      <w:contextualSpacing/>
    </w:pPr>
  </w:style>
  <w:style w:type="paragraph" w:styleId="CommentSubject">
    <w:name w:val="annotation subject"/>
    <w:basedOn w:val="CommentText"/>
    <w:next w:val="CommentText"/>
    <w:link w:val="CommentSubjectChar"/>
    <w:uiPriority w:val="99"/>
    <w:semiHidden/>
    <w:unhideWhenUsed/>
    <w:rsid w:val="00764248"/>
    <w:pPr>
      <w:spacing w:after="0" w:line="240" w:lineRule="auto"/>
    </w:pPr>
    <w:rPr>
      <w:b/>
      <w:bCs/>
      <w:sz w:val="20"/>
      <w:szCs w:val="20"/>
    </w:rPr>
  </w:style>
  <w:style w:type="character" w:customStyle="1" w:styleId="CommentSubjectChar">
    <w:name w:val="Comment Subject Char"/>
    <w:link w:val="CommentSubject"/>
    <w:uiPriority w:val="99"/>
    <w:semiHidden/>
    <w:rsid w:val="00764248"/>
    <w:rPr>
      <w:rFonts w:ascii="Times New Roman" w:eastAsia="Times New Roman" w:hAnsi="Times New Roman" w:cs="Times New Roman"/>
      <w:b/>
      <w:bCs/>
      <w:sz w:val="20"/>
      <w:szCs w:val="20"/>
      <w:lang w:val="en-GB"/>
    </w:rPr>
  </w:style>
  <w:style w:type="paragraph" w:styleId="Re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1">
    <w:name w:val="Unresolved Mention1"/>
    <w:basedOn w:val="DefaultParagraphFont"/>
    <w:uiPriority w:val="99"/>
    <w:semiHidden/>
    <w:unhideWhenUsed/>
    <w:rsid w:val="00580905"/>
    <w:rPr>
      <w:color w:val="808080"/>
      <w:shd w:val="clear" w:color="auto" w:fill="E6E6E6"/>
    </w:rPr>
  </w:style>
  <w:style w:type="character" w:customStyle="1" w:styleId="ListParagraphChar">
    <w:name w:val="List Paragraph Char"/>
    <w:basedOn w:val="DefaultParagraphFont"/>
    <w:link w:val="ListParagraph"/>
    <w:uiPriority w:val="34"/>
    <w:qFormat/>
    <w:locked/>
    <w:rsid w:val="00E5621B"/>
    <w:rPr>
      <w:rFonts w:ascii="Times New Roman" w:eastAsia="Times New Roman" w:hAnsi="Times New Roman" w:cs="Times New Roman"/>
      <w:sz w:val="22"/>
      <w:szCs w:val="24"/>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B0925"/>
    <w:pPr>
      <w:spacing w:after="160" w:line="240" w:lineRule="exact"/>
    </w:pPr>
    <w:rPr>
      <w:rFonts w:ascii="Cambria" w:eastAsia="SimSun" w:hAnsi="Cambria" w:cs="Arial"/>
      <w:sz w:val="18"/>
      <w:szCs w:val="20"/>
      <w:vertAlign w:val="superscript"/>
      <w:lang w:val="en-CA" w:eastAsia="en-CA"/>
    </w:rPr>
  </w:style>
  <w:style w:type="character" w:customStyle="1" w:styleId="apple-converted-space">
    <w:name w:val="apple-converted-space"/>
    <w:rsid w:val="00DB0925"/>
  </w:style>
  <w:style w:type="paragraph" w:customStyle="1" w:styleId="sub-item">
    <w:name w:val="sub-item"/>
    <w:basedOn w:val="Heading2"/>
    <w:qFormat/>
    <w:rsid w:val="00DB0925"/>
    <w:pPr>
      <w:spacing w:before="240"/>
      <w:ind w:firstLine="709"/>
      <w:jc w:val="left"/>
      <w:outlineLvl w:val="0"/>
    </w:pPr>
    <w:rPr>
      <w:szCs w:val="22"/>
      <w:lang w:val="en-CA" w:eastAsia="en-CA"/>
    </w:rPr>
  </w:style>
  <w:style w:type="character" w:styleId="Strong">
    <w:name w:val="Strong"/>
    <w:basedOn w:val="DefaultParagraphFont"/>
    <w:uiPriority w:val="22"/>
    <w:qFormat/>
    <w:rsid w:val="00913595"/>
    <w:rPr>
      <w:b/>
      <w:bCs/>
    </w:rPr>
  </w:style>
  <w:style w:type="paragraph" w:styleId="NoSpacing">
    <w:name w:val="No Spacing"/>
    <w:link w:val="NoSpacingChar"/>
    <w:uiPriority w:val="1"/>
    <w:qFormat/>
    <w:rsid w:val="0005036A"/>
    <w:rPr>
      <w:rFonts w:ascii="Calibri" w:eastAsia="Calibri" w:hAnsi="Calibri" w:cs="Times New Roman"/>
      <w:sz w:val="22"/>
      <w:szCs w:val="22"/>
      <w:lang w:val="en-US" w:eastAsia="en-US"/>
    </w:rPr>
  </w:style>
  <w:style w:type="character" w:customStyle="1" w:styleId="NoSpacingChar">
    <w:name w:val="No Spacing Char"/>
    <w:basedOn w:val="DefaultParagraphFont"/>
    <w:link w:val="NoSpacing"/>
    <w:uiPriority w:val="1"/>
    <w:rsid w:val="0005036A"/>
    <w:rPr>
      <w:rFonts w:ascii="Calibri" w:eastAsia="Calibri" w:hAnsi="Calibri" w:cs="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en-GB" w:eastAsia="en-US"/>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D4282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link w:val="BalloonText"/>
    <w:uiPriority w:val="99"/>
    <w:semiHidden/>
    <w:rsid w:val="00C9161D"/>
    <w:rPr>
      <w:rFonts w:ascii="Lucida Grande" w:hAnsi="Lucida Grande" w:cs="Lucida Grande"/>
      <w:sz w:val="18"/>
      <w:szCs w:val="18"/>
      <w:lang w:val="en-US"/>
    </w:rPr>
  </w:style>
  <w:style w:type="character" w:styleId="PlaceholderText">
    <w:name w:val="Placeholder Tex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leChar">
    <w:name w:val="Title Char"/>
    <w:link w:val="Title"/>
    <w:uiPriority w:val="10"/>
    <w:rsid w:val="007E09DA"/>
    <w:rPr>
      <w:rFonts w:ascii="Calibri" w:hAnsi="Calibri" w:cs="Times New Roman"/>
      <w:color w:val="17365D"/>
      <w:spacing w:val="5"/>
      <w:kern w:val="28"/>
      <w:sz w:val="52"/>
      <w:szCs w:val="52"/>
      <w:lang w:val="en-GB" w:eastAsia="en-US"/>
    </w:rPr>
  </w:style>
  <w:style w:type="paragraph" w:styleId="Subtitle">
    <w:name w:val="Subtitle"/>
    <w:basedOn w:val="Normal"/>
    <w:next w:val="Normal"/>
    <w:link w:val="SubtitleChar"/>
    <w:uiPriority w:val="11"/>
    <w:qFormat/>
    <w:rsid w:val="003818DA"/>
    <w:pPr>
      <w:numPr>
        <w:ilvl w:val="1"/>
      </w:numPr>
    </w:pPr>
    <w:rPr>
      <w:rFonts w:ascii="Calibri" w:eastAsia="SimSun" w:hAnsi="Calibri"/>
      <w:i/>
      <w:iCs/>
      <w:color w:val="4F81BD"/>
      <w:spacing w:val="15"/>
      <w:sz w:val="24"/>
    </w:rPr>
  </w:style>
  <w:style w:type="character" w:customStyle="1" w:styleId="SubtitleChar">
    <w:name w:val="Subtitle Char"/>
    <w:link w:val="Subtitle"/>
    <w:uiPriority w:val="11"/>
    <w:rsid w:val="007E09DA"/>
    <w:rPr>
      <w:rFonts w:ascii="Calibri" w:hAnsi="Calibri" w:cs="Times New Roman"/>
      <w:i/>
      <w:iCs/>
      <w:color w:val="4F81BD"/>
      <w:spacing w:val="15"/>
      <w:sz w:val="24"/>
      <w:szCs w:val="24"/>
      <w:lang w:val="en-GB" w:eastAsia="en-US"/>
    </w:rPr>
  </w:style>
  <w:style w:type="character" w:customStyle="1" w:styleId="Heading1Char">
    <w:name w:val="Heading 1 Char"/>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D4282A"/>
    <w:rPr>
      <w:sz w:val="18"/>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link w:val="Heading2"/>
    <w:rsid w:val="00D4282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link w:val="Heading5"/>
    <w:rsid w:val="007E09DA"/>
    <w:rPr>
      <w:rFonts w:ascii="Times New Roman" w:eastAsia="Times New Roman" w:hAnsi="Times New Roman" w:cs="Times New Roman"/>
      <w:bCs/>
      <w:i/>
      <w:sz w:val="22"/>
      <w:szCs w:val="26"/>
      <w:lang w:eastAsia="en-US"/>
    </w:rPr>
  </w:style>
  <w:style w:type="character" w:customStyle="1" w:styleId="Heading6Char">
    <w:name w:val="Heading 6 Char"/>
    <w:link w:val="Heading6"/>
    <w:rsid w:val="007E09DA"/>
    <w:rPr>
      <w:rFonts w:ascii="Times New Roman" w:eastAsia="Times New Roman" w:hAnsi="Times New Roman" w:cs="Times New Roman"/>
      <w:sz w:val="22"/>
      <w:u w:val="single"/>
      <w:lang w:val="en-GB"/>
    </w:rPr>
  </w:style>
  <w:style w:type="character" w:customStyle="1" w:styleId="Heading7Char">
    <w:name w:val="Heading 7 Char"/>
    <w:link w:val="Heading7"/>
    <w:rsid w:val="007E09DA"/>
    <w:rPr>
      <w:rFonts w:ascii="Univers" w:eastAsia="Times New Roman" w:hAnsi="Univers" w:cs="Times New Roman"/>
      <w:b/>
      <w:sz w:val="28"/>
      <w:lang w:val="en-GB"/>
    </w:rPr>
  </w:style>
  <w:style w:type="character" w:customStyle="1" w:styleId="Heading8Char">
    <w:name w:val="Heading 8 Char"/>
    <w:link w:val="Heading8"/>
    <w:rsid w:val="007E09DA"/>
    <w:rPr>
      <w:rFonts w:ascii="Univers" w:eastAsia="Times New Roman" w:hAnsi="Univers" w:cs="Times New Roman"/>
      <w:b/>
      <w:sz w:val="32"/>
      <w:lang w:val="en-GB"/>
    </w:rPr>
  </w:style>
  <w:style w:type="character" w:customStyle="1" w:styleId="Heading9Char">
    <w:name w:val="Heading 9 Char"/>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ListParagraph">
    <w:name w:val="List Paragraph"/>
    <w:basedOn w:val="Normal"/>
    <w:link w:val="ListParagraphChar"/>
    <w:uiPriority w:val="34"/>
    <w:qFormat/>
    <w:rsid w:val="00266295"/>
    <w:pPr>
      <w:ind w:left="720"/>
      <w:contextualSpacing/>
    </w:pPr>
  </w:style>
  <w:style w:type="paragraph" w:styleId="CommentSubject">
    <w:name w:val="annotation subject"/>
    <w:basedOn w:val="CommentText"/>
    <w:next w:val="CommentText"/>
    <w:link w:val="CommentSubjectChar"/>
    <w:uiPriority w:val="99"/>
    <w:semiHidden/>
    <w:unhideWhenUsed/>
    <w:rsid w:val="00764248"/>
    <w:pPr>
      <w:spacing w:after="0" w:line="240" w:lineRule="auto"/>
    </w:pPr>
    <w:rPr>
      <w:b/>
      <w:bCs/>
      <w:sz w:val="20"/>
      <w:szCs w:val="20"/>
    </w:rPr>
  </w:style>
  <w:style w:type="character" w:customStyle="1" w:styleId="CommentSubjectChar">
    <w:name w:val="Comment Subject Char"/>
    <w:link w:val="CommentSubject"/>
    <w:uiPriority w:val="99"/>
    <w:semiHidden/>
    <w:rsid w:val="00764248"/>
    <w:rPr>
      <w:rFonts w:ascii="Times New Roman" w:eastAsia="Times New Roman" w:hAnsi="Times New Roman" w:cs="Times New Roman"/>
      <w:b/>
      <w:bCs/>
      <w:sz w:val="20"/>
      <w:szCs w:val="20"/>
      <w:lang w:val="en-GB"/>
    </w:rPr>
  </w:style>
  <w:style w:type="paragraph" w:styleId="Re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1">
    <w:name w:val="Unresolved Mention1"/>
    <w:basedOn w:val="DefaultParagraphFont"/>
    <w:uiPriority w:val="99"/>
    <w:semiHidden/>
    <w:unhideWhenUsed/>
    <w:rsid w:val="00580905"/>
    <w:rPr>
      <w:color w:val="808080"/>
      <w:shd w:val="clear" w:color="auto" w:fill="E6E6E6"/>
    </w:rPr>
  </w:style>
  <w:style w:type="character" w:customStyle="1" w:styleId="ListParagraphChar">
    <w:name w:val="List Paragraph Char"/>
    <w:basedOn w:val="DefaultParagraphFont"/>
    <w:link w:val="ListParagraph"/>
    <w:uiPriority w:val="34"/>
    <w:qFormat/>
    <w:locked/>
    <w:rsid w:val="00E5621B"/>
    <w:rPr>
      <w:rFonts w:ascii="Times New Roman" w:eastAsia="Times New Roman" w:hAnsi="Times New Roman" w:cs="Times New Roman"/>
      <w:sz w:val="22"/>
      <w:szCs w:val="24"/>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B0925"/>
    <w:pPr>
      <w:spacing w:after="160" w:line="240" w:lineRule="exact"/>
    </w:pPr>
    <w:rPr>
      <w:rFonts w:ascii="Cambria" w:eastAsia="SimSun" w:hAnsi="Cambria" w:cs="Arial"/>
      <w:sz w:val="18"/>
      <w:szCs w:val="20"/>
      <w:vertAlign w:val="superscript"/>
      <w:lang w:val="en-CA" w:eastAsia="en-CA"/>
    </w:rPr>
  </w:style>
  <w:style w:type="character" w:customStyle="1" w:styleId="apple-converted-space">
    <w:name w:val="apple-converted-space"/>
    <w:rsid w:val="00DB0925"/>
  </w:style>
  <w:style w:type="paragraph" w:customStyle="1" w:styleId="sub-item">
    <w:name w:val="sub-item"/>
    <w:basedOn w:val="Heading2"/>
    <w:qFormat/>
    <w:rsid w:val="00DB0925"/>
    <w:pPr>
      <w:spacing w:before="240"/>
      <w:ind w:firstLine="709"/>
      <w:jc w:val="left"/>
      <w:outlineLvl w:val="0"/>
    </w:pPr>
    <w:rPr>
      <w:szCs w:val="22"/>
      <w:lang w:val="en-CA" w:eastAsia="en-CA"/>
    </w:rPr>
  </w:style>
  <w:style w:type="character" w:styleId="Strong">
    <w:name w:val="Strong"/>
    <w:basedOn w:val="DefaultParagraphFont"/>
    <w:uiPriority w:val="22"/>
    <w:qFormat/>
    <w:rsid w:val="00913595"/>
    <w:rPr>
      <w:b/>
      <w:bCs/>
    </w:rPr>
  </w:style>
  <w:style w:type="paragraph" w:styleId="NoSpacing">
    <w:name w:val="No Spacing"/>
    <w:link w:val="NoSpacingChar"/>
    <w:uiPriority w:val="1"/>
    <w:qFormat/>
    <w:rsid w:val="0005036A"/>
    <w:rPr>
      <w:rFonts w:ascii="Calibri" w:eastAsia="Calibri" w:hAnsi="Calibri" w:cs="Times New Roman"/>
      <w:sz w:val="22"/>
      <w:szCs w:val="22"/>
      <w:lang w:val="en-US" w:eastAsia="en-US"/>
    </w:rPr>
  </w:style>
  <w:style w:type="character" w:customStyle="1" w:styleId="NoSpacingChar">
    <w:name w:val="No Spacing Char"/>
    <w:basedOn w:val="DefaultParagraphFont"/>
    <w:link w:val="NoSpacing"/>
    <w:uiPriority w:val="1"/>
    <w:rsid w:val="0005036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n/ga/search/view_doc.asp?symbol=A/RES/70/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5D10FAE0834F1180DBEFA6706DBF66"/>
        <w:category>
          <w:name w:val="Général"/>
          <w:gallery w:val="placeholder"/>
        </w:category>
        <w:types>
          <w:type w:val="bbPlcHdr"/>
        </w:types>
        <w:behaviors>
          <w:behavior w:val="content"/>
        </w:behaviors>
        <w:guid w:val="{B1A2D8D8-CF11-4A17-BE39-0792124C69AC}"/>
      </w:docPartPr>
      <w:docPartBody>
        <w:p w:rsidR="00AC7767" w:rsidRDefault="00AC7767" w:rsidP="00AC7767">
          <w:pPr>
            <w:pStyle w:val="7D5D10FAE0834F1180DBEFA6706DBF66"/>
          </w:pPr>
          <w:r w:rsidRPr="00292308">
            <w:rPr>
              <w:rStyle w:val="PlaceholderText"/>
            </w:rPr>
            <w:t>[Subject]</w:t>
          </w:r>
        </w:p>
      </w:docPartBody>
    </w:docPart>
    <w:docPart>
      <w:docPartPr>
        <w:name w:val="95110B270E2340708CF7D532AAD3EAB1"/>
        <w:category>
          <w:name w:val="General"/>
          <w:gallery w:val="placeholder"/>
        </w:category>
        <w:types>
          <w:type w:val="bbPlcHdr"/>
        </w:types>
        <w:behaviors>
          <w:behavior w:val="content"/>
        </w:behaviors>
        <w:guid w:val="{FF05F8B8-DD32-4BA0-B19C-5D4ECC02A4FD}"/>
      </w:docPartPr>
      <w:docPartBody>
        <w:p w:rsidR="00063734" w:rsidRDefault="007A3E1B" w:rsidP="007A3E1B">
          <w:pPr>
            <w:pStyle w:val="95110B270E2340708CF7D532AAD3EAB1"/>
          </w:pPr>
          <w:r w:rsidRPr="007E02EB">
            <w:rPr>
              <w:rStyle w:val="PlaceholderText"/>
            </w:rPr>
            <w:t>[Status]</w:t>
          </w:r>
        </w:p>
      </w:docPartBody>
    </w:docPart>
    <w:docPart>
      <w:docPartPr>
        <w:name w:val="64AAC581CED44820B8CFC7485EAD2442"/>
        <w:category>
          <w:name w:val="General"/>
          <w:gallery w:val="placeholder"/>
        </w:category>
        <w:types>
          <w:type w:val="bbPlcHdr"/>
        </w:types>
        <w:behaviors>
          <w:behavior w:val="content"/>
        </w:behaviors>
        <w:guid w:val="{37CB8DA6-7010-4331-B5F2-F3D016591B2B}"/>
      </w:docPartPr>
      <w:docPartBody>
        <w:p w:rsidR="00063734" w:rsidRDefault="007A3E1B" w:rsidP="007A3E1B">
          <w:pPr>
            <w:pStyle w:val="64AAC581CED44820B8CFC7485EAD2442"/>
          </w:pPr>
          <w:r w:rsidRPr="00360CFE">
            <w:rPr>
              <w:rStyle w:val="PlaceholderText"/>
            </w:rPr>
            <w:t>[Title]</w:t>
          </w:r>
        </w:p>
      </w:docPartBody>
    </w:docPart>
    <w:docPart>
      <w:docPartPr>
        <w:name w:val="F48CEC41F8CF439C8F7E8B4D58294B26"/>
        <w:category>
          <w:name w:val="General"/>
          <w:gallery w:val="placeholder"/>
        </w:category>
        <w:types>
          <w:type w:val="bbPlcHdr"/>
        </w:types>
        <w:behaviors>
          <w:behavior w:val="content"/>
        </w:behaviors>
        <w:guid w:val="{26C3DF52-BC56-4E96-967A-F6F5A4262B68}"/>
      </w:docPartPr>
      <w:docPartBody>
        <w:p w:rsidR="00063734" w:rsidRDefault="007A3E1B" w:rsidP="007A3E1B">
          <w:pPr>
            <w:pStyle w:val="F48CEC41F8CF439C8F7E8B4D58294B26"/>
          </w:pPr>
          <w:r w:rsidRPr="007E02EB">
            <w:rPr>
              <w:rStyle w:val="PlaceholderText"/>
            </w:rPr>
            <w:t>[Subject]</w:t>
          </w:r>
        </w:p>
      </w:docPartBody>
    </w:docPart>
    <w:docPart>
      <w:docPartPr>
        <w:name w:val="5AF433D61F594C2480EEAA067A25E9CF"/>
        <w:category>
          <w:name w:val="General"/>
          <w:gallery w:val="placeholder"/>
        </w:category>
        <w:types>
          <w:type w:val="bbPlcHdr"/>
        </w:types>
        <w:behaviors>
          <w:behavior w:val="content"/>
        </w:behaviors>
        <w:guid w:val="{EAD3C4BB-1AB5-4C7F-B0A1-4455F11AE334}"/>
      </w:docPartPr>
      <w:docPartBody>
        <w:p w:rsidR="00063734" w:rsidRDefault="007A3E1B" w:rsidP="007A3E1B">
          <w:pPr>
            <w:pStyle w:val="5AF433D61F594C2480EEAA067A25E9CF"/>
          </w:pPr>
          <w:r w:rsidRPr="007E02EB">
            <w:rPr>
              <w:rStyle w:val="PlaceholderText"/>
            </w:rPr>
            <w:t>[Subject]</w:t>
          </w:r>
        </w:p>
      </w:docPartBody>
    </w:docPart>
    <w:docPart>
      <w:docPartPr>
        <w:name w:val="66C6620374454374AE7E476E2AC318CF"/>
        <w:category>
          <w:name w:val="General"/>
          <w:gallery w:val="placeholder"/>
        </w:category>
        <w:types>
          <w:type w:val="bbPlcHdr"/>
        </w:types>
        <w:behaviors>
          <w:behavior w:val="content"/>
        </w:behaviors>
        <w:guid w:val="{9392E8C9-548C-4501-8E0D-EC44A32C55A5}"/>
      </w:docPartPr>
      <w:docPartBody>
        <w:p w:rsidR="00063734" w:rsidRDefault="007A3E1B" w:rsidP="007A3E1B">
          <w:pPr>
            <w:pStyle w:val="66C6620374454374AE7E476E2AC318CF"/>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49"/>
    <w:rsid w:val="00063734"/>
    <w:rsid w:val="00302B1E"/>
    <w:rsid w:val="003B1783"/>
    <w:rsid w:val="00416334"/>
    <w:rsid w:val="00624D4B"/>
    <w:rsid w:val="00635D11"/>
    <w:rsid w:val="00765D40"/>
    <w:rsid w:val="007A3E1B"/>
    <w:rsid w:val="009F479C"/>
    <w:rsid w:val="00A02A33"/>
    <w:rsid w:val="00AC7767"/>
    <w:rsid w:val="00C7374A"/>
    <w:rsid w:val="00CA7745"/>
    <w:rsid w:val="00CD41EB"/>
    <w:rsid w:val="00E73549"/>
    <w:rsid w:val="00EA69C2"/>
    <w:rsid w:val="00ED2DE9"/>
    <w:rsid w:val="00F722C1"/>
    <w:rsid w:val="00F87B3E"/>
    <w:rsid w:val="00FC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A3E1B"/>
    <w:rPr>
      <w:color w:val="808080"/>
    </w:rPr>
  </w:style>
  <w:style w:type="paragraph" w:customStyle="1" w:styleId="283698F793FF474CA7A76FD29D42E429">
    <w:name w:val="283698F793FF474CA7A76FD29D42E429"/>
    <w:rsid w:val="00E73549"/>
  </w:style>
  <w:style w:type="paragraph" w:customStyle="1" w:styleId="63531125AB254EE1B2421A9AC6184BF2">
    <w:name w:val="63531125AB254EE1B2421A9AC6184BF2"/>
    <w:rsid w:val="00E73549"/>
  </w:style>
  <w:style w:type="paragraph" w:customStyle="1" w:styleId="B3CC7CA772194D34B7A8AD3D9D87FB12">
    <w:name w:val="B3CC7CA772194D34B7A8AD3D9D87FB12"/>
    <w:rsid w:val="00E73549"/>
  </w:style>
  <w:style w:type="paragraph" w:customStyle="1" w:styleId="7753B46723BB4228AB6D7BDDBAB50570">
    <w:name w:val="7753B46723BB4228AB6D7BDDBAB50570"/>
    <w:rsid w:val="00E73549"/>
  </w:style>
  <w:style w:type="paragraph" w:customStyle="1" w:styleId="F61A4DB5B6A54967B8BD92D14B6CC819">
    <w:name w:val="F61A4DB5B6A54967B8BD92D14B6CC819"/>
    <w:rsid w:val="00E73549"/>
  </w:style>
  <w:style w:type="paragraph" w:customStyle="1" w:styleId="EAB7B53DD28743BFB6995E543A7DAF67">
    <w:name w:val="EAB7B53DD28743BFB6995E543A7DAF67"/>
    <w:rsid w:val="00E73549"/>
  </w:style>
  <w:style w:type="paragraph" w:customStyle="1" w:styleId="2A9943AFF37F4AADB2C2C6BCD6C09B2B">
    <w:name w:val="2A9943AFF37F4AADB2C2C6BCD6C09B2B"/>
    <w:rsid w:val="00765D40"/>
    <w:rPr>
      <w:lang w:val="en-CA" w:eastAsia="en-CA"/>
    </w:rPr>
  </w:style>
  <w:style w:type="paragraph" w:customStyle="1" w:styleId="7D5D10FAE0834F1180DBEFA6706DBF66">
    <w:name w:val="7D5D10FAE0834F1180DBEFA6706DBF66"/>
    <w:rsid w:val="00AC7767"/>
    <w:rPr>
      <w:lang w:val="fr-CA" w:eastAsia="fr-CA"/>
    </w:rPr>
  </w:style>
  <w:style w:type="paragraph" w:customStyle="1" w:styleId="95110B270E2340708CF7D532AAD3EAB1">
    <w:name w:val="95110B270E2340708CF7D532AAD3EAB1"/>
    <w:rsid w:val="007A3E1B"/>
    <w:pPr>
      <w:spacing w:after="200" w:line="276" w:lineRule="auto"/>
    </w:pPr>
    <w:rPr>
      <w:lang w:val="en-GB" w:eastAsia="en-GB"/>
    </w:rPr>
  </w:style>
  <w:style w:type="paragraph" w:customStyle="1" w:styleId="A3108AFA5763430EA3D05D4F13923A96">
    <w:name w:val="A3108AFA5763430EA3D05D4F13923A96"/>
    <w:rsid w:val="007A3E1B"/>
    <w:pPr>
      <w:spacing w:after="200" w:line="276" w:lineRule="auto"/>
    </w:pPr>
    <w:rPr>
      <w:lang w:val="en-GB" w:eastAsia="en-GB"/>
    </w:rPr>
  </w:style>
  <w:style w:type="paragraph" w:customStyle="1" w:styleId="64AAC581CED44820B8CFC7485EAD2442">
    <w:name w:val="64AAC581CED44820B8CFC7485EAD2442"/>
    <w:rsid w:val="007A3E1B"/>
    <w:pPr>
      <w:spacing w:after="200" w:line="276" w:lineRule="auto"/>
    </w:pPr>
    <w:rPr>
      <w:lang w:val="en-GB" w:eastAsia="en-GB"/>
    </w:rPr>
  </w:style>
  <w:style w:type="paragraph" w:customStyle="1" w:styleId="2448838B11C4477690A2F0C15B34AA86">
    <w:name w:val="2448838B11C4477690A2F0C15B34AA86"/>
    <w:rsid w:val="007A3E1B"/>
    <w:pPr>
      <w:spacing w:after="200" w:line="276" w:lineRule="auto"/>
    </w:pPr>
    <w:rPr>
      <w:lang w:val="en-GB" w:eastAsia="en-GB"/>
    </w:rPr>
  </w:style>
  <w:style w:type="paragraph" w:customStyle="1" w:styleId="046A3FD82DA64058BD54DD69DDFEDB9D">
    <w:name w:val="046A3FD82DA64058BD54DD69DDFEDB9D"/>
    <w:rsid w:val="007A3E1B"/>
    <w:pPr>
      <w:spacing w:after="200" w:line="276" w:lineRule="auto"/>
    </w:pPr>
    <w:rPr>
      <w:lang w:val="en-GB" w:eastAsia="en-GB"/>
    </w:rPr>
  </w:style>
  <w:style w:type="paragraph" w:customStyle="1" w:styleId="F48CEC41F8CF439C8F7E8B4D58294B26">
    <w:name w:val="F48CEC41F8CF439C8F7E8B4D58294B26"/>
    <w:rsid w:val="007A3E1B"/>
    <w:pPr>
      <w:spacing w:after="200" w:line="276" w:lineRule="auto"/>
    </w:pPr>
    <w:rPr>
      <w:lang w:val="en-GB" w:eastAsia="en-GB"/>
    </w:rPr>
  </w:style>
  <w:style w:type="paragraph" w:customStyle="1" w:styleId="5AF433D61F594C2480EEAA067A25E9CF">
    <w:name w:val="5AF433D61F594C2480EEAA067A25E9CF"/>
    <w:rsid w:val="007A3E1B"/>
    <w:pPr>
      <w:spacing w:after="200" w:line="276" w:lineRule="auto"/>
    </w:pPr>
    <w:rPr>
      <w:lang w:val="en-GB" w:eastAsia="en-GB"/>
    </w:rPr>
  </w:style>
  <w:style w:type="paragraph" w:customStyle="1" w:styleId="66C6620374454374AE7E476E2AC318CF">
    <w:name w:val="66C6620374454374AE7E476E2AC318CF"/>
    <w:rsid w:val="007A3E1B"/>
    <w:pPr>
      <w:spacing w:after="200" w:line="276" w:lineRule="auto"/>
    </w:pPr>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A3E1B"/>
    <w:rPr>
      <w:color w:val="808080"/>
    </w:rPr>
  </w:style>
  <w:style w:type="paragraph" w:customStyle="1" w:styleId="283698F793FF474CA7A76FD29D42E429">
    <w:name w:val="283698F793FF474CA7A76FD29D42E429"/>
    <w:rsid w:val="00E73549"/>
  </w:style>
  <w:style w:type="paragraph" w:customStyle="1" w:styleId="63531125AB254EE1B2421A9AC6184BF2">
    <w:name w:val="63531125AB254EE1B2421A9AC6184BF2"/>
    <w:rsid w:val="00E73549"/>
  </w:style>
  <w:style w:type="paragraph" w:customStyle="1" w:styleId="B3CC7CA772194D34B7A8AD3D9D87FB12">
    <w:name w:val="B3CC7CA772194D34B7A8AD3D9D87FB12"/>
    <w:rsid w:val="00E73549"/>
  </w:style>
  <w:style w:type="paragraph" w:customStyle="1" w:styleId="7753B46723BB4228AB6D7BDDBAB50570">
    <w:name w:val="7753B46723BB4228AB6D7BDDBAB50570"/>
    <w:rsid w:val="00E73549"/>
  </w:style>
  <w:style w:type="paragraph" w:customStyle="1" w:styleId="F61A4DB5B6A54967B8BD92D14B6CC819">
    <w:name w:val="F61A4DB5B6A54967B8BD92D14B6CC819"/>
    <w:rsid w:val="00E73549"/>
  </w:style>
  <w:style w:type="paragraph" w:customStyle="1" w:styleId="EAB7B53DD28743BFB6995E543A7DAF67">
    <w:name w:val="EAB7B53DD28743BFB6995E543A7DAF67"/>
    <w:rsid w:val="00E73549"/>
  </w:style>
  <w:style w:type="paragraph" w:customStyle="1" w:styleId="2A9943AFF37F4AADB2C2C6BCD6C09B2B">
    <w:name w:val="2A9943AFF37F4AADB2C2C6BCD6C09B2B"/>
    <w:rsid w:val="00765D40"/>
    <w:rPr>
      <w:lang w:val="en-CA" w:eastAsia="en-CA"/>
    </w:rPr>
  </w:style>
  <w:style w:type="paragraph" w:customStyle="1" w:styleId="7D5D10FAE0834F1180DBEFA6706DBF66">
    <w:name w:val="7D5D10FAE0834F1180DBEFA6706DBF66"/>
    <w:rsid w:val="00AC7767"/>
    <w:rPr>
      <w:lang w:val="fr-CA" w:eastAsia="fr-CA"/>
    </w:rPr>
  </w:style>
  <w:style w:type="paragraph" w:customStyle="1" w:styleId="95110B270E2340708CF7D532AAD3EAB1">
    <w:name w:val="95110B270E2340708CF7D532AAD3EAB1"/>
    <w:rsid w:val="007A3E1B"/>
    <w:pPr>
      <w:spacing w:after="200" w:line="276" w:lineRule="auto"/>
    </w:pPr>
    <w:rPr>
      <w:lang w:val="en-GB" w:eastAsia="en-GB"/>
    </w:rPr>
  </w:style>
  <w:style w:type="paragraph" w:customStyle="1" w:styleId="A3108AFA5763430EA3D05D4F13923A96">
    <w:name w:val="A3108AFA5763430EA3D05D4F13923A96"/>
    <w:rsid w:val="007A3E1B"/>
    <w:pPr>
      <w:spacing w:after="200" w:line="276" w:lineRule="auto"/>
    </w:pPr>
    <w:rPr>
      <w:lang w:val="en-GB" w:eastAsia="en-GB"/>
    </w:rPr>
  </w:style>
  <w:style w:type="paragraph" w:customStyle="1" w:styleId="64AAC581CED44820B8CFC7485EAD2442">
    <w:name w:val="64AAC581CED44820B8CFC7485EAD2442"/>
    <w:rsid w:val="007A3E1B"/>
    <w:pPr>
      <w:spacing w:after="200" w:line="276" w:lineRule="auto"/>
    </w:pPr>
    <w:rPr>
      <w:lang w:val="en-GB" w:eastAsia="en-GB"/>
    </w:rPr>
  </w:style>
  <w:style w:type="paragraph" w:customStyle="1" w:styleId="2448838B11C4477690A2F0C15B34AA86">
    <w:name w:val="2448838B11C4477690A2F0C15B34AA86"/>
    <w:rsid w:val="007A3E1B"/>
    <w:pPr>
      <w:spacing w:after="200" w:line="276" w:lineRule="auto"/>
    </w:pPr>
    <w:rPr>
      <w:lang w:val="en-GB" w:eastAsia="en-GB"/>
    </w:rPr>
  </w:style>
  <w:style w:type="paragraph" w:customStyle="1" w:styleId="046A3FD82DA64058BD54DD69DDFEDB9D">
    <w:name w:val="046A3FD82DA64058BD54DD69DDFEDB9D"/>
    <w:rsid w:val="007A3E1B"/>
    <w:pPr>
      <w:spacing w:after="200" w:line="276" w:lineRule="auto"/>
    </w:pPr>
    <w:rPr>
      <w:lang w:val="en-GB" w:eastAsia="en-GB"/>
    </w:rPr>
  </w:style>
  <w:style w:type="paragraph" w:customStyle="1" w:styleId="F48CEC41F8CF439C8F7E8B4D58294B26">
    <w:name w:val="F48CEC41F8CF439C8F7E8B4D58294B26"/>
    <w:rsid w:val="007A3E1B"/>
    <w:pPr>
      <w:spacing w:after="200" w:line="276" w:lineRule="auto"/>
    </w:pPr>
    <w:rPr>
      <w:lang w:val="en-GB" w:eastAsia="en-GB"/>
    </w:rPr>
  </w:style>
  <w:style w:type="paragraph" w:customStyle="1" w:styleId="5AF433D61F594C2480EEAA067A25E9CF">
    <w:name w:val="5AF433D61F594C2480EEAA067A25E9CF"/>
    <w:rsid w:val="007A3E1B"/>
    <w:pPr>
      <w:spacing w:after="200" w:line="276" w:lineRule="auto"/>
    </w:pPr>
    <w:rPr>
      <w:lang w:val="en-GB" w:eastAsia="en-GB"/>
    </w:rPr>
  </w:style>
  <w:style w:type="paragraph" w:customStyle="1" w:styleId="66C6620374454374AE7E476E2AC318CF">
    <w:name w:val="66C6620374454374AE7E476E2AC318CF"/>
    <w:rsid w:val="007A3E1B"/>
    <w:pPr>
      <w:spacing w:after="200" w:line="276"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FC9438-FB81-437D-BCE0-4CF910D6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10</Pages>
  <Words>5275</Words>
  <Characters>30068</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14/34.	Processus complet et participatif pour l’élaboration du cadre mondial de la biodiversité pour l’après-2020</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35273</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14/34.	Processus complet et participatif pour l’élaboration du cadre mondial de la biodiversité pour l’après-2020</dc:title>
  <dc:subject>CBD/COP/DEC/14/34</dc:subject>
  <dc:creator>SCBD</dc:creator>
  <cp:lastModifiedBy>--</cp:lastModifiedBy>
  <cp:revision>15</cp:revision>
  <cp:lastPrinted>2018-11-28T04:16:00Z</cp:lastPrinted>
  <dcterms:created xsi:type="dcterms:W3CDTF">2019-02-11T11:43:00Z</dcterms:created>
  <dcterms:modified xsi:type="dcterms:W3CDTF">2019-02-12T14:38:00Z</dcterms:modified>
  <cp:contentStatus>GÉNÉRALE</cp:contentStatus>
</cp:coreProperties>
</file>