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F2F44" w:rsidRPr="00CE2BEE" w:rsidTr="00396CED">
        <w:trPr>
          <w:trHeight w:val="709"/>
        </w:trPr>
        <w:tc>
          <w:tcPr>
            <w:tcW w:w="976" w:type="dxa"/>
            <w:tcBorders>
              <w:bottom w:val="single" w:sz="12" w:space="0" w:color="auto"/>
            </w:tcBorders>
          </w:tcPr>
          <w:p w:rsidR="00DF2F44" w:rsidRPr="00500F5F" w:rsidRDefault="00DF2F44" w:rsidP="00500F5F">
            <w:pPr>
              <w:suppressLineNumbers/>
              <w:suppressAutoHyphens/>
              <w:rPr>
                <w:kern w:val="22"/>
              </w:rPr>
            </w:pPr>
            <w:r w:rsidRPr="00500F5F">
              <w:rPr>
                <w:noProof/>
                <w:kern w:val="22"/>
                <w:lang w:val="fr-CA" w:eastAsia="fr-CA"/>
              </w:rPr>
              <w:drawing>
                <wp:inline distT="0" distB="0" distL="0" distR="0" wp14:anchorId="1A2E5812" wp14:editId="7EF5666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DF2F44" w:rsidRPr="00500F5F" w:rsidRDefault="00DF2F44" w:rsidP="00500F5F">
            <w:pPr>
              <w:suppressLineNumbers/>
              <w:suppressAutoHyphens/>
              <w:rPr>
                <w:kern w:val="22"/>
              </w:rPr>
            </w:pPr>
            <w:r w:rsidRPr="00500F5F">
              <w:rPr>
                <w:noProof/>
                <w:kern w:val="22"/>
                <w:lang w:val="fr-CA" w:eastAsia="fr-CA"/>
              </w:rPr>
              <w:drawing>
                <wp:inline distT="0" distB="0" distL="0" distR="0" wp14:anchorId="276682A4" wp14:editId="22AEA5EC">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DF2F44" w:rsidRPr="00500F5F" w:rsidRDefault="00DF2F44" w:rsidP="00500F5F">
            <w:pPr>
              <w:suppressLineNumbers/>
              <w:suppressAutoHyphens/>
              <w:jc w:val="right"/>
              <w:rPr>
                <w:rFonts w:ascii="Arial" w:hAnsi="Arial" w:cs="Arial"/>
                <w:b/>
                <w:kern w:val="22"/>
                <w:sz w:val="32"/>
                <w:szCs w:val="32"/>
              </w:rPr>
            </w:pPr>
            <w:r w:rsidRPr="00500F5F">
              <w:rPr>
                <w:rFonts w:ascii="Arial" w:hAnsi="Arial" w:cs="Arial"/>
                <w:b/>
                <w:kern w:val="22"/>
                <w:sz w:val="32"/>
                <w:szCs w:val="32"/>
              </w:rPr>
              <w:t>CBD</w:t>
            </w:r>
          </w:p>
        </w:tc>
      </w:tr>
      <w:tr w:rsidR="00DF2F44" w:rsidRPr="00CE2BEE" w:rsidTr="00396CED">
        <w:tc>
          <w:tcPr>
            <w:tcW w:w="6117" w:type="dxa"/>
            <w:gridSpan w:val="2"/>
            <w:tcBorders>
              <w:top w:val="single" w:sz="12" w:space="0" w:color="auto"/>
              <w:bottom w:val="single" w:sz="36" w:space="0" w:color="auto"/>
            </w:tcBorders>
            <w:vAlign w:val="center"/>
          </w:tcPr>
          <w:p w:rsidR="00DF2F44" w:rsidRPr="00500F5F" w:rsidRDefault="00411DEC" w:rsidP="00500F5F">
            <w:pPr>
              <w:suppressLineNumbers/>
              <w:suppressAutoHyphens/>
              <w:rPr>
                <w:kern w:val="22"/>
              </w:rPr>
            </w:pPr>
            <w:r w:rsidRPr="00012BE7">
              <w:rPr>
                <w:noProof/>
                <w:lang w:val="fr-CA" w:eastAsia="fr-CA"/>
              </w:rPr>
              <w:drawing>
                <wp:inline distT="0" distB="0" distL="0" distR="0" wp14:anchorId="4AD9035A" wp14:editId="02627BB3">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DF2F44" w:rsidRPr="00500F5F" w:rsidRDefault="00DF2F44" w:rsidP="00500F5F">
            <w:pPr>
              <w:suppressLineNumbers/>
              <w:suppressAutoHyphens/>
              <w:ind w:left="1215"/>
              <w:rPr>
                <w:kern w:val="22"/>
                <w:szCs w:val="22"/>
              </w:rPr>
            </w:pPr>
            <w:r w:rsidRPr="00500F5F">
              <w:rPr>
                <w:kern w:val="22"/>
                <w:szCs w:val="22"/>
              </w:rPr>
              <w:t>Distr.</w:t>
            </w:r>
          </w:p>
          <w:p w:rsidR="00DF2F44" w:rsidRPr="00500F5F" w:rsidRDefault="001A1124" w:rsidP="00500F5F">
            <w:pPr>
              <w:suppressLineNumbers/>
              <w:suppressAutoHyphens/>
              <w:ind w:left="1215"/>
              <w:rPr>
                <w:kern w:val="22"/>
                <w:szCs w:val="22"/>
              </w:rPr>
            </w:pPr>
            <w:sdt>
              <w:sdtPr>
                <w:rPr>
                  <w:caps/>
                  <w:kern w:val="22"/>
                  <w:szCs w:val="22"/>
                </w:rPr>
                <w:alias w:val="Status"/>
                <w:tag w:val=""/>
                <w:id w:val="307985777"/>
                <w:placeholder>
                  <w:docPart w:val="992C3793358AE749922BCD46EE488E4D"/>
                </w:placeholder>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sidR="00411DEC">
                  <w:rPr>
                    <w:caps/>
                    <w:kern w:val="22"/>
                    <w:szCs w:val="22"/>
                  </w:rPr>
                  <w:t>GÉNÉRALE</w:t>
                </w:r>
                <w:proofErr w:type="spellEnd"/>
              </w:sdtContent>
            </w:sdt>
          </w:p>
          <w:p w:rsidR="00DF2F44" w:rsidRPr="00500F5F" w:rsidRDefault="00DF2F44" w:rsidP="00500F5F">
            <w:pPr>
              <w:suppressLineNumbers/>
              <w:suppressAutoHyphens/>
              <w:ind w:left="1215"/>
              <w:rPr>
                <w:kern w:val="22"/>
                <w:szCs w:val="22"/>
              </w:rPr>
            </w:pPr>
          </w:p>
          <w:p w:rsidR="00DF2F44" w:rsidRPr="00500F5F" w:rsidRDefault="001A1124" w:rsidP="00500F5F">
            <w:pPr>
              <w:suppressLineNumbers/>
              <w:suppressAutoHyphens/>
              <w:ind w:left="1215"/>
              <w:rPr>
                <w:kern w:val="22"/>
                <w:szCs w:val="22"/>
              </w:rPr>
            </w:pPr>
            <w:sdt>
              <w:sdtPr>
                <w:rPr>
                  <w:kern w:val="22"/>
                </w:rPr>
                <w:alias w:val="Subject"/>
                <w:tag w:val=""/>
                <w:id w:val="2137136483"/>
                <w:placeholder>
                  <w:docPart w:val="197A9AA66BD0A340AAE2C76EA45A9517"/>
                </w:placeholder>
                <w:dataBinding w:prefixMappings="xmlns:ns0='http://purl.org/dc/elements/1.1/' xmlns:ns1='http://schemas.openxmlformats.org/package/2006/metadata/core-properties' " w:xpath="/ns1:coreProperties[1]/ns0:subject[1]" w:storeItemID="{6C3C8BC8-F283-45AE-878A-BAB7291924A1}"/>
                <w:text/>
              </w:sdtPr>
              <w:sdtEndPr/>
              <w:sdtContent>
                <w:r w:rsidR="00E94428" w:rsidRPr="00500F5F">
                  <w:rPr>
                    <w:kern w:val="22"/>
                  </w:rPr>
                  <w:t>CBD/NP/MOP/DEC/3/6</w:t>
                </w:r>
              </w:sdtContent>
            </w:sdt>
          </w:p>
          <w:p w:rsidR="00DF2F44" w:rsidRPr="00500F5F" w:rsidRDefault="00E94428" w:rsidP="00500F5F">
            <w:pPr>
              <w:suppressLineNumbers/>
              <w:suppressAutoHyphens/>
              <w:ind w:left="1215"/>
              <w:rPr>
                <w:kern w:val="22"/>
                <w:szCs w:val="22"/>
              </w:rPr>
            </w:pPr>
            <w:r w:rsidRPr="00500F5F">
              <w:rPr>
                <w:kern w:val="22"/>
                <w:szCs w:val="22"/>
              </w:rPr>
              <w:t xml:space="preserve">30 </w:t>
            </w:r>
            <w:proofErr w:type="spellStart"/>
            <w:r w:rsidR="00411DEC">
              <w:rPr>
                <w:kern w:val="22"/>
                <w:szCs w:val="22"/>
              </w:rPr>
              <w:t>novembre</w:t>
            </w:r>
            <w:proofErr w:type="spellEnd"/>
            <w:r w:rsidR="00DF2F44" w:rsidRPr="00500F5F">
              <w:rPr>
                <w:kern w:val="22"/>
                <w:szCs w:val="22"/>
              </w:rPr>
              <w:t xml:space="preserve"> 2018</w:t>
            </w:r>
          </w:p>
          <w:p w:rsidR="00DF2F44" w:rsidRPr="00500F5F" w:rsidRDefault="00DF2F44" w:rsidP="00500F5F">
            <w:pPr>
              <w:suppressLineNumbers/>
              <w:suppressAutoHyphens/>
              <w:ind w:left="1215"/>
              <w:rPr>
                <w:kern w:val="22"/>
                <w:szCs w:val="22"/>
              </w:rPr>
            </w:pPr>
          </w:p>
          <w:p w:rsidR="00411DEC" w:rsidRDefault="00411DEC" w:rsidP="00500F5F">
            <w:pPr>
              <w:suppressLineNumbers/>
              <w:suppressAutoHyphens/>
              <w:ind w:left="1215"/>
              <w:rPr>
                <w:kern w:val="22"/>
                <w:szCs w:val="22"/>
              </w:rPr>
            </w:pPr>
            <w:proofErr w:type="spellStart"/>
            <w:r>
              <w:rPr>
                <w:kern w:val="22"/>
                <w:szCs w:val="22"/>
              </w:rPr>
              <w:t>FRANÇAIS</w:t>
            </w:r>
            <w:proofErr w:type="spellEnd"/>
          </w:p>
          <w:p w:rsidR="00DF2F44" w:rsidRPr="00500F5F" w:rsidRDefault="00DF2F44" w:rsidP="00500F5F">
            <w:pPr>
              <w:suppressLineNumbers/>
              <w:suppressAutoHyphens/>
              <w:ind w:left="1215"/>
              <w:rPr>
                <w:kern w:val="22"/>
                <w:szCs w:val="22"/>
              </w:rPr>
            </w:pPr>
            <w:r w:rsidRPr="00500F5F">
              <w:rPr>
                <w:kern w:val="22"/>
                <w:szCs w:val="22"/>
              </w:rPr>
              <w:t>ORIGINAL</w:t>
            </w:r>
            <w:r w:rsidR="00411DEC">
              <w:rPr>
                <w:kern w:val="22"/>
                <w:szCs w:val="22"/>
              </w:rPr>
              <w:t xml:space="preserve"> </w:t>
            </w:r>
            <w:r w:rsidRPr="00500F5F">
              <w:rPr>
                <w:kern w:val="22"/>
                <w:szCs w:val="22"/>
              </w:rPr>
              <w:t xml:space="preserve">: </w:t>
            </w:r>
            <w:proofErr w:type="spellStart"/>
            <w:r w:rsidR="00411DEC">
              <w:rPr>
                <w:kern w:val="22"/>
                <w:szCs w:val="22"/>
              </w:rPr>
              <w:t>ANGLAIS</w:t>
            </w:r>
            <w:proofErr w:type="spellEnd"/>
          </w:p>
          <w:p w:rsidR="00DF2F44" w:rsidRPr="00500F5F" w:rsidRDefault="00DF2F44" w:rsidP="00500F5F">
            <w:pPr>
              <w:suppressLineNumbers/>
              <w:suppressAutoHyphens/>
              <w:rPr>
                <w:kern w:val="22"/>
              </w:rPr>
            </w:pPr>
          </w:p>
        </w:tc>
      </w:tr>
    </w:tbl>
    <w:p w:rsidR="00411DEC" w:rsidRPr="00012BE7" w:rsidRDefault="00411DEC" w:rsidP="00411DEC">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fr-CA"/>
        </w:rPr>
      </w:pPr>
      <w:r w:rsidRPr="00012BE7">
        <w:rPr>
          <w:snapToGrid w:val="0"/>
          <w:kern w:val="22"/>
          <w:lang w:val="fr-CA"/>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411DEC" w:rsidRPr="00012BE7" w:rsidRDefault="00411DEC" w:rsidP="00411DEC">
      <w:pPr>
        <w:suppressLineNumbers/>
        <w:suppressAutoHyphens/>
        <w:kinsoku w:val="0"/>
        <w:overflowPunct w:val="0"/>
        <w:autoSpaceDE w:val="0"/>
        <w:autoSpaceDN w:val="0"/>
        <w:ind w:left="170" w:right="3119" w:hanging="170"/>
        <w:jc w:val="left"/>
        <w:rPr>
          <w:rFonts w:eastAsia="Batang"/>
          <w:snapToGrid w:val="0"/>
          <w:kern w:val="22"/>
          <w:szCs w:val="22"/>
          <w:lang w:val="fr-CA"/>
        </w:rPr>
      </w:pPr>
      <w:r w:rsidRPr="00012BE7">
        <w:rPr>
          <w:snapToGrid w:val="0"/>
          <w:color w:val="000000"/>
          <w:kern w:val="22"/>
          <w:lang w:val="fr-CA"/>
        </w:rPr>
        <w:t>Troisième réunion</w:t>
      </w:r>
    </w:p>
    <w:p w:rsidR="00411DEC" w:rsidRPr="00012BE7" w:rsidRDefault="00411DEC" w:rsidP="00411DEC">
      <w:pPr>
        <w:suppressLineNumbers/>
        <w:suppressAutoHyphens/>
        <w:kinsoku w:val="0"/>
        <w:overflowPunct w:val="0"/>
        <w:autoSpaceDE w:val="0"/>
        <w:autoSpaceDN w:val="0"/>
        <w:rPr>
          <w:snapToGrid w:val="0"/>
          <w:kern w:val="22"/>
          <w:szCs w:val="22"/>
          <w:lang w:val="fr-CA" w:eastAsia="nb-NO"/>
        </w:rPr>
      </w:pPr>
      <w:bookmarkStart w:id="0" w:name="_Hlk505863673"/>
      <w:r w:rsidRPr="00012BE7">
        <w:rPr>
          <w:noProof/>
          <w:snapToGrid w:val="0"/>
          <w:kern w:val="22"/>
          <w:szCs w:val="22"/>
          <w:lang w:val="fr-CA" w:eastAsia="nb-NO"/>
        </w:rPr>
        <w:t>Charm el</w:t>
      </w:r>
      <w:r w:rsidRPr="00012BE7">
        <w:rPr>
          <w:noProof/>
          <w:snapToGrid w:val="0"/>
          <w:kern w:val="22"/>
          <w:szCs w:val="22"/>
          <w:lang w:val="fr-CA" w:eastAsia="nb-NO"/>
        </w:rPr>
        <w:noBreakHyphen/>
        <w:t>Cheikh (Égypt</w:t>
      </w:r>
      <w:bookmarkEnd w:id="0"/>
      <w:r w:rsidRPr="00012BE7">
        <w:rPr>
          <w:noProof/>
          <w:snapToGrid w:val="0"/>
          <w:kern w:val="22"/>
          <w:szCs w:val="22"/>
          <w:lang w:val="fr-CA" w:eastAsia="nb-NO"/>
        </w:rPr>
        <w:t>e</w:t>
      </w:r>
      <w:r w:rsidRPr="00012BE7">
        <w:rPr>
          <w:snapToGrid w:val="0"/>
          <w:kern w:val="22"/>
          <w:szCs w:val="22"/>
          <w:lang w:val="fr-CA" w:eastAsia="nb-NO"/>
        </w:rPr>
        <w:t>), 17</w:t>
      </w:r>
      <w:r w:rsidRPr="00012BE7">
        <w:rPr>
          <w:snapToGrid w:val="0"/>
          <w:kern w:val="22"/>
          <w:szCs w:val="22"/>
          <w:lang w:val="fr-CA" w:eastAsia="nb-NO"/>
        </w:rPr>
        <w:noBreakHyphen/>
        <w:t>29 novembre 2018</w:t>
      </w:r>
    </w:p>
    <w:p w:rsidR="00C9161D" w:rsidRPr="00411DEC" w:rsidRDefault="00411DEC" w:rsidP="00411DEC">
      <w:pPr>
        <w:suppressLineNumbers/>
        <w:suppressAutoHyphens/>
        <w:rPr>
          <w:kern w:val="22"/>
          <w:lang w:val="fr-CA"/>
        </w:rPr>
      </w:pPr>
      <w:r>
        <w:rPr>
          <w:snapToGrid w:val="0"/>
          <w:kern w:val="22"/>
          <w:szCs w:val="22"/>
          <w:lang w:val="fr-CA"/>
        </w:rPr>
        <w:t>Point 12</w:t>
      </w:r>
      <w:r w:rsidRPr="00012BE7">
        <w:rPr>
          <w:snapToGrid w:val="0"/>
          <w:kern w:val="22"/>
          <w:szCs w:val="22"/>
          <w:lang w:val="fr-CA"/>
        </w:rPr>
        <w:t xml:space="preserve"> de l’ordre du jou</w:t>
      </w:r>
      <w:r>
        <w:rPr>
          <w:snapToGrid w:val="0"/>
          <w:kern w:val="22"/>
          <w:szCs w:val="22"/>
          <w:lang w:val="fr-CA"/>
        </w:rPr>
        <w:t>r</w:t>
      </w:r>
    </w:p>
    <w:p w:rsidR="00E94428" w:rsidRPr="00411DEC" w:rsidRDefault="00411DEC" w:rsidP="00500F5F">
      <w:pPr>
        <w:pStyle w:val="Titre1"/>
        <w:suppressLineNumbers/>
        <w:tabs>
          <w:tab w:val="clear" w:pos="720"/>
        </w:tabs>
        <w:suppressAutoHyphens/>
        <w:rPr>
          <w:rFonts w:ascii="Times New Roman Bold" w:hAnsi="Times New Roman Bold"/>
          <w:kern w:val="22"/>
          <w:szCs w:val="22"/>
          <w:lang w:val="fr-CA"/>
        </w:rPr>
      </w:pPr>
      <w:bookmarkStart w:id="1" w:name="_Hlk532291362"/>
      <w:r>
        <w:rPr>
          <w:rFonts w:ascii="Times New Roman Bold" w:hAnsi="Times New Roman Bold"/>
          <w:kern w:val="22"/>
          <w:lang w:val="fr-CA"/>
        </w:rPr>
        <w:t>DÉCISION ADOPTÉE PAR LES PARTIES AU PROTOCOLE DE NAGOYA SUR L’ACCÈS ET LA PARTAGE DES AVANTAGES</w:t>
      </w:r>
    </w:p>
    <w:bookmarkEnd w:id="1"/>
    <w:p w:rsidR="00C9161D" w:rsidRPr="00411DEC" w:rsidRDefault="00411DEC" w:rsidP="00500F5F">
      <w:pPr>
        <w:pStyle w:val="recommendationheader"/>
        <w:suppressLineNumbers/>
        <w:suppressAutoHyphens/>
        <w:rPr>
          <w:caps/>
          <w:kern w:val="22"/>
          <w:lang w:val="fr-CA"/>
        </w:rPr>
      </w:pPr>
      <w:sdt>
        <w:sdtPr>
          <w:rPr>
            <w:rFonts w:eastAsia="Batang"/>
            <w:snapToGrid w:val="0"/>
            <w:kern w:val="22"/>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411DEC">
            <w:rPr>
              <w:rFonts w:eastAsia="Batang"/>
              <w:snapToGrid w:val="0"/>
              <w:kern w:val="22"/>
              <w:lang w:val="fr-FR"/>
            </w:rPr>
            <w:t>3/6.</w:t>
          </w:r>
          <w:r w:rsidRPr="00411DEC">
            <w:rPr>
              <w:rFonts w:eastAsia="Batang"/>
              <w:snapToGrid w:val="0"/>
              <w:kern w:val="22"/>
              <w:lang w:val="fr-FR"/>
            </w:rPr>
            <w:tab/>
          </w:r>
          <w:r w:rsidR="003F5D82">
            <w:rPr>
              <w:rFonts w:eastAsia="Batang"/>
              <w:snapToGrid w:val="0"/>
              <w:kern w:val="22"/>
              <w:lang w:val="fr-FR"/>
            </w:rPr>
            <w:t>M</w:t>
          </w:r>
          <w:r w:rsidR="00A0739B" w:rsidRPr="00411DEC">
            <w:rPr>
              <w:rFonts w:eastAsia="Batang"/>
              <w:snapToGrid w:val="0"/>
              <w:kern w:val="22"/>
              <w:lang w:val="fr-FR"/>
            </w:rPr>
            <w:t xml:space="preserve">esures prises pour sensibiliser le public à l’importance des ressources génétiques et des connaissances traditionnelles associées (article </w:t>
          </w:r>
          <w:r w:rsidRPr="00411DEC">
            <w:rPr>
              <w:rFonts w:eastAsia="Batang"/>
              <w:snapToGrid w:val="0"/>
              <w:kern w:val="22"/>
              <w:lang w:val="fr-FR"/>
            </w:rPr>
            <w:t>21)</w:t>
          </w:r>
        </w:sdtContent>
      </w:sdt>
      <w:r w:rsidR="004433C2" w:rsidRPr="00411DEC">
        <w:rPr>
          <w:kern w:val="22"/>
          <w:lang w:val="fr-CA"/>
        </w:rPr>
        <w:t xml:space="preserve"> </w:t>
      </w:r>
    </w:p>
    <w:p w:rsidR="00A0739B" w:rsidRPr="00970D68" w:rsidRDefault="00A0739B" w:rsidP="003F5D82">
      <w:pPr>
        <w:pStyle w:val="Para1"/>
        <w:numPr>
          <w:ilvl w:val="0"/>
          <w:numId w:val="0"/>
        </w:numPr>
        <w:shd w:val="clear" w:color="auto" w:fill="FFFFFF" w:themeFill="background1"/>
        <w:ind w:firstLine="720"/>
        <w:rPr>
          <w:i/>
          <w:kern w:val="22"/>
          <w:szCs w:val="22"/>
          <w:lang w:val="fr-FR"/>
        </w:rPr>
      </w:pPr>
      <w:r w:rsidRPr="00970D68">
        <w:rPr>
          <w:i/>
          <w:iCs/>
          <w:kern w:val="22"/>
          <w:szCs w:val="22"/>
          <w:lang w:val="fr-FR"/>
        </w:rPr>
        <w:t>La Conférence des Parties siégeant en tant que réunion des Parties au Protocole de Nagoya</w:t>
      </w:r>
      <w:r w:rsidR="003F5D82">
        <w:rPr>
          <w:i/>
          <w:iCs/>
          <w:kern w:val="22"/>
          <w:szCs w:val="22"/>
          <w:lang w:val="fr-FR"/>
        </w:rPr>
        <w:t xml:space="preserve"> sur l’accès et le partage des avantages</w:t>
      </w:r>
      <w:r w:rsidRPr="00970D68">
        <w:rPr>
          <w:kern w:val="22"/>
          <w:szCs w:val="22"/>
          <w:lang w:val="fr-FR"/>
        </w:rPr>
        <w:t>,</w:t>
      </w:r>
    </w:p>
    <w:p w:rsidR="00A0739B" w:rsidRPr="00970D68" w:rsidRDefault="00A0739B" w:rsidP="00A0739B">
      <w:pPr>
        <w:pStyle w:val="Para1"/>
        <w:numPr>
          <w:ilvl w:val="0"/>
          <w:numId w:val="2"/>
        </w:numPr>
        <w:shd w:val="clear" w:color="auto" w:fill="FFFFFF" w:themeFill="background1"/>
        <w:tabs>
          <w:tab w:val="clear" w:pos="360"/>
          <w:tab w:val="left" w:pos="720"/>
        </w:tabs>
        <w:ind w:firstLine="720"/>
        <w:rPr>
          <w:kern w:val="22"/>
          <w:szCs w:val="22"/>
          <w:lang w:val="fr-FR"/>
        </w:rPr>
      </w:pPr>
      <w:r w:rsidRPr="00970D68">
        <w:rPr>
          <w:i/>
          <w:kern w:val="22"/>
          <w:szCs w:val="22"/>
          <w:lang w:val="fr-FR"/>
        </w:rPr>
        <w:t>Prend note</w:t>
      </w:r>
      <w:r w:rsidRPr="00970D68">
        <w:rPr>
          <w:kern w:val="22"/>
          <w:szCs w:val="22"/>
          <w:lang w:val="fr-FR"/>
        </w:rPr>
        <w:t xml:space="preserve"> des progrès accomplis dans la mise en œuvre de la stratégie de sensibilisation au Protocole de Nagoya sur l'accès et le partage des avantages</w:t>
      </w:r>
      <w:r w:rsidRPr="00970D68">
        <w:rPr>
          <w:rStyle w:val="Appelnotedebasdep"/>
          <w:rFonts w:eastAsiaTheme="majorEastAsia"/>
          <w:kern w:val="22"/>
          <w:szCs w:val="22"/>
          <w:lang w:val="fr-FR"/>
        </w:rPr>
        <w:footnoteReference w:id="1"/>
      </w:r>
      <w:r w:rsidRPr="00970D68">
        <w:rPr>
          <w:kern w:val="22"/>
          <w:szCs w:val="22"/>
          <w:lang w:val="fr-FR"/>
        </w:rPr>
        <w:t> ;</w:t>
      </w:r>
    </w:p>
    <w:p w:rsidR="00A0739B" w:rsidRPr="00970D68" w:rsidRDefault="00A0739B" w:rsidP="00A0739B">
      <w:pPr>
        <w:pStyle w:val="Para1"/>
        <w:numPr>
          <w:ilvl w:val="0"/>
          <w:numId w:val="2"/>
        </w:numPr>
        <w:shd w:val="clear" w:color="auto" w:fill="FFFFFF" w:themeFill="background1"/>
        <w:tabs>
          <w:tab w:val="clear" w:pos="360"/>
          <w:tab w:val="left" w:pos="720"/>
        </w:tabs>
        <w:ind w:firstLine="720"/>
        <w:rPr>
          <w:kern w:val="22"/>
          <w:szCs w:val="22"/>
          <w:lang w:val="fr-FR"/>
        </w:rPr>
      </w:pPr>
      <w:r w:rsidRPr="00970D68">
        <w:rPr>
          <w:i/>
          <w:kern w:val="22"/>
          <w:szCs w:val="22"/>
          <w:lang w:val="fr-FR"/>
        </w:rPr>
        <w:t>Accueille avec satisfaction</w:t>
      </w:r>
      <w:r w:rsidRPr="00970D68">
        <w:rPr>
          <w:kern w:val="22"/>
          <w:szCs w:val="22"/>
          <w:lang w:val="fr-FR"/>
        </w:rPr>
        <w:t xml:space="preserve"> la boîte à outils sur la sensibilisation en matière d’accès et de partage des avantages, élaborée par le Secrétariat en vue d’appuyer la mise en œuvre de la stratégie de sensibilisation ;</w:t>
      </w:r>
    </w:p>
    <w:p w:rsidR="00A0739B" w:rsidRPr="00970D68" w:rsidRDefault="00A0739B" w:rsidP="00A0739B">
      <w:pPr>
        <w:pStyle w:val="Para1"/>
        <w:numPr>
          <w:ilvl w:val="0"/>
          <w:numId w:val="2"/>
        </w:numPr>
        <w:shd w:val="clear" w:color="auto" w:fill="FFFFFF" w:themeFill="background1"/>
        <w:tabs>
          <w:tab w:val="clear" w:pos="360"/>
          <w:tab w:val="left" w:pos="720"/>
        </w:tabs>
        <w:ind w:firstLine="720"/>
        <w:rPr>
          <w:kern w:val="22"/>
          <w:szCs w:val="22"/>
          <w:lang w:val="fr-FR"/>
        </w:rPr>
      </w:pPr>
      <w:r w:rsidRPr="00970D68">
        <w:rPr>
          <w:i/>
          <w:kern w:val="22"/>
          <w:szCs w:val="22"/>
          <w:lang w:val="fr-FR"/>
        </w:rPr>
        <w:t>Encourage</w:t>
      </w:r>
      <w:r w:rsidRPr="00970D68">
        <w:rPr>
          <w:kern w:val="22"/>
          <w:szCs w:val="22"/>
          <w:lang w:val="fr-FR"/>
        </w:rPr>
        <w:t xml:space="preserve"> les Parties, les </w:t>
      </w:r>
      <w:r w:rsidR="003F5D82">
        <w:rPr>
          <w:kern w:val="22"/>
          <w:szCs w:val="22"/>
          <w:lang w:val="fr-FR"/>
        </w:rPr>
        <w:t xml:space="preserve">États non </w:t>
      </w:r>
      <w:r w:rsidRPr="00970D68">
        <w:rPr>
          <w:kern w:val="22"/>
          <w:szCs w:val="22"/>
          <w:lang w:val="fr-FR"/>
        </w:rPr>
        <w:t>Parties, les organisations compétentes et d’autres acteurs concernés à utiliser la boîte à outils sur la sensibilisation en matière d’accès et de partage des avantages élaborée par le Secrétariat, dans le cadre de leurs activités de sensibilisation et de renforcement des capacités, et à transmettre des retours d’information sur son utilisation au Secrétariat ;</w:t>
      </w:r>
    </w:p>
    <w:p w:rsidR="00A0739B" w:rsidRPr="00970D68" w:rsidRDefault="00A0739B" w:rsidP="00A0739B">
      <w:pPr>
        <w:pStyle w:val="Para1"/>
        <w:numPr>
          <w:ilvl w:val="0"/>
          <w:numId w:val="2"/>
        </w:numPr>
        <w:shd w:val="clear" w:color="auto" w:fill="FFFFFF" w:themeFill="background1"/>
        <w:tabs>
          <w:tab w:val="clear" w:pos="360"/>
          <w:tab w:val="left" w:pos="720"/>
        </w:tabs>
        <w:ind w:firstLine="720"/>
        <w:rPr>
          <w:kern w:val="22"/>
          <w:szCs w:val="22"/>
          <w:lang w:val="fr-FR"/>
        </w:rPr>
      </w:pPr>
      <w:r w:rsidRPr="00970D68">
        <w:rPr>
          <w:i/>
          <w:kern w:val="22"/>
          <w:szCs w:val="22"/>
          <w:lang w:val="fr-FR"/>
        </w:rPr>
        <w:t>Encourage</w:t>
      </w:r>
      <w:r w:rsidRPr="00970D68">
        <w:rPr>
          <w:kern w:val="22"/>
          <w:szCs w:val="22"/>
          <w:lang w:val="fr-FR"/>
        </w:rPr>
        <w:t xml:space="preserve"> </w:t>
      </w:r>
      <w:r w:rsidRPr="00970D68">
        <w:rPr>
          <w:i/>
          <w:kern w:val="22"/>
          <w:szCs w:val="22"/>
          <w:lang w:val="fr-FR"/>
        </w:rPr>
        <w:t>également</w:t>
      </w:r>
      <w:r w:rsidR="004A3E69">
        <w:rPr>
          <w:kern w:val="22"/>
          <w:szCs w:val="22"/>
          <w:lang w:val="fr-FR"/>
        </w:rPr>
        <w:t xml:space="preserve"> les Parties, les États non </w:t>
      </w:r>
      <w:r w:rsidRPr="00970D68">
        <w:rPr>
          <w:kern w:val="22"/>
          <w:szCs w:val="22"/>
          <w:lang w:val="fr-FR"/>
        </w:rPr>
        <w:t>Parties, les organisations compétentes et d’autres acteurs concernés à continuer d’entreprendre des activités de sensibilisation et à mettre à disposition des informations sur les stratégies et les ressources en matière de sensibilisation par le biais du Centre d’échange sur l’accès et le partage des avantages ;</w:t>
      </w:r>
    </w:p>
    <w:p w:rsidR="00A0739B" w:rsidRPr="00970D68" w:rsidRDefault="00A0739B" w:rsidP="00A0739B">
      <w:pPr>
        <w:pStyle w:val="Para1"/>
        <w:numPr>
          <w:ilvl w:val="0"/>
          <w:numId w:val="2"/>
        </w:numPr>
        <w:shd w:val="clear" w:color="auto" w:fill="FFFFFF" w:themeFill="background1"/>
        <w:tabs>
          <w:tab w:val="clear" w:pos="360"/>
          <w:tab w:val="left" w:pos="720"/>
        </w:tabs>
        <w:ind w:firstLine="720"/>
        <w:rPr>
          <w:kern w:val="22"/>
          <w:szCs w:val="22"/>
          <w:lang w:val="fr-FR"/>
        </w:rPr>
      </w:pPr>
      <w:r w:rsidRPr="00970D68">
        <w:rPr>
          <w:i/>
          <w:kern w:val="22"/>
          <w:szCs w:val="22"/>
          <w:lang w:val="fr-FR"/>
        </w:rPr>
        <w:t>Prie</w:t>
      </w:r>
      <w:r w:rsidRPr="00970D68">
        <w:rPr>
          <w:kern w:val="22"/>
          <w:szCs w:val="22"/>
          <w:lang w:val="fr-FR"/>
        </w:rPr>
        <w:t xml:space="preserve"> la Secrétaire exécutive de continuer à soutenir la mise en œuvre de la stratégie de sensibilisation</w:t>
      </w:r>
      <w:r w:rsidRPr="00970D68">
        <w:rPr>
          <w:rStyle w:val="Appelnotedebasdep"/>
          <w:kern w:val="22"/>
          <w:szCs w:val="22"/>
          <w:lang w:val="fr-FR"/>
        </w:rPr>
        <w:footnoteReference w:id="2"/>
      </w:r>
      <w:r w:rsidRPr="00970D68">
        <w:rPr>
          <w:kern w:val="22"/>
          <w:szCs w:val="22"/>
          <w:lang w:val="fr-FR"/>
        </w:rPr>
        <w:t xml:space="preserve"> dans le cadre de ses activités de renforcement des capacités et en encourageant l’utilisation de la boîte à outils sur la sensibilisation en matière d’accès et de partage des avantages dans les projets sur le renforcement des capacités et la sensibilisation en matière d’accès et de partage des avantages mis en œuvre par les Parties, les </w:t>
      </w:r>
      <w:r w:rsidR="004A3E69">
        <w:rPr>
          <w:kern w:val="22"/>
          <w:szCs w:val="22"/>
          <w:lang w:val="fr-FR"/>
        </w:rPr>
        <w:t xml:space="preserve">États </w:t>
      </w:r>
      <w:r w:rsidRPr="00970D68">
        <w:rPr>
          <w:kern w:val="22"/>
          <w:szCs w:val="22"/>
          <w:lang w:val="fr-FR"/>
        </w:rPr>
        <w:t>non</w:t>
      </w:r>
      <w:r w:rsidR="004A3E69">
        <w:rPr>
          <w:kern w:val="22"/>
          <w:szCs w:val="22"/>
          <w:lang w:val="fr-FR"/>
        </w:rPr>
        <w:t xml:space="preserve"> </w:t>
      </w:r>
      <w:r w:rsidRPr="00970D68">
        <w:rPr>
          <w:kern w:val="22"/>
          <w:szCs w:val="22"/>
          <w:lang w:val="fr-FR"/>
        </w:rPr>
        <w:t>Parties et les organisations compétentes ;</w:t>
      </w:r>
    </w:p>
    <w:p w:rsidR="00687F77" w:rsidRPr="00411DEC" w:rsidRDefault="00A0739B" w:rsidP="00A0739B">
      <w:pPr>
        <w:pStyle w:val="Para1"/>
        <w:suppressLineNumbers/>
        <w:shd w:val="clear" w:color="auto" w:fill="FFFFFF" w:themeFill="background1"/>
        <w:suppressAutoHyphens/>
        <w:ind w:firstLine="720"/>
        <w:rPr>
          <w:kern w:val="22"/>
          <w:szCs w:val="22"/>
          <w:lang w:val="fr-CA"/>
        </w:rPr>
      </w:pPr>
      <w:r w:rsidRPr="00970D68">
        <w:rPr>
          <w:i/>
          <w:kern w:val="22"/>
          <w:szCs w:val="22"/>
          <w:lang w:val="fr-FR"/>
        </w:rPr>
        <w:lastRenderedPageBreak/>
        <w:t>Prie</w:t>
      </w:r>
      <w:r w:rsidRPr="00970D68">
        <w:rPr>
          <w:kern w:val="22"/>
          <w:szCs w:val="22"/>
          <w:lang w:val="fr-FR"/>
        </w:rPr>
        <w:t xml:space="preserve"> </w:t>
      </w:r>
      <w:r w:rsidRPr="00970D68">
        <w:rPr>
          <w:i/>
          <w:kern w:val="22"/>
          <w:szCs w:val="22"/>
          <w:lang w:val="fr-FR"/>
        </w:rPr>
        <w:t>aussi</w:t>
      </w:r>
      <w:r w:rsidRPr="00970D68">
        <w:rPr>
          <w:kern w:val="22"/>
          <w:szCs w:val="22"/>
          <w:lang w:val="fr-FR"/>
        </w:rPr>
        <w:t xml:space="preserve"> la Secrétaire exécutive de chercher à obtenir des retours d’information des Parties, des </w:t>
      </w:r>
      <w:r w:rsidR="004A3E69">
        <w:rPr>
          <w:kern w:val="22"/>
          <w:szCs w:val="22"/>
          <w:lang w:val="fr-FR"/>
        </w:rPr>
        <w:t xml:space="preserve">États </w:t>
      </w:r>
      <w:r w:rsidRPr="00970D68">
        <w:rPr>
          <w:kern w:val="22"/>
          <w:szCs w:val="22"/>
          <w:lang w:val="fr-FR"/>
        </w:rPr>
        <w:t>non</w:t>
      </w:r>
      <w:r w:rsidR="004A3E69">
        <w:rPr>
          <w:kern w:val="22"/>
          <w:szCs w:val="22"/>
          <w:lang w:val="fr-FR"/>
        </w:rPr>
        <w:t xml:space="preserve"> </w:t>
      </w:r>
      <w:r w:rsidRPr="00970D68">
        <w:rPr>
          <w:kern w:val="22"/>
          <w:szCs w:val="22"/>
          <w:lang w:val="fr-FR"/>
        </w:rPr>
        <w:t>Parties et d’autres acteurs concernés à propos de la boîte à outils sur la sensibilisation en matière d’accès et de partage des avantages, et de fournir une mise à jour sur les progrès accomplis dans la mise en œuvre de la stratégie de sensibilisation, pour examen par la Conférence des Parties siégeant en tant que réunion des Parties au Protocole de Nagoya à sa quatrième réunion</w:t>
      </w:r>
      <w:r w:rsidR="00687F77" w:rsidRPr="00411DEC">
        <w:rPr>
          <w:kern w:val="22"/>
          <w:szCs w:val="22"/>
          <w:lang w:val="fr-CA"/>
        </w:rPr>
        <w:t>.</w:t>
      </w:r>
      <w:bookmarkStart w:id="2" w:name="_GoBack"/>
      <w:bookmarkEnd w:id="2"/>
    </w:p>
    <w:p w:rsidR="00B3369F" w:rsidRPr="00500F5F" w:rsidRDefault="00A41B97" w:rsidP="00500F5F">
      <w:pPr>
        <w:keepNext/>
        <w:suppressLineNumbers/>
        <w:suppressAutoHyphens/>
        <w:spacing w:after="120"/>
        <w:ind w:left="4320"/>
        <w:jc w:val="left"/>
        <w:rPr>
          <w:kern w:val="22"/>
        </w:rPr>
      </w:pPr>
      <w:r w:rsidRPr="00500F5F">
        <w:rPr>
          <w:kern w:val="22"/>
        </w:rPr>
        <w:t>__________</w:t>
      </w:r>
    </w:p>
    <w:sectPr w:rsidR="00B3369F" w:rsidRPr="00500F5F"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24" w:rsidRDefault="001A1124" w:rsidP="00CF1848">
      <w:r>
        <w:separator/>
      </w:r>
    </w:p>
  </w:endnote>
  <w:endnote w:type="continuationSeparator" w:id="0">
    <w:p w:rsidR="001A1124" w:rsidRDefault="001A112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24" w:rsidRDefault="001A1124" w:rsidP="00CF1848">
      <w:r>
        <w:separator/>
      </w:r>
    </w:p>
  </w:footnote>
  <w:footnote w:type="continuationSeparator" w:id="0">
    <w:p w:rsidR="001A1124" w:rsidRDefault="001A1124" w:rsidP="00CF1848">
      <w:r>
        <w:continuationSeparator/>
      </w:r>
    </w:p>
  </w:footnote>
  <w:footnote w:id="1">
    <w:p w:rsidR="00A0739B" w:rsidRPr="00970D68" w:rsidRDefault="00A0739B" w:rsidP="00A0739B">
      <w:pPr>
        <w:pStyle w:val="Notedebasdepage"/>
        <w:ind w:firstLine="0"/>
        <w:jc w:val="left"/>
        <w:rPr>
          <w:kern w:val="18"/>
          <w:szCs w:val="18"/>
          <w:lang w:val="fr-FR"/>
        </w:rPr>
      </w:pPr>
      <w:r w:rsidRPr="00970D68">
        <w:rPr>
          <w:rStyle w:val="Appelnotedebasdep"/>
          <w:rFonts w:eastAsiaTheme="majorEastAsia"/>
          <w:kern w:val="18"/>
          <w:szCs w:val="18"/>
          <w:lang w:val="fr-FR"/>
        </w:rPr>
        <w:footnoteRef/>
      </w:r>
      <w:r w:rsidRPr="00970D68">
        <w:rPr>
          <w:kern w:val="18"/>
          <w:szCs w:val="18"/>
          <w:lang w:val="fr-FR"/>
        </w:rPr>
        <w:t xml:space="preserve"> CBD/</w:t>
      </w:r>
      <w:proofErr w:type="spellStart"/>
      <w:r w:rsidRPr="00970D68">
        <w:rPr>
          <w:kern w:val="18"/>
          <w:szCs w:val="18"/>
          <w:lang w:val="fr-FR"/>
        </w:rPr>
        <w:t>NP-MOP</w:t>
      </w:r>
      <w:proofErr w:type="spellEnd"/>
      <w:r w:rsidRPr="00970D68">
        <w:rPr>
          <w:kern w:val="18"/>
          <w:szCs w:val="18"/>
          <w:lang w:val="fr-FR"/>
        </w:rPr>
        <w:t>/3/6.</w:t>
      </w:r>
    </w:p>
  </w:footnote>
  <w:footnote w:id="2">
    <w:p w:rsidR="00A0739B" w:rsidRPr="00970D68" w:rsidRDefault="00A0739B" w:rsidP="00A0739B">
      <w:pPr>
        <w:pStyle w:val="Notedebasdepage"/>
        <w:ind w:firstLine="0"/>
        <w:rPr>
          <w:lang w:val="fr-FR"/>
        </w:rPr>
      </w:pPr>
      <w:r w:rsidRPr="00970D68">
        <w:rPr>
          <w:rStyle w:val="Appelnotedebasdep"/>
          <w:lang w:val="fr-FR"/>
        </w:rPr>
        <w:footnoteRef/>
      </w:r>
      <w:r w:rsidRPr="00970D68">
        <w:rPr>
          <w:lang w:val="fr-FR"/>
        </w:rPr>
        <w:t xml:space="preserve"> </w:t>
      </w:r>
      <w:r>
        <w:rPr>
          <w:lang w:val="fr-FR"/>
        </w:rPr>
        <w:t>Conformément à la dé</w:t>
      </w:r>
      <w:r w:rsidRPr="00970D68">
        <w:rPr>
          <w:lang w:val="fr-FR"/>
        </w:rPr>
        <w:t>cision NP-1/9.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500F5F" w:rsidRDefault="00E94428" w:rsidP="00534681">
        <w:pPr>
          <w:pStyle w:val="En-tte"/>
          <w:rPr>
            <w:lang w:val="fr-FR"/>
          </w:rPr>
        </w:pPr>
        <w:r w:rsidRPr="00500F5F">
          <w:rPr>
            <w:lang w:val="fr-FR"/>
          </w:rPr>
          <w:t>CBD/NP/MOP/DEC/3/6</w:t>
        </w:r>
      </w:p>
    </w:sdtContent>
  </w:sdt>
  <w:p w:rsidR="00534681" w:rsidRPr="00000614" w:rsidRDefault="00534681" w:rsidP="00534681">
    <w:pPr>
      <w:pStyle w:val="En-tte"/>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A3E69">
      <w:rPr>
        <w:noProof/>
        <w:lang w:val="fr-FR"/>
      </w:rPr>
      <w:t>2</w:t>
    </w:r>
    <w:r>
      <w:rPr>
        <w:noProof/>
      </w:rPr>
      <w:fldChar w:fldCharType="end"/>
    </w:r>
  </w:p>
  <w:p w:rsidR="00534681" w:rsidRPr="00000614" w:rsidRDefault="00534681">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500F5F" w:rsidRDefault="00E94428" w:rsidP="009505C9">
        <w:pPr>
          <w:pStyle w:val="En-tte"/>
          <w:jc w:val="right"/>
          <w:rPr>
            <w:lang w:val="fr-FR"/>
          </w:rPr>
        </w:pPr>
        <w:r w:rsidRPr="00500F5F">
          <w:rPr>
            <w:lang w:val="fr-FR"/>
          </w:rPr>
          <w:t>CBD/NP/MOP/DEC/3/6</w:t>
        </w:r>
      </w:p>
    </w:sdtContent>
  </w:sdt>
  <w:p w:rsidR="009505C9" w:rsidRPr="00000614" w:rsidRDefault="009505C9"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rsidR="009505C9" w:rsidRPr="00000614" w:rsidRDefault="009505C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E673A"/>
    <w:rsid w:val="000F74F5"/>
    <w:rsid w:val="00105372"/>
    <w:rsid w:val="00131E7A"/>
    <w:rsid w:val="00143200"/>
    <w:rsid w:val="00172AF6"/>
    <w:rsid w:val="00176CEE"/>
    <w:rsid w:val="001956B2"/>
    <w:rsid w:val="001A1124"/>
    <w:rsid w:val="001C675A"/>
    <w:rsid w:val="002E6F3F"/>
    <w:rsid w:val="00315D9F"/>
    <w:rsid w:val="00372F74"/>
    <w:rsid w:val="003F5D82"/>
    <w:rsid w:val="003F7224"/>
    <w:rsid w:val="00405146"/>
    <w:rsid w:val="00411DEC"/>
    <w:rsid w:val="0042412C"/>
    <w:rsid w:val="00427D21"/>
    <w:rsid w:val="004433C2"/>
    <w:rsid w:val="004644C2"/>
    <w:rsid w:val="00467F9C"/>
    <w:rsid w:val="004873D7"/>
    <w:rsid w:val="004A3E69"/>
    <w:rsid w:val="004A6323"/>
    <w:rsid w:val="00500F5F"/>
    <w:rsid w:val="005345E1"/>
    <w:rsid w:val="00534681"/>
    <w:rsid w:val="005654DB"/>
    <w:rsid w:val="005E2AC2"/>
    <w:rsid w:val="005F346C"/>
    <w:rsid w:val="006122BA"/>
    <w:rsid w:val="0061445E"/>
    <w:rsid w:val="00687F77"/>
    <w:rsid w:val="00694244"/>
    <w:rsid w:val="006B2290"/>
    <w:rsid w:val="006D52E4"/>
    <w:rsid w:val="006F1189"/>
    <w:rsid w:val="006F7ECB"/>
    <w:rsid w:val="00710DF9"/>
    <w:rsid w:val="0071797C"/>
    <w:rsid w:val="00717D88"/>
    <w:rsid w:val="007648AF"/>
    <w:rsid w:val="007818E1"/>
    <w:rsid w:val="007942D3"/>
    <w:rsid w:val="007B6C09"/>
    <w:rsid w:val="007E09DA"/>
    <w:rsid w:val="008178B6"/>
    <w:rsid w:val="0085653F"/>
    <w:rsid w:val="00865B74"/>
    <w:rsid w:val="00930BA1"/>
    <w:rsid w:val="0093169E"/>
    <w:rsid w:val="009505C9"/>
    <w:rsid w:val="009B0F53"/>
    <w:rsid w:val="009C200D"/>
    <w:rsid w:val="009F2467"/>
    <w:rsid w:val="00A0739B"/>
    <w:rsid w:val="00A41B97"/>
    <w:rsid w:val="00A5115A"/>
    <w:rsid w:val="00B3369F"/>
    <w:rsid w:val="00BA55BC"/>
    <w:rsid w:val="00BE502E"/>
    <w:rsid w:val="00BF6CFE"/>
    <w:rsid w:val="00C12445"/>
    <w:rsid w:val="00C22B97"/>
    <w:rsid w:val="00C35537"/>
    <w:rsid w:val="00C852AD"/>
    <w:rsid w:val="00C9161D"/>
    <w:rsid w:val="00C93132"/>
    <w:rsid w:val="00CC7F1D"/>
    <w:rsid w:val="00CE2BEE"/>
    <w:rsid w:val="00CF1848"/>
    <w:rsid w:val="00D12044"/>
    <w:rsid w:val="00D557A0"/>
    <w:rsid w:val="00D76A18"/>
    <w:rsid w:val="00DC413A"/>
    <w:rsid w:val="00DD118C"/>
    <w:rsid w:val="00DF2F44"/>
    <w:rsid w:val="00E229A8"/>
    <w:rsid w:val="00E23BFF"/>
    <w:rsid w:val="00E66235"/>
    <w:rsid w:val="00E83C24"/>
    <w:rsid w:val="00E91DCF"/>
    <w:rsid w:val="00E9318D"/>
    <w:rsid w:val="00E94428"/>
    <w:rsid w:val="00F27A1E"/>
    <w:rsid w:val="00F41D9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Objetducommentaire">
    <w:name w:val="annotation subject"/>
    <w:basedOn w:val="Commentaire"/>
    <w:next w:val="Commentaire"/>
    <w:link w:val="ObjetducommentaireCar"/>
    <w:uiPriority w:val="99"/>
    <w:semiHidden/>
    <w:unhideWhenUsed/>
    <w:rsid w:val="009B0F53"/>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9B0F53"/>
    <w:rPr>
      <w:rFonts w:ascii="Times New Roman" w:eastAsia="Times New Roman" w:hAnsi="Times New Roman" w:cs="Times New Roman"/>
      <w:b/>
      <w:bCs/>
      <w:sz w:val="20"/>
      <w:szCs w:val="20"/>
      <w:lang w:val="en-GB"/>
    </w:rPr>
  </w:style>
  <w:style w:type="paragraph" w:styleId="Rvision">
    <w:name w:val="Revision"/>
    <w:hidden/>
    <w:uiPriority w:val="99"/>
    <w:semiHidden/>
    <w:rsid w:val="00DF2F44"/>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992C3793358AE749922BCD46EE488E4D"/>
        <w:category>
          <w:name w:val="General"/>
          <w:gallery w:val="placeholder"/>
        </w:category>
        <w:types>
          <w:type w:val="bbPlcHdr"/>
        </w:types>
        <w:behaviors>
          <w:behavior w:val="content"/>
        </w:behaviors>
        <w:guid w:val="{0E586D48-8BBD-DB49-ACE8-0332D71B41DA}"/>
      </w:docPartPr>
      <w:docPartBody>
        <w:p w:rsidR="005A5752" w:rsidRDefault="00A134A0" w:rsidP="00A134A0">
          <w:pPr>
            <w:pStyle w:val="992C3793358AE749922BCD46EE488E4D"/>
          </w:pPr>
          <w:r w:rsidRPr="007E02EB">
            <w:rPr>
              <w:rStyle w:val="Textedelespacerserv"/>
            </w:rPr>
            <w:t>[Status]</w:t>
          </w:r>
        </w:p>
      </w:docPartBody>
    </w:docPart>
    <w:docPart>
      <w:docPartPr>
        <w:name w:val="197A9AA66BD0A340AAE2C76EA45A9517"/>
        <w:category>
          <w:name w:val="General"/>
          <w:gallery w:val="placeholder"/>
        </w:category>
        <w:types>
          <w:type w:val="bbPlcHdr"/>
        </w:types>
        <w:behaviors>
          <w:behavior w:val="content"/>
        </w:behaviors>
        <w:guid w:val="{ECC81003-925D-FA43-9483-34CDF8F4F309}"/>
      </w:docPartPr>
      <w:docPartBody>
        <w:p w:rsidR="005A5752" w:rsidRDefault="00A134A0" w:rsidP="00A134A0">
          <w:pPr>
            <w:pStyle w:val="197A9AA66BD0A340AAE2C76EA45A9517"/>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43AD4"/>
    <w:rsid w:val="00261E9A"/>
    <w:rsid w:val="00450D4E"/>
    <w:rsid w:val="00495AA8"/>
    <w:rsid w:val="00500A2B"/>
    <w:rsid w:val="005461E8"/>
    <w:rsid w:val="0058288D"/>
    <w:rsid w:val="005A5752"/>
    <w:rsid w:val="006801B3"/>
    <w:rsid w:val="006B4231"/>
    <w:rsid w:val="00720F63"/>
    <w:rsid w:val="007F0EFB"/>
    <w:rsid w:val="007F1B76"/>
    <w:rsid w:val="00810A55"/>
    <w:rsid w:val="008C6619"/>
    <w:rsid w:val="008D420E"/>
    <w:rsid w:val="0098642F"/>
    <w:rsid w:val="00A134A0"/>
    <w:rsid w:val="00B92240"/>
    <w:rsid w:val="00CE6602"/>
    <w:rsid w:val="00E82DE3"/>
    <w:rsid w:val="00F1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34A0"/>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05D608CEBD26402181FA3BB6B1F35FB4">
    <w:name w:val="05D608CEBD26402181FA3BB6B1F35FB4"/>
    <w:rsid w:val="00E82DE3"/>
    <w:pPr>
      <w:spacing w:after="160" w:line="259" w:lineRule="auto"/>
    </w:pPr>
  </w:style>
  <w:style w:type="paragraph" w:customStyle="1" w:styleId="6216D14D015D8E49BB02B66BD8AA1D94">
    <w:name w:val="6216D14D015D8E49BB02B66BD8AA1D94"/>
    <w:rsid w:val="00A134A0"/>
    <w:pPr>
      <w:spacing w:after="0" w:line="240" w:lineRule="auto"/>
    </w:pPr>
    <w:rPr>
      <w:sz w:val="24"/>
      <w:szCs w:val="24"/>
      <w:lang w:val="en-CA"/>
    </w:rPr>
  </w:style>
  <w:style w:type="paragraph" w:customStyle="1" w:styleId="CFF4F28558B4054DA09B51261A09E9C9">
    <w:name w:val="CFF4F28558B4054DA09B51261A09E9C9"/>
    <w:rsid w:val="00A134A0"/>
    <w:pPr>
      <w:spacing w:after="0" w:line="240" w:lineRule="auto"/>
    </w:pPr>
    <w:rPr>
      <w:sz w:val="24"/>
      <w:szCs w:val="24"/>
      <w:lang w:val="en-CA"/>
    </w:rPr>
  </w:style>
  <w:style w:type="paragraph" w:customStyle="1" w:styleId="992C3793358AE749922BCD46EE488E4D">
    <w:name w:val="992C3793358AE749922BCD46EE488E4D"/>
    <w:rsid w:val="00A134A0"/>
    <w:pPr>
      <w:spacing w:after="0" w:line="240" w:lineRule="auto"/>
    </w:pPr>
    <w:rPr>
      <w:sz w:val="24"/>
      <w:szCs w:val="24"/>
      <w:lang w:val="en-CA"/>
    </w:rPr>
  </w:style>
  <w:style w:type="paragraph" w:customStyle="1" w:styleId="197A9AA66BD0A340AAE2C76EA45A9517">
    <w:name w:val="197A9AA66BD0A340AAE2C76EA45A9517"/>
    <w:rsid w:val="00A134A0"/>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DFB469-724F-4795-A8F2-4D6665EF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454</Words>
  <Characters>2497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3/6.	Measures to raise awareness of the importance of genetic resources and associated traditional knowledge (Article 21)</vt:lpstr>
      <vt:lpstr>3/6.	Measures to raise awareness of the importance of genetic resources and associated traditional knowledge (Article 21)</vt:lpstr>
    </vt:vector>
  </TitlesOfParts>
  <Company>SCBD</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Mesures prises pour sensibiliser le public à l’importance des ressources génétiques et des connaissances traditionnelles associées (article 21)</dc:title>
  <dc:subject>CBD/NP/MOP/DEC/3/6</dc:subject>
  <dc:creator>NP MOP 3</dc:creator>
  <cp:keywords>Measures to raise awareness of the importance of genetic resources and associated traditional knowledge (Article 21),</cp:keywords>
  <cp:lastModifiedBy>Louise</cp:lastModifiedBy>
  <cp:revision>3</cp:revision>
  <cp:lastPrinted>2018-12-13T17:47:00Z</cp:lastPrinted>
  <dcterms:created xsi:type="dcterms:W3CDTF">2019-02-11T14:57:00Z</dcterms:created>
  <dcterms:modified xsi:type="dcterms:W3CDTF">2019-02-11T15:17:00Z</dcterms:modified>
  <cp:contentStatus>GÉNÉRALE</cp:contentStatus>
</cp:coreProperties>
</file>