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0"/>
        <w:gridCol w:w="4090"/>
      </w:tblGrid>
      <w:tr w:rsidR="009C4E9E" w:rsidRPr="00074981" w:rsidTr="008C428F">
        <w:trPr>
          <w:trHeight w:val="709"/>
        </w:trPr>
        <w:tc>
          <w:tcPr>
            <w:tcW w:w="977" w:type="dxa"/>
            <w:tcBorders>
              <w:bottom w:val="single" w:sz="12" w:space="0" w:color="auto"/>
            </w:tcBorders>
          </w:tcPr>
          <w:p w:rsidR="009C4E9E" w:rsidRPr="00074981" w:rsidRDefault="009C4E9E" w:rsidP="00527836">
            <w:pPr>
              <w:rPr>
                <w:kern w:val="22"/>
              </w:rPr>
            </w:pPr>
            <w:r w:rsidRPr="00074981">
              <w:rPr>
                <w:noProof/>
                <w:kern w:val="22"/>
                <w:lang w:val="en-U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9C4E9E" w:rsidRPr="00074981" w:rsidRDefault="009C4E9E" w:rsidP="00527836">
            <w:pPr>
              <w:rPr>
                <w:kern w:val="22"/>
              </w:rPr>
            </w:pPr>
            <w:r w:rsidRPr="00074981">
              <w:rPr>
                <w:noProof/>
                <w:kern w:val="22"/>
                <w:lang w:val="en-U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9C4E9E" w:rsidRPr="00074981" w:rsidRDefault="009C4E9E" w:rsidP="00527836">
            <w:pPr>
              <w:jc w:val="right"/>
              <w:rPr>
                <w:rFonts w:ascii="Arial" w:hAnsi="Arial" w:cs="Arial"/>
                <w:b/>
                <w:kern w:val="22"/>
                <w:sz w:val="32"/>
                <w:szCs w:val="32"/>
              </w:rPr>
            </w:pPr>
            <w:r w:rsidRPr="00074981">
              <w:rPr>
                <w:rFonts w:ascii="Arial" w:hAnsi="Arial" w:cs="Arial"/>
                <w:b/>
                <w:kern w:val="22"/>
                <w:sz w:val="32"/>
                <w:szCs w:val="32"/>
              </w:rPr>
              <w:t>CBD</w:t>
            </w:r>
          </w:p>
        </w:tc>
      </w:tr>
      <w:tr w:rsidR="009C4E9E" w:rsidRPr="00B67181" w:rsidTr="00527836">
        <w:tc>
          <w:tcPr>
            <w:tcW w:w="6117" w:type="dxa"/>
            <w:gridSpan w:val="2"/>
            <w:tcBorders>
              <w:top w:val="single" w:sz="12" w:space="0" w:color="auto"/>
              <w:bottom w:val="single" w:sz="36" w:space="0" w:color="auto"/>
            </w:tcBorders>
            <w:vAlign w:val="center"/>
          </w:tcPr>
          <w:p w:rsidR="009C4E9E" w:rsidRPr="00074981" w:rsidRDefault="008C428F" w:rsidP="00527836">
            <w:pPr>
              <w:rPr>
                <w:kern w:val="22"/>
              </w:rPr>
            </w:pPr>
            <w:r w:rsidRPr="008C428F">
              <w:rPr>
                <w:noProof/>
                <w:kern w:val="22"/>
                <w:lang w:val="en-US"/>
              </w:rPr>
              <w:drawing>
                <wp:inline distT="0" distB="0" distL="0" distR="0">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C4E9E" w:rsidRPr="00F3672A" w:rsidRDefault="009C4E9E" w:rsidP="00527836">
            <w:pPr>
              <w:ind w:left="1215"/>
              <w:rPr>
                <w:kern w:val="22"/>
                <w:szCs w:val="22"/>
                <w:lang w:val="fr-CA"/>
              </w:rPr>
            </w:pPr>
            <w:r w:rsidRPr="00F3672A">
              <w:rPr>
                <w:kern w:val="22"/>
                <w:szCs w:val="22"/>
                <w:lang w:val="fr-CA"/>
              </w:rPr>
              <w:t>Distr.</w:t>
            </w:r>
          </w:p>
          <w:p w:rsidR="009C4E9E" w:rsidRPr="00F3672A" w:rsidRDefault="00384814" w:rsidP="00527836">
            <w:pPr>
              <w:ind w:left="1215"/>
              <w:rPr>
                <w:kern w:val="22"/>
                <w:szCs w:val="22"/>
                <w:lang w:val="fr-CA"/>
              </w:rPr>
            </w:pPr>
            <w:sdt>
              <w:sdtPr>
                <w:rPr>
                  <w:caps/>
                  <w:szCs w:val="22"/>
                  <w:lang w:val="fr-CA"/>
                </w:rPr>
                <w:alias w:val="Status"/>
                <w:tag w:val=""/>
                <w:id w:val="307985777"/>
                <w:placeholder>
                  <w:docPart w:val="3E81A88823584EC2AE90160E93938C66"/>
                </w:placeholder>
                <w:dataBinding w:prefixMappings="xmlns:ns0='http://purl.org/dc/elements/1.1/' xmlns:ns1='http://schemas.openxmlformats.org/package/2006/metadata/core-properties' " w:xpath="/ns1:coreProperties[1]/ns1:contentStatus[1]" w:storeItemID="{6C3C8BC8-F283-45AE-878A-BAB7291924A1}"/>
                <w:text/>
              </w:sdtPr>
              <w:sdtEndPr/>
              <w:sdtContent>
                <w:r w:rsidR="0086786E" w:rsidRPr="00F3672A">
                  <w:rPr>
                    <w:caps/>
                    <w:szCs w:val="22"/>
                    <w:lang w:val="fr-CA"/>
                  </w:rPr>
                  <w:t>GÉNÉRALE</w:t>
                </w:r>
              </w:sdtContent>
            </w:sdt>
          </w:p>
          <w:p w:rsidR="009C4E9E" w:rsidRPr="00F3672A" w:rsidRDefault="009C4E9E" w:rsidP="00527836">
            <w:pPr>
              <w:ind w:left="1215"/>
              <w:rPr>
                <w:kern w:val="22"/>
                <w:szCs w:val="22"/>
                <w:lang w:val="fr-CA"/>
              </w:rPr>
            </w:pPr>
          </w:p>
          <w:p w:rsidR="009C4E9E" w:rsidRPr="008C428F" w:rsidRDefault="00384814" w:rsidP="00527836">
            <w:pPr>
              <w:ind w:left="1215"/>
              <w:rPr>
                <w:kern w:val="22"/>
                <w:szCs w:val="22"/>
                <w:lang w:val="fr-CA"/>
              </w:rPr>
            </w:pPr>
            <w:sdt>
              <w:sdtPr>
                <w:rPr>
                  <w:kern w:val="22"/>
                  <w:lang w:val="fr-CA"/>
                </w:rPr>
                <w:alias w:val="Subject"/>
                <w:tag w:val=""/>
                <w:id w:val="2137136483"/>
                <w:placeholder>
                  <w:docPart w:val="A73960B8FC054FE88B044F1DA4A5C1AE"/>
                </w:placeholder>
                <w:dataBinding w:prefixMappings="xmlns:ns0='http://purl.org/dc/elements/1.1/' xmlns:ns1='http://schemas.openxmlformats.org/package/2006/metadata/core-properties' " w:xpath="/ns1:coreProperties[1]/ns0:subject[1]" w:storeItemID="{6C3C8BC8-F283-45AE-878A-BAB7291924A1}"/>
                <w:text/>
              </w:sdtPr>
              <w:sdtEndPr/>
              <w:sdtContent>
                <w:r w:rsidR="0086786E" w:rsidRPr="00F3672A">
                  <w:rPr>
                    <w:kern w:val="22"/>
                    <w:lang w:val="fr-CA"/>
                  </w:rPr>
                  <w:t>CBD/COP/DEC/14/2</w:t>
                </w:r>
              </w:sdtContent>
            </w:sdt>
          </w:p>
          <w:p w:rsidR="009C4E9E" w:rsidRPr="008C428F" w:rsidRDefault="0086786E" w:rsidP="00527836">
            <w:pPr>
              <w:ind w:left="1215"/>
              <w:rPr>
                <w:kern w:val="22"/>
                <w:szCs w:val="22"/>
                <w:lang w:val="fr-CA"/>
              </w:rPr>
            </w:pPr>
            <w:r>
              <w:rPr>
                <w:kern w:val="22"/>
                <w:szCs w:val="22"/>
                <w:lang w:val="fr-CA"/>
              </w:rPr>
              <w:t>30</w:t>
            </w:r>
            <w:r w:rsidR="008C428F" w:rsidRPr="008C428F">
              <w:rPr>
                <w:kern w:val="22"/>
                <w:szCs w:val="22"/>
                <w:lang w:val="fr-CA"/>
              </w:rPr>
              <w:t> novembre </w:t>
            </w:r>
            <w:r w:rsidR="009C4E9E" w:rsidRPr="008C428F">
              <w:rPr>
                <w:kern w:val="22"/>
                <w:szCs w:val="22"/>
                <w:lang w:val="fr-CA"/>
              </w:rPr>
              <w:t>2018</w:t>
            </w:r>
          </w:p>
          <w:p w:rsidR="009C4E9E" w:rsidRPr="008C428F" w:rsidRDefault="009C4E9E" w:rsidP="00527836">
            <w:pPr>
              <w:ind w:left="1215"/>
              <w:rPr>
                <w:kern w:val="22"/>
                <w:szCs w:val="22"/>
                <w:lang w:val="fr-CA"/>
              </w:rPr>
            </w:pPr>
          </w:p>
          <w:p w:rsidR="008C428F" w:rsidRPr="00F010F3" w:rsidRDefault="008C428F" w:rsidP="0086786E">
            <w:pPr>
              <w:ind w:left="1215"/>
              <w:rPr>
                <w:noProof/>
                <w:lang w:val="fr-CA"/>
              </w:rPr>
            </w:pPr>
            <w:r w:rsidRPr="00F010F3">
              <w:rPr>
                <w:noProof/>
                <w:lang w:val="fr-CA"/>
              </w:rPr>
              <w:t>FRANÇAIS</w:t>
            </w:r>
          </w:p>
          <w:p w:rsidR="009C4E9E" w:rsidRPr="008C428F" w:rsidRDefault="008C428F" w:rsidP="008C428F">
            <w:pPr>
              <w:ind w:left="1215"/>
              <w:rPr>
                <w:kern w:val="22"/>
                <w:szCs w:val="22"/>
                <w:lang w:val="fr-CA"/>
              </w:rPr>
            </w:pPr>
            <w:r w:rsidRPr="00F010F3">
              <w:rPr>
                <w:noProof/>
                <w:lang w:val="fr-CA"/>
              </w:rPr>
              <w:t>ORIGINAL : ANGLAIS</w:t>
            </w:r>
          </w:p>
          <w:p w:rsidR="009C4E9E" w:rsidRPr="00B67181" w:rsidRDefault="009C4E9E" w:rsidP="00527836">
            <w:pPr>
              <w:rPr>
                <w:kern w:val="22"/>
                <w:lang w:val="fr-FR"/>
              </w:rPr>
            </w:pPr>
          </w:p>
        </w:tc>
      </w:tr>
    </w:tbl>
    <w:p w:rsidR="008C428F" w:rsidRPr="00F010F3" w:rsidRDefault="008C428F" w:rsidP="008C428F">
      <w:pPr>
        <w:pStyle w:val="NoSpacing"/>
        <w:ind w:left="142" w:right="4682" w:hanging="142"/>
        <w:rPr>
          <w:rFonts w:ascii="Times New Roman" w:hAnsi="Times New Roman"/>
          <w:kern w:val="22"/>
          <w:lang w:val="fr-CA"/>
        </w:rPr>
      </w:pPr>
      <w:bookmarkStart w:id="0" w:name="_Hlk530040340"/>
      <w:r w:rsidRPr="00F010F3">
        <w:rPr>
          <w:rFonts w:asciiTheme="majorBidi" w:hAnsiTheme="majorBidi" w:cstheme="majorBidi"/>
          <w:kern w:val="22"/>
          <w:lang w:val="fr-CA"/>
        </w:rPr>
        <w:t>CONFÉRENCE DES PARTIES À LA CONVENTION SUR LA DIVERSITÉ BIOLOGIQUE</w:t>
      </w:r>
    </w:p>
    <w:bookmarkEnd w:id="0"/>
    <w:p w:rsidR="008C428F" w:rsidRPr="00F010F3" w:rsidRDefault="008C428F" w:rsidP="008C428F">
      <w:pPr>
        <w:pStyle w:val="Cornernotation"/>
        <w:suppressLineNumbers/>
        <w:suppressAutoHyphens/>
        <w:kinsoku w:val="0"/>
        <w:overflowPunct w:val="0"/>
        <w:autoSpaceDE w:val="0"/>
        <w:autoSpaceDN w:val="0"/>
        <w:ind w:left="0" w:right="4512" w:firstLine="0"/>
        <w:rPr>
          <w:snapToGrid w:val="0"/>
          <w:kern w:val="22"/>
          <w:lang w:val="fr-CA"/>
        </w:rPr>
      </w:pPr>
      <w:r w:rsidRPr="00F010F3">
        <w:rPr>
          <w:snapToGrid w:val="0"/>
          <w:kern w:val="22"/>
          <w:lang w:val="fr-CA"/>
        </w:rPr>
        <w:t>Quatorzième réunion</w:t>
      </w:r>
    </w:p>
    <w:p w:rsidR="008C428F" w:rsidRPr="00F010F3" w:rsidRDefault="00C9166B" w:rsidP="008C428F">
      <w:pPr>
        <w:suppressLineNumbers/>
        <w:suppressAutoHyphens/>
        <w:kinsoku w:val="0"/>
        <w:overflowPunct w:val="0"/>
        <w:autoSpaceDE w:val="0"/>
        <w:autoSpaceDN w:val="0"/>
        <w:rPr>
          <w:snapToGrid w:val="0"/>
          <w:kern w:val="22"/>
          <w:szCs w:val="22"/>
          <w:lang w:val="fr-CA" w:eastAsia="nb-NO"/>
        </w:rPr>
      </w:pPr>
      <w:bookmarkStart w:id="1" w:name="_Hlk505863673"/>
      <w:r>
        <w:rPr>
          <w:noProof/>
          <w:snapToGrid w:val="0"/>
          <w:kern w:val="22"/>
          <w:szCs w:val="22"/>
          <w:lang w:val="fr-CA" w:eastAsia="nb-NO"/>
        </w:rPr>
        <w:t>Charm e</w:t>
      </w:r>
      <w:r w:rsidR="008C428F" w:rsidRPr="00F010F3">
        <w:rPr>
          <w:noProof/>
          <w:snapToGrid w:val="0"/>
          <w:kern w:val="22"/>
          <w:szCs w:val="22"/>
          <w:lang w:val="fr-CA" w:eastAsia="nb-NO"/>
        </w:rPr>
        <w:t>l</w:t>
      </w:r>
      <w:r w:rsidR="008C428F" w:rsidRPr="00F010F3">
        <w:rPr>
          <w:noProof/>
          <w:snapToGrid w:val="0"/>
          <w:kern w:val="22"/>
          <w:szCs w:val="22"/>
          <w:lang w:val="fr-CA" w:eastAsia="nb-NO"/>
        </w:rPr>
        <w:noBreakHyphen/>
        <w:t>Sheikh (Égypt</w:t>
      </w:r>
      <w:bookmarkEnd w:id="1"/>
      <w:r w:rsidR="008C428F" w:rsidRPr="00F010F3">
        <w:rPr>
          <w:noProof/>
          <w:snapToGrid w:val="0"/>
          <w:kern w:val="22"/>
          <w:szCs w:val="22"/>
          <w:lang w:val="fr-CA" w:eastAsia="nb-NO"/>
        </w:rPr>
        <w:t>e</w:t>
      </w:r>
      <w:r w:rsidR="008C428F" w:rsidRPr="00F010F3">
        <w:rPr>
          <w:snapToGrid w:val="0"/>
          <w:kern w:val="22"/>
          <w:szCs w:val="22"/>
          <w:lang w:val="fr-CA" w:eastAsia="nb-NO"/>
        </w:rPr>
        <w:t>), 17</w:t>
      </w:r>
      <w:r w:rsidR="008C428F" w:rsidRPr="00F010F3">
        <w:rPr>
          <w:snapToGrid w:val="0"/>
          <w:kern w:val="22"/>
          <w:szCs w:val="22"/>
          <w:lang w:val="fr-CA" w:eastAsia="nb-NO"/>
        </w:rPr>
        <w:noBreakHyphen/>
        <w:t>29 novembre 2018</w:t>
      </w:r>
    </w:p>
    <w:p w:rsidR="00C9161D" w:rsidRPr="00B67181" w:rsidRDefault="008C428F" w:rsidP="008C428F">
      <w:pPr>
        <w:suppressLineNumbers/>
        <w:suppressAutoHyphens/>
        <w:rPr>
          <w:kern w:val="22"/>
          <w:szCs w:val="22"/>
          <w:lang w:val="fr-FR"/>
        </w:rPr>
      </w:pPr>
      <w:r>
        <w:rPr>
          <w:snapToGrid w:val="0"/>
          <w:kern w:val="22"/>
          <w:szCs w:val="22"/>
          <w:lang w:val="fr-CA"/>
        </w:rPr>
        <w:t>Point 17</w:t>
      </w:r>
      <w:r w:rsidRPr="00F010F3">
        <w:rPr>
          <w:snapToGrid w:val="0"/>
          <w:kern w:val="22"/>
          <w:szCs w:val="22"/>
          <w:lang w:val="fr-CA"/>
        </w:rPr>
        <w:t xml:space="preserve"> de l</w:t>
      </w:r>
      <w:r w:rsidR="00CA2400">
        <w:rPr>
          <w:snapToGrid w:val="0"/>
          <w:kern w:val="22"/>
          <w:szCs w:val="22"/>
          <w:lang w:val="fr-CA"/>
        </w:rPr>
        <w:t>’</w:t>
      </w:r>
      <w:r w:rsidRPr="00F010F3">
        <w:rPr>
          <w:snapToGrid w:val="0"/>
          <w:kern w:val="22"/>
          <w:szCs w:val="22"/>
          <w:lang w:val="fr-CA"/>
        </w:rPr>
        <w:t>ordre du jour</w:t>
      </w:r>
    </w:p>
    <w:p w:rsidR="00C9161D" w:rsidRPr="00B67181" w:rsidRDefault="00C9166B" w:rsidP="00074981">
      <w:pPr>
        <w:suppressLineNumbers/>
        <w:suppressAutoHyphens/>
        <w:spacing w:before="240" w:after="120"/>
        <w:jc w:val="center"/>
        <w:rPr>
          <w:b/>
          <w:caps/>
          <w:kern w:val="22"/>
          <w:szCs w:val="22"/>
          <w:lang w:val="fr-FR"/>
        </w:rPr>
      </w:pPr>
      <w:r>
        <w:rPr>
          <w:b/>
          <w:caps/>
          <w:kern w:val="22"/>
          <w:szCs w:val="22"/>
          <w:lang w:val="fr-FR"/>
        </w:rPr>
        <w:t>dÉcision adoptÉe par la confÉrence des parties À la convention sur la diversitÉ biologique</w:t>
      </w:r>
    </w:p>
    <w:p w:rsidR="00176CEE" w:rsidRPr="00B67181" w:rsidRDefault="001E3669" w:rsidP="00074981">
      <w:pPr>
        <w:suppressLineNumbers/>
        <w:suppressAutoHyphens/>
        <w:spacing w:before="120" w:after="120"/>
        <w:jc w:val="center"/>
        <w:rPr>
          <w:b/>
          <w:caps/>
          <w:kern w:val="22"/>
          <w:szCs w:val="22"/>
          <w:lang w:val="fr-FR"/>
        </w:rPr>
      </w:pPr>
      <w:r>
        <w:rPr>
          <w:b/>
          <w:kern w:val="22"/>
          <w:szCs w:val="22"/>
          <w:lang w:val="fr-CA"/>
        </w:rPr>
        <w:t>14/2.</w:t>
      </w:r>
      <w:r>
        <w:rPr>
          <w:b/>
          <w:kern w:val="22"/>
          <w:szCs w:val="22"/>
          <w:lang w:val="fr-CA"/>
        </w:rPr>
        <w:tab/>
      </w:r>
      <w:r w:rsidR="0086786E">
        <w:rPr>
          <w:b/>
          <w:kern w:val="22"/>
          <w:szCs w:val="22"/>
          <w:lang w:val="fr-CA"/>
        </w:rPr>
        <w:t>Scénarios pour la vision 2050 pour la biodiversité</w:t>
      </w:r>
    </w:p>
    <w:p w:rsidR="005D6921" w:rsidRPr="00B67181" w:rsidRDefault="00383EBF" w:rsidP="00074981">
      <w:pPr>
        <w:pStyle w:val="Para1"/>
        <w:keepNext/>
        <w:numPr>
          <w:ilvl w:val="0"/>
          <w:numId w:val="0"/>
        </w:numPr>
        <w:suppressLineNumbers/>
        <w:suppressAutoHyphens/>
        <w:ind w:firstLine="720"/>
        <w:rPr>
          <w:i/>
          <w:snapToGrid/>
          <w:kern w:val="22"/>
          <w:szCs w:val="22"/>
          <w:lang w:val="fr-FR"/>
        </w:rPr>
      </w:pPr>
      <w:r w:rsidRPr="007E52B0">
        <w:rPr>
          <w:i/>
          <w:kern w:val="22"/>
          <w:szCs w:val="22"/>
          <w:lang w:val="fr-CA"/>
        </w:rPr>
        <w:t>La Conférence des Parties</w:t>
      </w:r>
    </w:p>
    <w:p w:rsidR="004D1871" w:rsidRPr="00B67181" w:rsidRDefault="006A135A" w:rsidP="00823736">
      <w:pPr>
        <w:pStyle w:val="Para1"/>
        <w:numPr>
          <w:ilvl w:val="0"/>
          <w:numId w:val="0"/>
        </w:numPr>
        <w:suppressLineNumbers/>
        <w:suppressAutoHyphens/>
        <w:ind w:firstLine="720"/>
        <w:rPr>
          <w:iCs/>
          <w:snapToGrid/>
          <w:kern w:val="22"/>
          <w:szCs w:val="22"/>
          <w:lang w:val="fr-FR"/>
        </w:rPr>
      </w:pPr>
      <w:bookmarkStart w:id="2" w:name="_Toc522023215"/>
      <w:r w:rsidRPr="00B67181">
        <w:rPr>
          <w:snapToGrid/>
          <w:kern w:val="22"/>
          <w:szCs w:val="22"/>
          <w:lang w:val="fr-FR"/>
        </w:rPr>
        <w:t>1.</w:t>
      </w:r>
      <w:r w:rsidRPr="00B67181">
        <w:rPr>
          <w:i/>
          <w:snapToGrid/>
          <w:kern w:val="22"/>
          <w:szCs w:val="22"/>
          <w:lang w:val="fr-FR"/>
        </w:rPr>
        <w:tab/>
      </w:r>
      <w:r w:rsidR="00383EBF">
        <w:rPr>
          <w:i/>
          <w:kern w:val="22"/>
          <w:szCs w:val="22"/>
          <w:lang w:val="fr-CA"/>
        </w:rPr>
        <w:t>Se félicite</w:t>
      </w:r>
      <w:r w:rsidR="00383EBF" w:rsidRPr="007E52B0">
        <w:rPr>
          <w:kern w:val="22"/>
          <w:szCs w:val="22"/>
          <w:lang w:val="fr-CA"/>
        </w:rPr>
        <w:t xml:space="preserve"> des </w:t>
      </w:r>
      <w:bookmarkStart w:id="3" w:name="_Hlk500857921"/>
      <w:r w:rsidR="00383EBF" w:rsidRPr="007E52B0">
        <w:rPr>
          <w:kern w:val="22"/>
          <w:szCs w:val="22"/>
          <w:lang w:val="fr-CA"/>
        </w:rPr>
        <w:t>conclusions de l</w:t>
      </w:r>
      <w:r w:rsidR="00CA2400">
        <w:rPr>
          <w:kern w:val="22"/>
          <w:szCs w:val="22"/>
          <w:lang w:val="fr-CA"/>
        </w:rPr>
        <w:t>’</w:t>
      </w:r>
      <w:r w:rsidR="00383EBF" w:rsidRPr="007E52B0">
        <w:rPr>
          <w:kern w:val="22"/>
          <w:szCs w:val="22"/>
          <w:lang w:val="fr-CA"/>
        </w:rPr>
        <w:t xml:space="preserve">Organe subsidiaire chargé de fournir des avis scientifiques, techniques et technologiques sur les scénarios pour la Vision 2050 pour la biodiversité </w:t>
      </w:r>
      <w:bookmarkEnd w:id="3"/>
      <w:r w:rsidR="00383EBF" w:rsidRPr="007E52B0">
        <w:rPr>
          <w:kern w:val="22"/>
          <w:szCs w:val="22"/>
          <w:lang w:val="fr-CA"/>
        </w:rPr>
        <w:t>figurant dans l</w:t>
      </w:r>
      <w:r w:rsidR="00CA2400">
        <w:rPr>
          <w:kern w:val="22"/>
          <w:szCs w:val="22"/>
          <w:lang w:val="fr-CA"/>
        </w:rPr>
        <w:t>’</w:t>
      </w:r>
      <w:r w:rsidR="00383EBF" w:rsidRPr="007E52B0">
        <w:rPr>
          <w:kern w:val="22"/>
          <w:szCs w:val="22"/>
          <w:lang w:val="fr-CA"/>
        </w:rPr>
        <w:t xml:space="preserve">annexe de la présente décision, </w:t>
      </w:r>
      <w:r w:rsidR="00383EBF">
        <w:rPr>
          <w:kern w:val="22"/>
          <w:szCs w:val="22"/>
          <w:lang w:val="fr-CA"/>
        </w:rPr>
        <w:t xml:space="preserve">et </w:t>
      </w:r>
      <w:r w:rsidR="00383EBF">
        <w:rPr>
          <w:i/>
          <w:iCs/>
          <w:kern w:val="22"/>
          <w:szCs w:val="22"/>
          <w:lang w:val="fr-CA"/>
        </w:rPr>
        <w:t>prend note</w:t>
      </w:r>
      <w:r w:rsidR="00383EBF" w:rsidRPr="007E52B0">
        <w:rPr>
          <w:kern w:val="22"/>
          <w:szCs w:val="22"/>
          <w:lang w:val="fr-CA"/>
        </w:rPr>
        <w:t xml:space="preserve"> des informations contenues dans les notes de la Secrétaire exécutive et les documents d</w:t>
      </w:r>
      <w:r w:rsidR="00CA2400">
        <w:rPr>
          <w:kern w:val="22"/>
          <w:szCs w:val="22"/>
          <w:lang w:val="fr-CA"/>
        </w:rPr>
        <w:t>’</w:t>
      </w:r>
      <w:r w:rsidR="00383EBF" w:rsidRPr="007E52B0">
        <w:rPr>
          <w:kern w:val="22"/>
          <w:szCs w:val="22"/>
          <w:lang w:val="fr-CA"/>
        </w:rPr>
        <w:t>information qui les complètent</w:t>
      </w:r>
      <w:r w:rsidR="00823736">
        <w:rPr>
          <w:kern w:val="22"/>
          <w:szCs w:val="22"/>
          <w:lang w:val="fr-CA"/>
        </w:rPr>
        <w:t>,</w:t>
      </w:r>
      <w:r w:rsidR="00823736" w:rsidRPr="0061522D">
        <w:rPr>
          <w:rStyle w:val="FootnoteReference"/>
          <w:rFonts w:eastAsiaTheme="majorEastAsia"/>
          <w:snapToGrid/>
          <w:kern w:val="22"/>
          <w:szCs w:val="22"/>
        </w:rPr>
        <w:footnoteReference w:id="1"/>
      </w:r>
      <w:r w:rsidR="00383EBF" w:rsidRPr="007E52B0">
        <w:rPr>
          <w:kern w:val="22"/>
          <w:szCs w:val="22"/>
          <w:lang w:val="fr-CA"/>
        </w:rPr>
        <w:t xml:space="preserve"> de même que du rapport d</w:t>
      </w:r>
      <w:r w:rsidR="00CA2400">
        <w:rPr>
          <w:kern w:val="22"/>
          <w:szCs w:val="22"/>
          <w:lang w:val="fr-CA"/>
        </w:rPr>
        <w:t>’</w:t>
      </w:r>
      <w:r w:rsidR="00383EBF" w:rsidRPr="007E52B0">
        <w:rPr>
          <w:kern w:val="22"/>
          <w:szCs w:val="22"/>
          <w:lang w:val="fr-CA"/>
        </w:rPr>
        <w:t xml:space="preserve">évaluation des scénarios et modèles de biodiversité et de services </w:t>
      </w:r>
      <w:r w:rsidR="00383EBF" w:rsidRPr="007E52B0">
        <w:rPr>
          <w:noProof/>
          <w:kern w:val="22"/>
          <w:szCs w:val="22"/>
          <w:lang w:val="fr-CA"/>
        </w:rPr>
        <w:t>écosystémiques de la Plateforme intergouvernementale science-politique sur la biodiversité et les services écosystémiques</w:t>
      </w:r>
      <w:r w:rsidR="00823736">
        <w:rPr>
          <w:noProof/>
          <w:kern w:val="22"/>
          <w:szCs w:val="22"/>
          <w:lang w:val="fr-CA"/>
        </w:rPr>
        <w:t>,</w:t>
      </w:r>
      <w:r w:rsidR="00383EBF" w:rsidRPr="007E52B0">
        <w:rPr>
          <w:rStyle w:val="FootnoteReference"/>
          <w:noProof/>
          <w:kern w:val="22"/>
          <w:szCs w:val="22"/>
          <w:lang w:val="fr-CA"/>
        </w:rPr>
        <w:footnoteReference w:id="2"/>
      </w:r>
      <w:r w:rsidR="00383EBF" w:rsidRPr="007E52B0">
        <w:rPr>
          <w:noProof/>
          <w:kern w:val="22"/>
          <w:szCs w:val="22"/>
          <w:lang w:val="fr-CA"/>
        </w:rPr>
        <w:t xml:space="preserve"> en notant leur pertinence pour les discussions sur les orientations stratégiques à long terme concernant</w:t>
      </w:r>
      <w:r w:rsidR="00383EBF" w:rsidRPr="007E52B0">
        <w:rPr>
          <w:kern w:val="22"/>
          <w:szCs w:val="22"/>
          <w:lang w:val="fr-CA"/>
        </w:rPr>
        <w:t xml:space="preserve"> la Vision 2050 pour la biodiversité</w:t>
      </w:r>
      <w:r w:rsidR="00383EBF">
        <w:rPr>
          <w:kern w:val="22"/>
          <w:szCs w:val="22"/>
          <w:lang w:val="fr-CA"/>
        </w:rPr>
        <w:t xml:space="preserve">, </w:t>
      </w:r>
      <w:r w:rsidR="00383EBF" w:rsidRPr="007E52B0">
        <w:rPr>
          <w:kern w:val="22"/>
          <w:szCs w:val="22"/>
          <w:lang w:val="fr-CA"/>
        </w:rPr>
        <w:t>les approches consistant à vivre en harmonie avec la nature et le processus d</w:t>
      </w:r>
      <w:r w:rsidR="00CA2400">
        <w:rPr>
          <w:kern w:val="22"/>
          <w:szCs w:val="22"/>
          <w:lang w:val="fr-CA"/>
        </w:rPr>
        <w:t>’</w:t>
      </w:r>
      <w:r w:rsidR="00383EBF" w:rsidRPr="007E52B0">
        <w:rPr>
          <w:kern w:val="22"/>
          <w:szCs w:val="22"/>
          <w:lang w:val="fr-CA"/>
        </w:rPr>
        <w:t>élaboration du cadre mondial de la biodiversité pour l</w:t>
      </w:r>
      <w:r w:rsidR="00CA2400">
        <w:rPr>
          <w:kern w:val="22"/>
          <w:szCs w:val="22"/>
          <w:lang w:val="fr-CA"/>
        </w:rPr>
        <w:t>’</w:t>
      </w:r>
      <w:r w:rsidR="00383EBF" w:rsidRPr="007E52B0">
        <w:rPr>
          <w:kern w:val="22"/>
          <w:szCs w:val="22"/>
          <w:lang w:val="fr-CA"/>
        </w:rPr>
        <w:t>après-2020</w:t>
      </w:r>
      <w:r w:rsidR="00403CFD" w:rsidRPr="00B67181">
        <w:rPr>
          <w:iCs/>
          <w:snapToGrid/>
          <w:kern w:val="22"/>
          <w:szCs w:val="22"/>
          <w:lang w:val="fr-FR"/>
        </w:rPr>
        <w:t>;</w:t>
      </w:r>
    </w:p>
    <w:p w:rsidR="006A135A" w:rsidRPr="00B67181" w:rsidRDefault="006A135A" w:rsidP="00A9422F">
      <w:pPr>
        <w:pStyle w:val="Para1"/>
        <w:numPr>
          <w:ilvl w:val="0"/>
          <w:numId w:val="0"/>
        </w:numPr>
        <w:suppressLineNumbers/>
        <w:suppressAutoHyphens/>
        <w:ind w:firstLine="720"/>
        <w:rPr>
          <w:rFonts w:eastAsia="Malgun Gothic"/>
          <w:i/>
          <w:noProof/>
          <w:snapToGrid/>
          <w:kern w:val="22"/>
          <w:szCs w:val="22"/>
          <w:lang w:val="fr-FR"/>
        </w:rPr>
      </w:pPr>
      <w:r w:rsidRPr="00B67181">
        <w:rPr>
          <w:rFonts w:eastAsia="Malgun Gothic"/>
          <w:snapToGrid/>
          <w:kern w:val="22"/>
          <w:szCs w:val="22"/>
          <w:lang w:val="fr-FR"/>
        </w:rPr>
        <w:t>2.</w:t>
      </w:r>
      <w:r w:rsidRPr="00B67181">
        <w:rPr>
          <w:rFonts w:eastAsia="Malgun Gothic"/>
          <w:i/>
          <w:snapToGrid/>
          <w:kern w:val="22"/>
          <w:szCs w:val="22"/>
          <w:lang w:val="fr-FR"/>
        </w:rPr>
        <w:tab/>
      </w:r>
      <w:r w:rsidR="00A9422F" w:rsidRPr="007E52B0">
        <w:rPr>
          <w:rFonts w:eastAsia="Malgun Gothic"/>
          <w:i/>
          <w:kern w:val="22"/>
          <w:szCs w:val="22"/>
          <w:lang w:val="fr-CA"/>
        </w:rPr>
        <w:t>Invite</w:t>
      </w:r>
      <w:r w:rsidR="00A9422F" w:rsidRPr="007E52B0">
        <w:rPr>
          <w:rFonts w:eastAsia="Malgun Gothic"/>
          <w:iCs/>
          <w:kern w:val="22"/>
          <w:szCs w:val="22"/>
          <w:lang w:val="fr-CA"/>
        </w:rPr>
        <w:t xml:space="preserve"> les milieux scientifiques et d</w:t>
      </w:r>
      <w:r w:rsidR="00CA2400">
        <w:rPr>
          <w:rFonts w:eastAsia="Malgun Gothic"/>
          <w:iCs/>
          <w:kern w:val="22"/>
          <w:szCs w:val="22"/>
          <w:lang w:val="fr-CA"/>
        </w:rPr>
        <w:t>’</w:t>
      </w:r>
      <w:r w:rsidR="00A9422F" w:rsidRPr="007E52B0">
        <w:rPr>
          <w:rFonts w:eastAsia="Malgun Gothic"/>
          <w:iCs/>
          <w:kern w:val="22"/>
          <w:szCs w:val="22"/>
          <w:lang w:val="fr-CA"/>
        </w:rPr>
        <w:t>autres communautés compétentes travaillant sur les scénarios et les évaluations connexes à tenir compte des questions ci-après qui intéressent l</w:t>
      </w:r>
      <w:r w:rsidR="00CA2400">
        <w:rPr>
          <w:rFonts w:eastAsia="Malgun Gothic"/>
          <w:iCs/>
          <w:kern w:val="22"/>
          <w:szCs w:val="22"/>
          <w:lang w:val="fr-CA"/>
        </w:rPr>
        <w:t>’</w:t>
      </w:r>
      <w:r w:rsidR="00A9422F" w:rsidRPr="007E52B0">
        <w:rPr>
          <w:rFonts w:eastAsia="Malgun Gothic"/>
          <w:iCs/>
          <w:kern w:val="22"/>
          <w:szCs w:val="22"/>
          <w:lang w:val="fr-CA"/>
        </w:rPr>
        <w:t xml:space="preserve">élaboration du cadre mondial de la biodiversité pour </w:t>
      </w:r>
      <w:r w:rsidR="00A9422F" w:rsidRPr="007E52B0">
        <w:rPr>
          <w:rFonts w:eastAsia="Malgun Gothic"/>
          <w:iCs/>
          <w:noProof/>
          <w:kern w:val="22"/>
          <w:szCs w:val="22"/>
          <w:lang w:val="fr-CA"/>
        </w:rPr>
        <w:t>l</w:t>
      </w:r>
      <w:r w:rsidR="00CA2400">
        <w:rPr>
          <w:rFonts w:eastAsia="Malgun Gothic"/>
          <w:iCs/>
          <w:noProof/>
          <w:kern w:val="22"/>
          <w:szCs w:val="22"/>
          <w:lang w:val="fr-CA"/>
        </w:rPr>
        <w:t>’</w:t>
      </w:r>
      <w:r w:rsidR="00A9422F" w:rsidRPr="007E52B0">
        <w:rPr>
          <w:rFonts w:eastAsia="Malgun Gothic"/>
          <w:iCs/>
          <w:noProof/>
          <w:kern w:val="22"/>
          <w:szCs w:val="22"/>
          <w:lang w:val="fr-CA"/>
        </w:rPr>
        <w:t>après-2020 :</w:t>
      </w:r>
    </w:p>
    <w:p w:rsidR="00A9422F" w:rsidRPr="007E52B0" w:rsidRDefault="00A9422F" w:rsidP="00A9422F">
      <w:pPr>
        <w:numPr>
          <w:ilvl w:val="0"/>
          <w:numId w:val="20"/>
        </w:numPr>
        <w:spacing w:before="120" w:after="120"/>
        <w:ind w:left="0" w:firstLine="709"/>
        <w:rPr>
          <w:rFonts w:eastAsia="Malgun Gothic"/>
          <w:kern w:val="22"/>
          <w:szCs w:val="22"/>
          <w:lang w:val="fr-CA"/>
        </w:rPr>
      </w:pPr>
      <w:r w:rsidRPr="007E52B0">
        <w:rPr>
          <w:rFonts w:eastAsia="Malgun Gothic"/>
          <w:kern w:val="22"/>
          <w:szCs w:val="22"/>
          <w:lang w:val="fr-CA"/>
        </w:rPr>
        <w:t>L</w:t>
      </w:r>
      <w:r w:rsidR="00CA2400">
        <w:rPr>
          <w:rFonts w:eastAsia="Malgun Gothic"/>
          <w:kern w:val="22"/>
          <w:szCs w:val="22"/>
          <w:lang w:val="fr-CA"/>
        </w:rPr>
        <w:t>’</w:t>
      </w:r>
      <w:r w:rsidRPr="007E52B0">
        <w:rPr>
          <w:rFonts w:eastAsia="Malgun Gothic"/>
          <w:kern w:val="22"/>
          <w:szCs w:val="22"/>
          <w:lang w:val="fr-CA"/>
        </w:rPr>
        <w:t>étendue des facteurs sous-jacents et des problèmes systémiques et structurels à l</w:t>
      </w:r>
      <w:r w:rsidR="00CA2400">
        <w:rPr>
          <w:rFonts w:eastAsia="Malgun Gothic"/>
          <w:kern w:val="22"/>
          <w:szCs w:val="22"/>
          <w:lang w:val="fr-CA"/>
        </w:rPr>
        <w:t>’</w:t>
      </w:r>
      <w:r w:rsidRPr="007E52B0">
        <w:rPr>
          <w:rFonts w:eastAsia="Malgun Gothic"/>
          <w:kern w:val="22"/>
          <w:szCs w:val="22"/>
          <w:lang w:val="fr-CA"/>
        </w:rPr>
        <w:t>origine de la perte de bio</w:t>
      </w:r>
      <w:r w:rsidRPr="007E52B0">
        <w:rPr>
          <w:rFonts w:eastAsia="Malgun Gothic"/>
          <w:snapToGrid w:val="0"/>
          <w:kern w:val="22"/>
          <w:szCs w:val="22"/>
          <w:lang w:val="fr-CA" w:bidi="fr-FR"/>
        </w:rPr>
        <w:t>diversité</w:t>
      </w:r>
      <w:r>
        <w:rPr>
          <w:rFonts w:eastAsia="Malgun Gothic"/>
          <w:snapToGrid w:val="0"/>
          <w:kern w:val="22"/>
          <w:szCs w:val="22"/>
          <w:lang w:val="fr-CA" w:bidi="fr-FR"/>
        </w:rPr>
        <w:t>;</w:t>
      </w:r>
    </w:p>
    <w:p w:rsidR="00A9422F" w:rsidRPr="007E52B0" w:rsidRDefault="00A9422F" w:rsidP="00A9422F">
      <w:pPr>
        <w:numPr>
          <w:ilvl w:val="0"/>
          <w:numId w:val="20"/>
        </w:numPr>
        <w:spacing w:after="120"/>
        <w:ind w:left="0" w:firstLine="709"/>
        <w:rPr>
          <w:rFonts w:eastAsia="Malgun Gothic"/>
          <w:kern w:val="22"/>
          <w:szCs w:val="22"/>
          <w:lang w:val="fr-CA"/>
        </w:rPr>
      </w:pPr>
      <w:r w:rsidRPr="007E52B0">
        <w:rPr>
          <w:rFonts w:eastAsia="Malgun Gothic"/>
          <w:kern w:val="22"/>
          <w:szCs w:val="22"/>
          <w:lang w:val="fr-CA"/>
        </w:rPr>
        <w:t>Les combinaisons de politiques à de multiples échelles et dans le cadre de différents scénarios</w:t>
      </w:r>
      <w:r>
        <w:rPr>
          <w:rFonts w:eastAsia="Malgun Gothic"/>
          <w:kern w:val="22"/>
          <w:szCs w:val="22"/>
          <w:lang w:val="fr-CA"/>
        </w:rPr>
        <w:t>;</w:t>
      </w:r>
    </w:p>
    <w:p w:rsidR="00A9422F" w:rsidRDefault="00A9422F" w:rsidP="00A9422F">
      <w:pPr>
        <w:numPr>
          <w:ilvl w:val="0"/>
          <w:numId w:val="20"/>
        </w:numPr>
        <w:spacing w:after="120"/>
        <w:ind w:left="0" w:firstLine="709"/>
        <w:rPr>
          <w:rFonts w:eastAsia="Malgun Gothic"/>
          <w:kern w:val="22"/>
          <w:szCs w:val="22"/>
          <w:lang w:val="fr-CA"/>
        </w:rPr>
      </w:pPr>
      <w:r w:rsidRPr="007E52B0">
        <w:rPr>
          <w:rFonts w:eastAsia="Malgun Gothic"/>
          <w:kern w:val="22"/>
          <w:szCs w:val="22"/>
          <w:lang w:val="fr-CA"/>
        </w:rPr>
        <w:t>La reconnaissance des synergies, arbitrages et restrictions possibles concernant la biodiversité dont il faudrait tenir compte afin de recenser les politiques et mesures efficaces qui permettraient d</w:t>
      </w:r>
      <w:r w:rsidR="00CA2400">
        <w:rPr>
          <w:rFonts w:eastAsia="Malgun Gothic"/>
          <w:kern w:val="22"/>
          <w:szCs w:val="22"/>
          <w:lang w:val="fr-CA"/>
        </w:rPr>
        <w:t>’</w:t>
      </w:r>
      <w:r w:rsidRPr="007E52B0">
        <w:rPr>
          <w:rFonts w:eastAsia="Malgun Gothic"/>
          <w:kern w:val="22"/>
          <w:szCs w:val="22"/>
          <w:lang w:val="fr-CA"/>
        </w:rPr>
        <w:t>atteindre les Objectifs de développement durable</w:t>
      </w:r>
      <w:r>
        <w:rPr>
          <w:rFonts w:eastAsia="Malgun Gothic"/>
          <w:kern w:val="22"/>
          <w:szCs w:val="22"/>
          <w:lang w:val="fr-CA"/>
        </w:rPr>
        <w:t>;</w:t>
      </w:r>
    </w:p>
    <w:p w:rsidR="00A9422F" w:rsidRPr="007E52B0" w:rsidRDefault="00A9422F" w:rsidP="00A9422F">
      <w:pPr>
        <w:numPr>
          <w:ilvl w:val="0"/>
          <w:numId w:val="20"/>
        </w:numPr>
        <w:spacing w:after="120"/>
        <w:ind w:left="0" w:firstLine="709"/>
        <w:rPr>
          <w:rFonts w:eastAsia="Malgun Gothic"/>
          <w:kern w:val="22"/>
          <w:szCs w:val="22"/>
          <w:lang w:val="fr-CA"/>
        </w:rPr>
      </w:pPr>
      <w:r w:rsidRPr="007E52B0">
        <w:rPr>
          <w:rFonts w:eastAsia="Malgun Gothic"/>
          <w:kern w:val="22"/>
          <w:szCs w:val="22"/>
          <w:lang w:val="fr-CA"/>
        </w:rPr>
        <w:t>Les contributions de l</w:t>
      </w:r>
      <w:r w:rsidR="00CA2400">
        <w:rPr>
          <w:rFonts w:eastAsia="Malgun Gothic"/>
          <w:kern w:val="22"/>
          <w:szCs w:val="22"/>
          <w:lang w:val="fr-CA"/>
        </w:rPr>
        <w:t>’</w:t>
      </w:r>
      <w:r w:rsidRPr="007E52B0">
        <w:rPr>
          <w:rFonts w:eastAsia="Malgun Gothic"/>
          <w:kern w:val="22"/>
          <w:szCs w:val="22"/>
          <w:lang w:val="fr-CA"/>
        </w:rPr>
        <w:t xml:space="preserve">action collective des peuples autochtones et des communautés locales à la conservation de la </w:t>
      </w:r>
      <w:r w:rsidRPr="007E52B0">
        <w:rPr>
          <w:rFonts w:eastAsia="Malgun Gothic"/>
          <w:snapToGrid w:val="0"/>
          <w:kern w:val="22"/>
          <w:szCs w:val="22"/>
          <w:lang w:val="fr-CA" w:bidi="fr-FR"/>
        </w:rPr>
        <w:t>diversité biologique</w:t>
      </w:r>
      <w:r w:rsidRPr="007E52B0">
        <w:rPr>
          <w:rFonts w:eastAsia="Malgun Gothic"/>
          <w:kern w:val="22"/>
          <w:szCs w:val="22"/>
          <w:lang w:val="fr-CA"/>
        </w:rPr>
        <w:t xml:space="preserve"> et à l</w:t>
      </w:r>
      <w:r w:rsidR="00CA2400">
        <w:rPr>
          <w:rFonts w:eastAsia="Malgun Gothic"/>
          <w:kern w:val="22"/>
          <w:szCs w:val="22"/>
          <w:lang w:val="fr-CA"/>
        </w:rPr>
        <w:t>’</w:t>
      </w:r>
      <w:r w:rsidRPr="007E52B0">
        <w:rPr>
          <w:rFonts w:eastAsia="Malgun Gothic"/>
          <w:kern w:val="22"/>
          <w:szCs w:val="22"/>
          <w:lang w:val="fr-CA"/>
        </w:rPr>
        <w:t>utilisation durable de ses éléments</w:t>
      </w:r>
      <w:r w:rsidRPr="00B67181">
        <w:rPr>
          <w:kern w:val="22"/>
          <w:szCs w:val="22"/>
          <w:lang w:val="fr-FR"/>
        </w:rPr>
        <w:t>;</w:t>
      </w:r>
    </w:p>
    <w:p w:rsidR="00A9422F" w:rsidRPr="007E52B0" w:rsidRDefault="00A9422F" w:rsidP="00A9422F">
      <w:pPr>
        <w:numPr>
          <w:ilvl w:val="0"/>
          <w:numId w:val="20"/>
        </w:numPr>
        <w:spacing w:after="120"/>
        <w:ind w:left="0" w:firstLine="709"/>
        <w:rPr>
          <w:rFonts w:eastAsia="Malgun Gothic"/>
          <w:kern w:val="22"/>
          <w:szCs w:val="22"/>
          <w:lang w:val="fr-CA"/>
        </w:rPr>
      </w:pPr>
      <w:r w:rsidRPr="007E52B0">
        <w:rPr>
          <w:rFonts w:eastAsia="Malgun Gothic"/>
          <w:kern w:val="22"/>
          <w:szCs w:val="22"/>
          <w:lang w:val="fr-CA"/>
        </w:rPr>
        <w:t>Les conséquences des divers scénarios pour l</w:t>
      </w:r>
      <w:r w:rsidR="00CA2400">
        <w:rPr>
          <w:rFonts w:eastAsia="Malgun Gothic"/>
          <w:kern w:val="22"/>
          <w:szCs w:val="22"/>
          <w:lang w:val="fr-CA"/>
        </w:rPr>
        <w:t>’</w:t>
      </w:r>
      <w:r w:rsidRPr="007E52B0">
        <w:rPr>
          <w:rFonts w:eastAsia="Malgun Gothic"/>
          <w:kern w:val="22"/>
          <w:szCs w:val="22"/>
          <w:lang w:val="fr-CA"/>
        </w:rPr>
        <w:t>utilisation coutumière durable de la diversité biologique par les peuples autochtones et les communautés locales</w:t>
      </w:r>
      <w:r>
        <w:rPr>
          <w:rFonts w:eastAsia="Malgun Gothic"/>
          <w:kern w:val="22"/>
          <w:szCs w:val="22"/>
          <w:lang w:val="fr-CA"/>
        </w:rPr>
        <w:t>;</w:t>
      </w:r>
    </w:p>
    <w:p w:rsidR="00A9422F" w:rsidRDefault="00A9422F" w:rsidP="00A9422F">
      <w:pPr>
        <w:numPr>
          <w:ilvl w:val="0"/>
          <w:numId w:val="20"/>
        </w:numPr>
        <w:spacing w:after="120"/>
        <w:ind w:left="0" w:firstLine="709"/>
        <w:rPr>
          <w:rFonts w:eastAsia="Malgun Gothic"/>
          <w:kern w:val="22"/>
          <w:szCs w:val="22"/>
          <w:lang w:val="fr-CA"/>
        </w:rPr>
      </w:pPr>
      <w:r w:rsidRPr="007E52B0">
        <w:rPr>
          <w:rFonts w:eastAsia="Malgun Gothic"/>
          <w:kern w:val="22"/>
          <w:szCs w:val="22"/>
          <w:lang w:val="fr-CA"/>
        </w:rPr>
        <w:lastRenderedPageBreak/>
        <w:t>Les analyses de scénarios concernant le financement du cadre mondial de la biodiversité pour l</w:t>
      </w:r>
      <w:r w:rsidR="00CA2400">
        <w:rPr>
          <w:rFonts w:eastAsia="Malgun Gothic"/>
          <w:kern w:val="22"/>
          <w:szCs w:val="22"/>
          <w:lang w:val="fr-CA"/>
        </w:rPr>
        <w:t>’</w:t>
      </w:r>
      <w:r w:rsidRPr="007E52B0">
        <w:rPr>
          <w:rFonts w:eastAsia="Malgun Gothic"/>
          <w:kern w:val="22"/>
          <w:szCs w:val="22"/>
          <w:lang w:val="fr-CA"/>
        </w:rPr>
        <w:t>après-2020 et la réalisation de la Vision 2050 pour la biodiversité, en tenant compte de l</w:t>
      </w:r>
      <w:r w:rsidR="00CA2400">
        <w:rPr>
          <w:rFonts w:eastAsia="Malgun Gothic"/>
          <w:kern w:val="22"/>
          <w:szCs w:val="22"/>
          <w:lang w:val="fr-CA"/>
        </w:rPr>
        <w:t>’</w:t>
      </w:r>
      <w:r w:rsidRPr="007E52B0">
        <w:rPr>
          <w:rFonts w:eastAsia="Malgun Gothic"/>
          <w:kern w:val="22"/>
          <w:szCs w:val="22"/>
          <w:lang w:val="fr-CA"/>
        </w:rPr>
        <w:t>article 20 de la Convention</w:t>
      </w:r>
      <w:r>
        <w:rPr>
          <w:rFonts w:eastAsia="Malgun Gothic"/>
          <w:kern w:val="22"/>
          <w:szCs w:val="22"/>
          <w:lang w:val="fr-CA"/>
        </w:rPr>
        <w:t>;</w:t>
      </w:r>
    </w:p>
    <w:p w:rsidR="00A9422F" w:rsidRPr="007E52B0" w:rsidRDefault="00A9422F" w:rsidP="00A9422F">
      <w:pPr>
        <w:numPr>
          <w:ilvl w:val="0"/>
          <w:numId w:val="20"/>
        </w:numPr>
        <w:spacing w:after="120"/>
        <w:ind w:left="0" w:firstLine="709"/>
        <w:rPr>
          <w:rFonts w:eastAsia="Malgun Gothic"/>
          <w:kern w:val="22"/>
          <w:szCs w:val="22"/>
          <w:lang w:val="fr-CA"/>
        </w:rPr>
      </w:pPr>
      <w:r w:rsidRPr="007E52B0">
        <w:rPr>
          <w:rFonts w:eastAsia="Malgun Gothic"/>
          <w:kern w:val="22"/>
          <w:szCs w:val="22"/>
          <w:lang w:val="fr-CA"/>
        </w:rPr>
        <w:t>Les analyses de scénarios sur le partage juste et équitable des avantages découlant de l</w:t>
      </w:r>
      <w:r w:rsidR="00CA2400">
        <w:rPr>
          <w:rFonts w:eastAsia="Malgun Gothic"/>
          <w:kern w:val="22"/>
          <w:szCs w:val="22"/>
          <w:lang w:val="fr-CA"/>
        </w:rPr>
        <w:t>’</w:t>
      </w:r>
      <w:r w:rsidRPr="007E52B0">
        <w:rPr>
          <w:kern w:val="22"/>
          <w:szCs w:val="22"/>
          <w:lang w:val="fr-CA"/>
        </w:rPr>
        <w:t>utilisation</w:t>
      </w:r>
      <w:r w:rsidRPr="007E52B0">
        <w:rPr>
          <w:rFonts w:eastAsia="Malgun Gothic"/>
          <w:kern w:val="22"/>
          <w:szCs w:val="22"/>
          <w:lang w:val="fr-CA"/>
        </w:rPr>
        <w:t xml:space="preserve"> des ressources génétiques conformément à la Convention et au Protocole de Nagoya, y compris les avantages monétaires et non monétaires découlant de l</w:t>
      </w:r>
      <w:r w:rsidR="00CA2400">
        <w:rPr>
          <w:rFonts w:eastAsia="Malgun Gothic"/>
          <w:kern w:val="22"/>
          <w:szCs w:val="22"/>
          <w:lang w:val="fr-CA"/>
        </w:rPr>
        <w:t>’</w:t>
      </w:r>
      <w:r w:rsidRPr="007E52B0">
        <w:rPr>
          <w:kern w:val="22"/>
          <w:szCs w:val="22"/>
          <w:lang w:val="fr-CA"/>
        </w:rPr>
        <w:t>utilisation</w:t>
      </w:r>
      <w:r w:rsidRPr="007E52B0">
        <w:rPr>
          <w:rFonts w:eastAsia="Malgun Gothic"/>
          <w:kern w:val="22"/>
          <w:szCs w:val="22"/>
          <w:lang w:val="fr-CA"/>
        </w:rPr>
        <w:t xml:space="preserve"> à des fins commerciales et non commerciales, et le potentiel du partage des avantages comme moyen d</w:t>
      </w:r>
      <w:r w:rsidR="00CA2400">
        <w:rPr>
          <w:rFonts w:eastAsia="Malgun Gothic"/>
          <w:kern w:val="22"/>
          <w:szCs w:val="22"/>
          <w:lang w:val="fr-CA"/>
        </w:rPr>
        <w:t>’</w:t>
      </w:r>
      <w:r w:rsidR="00E25797">
        <w:rPr>
          <w:rFonts w:eastAsia="Malgun Gothic"/>
          <w:kern w:val="22"/>
          <w:szCs w:val="22"/>
          <w:lang w:val="fr-CA"/>
        </w:rPr>
        <w:t>encourager la conservation et</w:t>
      </w:r>
      <w:r w:rsidRPr="007E52B0">
        <w:rPr>
          <w:rFonts w:eastAsia="Malgun Gothic"/>
          <w:kern w:val="22"/>
          <w:szCs w:val="22"/>
          <w:lang w:val="fr-CA"/>
        </w:rPr>
        <w:t xml:space="preserve"> l</w:t>
      </w:r>
      <w:r w:rsidR="00CA2400">
        <w:rPr>
          <w:rFonts w:eastAsia="Malgun Gothic"/>
          <w:kern w:val="22"/>
          <w:szCs w:val="22"/>
          <w:lang w:val="fr-CA"/>
        </w:rPr>
        <w:t>’</w:t>
      </w:r>
      <w:r w:rsidRPr="007E52B0">
        <w:rPr>
          <w:rFonts w:eastAsia="Malgun Gothic"/>
          <w:kern w:val="22"/>
          <w:szCs w:val="22"/>
          <w:lang w:val="fr-CA"/>
        </w:rPr>
        <w:t>utilisation durable de la diversité biologique</w:t>
      </w:r>
      <w:r>
        <w:rPr>
          <w:rFonts w:eastAsia="Malgun Gothic"/>
          <w:kern w:val="22"/>
          <w:szCs w:val="22"/>
          <w:lang w:val="fr-CA"/>
        </w:rPr>
        <w:t>;</w:t>
      </w:r>
    </w:p>
    <w:p w:rsidR="00A9422F" w:rsidRDefault="00A9422F" w:rsidP="00A9422F">
      <w:pPr>
        <w:numPr>
          <w:ilvl w:val="0"/>
          <w:numId w:val="20"/>
        </w:numPr>
        <w:spacing w:after="120"/>
        <w:ind w:left="0" w:firstLine="709"/>
        <w:rPr>
          <w:rFonts w:eastAsia="Malgun Gothic"/>
          <w:kern w:val="22"/>
          <w:szCs w:val="22"/>
          <w:lang w:val="fr-CA"/>
        </w:rPr>
      </w:pPr>
      <w:r w:rsidRPr="007E52B0">
        <w:rPr>
          <w:rFonts w:eastAsia="Malgun Gothic"/>
          <w:kern w:val="22"/>
          <w:szCs w:val="22"/>
          <w:lang w:val="fr-CA"/>
        </w:rPr>
        <w:t>Une perspective d</w:t>
      </w:r>
      <w:r w:rsidR="00CA2400">
        <w:rPr>
          <w:rFonts w:eastAsia="Malgun Gothic"/>
          <w:kern w:val="22"/>
          <w:szCs w:val="22"/>
          <w:lang w:val="fr-CA"/>
        </w:rPr>
        <w:t>’</w:t>
      </w:r>
      <w:r w:rsidRPr="007E52B0">
        <w:rPr>
          <w:rFonts w:eastAsia="Malgun Gothic"/>
          <w:kern w:val="22"/>
          <w:szCs w:val="22"/>
          <w:lang w:val="fr-CA"/>
        </w:rPr>
        <w:t>égalité des sexes dans l</w:t>
      </w:r>
      <w:r w:rsidR="00CA2400">
        <w:rPr>
          <w:rFonts w:eastAsia="Malgun Gothic"/>
          <w:kern w:val="22"/>
          <w:szCs w:val="22"/>
          <w:lang w:val="fr-CA"/>
        </w:rPr>
        <w:t>’</w:t>
      </w:r>
      <w:r w:rsidRPr="007E52B0">
        <w:rPr>
          <w:rFonts w:eastAsia="Malgun Gothic"/>
          <w:kern w:val="22"/>
          <w:szCs w:val="22"/>
          <w:lang w:val="fr-CA"/>
        </w:rPr>
        <w:t>élaboration, la mise en œuvre et</w:t>
      </w:r>
      <w:r w:rsidR="00C02BA2">
        <w:rPr>
          <w:rFonts w:eastAsia="Malgun Gothic"/>
          <w:kern w:val="22"/>
          <w:szCs w:val="22"/>
          <w:lang w:val="fr-CA"/>
        </w:rPr>
        <w:t xml:space="preserve"> le suivi du cadre mondial de la biodiversité pour</w:t>
      </w:r>
      <w:r w:rsidRPr="007E52B0">
        <w:rPr>
          <w:rFonts w:eastAsia="Malgun Gothic"/>
          <w:kern w:val="22"/>
          <w:szCs w:val="22"/>
          <w:lang w:val="fr-CA"/>
        </w:rPr>
        <w:t xml:space="preserve"> l</w:t>
      </w:r>
      <w:r w:rsidR="00CA2400">
        <w:rPr>
          <w:rFonts w:eastAsia="Malgun Gothic"/>
          <w:kern w:val="22"/>
          <w:szCs w:val="22"/>
          <w:lang w:val="fr-CA"/>
        </w:rPr>
        <w:t>’</w:t>
      </w:r>
      <w:r w:rsidRPr="007E52B0">
        <w:rPr>
          <w:rFonts w:eastAsia="Malgun Gothic"/>
          <w:kern w:val="22"/>
          <w:szCs w:val="22"/>
          <w:lang w:val="fr-CA"/>
        </w:rPr>
        <w:t>après-2020</w:t>
      </w:r>
      <w:r>
        <w:rPr>
          <w:rFonts w:eastAsia="Malgun Gothic"/>
          <w:kern w:val="22"/>
          <w:szCs w:val="22"/>
          <w:lang w:val="fr-CA"/>
        </w:rPr>
        <w:t>;</w:t>
      </w:r>
    </w:p>
    <w:p w:rsidR="00A9422F" w:rsidRPr="007E52B0" w:rsidRDefault="00C02BA2" w:rsidP="00A9422F">
      <w:pPr>
        <w:numPr>
          <w:ilvl w:val="0"/>
          <w:numId w:val="20"/>
        </w:numPr>
        <w:spacing w:after="120"/>
        <w:ind w:left="0" w:firstLine="709"/>
        <w:rPr>
          <w:rFonts w:eastAsia="Malgun Gothic"/>
          <w:kern w:val="22"/>
          <w:szCs w:val="22"/>
          <w:lang w:val="fr-CA"/>
        </w:rPr>
      </w:pPr>
      <w:r>
        <w:rPr>
          <w:rFonts w:eastAsia="Malgun Gothic"/>
          <w:kern w:val="22"/>
          <w:szCs w:val="22"/>
          <w:lang w:val="fr-CA"/>
        </w:rPr>
        <w:t>Les effets</w:t>
      </w:r>
      <w:r w:rsidR="00A9422F" w:rsidRPr="007E52B0">
        <w:rPr>
          <w:rFonts w:eastAsia="Malgun Gothic"/>
          <w:kern w:val="22"/>
          <w:szCs w:val="22"/>
          <w:lang w:val="fr-CA"/>
        </w:rPr>
        <w:t xml:space="preserve"> positifs et négatifs potentiels des secteurs productifs, tels que l</w:t>
      </w:r>
      <w:r w:rsidR="00CA2400">
        <w:rPr>
          <w:rFonts w:eastAsia="Malgun Gothic"/>
          <w:kern w:val="22"/>
          <w:szCs w:val="22"/>
          <w:lang w:val="fr-CA"/>
        </w:rPr>
        <w:t>’</w:t>
      </w:r>
      <w:r w:rsidR="00A9422F" w:rsidRPr="007E52B0">
        <w:rPr>
          <w:rFonts w:eastAsia="Malgun Gothic"/>
          <w:kern w:val="22"/>
          <w:szCs w:val="22"/>
          <w:lang w:val="fr-CA"/>
        </w:rPr>
        <w:t>agriculture, la foresterie et les pêcheries, sur la diversité biologique</w:t>
      </w:r>
      <w:r w:rsidR="00A9422F">
        <w:rPr>
          <w:rFonts w:eastAsia="Malgun Gothic"/>
          <w:kern w:val="22"/>
          <w:szCs w:val="22"/>
          <w:lang w:val="fr-CA"/>
        </w:rPr>
        <w:t>;</w:t>
      </w:r>
    </w:p>
    <w:p w:rsidR="006A135A" w:rsidRPr="00B67181" w:rsidRDefault="00FD0386" w:rsidP="00DA5854">
      <w:pPr>
        <w:pStyle w:val="Para1"/>
        <w:numPr>
          <w:ilvl w:val="0"/>
          <w:numId w:val="0"/>
        </w:numPr>
        <w:suppressLineNumbers/>
        <w:suppressAutoHyphens/>
        <w:ind w:firstLine="720"/>
        <w:rPr>
          <w:kern w:val="22"/>
          <w:szCs w:val="22"/>
          <w:lang w:val="fr-FR"/>
        </w:rPr>
      </w:pPr>
      <w:r w:rsidRPr="00B67181">
        <w:rPr>
          <w:kern w:val="22"/>
          <w:szCs w:val="22"/>
          <w:lang w:val="fr-FR"/>
        </w:rPr>
        <w:t>j</w:t>
      </w:r>
      <w:r w:rsidR="006A135A" w:rsidRPr="00B67181">
        <w:rPr>
          <w:kern w:val="22"/>
          <w:szCs w:val="22"/>
          <w:lang w:val="fr-FR"/>
        </w:rPr>
        <w:t>)</w:t>
      </w:r>
      <w:r w:rsidR="006A135A" w:rsidRPr="00B67181">
        <w:rPr>
          <w:kern w:val="22"/>
          <w:szCs w:val="22"/>
          <w:lang w:val="fr-FR"/>
        </w:rPr>
        <w:tab/>
      </w:r>
      <w:r w:rsidR="00A9422F" w:rsidRPr="007E52B0">
        <w:rPr>
          <w:rFonts w:eastAsia="Malgun Gothic"/>
          <w:kern w:val="22"/>
          <w:szCs w:val="22"/>
          <w:lang w:val="fr-CA"/>
        </w:rPr>
        <w:t>Les nouvelles technologies, telles que</w:t>
      </w:r>
      <w:r w:rsidR="00A9422F">
        <w:rPr>
          <w:rFonts w:eastAsia="Malgun Gothic"/>
          <w:kern w:val="22"/>
          <w:szCs w:val="22"/>
          <w:lang w:val="fr-CA"/>
        </w:rPr>
        <w:t xml:space="preserve"> les </w:t>
      </w:r>
      <w:r w:rsidR="00034AD4">
        <w:rPr>
          <w:rFonts w:eastAsia="Malgun Gothic"/>
          <w:kern w:val="22"/>
          <w:szCs w:val="22"/>
          <w:lang w:val="fr-CA"/>
        </w:rPr>
        <w:t>avancées</w:t>
      </w:r>
      <w:r w:rsidR="00A9422F">
        <w:rPr>
          <w:rFonts w:eastAsia="Malgun Gothic"/>
          <w:kern w:val="22"/>
          <w:szCs w:val="22"/>
          <w:lang w:val="fr-CA"/>
        </w:rPr>
        <w:t xml:space="preserve"> dans</w:t>
      </w:r>
      <w:r w:rsidR="00034AD4">
        <w:rPr>
          <w:rFonts w:eastAsia="Malgun Gothic"/>
          <w:kern w:val="22"/>
          <w:szCs w:val="22"/>
          <w:lang w:val="fr-CA"/>
        </w:rPr>
        <w:t xml:space="preserve"> l</w:t>
      </w:r>
      <w:r w:rsidR="00CA2400">
        <w:rPr>
          <w:rFonts w:eastAsia="Malgun Gothic"/>
          <w:kern w:val="22"/>
          <w:szCs w:val="22"/>
          <w:lang w:val="fr-CA"/>
        </w:rPr>
        <w:t>’</w:t>
      </w:r>
      <w:r w:rsidR="00034AD4">
        <w:rPr>
          <w:rFonts w:eastAsia="Malgun Gothic"/>
          <w:kern w:val="22"/>
          <w:szCs w:val="22"/>
          <w:lang w:val="fr-CA"/>
        </w:rPr>
        <w:t>analyse des données,</w:t>
      </w:r>
      <w:r w:rsidR="00A9422F" w:rsidRPr="007E52B0">
        <w:rPr>
          <w:rFonts w:eastAsia="Malgun Gothic"/>
          <w:kern w:val="22"/>
          <w:szCs w:val="22"/>
          <w:lang w:val="fr-CA"/>
        </w:rPr>
        <w:t xml:space="preserve"> l</w:t>
      </w:r>
      <w:r w:rsidR="00CA2400">
        <w:rPr>
          <w:rFonts w:eastAsia="Malgun Gothic"/>
          <w:kern w:val="22"/>
          <w:szCs w:val="22"/>
          <w:lang w:val="fr-CA"/>
        </w:rPr>
        <w:t>’</w:t>
      </w:r>
      <w:r w:rsidR="00A9422F" w:rsidRPr="007E52B0">
        <w:rPr>
          <w:rFonts w:eastAsia="Malgun Gothic"/>
          <w:kern w:val="22"/>
          <w:szCs w:val="22"/>
          <w:lang w:val="fr-CA"/>
        </w:rPr>
        <w:t>information de séquençage numérique</w:t>
      </w:r>
      <w:r w:rsidR="00034AD4">
        <w:rPr>
          <w:rFonts w:eastAsia="Malgun Gothic"/>
          <w:kern w:val="22"/>
          <w:szCs w:val="22"/>
          <w:lang w:val="fr-CA"/>
        </w:rPr>
        <w:t xml:space="preserve"> sur les ressources génétiques</w:t>
      </w:r>
      <w:r w:rsidR="00A9422F" w:rsidRPr="007E52B0">
        <w:rPr>
          <w:rFonts w:eastAsia="Malgun Gothic"/>
          <w:kern w:val="22"/>
          <w:szCs w:val="22"/>
          <w:lang w:val="fr-CA"/>
        </w:rPr>
        <w:t xml:space="preserve">, </w:t>
      </w:r>
      <w:r w:rsidR="00034AD4">
        <w:rPr>
          <w:rFonts w:eastAsia="Malgun Gothic"/>
          <w:kern w:val="22"/>
          <w:szCs w:val="22"/>
          <w:lang w:val="fr-CA"/>
        </w:rPr>
        <w:t>les nouvelles espèces d</w:t>
      </w:r>
      <w:r w:rsidR="00CA2400">
        <w:rPr>
          <w:rFonts w:eastAsia="Malgun Gothic"/>
          <w:kern w:val="22"/>
          <w:szCs w:val="22"/>
          <w:lang w:val="fr-CA"/>
        </w:rPr>
        <w:t>’</w:t>
      </w:r>
      <w:r w:rsidR="00034AD4">
        <w:rPr>
          <w:rFonts w:eastAsia="Malgun Gothic"/>
          <w:kern w:val="22"/>
          <w:szCs w:val="22"/>
          <w:lang w:val="fr-CA"/>
        </w:rPr>
        <w:t>organismes vivants modifiés et la biologie de synthèse, et leurs</w:t>
      </w:r>
      <w:r w:rsidR="00A9422F" w:rsidRPr="007E52B0">
        <w:rPr>
          <w:rFonts w:eastAsia="Malgun Gothic"/>
          <w:kern w:val="22"/>
          <w:szCs w:val="22"/>
          <w:lang w:val="fr-CA"/>
        </w:rPr>
        <w:t xml:space="preserve"> </w:t>
      </w:r>
      <w:r w:rsidR="00034AD4">
        <w:rPr>
          <w:rFonts w:eastAsia="Malgun Gothic"/>
          <w:kern w:val="22"/>
          <w:szCs w:val="22"/>
          <w:lang w:val="fr-CA"/>
        </w:rPr>
        <w:t xml:space="preserve">éventuelles </w:t>
      </w:r>
      <w:r w:rsidR="00A9422F" w:rsidRPr="007E52B0">
        <w:rPr>
          <w:rFonts w:eastAsia="Malgun Gothic"/>
          <w:kern w:val="22"/>
          <w:szCs w:val="22"/>
          <w:lang w:val="fr-CA"/>
        </w:rPr>
        <w:t>incidence</w:t>
      </w:r>
      <w:r w:rsidR="00034AD4">
        <w:rPr>
          <w:rFonts w:eastAsia="Malgun Gothic"/>
          <w:kern w:val="22"/>
          <w:szCs w:val="22"/>
          <w:lang w:val="fr-CA"/>
        </w:rPr>
        <w:t>s</w:t>
      </w:r>
      <w:r w:rsidR="00A9422F" w:rsidRPr="007E52B0">
        <w:rPr>
          <w:rFonts w:eastAsia="Malgun Gothic"/>
          <w:kern w:val="22"/>
          <w:szCs w:val="22"/>
          <w:lang w:val="fr-CA"/>
        </w:rPr>
        <w:t xml:space="preserve"> positive</w:t>
      </w:r>
      <w:r w:rsidR="00034AD4">
        <w:rPr>
          <w:rFonts w:eastAsia="Malgun Gothic"/>
          <w:kern w:val="22"/>
          <w:szCs w:val="22"/>
          <w:lang w:val="fr-CA"/>
        </w:rPr>
        <w:t>s</w:t>
      </w:r>
      <w:r w:rsidR="00A9422F" w:rsidRPr="007E52B0">
        <w:rPr>
          <w:rFonts w:eastAsia="Malgun Gothic"/>
          <w:kern w:val="22"/>
          <w:szCs w:val="22"/>
          <w:lang w:val="fr-CA"/>
        </w:rPr>
        <w:t xml:space="preserve"> ou négative</w:t>
      </w:r>
      <w:r w:rsidR="00034AD4">
        <w:rPr>
          <w:rFonts w:eastAsia="Malgun Gothic"/>
          <w:kern w:val="22"/>
          <w:szCs w:val="22"/>
          <w:lang w:val="fr-CA"/>
        </w:rPr>
        <w:t>s</w:t>
      </w:r>
      <w:r w:rsidR="00A9422F" w:rsidRPr="007E52B0">
        <w:rPr>
          <w:rFonts w:eastAsia="Malgun Gothic"/>
          <w:kern w:val="22"/>
          <w:szCs w:val="22"/>
          <w:lang w:val="fr-CA"/>
        </w:rPr>
        <w:t xml:space="preserve"> sur la réalisation des trois objectifs de la Convention, ainsi que sur les modes de vie et les </w:t>
      </w:r>
      <w:r w:rsidR="00034AD4">
        <w:rPr>
          <w:rFonts w:eastAsia="Malgun Gothic"/>
          <w:kern w:val="22"/>
          <w:szCs w:val="22"/>
          <w:lang w:val="fr-CA"/>
        </w:rPr>
        <w:t>connaissances</w:t>
      </w:r>
      <w:r w:rsidR="00A9422F" w:rsidRPr="007E52B0">
        <w:rPr>
          <w:rFonts w:eastAsia="Malgun Gothic"/>
          <w:kern w:val="22"/>
          <w:szCs w:val="22"/>
          <w:lang w:val="fr-CA"/>
        </w:rPr>
        <w:t xml:space="preserve"> traditionnel</w:t>
      </w:r>
      <w:r w:rsidR="00034AD4">
        <w:rPr>
          <w:rFonts w:eastAsia="Malgun Gothic"/>
          <w:kern w:val="22"/>
          <w:szCs w:val="22"/>
          <w:lang w:val="fr-CA"/>
        </w:rPr>
        <w:t>le</w:t>
      </w:r>
      <w:r w:rsidR="00A9422F" w:rsidRPr="007E52B0">
        <w:rPr>
          <w:rFonts w:eastAsia="Malgun Gothic"/>
          <w:kern w:val="22"/>
          <w:szCs w:val="22"/>
          <w:lang w:val="fr-CA"/>
        </w:rPr>
        <w:t>s des peuples autochtones et des communautés locales</w:t>
      </w:r>
      <w:r w:rsidR="00034AD4">
        <w:rPr>
          <w:rFonts w:eastAsia="Malgun Gothic"/>
          <w:kern w:val="22"/>
          <w:szCs w:val="22"/>
          <w:lang w:val="fr-CA"/>
        </w:rPr>
        <w:t>;</w:t>
      </w:r>
    </w:p>
    <w:p w:rsidR="00DA5854" w:rsidRDefault="00FD0386" w:rsidP="00DA5854">
      <w:pPr>
        <w:spacing w:after="120"/>
        <w:ind w:firstLine="709"/>
        <w:rPr>
          <w:rFonts w:eastAsia="Malgun Gothic"/>
          <w:kern w:val="22"/>
          <w:szCs w:val="22"/>
          <w:lang w:val="fr-CA"/>
        </w:rPr>
      </w:pPr>
      <w:r w:rsidRPr="00B67181">
        <w:rPr>
          <w:kern w:val="22"/>
          <w:szCs w:val="22"/>
          <w:lang w:val="fr-FR"/>
        </w:rPr>
        <w:t>k)</w:t>
      </w:r>
      <w:r w:rsidRPr="00B67181">
        <w:rPr>
          <w:kern w:val="22"/>
          <w:szCs w:val="22"/>
          <w:lang w:val="fr-FR"/>
        </w:rPr>
        <w:tab/>
      </w:r>
      <w:r w:rsidR="00DA5854" w:rsidRPr="007E52B0">
        <w:rPr>
          <w:rFonts w:eastAsia="Malgun Gothic"/>
          <w:kern w:val="22"/>
          <w:szCs w:val="22"/>
          <w:lang w:val="fr-CA"/>
        </w:rPr>
        <w:t>L</w:t>
      </w:r>
      <w:r w:rsidR="00CA2400">
        <w:rPr>
          <w:rFonts w:eastAsia="Malgun Gothic"/>
          <w:kern w:val="22"/>
          <w:szCs w:val="22"/>
          <w:lang w:val="fr-CA"/>
        </w:rPr>
        <w:t>’</w:t>
      </w:r>
      <w:r w:rsidR="00DA5854" w:rsidRPr="007E52B0">
        <w:rPr>
          <w:rFonts w:eastAsia="Malgun Gothic"/>
          <w:kern w:val="22"/>
          <w:szCs w:val="22"/>
          <w:lang w:val="fr-CA"/>
        </w:rPr>
        <w:t>importance d</w:t>
      </w:r>
      <w:r w:rsidR="00CA2400">
        <w:rPr>
          <w:rFonts w:eastAsia="Malgun Gothic"/>
          <w:kern w:val="22"/>
          <w:szCs w:val="22"/>
          <w:lang w:val="fr-CA"/>
        </w:rPr>
        <w:t>’</w:t>
      </w:r>
      <w:r w:rsidR="00DA5854" w:rsidRPr="007E52B0">
        <w:rPr>
          <w:rFonts w:eastAsia="Malgun Gothic"/>
          <w:kern w:val="22"/>
          <w:szCs w:val="22"/>
          <w:lang w:val="fr-CA"/>
        </w:rPr>
        <w:t>accroître la sensibilisation aux multiples valeurs de la diversité biologique et aux conséquences de l</w:t>
      </w:r>
      <w:r w:rsidR="00CA2400">
        <w:rPr>
          <w:rFonts w:eastAsia="Malgun Gothic"/>
          <w:kern w:val="22"/>
          <w:szCs w:val="22"/>
          <w:lang w:val="fr-CA"/>
        </w:rPr>
        <w:t>’</w:t>
      </w:r>
      <w:r w:rsidR="00DA5854" w:rsidRPr="007E52B0">
        <w:rPr>
          <w:rFonts w:eastAsia="Malgun Gothic"/>
          <w:kern w:val="22"/>
          <w:szCs w:val="22"/>
          <w:lang w:val="fr-CA"/>
        </w:rPr>
        <w:t>appauvrissement de la diversité biologique grâce à de meilleures communications</w:t>
      </w:r>
      <w:r w:rsidR="00DA5854">
        <w:rPr>
          <w:rFonts w:eastAsia="Malgun Gothic"/>
          <w:kern w:val="22"/>
          <w:szCs w:val="22"/>
          <w:lang w:val="fr-CA"/>
        </w:rPr>
        <w:t>;</w:t>
      </w:r>
    </w:p>
    <w:p w:rsidR="00DA5854" w:rsidRDefault="00DA5854" w:rsidP="00DA5854">
      <w:pPr>
        <w:spacing w:after="120"/>
        <w:ind w:firstLine="709"/>
        <w:rPr>
          <w:rFonts w:eastAsia="Malgun Gothic"/>
          <w:kern w:val="22"/>
          <w:szCs w:val="22"/>
          <w:lang w:val="fr-CA"/>
        </w:rPr>
      </w:pPr>
      <w:r>
        <w:rPr>
          <w:rFonts w:eastAsia="Malgun Gothic"/>
          <w:kern w:val="22"/>
          <w:szCs w:val="22"/>
          <w:lang w:val="fr-CA"/>
        </w:rPr>
        <w:t>l)</w:t>
      </w:r>
      <w:r>
        <w:rPr>
          <w:rFonts w:eastAsia="Malgun Gothic"/>
          <w:kern w:val="22"/>
          <w:szCs w:val="22"/>
          <w:lang w:val="fr-CA"/>
        </w:rPr>
        <w:tab/>
      </w:r>
      <w:r w:rsidRPr="007E52B0">
        <w:rPr>
          <w:rFonts w:eastAsia="Malgun Gothic"/>
          <w:kern w:val="22"/>
          <w:szCs w:val="22"/>
          <w:lang w:val="fr-CA"/>
        </w:rPr>
        <w:t xml:space="preserve">Les moyens par lesquels les scénarios et les évaluations connexes pourraient </w:t>
      </w:r>
      <w:r w:rsidR="00C02BA2">
        <w:rPr>
          <w:rFonts w:eastAsia="Malgun Gothic"/>
          <w:kern w:val="22"/>
          <w:szCs w:val="22"/>
          <w:lang w:val="fr-CA"/>
        </w:rPr>
        <w:t>éclairer l’identification d’étapes à court et moyen terme</w:t>
      </w:r>
      <w:r w:rsidRPr="007E52B0">
        <w:rPr>
          <w:rFonts w:eastAsia="Malgun Gothic"/>
          <w:kern w:val="22"/>
          <w:szCs w:val="22"/>
          <w:lang w:val="fr-CA"/>
        </w:rPr>
        <w:t xml:space="preserve"> en vue de la réalisation de l</w:t>
      </w:r>
      <w:r w:rsidR="00CA2400">
        <w:rPr>
          <w:rFonts w:eastAsia="Malgun Gothic"/>
          <w:kern w:val="22"/>
          <w:szCs w:val="22"/>
          <w:lang w:val="fr-CA"/>
        </w:rPr>
        <w:t>’</w:t>
      </w:r>
      <w:r w:rsidRPr="007E52B0">
        <w:rPr>
          <w:rFonts w:eastAsia="Malgun Gothic"/>
          <w:kern w:val="22"/>
          <w:szCs w:val="22"/>
          <w:lang w:val="fr-CA"/>
        </w:rPr>
        <w:t>objectif à long terme</w:t>
      </w:r>
      <w:r>
        <w:rPr>
          <w:rFonts w:eastAsia="Malgun Gothic"/>
          <w:kern w:val="22"/>
          <w:szCs w:val="22"/>
          <w:lang w:val="fr-CA"/>
        </w:rPr>
        <w:t>;</w:t>
      </w:r>
    </w:p>
    <w:p w:rsidR="00DA5854" w:rsidRPr="007E52B0" w:rsidRDefault="00F26C2B" w:rsidP="00DA5854">
      <w:pPr>
        <w:pStyle w:val="Para1"/>
        <w:numPr>
          <w:ilvl w:val="0"/>
          <w:numId w:val="0"/>
        </w:numPr>
        <w:ind w:firstLine="709"/>
        <w:rPr>
          <w:rFonts w:eastAsia="Malgun Gothic"/>
          <w:snapToGrid/>
          <w:kern w:val="22"/>
          <w:szCs w:val="22"/>
          <w:lang w:val="fr-CA"/>
        </w:rPr>
      </w:pPr>
      <w:r w:rsidRPr="00B67181">
        <w:rPr>
          <w:rFonts w:eastAsia="Malgun Gothic"/>
          <w:snapToGrid/>
          <w:kern w:val="22"/>
          <w:szCs w:val="22"/>
          <w:lang w:val="fr-FR"/>
        </w:rPr>
        <w:t>3</w:t>
      </w:r>
      <w:r w:rsidR="006A135A" w:rsidRPr="00B67181">
        <w:rPr>
          <w:rFonts w:eastAsia="Malgun Gothic"/>
          <w:snapToGrid/>
          <w:kern w:val="22"/>
          <w:szCs w:val="22"/>
          <w:lang w:val="fr-FR"/>
        </w:rPr>
        <w:t>.</w:t>
      </w:r>
      <w:r w:rsidR="006A135A" w:rsidRPr="00B67181">
        <w:rPr>
          <w:rFonts w:eastAsia="Malgun Gothic"/>
          <w:i/>
          <w:snapToGrid/>
          <w:kern w:val="22"/>
          <w:szCs w:val="22"/>
          <w:lang w:val="fr-FR"/>
        </w:rPr>
        <w:tab/>
      </w:r>
      <w:r w:rsidR="00DA5854" w:rsidRPr="007E52B0">
        <w:rPr>
          <w:rFonts w:eastAsia="Malgun Gothic"/>
          <w:i/>
          <w:snapToGrid/>
          <w:kern w:val="22"/>
          <w:szCs w:val="22"/>
          <w:lang w:val="fr-CA"/>
        </w:rPr>
        <w:t xml:space="preserve">Prie </w:t>
      </w:r>
      <w:r w:rsidR="00DA5854" w:rsidRPr="007E52B0">
        <w:rPr>
          <w:rFonts w:eastAsia="Malgun Gothic"/>
          <w:snapToGrid/>
          <w:kern w:val="22"/>
          <w:szCs w:val="22"/>
          <w:lang w:val="fr-CA"/>
        </w:rPr>
        <w:t xml:space="preserve">la Secrétaire exécutive, en collaboration avec les partenaires compétents, de faciliter les activités de renforcement des capacités conformément à la </w:t>
      </w:r>
      <w:hyperlink r:id="rId13" w:history="1">
        <w:r w:rsidR="00DA5854" w:rsidRPr="007E52B0">
          <w:rPr>
            <w:rStyle w:val="Hyperlink"/>
            <w:rFonts w:eastAsia="Malgun Gothic"/>
            <w:snapToGrid/>
            <w:kern w:val="22"/>
            <w:sz w:val="22"/>
            <w:szCs w:val="22"/>
            <w:lang w:val="fr-CA"/>
          </w:rPr>
          <w:t>décision XIII/23</w:t>
        </w:r>
      </w:hyperlink>
      <w:r w:rsidR="00DA5854" w:rsidRPr="007E52B0">
        <w:rPr>
          <w:rFonts w:eastAsia="Malgun Gothic"/>
          <w:snapToGrid/>
          <w:kern w:val="22"/>
          <w:szCs w:val="22"/>
          <w:lang w:val="fr-CA"/>
        </w:rPr>
        <w:t xml:space="preserve">, notamment celles des pays en développement et </w:t>
      </w:r>
      <w:r w:rsidR="00DA5854" w:rsidRPr="007E52B0">
        <w:rPr>
          <w:iCs/>
          <w:kern w:val="22"/>
          <w:szCs w:val="22"/>
          <w:lang w:val="fr-CA"/>
        </w:rPr>
        <w:t>des pays à économie en transition, en particulier les pays les moins avancés et les petits États insulaires en développement, afin de permettre à tous les pays de participer à l</w:t>
      </w:r>
      <w:r w:rsidR="00CA2400">
        <w:rPr>
          <w:iCs/>
          <w:kern w:val="22"/>
          <w:szCs w:val="22"/>
          <w:lang w:val="fr-CA"/>
        </w:rPr>
        <w:t>’</w:t>
      </w:r>
      <w:r w:rsidR="00DA5854" w:rsidRPr="007E52B0">
        <w:rPr>
          <w:iCs/>
          <w:kern w:val="22"/>
          <w:szCs w:val="22"/>
          <w:lang w:val="fr-CA"/>
        </w:rPr>
        <w:t>élaboration et à la mise en pratique des scénarios</w:t>
      </w:r>
      <w:r w:rsidR="00DA5854" w:rsidRPr="007E52B0">
        <w:rPr>
          <w:rFonts w:eastAsia="Malgun Gothic"/>
          <w:snapToGrid/>
          <w:kern w:val="22"/>
          <w:szCs w:val="22"/>
          <w:lang w:val="fr-CA"/>
        </w:rPr>
        <w:t xml:space="preserve">. </w:t>
      </w:r>
    </w:p>
    <w:p w:rsidR="006A135A" w:rsidRPr="00B67181" w:rsidRDefault="00DA5854" w:rsidP="00DA5854">
      <w:pPr>
        <w:pStyle w:val="Para1"/>
        <w:numPr>
          <w:ilvl w:val="0"/>
          <w:numId w:val="0"/>
        </w:numPr>
        <w:suppressLineNumbers/>
        <w:suppressAutoHyphens/>
        <w:ind w:firstLine="720"/>
        <w:rPr>
          <w:snapToGrid/>
          <w:kern w:val="22"/>
          <w:szCs w:val="22"/>
          <w:lang w:val="fr-FR"/>
        </w:rPr>
      </w:pPr>
      <w:r w:rsidRPr="007E52B0">
        <w:rPr>
          <w:iCs/>
          <w:kern w:val="22"/>
          <w:szCs w:val="22"/>
          <w:lang w:val="fr-CA"/>
        </w:rPr>
        <w:t>4.</w:t>
      </w:r>
      <w:r w:rsidRPr="007E52B0">
        <w:rPr>
          <w:i/>
          <w:iCs/>
          <w:kern w:val="22"/>
          <w:szCs w:val="22"/>
          <w:lang w:val="fr-CA"/>
        </w:rPr>
        <w:t xml:space="preserve"> </w:t>
      </w:r>
      <w:r w:rsidRPr="007E52B0">
        <w:rPr>
          <w:iCs/>
          <w:kern w:val="22"/>
          <w:szCs w:val="22"/>
          <w:lang w:val="fr-CA"/>
        </w:rPr>
        <w:tab/>
      </w:r>
      <w:r w:rsidRPr="007E52B0">
        <w:rPr>
          <w:i/>
          <w:iCs/>
          <w:kern w:val="22"/>
          <w:szCs w:val="22"/>
          <w:lang w:val="fr-CA"/>
        </w:rPr>
        <w:t xml:space="preserve">Prie également </w:t>
      </w:r>
      <w:r w:rsidRPr="007E52B0">
        <w:rPr>
          <w:iCs/>
          <w:kern w:val="22"/>
          <w:szCs w:val="22"/>
          <w:lang w:val="fr-CA"/>
        </w:rPr>
        <w:t xml:space="preserve">la Secrétaire exécutive, en vertu de la </w:t>
      </w:r>
      <w:hyperlink r:id="rId14" w:history="1">
        <w:r w:rsidRPr="007E52B0">
          <w:rPr>
            <w:rStyle w:val="Hyperlink"/>
            <w:iCs/>
            <w:kern w:val="22"/>
            <w:sz w:val="22"/>
            <w:szCs w:val="22"/>
            <w:lang w:val="fr-CA"/>
          </w:rPr>
          <w:t>décision XIII/22</w:t>
        </w:r>
      </w:hyperlink>
      <w:r w:rsidRPr="007E52B0">
        <w:rPr>
          <w:iCs/>
          <w:kern w:val="22"/>
          <w:sz w:val="28"/>
          <w:szCs w:val="22"/>
          <w:lang w:val="fr-CA"/>
        </w:rPr>
        <w:t xml:space="preserve"> </w:t>
      </w:r>
      <w:r w:rsidRPr="007E52B0">
        <w:rPr>
          <w:iCs/>
          <w:kern w:val="22"/>
          <w:szCs w:val="22"/>
          <w:lang w:val="fr-CA"/>
        </w:rPr>
        <w:t>sur le cadre pour une stratégie de communication, d</w:t>
      </w:r>
      <w:r w:rsidR="00CA2400">
        <w:rPr>
          <w:iCs/>
          <w:kern w:val="22"/>
          <w:szCs w:val="22"/>
          <w:lang w:val="fr-CA"/>
        </w:rPr>
        <w:t>’</w:t>
      </w:r>
      <w:r w:rsidRPr="007E52B0">
        <w:rPr>
          <w:iCs/>
          <w:kern w:val="22"/>
          <w:szCs w:val="22"/>
          <w:lang w:val="fr-CA"/>
        </w:rPr>
        <w:t>encourager l</w:t>
      </w:r>
      <w:r w:rsidR="00CA2400">
        <w:rPr>
          <w:iCs/>
          <w:kern w:val="22"/>
          <w:szCs w:val="22"/>
          <w:lang w:val="fr-CA"/>
        </w:rPr>
        <w:t>’</w:t>
      </w:r>
      <w:r w:rsidRPr="007E52B0">
        <w:rPr>
          <w:iCs/>
          <w:kern w:val="22"/>
          <w:szCs w:val="22"/>
          <w:lang w:val="fr-CA"/>
        </w:rPr>
        <w:t>utilisation de scénarios en tant qu</w:t>
      </w:r>
      <w:r w:rsidR="00CA2400">
        <w:rPr>
          <w:iCs/>
          <w:kern w:val="22"/>
          <w:szCs w:val="22"/>
          <w:lang w:val="fr-CA"/>
        </w:rPr>
        <w:t>’</w:t>
      </w:r>
      <w:r w:rsidRPr="007E52B0">
        <w:rPr>
          <w:iCs/>
          <w:kern w:val="22"/>
          <w:szCs w:val="22"/>
          <w:lang w:val="fr-CA"/>
        </w:rPr>
        <w:t xml:space="preserve">outils de communication permettant de sensibiliser le public et de </w:t>
      </w:r>
      <w:r w:rsidRPr="007E52B0">
        <w:rPr>
          <w:rFonts w:eastAsia="Malgun Gothic"/>
          <w:kern w:val="22"/>
          <w:szCs w:val="22"/>
          <w:lang w:val="fr-CA"/>
        </w:rPr>
        <w:t>promouvoir la participation et l</w:t>
      </w:r>
      <w:r w:rsidR="00CA2400">
        <w:rPr>
          <w:rFonts w:eastAsia="Malgun Gothic"/>
          <w:kern w:val="22"/>
          <w:szCs w:val="22"/>
          <w:lang w:val="fr-CA"/>
        </w:rPr>
        <w:t>’</w:t>
      </w:r>
      <w:r w:rsidRPr="007E52B0">
        <w:rPr>
          <w:rFonts w:eastAsia="Malgun Gothic"/>
          <w:kern w:val="22"/>
          <w:szCs w:val="22"/>
          <w:lang w:val="fr-CA"/>
        </w:rPr>
        <w:t>engagement de l</w:t>
      </w:r>
      <w:r w:rsidR="00CA2400">
        <w:rPr>
          <w:rFonts w:eastAsia="Malgun Gothic"/>
          <w:kern w:val="22"/>
          <w:szCs w:val="22"/>
          <w:lang w:val="fr-CA"/>
        </w:rPr>
        <w:t>’</w:t>
      </w:r>
      <w:r w:rsidRPr="007E52B0">
        <w:rPr>
          <w:rFonts w:eastAsia="Malgun Gothic"/>
          <w:kern w:val="22"/>
          <w:szCs w:val="22"/>
          <w:lang w:val="fr-CA"/>
        </w:rPr>
        <w:t>ensemble des parties prenantes, en particulier des milieux universitaires et scientifiques et pour amplifier le soutien à l</w:t>
      </w:r>
      <w:r w:rsidR="00CA2400">
        <w:rPr>
          <w:rFonts w:eastAsia="Malgun Gothic"/>
          <w:kern w:val="22"/>
          <w:szCs w:val="22"/>
          <w:lang w:val="fr-CA"/>
        </w:rPr>
        <w:t>’</w:t>
      </w:r>
      <w:r w:rsidRPr="007E52B0">
        <w:rPr>
          <w:rFonts w:eastAsia="Malgun Gothic"/>
          <w:kern w:val="22"/>
          <w:szCs w:val="22"/>
          <w:lang w:val="fr-CA"/>
        </w:rPr>
        <w:t>échelle mondiale face aux préoccupations liées à la biodiversité, y compris en engageant des célébrités en tant qu</w:t>
      </w:r>
      <w:r w:rsidR="00CA2400">
        <w:rPr>
          <w:rFonts w:eastAsia="Malgun Gothic"/>
          <w:kern w:val="22"/>
          <w:szCs w:val="22"/>
          <w:lang w:val="fr-CA"/>
        </w:rPr>
        <w:t>’</w:t>
      </w:r>
      <w:r w:rsidRPr="007E52B0">
        <w:rPr>
          <w:rFonts w:eastAsia="Malgun Gothic"/>
          <w:kern w:val="22"/>
          <w:szCs w:val="22"/>
          <w:lang w:val="fr-CA"/>
        </w:rPr>
        <w:t>ambassadeurs de la biodiversité de toutes les régions qui se feraient les porte-voix de la biodiversité.</w:t>
      </w:r>
    </w:p>
    <w:p w:rsidR="006A135A" w:rsidRPr="00B67181" w:rsidRDefault="006A135A" w:rsidP="00074981">
      <w:pPr>
        <w:keepNext/>
        <w:suppressLineNumbers/>
        <w:suppressAutoHyphens/>
        <w:kinsoku w:val="0"/>
        <w:overflowPunct w:val="0"/>
        <w:autoSpaceDE w:val="0"/>
        <w:autoSpaceDN w:val="0"/>
        <w:adjustRightInd w:val="0"/>
        <w:snapToGrid w:val="0"/>
        <w:spacing w:before="120" w:after="120"/>
        <w:jc w:val="center"/>
        <w:outlineLvl w:val="2"/>
        <w:rPr>
          <w:i/>
          <w:kern w:val="22"/>
          <w:szCs w:val="22"/>
          <w:lang w:val="fr-FR"/>
        </w:rPr>
      </w:pPr>
      <w:r w:rsidRPr="00B67181">
        <w:rPr>
          <w:i/>
          <w:kern w:val="22"/>
          <w:szCs w:val="22"/>
          <w:lang w:val="fr-FR"/>
        </w:rPr>
        <w:t>Annex</w:t>
      </w:r>
      <w:r w:rsidR="00627104" w:rsidRPr="00B67181">
        <w:rPr>
          <w:i/>
          <w:kern w:val="22"/>
          <w:szCs w:val="22"/>
          <w:lang w:val="fr-FR"/>
        </w:rPr>
        <w:t>e</w:t>
      </w:r>
    </w:p>
    <w:p w:rsidR="006A135A" w:rsidRPr="00B67181" w:rsidRDefault="00627104" w:rsidP="00074981">
      <w:pPr>
        <w:pStyle w:val="HEADINGNOTFORTOC"/>
        <w:suppressLineNumbers/>
        <w:tabs>
          <w:tab w:val="clear" w:pos="720"/>
        </w:tabs>
        <w:suppressAutoHyphens/>
        <w:spacing w:before="120"/>
        <w:outlineLvl w:val="9"/>
        <w:rPr>
          <w:kern w:val="22"/>
          <w:szCs w:val="22"/>
          <w:lang w:val="fr-FR"/>
        </w:rPr>
      </w:pPr>
      <w:r w:rsidRPr="007E52B0">
        <w:rPr>
          <w:snapToGrid w:val="0"/>
          <w:kern w:val="22"/>
          <w:szCs w:val="20"/>
          <w:lang w:val="fr-CA"/>
        </w:rPr>
        <w:t>CONCLUSIONS DE L</w:t>
      </w:r>
      <w:r w:rsidR="00CA2400">
        <w:rPr>
          <w:snapToGrid w:val="0"/>
          <w:kern w:val="22"/>
          <w:szCs w:val="20"/>
          <w:lang w:val="fr-CA"/>
        </w:rPr>
        <w:t>’</w:t>
      </w:r>
      <w:r w:rsidRPr="007E52B0">
        <w:rPr>
          <w:snapToGrid w:val="0"/>
          <w:kern w:val="22"/>
          <w:szCs w:val="20"/>
          <w:lang w:val="fr-CA"/>
        </w:rPr>
        <w:t>ORGANE SUBSIDIAIRE CHARGÉ DE FOURNIR DES AVIS SCIENTIFIQUES, TECHNIQUES ET TECHNOLOGIQUES S</w:t>
      </w:r>
      <w:r>
        <w:rPr>
          <w:snapToGrid w:val="0"/>
          <w:kern w:val="22"/>
          <w:szCs w:val="20"/>
          <w:lang w:val="fr-CA"/>
        </w:rPr>
        <w:t>UR LES SCÉNARIOS POUR LA VISION </w:t>
      </w:r>
      <w:r w:rsidRPr="007E52B0">
        <w:rPr>
          <w:snapToGrid w:val="0"/>
          <w:kern w:val="22"/>
          <w:szCs w:val="20"/>
          <w:lang w:val="fr-CA"/>
        </w:rPr>
        <w:t>2050 POUR LA BIODIVERSITÉ</w:t>
      </w:r>
    </w:p>
    <w:p w:rsidR="00627104" w:rsidRPr="00627104" w:rsidRDefault="00627104" w:rsidP="00627104">
      <w:pPr>
        <w:pStyle w:val="BodyText"/>
        <w:numPr>
          <w:ilvl w:val="1"/>
          <w:numId w:val="21"/>
        </w:numPr>
        <w:suppressLineNumbers/>
        <w:tabs>
          <w:tab w:val="clear" w:pos="2160"/>
        </w:tabs>
        <w:suppressAutoHyphens/>
        <w:ind w:left="0" w:firstLine="0"/>
        <w:rPr>
          <w:snapToGrid w:val="0"/>
          <w:kern w:val="22"/>
          <w:szCs w:val="20"/>
          <w:lang w:val="fr-CA"/>
        </w:rPr>
      </w:pPr>
      <w:r w:rsidRPr="007E52B0">
        <w:rPr>
          <w:rFonts w:eastAsia="Malgun Gothic"/>
          <w:i/>
          <w:snapToGrid w:val="0"/>
          <w:kern w:val="22"/>
          <w:szCs w:val="20"/>
          <w:lang w:val="fr-CA"/>
        </w:rPr>
        <w:t xml:space="preserve">La Vision 2050 du Plan stratégique demeure pertinente et devrait être prise en compte dans tout suivi du </w:t>
      </w:r>
      <w:r w:rsidRPr="007E52B0">
        <w:rPr>
          <w:rFonts w:eastAsia="Malgun Gothic"/>
          <w:i/>
          <w:iCs w:val="0"/>
          <w:snapToGrid w:val="0"/>
          <w:kern w:val="22"/>
          <w:szCs w:val="20"/>
          <w:lang w:val="fr-CA"/>
        </w:rPr>
        <w:t>Plan stratégique  pour la diversité biologique 2011-2020</w:t>
      </w:r>
      <w:r w:rsidRPr="007E52B0">
        <w:rPr>
          <w:rFonts w:eastAsia="Malgun Gothic"/>
          <w:iCs w:val="0"/>
          <w:snapToGrid w:val="0"/>
          <w:kern w:val="22"/>
          <w:szCs w:val="20"/>
          <w:lang w:val="fr-CA"/>
        </w:rPr>
        <w:t>. La Vision 2050 (« Vivre en</w:t>
      </w:r>
      <w:r w:rsidR="00BD0FB4">
        <w:rPr>
          <w:rFonts w:eastAsia="Malgun Gothic"/>
          <w:iCs w:val="0"/>
          <w:snapToGrid w:val="0"/>
          <w:kern w:val="22"/>
          <w:szCs w:val="20"/>
          <w:lang w:val="fr-CA"/>
        </w:rPr>
        <w:t xml:space="preserve"> harmonie avec la nature », </w:t>
      </w:r>
      <w:r w:rsidRPr="007E52B0">
        <w:rPr>
          <w:rFonts w:eastAsia="Malgun Gothic"/>
          <w:iCs w:val="0"/>
          <w:snapToGrid w:val="0"/>
          <w:kern w:val="22"/>
          <w:szCs w:val="20"/>
          <w:lang w:val="fr-CA"/>
        </w:rPr>
        <w:t>vision selon laquelle « d</w:t>
      </w:r>
      <w:r w:rsidR="00CA2400">
        <w:rPr>
          <w:rFonts w:eastAsia="Malgun Gothic"/>
          <w:iCs w:val="0"/>
          <w:snapToGrid w:val="0"/>
          <w:kern w:val="22"/>
          <w:szCs w:val="20"/>
          <w:lang w:val="fr-CA"/>
        </w:rPr>
        <w:t>’</w:t>
      </w:r>
      <w:r w:rsidRPr="007E52B0">
        <w:rPr>
          <w:rFonts w:eastAsia="Malgun Gothic"/>
          <w:iCs w:val="0"/>
          <w:snapToGrid w:val="0"/>
          <w:kern w:val="22"/>
          <w:szCs w:val="20"/>
          <w:lang w:val="fr-CA"/>
        </w:rPr>
        <w:t xml:space="preserve">ici à 2050, la diversité biologique est valorisée, conservée, restaurée et utilisée avec sagesse, en assurant le maintien des services fournis par les écosystèmes, en maintenant la planète en bonne santé et en procurant des avantages essentiels à tous les peuples ») comporte des éléments qui pourraient se traduire en un objectif à long terme </w:t>
      </w:r>
      <w:r w:rsidR="00BD0FB4">
        <w:rPr>
          <w:rFonts w:eastAsia="Malgun Gothic"/>
          <w:iCs w:val="0"/>
          <w:snapToGrid w:val="0"/>
          <w:kern w:val="22"/>
          <w:szCs w:val="20"/>
          <w:lang w:val="fr-CA"/>
        </w:rPr>
        <w:t xml:space="preserve">pour la biodiversité et définir le contexte </w:t>
      </w:r>
      <w:r w:rsidRPr="007E52B0">
        <w:rPr>
          <w:rFonts w:eastAsia="Malgun Gothic"/>
          <w:iCs w:val="0"/>
          <w:snapToGrid w:val="0"/>
          <w:kern w:val="22"/>
          <w:szCs w:val="20"/>
          <w:lang w:val="fr-CA"/>
        </w:rPr>
        <w:t>de discussions sur de possibles obje</w:t>
      </w:r>
      <w:r w:rsidR="00BD0FB4">
        <w:rPr>
          <w:rFonts w:eastAsia="Malgun Gothic"/>
          <w:iCs w:val="0"/>
          <w:snapToGrid w:val="0"/>
          <w:kern w:val="22"/>
          <w:szCs w:val="20"/>
          <w:lang w:val="fr-CA"/>
        </w:rPr>
        <w:t>ctifs relatifs à la</w:t>
      </w:r>
      <w:r w:rsidRPr="007E52B0">
        <w:rPr>
          <w:rFonts w:eastAsia="Malgun Gothic"/>
          <w:iCs w:val="0"/>
          <w:snapToGrid w:val="0"/>
          <w:kern w:val="22"/>
          <w:szCs w:val="20"/>
          <w:lang w:val="fr-CA"/>
        </w:rPr>
        <w:t xml:space="preserve"> biodiversité pour 2030 s</w:t>
      </w:r>
      <w:r w:rsidR="00CA2400">
        <w:rPr>
          <w:rFonts w:eastAsia="Malgun Gothic"/>
          <w:iCs w:val="0"/>
          <w:snapToGrid w:val="0"/>
          <w:kern w:val="22"/>
          <w:szCs w:val="20"/>
          <w:lang w:val="fr-CA"/>
        </w:rPr>
        <w:t>’</w:t>
      </w:r>
      <w:r w:rsidRPr="007E52B0">
        <w:rPr>
          <w:rFonts w:eastAsia="Malgun Gothic"/>
          <w:iCs w:val="0"/>
          <w:snapToGrid w:val="0"/>
          <w:kern w:val="22"/>
          <w:szCs w:val="20"/>
          <w:lang w:val="fr-CA"/>
        </w:rPr>
        <w:t>inscrivant dans le cadre mondial de la biodiversité pour l</w:t>
      </w:r>
      <w:r w:rsidR="00CA2400">
        <w:rPr>
          <w:rFonts w:eastAsia="Malgun Gothic"/>
          <w:iCs w:val="0"/>
          <w:snapToGrid w:val="0"/>
          <w:kern w:val="22"/>
          <w:szCs w:val="20"/>
          <w:lang w:val="fr-CA"/>
        </w:rPr>
        <w:t>’</w:t>
      </w:r>
      <w:r w:rsidRPr="007E52B0">
        <w:rPr>
          <w:rFonts w:eastAsia="Malgun Gothic"/>
          <w:iCs w:val="0"/>
          <w:snapToGrid w:val="0"/>
          <w:kern w:val="22"/>
          <w:szCs w:val="20"/>
          <w:lang w:val="fr-CA"/>
        </w:rPr>
        <w:t>après-2020.</w:t>
      </w:r>
    </w:p>
    <w:p w:rsidR="00627104" w:rsidRPr="007E52B0" w:rsidRDefault="00627104" w:rsidP="00627104">
      <w:pPr>
        <w:pStyle w:val="BodyText"/>
        <w:numPr>
          <w:ilvl w:val="1"/>
          <w:numId w:val="21"/>
        </w:numPr>
        <w:suppressLineNumbers/>
        <w:tabs>
          <w:tab w:val="clear" w:pos="2160"/>
        </w:tabs>
        <w:suppressAutoHyphens/>
        <w:ind w:left="0" w:firstLine="0"/>
        <w:rPr>
          <w:snapToGrid w:val="0"/>
          <w:kern w:val="22"/>
          <w:szCs w:val="20"/>
          <w:lang w:val="fr-CA"/>
        </w:rPr>
      </w:pPr>
      <w:r w:rsidRPr="007E52B0">
        <w:rPr>
          <w:rFonts w:eastAsia="Malgun Gothic"/>
          <w:i/>
          <w:snapToGrid w:val="0"/>
          <w:kern w:val="22"/>
          <w:szCs w:val="20"/>
          <w:lang w:val="fr-CA"/>
        </w:rPr>
        <w:t>Les tend</w:t>
      </w:r>
      <w:r w:rsidR="00D1480B">
        <w:rPr>
          <w:rFonts w:eastAsia="Malgun Gothic"/>
          <w:i/>
          <w:snapToGrid w:val="0"/>
          <w:kern w:val="22"/>
          <w:szCs w:val="20"/>
          <w:lang w:val="fr-CA"/>
        </w:rPr>
        <w:t>ances actuelles, ou scénarios du</w:t>
      </w:r>
      <w:r w:rsidRPr="007E52B0">
        <w:rPr>
          <w:rFonts w:eastAsia="Malgun Gothic"/>
          <w:i/>
          <w:snapToGrid w:val="0"/>
          <w:kern w:val="22"/>
          <w:szCs w:val="20"/>
          <w:lang w:val="fr-CA"/>
        </w:rPr>
        <w:t xml:space="preserve"> « statu quo », indiquent un appauvrissement continu de la biodiversité</w:t>
      </w:r>
      <w:r w:rsidRPr="007E52B0">
        <w:rPr>
          <w:rFonts w:eastAsia="Malgun Gothic"/>
          <w:iCs w:val="0"/>
          <w:snapToGrid w:val="0"/>
          <w:kern w:val="22"/>
          <w:szCs w:val="20"/>
          <w:lang w:val="fr-CA"/>
        </w:rPr>
        <w:t>, impliquant des conséquences négatives majeures pour le bien-être humain, y compris des changements qui peuvent devenir irréversibles. Par conséquent, des mesures urge</w:t>
      </w:r>
      <w:r w:rsidR="0069279B">
        <w:rPr>
          <w:rFonts w:eastAsia="Malgun Gothic"/>
          <w:iCs w:val="0"/>
          <w:snapToGrid w:val="0"/>
          <w:kern w:val="22"/>
          <w:szCs w:val="20"/>
          <w:lang w:val="fr-CA"/>
        </w:rPr>
        <w:t>ntes sur la biodiversité demeurent</w:t>
      </w:r>
      <w:r w:rsidRPr="007E52B0">
        <w:rPr>
          <w:rFonts w:eastAsia="Malgun Gothic"/>
          <w:iCs w:val="0"/>
          <w:snapToGrid w:val="0"/>
          <w:kern w:val="22"/>
          <w:szCs w:val="20"/>
          <w:lang w:val="fr-CA"/>
        </w:rPr>
        <w:t xml:space="preserve"> un enjeu de société d</w:t>
      </w:r>
      <w:r w:rsidR="00CA2400">
        <w:rPr>
          <w:rFonts w:eastAsia="Malgun Gothic"/>
          <w:iCs w:val="0"/>
          <w:snapToGrid w:val="0"/>
          <w:kern w:val="22"/>
          <w:szCs w:val="20"/>
          <w:lang w:val="fr-CA"/>
        </w:rPr>
        <w:t>’</w:t>
      </w:r>
      <w:r w:rsidR="00BD0FB4">
        <w:rPr>
          <w:rFonts w:eastAsia="Malgun Gothic"/>
          <w:iCs w:val="0"/>
          <w:snapToGrid w:val="0"/>
          <w:kern w:val="22"/>
          <w:szCs w:val="20"/>
          <w:lang w:val="fr-CA"/>
        </w:rPr>
        <w:t>importance mondiale</w:t>
      </w:r>
      <w:r>
        <w:rPr>
          <w:rFonts w:eastAsia="Malgun Gothic"/>
          <w:iCs w:val="0"/>
          <w:snapToGrid w:val="0"/>
          <w:kern w:val="22"/>
          <w:szCs w:val="20"/>
          <w:lang w:val="fr-CA"/>
        </w:rPr>
        <w:t>.</w:t>
      </w:r>
    </w:p>
    <w:p w:rsidR="00627104" w:rsidRPr="00627104" w:rsidRDefault="00627104" w:rsidP="00627104">
      <w:pPr>
        <w:pStyle w:val="BodyText"/>
        <w:numPr>
          <w:ilvl w:val="1"/>
          <w:numId w:val="21"/>
        </w:numPr>
        <w:suppressLineNumbers/>
        <w:tabs>
          <w:tab w:val="clear" w:pos="2160"/>
        </w:tabs>
        <w:suppressAutoHyphens/>
        <w:ind w:left="0" w:firstLine="0"/>
        <w:rPr>
          <w:snapToGrid w:val="0"/>
          <w:kern w:val="22"/>
          <w:szCs w:val="20"/>
          <w:lang w:val="fr-CA"/>
        </w:rPr>
      </w:pPr>
      <w:r w:rsidRPr="00B67181">
        <w:rPr>
          <w:rFonts w:eastAsia="Malgun Gothic"/>
          <w:kern w:val="22"/>
          <w:szCs w:val="22"/>
          <w:lang w:val="fr-FR"/>
        </w:rPr>
        <w:t xml:space="preserve"> </w:t>
      </w:r>
      <w:r w:rsidRPr="007E52B0">
        <w:rPr>
          <w:rFonts w:eastAsia="Malgun Gothic"/>
          <w:i/>
          <w:snapToGrid w:val="0"/>
          <w:kern w:val="22"/>
          <w:szCs w:val="20"/>
          <w:lang w:val="fr-CA"/>
        </w:rPr>
        <w:t>Les scénarios de développement socioéconomique futur démontrent qu</w:t>
      </w:r>
      <w:r w:rsidR="00CA2400">
        <w:rPr>
          <w:rFonts w:eastAsia="Malgun Gothic"/>
          <w:i/>
          <w:snapToGrid w:val="0"/>
          <w:kern w:val="22"/>
          <w:szCs w:val="20"/>
          <w:lang w:val="fr-CA"/>
        </w:rPr>
        <w:t>’</w:t>
      </w:r>
      <w:r w:rsidRPr="007E52B0">
        <w:rPr>
          <w:rFonts w:eastAsia="Malgun Gothic"/>
          <w:i/>
          <w:snapToGrid w:val="0"/>
          <w:kern w:val="22"/>
          <w:szCs w:val="20"/>
          <w:lang w:val="fr-CA"/>
        </w:rPr>
        <w:t>il y a un vaste éventail d</w:t>
      </w:r>
      <w:r w:rsidR="00CA2400">
        <w:rPr>
          <w:rFonts w:eastAsia="Malgun Gothic"/>
          <w:i/>
          <w:snapToGrid w:val="0"/>
          <w:kern w:val="22"/>
          <w:szCs w:val="20"/>
          <w:lang w:val="fr-CA"/>
        </w:rPr>
        <w:t>’</w:t>
      </w:r>
      <w:r w:rsidRPr="007E52B0">
        <w:rPr>
          <w:rFonts w:eastAsia="Malgun Gothic"/>
          <w:i/>
          <w:snapToGrid w:val="0"/>
          <w:kern w:val="22"/>
          <w:szCs w:val="20"/>
          <w:lang w:val="fr-CA"/>
        </w:rPr>
        <w:t>avenirs plausibles</w:t>
      </w:r>
      <w:r w:rsidRPr="007E52B0">
        <w:rPr>
          <w:rFonts w:eastAsia="Malgun Gothic"/>
          <w:iCs w:val="0"/>
          <w:snapToGrid w:val="0"/>
          <w:kern w:val="22"/>
          <w:szCs w:val="20"/>
          <w:lang w:val="fr-CA"/>
        </w:rPr>
        <w:t xml:space="preserve"> en ce qui concerne la croissance démographique, l</w:t>
      </w:r>
      <w:r w:rsidR="00CA2400">
        <w:rPr>
          <w:rFonts w:eastAsia="Malgun Gothic"/>
          <w:iCs w:val="0"/>
          <w:snapToGrid w:val="0"/>
          <w:kern w:val="22"/>
          <w:szCs w:val="20"/>
          <w:lang w:val="fr-CA"/>
        </w:rPr>
        <w:t>’</w:t>
      </w:r>
      <w:r w:rsidRPr="007E52B0">
        <w:rPr>
          <w:rFonts w:eastAsia="Malgun Gothic"/>
          <w:iCs w:val="0"/>
          <w:snapToGrid w:val="0"/>
          <w:kern w:val="22"/>
          <w:szCs w:val="20"/>
          <w:lang w:val="fr-CA"/>
        </w:rPr>
        <w:t>éducation, l</w:t>
      </w:r>
      <w:r w:rsidR="00CA2400">
        <w:rPr>
          <w:rFonts w:eastAsia="Malgun Gothic"/>
          <w:iCs w:val="0"/>
          <w:snapToGrid w:val="0"/>
          <w:kern w:val="22"/>
          <w:szCs w:val="20"/>
          <w:lang w:val="fr-CA"/>
        </w:rPr>
        <w:t>’</w:t>
      </w:r>
      <w:r w:rsidRPr="007E52B0">
        <w:rPr>
          <w:rFonts w:eastAsia="Malgun Gothic"/>
          <w:iCs w:val="0"/>
          <w:snapToGrid w:val="0"/>
          <w:kern w:val="22"/>
          <w:szCs w:val="20"/>
          <w:lang w:val="fr-CA"/>
        </w:rPr>
        <w:t>urbanisation, la croissance économique, le développement technologique et les approches du commerce international, entre autres, entraînant différents niveaux de facteurs de changement des écosystèmes et de la biodiversité, comme les changements climatiques, la surexploitation, la pollution, les espèces exotiques envahissantes et la perte des habitats, notamment les changements d</w:t>
      </w:r>
      <w:r w:rsidR="00CA2400">
        <w:rPr>
          <w:rFonts w:eastAsia="Malgun Gothic"/>
          <w:iCs w:val="0"/>
          <w:snapToGrid w:val="0"/>
          <w:kern w:val="22"/>
          <w:szCs w:val="20"/>
          <w:lang w:val="fr-CA"/>
        </w:rPr>
        <w:t>’</w:t>
      </w:r>
      <w:r w:rsidRPr="007E52B0">
        <w:rPr>
          <w:rFonts w:eastAsia="Malgun Gothic"/>
          <w:iCs w:val="0"/>
          <w:snapToGrid w:val="0"/>
          <w:kern w:val="22"/>
          <w:szCs w:val="20"/>
          <w:lang w:val="fr-CA"/>
        </w:rPr>
        <w:t>affectation des sols. Cet éventail d</w:t>
      </w:r>
      <w:r w:rsidR="00CA2400">
        <w:rPr>
          <w:rFonts w:eastAsia="Malgun Gothic"/>
          <w:iCs w:val="0"/>
          <w:snapToGrid w:val="0"/>
          <w:kern w:val="22"/>
          <w:szCs w:val="20"/>
          <w:lang w:val="fr-CA"/>
        </w:rPr>
        <w:t>’</w:t>
      </w:r>
      <w:r w:rsidRPr="007E52B0">
        <w:rPr>
          <w:rFonts w:eastAsia="Malgun Gothic"/>
          <w:iCs w:val="0"/>
          <w:snapToGrid w:val="0"/>
          <w:kern w:val="22"/>
          <w:szCs w:val="20"/>
          <w:lang w:val="fr-CA"/>
        </w:rPr>
        <w:t>avenirs plausibles ouvre un espace pour l</w:t>
      </w:r>
      <w:r w:rsidR="00CA2400">
        <w:rPr>
          <w:rFonts w:eastAsia="Malgun Gothic"/>
          <w:iCs w:val="0"/>
          <w:snapToGrid w:val="0"/>
          <w:kern w:val="22"/>
          <w:szCs w:val="20"/>
          <w:lang w:val="fr-CA"/>
        </w:rPr>
        <w:t>’</w:t>
      </w:r>
      <w:r w:rsidRPr="007E52B0">
        <w:rPr>
          <w:rFonts w:eastAsia="Malgun Gothic"/>
          <w:iCs w:val="0"/>
          <w:snapToGrid w:val="0"/>
          <w:kern w:val="22"/>
          <w:szCs w:val="20"/>
          <w:lang w:val="fr-CA"/>
        </w:rPr>
        <w:t>élaboration de mesures politiques permettant de réaliser la Vision 2050 et d</w:t>
      </w:r>
      <w:r w:rsidR="00CA2400">
        <w:rPr>
          <w:rFonts w:eastAsia="Malgun Gothic"/>
          <w:iCs w:val="0"/>
          <w:snapToGrid w:val="0"/>
          <w:kern w:val="22"/>
          <w:szCs w:val="20"/>
          <w:lang w:val="fr-CA"/>
        </w:rPr>
        <w:t>’</w:t>
      </w:r>
      <w:r w:rsidRPr="007E52B0">
        <w:rPr>
          <w:rFonts w:eastAsia="Malgun Gothic"/>
          <w:iCs w:val="0"/>
          <w:snapToGrid w:val="0"/>
          <w:kern w:val="22"/>
          <w:szCs w:val="20"/>
          <w:lang w:val="fr-CA"/>
        </w:rPr>
        <w:t>autres objectifs mondiaux</w:t>
      </w:r>
      <w:r w:rsidR="001A2DB9">
        <w:rPr>
          <w:rFonts w:eastAsia="Malgun Gothic"/>
          <w:iCs w:val="0"/>
          <w:snapToGrid w:val="0"/>
          <w:kern w:val="22"/>
          <w:szCs w:val="20"/>
          <w:lang w:val="fr-CA"/>
        </w:rPr>
        <w:t>.</w:t>
      </w:r>
    </w:p>
    <w:p w:rsidR="00627104" w:rsidRPr="007E52B0" w:rsidRDefault="00627104" w:rsidP="00627104">
      <w:pPr>
        <w:pStyle w:val="BodyText"/>
        <w:numPr>
          <w:ilvl w:val="1"/>
          <w:numId w:val="21"/>
        </w:numPr>
        <w:suppressLineNumbers/>
        <w:tabs>
          <w:tab w:val="clear" w:pos="2160"/>
        </w:tabs>
        <w:suppressAutoHyphens/>
        <w:ind w:left="0" w:firstLine="0"/>
        <w:rPr>
          <w:snapToGrid w:val="0"/>
          <w:kern w:val="22"/>
          <w:szCs w:val="20"/>
          <w:lang w:val="fr-CA"/>
        </w:rPr>
      </w:pPr>
      <w:r w:rsidRPr="007E52B0">
        <w:rPr>
          <w:rFonts w:eastAsia="Malgun Gothic"/>
          <w:i/>
          <w:snapToGrid w:val="0"/>
          <w:kern w:val="22"/>
          <w:szCs w:val="20"/>
          <w:lang w:val="fr-CA"/>
        </w:rPr>
        <w:t>Les objectifs de biodiversité reflétés dans la Vision 2050 pourraient être réalisés tout en atteignant des objectifs socioéconomiques plus vastes, en déployant une combinaison de mesures</w:t>
      </w:r>
      <w:r w:rsidRPr="007E52B0">
        <w:rPr>
          <w:rFonts w:eastAsia="Malgun Gothic"/>
          <w:iCs w:val="0"/>
          <w:snapToGrid w:val="0"/>
          <w:kern w:val="22"/>
          <w:szCs w:val="20"/>
          <w:lang w:val="fr-CA"/>
        </w:rPr>
        <w:t>, et notamment des mesures destinées a) à augmenter la viabilité à long terme et la productivité de l</w:t>
      </w:r>
      <w:r w:rsidR="00CA2400">
        <w:rPr>
          <w:rFonts w:eastAsia="Malgun Gothic"/>
          <w:iCs w:val="0"/>
          <w:snapToGrid w:val="0"/>
          <w:kern w:val="22"/>
          <w:szCs w:val="20"/>
          <w:lang w:val="fr-CA"/>
        </w:rPr>
        <w:t>’</w:t>
      </w:r>
      <w:r w:rsidRPr="007E52B0">
        <w:rPr>
          <w:rFonts w:eastAsia="Malgun Gothic"/>
          <w:iCs w:val="0"/>
          <w:snapToGrid w:val="0"/>
          <w:kern w:val="22"/>
          <w:szCs w:val="20"/>
          <w:lang w:val="fr-CA"/>
        </w:rPr>
        <w:t>agriculture, par l</w:t>
      </w:r>
      <w:r w:rsidR="00CA2400">
        <w:rPr>
          <w:rFonts w:eastAsia="Malgun Gothic"/>
          <w:iCs w:val="0"/>
          <w:snapToGrid w:val="0"/>
          <w:kern w:val="22"/>
          <w:szCs w:val="20"/>
          <w:lang w:val="fr-CA"/>
        </w:rPr>
        <w:t>’</w:t>
      </w:r>
      <w:r w:rsidRPr="007E52B0">
        <w:rPr>
          <w:rFonts w:eastAsia="Malgun Gothic"/>
          <w:iCs w:val="0"/>
          <w:snapToGrid w:val="0"/>
          <w:kern w:val="22"/>
          <w:szCs w:val="20"/>
          <w:lang w:val="fr-CA"/>
        </w:rPr>
        <w:t>augmentation et une meilleure utilisation de la biodiversité au sein des écosystèmes agricoles en vue de contribuer à une augmentation de la production durable</w:t>
      </w:r>
      <w:r>
        <w:rPr>
          <w:rFonts w:eastAsia="Malgun Gothic"/>
          <w:iCs w:val="0"/>
          <w:snapToGrid w:val="0"/>
          <w:kern w:val="22"/>
          <w:szCs w:val="20"/>
          <w:lang w:val="fr-CA"/>
        </w:rPr>
        <w:t>;</w:t>
      </w:r>
      <w:r w:rsidRPr="007E52B0">
        <w:rPr>
          <w:rFonts w:eastAsia="Malgun Gothic"/>
          <w:iCs w:val="0"/>
          <w:snapToGrid w:val="0"/>
          <w:kern w:val="22"/>
          <w:szCs w:val="20"/>
          <w:lang w:val="fr-CA"/>
        </w:rPr>
        <w:t xml:space="preserve"> b) à réduire </w:t>
      </w:r>
      <w:r w:rsidRPr="007E52B0">
        <w:rPr>
          <w:rFonts w:eastAsia="Malgun Gothic"/>
          <w:iCs w:val="0"/>
          <w:noProof/>
          <w:snapToGrid w:val="0"/>
          <w:kern w:val="22"/>
          <w:szCs w:val="20"/>
          <w:lang w:val="fr-CA"/>
        </w:rPr>
        <w:t>la dégradation et la fragmentation des écosystèmes, préserver la biodiversité et assurer les fonctions et services écosystémiques, y compris par le biais d</w:t>
      </w:r>
      <w:r w:rsidR="00CA2400">
        <w:rPr>
          <w:rFonts w:eastAsia="Malgun Gothic"/>
          <w:iCs w:val="0"/>
          <w:noProof/>
          <w:snapToGrid w:val="0"/>
          <w:kern w:val="22"/>
          <w:szCs w:val="20"/>
          <w:lang w:val="fr-CA"/>
        </w:rPr>
        <w:t>’</w:t>
      </w:r>
      <w:r w:rsidRPr="007E52B0">
        <w:rPr>
          <w:rFonts w:eastAsia="Malgun Gothic"/>
          <w:iCs w:val="0"/>
          <w:noProof/>
          <w:snapToGrid w:val="0"/>
          <w:kern w:val="22"/>
          <w:szCs w:val="20"/>
          <w:lang w:val="fr-CA"/>
        </w:rPr>
        <w:t>une planification proactive de l</w:t>
      </w:r>
      <w:r w:rsidR="00CA2400">
        <w:rPr>
          <w:rFonts w:eastAsia="Malgun Gothic"/>
          <w:iCs w:val="0"/>
          <w:noProof/>
          <w:snapToGrid w:val="0"/>
          <w:kern w:val="22"/>
          <w:szCs w:val="20"/>
          <w:lang w:val="fr-CA"/>
        </w:rPr>
        <w:t>’</w:t>
      </w:r>
      <w:r w:rsidRPr="007E52B0">
        <w:rPr>
          <w:rFonts w:eastAsia="Malgun Gothic"/>
          <w:iCs w:val="0"/>
          <w:noProof/>
          <w:snapToGrid w:val="0"/>
          <w:kern w:val="22"/>
          <w:szCs w:val="20"/>
          <w:lang w:val="fr-CA"/>
        </w:rPr>
        <w:t>espace, la restauration de sols et d</w:t>
      </w:r>
      <w:r w:rsidR="00CA2400">
        <w:rPr>
          <w:rFonts w:eastAsia="Malgun Gothic"/>
          <w:iCs w:val="0"/>
          <w:noProof/>
          <w:snapToGrid w:val="0"/>
          <w:kern w:val="22"/>
          <w:szCs w:val="20"/>
          <w:lang w:val="fr-CA"/>
        </w:rPr>
        <w:t>’</w:t>
      </w:r>
      <w:r w:rsidRPr="007E52B0">
        <w:rPr>
          <w:rFonts w:eastAsia="Malgun Gothic"/>
          <w:iCs w:val="0"/>
          <w:noProof/>
          <w:snapToGrid w:val="0"/>
          <w:kern w:val="22"/>
          <w:szCs w:val="20"/>
          <w:lang w:val="fr-CA"/>
        </w:rPr>
        <w:t>écosystèmes dégradés et l</w:t>
      </w:r>
      <w:r w:rsidR="00CA2400">
        <w:rPr>
          <w:rFonts w:eastAsia="Malgun Gothic"/>
          <w:iCs w:val="0"/>
          <w:noProof/>
          <w:snapToGrid w:val="0"/>
          <w:kern w:val="22"/>
          <w:szCs w:val="20"/>
          <w:lang w:val="fr-CA"/>
        </w:rPr>
        <w:t>’</w:t>
      </w:r>
      <w:r w:rsidRPr="007E52B0">
        <w:rPr>
          <w:rFonts w:eastAsia="Malgun Gothic"/>
          <w:iCs w:val="0"/>
          <w:noProof/>
          <w:snapToGrid w:val="0"/>
          <w:kern w:val="22"/>
          <w:szCs w:val="20"/>
          <w:lang w:val="fr-CA"/>
        </w:rPr>
        <w:t>expansion stratégique d</w:t>
      </w:r>
      <w:r w:rsidR="00CA2400">
        <w:rPr>
          <w:rFonts w:eastAsia="Malgun Gothic"/>
          <w:iCs w:val="0"/>
          <w:noProof/>
          <w:snapToGrid w:val="0"/>
          <w:kern w:val="22"/>
          <w:szCs w:val="20"/>
          <w:lang w:val="fr-CA"/>
        </w:rPr>
        <w:t>’</w:t>
      </w:r>
      <w:r w:rsidRPr="007E52B0">
        <w:rPr>
          <w:rFonts w:eastAsia="Malgun Gothic"/>
          <w:iCs w:val="0"/>
          <w:noProof/>
          <w:snapToGrid w:val="0"/>
          <w:kern w:val="22"/>
          <w:szCs w:val="20"/>
          <w:lang w:val="fr-CA"/>
        </w:rPr>
        <w:t>aires protégées</w:t>
      </w:r>
      <w:r>
        <w:rPr>
          <w:rFonts w:eastAsia="Malgun Gothic"/>
          <w:iCs w:val="0"/>
          <w:noProof/>
          <w:snapToGrid w:val="0"/>
          <w:kern w:val="22"/>
          <w:szCs w:val="20"/>
          <w:lang w:val="fr-CA"/>
        </w:rPr>
        <w:t>;</w:t>
      </w:r>
      <w:r w:rsidRPr="007E52B0">
        <w:rPr>
          <w:rFonts w:eastAsia="Malgun Gothic"/>
          <w:iCs w:val="0"/>
          <w:noProof/>
          <w:snapToGrid w:val="0"/>
          <w:kern w:val="22"/>
          <w:szCs w:val="20"/>
          <w:lang w:val="fr-CA"/>
        </w:rPr>
        <w:t xml:space="preserve"> c) à diminuer la surexploitation des pêcheries et autres ressources biologiques</w:t>
      </w:r>
      <w:r>
        <w:rPr>
          <w:rFonts w:eastAsia="Malgun Gothic"/>
          <w:iCs w:val="0"/>
          <w:noProof/>
          <w:snapToGrid w:val="0"/>
          <w:kern w:val="22"/>
          <w:szCs w:val="20"/>
          <w:lang w:val="fr-CA"/>
        </w:rPr>
        <w:t>;</w:t>
      </w:r>
      <w:r w:rsidRPr="007E52B0">
        <w:rPr>
          <w:rFonts w:eastAsia="Malgun Gothic"/>
          <w:iCs w:val="0"/>
          <w:noProof/>
          <w:snapToGrid w:val="0"/>
          <w:kern w:val="22"/>
          <w:szCs w:val="20"/>
          <w:lang w:val="fr-CA"/>
        </w:rPr>
        <w:t xml:space="preserve"> d) à contrôler les espèces exotiques envahissantes</w:t>
      </w:r>
      <w:r>
        <w:rPr>
          <w:rFonts w:eastAsia="Malgun Gothic"/>
          <w:iCs w:val="0"/>
          <w:noProof/>
          <w:snapToGrid w:val="0"/>
          <w:kern w:val="22"/>
          <w:szCs w:val="20"/>
          <w:lang w:val="fr-CA"/>
        </w:rPr>
        <w:t>;</w:t>
      </w:r>
      <w:r w:rsidRPr="007E52B0">
        <w:rPr>
          <w:rFonts w:eastAsia="Malgun Gothic"/>
          <w:iCs w:val="0"/>
          <w:noProof/>
          <w:snapToGrid w:val="0"/>
          <w:kern w:val="22"/>
          <w:szCs w:val="20"/>
          <w:lang w:val="fr-CA"/>
        </w:rPr>
        <w:t xml:space="preserve"> e) à adapter</w:t>
      </w:r>
      <w:r w:rsidRPr="007E52B0">
        <w:rPr>
          <w:rFonts w:eastAsia="Malgun Gothic"/>
          <w:iCs w:val="0"/>
          <w:snapToGrid w:val="0"/>
          <w:kern w:val="22"/>
          <w:szCs w:val="20"/>
          <w:lang w:val="fr-CA"/>
        </w:rPr>
        <w:t xml:space="preserve"> et à atténuer les changements climatiques, et f) à réduire les déchets et la consommation excessive.</w:t>
      </w:r>
    </w:p>
    <w:p w:rsidR="00627104" w:rsidRPr="007E52B0" w:rsidRDefault="00627104" w:rsidP="00627104">
      <w:pPr>
        <w:pStyle w:val="BodyText"/>
        <w:numPr>
          <w:ilvl w:val="1"/>
          <w:numId w:val="21"/>
        </w:numPr>
        <w:suppressLineNumbers/>
        <w:tabs>
          <w:tab w:val="clear" w:pos="2160"/>
        </w:tabs>
        <w:suppressAutoHyphens/>
        <w:ind w:left="0" w:firstLine="0"/>
        <w:rPr>
          <w:snapToGrid w:val="0"/>
          <w:kern w:val="22"/>
          <w:szCs w:val="20"/>
          <w:lang w:val="fr-CA"/>
        </w:rPr>
      </w:pPr>
      <w:r w:rsidRPr="007E52B0">
        <w:rPr>
          <w:rFonts w:eastAsia="Malgun Gothic"/>
          <w:i/>
          <w:snapToGrid w:val="0"/>
          <w:kern w:val="22"/>
          <w:szCs w:val="20"/>
          <w:lang w:val="fr-CA"/>
        </w:rPr>
        <w:t>Ces mesures pourraient être élaborées dans le cadre de diverses « combinaisons de mesures politiques » en fonction des besoins et des priorités des pays et des parties prenantes</w:t>
      </w:r>
      <w:r w:rsidRPr="007E52B0">
        <w:rPr>
          <w:rFonts w:eastAsia="Malgun Gothic"/>
          <w:iCs w:val="0"/>
          <w:snapToGrid w:val="0"/>
          <w:kern w:val="22"/>
          <w:szCs w:val="20"/>
          <w:lang w:val="fr-CA"/>
        </w:rPr>
        <w:t>. Par exemple, la combinaison de mesures politiques visée au paragraphe 4 ci-dessus pourrait varier selon l</w:t>
      </w:r>
      <w:r w:rsidR="00CA2400">
        <w:rPr>
          <w:rFonts w:eastAsia="Malgun Gothic"/>
          <w:iCs w:val="0"/>
          <w:snapToGrid w:val="0"/>
          <w:kern w:val="22"/>
          <w:szCs w:val="20"/>
          <w:lang w:val="fr-CA"/>
        </w:rPr>
        <w:t>’</w:t>
      </w:r>
      <w:r w:rsidRPr="007E52B0">
        <w:rPr>
          <w:rFonts w:eastAsia="Malgun Gothic"/>
          <w:iCs w:val="0"/>
          <w:snapToGrid w:val="0"/>
          <w:kern w:val="22"/>
          <w:szCs w:val="20"/>
          <w:lang w:val="fr-CA"/>
        </w:rPr>
        <w:t>importance accordée aux évolutions en matière de production et de consommation, le degré de confiance dans les nouvelles technologies et le commerce international, ainsi que le degré de coordination mondiale et locale, comme l</w:t>
      </w:r>
      <w:r w:rsidR="00CA2400">
        <w:rPr>
          <w:rFonts w:eastAsia="Malgun Gothic"/>
          <w:iCs w:val="0"/>
          <w:snapToGrid w:val="0"/>
          <w:kern w:val="22"/>
          <w:szCs w:val="20"/>
          <w:lang w:val="fr-CA"/>
        </w:rPr>
        <w:t>’</w:t>
      </w:r>
      <w:r w:rsidRPr="007E52B0">
        <w:rPr>
          <w:rFonts w:eastAsia="Malgun Gothic"/>
          <w:iCs w:val="0"/>
          <w:snapToGrid w:val="0"/>
          <w:kern w:val="22"/>
          <w:szCs w:val="20"/>
          <w:lang w:val="fr-CA"/>
        </w:rPr>
        <w:t xml:space="preserve">illustrent les trois voies possibles recensées dans la quatrième édition des </w:t>
      </w:r>
      <w:r w:rsidRPr="007E52B0">
        <w:rPr>
          <w:rFonts w:eastAsia="Malgun Gothic"/>
          <w:i/>
          <w:iCs w:val="0"/>
          <w:snapToGrid w:val="0"/>
          <w:kern w:val="22"/>
          <w:szCs w:val="20"/>
          <w:lang w:val="fr-CA"/>
        </w:rPr>
        <w:t>Perspectives mondiales de la diversité biologique</w:t>
      </w:r>
      <w:r w:rsidRPr="007E52B0">
        <w:rPr>
          <w:rStyle w:val="FootnoteReference"/>
          <w:rFonts w:eastAsia="Malgun Gothic"/>
          <w:kern w:val="22"/>
          <w:szCs w:val="20"/>
          <w:lang w:val="fr-CA"/>
        </w:rPr>
        <w:footnoteReference w:id="3"/>
      </w:r>
      <w:r w:rsidRPr="007E52B0">
        <w:rPr>
          <w:rFonts w:eastAsia="Malgun Gothic"/>
          <w:iCs w:val="0"/>
          <w:snapToGrid w:val="0"/>
          <w:kern w:val="22"/>
          <w:szCs w:val="20"/>
          <w:lang w:val="fr-CA"/>
        </w:rPr>
        <w:t>. D</w:t>
      </w:r>
      <w:r w:rsidR="00CA2400">
        <w:rPr>
          <w:rFonts w:eastAsia="Malgun Gothic"/>
          <w:iCs w:val="0"/>
          <w:snapToGrid w:val="0"/>
          <w:kern w:val="22"/>
          <w:szCs w:val="20"/>
          <w:lang w:val="fr-CA"/>
        </w:rPr>
        <w:t>’</w:t>
      </w:r>
      <w:r w:rsidRPr="007E52B0">
        <w:rPr>
          <w:rFonts w:eastAsia="Malgun Gothic"/>
          <w:iCs w:val="0"/>
          <w:snapToGrid w:val="0"/>
          <w:kern w:val="22"/>
          <w:szCs w:val="20"/>
          <w:lang w:val="fr-CA"/>
        </w:rPr>
        <w:t>autres exercices visant à définir une vision, à de multiples échelles et impliquant un engagement fort des parties prenantes, sont nécessaires pour mieux comprendre les</w:t>
      </w:r>
      <w:r w:rsidR="00817672">
        <w:rPr>
          <w:rFonts w:eastAsia="Malgun Gothic"/>
          <w:iCs w:val="0"/>
          <w:snapToGrid w:val="0"/>
          <w:kern w:val="22"/>
          <w:szCs w:val="20"/>
          <w:lang w:val="fr-CA"/>
        </w:rPr>
        <w:t xml:space="preserve"> options et promouvoir l’action</w:t>
      </w:r>
      <w:r w:rsidRPr="007E52B0">
        <w:rPr>
          <w:rFonts w:eastAsia="Malgun Gothic"/>
          <w:iCs w:val="0"/>
          <w:snapToGrid w:val="0"/>
          <w:kern w:val="22"/>
          <w:szCs w:val="20"/>
          <w:lang w:val="fr-CA"/>
        </w:rPr>
        <w:t>.</w:t>
      </w:r>
    </w:p>
    <w:p w:rsidR="00627104" w:rsidRPr="007E52B0" w:rsidRDefault="00530A21" w:rsidP="00627104">
      <w:pPr>
        <w:pStyle w:val="BodyText"/>
        <w:numPr>
          <w:ilvl w:val="1"/>
          <w:numId w:val="21"/>
        </w:numPr>
        <w:suppressLineNumbers/>
        <w:tabs>
          <w:tab w:val="clear" w:pos="2160"/>
        </w:tabs>
        <w:suppressAutoHyphens/>
        <w:ind w:left="0" w:firstLine="0"/>
        <w:rPr>
          <w:snapToGrid w:val="0"/>
          <w:kern w:val="22"/>
          <w:szCs w:val="20"/>
          <w:lang w:val="fr-CA"/>
        </w:rPr>
      </w:pPr>
      <w:r>
        <w:rPr>
          <w:rFonts w:eastAsia="Malgun Gothic"/>
          <w:i/>
          <w:snapToGrid w:val="0"/>
          <w:kern w:val="22"/>
          <w:szCs w:val="20"/>
          <w:lang w:val="fr-CA"/>
        </w:rPr>
        <w:t xml:space="preserve">Les voies possibles vers </w:t>
      </w:r>
      <w:r w:rsidR="00627104" w:rsidRPr="007E52B0">
        <w:rPr>
          <w:rFonts w:eastAsia="Malgun Gothic"/>
          <w:i/>
          <w:snapToGrid w:val="0"/>
          <w:kern w:val="22"/>
          <w:szCs w:val="20"/>
          <w:lang w:val="fr-CA"/>
        </w:rPr>
        <w:t>un aven</w:t>
      </w:r>
      <w:r>
        <w:rPr>
          <w:rFonts w:eastAsia="Malgun Gothic"/>
          <w:i/>
          <w:snapToGrid w:val="0"/>
          <w:kern w:val="22"/>
          <w:szCs w:val="20"/>
          <w:lang w:val="fr-CA"/>
        </w:rPr>
        <w:t>ir durable, bien que plausibles</w:t>
      </w:r>
      <w:r w:rsidR="00627104" w:rsidRPr="007E52B0">
        <w:rPr>
          <w:rFonts w:eastAsia="Malgun Gothic"/>
          <w:i/>
          <w:snapToGrid w:val="0"/>
          <w:kern w:val="22"/>
          <w:szCs w:val="20"/>
          <w:lang w:val="fr-CA"/>
        </w:rPr>
        <w:t>, nécessitent des changements transformationnels</w:t>
      </w:r>
      <w:r w:rsidR="00627104" w:rsidRPr="007E52B0">
        <w:rPr>
          <w:rFonts w:eastAsia="Malgun Gothic"/>
          <w:iCs w:val="0"/>
          <w:snapToGrid w:val="0"/>
          <w:kern w:val="22"/>
          <w:szCs w:val="20"/>
          <w:lang w:val="fr-CA"/>
        </w:rPr>
        <w:t>, y compris des changements comportementaux au niveau des producteurs et des consommateurs, des gouvernements et des entreprises. Des efforts supplémentaires devront être déployés pour comprendre les motivations et faciliter les changements. Des développements sociétaux et technologiques perturbateurs peuvent entraîner des transitions qui peuvent contribuer à, ou aller à l</w:t>
      </w:r>
      <w:r w:rsidR="00CA2400">
        <w:rPr>
          <w:rFonts w:eastAsia="Malgun Gothic"/>
          <w:iCs w:val="0"/>
          <w:snapToGrid w:val="0"/>
          <w:kern w:val="22"/>
          <w:szCs w:val="20"/>
          <w:lang w:val="fr-CA"/>
        </w:rPr>
        <w:t>’</w:t>
      </w:r>
      <w:r w:rsidR="00627104" w:rsidRPr="007E52B0">
        <w:rPr>
          <w:rFonts w:eastAsia="Malgun Gothic"/>
          <w:iCs w:val="0"/>
          <w:snapToGrid w:val="0"/>
          <w:kern w:val="22"/>
          <w:szCs w:val="20"/>
          <w:lang w:val="fr-CA"/>
        </w:rPr>
        <w:t>encontre de, la durabilité et de la réalisation des trois objectifs de la Convention. Les gouvernements et les institutions internationales peuvent jouer un rôle essentiel dans l</w:t>
      </w:r>
      <w:r>
        <w:rPr>
          <w:rFonts w:eastAsia="Malgun Gothic"/>
          <w:iCs w:val="0"/>
          <w:snapToGrid w:val="0"/>
          <w:kern w:val="22"/>
          <w:szCs w:val="20"/>
          <w:lang w:val="fr-CA"/>
        </w:rPr>
        <w:t xml:space="preserve">a création d’un environnement </w:t>
      </w:r>
      <w:r w:rsidR="00627104" w:rsidRPr="007E52B0">
        <w:rPr>
          <w:rFonts w:eastAsia="Malgun Gothic"/>
          <w:iCs w:val="0"/>
          <w:snapToGrid w:val="0"/>
          <w:kern w:val="22"/>
          <w:szCs w:val="20"/>
          <w:lang w:val="fr-CA"/>
        </w:rPr>
        <w:t>visant à favoriser des changements positifs. D</w:t>
      </w:r>
      <w:r>
        <w:rPr>
          <w:rFonts w:eastAsia="Malgun Gothic"/>
          <w:iCs w:val="0"/>
          <w:snapToGrid w:val="0"/>
          <w:kern w:val="22"/>
          <w:szCs w:val="20"/>
          <w:lang w:val="fr-CA"/>
        </w:rPr>
        <w:t xml:space="preserve">es </w:t>
      </w:r>
      <w:r w:rsidR="001F0AE0">
        <w:rPr>
          <w:rFonts w:eastAsia="Malgun Gothic"/>
          <w:iCs w:val="0"/>
          <w:snapToGrid w:val="0"/>
          <w:kern w:val="22"/>
          <w:szCs w:val="20"/>
          <w:lang w:val="fr-CA"/>
        </w:rPr>
        <w:t xml:space="preserve">travaux </w:t>
      </w:r>
      <w:r>
        <w:rPr>
          <w:rFonts w:eastAsia="Malgun Gothic"/>
          <w:iCs w:val="0"/>
          <w:snapToGrid w:val="0"/>
          <w:kern w:val="22"/>
          <w:szCs w:val="20"/>
          <w:lang w:val="fr-CA"/>
        </w:rPr>
        <w:t>supplémentaires</w:t>
      </w:r>
      <w:r w:rsidR="00627104" w:rsidRPr="007E52B0">
        <w:rPr>
          <w:rFonts w:eastAsia="Malgun Gothic"/>
          <w:iCs w:val="0"/>
          <w:snapToGrid w:val="0"/>
          <w:kern w:val="22"/>
          <w:szCs w:val="20"/>
          <w:lang w:val="fr-CA"/>
        </w:rPr>
        <w:t xml:space="preserve"> sont</w:t>
      </w:r>
      <w:r>
        <w:rPr>
          <w:rFonts w:eastAsia="Malgun Gothic"/>
          <w:iCs w:val="0"/>
          <w:snapToGrid w:val="0"/>
          <w:kern w:val="22"/>
          <w:szCs w:val="20"/>
          <w:lang w:val="fr-CA"/>
        </w:rPr>
        <w:t xml:space="preserve"> nécessaires pour identifier des</w:t>
      </w:r>
      <w:r w:rsidR="00627104" w:rsidRPr="007E52B0">
        <w:rPr>
          <w:rFonts w:eastAsia="Malgun Gothic"/>
          <w:iCs w:val="0"/>
          <w:snapToGrid w:val="0"/>
          <w:kern w:val="22"/>
          <w:szCs w:val="20"/>
          <w:lang w:val="fr-CA"/>
        </w:rPr>
        <w:t xml:space="preserve"> méthodes et moyens possibles qui permettraient à la Convention, et au cadre mondial de la biodiversité pour l</w:t>
      </w:r>
      <w:r w:rsidR="00CA2400">
        <w:rPr>
          <w:rFonts w:eastAsia="Malgun Gothic"/>
          <w:iCs w:val="0"/>
          <w:snapToGrid w:val="0"/>
          <w:kern w:val="22"/>
          <w:szCs w:val="20"/>
          <w:lang w:val="fr-CA"/>
        </w:rPr>
        <w:t>’</w:t>
      </w:r>
      <w:r w:rsidR="00627104" w:rsidRPr="007E52B0">
        <w:rPr>
          <w:rFonts w:eastAsia="Malgun Gothic"/>
          <w:iCs w:val="0"/>
          <w:snapToGrid w:val="0"/>
          <w:kern w:val="22"/>
          <w:szCs w:val="20"/>
          <w:lang w:val="fr-CA"/>
        </w:rPr>
        <w:t>après-2020 d</w:t>
      </w:r>
      <w:r w:rsidR="001F0AE0">
        <w:rPr>
          <w:rFonts w:eastAsia="Malgun Gothic"/>
          <w:iCs w:val="0"/>
          <w:snapToGrid w:val="0"/>
          <w:kern w:val="22"/>
          <w:szCs w:val="20"/>
          <w:lang w:val="fr-CA"/>
        </w:rPr>
        <w:t>’induire</w:t>
      </w:r>
      <w:r>
        <w:rPr>
          <w:rFonts w:eastAsia="Malgun Gothic"/>
          <w:iCs w:val="0"/>
          <w:snapToGrid w:val="0"/>
          <w:kern w:val="22"/>
          <w:szCs w:val="20"/>
          <w:lang w:val="fr-CA"/>
        </w:rPr>
        <w:t xml:space="preserve"> de tels</w:t>
      </w:r>
      <w:r w:rsidR="00627104" w:rsidRPr="007E52B0">
        <w:rPr>
          <w:rFonts w:eastAsia="Malgun Gothic"/>
          <w:iCs w:val="0"/>
          <w:snapToGrid w:val="0"/>
          <w:kern w:val="22"/>
          <w:szCs w:val="20"/>
          <w:lang w:val="fr-CA"/>
        </w:rPr>
        <w:t xml:space="preserve"> changements.</w:t>
      </w:r>
    </w:p>
    <w:p w:rsidR="00627104" w:rsidRPr="007E52B0" w:rsidRDefault="00627104" w:rsidP="00627104">
      <w:pPr>
        <w:pStyle w:val="BodyText"/>
        <w:numPr>
          <w:ilvl w:val="1"/>
          <w:numId w:val="21"/>
        </w:numPr>
        <w:suppressLineNumbers/>
        <w:tabs>
          <w:tab w:val="clear" w:pos="2160"/>
        </w:tabs>
        <w:suppressAutoHyphens/>
        <w:ind w:left="0" w:firstLine="0"/>
        <w:rPr>
          <w:rFonts w:eastAsia="Malgun Gothic"/>
          <w:snapToGrid w:val="0"/>
          <w:kern w:val="22"/>
          <w:szCs w:val="20"/>
          <w:lang w:val="fr-CA"/>
        </w:rPr>
      </w:pPr>
      <w:r w:rsidRPr="007E52B0">
        <w:rPr>
          <w:rFonts w:eastAsia="Malgun Gothic"/>
          <w:i/>
          <w:snapToGrid w:val="0"/>
          <w:kern w:val="22"/>
          <w:szCs w:val="20"/>
          <w:lang w:val="fr-CA"/>
        </w:rPr>
        <w:t>Une approche cohérente de la biodiversité et des changements climatiques est nécessaire</w:t>
      </w:r>
      <w:r w:rsidR="007518E1">
        <w:rPr>
          <w:rFonts w:eastAsia="Malgun Gothic"/>
          <w:iCs w:val="0"/>
          <w:snapToGrid w:val="0"/>
          <w:kern w:val="22"/>
          <w:szCs w:val="20"/>
          <w:lang w:val="fr-CA"/>
        </w:rPr>
        <w:t xml:space="preserve"> pour assurer une réduction des </w:t>
      </w:r>
      <w:r w:rsidRPr="007E52B0">
        <w:rPr>
          <w:rFonts w:eastAsia="Malgun Gothic"/>
          <w:iCs w:val="0"/>
          <w:snapToGrid w:val="0"/>
          <w:kern w:val="22"/>
          <w:szCs w:val="20"/>
          <w:lang w:val="fr-CA"/>
        </w:rPr>
        <w:t>effets des changements climatiques sur la biodiversité, veiller à ce que la biodiversité et les écosystèmes puissent apporter des solutions contribuant à l</w:t>
      </w:r>
      <w:r w:rsidR="00CA2400">
        <w:rPr>
          <w:rFonts w:eastAsia="Malgun Gothic"/>
          <w:iCs w:val="0"/>
          <w:snapToGrid w:val="0"/>
          <w:kern w:val="22"/>
          <w:szCs w:val="20"/>
          <w:lang w:val="fr-CA"/>
        </w:rPr>
        <w:t>’</w:t>
      </w:r>
      <w:r w:rsidRPr="007E52B0">
        <w:rPr>
          <w:rFonts w:eastAsia="Malgun Gothic"/>
          <w:iCs w:val="0"/>
          <w:snapToGrid w:val="0"/>
          <w:kern w:val="22"/>
          <w:szCs w:val="20"/>
          <w:lang w:val="fr-CA"/>
        </w:rPr>
        <w:t>adaptation aux changements climatiques et à l</w:t>
      </w:r>
      <w:r w:rsidR="00CA2400">
        <w:rPr>
          <w:rFonts w:eastAsia="Malgun Gothic"/>
          <w:iCs w:val="0"/>
          <w:snapToGrid w:val="0"/>
          <w:kern w:val="22"/>
          <w:szCs w:val="20"/>
          <w:lang w:val="fr-CA"/>
        </w:rPr>
        <w:t>’</w:t>
      </w:r>
      <w:r w:rsidRPr="007E52B0">
        <w:rPr>
          <w:rFonts w:eastAsia="Malgun Gothic"/>
          <w:iCs w:val="0"/>
          <w:snapToGrid w:val="0"/>
          <w:kern w:val="22"/>
          <w:szCs w:val="20"/>
          <w:lang w:val="fr-CA"/>
        </w:rPr>
        <w:t>atténuation de leurs effets, et veiller à ce que les mesures d</w:t>
      </w:r>
      <w:r w:rsidR="00CA2400">
        <w:rPr>
          <w:rFonts w:eastAsia="Malgun Gothic"/>
          <w:iCs w:val="0"/>
          <w:snapToGrid w:val="0"/>
          <w:kern w:val="22"/>
          <w:szCs w:val="20"/>
          <w:lang w:val="fr-CA"/>
        </w:rPr>
        <w:t>’</w:t>
      </w:r>
      <w:r w:rsidRPr="007E52B0">
        <w:rPr>
          <w:rFonts w:eastAsia="Malgun Gothic"/>
          <w:iCs w:val="0"/>
          <w:snapToGrid w:val="0"/>
          <w:kern w:val="22"/>
          <w:szCs w:val="20"/>
          <w:lang w:val="fr-CA"/>
        </w:rPr>
        <w:t>adaptation et  d</w:t>
      </w:r>
      <w:r w:rsidR="00CA2400">
        <w:rPr>
          <w:rFonts w:eastAsia="Malgun Gothic"/>
          <w:iCs w:val="0"/>
          <w:snapToGrid w:val="0"/>
          <w:kern w:val="22"/>
          <w:szCs w:val="20"/>
          <w:lang w:val="fr-CA"/>
        </w:rPr>
        <w:t>’</w:t>
      </w:r>
      <w:r w:rsidRPr="007E52B0">
        <w:rPr>
          <w:rFonts w:eastAsia="Malgun Gothic"/>
          <w:iCs w:val="0"/>
          <w:snapToGrid w:val="0"/>
          <w:kern w:val="22"/>
          <w:szCs w:val="20"/>
          <w:lang w:val="fr-CA"/>
        </w:rPr>
        <w:t>atténuation des changements climatiques n</w:t>
      </w:r>
      <w:r w:rsidR="00CA2400">
        <w:rPr>
          <w:rFonts w:eastAsia="Malgun Gothic"/>
          <w:iCs w:val="0"/>
          <w:snapToGrid w:val="0"/>
          <w:kern w:val="22"/>
          <w:szCs w:val="20"/>
          <w:lang w:val="fr-CA"/>
        </w:rPr>
        <w:t>’</w:t>
      </w:r>
      <w:r w:rsidRPr="007E52B0">
        <w:rPr>
          <w:rFonts w:eastAsia="Malgun Gothic"/>
          <w:iCs w:val="0"/>
          <w:snapToGrid w:val="0"/>
          <w:kern w:val="22"/>
          <w:szCs w:val="20"/>
          <w:lang w:val="fr-CA"/>
        </w:rPr>
        <w:t>aient pas de répercussions négatives sur la biodiversité du fait de changements dans la gestion des terres.</w:t>
      </w:r>
    </w:p>
    <w:p w:rsidR="00627104" w:rsidRPr="007E52B0" w:rsidRDefault="00627104" w:rsidP="00627104">
      <w:pPr>
        <w:pStyle w:val="BodyText"/>
        <w:numPr>
          <w:ilvl w:val="1"/>
          <w:numId w:val="21"/>
        </w:numPr>
        <w:suppressLineNumbers/>
        <w:tabs>
          <w:tab w:val="clear" w:pos="2160"/>
        </w:tabs>
        <w:suppressAutoHyphens/>
        <w:ind w:left="0" w:firstLine="0"/>
        <w:rPr>
          <w:snapToGrid w:val="0"/>
          <w:kern w:val="22"/>
          <w:szCs w:val="20"/>
          <w:lang w:val="fr-CA"/>
        </w:rPr>
      </w:pPr>
      <w:r w:rsidRPr="007E52B0">
        <w:rPr>
          <w:rFonts w:eastAsia="Malgun Gothic"/>
          <w:i/>
          <w:snapToGrid w:val="0"/>
          <w:kern w:val="22"/>
          <w:szCs w:val="20"/>
          <w:lang w:val="fr-CA"/>
        </w:rPr>
        <w:t>La Vision 2050 est conforme au Programme de développement durable à l</w:t>
      </w:r>
      <w:r w:rsidR="00CA2400">
        <w:rPr>
          <w:rFonts w:eastAsia="Malgun Gothic"/>
          <w:i/>
          <w:snapToGrid w:val="0"/>
          <w:kern w:val="22"/>
          <w:szCs w:val="20"/>
          <w:lang w:val="fr-CA"/>
        </w:rPr>
        <w:t>’</w:t>
      </w:r>
      <w:r w:rsidRPr="007E52B0">
        <w:rPr>
          <w:rFonts w:eastAsia="Malgun Gothic"/>
          <w:i/>
          <w:snapToGrid w:val="0"/>
          <w:kern w:val="22"/>
          <w:szCs w:val="20"/>
          <w:lang w:val="fr-CA"/>
        </w:rPr>
        <w:t>horizon 2030 et aux autres objectifs internationaux.</w:t>
      </w:r>
      <w:r w:rsidRPr="007E52B0">
        <w:rPr>
          <w:rFonts w:eastAsia="Malgun Gothic"/>
          <w:iCs w:val="0"/>
          <w:snapToGrid w:val="0"/>
          <w:kern w:val="22"/>
          <w:szCs w:val="20"/>
          <w:lang w:val="fr-CA"/>
        </w:rPr>
        <w:t xml:space="preserve"> Les progrès accomplis dans la réalisation du Programme de développement durable à l</w:t>
      </w:r>
      <w:r w:rsidR="00CA2400">
        <w:rPr>
          <w:rFonts w:eastAsia="Malgun Gothic"/>
          <w:iCs w:val="0"/>
          <w:snapToGrid w:val="0"/>
          <w:kern w:val="22"/>
          <w:szCs w:val="20"/>
          <w:lang w:val="fr-CA"/>
        </w:rPr>
        <w:t>’</w:t>
      </w:r>
      <w:r w:rsidRPr="007E52B0">
        <w:rPr>
          <w:rFonts w:eastAsia="Malgun Gothic"/>
          <w:iCs w:val="0"/>
          <w:snapToGrid w:val="0"/>
          <w:kern w:val="22"/>
          <w:szCs w:val="20"/>
          <w:lang w:val="fr-CA"/>
        </w:rPr>
        <w:t>horizon 2030 permettraient de traiter de nombreux facteurs d</w:t>
      </w:r>
      <w:r w:rsidR="00CA2400">
        <w:rPr>
          <w:rFonts w:eastAsia="Malgun Gothic"/>
          <w:iCs w:val="0"/>
          <w:snapToGrid w:val="0"/>
          <w:kern w:val="22"/>
          <w:szCs w:val="20"/>
          <w:lang w:val="fr-CA"/>
        </w:rPr>
        <w:t>’</w:t>
      </w:r>
      <w:r w:rsidRPr="007E52B0">
        <w:rPr>
          <w:rFonts w:eastAsia="Malgun Gothic"/>
          <w:iCs w:val="0"/>
          <w:snapToGrid w:val="0"/>
          <w:kern w:val="22"/>
          <w:szCs w:val="20"/>
          <w:lang w:val="fr-CA"/>
        </w:rPr>
        <w:t>appauvrissement de la biodiversité et de soutenir les objectifs en matière de biodiversité par la création d</w:t>
      </w:r>
      <w:r w:rsidR="00CA2400">
        <w:rPr>
          <w:rFonts w:eastAsia="Malgun Gothic"/>
          <w:iCs w:val="0"/>
          <w:snapToGrid w:val="0"/>
          <w:kern w:val="22"/>
          <w:szCs w:val="20"/>
          <w:lang w:val="fr-CA"/>
        </w:rPr>
        <w:t>’</w:t>
      </w:r>
      <w:r w:rsidRPr="007E52B0">
        <w:rPr>
          <w:rFonts w:eastAsia="Malgun Gothic"/>
          <w:iCs w:val="0"/>
          <w:snapToGrid w:val="0"/>
          <w:kern w:val="22"/>
          <w:szCs w:val="20"/>
          <w:lang w:val="fr-CA"/>
        </w:rPr>
        <w:t>un environnement favorable. La nature intégrée et indivisible du programme sous-entend que la réalisation de l</w:t>
      </w:r>
      <w:r w:rsidR="00CA2400">
        <w:rPr>
          <w:rFonts w:eastAsia="Malgun Gothic"/>
          <w:iCs w:val="0"/>
          <w:snapToGrid w:val="0"/>
          <w:kern w:val="22"/>
          <w:szCs w:val="20"/>
          <w:lang w:val="fr-CA"/>
        </w:rPr>
        <w:t>’</w:t>
      </w:r>
      <w:r w:rsidRPr="007E52B0">
        <w:rPr>
          <w:rFonts w:eastAsia="Malgun Gothic"/>
          <w:iCs w:val="0"/>
          <w:snapToGrid w:val="0"/>
          <w:kern w:val="22"/>
          <w:szCs w:val="20"/>
          <w:lang w:val="fr-CA"/>
        </w:rPr>
        <w:t>ensemble des objectifs est nécessaire et que des scénarios et modèles peuvent éclairer le choix des politiques et des mesures, ainsi que leurs limites, soulignant la nécessité de disposer de politiques cohérentes. </w:t>
      </w:r>
    </w:p>
    <w:p w:rsidR="00627104" w:rsidRPr="00627104" w:rsidRDefault="001E3669" w:rsidP="00627104">
      <w:pPr>
        <w:pStyle w:val="BodyText"/>
        <w:numPr>
          <w:ilvl w:val="1"/>
          <w:numId w:val="21"/>
        </w:numPr>
        <w:suppressLineNumbers/>
        <w:tabs>
          <w:tab w:val="clear" w:pos="2160"/>
        </w:tabs>
        <w:suppressAutoHyphens/>
        <w:ind w:left="0" w:firstLine="0"/>
        <w:rPr>
          <w:snapToGrid w:val="0"/>
          <w:kern w:val="22"/>
          <w:szCs w:val="20"/>
          <w:lang w:val="fr-CA"/>
        </w:rPr>
      </w:pPr>
      <w:r>
        <w:rPr>
          <w:rFonts w:eastAsia="Malgun Gothic"/>
          <w:i/>
          <w:snapToGrid w:val="0"/>
          <w:kern w:val="22"/>
          <w:szCs w:val="20"/>
          <w:lang w:val="fr-CA"/>
        </w:rPr>
        <w:t>L</w:t>
      </w:r>
      <w:r w:rsidR="00627104" w:rsidRPr="007E52B0">
        <w:rPr>
          <w:rFonts w:eastAsia="Malgun Gothic"/>
          <w:i/>
          <w:snapToGrid w:val="0"/>
          <w:kern w:val="22"/>
          <w:szCs w:val="20"/>
          <w:lang w:val="fr-CA"/>
        </w:rPr>
        <w:t>es scénarios et modèles peuvent faciliter l</w:t>
      </w:r>
      <w:r w:rsidR="00CA2400">
        <w:rPr>
          <w:rFonts w:eastAsia="Malgun Gothic"/>
          <w:i/>
          <w:snapToGrid w:val="0"/>
          <w:kern w:val="22"/>
          <w:szCs w:val="20"/>
          <w:lang w:val="fr-CA"/>
        </w:rPr>
        <w:t>’</w:t>
      </w:r>
      <w:r w:rsidR="00627104" w:rsidRPr="007E52B0">
        <w:rPr>
          <w:rFonts w:eastAsia="Malgun Gothic"/>
          <w:i/>
          <w:snapToGrid w:val="0"/>
          <w:kern w:val="22"/>
          <w:szCs w:val="20"/>
          <w:lang w:val="fr-CA"/>
        </w:rPr>
        <w:t>élaboration et la mise en œuvre du cadre mondial de la biodiversité pour l</w:t>
      </w:r>
      <w:r w:rsidR="00CA2400">
        <w:rPr>
          <w:rFonts w:eastAsia="Malgun Gothic"/>
          <w:i/>
          <w:snapToGrid w:val="0"/>
          <w:kern w:val="22"/>
          <w:szCs w:val="20"/>
          <w:lang w:val="fr-CA"/>
        </w:rPr>
        <w:t>’</w:t>
      </w:r>
      <w:r w:rsidR="00627104" w:rsidRPr="007E52B0">
        <w:rPr>
          <w:rFonts w:eastAsia="Malgun Gothic"/>
          <w:i/>
          <w:snapToGrid w:val="0"/>
          <w:kern w:val="22"/>
          <w:szCs w:val="20"/>
          <w:lang w:val="fr-CA"/>
        </w:rPr>
        <w:t xml:space="preserve">après-2020. </w:t>
      </w:r>
      <w:r w:rsidR="00627104" w:rsidRPr="007E52B0">
        <w:rPr>
          <w:rFonts w:eastAsia="Malgun Gothic"/>
          <w:iCs w:val="0"/>
          <w:snapToGrid w:val="0"/>
          <w:kern w:val="22"/>
          <w:szCs w:val="20"/>
          <w:lang w:val="fr-CA"/>
        </w:rPr>
        <w:t>L</w:t>
      </w:r>
      <w:r w:rsidR="00CA2400">
        <w:rPr>
          <w:rFonts w:eastAsia="Malgun Gothic"/>
          <w:iCs w:val="0"/>
          <w:snapToGrid w:val="0"/>
          <w:kern w:val="22"/>
          <w:szCs w:val="20"/>
          <w:lang w:val="fr-CA"/>
        </w:rPr>
        <w:t>’</w:t>
      </w:r>
      <w:r w:rsidR="007518E1">
        <w:rPr>
          <w:rFonts w:eastAsia="Malgun Gothic"/>
          <w:iCs w:val="0"/>
          <w:snapToGrid w:val="0"/>
          <w:kern w:val="22"/>
          <w:szCs w:val="20"/>
          <w:lang w:val="fr-CA"/>
        </w:rPr>
        <w:t>élaboration du</w:t>
      </w:r>
      <w:r w:rsidR="00627104" w:rsidRPr="007E52B0">
        <w:rPr>
          <w:rFonts w:eastAsia="Malgun Gothic"/>
          <w:iCs w:val="0"/>
          <w:snapToGrid w:val="0"/>
          <w:kern w:val="22"/>
          <w:szCs w:val="20"/>
          <w:lang w:val="fr-CA"/>
        </w:rPr>
        <w:t xml:space="preserve"> Plan stratégique pour la diversité biologique 2011-2020 </w:t>
      </w:r>
      <w:r w:rsidR="007518E1">
        <w:rPr>
          <w:rFonts w:eastAsia="Malgun Gothic"/>
          <w:iCs w:val="0"/>
          <w:snapToGrid w:val="0"/>
          <w:kern w:val="22"/>
          <w:szCs w:val="20"/>
          <w:lang w:val="fr-CA"/>
        </w:rPr>
        <w:t xml:space="preserve">actuel </w:t>
      </w:r>
      <w:r w:rsidR="00627104" w:rsidRPr="007E52B0">
        <w:rPr>
          <w:rFonts w:eastAsia="Malgun Gothic"/>
          <w:iCs w:val="0"/>
          <w:snapToGrid w:val="0"/>
          <w:kern w:val="22"/>
          <w:szCs w:val="20"/>
          <w:lang w:val="fr-CA"/>
        </w:rPr>
        <w:t xml:space="preserve">reposait sur des scénarios de biodiversité, dont ceux élaborés pour la troisième édition des </w:t>
      </w:r>
      <w:r w:rsidR="00627104" w:rsidRPr="007E52B0">
        <w:rPr>
          <w:rFonts w:eastAsia="Malgun Gothic"/>
          <w:i/>
          <w:snapToGrid w:val="0"/>
          <w:kern w:val="22"/>
          <w:szCs w:val="20"/>
          <w:lang w:val="fr-CA"/>
        </w:rPr>
        <w:t>Perspectives mondiales de la diversité biologique</w:t>
      </w:r>
      <w:r>
        <w:rPr>
          <w:rFonts w:eastAsia="Malgun Gothic"/>
          <w:iCs w:val="0"/>
          <w:snapToGrid w:val="0"/>
          <w:kern w:val="22"/>
          <w:szCs w:val="20"/>
          <w:lang w:val="fr-CA"/>
        </w:rPr>
        <w:t>. L</w:t>
      </w:r>
      <w:r w:rsidR="00627104" w:rsidRPr="007E52B0">
        <w:rPr>
          <w:rFonts w:eastAsia="Malgun Gothic"/>
          <w:iCs w:val="0"/>
          <w:snapToGrid w:val="0"/>
          <w:kern w:val="22"/>
          <w:szCs w:val="20"/>
          <w:lang w:val="fr-CA"/>
        </w:rPr>
        <w:t>es scénarios développés aux échelles appropriées peuvent aussi éclairer l</w:t>
      </w:r>
      <w:r w:rsidR="00CA2400">
        <w:rPr>
          <w:rFonts w:eastAsia="Malgun Gothic"/>
          <w:iCs w:val="0"/>
          <w:snapToGrid w:val="0"/>
          <w:kern w:val="22"/>
          <w:szCs w:val="20"/>
          <w:lang w:val="fr-CA"/>
        </w:rPr>
        <w:t>’</w:t>
      </w:r>
      <w:r w:rsidR="00627104" w:rsidRPr="007E52B0">
        <w:rPr>
          <w:rFonts w:eastAsia="Malgun Gothic"/>
          <w:iCs w:val="0"/>
          <w:snapToGrid w:val="0"/>
          <w:kern w:val="22"/>
          <w:szCs w:val="20"/>
          <w:lang w:val="fr-CA"/>
        </w:rPr>
        <w:t>élaboration de politiques et la mise en œuvre au niveau national.</w:t>
      </w:r>
    </w:p>
    <w:p w:rsidR="00627104" w:rsidRPr="007E52B0" w:rsidRDefault="00627104" w:rsidP="00627104">
      <w:pPr>
        <w:pStyle w:val="BodyText"/>
        <w:numPr>
          <w:ilvl w:val="1"/>
          <w:numId w:val="21"/>
        </w:numPr>
        <w:suppressLineNumbers/>
        <w:tabs>
          <w:tab w:val="clear" w:pos="2160"/>
        </w:tabs>
        <w:suppressAutoHyphens/>
        <w:ind w:left="0" w:firstLine="0"/>
        <w:rPr>
          <w:snapToGrid w:val="0"/>
          <w:kern w:val="22"/>
          <w:szCs w:val="20"/>
          <w:lang w:val="fr-CA"/>
        </w:rPr>
      </w:pPr>
      <w:r w:rsidRPr="007E52B0">
        <w:rPr>
          <w:i/>
          <w:kern w:val="22"/>
          <w:szCs w:val="20"/>
          <w:lang w:val="fr-CA"/>
        </w:rPr>
        <w:t>Des an</w:t>
      </w:r>
      <w:r w:rsidR="00283C57">
        <w:rPr>
          <w:i/>
          <w:kern w:val="22"/>
          <w:szCs w:val="20"/>
          <w:lang w:val="fr-CA"/>
        </w:rPr>
        <w:t>alyses de scénarios adaptées au contexte</w:t>
      </w:r>
      <w:r w:rsidRPr="007E52B0">
        <w:rPr>
          <w:i/>
          <w:kern w:val="22"/>
          <w:szCs w:val="20"/>
          <w:lang w:val="fr-CA"/>
        </w:rPr>
        <w:t xml:space="preserve"> régional, national ou local fournissent des informations permettant d</w:t>
      </w:r>
      <w:r w:rsidR="00CA2400">
        <w:rPr>
          <w:i/>
          <w:kern w:val="22"/>
          <w:szCs w:val="20"/>
          <w:lang w:val="fr-CA"/>
        </w:rPr>
        <w:t>’</w:t>
      </w:r>
      <w:r w:rsidRPr="007E52B0">
        <w:rPr>
          <w:i/>
          <w:kern w:val="22"/>
          <w:szCs w:val="20"/>
          <w:lang w:val="fr-CA"/>
        </w:rPr>
        <w:t>éclairer la planification stratégique en matière de conservation et d</w:t>
      </w:r>
      <w:r w:rsidR="00CA2400">
        <w:rPr>
          <w:i/>
          <w:kern w:val="22"/>
          <w:szCs w:val="20"/>
          <w:lang w:val="fr-CA"/>
        </w:rPr>
        <w:t>’</w:t>
      </w:r>
      <w:r w:rsidRPr="007E52B0">
        <w:rPr>
          <w:i/>
          <w:kern w:val="22"/>
          <w:szCs w:val="20"/>
          <w:lang w:val="fr-CA"/>
        </w:rPr>
        <w:t xml:space="preserve">utilisation durable de la </w:t>
      </w:r>
      <w:r w:rsidRPr="007E52B0">
        <w:rPr>
          <w:i/>
          <w:kern w:val="22"/>
          <w:szCs w:val="20"/>
          <w:lang w:val="fr-CA" w:bidi="fr-FR"/>
        </w:rPr>
        <w:t>diversité biologique</w:t>
      </w:r>
      <w:r w:rsidRPr="007E52B0">
        <w:rPr>
          <w:kern w:val="22"/>
          <w:szCs w:val="20"/>
          <w:lang w:val="fr-CA"/>
        </w:rPr>
        <w:t xml:space="preserve">.  Elles peuvent ainsi appuyer </w:t>
      </w:r>
      <w:r w:rsidRPr="007E52B0">
        <w:rPr>
          <w:rFonts w:eastAsia="Malgun Gothic"/>
          <w:kern w:val="22"/>
          <w:szCs w:val="20"/>
          <w:lang w:val="fr-CA"/>
        </w:rPr>
        <w:t>directement</w:t>
      </w:r>
      <w:r w:rsidRPr="007E52B0">
        <w:rPr>
          <w:kern w:val="22"/>
          <w:szCs w:val="20"/>
          <w:lang w:val="fr-CA"/>
        </w:rPr>
        <w:t xml:space="preserve"> l</w:t>
      </w:r>
      <w:r w:rsidR="00CA2400">
        <w:rPr>
          <w:kern w:val="22"/>
          <w:szCs w:val="20"/>
          <w:lang w:val="fr-CA"/>
        </w:rPr>
        <w:t>’</w:t>
      </w:r>
      <w:r w:rsidRPr="007E52B0">
        <w:rPr>
          <w:kern w:val="22"/>
          <w:szCs w:val="20"/>
          <w:lang w:val="fr-CA"/>
        </w:rPr>
        <w:t>élaboration des stratégies et plans d</w:t>
      </w:r>
      <w:r w:rsidR="00CA2400">
        <w:rPr>
          <w:kern w:val="22"/>
          <w:szCs w:val="20"/>
          <w:lang w:val="fr-CA"/>
        </w:rPr>
        <w:t>’</w:t>
      </w:r>
      <w:r w:rsidRPr="007E52B0">
        <w:rPr>
          <w:kern w:val="22"/>
          <w:szCs w:val="20"/>
          <w:lang w:val="fr-CA"/>
        </w:rPr>
        <w:t>action nationaux pour la diversité biologique. En outre, il est utile de prévoir des approches participatives dans l</w:t>
      </w:r>
      <w:r w:rsidR="00CA2400">
        <w:rPr>
          <w:kern w:val="22"/>
          <w:szCs w:val="20"/>
          <w:lang w:val="fr-CA"/>
        </w:rPr>
        <w:t>’</w:t>
      </w:r>
      <w:r w:rsidRPr="007E52B0">
        <w:rPr>
          <w:kern w:val="22"/>
          <w:szCs w:val="20"/>
          <w:lang w:val="fr-CA"/>
        </w:rPr>
        <w:t>analyse des scénarios afin de renforcer les capacités nécessaires à la prise de décisions axées sur la conservation et l</w:t>
      </w:r>
      <w:r w:rsidR="00CA2400">
        <w:rPr>
          <w:kern w:val="22"/>
          <w:szCs w:val="20"/>
          <w:lang w:val="fr-CA"/>
        </w:rPr>
        <w:t>’</w:t>
      </w:r>
      <w:r w:rsidRPr="007E52B0">
        <w:rPr>
          <w:kern w:val="22"/>
          <w:szCs w:val="20"/>
          <w:lang w:val="fr-CA"/>
        </w:rPr>
        <w:t xml:space="preserve">utilisation durable de la </w:t>
      </w:r>
      <w:r w:rsidRPr="007E52B0">
        <w:rPr>
          <w:kern w:val="22"/>
          <w:szCs w:val="20"/>
          <w:lang w:val="fr-CA" w:bidi="fr-FR"/>
        </w:rPr>
        <w:t>diversité biologique</w:t>
      </w:r>
      <w:r w:rsidRPr="007E52B0">
        <w:rPr>
          <w:kern w:val="22"/>
          <w:szCs w:val="20"/>
          <w:lang w:val="fr-CA"/>
        </w:rPr>
        <w:t xml:space="preserve">. Cela permet aux parties prenantes de reconnaître les liens entre la </w:t>
      </w:r>
      <w:r w:rsidRPr="007E52B0">
        <w:rPr>
          <w:kern w:val="22"/>
          <w:szCs w:val="20"/>
          <w:lang w:val="fr-CA" w:bidi="fr-FR"/>
        </w:rPr>
        <w:t>diversité biologique</w:t>
      </w:r>
      <w:r w:rsidRPr="007E52B0">
        <w:rPr>
          <w:kern w:val="22"/>
          <w:szCs w:val="20"/>
          <w:lang w:val="fr-CA"/>
        </w:rPr>
        <w:t xml:space="preserve"> et d</w:t>
      </w:r>
      <w:r w:rsidR="00CA2400">
        <w:rPr>
          <w:kern w:val="22"/>
          <w:szCs w:val="20"/>
          <w:lang w:val="fr-CA"/>
        </w:rPr>
        <w:t>’</w:t>
      </w:r>
      <w:r w:rsidRPr="007E52B0">
        <w:rPr>
          <w:kern w:val="22"/>
          <w:szCs w:val="20"/>
          <w:lang w:val="fr-CA"/>
        </w:rPr>
        <w:t>autres secteurs et montre en quoi le renforcement des avantages contribue au bien-être humain</w:t>
      </w:r>
      <w:r w:rsidRPr="007E52B0">
        <w:rPr>
          <w:rFonts w:eastAsia="Malgun Gothic"/>
          <w:kern w:val="22"/>
          <w:sz w:val="24"/>
          <w:szCs w:val="22"/>
          <w:lang w:val="fr-CA"/>
        </w:rPr>
        <w:t>.</w:t>
      </w:r>
    </w:p>
    <w:bookmarkEnd w:id="2"/>
    <w:p w:rsidR="005D6921" w:rsidRPr="00074981" w:rsidRDefault="00280A8D" w:rsidP="00627104">
      <w:pPr>
        <w:pStyle w:val="Para1"/>
        <w:numPr>
          <w:ilvl w:val="0"/>
          <w:numId w:val="0"/>
        </w:numPr>
        <w:suppressLineNumbers/>
        <w:suppressAutoHyphens/>
        <w:jc w:val="center"/>
        <w:rPr>
          <w:kern w:val="22"/>
          <w:szCs w:val="22"/>
        </w:rPr>
      </w:pPr>
      <w:r w:rsidRPr="00074981">
        <w:rPr>
          <w:kern w:val="22"/>
          <w:szCs w:val="22"/>
        </w:rPr>
        <w:t>__________</w:t>
      </w:r>
    </w:p>
    <w:sectPr w:rsidR="005D6921" w:rsidRPr="00074981" w:rsidSect="009C200D">
      <w:headerReference w:type="even" r:id="rId15"/>
      <w:headerReference w:type="default" r:id="rId16"/>
      <w:footerReference w:type="even" r:id="rId17"/>
      <w:foot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FC1" w:rsidRDefault="00D04FC1" w:rsidP="00CF1848">
      <w:r>
        <w:separator/>
      </w:r>
    </w:p>
  </w:endnote>
  <w:endnote w:type="continuationSeparator" w:id="0">
    <w:p w:rsidR="00D04FC1" w:rsidRDefault="00D04FC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96" w:rsidRDefault="00450096" w:rsidP="00CC39DD">
    <w:pPr>
      <w:pStyle w:val="Footer"/>
      <w:tabs>
        <w:tab w:val="clear" w:pos="4320"/>
        <w:tab w:val="clear" w:pos="8640"/>
      </w:tabs>
      <w:ind w:firstLine="0"/>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96" w:rsidRDefault="00450096" w:rsidP="00CC39DD">
    <w:pPr>
      <w:pStyle w:val="Footer"/>
      <w:tabs>
        <w:tab w:val="clear" w:pos="4320"/>
        <w:tab w:val="clear" w:pos="8640"/>
      </w:tabs>
      <w:ind w:firstLine="0"/>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FC1" w:rsidRDefault="00D04FC1" w:rsidP="00CF1848">
      <w:r>
        <w:separator/>
      </w:r>
    </w:p>
  </w:footnote>
  <w:footnote w:type="continuationSeparator" w:id="0">
    <w:p w:rsidR="00D04FC1" w:rsidRDefault="00D04FC1" w:rsidP="00CF1848">
      <w:r>
        <w:continuationSeparator/>
      </w:r>
    </w:p>
  </w:footnote>
  <w:footnote w:id="1">
    <w:p w:rsidR="00823736" w:rsidRPr="00823736" w:rsidRDefault="00823736" w:rsidP="00823736">
      <w:pPr>
        <w:pStyle w:val="FootnoteText"/>
        <w:ind w:firstLine="0"/>
        <w:jc w:val="left"/>
        <w:rPr>
          <w:kern w:val="18"/>
          <w:szCs w:val="18"/>
          <w:lang w:val="fr-CA"/>
        </w:rPr>
      </w:pPr>
      <w:r w:rsidRPr="00823736">
        <w:rPr>
          <w:rStyle w:val="FootnoteReference"/>
          <w:rFonts w:eastAsiaTheme="majorEastAsia"/>
          <w:kern w:val="18"/>
          <w:sz w:val="18"/>
          <w:szCs w:val="18"/>
          <w:lang w:val="fr-CA"/>
        </w:rPr>
        <w:footnoteRef/>
      </w:r>
      <w:r w:rsidRPr="00823736">
        <w:rPr>
          <w:kern w:val="18"/>
          <w:szCs w:val="18"/>
          <w:lang w:val="fr-CA"/>
        </w:rPr>
        <w:t xml:space="preserve"> </w:t>
      </w:r>
      <w:hyperlink r:id="rId1" w:history="1">
        <w:r w:rsidRPr="00823736">
          <w:rPr>
            <w:rStyle w:val="Hyperlink"/>
            <w:kern w:val="18"/>
            <w:szCs w:val="18"/>
            <w:lang w:val="fr-CA"/>
          </w:rPr>
          <w:t>CBD/SBSTTA/21/2</w:t>
        </w:r>
      </w:hyperlink>
      <w:r w:rsidRPr="00823736">
        <w:rPr>
          <w:kern w:val="18"/>
          <w:szCs w:val="18"/>
          <w:lang w:val="fr-CA"/>
        </w:rPr>
        <w:t xml:space="preserve"> et </w:t>
      </w:r>
      <w:hyperlink r:id="rId2" w:history="1">
        <w:r w:rsidRPr="00823736">
          <w:rPr>
            <w:rStyle w:val="Hyperlink"/>
            <w:kern w:val="18"/>
            <w:szCs w:val="18"/>
            <w:lang w:val="fr-CA"/>
          </w:rPr>
          <w:t>Add.1</w:t>
        </w:r>
      </w:hyperlink>
      <w:r w:rsidRPr="00823736">
        <w:rPr>
          <w:kern w:val="18"/>
          <w:szCs w:val="18"/>
          <w:lang w:val="fr-CA"/>
        </w:rPr>
        <w:t xml:space="preserve">, </w:t>
      </w:r>
      <w:hyperlink r:id="rId3" w:history="1">
        <w:r w:rsidR="00F3672A" w:rsidRPr="00CC39DD">
          <w:rPr>
            <w:rStyle w:val="Hyperlink"/>
            <w:kern w:val="18"/>
            <w:szCs w:val="18"/>
          </w:rPr>
          <w:t>CBD/SBSTTA/21/INF/2</w:t>
        </w:r>
      </w:hyperlink>
      <w:r w:rsidR="00F3672A">
        <w:rPr>
          <w:rStyle w:val="Hyperlink"/>
          <w:kern w:val="18"/>
          <w:szCs w:val="18"/>
        </w:rPr>
        <w:t>/Rev.1</w:t>
      </w:r>
      <w:r w:rsidR="00F3672A" w:rsidRPr="00CC39DD">
        <w:rPr>
          <w:kern w:val="18"/>
          <w:szCs w:val="18"/>
        </w:rPr>
        <w:t xml:space="preserve">, </w:t>
      </w:r>
      <w:hyperlink r:id="rId4" w:history="1">
        <w:r w:rsidR="00F3672A" w:rsidRPr="00CC39DD">
          <w:rPr>
            <w:rStyle w:val="Hyperlink"/>
            <w:kern w:val="18"/>
            <w:szCs w:val="18"/>
          </w:rPr>
          <w:t>INF/3</w:t>
        </w:r>
      </w:hyperlink>
      <w:r w:rsidR="00F3672A">
        <w:rPr>
          <w:rStyle w:val="Hyperlink"/>
          <w:kern w:val="18"/>
          <w:szCs w:val="18"/>
        </w:rPr>
        <w:t>/Rev.1</w:t>
      </w:r>
      <w:r w:rsidR="00F3672A" w:rsidRPr="00CC39DD">
        <w:rPr>
          <w:kern w:val="18"/>
          <w:szCs w:val="18"/>
        </w:rPr>
        <w:t xml:space="preserve">, </w:t>
      </w:r>
      <w:hyperlink r:id="rId5" w:history="1">
        <w:r w:rsidR="00F3672A" w:rsidRPr="00CC39DD">
          <w:rPr>
            <w:rStyle w:val="Hyperlink"/>
            <w:kern w:val="18"/>
            <w:szCs w:val="18"/>
          </w:rPr>
          <w:t>INF/4</w:t>
        </w:r>
      </w:hyperlink>
      <w:r w:rsidR="00F3672A">
        <w:rPr>
          <w:rStyle w:val="Hyperlink"/>
          <w:kern w:val="18"/>
          <w:szCs w:val="18"/>
        </w:rPr>
        <w:t>/Rev.1</w:t>
      </w:r>
      <w:r w:rsidR="00F3672A" w:rsidRPr="00CC39DD">
        <w:rPr>
          <w:kern w:val="18"/>
          <w:szCs w:val="18"/>
        </w:rPr>
        <w:t xml:space="preserve">, </w:t>
      </w:r>
      <w:hyperlink r:id="rId6" w:history="1">
        <w:r w:rsidR="00F3672A" w:rsidRPr="00CC39DD">
          <w:rPr>
            <w:rStyle w:val="Hyperlink"/>
            <w:kern w:val="18"/>
            <w:szCs w:val="18"/>
          </w:rPr>
          <w:t>INF/18</w:t>
        </w:r>
      </w:hyperlink>
      <w:r w:rsidR="00F3672A">
        <w:rPr>
          <w:rStyle w:val="Hyperlink"/>
          <w:kern w:val="18"/>
          <w:szCs w:val="18"/>
        </w:rPr>
        <w:t>/Rev.1</w:t>
      </w:r>
      <w:r w:rsidRPr="00C9166B">
        <w:rPr>
          <w:kern w:val="18"/>
          <w:szCs w:val="18"/>
          <w:lang w:val="fr-CA"/>
        </w:rPr>
        <w:t>.</w:t>
      </w:r>
      <w:r w:rsidRPr="00823736">
        <w:rPr>
          <w:kern w:val="18"/>
          <w:szCs w:val="18"/>
          <w:lang w:val="fr-CA"/>
        </w:rPr>
        <w:t xml:space="preserve"> </w:t>
      </w:r>
    </w:p>
  </w:footnote>
  <w:footnote w:id="2">
    <w:p w:rsidR="00383EBF" w:rsidRPr="00823736" w:rsidRDefault="00383EBF" w:rsidP="00383EBF">
      <w:pPr>
        <w:pStyle w:val="FootnoteText"/>
        <w:ind w:firstLine="0"/>
        <w:rPr>
          <w:noProof/>
          <w:lang w:val="fr-CA"/>
        </w:rPr>
      </w:pPr>
      <w:r w:rsidRPr="00823736">
        <w:rPr>
          <w:rStyle w:val="FootnoteReference"/>
          <w:lang w:val="fr-CA"/>
        </w:rPr>
        <w:footnoteRef/>
      </w:r>
      <w:r w:rsidRPr="00823736">
        <w:rPr>
          <w:lang w:val="fr-CA"/>
        </w:rPr>
        <w:t xml:space="preserve"> Plateforme i</w:t>
      </w:r>
      <w:r w:rsidR="00E25797">
        <w:rPr>
          <w:lang w:val="fr-CA"/>
        </w:rPr>
        <w:t>ntergouvernementale scientifique et politique</w:t>
      </w:r>
      <w:r w:rsidRPr="00823736">
        <w:rPr>
          <w:lang w:val="fr-CA"/>
        </w:rPr>
        <w:t xml:space="preserve"> sur la biodiversité et les </w:t>
      </w:r>
      <w:r w:rsidRPr="00823736">
        <w:rPr>
          <w:noProof/>
          <w:lang w:val="fr-CA"/>
        </w:rPr>
        <w:t xml:space="preserve">services écosystémiques, 2016 (disponible en ligne sur le site </w:t>
      </w:r>
      <w:hyperlink r:id="rId7" w:history="1">
        <w:r w:rsidR="00D2373C" w:rsidRPr="00D2373C">
          <w:rPr>
            <w:rStyle w:val="Hyperlink"/>
            <w:kern w:val="18"/>
            <w:szCs w:val="18"/>
            <w:lang w:val="fr-CA"/>
          </w:rPr>
          <w:t>https://www.ipbes.net/assessment-reports/scenarios</w:t>
        </w:r>
      </w:hyperlink>
      <w:r w:rsidRPr="00823736">
        <w:rPr>
          <w:noProof/>
          <w:lang w:val="fr-CA"/>
        </w:rPr>
        <w:t>)</w:t>
      </w:r>
    </w:p>
  </w:footnote>
  <w:footnote w:id="3">
    <w:p w:rsidR="00627104" w:rsidRPr="00B67181" w:rsidRDefault="00627104" w:rsidP="00627104">
      <w:pPr>
        <w:pStyle w:val="FootnoteText"/>
        <w:keepLines w:val="0"/>
        <w:ind w:firstLine="0"/>
        <w:jc w:val="left"/>
        <w:rPr>
          <w:kern w:val="18"/>
          <w:lang w:val="en-US"/>
        </w:rPr>
      </w:pPr>
      <w:r w:rsidRPr="00823736">
        <w:rPr>
          <w:rStyle w:val="FootnoteReference"/>
          <w:rFonts w:eastAsiaTheme="majorEastAsia"/>
          <w:kern w:val="18"/>
          <w:lang w:val="fr-CA"/>
        </w:rPr>
        <w:footnoteRef/>
      </w:r>
      <w:r w:rsidRPr="00B67181">
        <w:rPr>
          <w:kern w:val="18"/>
          <w:lang w:val="en-US"/>
        </w:rPr>
        <w:t xml:space="preserve"> </w:t>
      </w:r>
      <w:r w:rsidRPr="00B67181">
        <w:rPr>
          <w:noProof/>
          <w:kern w:val="18"/>
          <w:lang w:val="en-US"/>
        </w:rPr>
        <w:t>Voir aussi Leadley et al (2014), Progress towards the Aichi Biodiversity Targets: An Assessment of Biodiversity Trends, Policy Scenarios and Key Actions. Secretariat of the Convention on Biological Diversity, Technical Series 78 (</w:t>
      </w:r>
      <w:hyperlink r:id="rId8" w:history="1">
        <w:r w:rsidR="00384814" w:rsidRPr="00CC39DD">
          <w:rPr>
            <w:rStyle w:val="Hyperlink"/>
            <w:kern w:val="18"/>
            <w:szCs w:val="18"/>
            <w:lang w:val="en-US"/>
          </w:rPr>
          <w:t>https://www.cbd.int/doc/publications/cbd-ts-78-en.pdf</w:t>
        </w:r>
      </w:hyperlink>
      <w:r w:rsidR="00384814" w:rsidRPr="00CC39DD">
        <w:rPr>
          <w:kern w:val="18"/>
          <w:szCs w:val="18"/>
          <w:lang w:val="en-US"/>
        </w:rPr>
        <w:t>)</w:t>
      </w:r>
      <w:bookmarkStart w:id="4" w:name="_GoBack"/>
      <w:bookmarkEnd w:id="4"/>
      <w:r w:rsidRPr="00B67181">
        <w:rPr>
          <w:noProof/>
          <w:kern w:val="18"/>
          <w:lang w:val="en-US"/>
        </w:rPr>
        <w:t>), et</w:t>
      </w:r>
      <w:r w:rsidRPr="00B67181">
        <w:rPr>
          <w:noProof/>
          <w:kern w:val="18"/>
          <w:sz w:val="22"/>
          <w:lang w:val="en-US"/>
        </w:rPr>
        <w:t xml:space="preserve"> </w:t>
      </w:r>
      <w:r w:rsidR="00283C57">
        <w:rPr>
          <w:noProof/>
          <w:kern w:val="18"/>
          <w:lang w:val="en-US"/>
        </w:rPr>
        <w:t>Kok and</w:t>
      </w:r>
      <w:r w:rsidRPr="00B67181">
        <w:rPr>
          <w:noProof/>
          <w:kern w:val="18"/>
          <w:lang w:val="en-US"/>
        </w:rPr>
        <w:t xml:space="preserve"> Alkemade (eds) (2014), How sectors can contribute to sustainable use and conservation of biodiversity, Secretariat of the Convention on Biological Diversity, and  PBL Netherlands Environmental Assessment Agency, Technical Series 79  (https://www.cbd.int/doc/publications/cbd-ts-79-en.pdf)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E567B9" w:rsidRPr="00CC39DD" w:rsidRDefault="0086786E" w:rsidP="00CC39DD">
        <w:pPr>
          <w:pStyle w:val="Header"/>
          <w:tabs>
            <w:tab w:val="clear" w:pos="4320"/>
            <w:tab w:val="clear" w:pos="8640"/>
          </w:tabs>
          <w:jc w:val="left"/>
          <w:rPr>
            <w:noProof/>
            <w:kern w:val="22"/>
          </w:rPr>
        </w:pPr>
        <w:r>
          <w:rPr>
            <w:noProof/>
            <w:kern w:val="22"/>
          </w:rPr>
          <w:t>CBD/COP/DEC/14/2</w:t>
        </w:r>
      </w:p>
    </w:sdtContent>
  </w:sdt>
  <w:p w:rsidR="00E567B9" w:rsidRPr="00CC39DD" w:rsidRDefault="00E567B9" w:rsidP="00CC39DD">
    <w:pPr>
      <w:pStyle w:val="Header"/>
      <w:tabs>
        <w:tab w:val="clear" w:pos="4320"/>
        <w:tab w:val="clear" w:pos="8640"/>
      </w:tabs>
      <w:jc w:val="left"/>
      <w:rPr>
        <w:noProof/>
        <w:kern w:val="22"/>
      </w:rPr>
    </w:pPr>
    <w:r w:rsidRPr="00CC39DD">
      <w:rPr>
        <w:noProof/>
        <w:kern w:val="22"/>
      </w:rPr>
      <w:t xml:space="preserve">Page </w:t>
    </w:r>
    <w:r w:rsidR="00EF4BC2" w:rsidRPr="00CC39DD">
      <w:rPr>
        <w:noProof/>
        <w:kern w:val="22"/>
      </w:rPr>
      <w:fldChar w:fldCharType="begin"/>
    </w:r>
    <w:r w:rsidRPr="00CC39DD">
      <w:rPr>
        <w:noProof/>
        <w:kern w:val="22"/>
      </w:rPr>
      <w:instrText xml:space="preserve"> PAGE   \* MERGEFORMAT </w:instrText>
    </w:r>
    <w:r w:rsidR="00EF4BC2" w:rsidRPr="00CC39DD">
      <w:rPr>
        <w:noProof/>
        <w:kern w:val="22"/>
      </w:rPr>
      <w:fldChar w:fldCharType="separate"/>
    </w:r>
    <w:r w:rsidR="00384814">
      <w:rPr>
        <w:noProof/>
        <w:kern w:val="22"/>
      </w:rPr>
      <w:t>2</w:t>
    </w:r>
    <w:r w:rsidR="00EF4BC2" w:rsidRPr="00CC39DD">
      <w:rPr>
        <w:noProof/>
        <w:kern w:val="22"/>
      </w:rPr>
      <w:fldChar w:fldCharType="end"/>
    </w:r>
  </w:p>
  <w:p w:rsidR="00E567B9" w:rsidRPr="00CC39DD" w:rsidRDefault="00E567B9" w:rsidP="00CC39DD">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E567B9" w:rsidRPr="00CC39DD" w:rsidRDefault="0086786E" w:rsidP="00CC39DD">
        <w:pPr>
          <w:pStyle w:val="Header"/>
          <w:tabs>
            <w:tab w:val="clear" w:pos="4320"/>
            <w:tab w:val="clear" w:pos="8640"/>
          </w:tabs>
          <w:jc w:val="right"/>
          <w:rPr>
            <w:noProof/>
            <w:kern w:val="22"/>
          </w:rPr>
        </w:pPr>
        <w:r>
          <w:rPr>
            <w:noProof/>
            <w:kern w:val="22"/>
          </w:rPr>
          <w:t>CBD/COP/DEC/14/2</w:t>
        </w:r>
      </w:p>
    </w:sdtContent>
  </w:sdt>
  <w:p w:rsidR="00E567B9" w:rsidRPr="00CC39DD" w:rsidRDefault="00E567B9" w:rsidP="00CC39DD">
    <w:pPr>
      <w:pStyle w:val="Header"/>
      <w:tabs>
        <w:tab w:val="clear" w:pos="4320"/>
        <w:tab w:val="clear" w:pos="8640"/>
      </w:tabs>
      <w:jc w:val="right"/>
      <w:rPr>
        <w:noProof/>
        <w:kern w:val="22"/>
      </w:rPr>
    </w:pPr>
    <w:r w:rsidRPr="00CC39DD">
      <w:rPr>
        <w:noProof/>
        <w:kern w:val="22"/>
      </w:rPr>
      <w:t xml:space="preserve">Page </w:t>
    </w:r>
    <w:r w:rsidR="00EF4BC2" w:rsidRPr="00CC39DD">
      <w:rPr>
        <w:noProof/>
        <w:kern w:val="22"/>
      </w:rPr>
      <w:fldChar w:fldCharType="begin"/>
    </w:r>
    <w:r w:rsidRPr="00CC39DD">
      <w:rPr>
        <w:noProof/>
        <w:kern w:val="22"/>
      </w:rPr>
      <w:instrText xml:space="preserve"> PAGE   \* MERGEFORMAT </w:instrText>
    </w:r>
    <w:r w:rsidR="00EF4BC2" w:rsidRPr="00CC39DD">
      <w:rPr>
        <w:noProof/>
        <w:kern w:val="22"/>
      </w:rPr>
      <w:fldChar w:fldCharType="separate"/>
    </w:r>
    <w:r w:rsidR="00384814">
      <w:rPr>
        <w:noProof/>
        <w:kern w:val="22"/>
      </w:rPr>
      <w:t>3</w:t>
    </w:r>
    <w:r w:rsidR="00EF4BC2" w:rsidRPr="00CC39DD">
      <w:rPr>
        <w:noProof/>
        <w:kern w:val="22"/>
      </w:rPr>
      <w:fldChar w:fldCharType="end"/>
    </w:r>
  </w:p>
  <w:p w:rsidR="00E567B9" w:rsidRPr="00CC39DD" w:rsidRDefault="00E567B9" w:rsidP="00CC39DD">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B8B4D43"/>
    <w:multiLevelType w:val="hybridMultilevel"/>
    <w:tmpl w:val="94CCBE0A"/>
    <w:lvl w:ilvl="0" w:tplc="E71E1F8C">
      <w:start w:val="1"/>
      <w:numFmt w:val="lowerRoman"/>
      <w:lvlText w:val="(%1)"/>
      <w:lvlJc w:val="left"/>
      <w:pPr>
        <w:ind w:left="1429" w:hanging="72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74724E0"/>
    <w:multiLevelType w:val="hybridMultilevel"/>
    <w:tmpl w:val="DB2CA574"/>
    <w:lvl w:ilvl="0" w:tplc="040C0017">
      <w:start w:val="1"/>
      <w:numFmt w:val="lowerLetter"/>
      <w:lvlText w:val="%1)"/>
      <w:lvlJc w:val="left"/>
      <w:pPr>
        <w:ind w:left="3240" w:hanging="360"/>
      </w:p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0E6677"/>
    <w:multiLevelType w:val="hybridMultilevel"/>
    <w:tmpl w:val="62B054BE"/>
    <w:lvl w:ilvl="0" w:tplc="CFB62B08">
      <w:start w:val="1"/>
      <w:numFmt w:val="decimal"/>
      <w:lvlText w:val="%1."/>
      <w:lvlJc w:val="left"/>
      <w:pPr>
        <w:tabs>
          <w:tab w:val="num" w:pos="1080"/>
        </w:tabs>
        <w:ind w:left="1080" w:hanging="360"/>
      </w:pPr>
      <w:rPr>
        <w:rFonts w:hint="default"/>
        <w:i w:val="0"/>
        <w:iCs/>
      </w:rPr>
    </w:lvl>
    <w:lvl w:ilvl="1" w:tplc="0409000F">
      <w:start w:val="1"/>
      <w:numFmt w:val="decimal"/>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8"/>
  </w:num>
  <w:num w:numId="5">
    <w:abstractNumId w:val="7"/>
  </w:num>
  <w:num w:numId="6">
    <w:abstractNumId w:val="0"/>
  </w:num>
  <w:num w:numId="7">
    <w:abstractNumId w:val="2"/>
  </w:num>
  <w:num w:numId="8">
    <w:abstractNumId w:val="5"/>
    <w:lvlOverride w:ilvl="0">
      <w:startOverride w:val="1"/>
    </w:lvlOverride>
  </w:num>
  <w:num w:numId="9">
    <w:abstractNumId w:val="12"/>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3"/>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CA"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06BDB"/>
    <w:rsid w:val="00014254"/>
    <w:rsid w:val="00034AD4"/>
    <w:rsid w:val="000446D3"/>
    <w:rsid w:val="0004555F"/>
    <w:rsid w:val="00046FA1"/>
    <w:rsid w:val="00060B74"/>
    <w:rsid w:val="00074981"/>
    <w:rsid w:val="000947A3"/>
    <w:rsid w:val="000B1F56"/>
    <w:rsid w:val="000B4CA8"/>
    <w:rsid w:val="000E673A"/>
    <w:rsid w:val="000F6126"/>
    <w:rsid w:val="000F74F5"/>
    <w:rsid w:val="00105372"/>
    <w:rsid w:val="00131E7A"/>
    <w:rsid w:val="0015619B"/>
    <w:rsid w:val="00172AF6"/>
    <w:rsid w:val="00176CEE"/>
    <w:rsid w:val="00183F86"/>
    <w:rsid w:val="001A2DB9"/>
    <w:rsid w:val="001A6D75"/>
    <w:rsid w:val="001B16C3"/>
    <w:rsid w:val="001B4B93"/>
    <w:rsid w:val="001E3669"/>
    <w:rsid w:val="001F0AE0"/>
    <w:rsid w:val="001F2325"/>
    <w:rsid w:val="002031D7"/>
    <w:rsid w:val="00205E53"/>
    <w:rsid w:val="00210A98"/>
    <w:rsid w:val="002347F3"/>
    <w:rsid w:val="002445CD"/>
    <w:rsid w:val="002540C7"/>
    <w:rsid w:val="00270F3D"/>
    <w:rsid w:val="00280A8D"/>
    <w:rsid w:val="00283C57"/>
    <w:rsid w:val="00297299"/>
    <w:rsid w:val="00347FF9"/>
    <w:rsid w:val="00372F74"/>
    <w:rsid w:val="003777A8"/>
    <w:rsid w:val="00383EBF"/>
    <w:rsid w:val="00384814"/>
    <w:rsid w:val="003D3030"/>
    <w:rsid w:val="003D708B"/>
    <w:rsid w:val="003E0411"/>
    <w:rsid w:val="003E5E37"/>
    <w:rsid w:val="003F7224"/>
    <w:rsid w:val="00403456"/>
    <w:rsid w:val="00403CFD"/>
    <w:rsid w:val="00405146"/>
    <w:rsid w:val="0042412C"/>
    <w:rsid w:val="00427D21"/>
    <w:rsid w:val="00450096"/>
    <w:rsid w:val="004644C2"/>
    <w:rsid w:val="00467F9C"/>
    <w:rsid w:val="00476FDC"/>
    <w:rsid w:val="0048059E"/>
    <w:rsid w:val="0048775C"/>
    <w:rsid w:val="004A6E32"/>
    <w:rsid w:val="004B592B"/>
    <w:rsid w:val="004D1871"/>
    <w:rsid w:val="004D4047"/>
    <w:rsid w:val="004F3096"/>
    <w:rsid w:val="00501F5F"/>
    <w:rsid w:val="0050593C"/>
    <w:rsid w:val="00505F2F"/>
    <w:rsid w:val="00530A21"/>
    <w:rsid w:val="00534681"/>
    <w:rsid w:val="00584542"/>
    <w:rsid w:val="00591879"/>
    <w:rsid w:val="005D6921"/>
    <w:rsid w:val="006122BA"/>
    <w:rsid w:val="0061445E"/>
    <w:rsid w:val="0061522D"/>
    <w:rsid w:val="00627104"/>
    <w:rsid w:val="006630D9"/>
    <w:rsid w:val="00675A65"/>
    <w:rsid w:val="0068528E"/>
    <w:rsid w:val="0069279B"/>
    <w:rsid w:val="006A135A"/>
    <w:rsid w:val="006B2290"/>
    <w:rsid w:val="006B5DDA"/>
    <w:rsid w:val="006C1C3A"/>
    <w:rsid w:val="006E3202"/>
    <w:rsid w:val="00717D88"/>
    <w:rsid w:val="007518E1"/>
    <w:rsid w:val="00771AE9"/>
    <w:rsid w:val="00773D83"/>
    <w:rsid w:val="007942D3"/>
    <w:rsid w:val="007B6C09"/>
    <w:rsid w:val="007C495A"/>
    <w:rsid w:val="007D0455"/>
    <w:rsid w:val="007E09DA"/>
    <w:rsid w:val="007E76BC"/>
    <w:rsid w:val="00817672"/>
    <w:rsid w:val="008178B6"/>
    <w:rsid w:val="00823736"/>
    <w:rsid w:val="00824694"/>
    <w:rsid w:val="00825205"/>
    <w:rsid w:val="00861C10"/>
    <w:rsid w:val="00865B74"/>
    <w:rsid w:val="0086786E"/>
    <w:rsid w:val="00870EF3"/>
    <w:rsid w:val="00892D8D"/>
    <w:rsid w:val="008C428F"/>
    <w:rsid w:val="00930BA1"/>
    <w:rsid w:val="0093169E"/>
    <w:rsid w:val="0094726F"/>
    <w:rsid w:val="009505C9"/>
    <w:rsid w:val="00955639"/>
    <w:rsid w:val="00975877"/>
    <w:rsid w:val="00976E32"/>
    <w:rsid w:val="00983214"/>
    <w:rsid w:val="009904C1"/>
    <w:rsid w:val="009944D3"/>
    <w:rsid w:val="009A6450"/>
    <w:rsid w:val="009C200D"/>
    <w:rsid w:val="009C2794"/>
    <w:rsid w:val="009C4555"/>
    <w:rsid w:val="009C4E9E"/>
    <w:rsid w:val="009D3840"/>
    <w:rsid w:val="009D397C"/>
    <w:rsid w:val="009F33E3"/>
    <w:rsid w:val="009F6C90"/>
    <w:rsid w:val="00A07CAE"/>
    <w:rsid w:val="00A14F53"/>
    <w:rsid w:val="00A33E59"/>
    <w:rsid w:val="00A529C0"/>
    <w:rsid w:val="00A543CA"/>
    <w:rsid w:val="00A81E25"/>
    <w:rsid w:val="00A9422F"/>
    <w:rsid w:val="00AD52C2"/>
    <w:rsid w:val="00AE7F43"/>
    <w:rsid w:val="00B029EA"/>
    <w:rsid w:val="00B1511B"/>
    <w:rsid w:val="00B3365E"/>
    <w:rsid w:val="00B3369F"/>
    <w:rsid w:val="00B67181"/>
    <w:rsid w:val="00B727F7"/>
    <w:rsid w:val="00BA0DE7"/>
    <w:rsid w:val="00BD0FB4"/>
    <w:rsid w:val="00BD5074"/>
    <w:rsid w:val="00BF20A5"/>
    <w:rsid w:val="00C02BA2"/>
    <w:rsid w:val="00C35B3C"/>
    <w:rsid w:val="00C417DF"/>
    <w:rsid w:val="00C456B3"/>
    <w:rsid w:val="00C66C3F"/>
    <w:rsid w:val="00C8468B"/>
    <w:rsid w:val="00C860A4"/>
    <w:rsid w:val="00C9161D"/>
    <w:rsid w:val="00C9166B"/>
    <w:rsid w:val="00C94A7A"/>
    <w:rsid w:val="00CA2400"/>
    <w:rsid w:val="00CA4E53"/>
    <w:rsid w:val="00CC39DD"/>
    <w:rsid w:val="00CF1848"/>
    <w:rsid w:val="00CF22E2"/>
    <w:rsid w:val="00D03D41"/>
    <w:rsid w:val="00D04FC1"/>
    <w:rsid w:val="00D0520F"/>
    <w:rsid w:val="00D056FF"/>
    <w:rsid w:val="00D102E0"/>
    <w:rsid w:val="00D12044"/>
    <w:rsid w:val="00D1480B"/>
    <w:rsid w:val="00D2373C"/>
    <w:rsid w:val="00D44738"/>
    <w:rsid w:val="00D47E85"/>
    <w:rsid w:val="00D56A59"/>
    <w:rsid w:val="00D64D51"/>
    <w:rsid w:val="00D67F25"/>
    <w:rsid w:val="00D76A18"/>
    <w:rsid w:val="00D76D11"/>
    <w:rsid w:val="00DA406B"/>
    <w:rsid w:val="00DA5854"/>
    <w:rsid w:val="00DC01D0"/>
    <w:rsid w:val="00DD118C"/>
    <w:rsid w:val="00DE3C62"/>
    <w:rsid w:val="00E01E30"/>
    <w:rsid w:val="00E02B23"/>
    <w:rsid w:val="00E25797"/>
    <w:rsid w:val="00E563CF"/>
    <w:rsid w:val="00E567B9"/>
    <w:rsid w:val="00E66235"/>
    <w:rsid w:val="00E83C24"/>
    <w:rsid w:val="00E9318D"/>
    <w:rsid w:val="00EA66A9"/>
    <w:rsid w:val="00EF4BC2"/>
    <w:rsid w:val="00F004B5"/>
    <w:rsid w:val="00F0077D"/>
    <w:rsid w:val="00F06C84"/>
    <w:rsid w:val="00F26C2B"/>
    <w:rsid w:val="00F3672A"/>
    <w:rsid w:val="00F516F5"/>
    <w:rsid w:val="00F60E21"/>
    <w:rsid w:val="00F70F66"/>
    <w:rsid w:val="00F77237"/>
    <w:rsid w:val="00F94031"/>
    <w:rsid w:val="00F94774"/>
    <w:rsid w:val="00FB0760"/>
    <w:rsid w:val="00FC53DB"/>
    <w:rsid w:val="00FD0386"/>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483891388">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23-fr.pdf"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3/cop-13-dec-22-fr.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publications/cbd-ts-78-en.pdf" TargetMode="External"/><Relationship Id="rId3" Type="http://schemas.openxmlformats.org/officeDocument/2006/relationships/hyperlink" Target="https://www.cbd.int/doc/c/e14b/0ad0/52a612635e7d6b8bac0b6b38/sbstta-21-inf-02-en.pdf" TargetMode="External"/><Relationship Id="rId7" Type="http://schemas.openxmlformats.org/officeDocument/2006/relationships/hyperlink" Target="https://www.ipbes.net/assessment-reports/scenarios" TargetMode="External"/><Relationship Id="rId2" Type="http://schemas.openxmlformats.org/officeDocument/2006/relationships/hyperlink" Target="https://www.cbd.int/doc/meetings/sbstta/sbstta-21/official/sbstta-21-02-add1-fr.pdf" TargetMode="External"/><Relationship Id="rId1" Type="http://schemas.openxmlformats.org/officeDocument/2006/relationships/hyperlink" Target="https://www.cbd.int/doc/c/4a22/3eba/a499b54091a1c1e22bb7b54e/sbstta-21-02-fr.pdf" TargetMode="External"/><Relationship Id="rId6" Type="http://schemas.openxmlformats.org/officeDocument/2006/relationships/hyperlink" Target="https://www.cbd.int/doc/c/e36c/2553/863a73bd3015677df8f30506/sbstta-21-inf-18-en.pdf" TargetMode="External"/><Relationship Id="rId5" Type="http://schemas.openxmlformats.org/officeDocument/2006/relationships/hyperlink" Target="https://www.cbd.int/doc/c/75db/a1d2/64d21404dca630a93407078b/sbstta-21-inf-04-en.pdf" TargetMode="External"/><Relationship Id="rId4" Type="http://schemas.openxmlformats.org/officeDocument/2006/relationships/hyperlink" Target="https://www.cbd.int/doc/c/d623/0105/bc697cf1556d8892498c3866/sbstta-21-inf-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A73960B8FC054FE88B044F1DA4A5C1AE"/>
        <w:category>
          <w:name w:val="General"/>
          <w:gallery w:val="placeholder"/>
        </w:category>
        <w:types>
          <w:type w:val="bbPlcHdr"/>
        </w:types>
        <w:behaviors>
          <w:behavior w:val="content"/>
        </w:behaviors>
        <w:guid w:val="{C5FDC1CD-70D5-4FE0-846F-B7A692344A84}"/>
      </w:docPartPr>
      <w:docPartBody>
        <w:p w:rsidR="005D3647" w:rsidRDefault="00F47F84" w:rsidP="00F47F84">
          <w:pPr>
            <w:pStyle w:val="A73960B8FC054FE88B044F1DA4A5C1AE"/>
          </w:pPr>
          <w:r w:rsidRPr="007E02EB">
            <w:rPr>
              <w:rStyle w:val="PlaceholderText"/>
            </w:rPr>
            <w:t>[Subject]</w:t>
          </w:r>
        </w:p>
      </w:docPartBody>
    </w:docPart>
    <w:docPart>
      <w:docPartPr>
        <w:name w:val="3E81A88823584EC2AE90160E93938C66"/>
        <w:category>
          <w:name w:val="General"/>
          <w:gallery w:val="placeholder"/>
        </w:category>
        <w:types>
          <w:type w:val="bbPlcHdr"/>
        </w:types>
        <w:behaviors>
          <w:behavior w:val="content"/>
        </w:behaviors>
        <w:guid w:val="{433106F3-7EAA-4638-B2BE-F67391A9DC1F}"/>
      </w:docPartPr>
      <w:docPartBody>
        <w:p w:rsidR="0005452E" w:rsidRDefault="005F0814" w:rsidP="005F0814">
          <w:pPr>
            <w:pStyle w:val="3E81A88823584EC2AE90160E93938C66"/>
          </w:pPr>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5452E"/>
    <w:rsid w:val="00261E9A"/>
    <w:rsid w:val="00466DDD"/>
    <w:rsid w:val="00500A2B"/>
    <w:rsid w:val="0058288D"/>
    <w:rsid w:val="005D3647"/>
    <w:rsid w:val="005F0814"/>
    <w:rsid w:val="006801B3"/>
    <w:rsid w:val="00681652"/>
    <w:rsid w:val="00720F63"/>
    <w:rsid w:val="007A0036"/>
    <w:rsid w:val="007F1B76"/>
    <w:rsid w:val="00810A55"/>
    <w:rsid w:val="008132D0"/>
    <w:rsid w:val="008A21BC"/>
    <w:rsid w:val="008C6619"/>
    <w:rsid w:val="008D420E"/>
    <w:rsid w:val="008F28A6"/>
    <w:rsid w:val="0098642F"/>
    <w:rsid w:val="009C37D9"/>
    <w:rsid w:val="00B51630"/>
    <w:rsid w:val="00BE576F"/>
    <w:rsid w:val="00C723C8"/>
    <w:rsid w:val="00CE6602"/>
    <w:rsid w:val="00D43CD2"/>
    <w:rsid w:val="00D63E8D"/>
    <w:rsid w:val="00D975B8"/>
    <w:rsid w:val="00E1598A"/>
    <w:rsid w:val="00F47F84"/>
    <w:rsid w:val="00F53976"/>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F0814"/>
    <w:rPr>
      <w:color w:val="808080"/>
    </w:rPr>
  </w:style>
  <w:style w:type="paragraph" w:customStyle="1" w:styleId="C444DEE40D7C456B82AF1A09CD132ABF">
    <w:name w:val="C444DEE40D7C456B82AF1A09CD132ABF"/>
    <w:rsid w:val="00CE6602"/>
    <w:pPr>
      <w:spacing w:after="160" w:line="259" w:lineRule="auto"/>
    </w:pPr>
  </w:style>
  <w:style w:type="paragraph" w:customStyle="1" w:styleId="91DED97518A844849C3049F4104C0F1C">
    <w:name w:val="91DED97518A844849C3049F4104C0F1C"/>
    <w:rsid w:val="00F47F84"/>
    <w:pPr>
      <w:spacing w:after="160" w:line="259" w:lineRule="auto"/>
    </w:pPr>
    <w:rPr>
      <w:lang w:val="en-CA" w:eastAsia="en-CA"/>
    </w:rPr>
  </w:style>
  <w:style w:type="paragraph" w:customStyle="1" w:styleId="A73960B8FC054FE88B044F1DA4A5C1AE">
    <w:name w:val="A73960B8FC054FE88B044F1DA4A5C1AE"/>
    <w:rsid w:val="00F47F84"/>
    <w:pPr>
      <w:spacing w:after="160" w:line="259" w:lineRule="auto"/>
    </w:pPr>
    <w:rPr>
      <w:lang w:val="en-CA" w:eastAsia="en-CA"/>
    </w:rPr>
  </w:style>
  <w:style w:type="paragraph" w:customStyle="1" w:styleId="567B6044A8FC48F1BFCF1E4C071551E5">
    <w:name w:val="567B6044A8FC48F1BFCF1E4C071551E5"/>
    <w:rsid w:val="005F0814"/>
    <w:rPr>
      <w:lang w:eastAsia="zh-CN"/>
    </w:rPr>
  </w:style>
  <w:style w:type="paragraph" w:customStyle="1" w:styleId="D781E8135D704711B09E01D602CA818D">
    <w:name w:val="D781E8135D704711B09E01D602CA818D"/>
    <w:rsid w:val="005F0814"/>
    <w:rPr>
      <w:lang w:eastAsia="zh-CN"/>
    </w:rPr>
  </w:style>
  <w:style w:type="paragraph" w:customStyle="1" w:styleId="3E81A88823584EC2AE90160E93938C66">
    <w:name w:val="3E81A88823584EC2AE90160E93938C66"/>
    <w:rsid w:val="005F0814"/>
    <w:rPr>
      <w:lang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2ECB90-4068-4391-BA57-7CE7D293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Scenarios for the 2050 Vision for Biodiversity</vt:lpstr>
    </vt:vector>
  </TitlesOfParts>
  <Company>SCBD</Company>
  <LinksUpToDate>false</LinksUpToDate>
  <CharactersWithSpaces>12825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Scenarios for the 2050 Vision for Biodiversity</dc:title>
  <dc:subject>CBD/COP/DEC/14/2</dc:subject>
  <dc:creator>COP 14</dc:creator>
  <cp:keywords>Long-term strategic directions to the 2050 Vision for Biodiversity, approaches to living in harmony with nature and preparation for the post-2020 global biodiversity framework, Convention on Biological Diversity</cp:keywords>
  <cp:lastModifiedBy>SCBD</cp:lastModifiedBy>
  <cp:revision>11</cp:revision>
  <cp:lastPrinted>2018-11-23T08:29:00Z</cp:lastPrinted>
  <dcterms:created xsi:type="dcterms:W3CDTF">2018-12-28T11:33:00Z</dcterms:created>
  <dcterms:modified xsi:type="dcterms:W3CDTF">2019-01-07T16:47:00Z</dcterms:modified>
  <cp:contentStatus>GÉNÉRALE</cp:contentStatus>
</cp:coreProperties>
</file>