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96589" w:rsidTr="00CD2950">
        <w:trPr>
          <w:trHeight w:val="709"/>
        </w:trPr>
        <w:tc>
          <w:tcPr>
            <w:tcW w:w="976" w:type="dxa"/>
            <w:tcBorders>
              <w:bottom w:val="single" w:sz="12" w:space="0" w:color="auto"/>
            </w:tcBorders>
          </w:tcPr>
          <w:p w:rsidR="00096589" w:rsidRDefault="00096589" w:rsidP="00CD2950">
            <w:r>
              <w:rPr>
                <w:noProof/>
                <w:lang w:val="en-GB"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096589" w:rsidRDefault="00096589" w:rsidP="00CD2950">
            <w:r>
              <w:rPr>
                <w:noProof/>
                <w:lang w:val="en-GB" w:eastAsia="en-GB"/>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096589" w:rsidRPr="00C9161D" w:rsidRDefault="00096589" w:rsidP="00CD2950">
            <w:pPr>
              <w:jc w:val="right"/>
              <w:rPr>
                <w:rFonts w:ascii="Arial" w:hAnsi="Arial" w:cs="Arial"/>
                <w:b/>
                <w:sz w:val="32"/>
                <w:szCs w:val="32"/>
              </w:rPr>
            </w:pPr>
            <w:r w:rsidRPr="00C9161D">
              <w:rPr>
                <w:rFonts w:ascii="Arial" w:hAnsi="Arial" w:cs="Arial"/>
                <w:b/>
                <w:sz w:val="32"/>
                <w:szCs w:val="32"/>
              </w:rPr>
              <w:t>CBD</w:t>
            </w:r>
          </w:p>
        </w:tc>
      </w:tr>
      <w:tr w:rsidR="00096589" w:rsidTr="00CD2950">
        <w:tc>
          <w:tcPr>
            <w:tcW w:w="6117" w:type="dxa"/>
            <w:gridSpan w:val="2"/>
            <w:tcBorders>
              <w:top w:val="single" w:sz="12" w:space="0" w:color="auto"/>
              <w:bottom w:val="single" w:sz="36" w:space="0" w:color="auto"/>
            </w:tcBorders>
            <w:vAlign w:val="center"/>
          </w:tcPr>
          <w:p w:rsidR="00096589" w:rsidRDefault="00E66392" w:rsidP="00CD2950">
            <w:r w:rsidRPr="00941EA3">
              <w:rPr>
                <w:bCs/>
                <w:noProof/>
                <w:szCs w:val="22"/>
                <w:lang w:val="en-GB" w:eastAsia="en-GB"/>
              </w:rPr>
              <w:drawing>
                <wp:inline distT="0" distB="0" distL="0" distR="0">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096589" w:rsidRPr="00C9161D" w:rsidRDefault="00096589" w:rsidP="00CD2950">
            <w:pPr>
              <w:ind w:left="1215"/>
              <w:rPr>
                <w:szCs w:val="22"/>
              </w:rPr>
            </w:pPr>
            <w:proofErr w:type="spellStart"/>
            <w:r w:rsidRPr="00C9161D">
              <w:rPr>
                <w:szCs w:val="22"/>
              </w:rPr>
              <w:t>Distr</w:t>
            </w:r>
            <w:proofErr w:type="spellEnd"/>
            <w:r w:rsidRPr="00C9161D">
              <w:rPr>
                <w:szCs w:val="22"/>
              </w:rPr>
              <w:t>.</w:t>
            </w:r>
          </w:p>
          <w:p w:rsidR="00096589" w:rsidRPr="00C9161D" w:rsidRDefault="0049394A" w:rsidP="00CD2950">
            <w:pPr>
              <w:ind w:left="1215"/>
              <w:rPr>
                <w:szCs w:val="22"/>
              </w:rPr>
            </w:pPr>
            <w:sdt>
              <w:sdtPr>
                <w:rPr>
                  <w:kern w:val="22"/>
                  <w:szCs w:val="22"/>
                </w:rPr>
                <w:alias w:val="Status"/>
                <w:tag w:val=""/>
                <w:id w:val="307985777"/>
                <w:placeholder>
                  <w:docPart w:val="568F032AC1194F09AD7FC6BE7B7AE7A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20917">
                  <w:rPr>
                    <w:kern w:val="22"/>
                    <w:szCs w:val="22"/>
                    <w:lang w:val="en-GB"/>
                  </w:rPr>
                  <w:t>GÉNÉRALE</w:t>
                </w:r>
              </w:sdtContent>
            </w:sdt>
          </w:p>
          <w:p w:rsidR="00096589" w:rsidRPr="00C9161D" w:rsidRDefault="00096589" w:rsidP="00CD2950">
            <w:pPr>
              <w:ind w:left="1215"/>
              <w:rPr>
                <w:szCs w:val="22"/>
              </w:rPr>
            </w:pPr>
          </w:p>
          <w:p w:rsidR="00096589" w:rsidRPr="00C9161D" w:rsidRDefault="0049394A" w:rsidP="00CD2950">
            <w:pPr>
              <w:ind w:left="1215"/>
              <w:rPr>
                <w:szCs w:val="22"/>
              </w:rPr>
            </w:pPr>
            <w:sdt>
              <w:sdtPr>
                <w:alias w:val="Subject"/>
                <w:tag w:val=""/>
                <w:id w:val="2137136483"/>
                <w:placeholder>
                  <w:docPart w:val="AC29AAFBEFA348BD895299FF190157C2"/>
                </w:placeholder>
                <w:dataBinding w:prefixMappings="xmlns:ns0='http://purl.org/dc/elements/1.1/' xmlns:ns1='http://schemas.openxmlformats.org/package/2006/metadata/core-properties' " w:xpath="/ns1:coreProperties[1]/ns0:subject[1]" w:storeItemID="{6C3C8BC8-F283-45AE-878A-BAB7291924A1}"/>
                <w:text/>
              </w:sdtPr>
              <w:sdtEndPr/>
              <w:sdtContent>
                <w:r w:rsidR="00120917">
                  <w:rPr>
                    <w:lang w:val="en-GB"/>
                  </w:rPr>
                  <w:t>CBD/COP/DEC/14/13</w:t>
                </w:r>
              </w:sdtContent>
            </w:sdt>
          </w:p>
          <w:p w:rsidR="00096589" w:rsidRPr="00C9161D" w:rsidRDefault="00120917" w:rsidP="00CD2950">
            <w:pPr>
              <w:ind w:left="1215"/>
              <w:rPr>
                <w:szCs w:val="22"/>
              </w:rPr>
            </w:pPr>
            <w:r>
              <w:rPr>
                <w:szCs w:val="22"/>
              </w:rPr>
              <w:t>30</w:t>
            </w:r>
            <w:r w:rsidR="00096589" w:rsidRPr="00816B15">
              <w:rPr>
                <w:szCs w:val="22"/>
              </w:rPr>
              <w:t xml:space="preserve"> </w:t>
            </w:r>
            <w:r w:rsidR="0054462D" w:rsidRPr="00816B15">
              <w:rPr>
                <w:szCs w:val="22"/>
              </w:rPr>
              <w:t>novembre</w:t>
            </w:r>
            <w:r w:rsidR="00096589" w:rsidRPr="00816B15">
              <w:rPr>
                <w:szCs w:val="22"/>
              </w:rPr>
              <w:t xml:space="preserve"> 2018</w:t>
            </w:r>
          </w:p>
          <w:p w:rsidR="00096589" w:rsidRDefault="00096589" w:rsidP="00CD2950">
            <w:pPr>
              <w:ind w:left="1215"/>
              <w:rPr>
                <w:szCs w:val="22"/>
              </w:rPr>
            </w:pPr>
          </w:p>
          <w:p w:rsidR="0054462D" w:rsidRPr="00C9161D" w:rsidRDefault="0054462D" w:rsidP="00CD2950">
            <w:pPr>
              <w:ind w:left="1215"/>
              <w:rPr>
                <w:szCs w:val="22"/>
              </w:rPr>
            </w:pPr>
            <w:r>
              <w:rPr>
                <w:szCs w:val="22"/>
              </w:rPr>
              <w:t>FRANÇAIS</w:t>
            </w:r>
          </w:p>
          <w:p w:rsidR="00096589" w:rsidRPr="0054462D" w:rsidRDefault="00120917" w:rsidP="0054462D">
            <w:pPr>
              <w:ind w:left="1215"/>
              <w:rPr>
                <w:szCs w:val="22"/>
              </w:rPr>
            </w:pPr>
            <w:r>
              <w:rPr>
                <w:szCs w:val="22"/>
              </w:rPr>
              <w:t>ORIGINAL :</w:t>
            </w:r>
            <w:r w:rsidR="00096589">
              <w:rPr>
                <w:szCs w:val="22"/>
              </w:rPr>
              <w:t xml:space="preserve"> </w:t>
            </w:r>
            <w:r w:rsidR="0054462D">
              <w:rPr>
                <w:szCs w:val="22"/>
              </w:rPr>
              <w:t>ANGLAIS</w:t>
            </w:r>
          </w:p>
        </w:tc>
      </w:tr>
    </w:tbl>
    <w:p w:rsidR="007E2555" w:rsidRPr="00816B15" w:rsidRDefault="007E2555" w:rsidP="007E2555">
      <w:pPr>
        <w:pStyle w:val="NoSpacing"/>
        <w:ind w:left="142" w:right="4682" w:hanging="142"/>
        <w:rPr>
          <w:rFonts w:ascii="Times New Roman" w:hAnsi="Times New Roman"/>
          <w:lang w:val="fr-CA"/>
        </w:rPr>
      </w:pPr>
      <w:r w:rsidRPr="00816B15">
        <w:rPr>
          <w:rFonts w:ascii="Times New Roman" w:hAnsi="Times New Roman"/>
          <w:lang w:val="fr-CA"/>
        </w:rPr>
        <w:t>CONFÉRENCE DES PARTIES À LA CONVENTION SUR LA DIVERSITÉ BIOLOGIQUE</w:t>
      </w:r>
    </w:p>
    <w:p w:rsidR="007E2555" w:rsidRPr="00816B15" w:rsidRDefault="007E2555" w:rsidP="007E2555">
      <w:pPr>
        <w:pStyle w:val="NoSpacing"/>
        <w:rPr>
          <w:rFonts w:ascii="Times New Roman" w:hAnsi="Times New Roman"/>
          <w:lang w:val="fr-CA"/>
        </w:rPr>
      </w:pPr>
      <w:r w:rsidRPr="00816B15">
        <w:rPr>
          <w:rFonts w:ascii="Times New Roman" w:hAnsi="Times New Roman"/>
          <w:lang w:val="fr-CA"/>
        </w:rPr>
        <w:t xml:space="preserve">Quatorzième </w:t>
      </w:r>
      <w:r w:rsidR="00120917">
        <w:rPr>
          <w:rFonts w:ascii="Times New Roman" w:hAnsi="Times New Roman"/>
          <w:lang w:val="fr-CA"/>
        </w:rPr>
        <w:t>ré</w:t>
      </w:r>
      <w:r w:rsidR="00E66392" w:rsidRPr="00816B15">
        <w:rPr>
          <w:rFonts w:ascii="Times New Roman" w:hAnsi="Times New Roman"/>
          <w:lang w:val="fr-CA"/>
        </w:rPr>
        <w:t xml:space="preserve">union </w:t>
      </w:r>
    </w:p>
    <w:p w:rsidR="007E2555" w:rsidRPr="005220C0" w:rsidRDefault="00120917" w:rsidP="007E2555">
      <w:pPr>
        <w:pStyle w:val="NoSpacing"/>
        <w:rPr>
          <w:rFonts w:ascii="Times New Roman" w:hAnsi="Times New Roman"/>
          <w:lang w:val="fr-FR"/>
        </w:rPr>
      </w:pPr>
      <w:proofErr w:type="spellStart"/>
      <w:r>
        <w:rPr>
          <w:rFonts w:ascii="Times New Roman" w:hAnsi="Times New Roman"/>
          <w:lang w:val="fr-CA"/>
        </w:rPr>
        <w:t>Charm</w:t>
      </w:r>
      <w:proofErr w:type="spellEnd"/>
      <w:r>
        <w:rPr>
          <w:rFonts w:ascii="Times New Roman" w:hAnsi="Times New Roman"/>
          <w:lang w:val="fr-CA"/>
        </w:rPr>
        <w:t xml:space="preserve"> el-C</w:t>
      </w:r>
      <w:r w:rsidR="007E2555" w:rsidRPr="00816B15">
        <w:rPr>
          <w:rFonts w:ascii="Times New Roman" w:hAnsi="Times New Roman"/>
          <w:lang w:val="fr-CA"/>
        </w:rPr>
        <w:t>heikh, Égypte, 17-29 novembre</w:t>
      </w:r>
      <w:r w:rsidR="007E2555" w:rsidRPr="005220C0">
        <w:rPr>
          <w:rFonts w:ascii="Times New Roman" w:hAnsi="Times New Roman"/>
          <w:lang w:val="fr-FR"/>
        </w:rPr>
        <w:t xml:space="preserve"> 2018</w:t>
      </w:r>
    </w:p>
    <w:p w:rsidR="00C9161D" w:rsidRDefault="007E2555" w:rsidP="007E2555">
      <w:pPr>
        <w:rPr>
          <w:lang w:val="fr-FR"/>
        </w:rPr>
      </w:pPr>
      <w:r w:rsidRPr="005F264D">
        <w:rPr>
          <w:lang w:val="fr-FR"/>
        </w:rPr>
        <w:t>Point 19 de l'ordre du jour</w:t>
      </w:r>
    </w:p>
    <w:p w:rsidR="00120917" w:rsidRPr="00120917" w:rsidRDefault="00120917" w:rsidP="00120917">
      <w:pPr>
        <w:spacing w:before="120" w:after="120"/>
        <w:jc w:val="center"/>
        <w:rPr>
          <w:b/>
        </w:rPr>
      </w:pPr>
      <w:r>
        <w:rPr>
          <w:b/>
          <w:lang w:val="fr-FR"/>
        </w:rPr>
        <w:t>DÉCISION ADOPTÉE PAR LA CONFÉRENCE DES PARTIES À LA CONVENTION SUR LA DIVERSITÉ BIOLOGIQUE</w:t>
      </w:r>
    </w:p>
    <w:p w:rsidR="00C9161D" w:rsidRDefault="0049394A" w:rsidP="00120917">
      <w:pPr>
        <w:spacing w:before="120" w:after="240"/>
        <w:ind w:left="1701" w:hanging="992"/>
        <w:jc w:val="left"/>
        <w:rPr>
          <w:b/>
          <w:caps/>
        </w:rPr>
      </w:pPr>
      <w:sdt>
        <w:sdtPr>
          <w:rPr>
            <w:rFonts w:eastAsiaTheme="majorEastAsia"/>
            <w:b/>
            <w:cap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20917">
            <w:rPr>
              <w:rFonts w:eastAsiaTheme="majorEastAsia"/>
              <w:b/>
              <w:caps/>
              <w:lang w:val="fr-FR"/>
            </w:rPr>
            <w:t>14/13.</w:t>
          </w:r>
          <w:r w:rsidR="00120917">
            <w:rPr>
              <w:rFonts w:eastAsiaTheme="majorEastAsia"/>
              <w:b/>
              <w:caps/>
              <w:lang w:val="fr-FR"/>
            </w:rPr>
            <w:tab/>
          </w:r>
          <w:r w:rsidR="00120917" w:rsidRPr="007E2555">
            <w:rPr>
              <w:rFonts w:eastAsiaTheme="majorEastAsia"/>
              <w:b/>
              <w:lang w:val="fr-FR"/>
            </w:rPr>
            <w:t>Glossaire des princ</w:t>
          </w:r>
          <w:r w:rsidR="00120917">
            <w:rPr>
              <w:rFonts w:eastAsiaTheme="majorEastAsia"/>
              <w:b/>
              <w:lang w:val="fr-FR"/>
            </w:rPr>
            <w:t>ipaux termes et concepts utilisé</w:t>
          </w:r>
          <w:r w:rsidR="00120917" w:rsidRPr="007E2555">
            <w:rPr>
              <w:rFonts w:eastAsiaTheme="majorEastAsia"/>
              <w:b/>
              <w:lang w:val="fr-FR"/>
            </w:rPr>
            <w:t>s dans le cont</w:t>
          </w:r>
          <w:r w:rsidR="00120917">
            <w:rPr>
              <w:rFonts w:eastAsiaTheme="majorEastAsia"/>
              <w:b/>
              <w:lang w:val="fr-FR"/>
            </w:rPr>
            <w:t>exte de l'article 8j) et des dispositions</w:t>
          </w:r>
          <w:r w:rsidR="00120917" w:rsidRPr="007E2555">
            <w:rPr>
              <w:rFonts w:eastAsiaTheme="majorEastAsia"/>
              <w:b/>
              <w:lang w:val="fr-FR"/>
            </w:rPr>
            <w:t xml:space="preserve"> connexes</w:t>
          </w:r>
        </w:sdtContent>
      </w:sdt>
      <w:r w:rsidR="00105372" w:rsidRPr="00105372">
        <w:rPr>
          <w:b/>
          <w:caps/>
        </w:rPr>
        <w:t xml:space="preserve"> </w:t>
      </w:r>
    </w:p>
    <w:p w:rsidR="007E2555" w:rsidRPr="0055021F" w:rsidRDefault="007E2555" w:rsidP="007E2555">
      <w:pPr>
        <w:suppressLineNumbers/>
        <w:suppressAutoHyphens/>
        <w:spacing w:before="120" w:after="120"/>
        <w:ind w:firstLine="720"/>
        <w:rPr>
          <w:kern w:val="22"/>
          <w:szCs w:val="22"/>
          <w:lang w:val="fr-FR"/>
        </w:rPr>
      </w:pPr>
      <w:r w:rsidRPr="0055021F">
        <w:rPr>
          <w:i/>
          <w:kern w:val="22"/>
          <w:szCs w:val="22"/>
          <w:lang w:val="fr-FR"/>
        </w:rPr>
        <w:t>La Conférence des Parties</w:t>
      </w:r>
      <w:r w:rsidRPr="0055021F">
        <w:rPr>
          <w:iCs/>
          <w:kern w:val="22"/>
          <w:szCs w:val="22"/>
          <w:lang w:val="fr-FR"/>
        </w:rPr>
        <w:t>,</w:t>
      </w:r>
    </w:p>
    <w:p w:rsidR="007E2555" w:rsidRPr="0055021F" w:rsidRDefault="007E2555" w:rsidP="007E2555">
      <w:pPr>
        <w:suppressLineNumbers/>
        <w:suppressAutoHyphens/>
        <w:spacing w:before="120" w:after="120"/>
        <w:ind w:firstLine="720"/>
        <w:rPr>
          <w:kern w:val="22"/>
          <w:szCs w:val="22"/>
          <w:lang w:val="fr-FR"/>
        </w:rPr>
      </w:pPr>
      <w:r>
        <w:rPr>
          <w:i/>
          <w:color w:val="000000"/>
          <w:kern w:val="22"/>
        </w:rPr>
        <w:t>Prenant note</w:t>
      </w:r>
      <w:r w:rsidRPr="00423394">
        <w:rPr>
          <w:i/>
          <w:color w:val="000000"/>
          <w:kern w:val="22"/>
        </w:rPr>
        <w:t xml:space="preserve"> </w:t>
      </w:r>
      <w:r w:rsidR="00120917">
        <w:rPr>
          <w:color w:val="000000"/>
          <w:kern w:val="22"/>
        </w:rPr>
        <w:t>du fait que la</w:t>
      </w:r>
      <w:r>
        <w:rPr>
          <w:color w:val="000000"/>
          <w:kern w:val="22"/>
        </w:rPr>
        <w:t xml:space="preserve"> clart</w:t>
      </w:r>
      <w:r w:rsidRPr="00423394">
        <w:rPr>
          <w:color w:val="000000"/>
          <w:kern w:val="22"/>
        </w:rPr>
        <w:t xml:space="preserve">é </w:t>
      </w:r>
      <w:r>
        <w:rPr>
          <w:color w:val="000000"/>
          <w:kern w:val="22"/>
        </w:rPr>
        <w:t>dans l’utilisation des termes et concepts dans le contexte de l’article 8 j) et d</w:t>
      </w:r>
      <w:r w:rsidRPr="00423394">
        <w:rPr>
          <w:color w:val="000000"/>
          <w:kern w:val="22"/>
        </w:rPr>
        <w:t xml:space="preserve">es dispositions connexes peut </w:t>
      </w:r>
      <w:r>
        <w:rPr>
          <w:color w:val="000000"/>
          <w:kern w:val="22"/>
        </w:rPr>
        <w:t xml:space="preserve">contribuer à une interprétation commune et faciliter leur application, afin d’atteindre </w:t>
      </w:r>
      <w:r w:rsidRPr="00423394">
        <w:rPr>
          <w:color w:val="000000"/>
          <w:kern w:val="22"/>
        </w:rPr>
        <w:t>l’O</w:t>
      </w:r>
      <w:r>
        <w:rPr>
          <w:color w:val="000000"/>
          <w:kern w:val="22"/>
        </w:rPr>
        <w:t xml:space="preserve">bjectif 18 d’Aichi pour la biodiversité </w:t>
      </w:r>
      <w:r w:rsidRPr="00423394">
        <w:rPr>
          <w:color w:val="000000"/>
          <w:kern w:val="22"/>
        </w:rPr>
        <w:t>d’ici à 2020,</w:t>
      </w:r>
    </w:p>
    <w:p w:rsidR="007E2555" w:rsidRPr="0055021F" w:rsidRDefault="007E2555" w:rsidP="007E2555">
      <w:pPr>
        <w:suppressLineNumbers/>
        <w:suppressAutoHyphens/>
        <w:spacing w:before="120" w:after="120"/>
        <w:ind w:firstLine="720"/>
        <w:rPr>
          <w:kern w:val="22"/>
          <w:szCs w:val="22"/>
          <w:lang w:val="fr-FR"/>
        </w:rPr>
      </w:pPr>
      <w:r>
        <w:rPr>
          <w:i/>
          <w:color w:val="000000"/>
          <w:kern w:val="22"/>
        </w:rPr>
        <w:t xml:space="preserve">Prenant note </w:t>
      </w:r>
      <w:r w:rsidRPr="00423394">
        <w:rPr>
          <w:i/>
          <w:color w:val="000000"/>
          <w:kern w:val="22"/>
        </w:rPr>
        <w:t xml:space="preserve">également </w:t>
      </w:r>
      <w:r>
        <w:rPr>
          <w:color w:val="000000"/>
          <w:kern w:val="22"/>
        </w:rPr>
        <w:t>du fait qu’une interprétation</w:t>
      </w:r>
      <w:r w:rsidRPr="00423394">
        <w:rPr>
          <w:color w:val="000000"/>
          <w:kern w:val="22"/>
        </w:rPr>
        <w:t xml:space="preserve"> commun</w:t>
      </w:r>
      <w:r>
        <w:rPr>
          <w:color w:val="000000"/>
          <w:kern w:val="22"/>
        </w:rPr>
        <w:t>e</w:t>
      </w:r>
      <w:r w:rsidRPr="00423394">
        <w:rPr>
          <w:color w:val="000000"/>
          <w:kern w:val="22"/>
        </w:rPr>
        <w:t xml:space="preserve"> des principaux termes et concepts</w:t>
      </w:r>
      <w:r>
        <w:rPr>
          <w:color w:val="000000"/>
          <w:kern w:val="22"/>
        </w:rPr>
        <w:t xml:space="preserve"> utilisés</w:t>
      </w:r>
      <w:r w:rsidRPr="00423394">
        <w:rPr>
          <w:color w:val="000000"/>
          <w:kern w:val="22"/>
        </w:rPr>
        <w:t xml:space="preserve"> dans le</w:t>
      </w:r>
      <w:r>
        <w:rPr>
          <w:color w:val="000000"/>
          <w:kern w:val="22"/>
        </w:rPr>
        <w:t xml:space="preserve"> contexte de l’article 8 j) et d</w:t>
      </w:r>
      <w:r w:rsidRPr="00423394">
        <w:rPr>
          <w:color w:val="000000"/>
          <w:kern w:val="22"/>
        </w:rPr>
        <w:t>es</w:t>
      </w:r>
      <w:r>
        <w:rPr>
          <w:color w:val="000000"/>
          <w:kern w:val="22"/>
        </w:rPr>
        <w:t xml:space="preserve"> dispositions connexes durant l</w:t>
      </w:r>
      <w:r w:rsidRPr="00423394">
        <w:rPr>
          <w:color w:val="000000"/>
          <w:kern w:val="22"/>
        </w:rPr>
        <w:t xml:space="preserve">es </w:t>
      </w:r>
      <w:r>
        <w:rPr>
          <w:color w:val="000000"/>
          <w:kern w:val="22"/>
        </w:rPr>
        <w:t>réunions tenues au titre de la Convention peut aider les Parties à parvenir à un consensus sur les</w:t>
      </w:r>
      <w:r w:rsidRPr="00423394">
        <w:rPr>
          <w:color w:val="000000"/>
          <w:kern w:val="22"/>
        </w:rPr>
        <w:t xml:space="preserve"> futures décision</w:t>
      </w:r>
      <w:r>
        <w:rPr>
          <w:color w:val="000000"/>
          <w:kern w:val="22"/>
        </w:rPr>
        <w:t>s et orientat</w:t>
      </w:r>
      <w:r w:rsidRPr="00423394">
        <w:rPr>
          <w:color w:val="000000"/>
          <w:kern w:val="22"/>
        </w:rPr>
        <w:t xml:space="preserve">ions prises </w:t>
      </w:r>
      <w:r>
        <w:rPr>
          <w:color w:val="000000"/>
          <w:kern w:val="22"/>
        </w:rPr>
        <w:t>au titre de</w:t>
      </w:r>
      <w:r w:rsidRPr="00423394">
        <w:rPr>
          <w:color w:val="000000"/>
          <w:kern w:val="22"/>
        </w:rPr>
        <w:t xml:space="preserve"> la Convention, y compris </w:t>
      </w:r>
      <w:r>
        <w:rPr>
          <w:color w:val="000000"/>
          <w:kern w:val="22"/>
        </w:rPr>
        <w:t xml:space="preserve">dans l’élaboration d’arrangements pour </w:t>
      </w:r>
      <w:r w:rsidRPr="00423394">
        <w:rPr>
          <w:color w:val="000000"/>
          <w:kern w:val="22"/>
        </w:rPr>
        <w:t>l’après-2020,</w:t>
      </w:r>
    </w:p>
    <w:p w:rsidR="007E2555" w:rsidRPr="00FF16BF" w:rsidRDefault="007E2555" w:rsidP="007E2555">
      <w:pPr>
        <w:suppressLineNumbers/>
        <w:suppressAutoHyphens/>
        <w:spacing w:before="120" w:after="120"/>
        <w:ind w:firstLine="720"/>
        <w:rPr>
          <w:rFonts w:eastAsia="Calibri"/>
          <w:kern w:val="22"/>
          <w:szCs w:val="22"/>
          <w:lang w:val="fr-FR"/>
        </w:rPr>
      </w:pPr>
      <w:r w:rsidRPr="00FF16BF">
        <w:rPr>
          <w:i/>
          <w:color w:val="000000"/>
          <w:kern w:val="22"/>
          <w:lang w:eastAsia="en-CA"/>
        </w:rPr>
        <w:t xml:space="preserve">Soulignant </w:t>
      </w:r>
      <w:r w:rsidRPr="00FF16BF">
        <w:rPr>
          <w:color w:val="000000"/>
          <w:kern w:val="22"/>
          <w:lang w:eastAsia="en-CA"/>
        </w:rPr>
        <w:t>que l’emploi du glossaire se fait sans préjudice de la terminologie utilisée par la Convention et ne constitue pas une interprétation de la Convention ou de l’application de ses dispositions, conformément à la Convention de Vienne sur le droit des traités</w:t>
      </w:r>
      <w:r w:rsidRPr="00FF16BF">
        <w:rPr>
          <w:rFonts w:eastAsiaTheme="majorEastAsia"/>
          <w:color w:val="000000"/>
          <w:kern w:val="22"/>
          <w:szCs w:val="22"/>
          <w:vertAlign w:val="superscript"/>
          <w:lang w:eastAsia="en-CA"/>
        </w:rPr>
        <w:footnoteReference w:id="1"/>
      </w:r>
      <w:r w:rsidRPr="00FF16BF">
        <w:rPr>
          <w:color w:val="000000"/>
          <w:kern w:val="22"/>
          <w:lang w:eastAsia="en-CA"/>
        </w:rPr>
        <w:t>, et se fait sans préjudice des autres débats menés sur la terminologie dans d’autres instance</w:t>
      </w:r>
      <w:r>
        <w:rPr>
          <w:color w:val="000000"/>
          <w:kern w:val="22"/>
          <w:lang w:eastAsia="en-CA"/>
        </w:rPr>
        <w:t>s</w:t>
      </w:r>
      <w:r w:rsidRPr="00FF16BF">
        <w:rPr>
          <w:color w:val="000000"/>
          <w:kern w:val="22"/>
          <w:lang w:eastAsia="en-CA"/>
        </w:rPr>
        <w:t xml:space="preserve"> internationales,</w:t>
      </w:r>
    </w:p>
    <w:p w:rsidR="007E2555" w:rsidRPr="00FF16BF" w:rsidRDefault="007E2555" w:rsidP="007E2555">
      <w:pPr>
        <w:suppressLineNumbers/>
        <w:suppressAutoHyphens/>
        <w:spacing w:before="120" w:after="120"/>
        <w:ind w:firstLine="720"/>
        <w:rPr>
          <w:kern w:val="22"/>
          <w:szCs w:val="22"/>
          <w:lang w:val="fr-FR"/>
        </w:rPr>
      </w:pPr>
      <w:r w:rsidRPr="00FF16BF">
        <w:rPr>
          <w:kern w:val="22"/>
          <w:szCs w:val="22"/>
          <w:lang w:val="fr-FR"/>
        </w:rPr>
        <w:t>1.</w:t>
      </w:r>
      <w:r w:rsidRPr="00FF16BF">
        <w:rPr>
          <w:i/>
          <w:kern w:val="22"/>
          <w:szCs w:val="22"/>
          <w:lang w:val="fr-FR"/>
        </w:rPr>
        <w:tab/>
      </w:r>
      <w:r>
        <w:rPr>
          <w:i/>
          <w:color w:val="000000"/>
          <w:kern w:val="22"/>
        </w:rPr>
        <w:t>Adopt</w:t>
      </w:r>
      <w:r w:rsidRPr="00423394">
        <w:rPr>
          <w:i/>
          <w:color w:val="000000"/>
          <w:kern w:val="22"/>
        </w:rPr>
        <w:t>e</w:t>
      </w:r>
      <w:r>
        <w:rPr>
          <w:i/>
          <w:color w:val="000000"/>
          <w:kern w:val="22"/>
        </w:rPr>
        <w:t xml:space="preserve"> </w:t>
      </w:r>
      <w:r w:rsidRPr="00FB77CF">
        <w:rPr>
          <w:color w:val="000000"/>
          <w:kern w:val="22"/>
        </w:rPr>
        <w:t>le</w:t>
      </w:r>
      <w:r w:rsidRPr="00423394">
        <w:rPr>
          <w:i/>
          <w:color w:val="000000"/>
          <w:kern w:val="22"/>
        </w:rPr>
        <w:t xml:space="preserve"> </w:t>
      </w:r>
      <w:r>
        <w:rPr>
          <w:color w:val="000000"/>
          <w:kern w:val="22"/>
        </w:rPr>
        <w:t>glossaire facultatif des principaux term</w:t>
      </w:r>
      <w:r w:rsidRPr="00423394">
        <w:rPr>
          <w:color w:val="000000"/>
          <w:kern w:val="22"/>
        </w:rPr>
        <w:t xml:space="preserve">es et concepts utilisés dans le </w:t>
      </w:r>
      <w:r>
        <w:rPr>
          <w:color w:val="000000"/>
          <w:kern w:val="22"/>
        </w:rPr>
        <w:t>contexte</w:t>
      </w:r>
      <w:r w:rsidRPr="00423394">
        <w:rPr>
          <w:color w:val="000000"/>
          <w:kern w:val="22"/>
        </w:rPr>
        <w:t xml:space="preserve"> de l’article </w:t>
      </w:r>
      <w:r w:rsidRPr="00423394">
        <w:t>8 j</w:t>
      </w:r>
      <w:r>
        <w:rPr>
          <w:color w:val="000000"/>
          <w:kern w:val="22"/>
        </w:rPr>
        <w:t>) et des dispositions</w:t>
      </w:r>
      <w:r w:rsidR="00120917">
        <w:rPr>
          <w:color w:val="000000"/>
          <w:kern w:val="22"/>
        </w:rPr>
        <w:t xml:space="preserve"> connexes, tel qu’il figure à</w:t>
      </w:r>
      <w:r>
        <w:rPr>
          <w:color w:val="000000"/>
          <w:kern w:val="22"/>
        </w:rPr>
        <w:t xml:space="preserve"> l’</w:t>
      </w:r>
      <w:r w:rsidR="00120917">
        <w:rPr>
          <w:color w:val="000000"/>
          <w:kern w:val="22"/>
        </w:rPr>
        <w:t>annexe de</w:t>
      </w:r>
      <w:r w:rsidRPr="00423394">
        <w:rPr>
          <w:color w:val="000000"/>
          <w:kern w:val="22"/>
        </w:rPr>
        <w:t xml:space="preserve"> la présente </w:t>
      </w:r>
      <w:r w:rsidR="00120917">
        <w:rPr>
          <w:color w:val="000000"/>
          <w:kern w:val="22"/>
        </w:rPr>
        <w:t xml:space="preserve">décision, </w:t>
      </w:r>
      <w:r>
        <w:rPr>
          <w:color w:val="000000"/>
          <w:kern w:val="22"/>
        </w:rPr>
        <w:t>compte</w:t>
      </w:r>
      <w:r w:rsidR="00120917">
        <w:rPr>
          <w:color w:val="000000"/>
          <w:kern w:val="22"/>
        </w:rPr>
        <w:t xml:space="preserve"> tenu</w:t>
      </w:r>
      <w:r>
        <w:rPr>
          <w:color w:val="000000"/>
          <w:kern w:val="22"/>
        </w:rPr>
        <w:t xml:space="preserve"> du fait que les termes et les concepts sont subordonnés à la législation nationale et aux diverses circonstances nationales de chaque Partie ou </w:t>
      </w:r>
      <w:bookmarkStart w:id="0" w:name="_GoBack"/>
      <w:r>
        <w:rPr>
          <w:color w:val="000000"/>
          <w:kern w:val="22"/>
        </w:rPr>
        <w:t>gouvernement</w:t>
      </w:r>
      <w:bookmarkEnd w:id="0"/>
      <w:r>
        <w:rPr>
          <w:color w:val="000000"/>
          <w:kern w:val="22"/>
        </w:rPr>
        <w:t>, et que nombre de Parties ont adopté une interprétation spécifique des termes et concepts qui peut déjà s’appliquer dans leur juridiction</w:t>
      </w:r>
      <w:r w:rsidRPr="00423394">
        <w:t> </w:t>
      </w:r>
      <w:r w:rsidRPr="00FF16BF">
        <w:rPr>
          <w:kern w:val="22"/>
          <w:szCs w:val="22"/>
          <w:lang w:val="fr-FR"/>
        </w:rPr>
        <w:t>;</w:t>
      </w:r>
    </w:p>
    <w:p w:rsidR="007E2555" w:rsidRPr="003F7333" w:rsidRDefault="007E2555" w:rsidP="007E2555">
      <w:pPr>
        <w:suppressLineNumbers/>
        <w:suppressAutoHyphens/>
        <w:spacing w:before="120" w:after="120"/>
        <w:ind w:firstLine="720"/>
        <w:rPr>
          <w:rFonts w:eastAsia="Batang"/>
          <w:kern w:val="22"/>
          <w:szCs w:val="22"/>
          <w:lang w:val="fr-FR" w:eastAsia="ko-KR"/>
        </w:rPr>
      </w:pPr>
      <w:r w:rsidRPr="003F7333">
        <w:rPr>
          <w:rFonts w:eastAsia="Batang"/>
          <w:kern w:val="22"/>
          <w:szCs w:val="22"/>
          <w:lang w:val="fr-FR" w:eastAsia="ko-KR"/>
        </w:rPr>
        <w:t>2.</w:t>
      </w:r>
      <w:r w:rsidRPr="003F7333">
        <w:rPr>
          <w:rFonts w:eastAsia="Batang"/>
          <w:i/>
          <w:kern w:val="22"/>
          <w:szCs w:val="22"/>
          <w:lang w:val="fr-FR" w:eastAsia="ko-KR"/>
        </w:rPr>
        <w:tab/>
      </w:r>
      <w:r w:rsidRPr="00423394">
        <w:rPr>
          <w:rFonts w:eastAsia="Batang"/>
          <w:i/>
          <w:color w:val="000000"/>
          <w:kern w:val="22"/>
          <w:lang w:eastAsia="ko-KR"/>
        </w:rPr>
        <w:t xml:space="preserve">Encourage </w:t>
      </w:r>
      <w:r w:rsidRPr="00423394">
        <w:rPr>
          <w:rFonts w:eastAsia="Batang"/>
          <w:color w:val="000000"/>
          <w:kern w:val="22"/>
          <w:lang w:eastAsia="ko-KR"/>
        </w:rPr>
        <w:t>les Parties, les autres gouvernements et les observateurs</w:t>
      </w:r>
      <w:r>
        <w:rPr>
          <w:rFonts w:eastAsia="Batang"/>
          <w:color w:val="000000"/>
          <w:kern w:val="22"/>
          <w:lang w:eastAsia="ko-KR"/>
        </w:rPr>
        <w:t xml:space="preserve">, avec la </w:t>
      </w:r>
      <w:r w:rsidR="009F70C4">
        <w:rPr>
          <w:rFonts w:eastAsia="Batang"/>
          <w:color w:val="000000"/>
          <w:kern w:val="22"/>
          <w:lang w:eastAsia="ko-KR"/>
        </w:rPr>
        <w:t>participation pleine et effective</w:t>
      </w:r>
      <w:r>
        <w:rPr>
          <w:rFonts w:eastAsia="Batang"/>
          <w:color w:val="000000"/>
          <w:kern w:val="22"/>
          <w:lang w:eastAsia="ko-KR"/>
        </w:rPr>
        <w:t xml:space="preserve"> des peuples autochtones et des communautés locales, à diffuser et</w:t>
      </w:r>
      <w:r w:rsidRPr="00423394">
        <w:rPr>
          <w:rFonts w:eastAsia="Batang"/>
          <w:color w:val="000000"/>
          <w:kern w:val="22"/>
          <w:lang w:eastAsia="ko-KR"/>
        </w:rPr>
        <w:t xml:space="preserve"> à utiliser le glossaire</w:t>
      </w:r>
      <w:r>
        <w:rPr>
          <w:rFonts w:eastAsia="Batang"/>
          <w:color w:val="000000"/>
          <w:kern w:val="22"/>
          <w:lang w:eastAsia="ko-KR"/>
        </w:rPr>
        <w:t xml:space="preserve"> pour appuyer l’application de l’article 8 j) et des dispositions connexes, conformément à la législation et aux circonstances nationales</w:t>
      </w:r>
      <w:r w:rsidRPr="00423394">
        <w:rPr>
          <w:rFonts w:eastAsia="Batang"/>
          <w:color w:val="000000"/>
          <w:kern w:val="22"/>
          <w:lang w:eastAsia="ko-KR"/>
        </w:rPr>
        <w:t>, selon qu’il convient</w:t>
      </w:r>
      <w:r>
        <w:rPr>
          <w:rFonts w:eastAsia="Batang"/>
          <w:color w:val="000000"/>
          <w:kern w:val="22"/>
          <w:lang w:eastAsia="ko-KR"/>
        </w:rPr>
        <w:t>, et à en tenir compte dans le</w:t>
      </w:r>
      <w:r w:rsidRPr="00423394">
        <w:rPr>
          <w:rFonts w:eastAsia="Batang"/>
          <w:color w:val="000000"/>
          <w:kern w:val="22"/>
          <w:lang w:eastAsia="ko-KR"/>
        </w:rPr>
        <w:t xml:space="preserve">s futurs travaux </w:t>
      </w:r>
      <w:r>
        <w:rPr>
          <w:rFonts w:eastAsia="Batang"/>
          <w:color w:val="000000"/>
          <w:kern w:val="22"/>
          <w:lang w:eastAsia="ko-KR"/>
        </w:rPr>
        <w:t xml:space="preserve">menés </w:t>
      </w:r>
      <w:r w:rsidRPr="00423394">
        <w:rPr>
          <w:rFonts w:eastAsia="Batang"/>
          <w:color w:val="000000"/>
          <w:kern w:val="22"/>
          <w:lang w:eastAsia="ko-KR"/>
        </w:rPr>
        <w:t>au titre de la Convention</w:t>
      </w:r>
      <w:r>
        <w:rPr>
          <w:rFonts w:eastAsia="Batang"/>
          <w:color w:val="000000"/>
          <w:kern w:val="22"/>
          <w:lang w:eastAsia="ko-KR"/>
        </w:rPr>
        <w:t xml:space="preserve"> </w:t>
      </w:r>
      <w:r w:rsidRPr="003F7333">
        <w:rPr>
          <w:rFonts w:eastAsia="Batang"/>
          <w:kern w:val="22"/>
          <w:szCs w:val="22"/>
          <w:lang w:val="fr-FR" w:eastAsia="ko-KR"/>
        </w:rPr>
        <w:t>;</w:t>
      </w:r>
    </w:p>
    <w:p w:rsidR="007E2555" w:rsidRPr="003F7333" w:rsidRDefault="007E2555" w:rsidP="007E2555">
      <w:pPr>
        <w:suppressLineNumbers/>
        <w:suppressAutoHyphens/>
        <w:spacing w:before="120" w:after="120"/>
        <w:ind w:firstLine="720"/>
        <w:rPr>
          <w:rFonts w:eastAsia="Batang"/>
          <w:kern w:val="22"/>
          <w:szCs w:val="22"/>
          <w:lang w:val="fr-FR" w:eastAsia="ko-KR"/>
        </w:rPr>
      </w:pPr>
      <w:r w:rsidRPr="003F7333">
        <w:rPr>
          <w:rFonts w:eastAsia="Batang"/>
          <w:kern w:val="22"/>
          <w:szCs w:val="22"/>
          <w:lang w:val="fr-FR" w:eastAsia="ko-KR"/>
        </w:rPr>
        <w:t>3.</w:t>
      </w:r>
      <w:r w:rsidRPr="003F7333">
        <w:rPr>
          <w:rFonts w:eastAsia="Batang"/>
          <w:kern w:val="22"/>
          <w:szCs w:val="22"/>
          <w:lang w:val="fr-FR" w:eastAsia="ko-KR"/>
        </w:rPr>
        <w:tab/>
      </w:r>
      <w:r w:rsidRPr="00423394">
        <w:rPr>
          <w:rFonts w:eastAsia="Batang"/>
          <w:i/>
          <w:color w:val="000000"/>
          <w:kern w:val="22"/>
          <w:lang w:eastAsia="ko-KR"/>
        </w:rPr>
        <w:t xml:space="preserve">Prie </w:t>
      </w:r>
      <w:r w:rsidRPr="00423394">
        <w:rPr>
          <w:rFonts w:eastAsia="Batang"/>
          <w:color w:val="000000"/>
          <w:kern w:val="22"/>
          <w:lang w:eastAsia="ko-KR"/>
        </w:rPr>
        <w:t xml:space="preserve">le Groupe de travail </w:t>
      </w:r>
      <w:r>
        <w:rPr>
          <w:rFonts w:eastAsia="Batang"/>
          <w:color w:val="000000"/>
          <w:kern w:val="22"/>
          <w:lang w:eastAsia="ko-KR"/>
        </w:rPr>
        <w:t xml:space="preserve">spécial à composition non limitée sur l’article 8 j) et les dispositions connexes </w:t>
      </w:r>
      <w:r w:rsidRPr="00423394">
        <w:rPr>
          <w:rFonts w:eastAsia="Batang"/>
          <w:color w:val="000000"/>
          <w:kern w:val="22"/>
          <w:lang w:eastAsia="ko-KR"/>
        </w:rPr>
        <w:t xml:space="preserve">de garder </w:t>
      </w:r>
      <w:r>
        <w:rPr>
          <w:rFonts w:eastAsia="Batang"/>
          <w:color w:val="000000"/>
          <w:kern w:val="22"/>
          <w:lang w:eastAsia="ko-KR"/>
        </w:rPr>
        <w:t>à l’esprit le glossaire dans ses futurs travaux</w:t>
      </w:r>
      <w:r w:rsidRPr="00423394">
        <w:rPr>
          <w:rFonts w:eastAsia="Batang"/>
          <w:color w:val="000000"/>
          <w:kern w:val="22"/>
          <w:lang w:eastAsia="ko-KR"/>
        </w:rPr>
        <w:t>, comme res</w:t>
      </w:r>
      <w:r>
        <w:rPr>
          <w:rFonts w:eastAsia="Batang"/>
          <w:color w:val="000000"/>
          <w:kern w:val="22"/>
          <w:lang w:eastAsia="ko-KR"/>
        </w:rPr>
        <w:t xml:space="preserve">source et référence dynamique, </w:t>
      </w:r>
      <w:r w:rsidRPr="00423394">
        <w:rPr>
          <w:rFonts w:eastAsia="Batang"/>
          <w:color w:val="000000"/>
          <w:kern w:val="22"/>
          <w:lang w:eastAsia="ko-KR"/>
        </w:rPr>
        <w:t>et de réviser et actualiser le glossaire</w:t>
      </w:r>
      <w:r>
        <w:rPr>
          <w:rFonts w:eastAsia="Batang"/>
          <w:color w:val="000000"/>
          <w:kern w:val="22"/>
          <w:lang w:eastAsia="ko-KR"/>
        </w:rPr>
        <w:t xml:space="preserve"> </w:t>
      </w:r>
      <w:r w:rsidRPr="007E2555">
        <w:rPr>
          <w:rFonts w:eastAsia="Batang"/>
          <w:color w:val="000000"/>
          <w:kern w:val="22"/>
          <w:lang w:eastAsia="ko-KR"/>
        </w:rPr>
        <w:t>chaque fois que nécessaire</w:t>
      </w:r>
      <w:r>
        <w:rPr>
          <w:rFonts w:eastAsia="Batang"/>
          <w:color w:val="000000"/>
          <w:kern w:val="22"/>
          <w:lang w:eastAsia="ko-KR"/>
        </w:rPr>
        <w:t>, selon qu’il convient, dans le cadre de l’élaboration d’arrangements pour l’après-2020.</w:t>
      </w:r>
    </w:p>
    <w:p w:rsidR="007E2555" w:rsidRPr="00FB546A" w:rsidRDefault="007E2555" w:rsidP="007E2555">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FB546A">
        <w:rPr>
          <w:i/>
          <w:kern w:val="22"/>
          <w:szCs w:val="22"/>
        </w:rPr>
        <w:lastRenderedPageBreak/>
        <w:t>Annexe</w:t>
      </w:r>
    </w:p>
    <w:p w:rsidR="007E2555" w:rsidRPr="00FB546A" w:rsidRDefault="007E2555" w:rsidP="007E2555">
      <w:pPr>
        <w:keepNext/>
        <w:suppressLineNumbers/>
        <w:suppressAutoHyphens/>
        <w:spacing w:after="120"/>
        <w:jc w:val="center"/>
        <w:rPr>
          <w:rFonts w:eastAsia="Calibri"/>
          <w:i/>
          <w:kern w:val="22"/>
          <w:szCs w:val="22"/>
          <w:lang w:val="fr-FR"/>
        </w:rPr>
      </w:pPr>
      <w:r w:rsidRPr="00FB546A">
        <w:rPr>
          <w:b/>
          <w:snapToGrid w:val="0"/>
          <w:kern w:val="22"/>
          <w:szCs w:val="22"/>
        </w:rPr>
        <w:t>GLOSSAIRE FACULTATIF DES PRINCIPAUX TERMES ET CONCEPTS UTILISÉS DANS LE CONTEXTE DE L’ARTICLE 8 J) ET DES DISPOSITIONS CONNEXES</w:t>
      </w:r>
    </w:p>
    <w:p w:rsidR="007E2555" w:rsidRPr="00FB546A" w:rsidRDefault="007E2555" w:rsidP="007E2555">
      <w:pPr>
        <w:suppressLineNumbers/>
        <w:suppressAutoHyphens/>
        <w:autoSpaceDE w:val="0"/>
        <w:autoSpaceDN w:val="0"/>
        <w:adjustRightInd w:val="0"/>
        <w:spacing w:before="120" w:after="120"/>
        <w:ind w:firstLine="709"/>
        <w:rPr>
          <w:noProof/>
          <w:snapToGrid w:val="0"/>
          <w:kern w:val="22"/>
          <w:szCs w:val="22"/>
          <w:lang w:eastAsia="en-CA"/>
        </w:rPr>
      </w:pPr>
      <w:r w:rsidRPr="00FB546A">
        <w:rPr>
          <w:snapToGrid w:val="0"/>
          <w:kern w:val="22"/>
          <w:szCs w:val="22"/>
          <w:lang w:eastAsia="en-CA"/>
        </w:rPr>
        <w:t>Le présent glossaire fournit une description d’un certain nombre de termes et concepts utilisés dans le cadre de l’article 8 j) et des dispositions connexes. Il ne vise pas à fournir des définitions formelles et ne prétend pas à l’exhau</w:t>
      </w:r>
      <w:r w:rsidR="00FB546A">
        <w:rPr>
          <w:snapToGrid w:val="0"/>
          <w:kern w:val="22"/>
          <w:szCs w:val="22"/>
          <w:lang w:eastAsia="en-CA"/>
        </w:rPr>
        <w:t>stivité. Le glossaire est destiné</w:t>
      </w:r>
      <w:r w:rsidRPr="00FB546A">
        <w:rPr>
          <w:snapToGrid w:val="0"/>
          <w:kern w:val="22"/>
          <w:szCs w:val="22"/>
          <w:lang w:eastAsia="en-CA"/>
        </w:rPr>
        <w:t xml:space="preserve"> à être utilisé </w:t>
      </w:r>
      <w:r w:rsidRPr="00FB546A">
        <w:rPr>
          <w:noProof/>
          <w:snapToGrid w:val="0"/>
          <w:kern w:val="22"/>
          <w:szCs w:val="22"/>
          <w:lang w:eastAsia="en-CA"/>
        </w:rPr>
        <w:t>sur une base volontaire.</w:t>
      </w:r>
    </w:p>
    <w:p w:rsidR="007E2555" w:rsidRPr="00FB546A" w:rsidRDefault="007E2555" w:rsidP="007E2555">
      <w:pPr>
        <w:suppressLineNumbers/>
        <w:suppressAutoHyphens/>
        <w:autoSpaceDE w:val="0"/>
        <w:autoSpaceDN w:val="0"/>
        <w:adjustRightInd w:val="0"/>
        <w:spacing w:before="120" w:after="120"/>
        <w:ind w:firstLine="709"/>
        <w:rPr>
          <w:snapToGrid w:val="0"/>
          <w:kern w:val="22"/>
          <w:szCs w:val="22"/>
          <w:lang w:eastAsia="en-CA"/>
        </w:rPr>
      </w:pPr>
      <w:r w:rsidRPr="00FB546A">
        <w:rPr>
          <w:szCs w:val="22"/>
          <w:lang w:eastAsia="en-CA"/>
        </w:rPr>
        <w:t>L’emploi du glossaire se fait sans préjudice de la terminologie utilisée par la Convention et ne peut pas être interprété de façon à sous-entendre un changement dans les droits ou les obligations d’une Partie au titre de la Convention.</w:t>
      </w:r>
    </w:p>
    <w:p w:rsidR="007E2555" w:rsidRPr="00FB546A" w:rsidRDefault="007E2555" w:rsidP="007E2555">
      <w:pPr>
        <w:suppressLineNumbers/>
        <w:suppressAutoHyphens/>
        <w:autoSpaceDE w:val="0"/>
        <w:autoSpaceDN w:val="0"/>
        <w:adjustRightInd w:val="0"/>
        <w:spacing w:before="120" w:after="120"/>
        <w:ind w:firstLine="709"/>
        <w:rPr>
          <w:snapToGrid w:val="0"/>
          <w:kern w:val="22"/>
          <w:szCs w:val="22"/>
          <w:lang w:eastAsia="en-CA"/>
        </w:rPr>
      </w:pPr>
      <w:r w:rsidRPr="00FB546A">
        <w:rPr>
          <w:snapToGrid w:val="0"/>
          <w:kern w:val="22"/>
          <w:szCs w:val="22"/>
          <w:lang w:eastAsia="en-CA"/>
        </w:rPr>
        <w:t>Le glossaire a pour but de favoriser une interprétation commune des termes et concepts utilisés dans le cadre de l’article 8 j) et des dispositions connexes lors des réunions tenues au titre de la Convention.</w:t>
      </w:r>
    </w:p>
    <w:p w:rsidR="007E2555" w:rsidRPr="00FB546A" w:rsidRDefault="007E2555" w:rsidP="007E2555">
      <w:pPr>
        <w:suppressLineNumbers/>
        <w:suppressAutoHyphens/>
        <w:autoSpaceDE w:val="0"/>
        <w:autoSpaceDN w:val="0"/>
        <w:adjustRightInd w:val="0"/>
        <w:spacing w:before="120" w:after="120"/>
        <w:ind w:firstLine="709"/>
        <w:rPr>
          <w:snapToGrid w:val="0"/>
          <w:kern w:val="22"/>
          <w:szCs w:val="22"/>
          <w:lang w:eastAsia="en-CA"/>
        </w:rPr>
      </w:pPr>
      <w:r w:rsidRPr="00FB546A">
        <w:rPr>
          <w:snapToGrid w:val="0"/>
          <w:kern w:val="22"/>
          <w:szCs w:val="22"/>
          <w:lang w:eastAsia="en-CA"/>
        </w:rPr>
        <w:t>En ce qui a trait à l’utilisation du glossaire par les pays, les termes et les concepts sont subordonnés à la législation et aux circonstances nationales des Parties ou des gouvernements, sachant que nombre de Parties ont adopté une interprétation spécifique des termes et concepts qui peut déjà s’appliquer dans leur juridiction.</w:t>
      </w:r>
    </w:p>
    <w:p w:rsidR="007E2555" w:rsidRPr="00FB546A" w:rsidRDefault="007E2555" w:rsidP="007E2555">
      <w:pPr>
        <w:suppressLineNumbers/>
        <w:suppressAutoHyphens/>
        <w:autoSpaceDE w:val="0"/>
        <w:autoSpaceDN w:val="0"/>
        <w:adjustRightInd w:val="0"/>
        <w:spacing w:before="120" w:after="120"/>
        <w:ind w:firstLine="709"/>
        <w:rPr>
          <w:snapToGrid w:val="0"/>
          <w:kern w:val="22"/>
          <w:szCs w:val="22"/>
          <w:lang w:eastAsia="en-CA"/>
        </w:rPr>
      </w:pPr>
      <w:r w:rsidRPr="00FB546A">
        <w:rPr>
          <w:snapToGrid w:val="0"/>
          <w:kern w:val="22"/>
          <w:szCs w:val="22"/>
          <w:lang w:eastAsia="en-CA"/>
        </w:rPr>
        <w:t>Les termes et concepts décrits ci-dessous viennent compléter les termes utilisés dans la Convention et le Protocole de Nagoya.</w:t>
      </w:r>
    </w:p>
    <w:p w:rsidR="007E2555" w:rsidRPr="00FB546A" w:rsidRDefault="007E2555" w:rsidP="007E2555">
      <w:pPr>
        <w:suppressLineNumbers/>
        <w:suppressAutoHyphens/>
        <w:autoSpaceDE w:val="0"/>
        <w:autoSpaceDN w:val="0"/>
        <w:adjustRightInd w:val="0"/>
        <w:spacing w:before="120" w:after="120"/>
        <w:ind w:firstLine="709"/>
        <w:rPr>
          <w:snapToGrid w:val="0"/>
          <w:kern w:val="22"/>
          <w:szCs w:val="22"/>
          <w:lang w:eastAsia="en-CA"/>
        </w:rPr>
      </w:pPr>
      <w:r w:rsidRPr="00FB546A">
        <w:rPr>
          <w:snapToGrid w:val="0"/>
          <w:kern w:val="22"/>
          <w:szCs w:val="22"/>
          <w:lang w:eastAsia="en-CA"/>
        </w:rPr>
        <w:t xml:space="preserve">Le glossaire comprend également les termes et concepts contenus dans les Lignes directrices facultatives </w:t>
      </w:r>
      <w:proofErr w:type="spellStart"/>
      <w:r w:rsidRPr="00FB546A">
        <w:rPr>
          <w:snapToGrid w:val="0"/>
          <w:kern w:val="22"/>
          <w:szCs w:val="22"/>
          <w:lang w:eastAsia="en-CA"/>
        </w:rPr>
        <w:t>Akwé</w:t>
      </w:r>
      <w:proofErr w:type="spellEnd"/>
      <w:r w:rsidRPr="00FB546A">
        <w:rPr>
          <w:snapToGrid w:val="0"/>
          <w:kern w:val="22"/>
          <w:szCs w:val="22"/>
          <w:lang w:eastAsia="en-CA"/>
        </w:rPr>
        <w:t xml:space="preserve">: </w:t>
      </w:r>
      <w:proofErr w:type="spellStart"/>
      <w:r w:rsidRPr="00FB546A">
        <w:rPr>
          <w:snapToGrid w:val="0"/>
          <w:kern w:val="22"/>
          <w:szCs w:val="22"/>
          <w:lang w:eastAsia="en-CA"/>
        </w:rPr>
        <w:t>Kon</w:t>
      </w:r>
      <w:proofErr w:type="spellEnd"/>
      <w:r w:rsidRPr="00FB546A">
        <w:rPr>
          <w:snapToGrid w:val="0"/>
          <w:kern w:val="22"/>
          <w:szCs w:val="22"/>
          <w:lang w:eastAsia="en-CA"/>
        </w:rPr>
        <w:t xml:space="preserve"> </w:t>
      </w:r>
      <w:r w:rsidRPr="00FB546A">
        <w:rPr>
          <w:bCs/>
          <w:szCs w:val="22"/>
          <w:lang w:eastAsia="en-CA"/>
        </w:rPr>
        <w:t>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w:t>
      </w:r>
      <w:r w:rsidRPr="00FB546A">
        <w:rPr>
          <w:bCs/>
          <w:iCs/>
          <w:snapToGrid w:val="0"/>
          <w:kern w:val="22"/>
          <w:szCs w:val="22"/>
          <w:lang w:eastAsia="en-GB"/>
        </w:rPr>
        <w:t xml:space="preserve">, approuvées dans la décision VII/16 F, et dans les Lignes directrices facultatives </w:t>
      </w:r>
      <w:proofErr w:type="spellStart"/>
      <w:r w:rsidRPr="00FB546A">
        <w:rPr>
          <w:snapToGrid w:val="0"/>
          <w:color w:val="000000"/>
          <w:kern w:val="22"/>
          <w:szCs w:val="22"/>
          <w:lang w:eastAsia="en-CA"/>
        </w:rPr>
        <w:t>Mo’otzkuxtal</w:t>
      </w:r>
      <w:proofErr w:type="spellEnd"/>
      <w:r w:rsidRPr="00FB546A">
        <w:rPr>
          <w:snapToGrid w:val="0"/>
          <w:color w:val="000000"/>
          <w:kern w:val="22"/>
          <w:szCs w:val="22"/>
          <w:lang w:eastAsia="en-CA"/>
        </w:rPr>
        <w:t xml:space="preserve"> adoptées et accueillies</w:t>
      </w:r>
      <w:r w:rsidR="00FB546A">
        <w:rPr>
          <w:snapToGrid w:val="0"/>
          <w:color w:val="000000"/>
          <w:kern w:val="22"/>
          <w:szCs w:val="22"/>
          <w:lang w:eastAsia="en-CA"/>
        </w:rPr>
        <w:t xml:space="preserve"> avec satisfaction</w:t>
      </w:r>
      <w:r w:rsidRPr="00FB546A">
        <w:rPr>
          <w:snapToGrid w:val="0"/>
          <w:color w:val="000000"/>
          <w:kern w:val="22"/>
          <w:szCs w:val="22"/>
          <w:lang w:eastAsia="en-CA"/>
        </w:rPr>
        <w:t xml:space="preserve"> dans la décision XIII/18, car elles ont un lien direct avec l’article 8j) et les dispositions connexes.</w:t>
      </w:r>
    </w:p>
    <w:p w:rsidR="007E2555" w:rsidRPr="00FB546A" w:rsidRDefault="007E2555" w:rsidP="007E2555">
      <w:pPr>
        <w:suppressLineNumbers/>
        <w:suppressAutoHyphens/>
        <w:autoSpaceDE w:val="0"/>
        <w:autoSpaceDN w:val="0"/>
        <w:adjustRightInd w:val="0"/>
        <w:spacing w:before="120" w:after="120"/>
        <w:ind w:firstLine="709"/>
        <w:rPr>
          <w:snapToGrid w:val="0"/>
          <w:kern w:val="22"/>
          <w:szCs w:val="22"/>
          <w:lang w:eastAsia="en-CA"/>
        </w:rPr>
      </w:pPr>
      <w:r w:rsidRPr="00FB546A">
        <w:rPr>
          <w:snapToGrid w:val="0"/>
          <w:kern w:val="22"/>
          <w:szCs w:val="22"/>
          <w:lang w:eastAsia="en-CA"/>
        </w:rPr>
        <w:t>Le glossaire est mis à disposition comme ressource à consulter et à utiliser, selon qu’il convient, dans le contex</w:t>
      </w:r>
      <w:r w:rsidR="00FB546A">
        <w:rPr>
          <w:snapToGrid w:val="0"/>
          <w:kern w:val="22"/>
          <w:szCs w:val="22"/>
          <w:lang w:eastAsia="en-CA"/>
        </w:rPr>
        <w:t>te de l’article 8</w:t>
      </w:r>
      <w:r w:rsidRPr="00FB546A">
        <w:rPr>
          <w:snapToGrid w:val="0"/>
          <w:kern w:val="22"/>
          <w:szCs w:val="22"/>
          <w:lang w:eastAsia="en-CA"/>
        </w:rPr>
        <w:t>j) et des dispositions connexes lors de réunions tenues au titre de la Convention.</w:t>
      </w:r>
    </w:p>
    <w:p w:rsidR="007E2555" w:rsidRPr="00FB546A" w:rsidRDefault="007E2555" w:rsidP="007E2555">
      <w:pPr>
        <w:suppressLineNumbers/>
        <w:suppressAutoHyphens/>
        <w:autoSpaceDE w:val="0"/>
        <w:autoSpaceDN w:val="0"/>
        <w:adjustRightInd w:val="0"/>
        <w:spacing w:before="120" w:after="120"/>
        <w:ind w:firstLine="720"/>
        <w:rPr>
          <w:bCs/>
          <w:iCs/>
          <w:kern w:val="22"/>
          <w:szCs w:val="22"/>
          <w:lang w:val="fr-FR"/>
        </w:rPr>
      </w:pPr>
      <w:r w:rsidRPr="00FB546A">
        <w:rPr>
          <w:snapToGrid w:val="0"/>
          <w:kern w:val="22"/>
          <w:szCs w:val="22"/>
          <w:lang w:eastAsia="en-CA"/>
        </w:rPr>
        <w:t>Le glossaire est complémentaire du Code de conduite</w:t>
      </w:r>
      <w:r w:rsidRPr="00FB546A">
        <w:rPr>
          <w:bCs/>
          <w:iCs/>
          <w:snapToGrid w:val="0"/>
          <w:kern w:val="22"/>
          <w:szCs w:val="22"/>
          <w:lang w:eastAsia="en-CA"/>
        </w:rPr>
        <w:t xml:space="preserve"> éthique </w:t>
      </w:r>
      <w:r w:rsidRPr="00FB546A">
        <w:rPr>
          <w:bCs/>
          <w:iCs/>
          <w:noProof/>
          <w:snapToGrid w:val="0"/>
          <w:kern w:val="22"/>
          <w:szCs w:val="22"/>
          <w:lang w:eastAsia="en-CA"/>
        </w:rPr>
        <w:t>Tkarihwaié: ri</w:t>
      </w:r>
      <w:r w:rsidRPr="00FB546A">
        <w:rPr>
          <w:bCs/>
          <w:iCs/>
          <w:snapToGrid w:val="0"/>
          <w:kern w:val="22"/>
          <w:szCs w:val="22"/>
          <w:lang w:eastAsia="en-CA"/>
        </w:rPr>
        <w:t xml:space="preserve"> propre à assurer le respect du patrimoine culturel et intellectuel des communautés autochtones et locales, adopté dans la décision X/42</w:t>
      </w:r>
      <w:r w:rsidRPr="00FB546A">
        <w:rPr>
          <w:bCs/>
          <w:iCs/>
          <w:kern w:val="22"/>
          <w:szCs w:val="22"/>
          <w:lang w:val="fr-FR"/>
        </w:rPr>
        <w:t>.</w:t>
      </w:r>
    </w:p>
    <w:p w:rsidR="007E2555" w:rsidRPr="00FB546A" w:rsidRDefault="007E2555" w:rsidP="007E2555">
      <w:pPr>
        <w:suppressLineNumbers/>
        <w:suppressAutoHyphens/>
        <w:spacing w:before="120" w:after="120"/>
        <w:jc w:val="left"/>
        <w:rPr>
          <w:rFonts w:eastAsia="Calibri"/>
          <w:kern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669"/>
      </w:tblGrid>
      <w:tr w:rsidR="007E2555" w:rsidRPr="00FB546A" w:rsidTr="00952D82">
        <w:trPr>
          <w:cantSplit/>
        </w:trPr>
        <w:tc>
          <w:tcPr>
            <w:tcW w:w="9576" w:type="dxa"/>
            <w:gridSpan w:val="2"/>
            <w:shd w:val="clear" w:color="auto" w:fill="auto"/>
          </w:tcPr>
          <w:p w:rsidR="007E2555" w:rsidRPr="00FB546A" w:rsidRDefault="007E2555" w:rsidP="00952D82">
            <w:pPr>
              <w:suppressLineNumbers/>
              <w:suppressAutoHyphens/>
              <w:spacing w:before="60" w:after="60"/>
              <w:jc w:val="center"/>
              <w:rPr>
                <w:b/>
                <w:kern w:val="22"/>
                <w:szCs w:val="22"/>
                <w:lang w:val="fr-FR"/>
              </w:rPr>
            </w:pPr>
            <w:r w:rsidRPr="00FB546A">
              <w:rPr>
                <w:b/>
                <w:kern w:val="22"/>
                <w:szCs w:val="22"/>
                <w:lang w:val="fr-FR"/>
              </w:rPr>
              <w:t>Partie I</w:t>
            </w:r>
          </w:p>
          <w:p w:rsidR="007E2555" w:rsidRPr="00FB546A" w:rsidRDefault="007E2555" w:rsidP="00952D82">
            <w:pPr>
              <w:suppressLineNumbers/>
              <w:suppressAutoHyphens/>
              <w:spacing w:before="60" w:after="60"/>
              <w:jc w:val="center"/>
              <w:rPr>
                <w:kern w:val="22"/>
                <w:szCs w:val="22"/>
                <w:lang w:val="fr-FR"/>
              </w:rPr>
            </w:pPr>
            <w:r w:rsidRPr="00FB546A">
              <w:rPr>
                <w:b/>
                <w:snapToGrid w:val="0"/>
                <w:kern w:val="22"/>
                <w:szCs w:val="22"/>
              </w:rPr>
              <w:t>Termes et concepts découlant du texte de la Convention sur la diversité biologique et de décisions prises au titre de la Convention</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b/>
                <w:kern w:val="22"/>
                <w:szCs w:val="22"/>
                <w:lang w:val="fr-FR"/>
              </w:rPr>
              <w:t>Terme ou concept</w:t>
            </w:r>
          </w:p>
        </w:tc>
        <w:tc>
          <w:tcPr>
            <w:tcW w:w="6669" w:type="dxa"/>
            <w:shd w:val="clear" w:color="auto" w:fill="auto"/>
          </w:tcPr>
          <w:p w:rsidR="007E2555" w:rsidRPr="00FB546A" w:rsidRDefault="007E2555" w:rsidP="00952D82">
            <w:pPr>
              <w:suppressLineNumbers/>
              <w:suppressAutoHyphens/>
              <w:spacing w:before="60" w:after="60"/>
              <w:jc w:val="left"/>
              <w:rPr>
                <w:b/>
                <w:kern w:val="22"/>
                <w:szCs w:val="22"/>
                <w:lang w:val="fr-FR"/>
              </w:rPr>
            </w:pPr>
            <w:r w:rsidRPr="00FB546A">
              <w:rPr>
                <w:b/>
                <w:snapToGrid w:val="0"/>
                <w:kern w:val="22"/>
                <w:szCs w:val="22"/>
              </w:rPr>
              <w:t>Interprétation du terme ou concept dans le contexte de la Convention</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t>Connaissances traditionnelles</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Les connaissances, innovations et pratiques des communautés autochtones et locales incarnant les modes de vie traditionnels qui présentent un intérêt pour la conservation et l’utilisation durable de la diversité biologique</w:t>
            </w:r>
            <w:r w:rsidRPr="00FB546A">
              <w:rPr>
                <w:rFonts w:eastAsiaTheme="majorEastAsia"/>
                <w:snapToGrid w:val="0"/>
                <w:kern w:val="22"/>
                <w:szCs w:val="22"/>
                <w:vertAlign w:val="superscript"/>
                <w:lang w:eastAsia="en-CA"/>
              </w:rPr>
              <w:footnoteReference w:id="2"/>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lastRenderedPageBreak/>
              <w:t>Utilisation coutumière durable</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Utilisation des ressources biologiques conformément aux pratiques culturelles traditionnelles compatibles avec les exigences de conservation ou d’utilisation durable</w:t>
            </w:r>
            <w:r w:rsidRPr="00FB546A">
              <w:rPr>
                <w:rFonts w:eastAsiaTheme="majorEastAsia"/>
                <w:snapToGrid w:val="0"/>
                <w:kern w:val="22"/>
                <w:szCs w:val="22"/>
                <w:vertAlign w:val="superscript"/>
                <w:lang w:eastAsia="en-CA"/>
              </w:rPr>
              <w:footnoteReference w:id="3"/>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rPr>
            </w:pPr>
            <w:r w:rsidRPr="00FB546A">
              <w:rPr>
                <w:kern w:val="22"/>
                <w:szCs w:val="22"/>
              </w:rPr>
              <w:t>Communautés autochtones et locales ou</w:t>
            </w:r>
          </w:p>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Peuples autochtones et communautés locales</w:t>
            </w:r>
            <w:r w:rsidRPr="00FB546A">
              <w:rPr>
                <w:snapToGrid w:val="0"/>
                <w:kern w:val="22"/>
                <w:szCs w:val="22"/>
                <w:vertAlign w:val="superscript"/>
                <w:lang w:eastAsia="en-CA"/>
              </w:rPr>
              <w:footnoteReference w:id="4"/>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La Convention sur la diversité biologique ne définit pas les termes « communautés autochtones et locales » ni « peuples autochtones et communautés locales ». La Déclaration  des Nations Unies sur les droits des peuples autochtones n’a pas adopté de définition universelle des « peuples autochtones » et une telle définition universelle n’est pas recommandée</w:t>
            </w:r>
            <w:r w:rsidRPr="00FB546A">
              <w:rPr>
                <w:snapToGrid w:val="0"/>
                <w:kern w:val="22"/>
                <w:szCs w:val="22"/>
                <w:vertAlign w:val="superscript"/>
                <w:lang w:eastAsia="en-CA"/>
              </w:rPr>
              <w:footnoteReference w:id="5"/>
            </w:r>
            <w:proofErr w:type="gramStart"/>
            <w:r w:rsidRPr="00FB546A">
              <w:rPr>
                <w:snapToGrid w:val="0"/>
                <w:kern w:val="22"/>
                <w:szCs w:val="22"/>
                <w:vertAlign w:val="superscript"/>
                <w:lang w:eastAsia="en-CA"/>
              </w:rPr>
              <w:t xml:space="preserve">, </w:t>
            </w:r>
            <w:r w:rsidRPr="00FB546A">
              <w:rPr>
                <w:snapToGrid w:val="0"/>
                <w:kern w:val="22"/>
                <w:szCs w:val="22"/>
                <w:vertAlign w:val="superscript"/>
                <w:lang w:eastAsia="en-CA"/>
              </w:rPr>
              <w:footnoteReference w:id="6"/>
            </w:r>
            <w:r w:rsidRPr="00FB546A">
              <w:rPr>
                <w:snapToGrid w:val="0"/>
                <w:kern w:val="22"/>
                <w:szCs w:val="22"/>
                <w:lang w:eastAsia="en-CA"/>
              </w:rPr>
              <w:t>.</w:t>
            </w:r>
            <w:proofErr w:type="gramEnd"/>
          </w:p>
        </w:tc>
      </w:tr>
      <w:tr w:rsidR="007E2555" w:rsidRPr="00FB546A" w:rsidTr="00952D82">
        <w:trPr>
          <w:cantSplit/>
        </w:trPr>
        <w:tc>
          <w:tcPr>
            <w:tcW w:w="9576" w:type="dxa"/>
            <w:gridSpan w:val="2"/>
            <w:shd w:val="clear" w:color="auto" w:fill="auto"/>
          </w:tcPr>
          <w:p w:rsidR="007E2555" w:rsidRPr="00FB546A" w:rsidRDefault="007E2555" w:rsidP="00952D82">
            <w:pPr>
              <w:suppressLineNumbers/>
              <w:suppressAutoHyphens/>
              <w:spacing w:before="60" w:after="60"/>
              <w:jc w:val="center"/>
              <w:rPr>
                <w:b/>
                <w:kern w:val="22"/>
                <w:szCs w:val="22"/>
                <w:lang w:val="fr-FR"/>
              </w:rPr>
            </w:pPr>
            <w:r w:rsidRPr="00FB546A">
              <w:rPr>
                <w:b/>
                <w:kern w:val="22"/>
                <w:szCs w:val="22"/>
                <w:lang w:val="fr-FR"/>
              </w:rPr>
              <w:t>Partie II</w:t>
            </w:r>
          </w:p>
          <w:p w:rsidR="007E2555" w:rsidRPr="00FB546A" w:rsidRDefault="007E2555" w:rsidP="00952D82">
            <w:pPr>
              <w:suppressLineNumbers/>
              <w:suppressAutoHyphens/>
              <w:spacing w:before="60" w:after="60"/>
              <w:jc w:val="center"/>
              <w:rPr>
                <w:kern w:val="22"/>
                <w:szCs w:val="22"/>
                <w:lang w:val="fr-FR"/>
              </w:rPr>
            </w:pPr>
            <w:r w:rsidRPr="00FB546A">
              <w:rPr>
                <w:b/>
                <w:snapToGrid w:val="0"/>
                <w:kern w:val="22"/>
                <w:szCs w:val="22"/>
              </w:rPr>
              <w:t>Termes et concepts découlant des contributions au programme de travail sur l’article 8 j) et les dispositions connexes et adoptés ou approuvés par la Conférence des Parties à la Convention sur la diversité biologique</w:t>
            </w:r>
          </w:p>
        </w:tc>
      </w:tr>
      <w:tr w:rsidR="007E2555" w:rsidRPr="00FB546A" w:rsidTr="00952D82">
        <w:trPr>
          <w:cantSplit/>
        </w:trPr>
        <w:tc>
          <w:tcPr>
            <w:tcW w:w="9576" w:type="dxa"/>
            <w:gridSpan w:val="2"/>
            <w:shd w:val="clear" w:color="auto" w:fill="auto"/>
          </w:tcPr>
          <w:p w:rsidR="007E2555" w:rsidRPr="00FB546A" w:rsidRDefault="007E2555" w:rsidP="00952D82">
            <w:pPr>
              <w:suppressLineNumbers/>
              <w:suppressAutoHyphens/>
              <w:spacing w:before="60" w:after="60" w:line="276" w:lineRule="auto"/>
              <w:ind w:right="317" w:hanging="578"/>
              <w:jc w:val="left"/>
              <w:rPr>
                <w:b/>
                <w:kern w:val="22"/>
                <w:szCs w:val="22"/>
                <w:lang w:val="fr-FR"/>
              </w:rPr>
            </w:pPr>
            <w:r w:rsidRPr="00FB546A">
              <w:rPr>
                <w:b/>
                <w:kern w:val="22"/>
                <w:szCs w:val="22"/>
                <w:lang w:val="fr-FR"/>
              </w:rPr>
              <w:t>A.</w:t>
            </w:r>
            <w:r w:rsidRPr="00FB546A">
              <w:rPr>
                <w:b/>
                <w:kern w:val="22"/>
                <w:szCs w:val="22"/>
                <w:lang w:val="fr-FR"/>
              </w:rPr>
              <w:tab/>
            </w:r>
            <w:r w:rsidRPr="00FB546A">
              <w:rPr>
                <w:b/>
                <w:snapToGrid w:val="0"/>
                <w:kern w:val="22"/>
                <w:szCs w:val="22"/>
              </w:rPr>
              <w:t xml:space="preserve">Lignes directrices facultatives </w:t>
            </w:r>
            <w:proofErr w:type="spellStart"/>
            <w:r w:rsidRPr="00FB546A">
              <w:rPr>
                <w:b/>
                <w:snapToGrid w:val="0"/>
                <w:kern w:val="22"/>
                <w:szCs w:val="22"/>
              </w:rPr>
              <w:t>Akwé</w:t>
            </w:r>
            <w:proofErr w:type="spellEnd"/>
            <w:r w:rsidRPr="00FB546A">
              <w:rPr>
                <w:b/>
                <w:snapToGrid w:val="0"/>
                <w:kern w:val="22"/>
                <w:szCs w:val="22"/>
              </w:rPr>
              <w:t xml:space="preserve">: </w:t>
            </w:r>
            <w:proofErr w:type="spellStart"/>
            <w:r w:rsidRPr="00FB546A">
              <w:rPr>
                <w:b/>
                <w:snapToGrid w:val="0"/>
                <w:kern w:val="22"/>
                <w:szCs w:val="22"/>
              </w:rPr>
              <w:t>Kon</w:t>
            </w:r>
            <w:proofErr w:type="spellEnd"/>
            <w:r w:rsidRPr="00FB546A">
              <w:rPr>
                <w:b/>
                <w:snapToGrid w:val="0"/>
                <w:kern w:val="22"/>
                <w:szCs w:val="22"/>
              </w:rPr>
              <w:t xml:space="preserve"> </w:t>
            </w:r>
            <w:r w:rsidRPr="00FB546A">
              <w:rPr>
                <w:b/>
                <w:bCs/>
                <w:szCs w:val="22"/>
              </w:rPr>
              <w:t xml:space="preserve">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 </w:t>
            </w:r>
            <w:r w:rsidRPr="00FB546A">
              <w:rPr>
                <w:bCs/>
                <w:szCs w:val="22"/>
              </w:rPr>
              <w:t>(annexe à la décision VII/16 F)</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b/>
                <w:kern w:val="22"/>
                <w:szCs w:val="22"/>
                <w:lang w:val="fr-FR"/>
              </w:rPr>
              <w:t>Terme ou concept</w:t>
            </w:r>
          </w:p>
        </w:tc>
        <w:tc>
          <w:tcPr>
            <w:tcW w:w="6669" w:type="dxa"/>
            <w:shd w:val="clear" w:color="auto" w:fill="auto"/>
          </w:tcPr>
          <w:p w:rsidR="007E2555" w:rsidRPr="00FB546A" w:rsidRDefault="007E2555" w:rsidP="00952D82">
            <w:pPr>
              <w:suppressLineNumbers/>
              <w:suppressAutoHyphens/>
              <w:spacing w:before="60" w:after="60"/>
              <w:jc w:val="left"/>
              <w:rPr>
                <w:b/>
                <w:kern w:val="22"/>
                <w:szCs w:val="22"/>
                <w:lang w:val="fr-FR"/>
              </w:rPr>
            </w:pPr>
            <w:r w:rsidRPr="00FB546A">
              <w:rPr>
                <w:b/>
                <w:snapToGrid w:val="0"/>
                <w:kern w:val="22"/>
                <w:szCs w:val="22"/>
              </w:rPr>
              <w:t>Interprétation du terme ou concept dans le contexte de la Convention</w:t>
            </w:r>
          </w:p>
          <w:p w:rsidR="007E2555" w:rsidRPr="00FB546A" w:rsidRDefault="007E2555" w:rsidP="00952D82">
            <w:pPr>
              <w:suppressLineNumbers/>
              <w:suppressAutoHyphens/>
              <w:spacing w:before="60" w:after="60"/>
              <w:jc w:val="left"/>
              <w:rPr>
                <w:kern w:val="22"/>
                <w:szCs w:val="22"/>
                <w:lang w:val="fr-FR"/>
              </w:rPr>
            </w:pPr>
            <w:r w:rsidRPr="00FB546A">
              <w:rPr>
                <w:i/>
                <w:kern w:val="22"/>
                <w:szCs w:val="22"/>
                <w:lang w:val="fr-FR"/>
              </w:rPr>
              <w:t>*</w:t>
            </w:r>
            <w:r w:rsidRPr="00FB546A">
              <w:rPr>
                <w:i/>
                <w:snapToGrid w:val="0"/>
                <w:kern w:val="22"/>
                <w:szCs w:val="22"/>
                <w:lang w:eastAsia="en-CA"/>
              </w:rPr>
              <w:t xml:space="preserve">Il convient de noter que les termes et concepts ci-dessous ont été approuvés par la Conférence des Parties dans la décision VII/16 F sur les Lignes directrices </w:t>
            </w:r>
            <w:proofErr w:type="spellStart"/>
            <w:r w:rsidRPr="00FB546A">
              <w:rPr>
                <w:i/>
                <w:snapToGrid w:val="0"/>
                <w:kern w:val="22"/>
                <w:szCs w:val="22"/>
                <w:lang w:eastAsia="en-CA"/>
              </w:rPr>
              <w:t>Akwé</w:t>
            </w:r>
            <w:proofErr w:type="spellEnd"/>
            <w:r w:rsidRPr="00FB546A">
              <w:rPr>
                <w:i/>
                <w:snapToGrid w:val="0"/>
                <w:kern w:val="22"/>
                <w:szCs w:val="22"/>
                <w:lang w:eastAsia="en-CA"/>
              </w:rPr>
              <w:t xml:space="preserve">: </w:t>
            </w:r>
            <w:proofErr w:type="spellStart"/>
            <w:r w:rsidRPr="00FB546A">
              <w:rPr>
                <w:i/>
                <w:snapToGrid w:val="0"/>
                <w:kern w:val="22"/>
                <w:szCs w:val="22"/>
                <w:lang w:eastAsia="en-CA"/>
              </w:rPr>
              <w:t>Kon</w:t>
            </w:r>
            <w:proofErr w:type="spellEnd"/>
            <w:r w:rsidRPr="00FB546A">
              <w:rPr>
                <w:i/>
                <w:snapToGrid w:val="0"/>
                <w:kern w:val="22"/>
                <w:szCs w:val="22"/>
                <w:lang w:eastAsia="en-CA"/>
              </w:rPr>
              <w:t xml:space="preserve"> et devraient aussi être appliqués dans le contexte de l’article 14 de la Convention sur les études d’impact et la réduction des effets néfastes</w:t>
            </w:r>
            <w:r w:rsidRPr="00FB546A">
              <w:rPr>
                <w:kern w:val="22"/>
                <w:szCs w:val="22"/>
                <w:vertAlign w:val="superscript"/>
                <w:lang w:eastAsia="en-CA"/>
              </w:rPr>
              <w:footnoteReference w:id="7"/>
            </w:r>
            <w:r w:rsidRPr="00FB546A">
              <w:rPr>
                <w:i/>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rPr>
            </w:pPr>
            <w:r w:rsidRPr="00FB546A">
              <w:rPr>
                <w:snapToGrid w:val="0"/>
                <w:kern w:val="22"/>
                <w:szCs w:val="22"/>
              </w:rPr>
              <w:lastRenderedPageBreak/>
              <w:t>Évaluation de l’impact culturel</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Processus d’évaluation de l’impact probable d’un projet d’aménagement sur le mode de vie d’un groupe de personnes ou d’une communauté en particulier, avec la pleine participation de ce groupe ou communauté d’individus et, lorsque cela est possible, sa participation effective : une évaluation de l’impact culturel s’intéresse, en règle générale, aux répercussions, aussi bien positives que négatives, d’un projet d’aménagement qui pourrait affecter, par exemple, les valeurs, les systèmes de croyance, les lois coutumières, les langue(s), les coutumes, l’économie, la relation avec l’environnement local et des espèces particulières, l’organisation sociale et les traditions de la communauté affectée</w:t>
            </w:r>
            <w:r w:rsidRPr="00FB546A">
              <w:rPr>
                <w:rFonts w:eastAsiaTheme="majorEastAsia"/>
                <w:snapToGrid w:val="0"/>
                <w:kern w:val="22"/>
                <w:szCs w:val="22"/>
                <w:vertAlign w:val="superscript"/>
                <w:lang w:eastAsia="en-CA"/>
              </w:rPr>
              <w:footnoteReference w:id="8"/>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rPr>
              <w:t>Évaluation de l’impact sur le patrimoine culturel</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Processus d’évaluation des impacts probables, positifs et négatifs, d’un projet d’aménagement sur des endroits qui font partie du patrimoine culturel d’une communauté, tels que sites, structures ou ruines ayant une valeur ou une importance archéologique, architecturale, historique, religieuse, spirituelle, culturelle</w:t>
            </w:r>
            <w:r w:rsidR="005128B3">
              <w:rPr>
                <w:snapToGrid w:val="0"/>
                <w:kern w:val="22"/>
                <w:szCs w:val="22"/>
                <w:lang w:eastAsia="en-CA"/>
              </w:rPr>
              <w:t>,</w:t>
            </w:r>
            <w:r w:rsidRPr="00FB546A">
              <w:rPr>
                <w:snapToGrid w:val="0"/>
                <w:kern w:val="22"/>
                <w:szCs w:val="22"/>
                <w:lang w:eastAsia="en-CA"/>
              </w:rPr>
              <w:t xml:space="preserve"> écologique ou esthétique</w:t>
            </w:r>
            <w:r w:rsidRPr="00FB546A">
              <w:rPr>
                <w:rFonts w:eastAsiaTheme="majorEastAsia"/>
                <w:snapToGrid w:val="0"/>
                <w:kern w:val="22"/>
                <w:szCs w:val="22"/>
                <w:vertAlign w:val="superscript"/>
                <w:lang w:eastAsia="en-CA"/>
              </w:rPr>
              <w:footnoteReference w:id="9"/>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t>Droit coutumier</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Droit qui s’inspire des coutumes qui sont acceptées comme des obligations juridiques ou des règles de conduite obligatoires, des pratiques et des croyances qui sont tellement enracinées dans un système social et économique qu’elles sont considérées comme des lois</w:t>
            </w:r>
            <w:r w:rsidRPr="00FB546A">
              <w:rPr>
                <w:rFonts w:eastAsiaTheme="majorEastAsia"/>
                <w:snapToGrid w:val="0"/>
                <w:kern w:val="22"/>
                <w:szCs w:val="22"/>
                <w:vertAlign w:val="superscript"/>
                <w:lang w:eastAsia="en-CA"/>
              </w:rPr>
              <w:footnoteReference w:id="10"/>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rPr>
              <w:t>Évaluation de l’impact sur l’environnement</w:t>
            </w:r>
          </w:p>
        </w:tc>
        <w:tc>
          <w:tcPr>
            <w:tcW w:w="6669" w:type="dxa"/>
            <w:shd w:val="clear" w:color="auto" w:fill="auto"/>
          </w:tcPr>
          <w:p w:rsidR="007E2555" w:rsidRPr="00FB546A" w:rsidRDefault="007E2555" w:rsidP="00952D82">
            <w:pPr>
              <w:suppressLineNumbers/>
              <w:suppressAutoHyphens/>
              <w:spacing w:before="60" w:after="60"/>
              <w:jc w:val="left"/>
              <w:rPr>
                <w:rFonts w:eastAsia="Calibri"/>
                <w:kern w:val="22"/>
                <w:szCs w:val="22"/>
                <w:lang w:val="fr-FR"/>
              </w:rPr>
            </w:pPr>
            <w:r w:rsidRPr="00FB546A">
              <w:rPr>
                <w:snapToGrid w:val="0"/>
                <w:kern w:val="22"/>
                <w:szCs w:val="22"/>
                <w:lang w:eastAsia="en-CA"/>
              </w:rPr>
              <w:t xml:space="preserve">Processus d’évaluation de l’impact probable sur l’environnement d’un projet d’aménagement, assorti de </w:t>
            </w:r>
            <w:r w:rsidRPr="00FB546A">
              <w:rPr>
                <w:noProof/>
                <w:snapToGrid w:val="0"/>
                <w:kern w:val="22"/>
                <w:szCs w:val="22"/>
                <w:lang w:eastAsia="en-CA"/>
              </w:rPr>
              <w:t>propositions de mesures d’atténuation, en tenant compte des impacts socioéconomiques, culturels et sur la santé interdépendants, aussi bien positifs que négatifs</w:t>
            </w:r>
            <w:r w:rsidRPr="00FB546A">
              <w:rPr>
                <w:rFonts w:eastAsiaTheme="majorEastAsia"/>
                <w:noProof/>
                <w:snapToGrid w:val="0"/>
                <w:kern w:val="22"/>
                <w:szCs w:val="22"/>
                <w:vertAlign w:val="superscript"/>
                <w:lang w:eastAsia="en-CA"/>
              </w:rPr>
              <w:footnoteReference w:id="11"/>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rPr>
            </w:pPr>
            <w:r w:rsidRPr="00FB546A">
              <w:rPr>
                <w:kern w:val="22"/>
                <w:szCs w:val="22"/>
              </w:rPr>
              <w:t>Site sacré</w:t>
            </w:r>
          </w:p>
        </w:tc>
        <w:tc>
          <w:tcPr>
            <w:tcW w:w="6669" w:type="dxa"/>
            <w:shd w:val="clear" w:color="auto" w:fill="auto"/>
          </w:tcPr>
          <w:p w:rsidR="007E2555" w:rsidRPr="00FB546A" w:rsidRDefault="007E2555" w:rsidP="00952D82">
            <w:pPr>
              <w:suppressLineNumbers/>
              <w:suppressAutoHyphens/>
              <w:autoSpaceDE w:val="0"/>
              <w:autoSpaceDN w:val="0"/>
              <w:adjustRightInd w:val="0"/>
              <w:spacing w:before="60" w:after="60"/>
              <w:jc w:val="left"/>
              <w:rPr>
                <w:kern w:val="22"/>
                <w:szCs w:val="22"/>
                <w:lang w:val="fr-FR"/>
              </w:rPr>
            </w:pPr>
            <w:r w:rsidRPr="00FB546A">
              <w:rPr>
                <w:szCs w:val="22"/>
                <w:lang w:eastAsia="en-CA"/>
              </w:rPr>
              <w:t>Peut s’agir d’un site, édifice, objet, structure ou zone comprenant un élément naturel, appartenant à des gouvernements nationaux ou à des communautés autochtones, auquel on accorde une importance particulière selon les coutumes de la communauté autochtone ou locale en raison de sa symbolique religieuse et/ou spirituelle</w:t>
            </w:r>
            <w:r w:rsidRPr="00FB546A">
              <w:rPr>
                <w:rFonts w:eastAsiaTheme="majorEastAsia"/>
                <w:szCs w:val="22"/>
                <w:vertAlign w:val="superscript"/>
                <w:lang w:eastAsia="en-CA"/>
              </w:rPr>
              <w:footnoteReference w:id="12"/>
            </w:r>
            <w:r w:rsidRPr="00FB546A">
              <w:rPr>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rPr>
            </w:pPr>
            <w:r w:rsidRPr="00FB546A">
              <w:rPr>
                <w:snapToGrid w:val="0"/>
                <w:kern w:val="22"/>
                <w:szCs w:val="22"/>
              </w:rPr>
              <w:t>Évaluation de l’impact social</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Processus d’évaluation des impacts probables, positifs et négatifs, d’un projet d’</w:t>
            </w:r>
            <w:r w:rsidRPr="00FB546A">
              <w:rPr>
                <w:noProof/>
                <w:snapToGrid w:val="0"/>
                <w:kern w:val="22"/>
                <w:szCs w:val="22"/>
                <w:lang w:eastAsia="en-CA"/>
              </w:rPr>
              <w:t>aménagement qui pourrait affecter les droits (économiques, sociaux, culturels, civiques ou politiques) et le bien</w:t>
            </w:r>
            <w:r w:rsidRPr="00FB546A">
              <w:rPr>
                <w:noProof/>
                <w:snapToGrid w:val="0"/>
                <w:kern w:val="22"/>
                <w:szCs w:val="22"/>
                <w:lang w:eastAsia="en-CA"/>
              </w:rPr>
              <w:noBreakHyphen/>
              <w:t>être, la vitalité et la viabilité de la communauté affectée, soit la qualité de vie d’une communauté, laquelle est mesurée grâce à divers indicateurs socioéconomiques, tels que la répartition des richesses, l’intégrité physique et sociale des individus et des communautés, le niveau et les opportunités d’emploi, la santé et les services sociaux, l’éducation et la disponibilité et la qualité du logement, des infrastructures</w:t>
            </w:r>
            <w:r w:rsidRPr="00FB546A">
              <w:rPr>
                <w:snapToGrid w:val="0"/>
                <w:kern w:val="22"/>
                <w:szCs w:val="22"/>
                <w:lang w:eastAsia="en-CA"/>
              </w:rPr>
              <w:t xml:space="preserve"> et des services</w:t>
            </w:r>
            <w:r w:rsidRPr="00FB546A">
              <w:rPr>
                <w:rFonts w:eastAsiaTheme="majorEastAsia"/>
                <w:snapToGrid w:val="0"/>
                <w:kern w:val="22"/>
                <w:szCs w:val="22"/>
                <w:vertAlign w:val="superscript"/>
                <w:lang w:eastAsia="en-CA"/>
              </w:rPr>
              <w:footnoteReference w:id="13"/>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rPr>
            </w:pPr>
            <w:r w:rsidRPr="00FB546A">
              <w:rPr>
                <w:snapToGrid w:val="0"/>
                <w:kern w:val="22"/>
                <w:szCs w:val="22"/>
              </w:rPr>
              <w:lastRenderedPageBreak/>
              <w:t>Évaluation environnementale stratégique</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Processus d’évaluation des conséquences écologiques probables de politiques, plans ou programmes proposés pour que de telles conséquences soient entièrement prises en considération et traitées dès les premières étapes de la prise de décision, en tenant compte aussi des considérations économiques, sociales et culturelles</w:t>
            </w:r>
            <w:r w:rsidRPr="00FB546A">
              <w:rPr>
                <w:rFonts w:eastAsiaTheme="majorEastAsia"/>
                <w:snapToGrid w:val="0"/>
                <w:kern w:val="22"/>
                <w:szCs w:val="22"/>
                <w:vertAlign w:val="superscript"/>
                <w:lang w:eastAsia="en-CA"/>
              </w:rPr>
              <w:footnoteReference w:id="14"/>
            </w:r>
            <w:r w:rsidRPr="00FB546A">
              <w:rPr>
                <w:snapToGrid w:val="0"/>
                <w:kern w:val="22"/>
                <w:szCs w:val="22"/>
                <w:lang w:eastAsia="en-CA"/>
              </w:rPr>
              <w:t>.</w:t>
            </w:r>
          </w:p>
        </w:tc>
      </w:tr>
      <w:tr w:rsidR="007E2555" w:rsidRPr="00FB546A" w:rsidTr="00952D82">
        <w:trPr>
          <w:cantSplit/>
        </w:trPr>
        <w:tc>
          <w:tcPr>
            <w:tcW w:w="9576" w:type="dxa"/>
            <w:gridSpan w:val="2"/>
            <w:shd w:val="clear" w:color="auto" w:fill="auto"/>
          </w:tcPr>
          <w:p w:rsidR="007E2555" w:rsidRPr="00FB546A" w:rsidRDefault="007E2555" w:rsidP="00952D82">
            <w:pPr>
              <w:keepNext/>
              <w:suppressLineNumbers/>
              <w:suppressAutoHyphens/>
              <w:spacing w:before="60" w:after="60" w:line="276" w:lineRule="auto"/>
              <w:ind w:hanging="360"/>
              <w:jc w:val="center"/>
              <w:rPr>
                <w:rFonts w:eastAsia="Calibri"/>
                <w:kern w:val="22"/>
                <w:szCs w:val="22"/>
                <w:u w:val="single"/>
                <w:lang w:val="fr-FR"/>
              </w:rPr>
            </w:pPr>
            <w:r w:rsidRPr="00FB546A">
              <w:rPr>
                <w:rFonts w:eastAsia="Calibri"/>
                <w:b/>
                <w:kern w:val="22"/>
                <w:szCs w:val="22"/>
                <w:lang w:val="fr-FR"/>
              </w:rPr>
              <w:t>B.</w:t>
            </w:r>
            <w:r w:rsidRPr="00FB546A">
              <w:rPr>
                <w:rFonts w:eastAsia="Calibri"/>
                <w:b/>
                <w:kern w:val="22"/>
                <w:szCs w:val="22"/>
                <w:lang w:val="fr-FR"/>
              </w:rPr>
              <w:tab/>
            </w:r>
            <w:r w:rsidRPr="00FB546A">
              <w:rPr>
                <w:b/>
                <w:snapToGrid w:val="0"/>
                <w:kern w:val="22"/>
                <w:szCs w:val="22"/>
                <w:lang w:eastAsia="en-CA"/>
              </w:rPr>
              <w:t xml:space="preserve">Lignes directrices facultatives </w:t>
            </w:r>
            <w:proofErr w:type="spellStart"/>
            <w:r w:rsidRPr="00FB546A">
              <w:rPr>
                <w:b/>
                <w:snapToGrid w:val="0"/>
                <w:kern w:val="22"/>
                <w:szCs w:val="22"/>
                <w:lang w:eastAsia="en-CA"/>
              </w:rPr>
              <w:t>Mo’otz</w:t>
            </w:r>
            <w:proofErr w:type="spellEnd"/>
            <w:r w:rsidRPr="00FB546A">
              <w:rPr>
                <w:b/>
                <w:snapToGrid w:val="0"/>
                <w:kern w:val="22"/>
                <w:szCs w:val="22"/>
                <w:lang w:eastAsia="en-CA"/>
              </w:rPr>
              <w:t xml:space="preserve"> </w:t>
            </w:r>
            <w:proofErr w:type="spellStart"/>
            <w:r w:rsidRPr="00FB546A">
              <w:rPr>
                <w:b/>
                <w:snapToGrid w:val="0"/>
                <w:kern w:val="22"/>
                <w:szCs w:val="22"/>
                <w:lang w:eastAsia="en-CA"/>
              </w:rPr>
              <w:t>Kuxtal</w:t>
            </w:r>
            <w:proofErr w:type="spellEnd"/>
            <w:r w:rsidRPr="00FB546A">
              <w:rPr>
                <w:b/>
                <w:snapToGrid w:val="0"/>
                <w:kern w:val="22"/>
                <w:szCs w:val="22"/>
                <w:lang w:eastAsia="en-CA"/>
              </w:rPr>
              <w:t xml:space="preserve"> </w:t>
            </w:r>
            <w:r w:rsidR="005128B3">
              <w:rPr>
                <w:snapToGrid w:val="0"/>
                <w:kern w:val="22"/>
                <w:szCs w:val="22"/>
                <w:lang w:eastAsia="en-CA"/>
              </w:rPr>
              <w:t>(annexe de</w:t>
            </w:r>
            <w:r w:rsidRPr="00FB546A">
              <w:rPr>
                <w:snapToGrid w:val="0"/>
                <w:kern w:val="22"/>
                <w:szCs w:val="22"/>
                <w:lang w:eastAsia="en-CA"/>
              </w:rPr>
              <w:t xml:space="preserve"> la décision XIII/18)</w:t>
            </w:r>
            <w:r w:rsidRPr="00FB546A">
              <w:rPr>
                <w:rFonts w:eastAsiaTheme="majorEastAsia"/>
                <w:snapToGrid w:val="0"/>
                <w:kern w:val="22"/>
                <w:szCs w:val="22"/>
                <w:vertAlign w:val="superscript"/>
                <w:lang w:eastAsia="en-CA"/>
              </w:rPr>
              <w:footnoteReference w:id="15"/>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b/>
                <w:kern w:val="22"/>
                <w:szCs w:val="22"/>
                <w:lang w:val="fr-FR"/>
              </w:rPr>
              <w:t>Terme ou concept</w:t>
            </w:r>
          </w:p>
        </w:tc>
        <w:tc>
          <w:tcPr>
            <w:tcW w:w="6669" w:type="dxa"/>
            <w:shd w:val="clear" w:color="auto" w:fill="auto"/>
          </w:tcPr>
          <w:p w:rsidR="007E2555" w:rsidRPr="00FB546A" w:rsidRDefault="007E2555" w:rsidP="00952D82">
            <w:pPr>
              <w:suppressLineNumbers/>
              <w:suppressAutoHyphens/>
              <w:spacing w:before="60" w:after="60"/>
              <w:jc w:val="left"/>
              <w:rPr>
                <w:b/>
                <w:i/>
                <w:kern w:val="22"/>
                <w:szCs w:val="22"/>
                <w:lang w:val="fr-FR"/>
              </w:rPr>
            </w:pPr>
            <w:r w:rsidRPr="00FB546A">
              <w:rPr>
                <w:b/>
                <w:snapToGrid w:val="0"/>
                <w:kern w:val="22"/>
                <w:szCs w:val="22"/>
              </w:rPr>
              <w:t>Interprétation du terme ou concept dans le contexte de l’article 8 j) de la Convention</w:t>
            </w:r>
          </w:p>
          <w:p w:rsidR="007E2555" w:rsidRPr="00FB546A" w:rsidRDefault="007E2555" w:rsidP="00952D82">
            <w:pPr>
              <w:suppressLineNumbers/>
              <w:suppressAutoHyphens/>
              <w:spacing w:before="60" w:after="60"/>
              <w:jc w:val="left"/>
              <w:rPr>
                <w:bCs/>
                <w:kern w:val="22"/>
                <w:szCs w:val="22"/>
                <w:lang w:val="fr-FR"/>
              </w:rPr>
            </w:pPr>
            <w:r w:rsidRPr="00FB546A">
              <w:rPr>
                <w:i/>
                <w:snapToGrid w:val="0"/>
                <w:kern w:val="22"/>
                <w:szCs w:val="22"/>
              </w:rPr>
              <w:t>Il convient de noter que ces termes sont définis dans le contexte de l’accès aux connaissances traditionnelles dans le cadre du mandat de la Convention sur la diversité biologique</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snapToGrid w:val="0"/>
                <w:kern w:val="22"/>
                <w:szCs w:val="22"/>
              </w:rPr>
            </w:pPr>
            <w:r w:rsidRPr="00FB546A">
              <w:rPr>
                <w:snapToGrid w:val="0"/>
                <w:kern w:val="22"/>
                <w:szCs w:val="22"/>
              </w:rPr>
              <w:t>« Consentement préalable donné en connaissance de cause » ou « consentement préalable donné librement et en connaissance de cause » ou « approbation et participation »</w:t>
            </w:r>
          </w:p>
          <w:p w:rsidR="007E2555" w:rsidRPr="00FB546A" w:rsidRDefault="007E2555" w:rsidP="00952D82">
            <w:pPr>
              <w:suppressLineNumbers/>
              <w:suppressAutoHyphens/>
              <w:spacing w:before="60" w:after="60"/>
              <w:jc w:val="left"/>
              <w:rPr>
                <w:snapToGrid w:val="0"/>
                <w:kern w:val="22"/>
                <w:szCs w:val="22"/>
              </w:rPr>
            </w:pPr>
          </w:p>
        </w:tc>
        <w:tc>
          <w:tcPr>
            <w:tcW w:w="6669" w:type="dxa"/>
            <w:shd w:val="clear" w:color="auto" w:fill="auto"/>
          </w:tcPr>
          <w:p w:rsidR="007E2555" w:rsidRPr="00FB546A" w:rsidRDefault="007E2555" w:rsidP="00952D82">
            <w:pPr>
              <w:suppressLineNumbers/>
              <w:suppressAutoHyphens/>
              <w:autoSpaceDE w:val="0"/>
              <w:autoSpaceDN w:val="0"/>
              <w:adjustRightInd w:val="0"/>
              <w:spacing w:before="60" w:after="60"/>
              <w:jc w:val="left"/>
              <w:rPr>
                <w:snapToGrid w:val="0"/>
                <w:kern w:val="22"/>
                <w:szCs w:val="22"/>
                <w:lang w:eastAsia="en-CA"/>
              </w:rPr>
            </w:pPr>
            <w:r w:rsidRPr="00FB546A">
              <w:rPr>
                <w:snapToGrid w:val="0"/>
                <w:kern w:val="22"/>
                <w:szCs w:val="22"/>
                <w:lang w:eastAsia="en-CA"/>
              </w:rPr>
              <w:t>Librement signifie que les peuples autochtones et les communautés locales ne subissent aucune pression, intimidation, manipulation ou influence indue et qu’ils accordent leur consentement sans coercition.</w:t>
            </w:r>
          </w:p>
          <w:p w:rsidR="007E2555" w:rsidRPr="00FB546A" w:rsidRDefault="007E2555" w:rsidP="00952D82">
            <w:pPr>
              <w:suppressLineNumbers/>
              <w:suppressAutoHyphens/>
              <w:autoSpaceDE w:val="0"/>
              <w:autoSpaceDN w:val="0"/>
              <w:adjustRightInd w:val="0"/>
              <w:spacing w:before="60" w:after="60"/>
              <w:jc w:val="left"/>
              <w:rPr>
                <w:snapToGrid w:val="0"/>
                <w:kern w:val="22"/>
                <w:szCs w:val="22"/>
                <w:lang w:eastAsia="en-CA"/>
              </w:rPr>
            </w:pPr>
            <w:r w:rsidRPr="00FB546A">
              <w:rPr>
                <w:snapToGrid w:val="0"/>
                <w:kern w:val="22"/>
                <w:szCs w:val="22"/>
                <w:lang w:eastAsia="en-CA"/>
              </w:rPr>
              <w:t>Préalable signifie que le consentement ou l’accord a été demandé longtemps avant toute autorisation d’accès aux connaissances traditionnelles, dans le respect des processus décisionnels coutumiers, des lois nationales et des délais demandés par les peuples autochtones et les communautés locales.</w:t>
            </w:r>
          </w:p>
          <w:p w:rsidR="007E2555" w:rsidRPr="00FB546A" w:rsidRDefault="007E2555" w:rsidP="00952D82">
            <w:pPr>
              <w:suppressLineNumbers/>
              <w:suppressAutoHyphens/>
              <w:autoSpaceDE w:val="0"/>
              <w:autoSpaceDN w:val="0"/>
              <w:adjustRightInd w:val="0"/>
              <w:spacing w:before="60" w:after="60"/>
              <w:jc w:val="left"/>
              <w:rPr>
                <w:snapToGrid w:val="0"/>
                <w:kern w:val="22"/>
                <w:szCs w:val="22"/>
                <w:lang w:eastAsia="en-CA"/>
              </w:rPr>
            </w:pPr>
            <w:r w:rsidRPr="00FB546A">
              <w:rPr>
                <w:snapToGrid w:val="0"/>
                <w:kern w:val="22"/>
                <w:szCs w:val="22"/>
                <w:lang w:eastAsia="en-CA"/>
              </w:rPr>
              <w:t>Donné en connaissance de cause signifie que l’information fournie aborde tous les aspects pertinents tels que l’intention de l’accès, sa durée et son étendue, une évaluation préliminaire des impacts économiques, sociaux, culturels et environnementaux probables, y compris les risques possibles, le personnel qui participera vraisemblablement à l’exécution de l’accès, les procédures pouvant être associées à l’accès et les dispositions concernant le partage des avantages.</w:t>
            </w:r>
          </w:p>
          <w:p w:rsidR="007E2555" w:rsidRPr="00FB546A" w:rsidRDefault="007E2555" w:rsidP="00952D82">
            <w:pPr>
              <w:suppressLineNumbers/>
              <w:suppressAutoHyphens/>
              <w:autoSpaceDE w:val="0"/>
              <w:autoSpaceDN w:val="0"/>
              <w:adjustRightInd w:val="0"/>
              <w:spacing w:before="60" w:after="60"/>
              <w:jc w:val="left"/>
              <w:rPr>
                <w:snapToGrid w:val="0"/>
                <w:kern w:val="22"/>
                <w:szCs w:val="22"/>
                <w:lang w:eastAsia="en-CA"/>
              </w:rPr>
            </w:pPr>
            <w:r w:rsidRPr="00FB546A">
              <w:rPr>
                <w:snapToGrid w:val="0"/>
                <w:kern w:val="22"/>
                <w:szCs w:val="22"/>
                <w:lang w:eastAsia="en-CA"/>
              </w:rPr>
              <w:t>Le consentement ou l’accord signifie l’engagement des peuples autochtones et des communautés locales détenant des connaissances traditionnelles ou des autorités compétentes de ces peuples autochtones et communautés locales, selon qu’il convient, à autoriser l’accès à leurs connaissances traditionnelles à un utilisateur potentiel et comprend le droit de ne pas donner son consentement ou son accord.</w:t>
            </w:r>
          </w:p>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La participation signifie la participation pleine et effective des peuples autochtones et des communautés locales aux processus décisionnels liés à l’accès à leurs connaissances traditionnelles. La consultation et la participation pleine et efficace des peuples autochtones et des communautés locales sont des éléments essentiels du processus de consentement ou d’accord</w:t>
            </w:r>
            <w:r w:rsidRPr="00FB546A">
              <w:rPr>
                <w:rFonts w:eastAsiaTheme="majorEastAsia"/>
                <w:snapToGrid w:val="0"/>
                <w:kern w:val="22"/>
                <w:szCs w:val="22"/>
                <w:vertAlign w:val="superscript"/>
                <w:lang w:eastAsia="en-CA"/>
              </w:rPr>
              <w:footnoteReference w:id="16"/>
            </w:r>
            <w:r w:rsidRPr="00FB546A">
              <w:rPr>
                <w:snapToGrid w:val="0"/>
                <w:kern w:val="22"/>
                <w:szCs w:val="22"/>
                <w:lang w:eastAsia="en-CA"/>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lastRenderedPageBreak/>
              <w:t>Protocoles communautaires</w:t>
            </w:r>
          </w:p>
        </w:tc>
        <w:tc>
          <w:tcPr>
            <w:tcW w:w="6669" w:type="dxa"/>
            <w:shd w:val="clear" w:color="auto" w:fill="auto"/>
          </w:tcPr>
          <w:p w:rsidR="007E2555" w:rsidRPr="00FB546A" w:rsidRDefault="007E2555" w:rsidP="00952D82">
            <w:pPr>
              <w:suppressLineNumbers/>
              <w:suppressAutoHyphens/>
              <w:autoSpaceDE w:val="0"/>
              <w:autoSpaceDN w:val="0"/>
              <w:adjustRightInd w:val="0"/>
              <w:spacing w:before="60" w:after="60"/>
              <w:jc w:val="left"/>
              <w:rPr>
                <w:rFonts w:eastAsia="Calibri"/>
                <w:kern w:val="22"/>
                <w:szCs w:val="22"/>
                <w:lang w:val="fr-FR"/>
              </w:rPr>
            </w:pPr>
            <w:r w:rsidRPr="00FB546A">
              <w:rPr>
                <w:snapToGrid w:val="0"/>
                <w:kern w:val="22"/>
                <w:szCs w:val="22"/>
                <w:lang w:eastAsia="en-CA"/>
              </w:rPr>
              <w:t xml:space="preserve">Englobe tout un éventail d’expressions, de manifestations, de règlements et de pratiques créés par les communautés afin de définir leurs attentes concernant la façon dont les parties prenantes doivent communiquer avec elles. Ils peuvent invoquer le droit coutumier ainsi que des lois nationales ou internationales afin d’affirmer leurs droits d’être abordés selon certaines règles. Exprimer l’information, les facteurs pertinents et les détails du droit coutumier et des autorités traditionnelles aide les autres parties prenantes à mieux comprendre les valeurs communautaires et le droit coutumier. Les protocoles communautaires donnent à la communauté l’occasion de mettre l’accent sur leurs aspirations en matière de développement en ce qui a trait à leurs droits et d’exprimer leurs connaissances de leur patrimoine </w:t>
            </w:r>
            <w:proofErr w:type="spellStart"/>
            <w:r w:rsidRPr="00FB546A">
              <w:rPr>
                <w:snapToGrid w:val="0"/>
                <w:kern w:val="22"/>
                <w:szCs w:val="22"/>
                <w:lang w:eastAsia="en-CA"/>
              </w:rPr>
              <w:t>bioculturel</w:t>
            </w:r>
            <w:proofErr w:type="spellEnd"/>
            <w:r w:rsidRPr="00FB546A">
              <w:rPr>
                <w:snapToGrid w:val="0"/>
                <w:kern w:val="22"/>
                <w:szCs w:val="22"/>
                <w:lang w:eastAsia="en-CA"/>
              </w:rPr>
              <w:t xml:space="preserve"> pour eux et leurs parties prenantes, et par conséquent sur les conditions d’engagement avec les diverses parties prenantes. En examinant les liens d’interdépendance entre leurs droits fonciers, leur situation socioéconomique actuelle, leurs préoccupations environnementales, leur droit coutumier et leurs connaissances traditionnelles, les communautés sont en meilleure position de déterminer sans aide la façon de négocier avec tout un éventail d’acteurs</w:t>
            </w:r>
            <w:r w:rsidRPr="00FB546A">
              <w:rPr>
                <w:rFonts w:eastAsiaTheme="majorEastAsia"/>
                <w:snapToGrid w:val="0"/>
                <w:kern w:val="22"/>
                <w:szCs w:val="22"/>
                <w:vertAlign w:val="superscript"/>
                <w:lang w:eastAsia="en-CA"/>
              </w:rPr>
              <w:footnoteReference w:id="17"/>
            </w:r>
            <w:r w:rsidRPr="00FB546A">
              <w:rPr>
                <w:snapToGrid w:val="0"/>
                <w:kern w:val="22"/>
                <w:szCs w:val="22"/>
                <w:lang w:eastAsia="en-CA"/>
              </w:rPr>
              <w:t>.</w:t>
            </w:r>
          </w:p>
        </w:tc>
      </w:tr>
      <w:tr w:rsidR="007E2555" w:rsidRPr="00FB546A" w:rsidTr="00952D82">
        <w:trPr>
          <w:cantSplit/>
        </w:trPr>
        <w:tc>
          <w:tcPr>
            <w:tcW w:w="9576" w:type="dxa"/>
            <w:gridSpan w:val="2"/>
            <w:shd w:val="clear" w:color="auto" w:fill="auto"/>
          </w:tcPr>
          <w:p w:rsidR="007E2555" w:rsidRPr="00FB546A" w:rsidRDefault="007E2555" w:rsidP="00952D82">
            <w:pPr>
              <w:suppressLineNumbers/>
              <w:suppressAutoHyphens/>
              <w:spacing w:before="60" w:after="60"/>
              <w:jc w:val="center"/>
              <w:rPr>
                <w:b/>
                <w:kern w:val="22"/>
                <w:szCs w:val="22"/>
                <w:lang w:val="fr-FR"/>
              </w:rPr>
            </w:pPr>
            <w:r w:rsidRPr="00FB546A">
              <w:rPr>
                <w:b/>
                <w:kern w:val="22"/>
                <w:szCs w:val="22"/>
                <w:lang w:val="fr-FR"/>
              </w:rPr>
              <w:t>Partie III</w:t>
            </w:r>
          </w:p>
          <w:p w:rsidR="007E2555" w:rsidRPr="00FB546A" w:rsidRDefault="007E2555" w:rsidP="00952D82">
            <w:pPr>
              <w:suppressLineNumbers/>
              <w:suppressAutoHyphens/>
              <w:spacing w:before="60" w:after="60"/>
              <w:jc w:val="center"/>
              <w:rPr>
                <w:kern w:val="22"/>
                <w:szCs w:val="22"/>
                <w:lang w:val="fr-FR"/>
              </w:rPr>
            </w:pPr>
            <w:r w:rsidRPr="00FB546A">
              <w:rPr>
                <w:b/>
                <w:snapToGrid w:val="0"/>
                <w:kern w:val="22"/>
                <w:szCs w:val="22"/>
                <w:lang w:eastAsia="en-CA"/>
              </w:rPr>
              <w:t>Termes et concepts élaborés par le Groupe de travail</w:t>
            </w:r>
            <w:r w:rsidRPr="00FB546A">
              <w:rPr>
                <w:b/>
                <w:szCs w:val="22"/>
                <w:lang w:eastAsia="en-CA"/>
              </w:rPr>
              <w:t xml:space="preserve"> </w:t>
            </w:r>
            <w:r w:rsidRPr="00FB546A">
              <w:rPr>
                <w:rFonts w:eastAsiaTheme="majorEastAsia"/>
                <w:b/>
                <w:szCs w:val="22"/>
                <w:vertAlign w:val="superscript"/>
                <w:lang w:eastAsia="en-CA"/>
              </w:rPr>
              <w:footnoteReference w:id="18"/>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b/>
                <w:kern w:val="22"/>
                <w:szCs w:val="22"/>
                <w:lang w:val="fr-FR"/>
              </w:rPr>
              <w:t>Terme ou concept</w:t>
            </w:r>
          </w:p>
        </w:tc>
        <w:tc>
          <w:tcPr>
            <w:tcW w:w="6669" w:type="dxa"/>
            <w:shd w:val="clear" w:color="auto" w:fill="auto"/>
          </w:tcPr>
          <w:p w:rsidR="007E2555" w:rsidRPr="00FB546A" w:rsidRDefault="007E2555" w:rsidP="00952D82">
            <w:pPr>
              <w:suppressLineNumbers/>
              <w:suppressAutoHyphens/>
              <w:spacing w:before="60" w:after="60"/>
              <w:jc w:val="left"/>
              <w:rPr>
                <w:b/>
                <w:kern w:val="22"/>
                <w:szCs w:val="22"/>
                <w:lang w:val="fr-FR"/>
              </w:rPr>
            </w:pPr>
            <w:r w:rsidRPr="00FB546A">
              <w:rPr>
                <w:b/>
                <w:snapToGrid w:val="0"/>
                <w:kern w:val="22"/>
                <w:szCs w:val="22"/>
              </w:rPr>
              <w:t>Interprétation du terme ou concept dans le contexte de la Convention</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rFonts w:eastAsia="Calibri"/>
                <w:bCs/>
                <w:iCs/>
                <w:kern w:val="22"/>
                <w:szCs w:val="22"/>
                <w:lang w:val="fr-FR"/>
              </w:rPr>
              <w:t xml:space="preserve">Diversité </w:t>
            </w:r>
            <w:proofErr w:type="spellStart"/>
            <w:r w:rsidRPr="00FB546A">
              <w:rPr>
                <w:rFonts w:eastAsia="Calibri"/>
                <w:bCs/>
                <w:iCs/>
                <w:kern w:val="22"/>
                <w:szCs w:val="22"/>
                <w:lang w:val="fr-FR"/>
              </w:rPr>
              <w:t>bioculturelle</w:t>
            </w:r>
            <w:proofErr w:type="spellEnd"/>
          </w:p>
        </w:tc>
        <w:tc>
          <w:tcPr>
            <w:tcW w:w="6669" w:type="dxa"/>
            <w:shd w:val="clear" w:color="auto" w:fill="auto"/>
          </w:tcPr>
          <w:p w:rsidR="007E2555" w:rsidRPr="00FB546A" w:rsidRDefault="007E2555" w:rsidP="00952D82">
            <w:pPr>
              <w:suppressLineNumbers/>
              <w:suppressAutoHyphens/>
              <w:spacing w:before="60" w:after="60"/>
              <w:jc w:val="left"/>
              <w:rPr>
                <w:rFonts w:eastAsia="Calibri"/>
                <w:kern w:val="22"/>
                <w:szCs w:val="22"/>
                <w:lang w:val="fr-FR"/>
              </w:rPr>
            </w:pPr>
            <w:r w:rsidRPr="00FB546A">
              <w:rPr>
                <w:bCs/>
                <w:i/>
                <w:iCs/>
                <w:szCs w:val="22"/>
                <w:lang w:val="fr-FR"/>
              </w:rPr>
              <w:t xml:space="preserve">La diversité </w:t>
            </w:r>
            <w:proofErr w:type="spellStart"/>
            <w:r w:rsidRPr="00FB546A">
              <w:rPr>
                <w:bCs/>
                <w:i/>
                <w:iCs/>
                <w:szCs w:val="22"/>
                <w:lang w:val="fr-FR"/>
              </w:rPr>
              <w:t>bioculturelle</w:t>
            </w:r>
            <w:proofErr w:type="spellEnd"/>
            <w:r w:rsidRPr="00FB546A">
              <w:rPr>
                <w:szCs w:val="22"/>
                <w:lang w:val="fr-FR"/>
              </w:rPr>
              <w:t xml:space="preserve"> signifie la diversité biologique et la diversité culturelle et les liens qui les unissent</w:t>
            </w:r>
            <w:r w:rsidRPr="00FB546A">
              <w:rPr>
                <w:rFonts w:eastAsia="Calibri"/>
                <w:kern w:val="22"/>
                <w:szCs w:val="22"/>
                <w:lang w:val="fr-FR"/>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rFonts w:eastAsia="Calibri"/>
                <w:i/>
                <w:iCs/>
                <w:kern w:val="22"/>
                <w:szCs w:val="22"/>
                <w:lang w:val="fr-FR"/>
              </w:rPr>
            </w:pPr>
            <w:r w:rsidRPr="00FB546A">
              <w:rPr>
                <w:kern w:val="22"/>
                <w:szCs w:val="22"/>
                <w:lang w:val="fr-FR"/>
              </w:rPr>
              <w:t xml:space="preserve">Patrimoine </w:t>
            </w:r>
            <w:proofErr w:type="spellStart"/>
            <w:r w:rsidRPr="00FB546A">
              <w:rPr>
                <w:kern w:val="22"/>
                <w:szCs w:val="22"/>
                <w:lang w:val="fr-FR"/>
              </w:rPr>
              <w:t>bioculturel</w:t>
            </w:r>
            <w:proofErr w:type="spellEnd"/>
          </w:p>
        </w:tc>
        <w:tc>
          <w:tcPr>
            <w:tcW w:w="6669" w:type="dxa"/>
            <w:shd w:val="clear" w:color="auto" w:fill="auto"/>
          </w:tcPr>
          <w:p w:rsidR="007E2555" w:rsidRPr="00FB546A" w:rsidRDefault="007E2555" w:rsidP="00952D82">
            <w:pPr>
              <w:suppressLineNumbers/>
              <w:suppressAutoHyphens/>
              <w:spacing w:before="60" w:after="60"/>
              <w:jc w:val="left"/>
              <w:rPr>
                <w:rFonts w:eastAsia="Calibri"/>
                <w:bCs/>
                <w:i/>
                <w:iCs/>
                <w:strike/>
                <w:kern w:val="22"/>
                <w:szCs w:val="22"/>
                <w:lang w:val="fr-FR"/>
              </w:rPr>
            </w:pPr>
            <w:r w:rsidRPr="00FB546A">
              <w:rPr>
                <w:i/>
                <w:snapToGrid w:val="0"/>
                <w:kern w:val="22"/>
                <w:szCs w:val="22"/>
                <w:lang w:val="fr-FR"/>
              </w:rPr>
              <w:t xml:space="preserve">Le patrimoine </w:t>
            </w:r>
            <w:proofErr w:type="spellStart"/>
            <w:r w:rsidRPr="00FB546A">
              <w:rPr>
                <w:i/>
                <w:snapToGrid w:val="0"/>
                <w:kern w:val="22"/>
                <w:szCs w:val="22"/>
                <w:lang w:val="fr-FR"/>
              </w:rPr>
              <w:t>bioculturel</w:t>
            </w:r>
            <w:proofErr w:type="spellEnd"/>
            <w:r w:rsidRPr="00FB546A">
              <w:rPr>
                <w:snapToGrid w:val="0"/>
                <w:kern w:val="22"/>
                <w:szCs w:val="22"/>
                <w:lang w:val="fr-FR"/>
              </w:rPr>
              <w:t xml:space="preserve"> est l’expression de l’approche globale de plusieurs peuples autochtones et communautés locales. Cette approche conceptuelle globale et collective reconnaît également que le savoir est un « patrimoine », témoignant ainsi du fait qu’il est détenu et transcende les générations</w:t>
            </w:r>
            <w:r w:rsidRPr="00FB546A">
              <w:rPr>
                <w:szCs w:val="22"/>
                <w:lang w:val="fr-FR"/>
              </w:rPr>
              <w:t xml:space="preserve">. Les paysages culturels inscrits au titre de la Convention du patrimoine mondial sont des exemples de patrimoine </w:t>
            </w:r>
            <w:proofErr w:type="spellStart"/>
            <w:r w:rsidRPr="00FB546A">
              <w:rPr>
                <w:szCs w:val="22"/>
                <w:lang w:val="fr-FR"/>
              </w:rPr>
              <w:t>bioculturel</w:t>
            </w:r>
            <w:proofErr w:type="spellEnd"/>
            <w:r w:rsidRPr="00FB546A">
              <w:rPr>
                <w:szCs w:val="22"/>
                <w:lang w:val="fr-FR"/>
              </w:rPr>
              <w: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lastRenderedPageBreak/>
              <w:t>Patrimoine culturel</w:t>
            </w:r>
          </w:p>
        </w:tc>
        <w:tc>
          <w:tcPr>
            <w:tcW w:w="6669" w:type="dxa"/>
            <w:shd w:val="clear" w:color="auto" w:fill="auto"/>
          </w:tcPr>
          <w:p w:rsidR="007E2555" w:rsidRPr="00FB546A" w:rsidRDefault="007E2555" w:rsidP="00952D82">
            <w:pPr>
              <w:suppressLineNumbers/>
              <w:suppressAutoHyphens/>
              <w:spacing w:before="60" w:after="60"/>
              <w:jc w:val="left"/>
              <w:rPr>
                <w:snapToGrid w:val="0"/>
                <w:kern w:val="22"/>
                <w:szCs w:val="22"/>
                <w:lang w:eastAsia="en-CA"/>
              </w:rPr>
            </w:pPr>
            <w:r w:rsidRPr="00FB546A">
              <w:rPr>
                <w:snapToGrid w:val="0"/>
                <w:kern w:val="22"/>
                <w:szCs w:val="22"/>
                <w:lang w:eastAsia="en-CA"/>
              </w:rPr>
              <w:t>Comprend la manifestation matérielle (tangible) et/ou immatérielle (intangible) du patrimoine culturel des peuples autochtones et des communautés locales, conformément aux traditions en matière de succession et de transmission. Le patrimoine culturel tangible comprend, sans y être limité, les paysages culturels, les sites, les structures et les vestiges culturels ayant une valeur ou signification archéologique, architecturale, historique, religieuse, spirituelle, culturelle ou esthétique, les vestiges humains. Le patrimoine culturel intangible comprend, sans y être limité, les connaissances traditionnelles, y compris dans le domaine de la médecine, des procédés traditionnels de préparation des aliments et des régimes alimentaires traditionnels, ainsi que la gestion des espèces et des écosystèmes, et les expressions culturelles traditionnelles qui incluent sans s’y limiter le chant, la danse, l’expression artistique, les contes, les croyances, les relations et les valeurs et histoires qui y sont associées. Celles-ci constituent sous des formes orales et écrites leur histoire, cosmologie et culture traditionnelles.</w:t>
            </w:r>
          </w:p>
          <w:p w:rsidR="007E2555" w:rsidRPr="00FB546A" w:rsidRDefault="007E2555" w:rsidP="00952D82">
            <w:pPr>
              <w:suppressLineNumbers/>
              <w:suppressAutoHyphens/>
              <w:spacing w:before="60" w:after="60"/>
              <w:jc w:val="left"/>
              <w:rPr>
                <w:rFonts w:eastAsia="Calibri"/>
                <w:kern w:val="22"/>
                <w:szCs w:val="22"/>
                <w:lang w:val="fr-FR"/>
              </w:rPr>
            </w:pPr>
            <w:r w:rsidRPr="00FB546A">
              <w:rPr>
                <w:snapToGrid w:val="0"/>
                <w:kern w:val="22"/>
                <w:szCs w:val="22"/>
                <w:lang w:eastAsia="en-CA"/>
              </w:rPr>
              <w:t>Le concept peut comprendre des valeurs patrimoniales sexospécifiques.</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t>Espèce sacrée</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rPr>
              <w:t>Une plante ou un animal que les peuples autochtones et des communautés locales estiment être d’une importance particulière selon les traditions et/ou les coutumes en raison de son importance religieuse ou spirituelle.</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t>Gardien traditionnel</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rPr>
              <w:t>Un groupe, clan ou communauté ou un individu qui est reconnu par ce groupe, clan ou communauté en tant qu’individu à qui la garde ou la protection des connaissances traditionnelles et des expressions de culture est confiée conformément au droit coutumier et aux pratiques de ce groupe, clan ou communauté.</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val="fr-FR"/>
              </w:rPr>
              <w:t>Ressources biologiques traditionnelles</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rPr>
              <w:t>Ressources biologiques, telles que définies à l’article 2 de la Convention et utilisées traditionnellement par les peuples autochtones et les communautés locales, conformément à la législation nationale, selon qu’il convient.</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kern w:val="22"/>
                <w:szCs w:val="22"/>
                <w:lang w:val="fr-FR"/>
              </w:rPr>
              <w:t>Territoires traditionnels</w:t>
            </w:r>
          </w:p>
        </w:tc>
        <w:tc>
          <w:tcPr>
            <w:tcW w:w="6669"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snapToGrid w:val="0"/>
                <w:kern w:val="22"/>
                <w:szCs w:val="22"/>
                <w:lang w:eastAsia="en-CA"/>
              </w:rPr>
              <w:t>Les terres et les eaux occupées ou utilisées traditionnellement par des peuples autochtones et des communautés locales</w:t>
            </w:r>
            <w:r w:rsidRPr="00FB546A">
              <w:rPr>
                <w:rFonts w:eastAsiaTheme="majorEastAsia"/>
                <w:snapToGrid w:val="0"/>
                <w:kern w:val="22"/>
                <w:szCs w:val="22"/>
                <w:vertAlign w:val="superscript"/>
                <w:lang w:eastAsia="en-CA"/>
              </w:rPr>
              <w:footnoteReference w:id="19"/>
            </w:r>
            <w:r w:rsidRPr="00FB546A">
              <w:rPr>
                <w:snapToGrid w:val="0"/>
                <w:kern w:val="22"/>
                <w:szCs w:val="22"/>
                <w:lang w:eastAsia="en-CA"/>
              </w:rPr>
              <w:t>.</w:t>
            </w:r>
          </w:p>
        </w:tc>
      </w:tr>
      <w:tr w:rsidR="007E2555" w:rsidRPr="00FB546A" w:rsidTr="00952D82">
        <w:trPr>
          <w:cantSplit/>
        </w:trPr>
        <w:tc>
          <w:tcPr>
            <w:tcW w:w="9576" w:type="dxa"/>
            <w:gridSpan w:val="2"/>
            <w:shd w:val="clear" w:color="auto" w:fill="auto"/>
          </w:tcPr>
          <w:p w:rsidR="007E2555" w:rsidRPr="00FB546A" w:rsidRDefault="007E2555" w:rsidP="00952D82">
            <w:pPr>
              <w:suppressLineNumbers/>
              <w:suppressAutoHyphens/>
              <w:spacing w:before="60" w:after="60"/>
              <w:jc w:val="center"/>
              <w:rPr>
                <w:rFonts w:eastAsia="Calibri"/>
                <w:b/>
                <w:kern w:val="22"/>
                <w:szCs w:val="22"/>
                <w:lang w:val="fr-FR"/>
              </w:rPr>
            </w:pPr>
            <w:r w:rsidRPr="00FB546A">
              <w:rPr>
                <w:rFonts w:eastAsia="Calibri"/>
                <w:b/>
                <w:kern w:val="22"/>
                <w:szCs w:val="22"/>
                <w:lang w:val="fr-FR"/>
              </w:rPr>
              <w:t>Partie IV.</w:t>
            </w:r>
            <w:r w:rsidRPr="00FB546A">
              <w:rPr>
                <w:rFonts w:eastAsia="Calibri"/>
                <w:b/>
                <w:kern w:val="22"/>
                <w:szCs w:val="22"/>
                <w:lang w:val="fr-FR"/>
              </w:rPr>
              <w:tab/>
            </w:r>
            <w:r w:rsidRPr="00FB546A">
              <w:rPr>
                <w:b/>
                <w:kern w:val="22"/>
                <w:szCs w:val="22"/>
                <w:lang w:val="fr-FR"/>
              </w:rPr>
              <w:t>Autres termes et concepts pertinents</w:t>
            </w:r>
          </w:p>
        </w:tc>
      </w:tr>
      <w:tr w:rsidR="007E2555" w:rsidRPr="00FB546A" w:rsidTr="00952D82">
        <w:trPr>
          <w:cantSplit/>
        </w:trPr>
        <w:tc>
          <w:tcPr>
            <w:tcW w:w="2907" w:type="dxa"/>
            <w:shd w:val="clear" w:color="auto" w:fill="auto"/>
          </w:tcPr>
          <w:p w:rsidR="007E2555" w:rsidRPr="00FB546A" w:rsidRDefault="007E2555" w:rsidP="00952D82">
            <w:pPr>
              <w:suppressLineNumbers/>
              <w:suppressAutoHyphens/>
              <w:spacing w:before="60" w:after="60"/>
              <w:jc w:val="left"/>
              <w:rPr>
                <w:kern w:val="22"/>
                <w:szCs w:val="22"/>
                <w:lang w:val="fr-FR"/>
              </w:rPr>
            </w:pPr>
            <w:r w:rsidRPr="00FB546A">
              <w:rPr>
                <w:b/>
                <w:kern w:val="22"/>
                <w:szCs w:val="22"/>
                <w:lang w:val="fr-FR"/>
              </w:rPr>
              <w:t>Terme ou concept</w:t>
            </w:r>
          </w:p>
        </w:tc>
        <w:tc>
          <w:tcPr>
            <w:tcW w:w="6669" w:type="dxa"/>
            <w:shd w:val="clear" w:color="auto" w:fill="auto"/>
          </w:tcPr>
          <w:p w:rsidR="007E2555" w:rsidRPr="00FB546A" w:rsidRDefault="007E2555" w:rsidP="00952D82">
            <w:pPr>
              <w:suppressLineNumbers/>
              <w:suppressAutoHyphens/>
              <w:spacing w:before="60" w:after="60"/>
              <w:jc w:val="left"/>
              <w:rPr>
                <w:b/>
                <w:kern w:val="22"/>
                <w:szCs w:val="22"/>
                <w:lang w:val="fr-FR"/>
              </w:rPr>
            </w:pPr>
            <w:r w:rsidRPr="00FB546A">
              <w:rPr>
                <w:b/>
                <w:snapToGrid w:val="0"/>
                <w:kern w:val="22"/>
                <w:szCs w:val="22"/>
              </w:rPr>
              <w:t>Interprétation du terme ou concept dans le contexte de la Convention</w:t>
            </w:r>
          </w:p>
        </w:tc>
      </w:tr>
      <w:tr w:rsidR="007E2555" w:rsidRPr="00FB546A" w:rsidTr="00952D82">
        <w:trPr>
          <w:cantSplit/>
        </w:trPr>
        <w:tc>
          <w:tcPr>
            <w:tcW w:w="2907" w:type="dxa"/>
            <w:shd w:val="clear" w:color="auto" w:fill="auto"/>
          </w:tcPr>
          <w:p w:rsidR="007E2555" w:rsidRPr="00FB546A" w:rsidRDefault="00B70CB5" w:rsidP="00B70CB5">
            <w:pPr>
              <w:suppressLineNumbers/>
              <w:suppressAutoHyphens/>
              <w:spacing w:before="60" w:after="60"/>
              <w:jc w:val="left"/>
              <w:rPr>
                <w:kern w:val="22"/>
                <w:szCs w:val="22"/>
                <w:lang w:val="fr-FR"/>
              </w:rPr>
            </w:pPr>
            <w:r>
              <w:rPr>
                <w:kern w:val="22"/>
                <w:szCs w:val="22"/>
                <w:lang w:val="fr-FR"/>
              </w:rPr>
              <w:lastRenderedPageBreak/>
              <w:t>Aires et territoires du patrimoine autochtone et communautaire (APAC</w:t>
            </w:r>
            <w:r w:rsidR="007E2555" w:rsidRPr="00FB546A">
              <w:rPr>
                <w:kern w:val="22"/>
                <w:szCs w:val="22"/>
                <w:lang w:val="fr-FR"/>
              </w:rPr>
              <w:t>)</w:t>
            </w:r>
          </w:p>
        </w:tc>
        <w:tc>
          <w:tcPr>
            <w:tcW w:w="6669" w:type="dxa"/>
            <w:shd w:val="clear" w:color="auto" w:fill="auto"/>
          </w:tcPr>
          <w:p w:rsidR="007E2555" w:rsidRPr="00FB546A" w:rsidRDefault="00B70CB5" w:rsidP="00952D82">
            <w:pPr>
              <w:keepLines/>
              <w:jc w:val="left"/>
              <w:rPr>
                <w:szCs w:val="22"/>
                <w:lang w:eastAsia="en-CA"/>
              </w:rPr>
            </w:pPr>
            <w:r>
              <w:rPr>
                <w:szCs w:val="22"/>
                <w:lang w:eastAsia="en-CA"/>
              </w:rPr>
              <w:t xml:space="preserve">Les aires et territoires du patrimoine autochtone et communautaire </w:t>
            </w:r>
            <w:r w:rsidR="007E2555" w:rsidRPr="00FB546A">
              <w:rPr>
                <w:szCs w:val="22"/>
                <w:lang w:eastAsia="en-CA"/>
              </w:rPr>
              <w:t>sont des écosystèmes naturels et/ou modifiés regroupant d’importantes valeurs de la biodiversité, des services écologiques et des valeurs culturelles conservés volontairement par les peuples autochtones et les communautés locales, sédentaires et nomades, au moyen du droit coutumier et autres moyens efficaces</w:t>
            </w:r>
            <w:r w:rsidR="007E2555" w:rsidRPr="00FB546A">
              <w:rPr>
                <w:rFonts w:eastAsiaTheme="majorEastAsia"/>
                <w:szCs w:val="22"/>
                <w:vertAlign w:val="superscript"/>
                <w:lang w:eastAsia="en-CA"/>
              </w:rPr>
              <w:footnoteReference w:id="20"/>
            </w:r>
            <w:r w:rsidR="007E2555" w:rsidRPr="00FB546A">
              <w:rPr>
                <w:szCs w:val="22"/>
                <w:lang w:eastAsia="en-CA"/>
              </w:rPr>
              <w:t>.</w:t>
            </w:r>
            <w:r w:rsidR="00CF5BD9" w:rsidRPr="00FB546A">
              <w:rPr>
                <w:szCs w:val="22"/>
                <w:lang w:eastAsia="en-CA"/>
              </w:rPr>
              <w:t xml:space="preserve"> </w:t>
            </w:r>
          </w:p>
          <w:p w:rsidR="007E2555" w:rsidRPr="00FB546A" w:rsidRDefault="00B70CB5" w:rsidP="00B70CB5">
            <w:pPr>
              <w:suppressLineNumbers/>
              <w:suppressAutoHyphens/>
              <w:spacing w:before="60" w:after="60"/>
              <w:jc w:val="left"/>
              <w:rPr>
                <w:rFonts w:eastAsia="Calibri"/>
                <w:kern w:val="22"/>
                <w:szCs w:val="22"/>
                <w:lang w:val="fr-FR"/>
              </w:rPr>
            </w:pPr>
            <w:r>
              <w:rPr>
                <w:snapToGrid w:val="0"/>
                <w:kern w:val="22"/>
                <w:szCs w:val="22"/>
                <w:lang w:eastAsia="en-CA"/>
              </w:rPr>
              <w:t xml:space="preserve">Les aires et territoires du patrimoine autochtone et communautaire </w:t>
            </w:r>
            <w:r w:rsidR="007E2555" w:rsidRPr="00FB546A">
              <w:rPr>
                <w:snapToGrid w:val="0"/>
                <w:kern w:val="22"/>
                <w:szCs w:val="22"/>
                <w:lang w:eastAsia="en-CA"/>
              </w:rPr>
              <w:t>pourraient être potentiellement reconnues comme des aires protégées ou préservées, sous réserve du « consentement préalable donné en connaissance de cause », « consentement préalable, donné librement et en connaissance de cause », ou « approbation et participation » ou d’une demande, selon les circonstances nationales.</w:t>
            </w:r>
          </w:p>
        </w:tc>
      </w:tr>
    </w:tbl>
    <w:p w:rsidR="007E2555" w:rsidRPr="00FB546A" w:rsidRDefault="007E2555" w:rsidP="007E2555">
      <w:pPr>
        <w:jc w:val="center"/>
        <w:rPr>
          <w:rFonts w:eastAsia="Calibri"/>
          <w:kern w:val="22"/>
          <w:szCs w:val="22"/>
          <w:lang w:val="fr-FR"/>
        </w:rPr>
      </w:pPr>
    </w:p>
    <w:p w:rsidR="007E2555" w:rsidRPr="00FB546A" w:rsidRDefault="007E2555" w:rsidP="007E2555">
      <w:pPr>
        <w:jc w:val="center"/>
        <w:rPr>
          <w:szCs w:val="22"/>
        </w:rPr>
      </w:pPr>
      <w:r w:rsidRPr="00FB546A">
        <w:rPr>
          <w:szCs w:val="22"/>
        </w:rPr>
        <w:t>______</w:t>
      </w:r>
    </w:p>
    <w:p w:rsidR="00C9161D" w:rsidRPr="00FB546A" w:rsidRDefault="00C9161D" w:rsidP="00C9161D">
      <w:pPr>
        <w:jc w:val="center"/>
        <w:rPr>
          <w:szCs w:val="22"/>
        </w:rPr>
      </w:pPr>
    </w:p>
    <w:p w:rsidR="00B3369F" w:rsidRPr="00C9161D" w:rsidRDefault="00B3369F" w:rsidP="00C9161D"/>
    <w:sectPr w:rsidR="00B3369F" w:rsidRPr="00C9161D"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94A" w:rsidRDefault="0049394A" w:rsidP="00CF1848">
      <w:r>
        <w:separator/>
      </w:r>
    </w:p>
  </w:endnote>
  <w:endnote w:type="continuationSeparator" w:id="0">
    <w:p w:rsidR="0049394A" w:rsidRDefault="0049394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94A" w:rsidRDefault="0049394A" w:rsidP="00CF1848">
      <w:r>
        <w:separator/>
      </w:r>
    </w:p>
  </w:footnote>
  <w:footnote w:type="continuationSeparator" w:id="0">
    <w:p w:rsidR="0049394A" w:rsidRDefault="0049394A" w:rsidP="00CF1848">
      <w:r>
        <w:continuationSeparator/>
      </w:r>
    </w:p>
  </w:footnote>
  <w:footnote w:id="1">
    <w:p w:rsidR="007E2555" w:rsidRPr="007C514F" w:rsidRDefault="007E2555" w:rsidP="007E2555">
      <w:pPr>
        <w:pStyle w:val="FootnoteText"/>
        <w:ind w:firstLine="0"/>
        <w:rPr>
          <w:lang w:val="fr-FR"/>
        </w:rPr>
      </w:pPr>
      <w:r w:rsidRPr="00340B26">
        <w:rPr>
          <w:rStyle w:val="FootnoteReference"/>
          <w:rFonts w:eastAsiaTheme="majorEastAsia"/>
          <w:szCs w:val="22"/>
        </w:rPr>
        <w:footnoteRef/>
      </w:r>
      <w:r w:rsidRPr="007C514F">
        <w:rPr>
          <w:sz w:val="22"/>
          <w:szCs w:val="22"/>
          <w:vertAlign w:val="superscript"/>
          <w:lang w:val="fr-FR"/>
        </w:rPr>
        <w:t xml:space="preserve"> </w:t>
      </w:r>
      <w:r>
        <w:rPr>
          <w:lang w:val="fr-FR"/>
        </w:rPr>
        <w:t>N</w:t>
      </w:r>
      <w:r w:rsidRPr="007C514F">
        <w:rPr>
          <w:lang w:val="fr-FR"/>
        </w:rPr>
        <w:t xml:space="preserve">ations Unies, </w:t>
      </w:r>
      <w:r w:rsidRPr="007C514F">
        <w:rPr>
          <w:i/>
          <w:lang w:val="fr-FR"/>
        </w:rPr>
        <w:t>Recueil des Traités</w:t>
      </w:r>
      <w:r w:rsidRPr="007C514F">
        <w:rPr>
          <w:lang w:val="fr-FR"/>
        </w:rPr>
        <w:t>, vol.1155, No.18232.</w:t>
      </w:r>
    </w:p>
  </w:footnote>
  <w:footnote w:id="2">
    <w:p w:rsidR="007E2555" w:rsidRPr="00882D19" w:rsidRDefault="007E2555" w:rsidP="007E2555">
      <w:pPr>
        <w:pStyle w:val="FootnoteText"/>
        <w:spacing w:before="60"/>
        <w:ind w:left="-85" w:firstLine="0"/>
        <w:jc w:val="left"/>
      </w:pPr>
      <w:r w:rsidRPr="00796736">
        <w:rPr>
          <w:rStyle w:val="FootnoteReference"/>
          <w:rFonts w:eastAsiaTheme="majorEastAsia"/>
        </w:rPr>
        <w:footnoteRef/>
      </w:r>
      <w:r w:rsidRPr="00BB18C4">
        <w:rPr>
          <w:lang w:val="fr-FR"/>
        </w:rPr>
        <w:t xml:space="preserve"> </w:t>
      </w:r>
      <w:r>
        <w:t xml:space="preserve">Issu </w:t>
      </w:r>
      <w:r w:rsidRPr="00882D19">
        <w:t xml:space="preserve">de </w:t>
      </w:r>
      <w:r>
        <w:t xml:space="preserve">l’article 8 j) et approuvé </w:t>
      </w:r>
      <w:r w:rsidR="00FB546A">
        <w:t>au paragraphe 6 h) de l’annexe de</w:t>
      </w:r>
      <w:r>
        <w:t xml:space="preserve"> l</w:t>
      </w:r>
      <w:r w:rsidRPr="00882D19">
        <w:t xml:space="preserve">a </w:t>
      </w:r>
      <w:hyperlink r:id="rId1" w:history="1">
        <w:r>
          <w:rPr>
            <w:rStyle w:val="Hyperlink"/>
            <w:kern w:val="18"/>
            <w:szCs w:val="18"/>
            <w:lang w:val="fr-FR"/>
          </w:rPr>
          <w:t>dé</w:t>
        </w:r>
        <w:r w:rsidRPr="00F72E6D">
          <w:rPr>
            <w:rStyle w:val="Hyperlink"/>
            <w:kern w:val="18"/>
            <w:szCs w:val="18"/>
            <w:lang w:val="fr-FR"/>
          </w:rPr>
          <w:t>cision VII/16</w:t>
        </w:r>
      </w:hyperlink>
      <w:r w:rsidRPr="00F72E6D">
        <w:rPr>
          <w:kern w:val="18"/>
          <w:szCs w:val="18"/>
          <w:lang w:val="fr-FR"/>
        </w:rPr>
        <w:t> </w:t>
      </w:r>
      <w:r>
        <w:t xml:space="preserve">F sur les Lignes directrices </w:t>
      </w:r>
      <w:proofErr w:type="spellStart"/>
      <w:r w:rsidRPr="00882D19">
        <w:t>Akwé</w:t>
      </w:r>
      <w:proofErr w:type="spellEnd"/>
      <w:r w:rsidRPr="00882D19">
        <w:t xml:space="preserve">: </w:t>
      </w:r>
      <w:proofErr w:type="spellStart"/>
      <w:r w:rsidRPr="00882D19">
        <w:t>Kon</w:t>
      </w:r>
      <w:proofErr w:type="spellEnd"/>
      <w:r w:rsidRPr="00882D19">
        <w:rPr>
          <w:bCs/>
          <w:color w:val="333333"/>
          <w:kern w:val="22"/>
        </w:rPr>
        <w:t>.</w:t>
      </w:r>
    </w:p>
  </w:footnote>
  <w:footnote w:id="3">
    <w:p w:rsidR="007E2555" w:rsidRPr="00882D19" w:rsidRDefault="007E2555" w:rsidP="007E2555">
      <w:pPr>
        <w:pStyle w:val="FootnoteText"/>
        <w:spacing w:before="60"/>
        <w:ind w:left="-85" w:firstLine="0"/>
        <w:jc w:val="left"/>
        <w:rPr>
          <w:szCs w:val="18"/>
        </w:rPr>
      </w:pPr>
      <w:r w:rsidRPr="00882D19">
        <w:rPr>
          <w:rStyle w:val="FootnoteReference"/>
          <w:rFonts w:eastAsiaTheme="majorEastAsia"/>
          <w:szCs w:val="18"/>
        </w:rPr>
        <w:footnoteRef/>
      </w:r>
      <w:r>
        <w:rPr>
          <w:szCs w:val="18"/>
        </w:rPr>
        <w:t xml:space="preserve"> Découlant de </w:t>
      </w:r>
      <w:r w:rsidRPr="00882D19">
        <w:rPr>
          <w:szCs w:val="18"/>
        </w:rPr>
        <w:t>l’article 10 c)</w:t>
      </w:r>
      <w:r>
        <w:rPr>
          <w:szCs w:val="18"/>
        </w:rPr>
        <w:t xml:space="preserve"> de la Convention</w:t>
      </w:r>
      <w:r w:rsidRPr="00882D19">
        <w:rPr>
          <w:szCs w:val="18"/>
        </w:rPr>
        <w:t>.</w:t>
      </w:r>
    </w:p>
  </w:footnote>
  <w:footnote w:id="4">
    <w:p w:rsidR="007E2555" w:rsidRPr="00044E33" w:rsidRDefault="007E2555" w:rsidP="007E2555">
      <w:pPr>
        <w:spacing w:before="60" w:after="60"/>
        <w:ind w:left="-85"/>
        <w:jc w:val="left"/>
        <w:rPr>
          <w:i/>
        </w:rPr>
      </w:pPr>
      <w:r w:rsidRPr="00044E33">
        <w:rPr>
          <w:rStyle w:val="FootnoteReference"/>
          <w:rFonts w:eastAsiaTheme="majorEastAsia"/>
          <w:szCs w:val="18"/>
        </w:rPr>
        <w:footnoteRef/>
      </w:r>
      <w:r w:rsidRPr="00044E33">
        <w:rPr>
          <w:sz w:val="18"/>
          <w:szCs w:val="18"/>
        </w:rPr>
        <w:t xml:space="preserve"> Dans sa </w:t>
      </w:r>
      <w:hyperlink r:id="rId2" w:history="1">
        <w:r>
          <w:rPr>
            <w:rStyle w:val="Hyperlink"/>
            <w:kern w:val="18"/>
            <w:szCs w:val="18"/>
            <w:lang w:val="fr-FR"/>
          </w:rPr>
          <w:t>dé</w:t>
        </w:r>
        <w:r w:rsidRPr="00F72E6D">
          <w:rPr>
            <w:rStyle w:val="Hyperlink"/>
            <w:kern w:val="18"/>
            <w:szCs w:val="18"/>
            <w:lang w:val="fr-FR"/>
          </w:rPr>
          <w:t>cision XII/12</w:t>
        </w:r>
      </w:hyperlink>
      <w:r w:rsidRPr="00F72E6D">
        <w:rPr>
          <w:kern w:val="18"/>
          <w:sz w:val="18"/>
          <w:szCs w:val="18"/>
          <w:lang w:val="fr-FR"/>
        </w:rPr>
        <w:t xml:space="preserve"> </w:t>
      </w:r>
      <w:r w:rsidRPr="00044E33">
        <w:rPr>
          <w:sz w:val="18"/>
          <w:szCs w:val="18"/>
        </w:rPr>
        <w:t>F, la Conférence des Parties a décidé d’utiliser l’expression « peuples autochtones et communautés locales » dans les futures décisions prises au titre de la Convention, sans que cela ne modifie de q</w:t>
      </w:r>
      <w:r>
        <w:rPr>
          <w:sz w:val="18"/>
          <w:szCs w:val="18"/>
        </w:rPr>
        <w:t>uelque façon que ce soit la signification juridique</w:t>
      </w:r>
      <w:r w:rsidRPr="00044E33">
        <w:rPr>
          <w:sz w:val="18"/>
          <w:szCs w:val="18"/>
        </w:rPr>
        <w:t xml:space="preserve"> de l’article 8 j) et des dispositions connexes de la Convention. Des décisions semblables ont été prises par les Parties au Protocole de Cartagena et au Protocole de Nagoya en décembre 2016, dans les décisions</w:t>
      </w:r>
      <w:r w:rsidRPr="00044E33">
        <w:rPr>
          <w:rFonts w:eastAsia="Calibri"/>
          <w:spacing w:val="4"/>
          <w:w w:val="103"/>
          <w:kern w:val="14"/>
          <w:sz w:val="18"/>
          <w:szCs w:val="18"/>
        </w:rPr>
        <w:t xml:space="preserve"> </w:t>
      </w:r>
      <w:hyperlink r:id="rId3" w:history="1">
        <w:r w:rsidRPr="00FC52A6">
          <w:rPr>
            <w:rStyle w:val="Hyperlink"/>
            <w:szCs w:val="18"/>
            <w:lang w:eastAsia="en-GB"/>
          </w:rPr>
          <w:t>BS/VIII/19</w:t>
        </w:r>
      </w:hyperlink>
      <w:r w:rsidRPr="00044E33">
        <w:rPr>
          <w:sz w:val="18"/>
          <w:szCs w:val="18"/>
          <w:lang w:eastAsia="en-GB"/>
        </w:rPr>
        <w:t xml:space="preserve">, et </w:t>
      </w:r>
      <w:hyperlink r:id="rId4" w:history="1">
        <w:r w:rsidRPr="00FC52A6">
          <w:rPr>
            <w:rStyle w:val="Hyperlink"/>
            <w:rFonts w:eastAsia="Calibri"/>
            <w:spacing w:val="4"/>
            <w:w w:val="103"/>
            <w:kern w:val="14"/>
            <w:szCs w:val="18"/>
          </w:rPr>
          <w:t>NP/2/7</w:t>
        </w:r>
      </w:hyperlink>
      <w:r w:rsidRPr="00044E33">
        <w:rPr>
          <w:rFonts w:eastAsia="Calibri"/>
          <w:spacing w:val="4"/>
          <w:w w:val="103"/>
          <w:kern w:val="14"/>
          <w:sz w:val="18"/>
          <w:szCs w:val="18"/>
        </w:rPr>
        <w:t>, respectivement.</w:t>
      </w:r>
    </w:p>
  </w:footnote>
  <w:footnote w:id="5">
    <w:p w:rsidR="007E2555" w:rsidRPr="004D0B3B" w:rsidRDefault="007E2555" w:rsidP="007E2555">
      <w:pPr>
        <w:suppressLineNumbers/>
        <w:suppressAutoHyphens/>
        <w:spacing w:before="60" w:after="60"/>
        <w:ind w:left="-85"/>
        <w:jc w:val="left"/>
      </w:pPr>
      <w:r w:rsidRPr="00882D19">
        <w:rPr>
          <w:rStyle w:val="FootnoteReference"/>
          <w:rFonts w:eastAsiaTheme="majorEastAsia"/>
          <w:szCs w:val="18"/>
        </w:rPr>
        <w:footnoteRef/>
      </w:r>
      <w:r w:rsidRPr="00882D19">
        <w:rPr>
          <w:sz w:val="18"/>
          <w:szCs w:val="18"/>
        </w:rPr>
        <w:t xml:space="preserve"> </w:t>
      </w:r>
      <w:r w:rsidRPr="00882D19">
        <w:rPr>
          <w:snapToGrid w:val="0"/>
          <w:kern w:val="22"/>
          <w:sz w:val="18"/>
          <w:szCs w:val="18"/>
        </w:rPr>
        <w:t>Remarque : La</w:t>
      </w:r>
      <w:r w:rsidRPr="00F72E6D">
        <w:rPr>
          <w:kern w:val="18"/>
          <w:sz w:val="18"/>
          <w:szCs w:val="18"/>
          <w:lang w:val="fr-FR"/>
        </w:rPr>
        <w:t xml:space="preserve"> </w:t>
      </w:r>
      <w:hyperlink r:id="rId5" w:history="1">
        <w:r>
          <w:rPr>
            <w:rStyle w:val="Hyperlink"/>
            <w:kern w:val="18"/>
            <w:szCs w:val="18"/>
            <w:lang w:val="fr-FR"/>
          </w:rPr>
          <w:t>Déclaration des Nations Unies sur les droits des peuples autochtone</w:t>
        </w:r>
        <w:r w:rsidRPr="00F72E6D">
          <w:rPr>
            <w:rStyle w:val="Hyperlink"/>
            <w:kern w:val="18"/>
            <w:szCs w:val="18"/>
            <w:lang w:val="fr-FR"/>
          </w:rPr>
          <w:t>s</w:t>
        </w:r>
      </w:hyperlink>
      <w:r w:rsidRPr="00F72E6D">
        <w:rPr>
          <w:kern w:val="18"/>
          <w:sz w:val="18"/>
          <w:szCs w:val="18"/>
          <w:lang w:val="fr-FR"/>
        </w:rPr>
        <w:t xml:space="preserve"> </w:t>
      </w:r>
      <w:r w:rsidRPr="004D0B3B">
        <w:rPr>
          <w:snapToGrid w:val="0"/>
          <w:kern w:val="22"/>
          <w:sz w:val="18"/>
          <w:szCs w:val="18"/>
        </w:rPr>
        <w:t xml:space="preserve">n’adopte pas une </w:t>
      </w:r>
      <w:r>
        <w:rPr>
          <w:snapToGrid w:val="0"/>
          <w:kern w:val="22"/>
          <w:sz w:val="18"/>
          <w:szCs w:val="18"/>
        </w:rPr>
        <w:t>définition universelle des « peu</w:t>
      </w:r>
      <w:r w:rsidRPr="004D0B3B">
        <w:rPr>
          <w:snapToGrid w:val="0"/>
          <w:kern w:val="22"/>
          <w:sz w:val="18"/>
          <w:szCs w:val="18"/>
        </w:rPr>
        <w:t>ples autochtones », de sorte qu’une définition n’est pas recommandée. Cependant, l’Instance permanente sur les questions autochtones des Nations Unies, en qualité d’organe consultatif d’experts, offre d</w:t>
      </w:r>
      <w:r>
        <w:rPr>
          <w:snapToGrid w:val="0"/>
          <w:kern w:val="22"/>
          <w:sz w:val="18"/>
          <w:szCs w:val="18"/>
        </w:rPr>
        <w:t>es conseils sur le « concept de</w:t>
      </w:r>
      <w:r w:rsidRPr="004D0B3B">
        <w:rPr>
          <w:snapToGrid w:val="0"/>
          <w:kern w:val="22"/>
          <w:sz w:val="18"/>
          <w:szCs w:val="18"/>
        </w:rPr>
        <w:t xml:space="preserve"> peuples autochtones » en faisant référence au rapport du rapporteur spécial, M. </w:t>
      </w:r>
      <w:r w:rsidRPr="004D0B3B">
        <w:rPr>
          <w:sz w:val="18"/>
          <w:szCs w:val="18"/>
        </w:rPr>
        <w:t xml:space="preserve">José </w:t>
      </w:r>
      <w:proofErr w:type="spellStart"/>
      <w:r w:rsidRPr="004D0B3B">
        <w:rPr>
          <w:sz w:val="18"/>
          <w:szCs w:val="18"/>
        </w:rPr>
        <w:t>Martínez</w:t>
      </w:r>
      <w:proofErr w:type="spellEnd"/>
      <w:r w:rsidRPr="004D0B3B">
        <w:rPr>
          <w:sz w:val="18"/>
          <w:szCs w:val="18"/>
        </w:rPr>
        <w:t xml:space="preserve"> </w:t>
      </w:r>
      <w:proofErr w:type="spellStart"/>
      <w:r w:rsidRPr="004D0B3B">
        <w:rPr>
          <w:sz w:val="18"/>
          <w:szCs w:val="18"/>
        </w:rPr>
        <w:t>Cobo</w:t>
      </w:r>
      <w:proofErr w:type="spellEnd"/>
      <w:r w:rsidRPr="004D0B3B">
        <w:rPr>
          <w:sz w:val="18"/>
          <w:szCs w:val="18"/>
        </w:rPr>
        <w:t xml:space="preserve">, </w:t>
      </w:r>
      <w:r>
        <w:rPr>
          <w:snapToGrid w:val="0"/>
          <w:kern w:val="22"/>
          <w:sz w:val="18"/>
          <w:szCs w:val="18"/>
        </w:rPr>
        <w:t>sur l’é</w:t>
      </w:r>
      <w:r w:rsidRPr="004D0B3B">
        <w:rPr>
          <w:snapToGrid w:val="0"/>
          <w:kern w:val="22"/>
          <w:sz w:val="18"/>
          <w:szCs w:val="18"/>
        </w:rPr>
        <w:t>tude du problèm</w:t>
      </w:r>
      <w:r>
        <w:rPr>
          <w:snapToGrid w:val="0"/>
          <w:kern w:val="22"/>
          <w:sz w:val="18"/>
          <w:szCs w:val="18"/>
        </w:rPr>
        <w:t>e de la discrimination à l’encontre</w:t>
      </w:r>
      <w:r w:rsidRPr="004D0B3B">
        <w:rPr>
          <w:snapToGrid w:val="0"/>
          <w:kern w:val="22"/>
          <w:sz w:val="18"/>
          <w:szCs w:val="18"/>
        </w:rPr>
        <w:t xml:space="preserve"> des populations autochtones </w:t>
      </w:r>
      <w:r w:rsidRPr="004D0B3B">
        <w:rPr>
          <w:snapToGrid w:val="0"/>
          <w:kern w:val="18"/>
          <w:sz w:val="18"/>
          <w:szCs w:val="18"/>
        </w:rPr>
        <w:t xml:space="preserve">(E/CN.4/Sub.2/1982/2/Add.6), publié sur le site: </w:t>
      </w:r>
      <w:hyperlink r:id="rId6" w:history="1">
        <w:r w:rsidRPr="004D0B3B">
          <w:rPr>
            <w:rStyle w:val="Hyperlink"/>
            <w:snapToGrid w:val="0"/>
            <w:kern w:val="18"/>
            <w:szCs w:val="18"/>
          </w:rPr>
          <w:t>http://www.un.org/esa/socdev/unpfii/documents/MCS_v_en.pdf</w:t>
        </w:r>
      </w:hyperlink>
      <w:r w:rsidRPr="004D0B3B">
        <w:rPr>
          <w:snapToGrid w:val="0"/>
          <w:kern w:val="18"/>
          <w:sz w:val="18"/>
          <w:szCs w:val="18"/>
        </w:rPr>
        <w:t xml:space="preserve"> </w:t>
      </w:r>
      <w:r w:rsidRPr="004D0B3B">
        <w:rPr>
          <w:snapToGrid w:val="0"/>
          <w:kern w:val="22"/>
          <w:sz w:val="18"/>
          <w:szCs w:val="18"/>
        </w:rPr>
        <w:t xml:space="preserve"> </w:t>
      </w:r>
    </w:p>
  </w:footnote>
  <w:footnote w:id="6">
    <w:p w:rsidR="007E2555" w:rsidRPr="004D0B3B" w:rsidRDefault="007E2555" w:rsidP="007E2555">
      <w:pPr>
        <w:pStyle w:val="FootnoteText"/>
        <w:tabs>
          <w:tab w:val="left" w:pos="-900"/>
        </w:tabs>
        <w:spacing w:before="60"/>
        <w:ind w:left="-85" w:firstLine="0"/>
        <w:jc w:val="left"/>
        <w:rPr>
          <w:szCs w:val="18"/>
        </w:rPr>
      </w:pPr>
      <w:r w:rsidRPr="004D0B3B">
        <w:rPr>
          <w:rStyle w:val="FootnoteReference"/>
          <w:rFonts w:eastAsiaTheme="majorEastAsia"/>
          <w:szCs w:val="18"/>
        </w:rPr>
        <w:footnoteRef/>
      </w:r>
      <w:r>
        <w:rPr>
          <w:szCs w:val="18"/>
        </w:rPr>
        <w:t xml:space="preserve"> Des avis sur </w:t>
      </w:r>
      <w:r w:rsidRPr="004D0B3B">
        <w:rPr>
          <w:szCs w:val="18"/>
        </w:rPr>
        <w:t>les c</w:t>
      </w:r>
      <w:r>
        <w:rPr>
          <w:szCs w:val="18"/>
        </w:rPr>
        <w:t xml:space="preserve">ommunautés locales sont disponibles </w:t>
      </w:r>
      <w:r w:rsidRPr="004D0B3B">
        <w:rPr>
          <w:szCs w:val="18"/>
        </w:rPr>
        <w:t>aux paragraphes 17 à 21 de la décision XI/14 sur les communautés lo</w:t>
      </w:r>
      <w:r>
        <w:rPr>
          <w:szCs w:val="18"/>
        </w:rPr>
        <w:t>cales et dans le rapport de la r</w:t>
      </w:r>
      <w:r w:rsidRPr="004D0B3B">
        <w:rPr>
          <w:szCs w:val="18"/>
        </w:rPr>
        <w:t>éunion du Groupe</w:t>
      </w:r>
      <w:r>
        <w:rPr>
          <w:szCs w:val="18"/>
        </w:rPr>
        <w:t xml:space="preserve"> d’experts des représentants de</w:t>
      </w:r>
      <w:r w:rsidRPr="004D0B3B">
        <w:rPr>
          <w:szCs w:val="18"/>
        </w:rPr>
        <w:t xml:space="preserve"> communautés locales dans le contexte de l’article 8 j) et des dispositions connexes</w:t>
      </w:r>
      <w:r>
        <w:rPr>
          <w:szCs w:val="18"/>
        </w:rPr>
        <w:t xml:space="preserve"> de la Convention sur la diversité biologique</w:t>
      </w:r>
      <w:r w:rsidRPr="004D0B3B">
        <w:rPr>
          <w:szCs w:val="18"/>
        </w:rPr>
        <w:t xml:space="preserve"> </w:t>
      </w:r>
      <w:r w:rsidRPr="004D0B3B">
        <w:rPr>
          <w:snapToGrid w:val="0"/>
          <w:kern w:val="18"/>
          <w:szCs w:val="18"/>
        </w:rPr>
        <w:t>(</w:t>
      </w:r>
      <w:hyperlink r:id="rId7" w:history="1">
        <w:r w:rsidRPr="00FC52A6">
          <w:rPr>
            <w:rStyle w:val="Hyperlink"/>
            <w:snapToGrid w:val="0"/>
            <w:kern w:val="18"/>
            <w:szCs w:val="18"/>
          </w:rPr>
          <w:t>UNEP/CBD/WG8J/7/8/Add.1</w:t>
        </w:r>
      </w:hyperlink>
      <w:r w:rsidRPr="004D0B3B">
        <w:rPr>
          <w:snapToGrid w:val="0"/>
          <w:kern w:val="18"/>
          <w:szCs w:val="18"/>
        </w:rPr>
        <w:t>)</w:t>
      </w:r>
      <w:r w:rsidRPr="004D0B3B">
        <w:rPr>
          <w:szCs w:val="18"/>
        </w:rPr>
        <w:t>.</w:t>
      </w:r>
    </w:p>
  </w:footnote>
  <w:footnote w:id="7">
    <w:p w:rsidR="007E2555" w:rsidRPr="00AC354F" w:rsidRDefault="007E2555" w:rsidP="007E2555">
      <w:pPr>
        <w:pStyle w:val="FootnoteText"/>
        <w:ind w:firstLine="0"/>
      </w:pPr>
      <w:r w:rsidRPr="008D4FD8">
        <w:rPr>
          <w:rStyle w:val="FootnoteReference"/>
          <w:rFonts w:eastAsiaTheme="majorEastAsia"/>
          <w:szCs w:val="22"/>
        </w:rPr>
        <w:footnoteRef/>
      </w:r>
      <w:r w:rsidRPr="008D4FD8">
        <w:rPr>
          <w:sz w:val="22"/>
          <w:szCs w:val="22"/>
          <w:lang w:val="fr-FR"/>
        </w:rPr>
        <w:t xml:space="preserve"> </w:t>
      </w:r>
      <w:r>
        <w:t>Article 14 de la Convention sur la diversité biologique (« Études d’impact et réduction des effets néfastes »)</w:t>
      </w:r>
      <w:r w:rsidRPr="00AC354F">
        <w:t>.</w:t>
      </w:r>
    </w:p>
  </w:footnote>
  <w:footnote w:id="8">
    <w:p w:rsidR="007E2555" w:rsidRPr="00044E33" w:rsidRDefault="007E2555" w:rsidP="007E2555">
      <w:pPr>
        <w:pStyle w:val="FootnoteText"/>
        <w:ind w:firstLine="0"/>
        <w:jc w:val="left"/>
        <w:rPr>
          <w:lang w:val="fr-FR"/>
        </w:rPr>
      </w:pPr>
      <w:r w:rsidRPr="00044E33">
        <w:rPr>
          <w:rStyle w:val="FootnoteReference"/>
          <w:rFonts w:eastAsiaTheme="majorEastAsia"/>
          <w:szCs w:val="22"/>
        </w:rPr>
        <w:footnoteRef/>
      </w:r>
      <w:r w:rsidRPr="00044E33">
        <w:rPr>
          <w:sz w:val="22"/>
          <w:szCs w:val="22"/>
          <w:vertAlign w:val="superscript"/>
          <w:lang w:val="fr-FR"/>
        </w:rPr>
        <w:t xml:space="preserve"> </w:t>
      </w:r>
      <w:r>
        <w:t>Approuvé au paragraphe 6 a) de l’annexe à l</w:t>
      </w:r>
      <w:r w:rsidRPr="00882D19">
        <w:t xml:space="preserve">a </w:t>
      </w:r>
      <w:hyperlink r:id="rId8" w:history="1">
        <w:r>
          <w:rPr>
            <w:rStyle w:val="Hyperlink"/>
            <w:kern w:val="18"/>
            <w:szCs w:val="18"/>
            <w:lang w:val="fr-FR"/>
          </w:rPr>
          <w:t>dé</w:t>
        </w:r>
        <w:r w:rsidRPr="00F72E6D">
          <w:rPr>
            <w:rStyle w:val="Hyperlink"/>
            <w:kern w:val="18"/>
            <w:szCs w:val="18"/>
            <w:lang w:val="fr-FR"/>
          </w:rPr>
          <w:t>cision VII/16</w:t>
        </w:r>
      </w:hyperlink>
      <w:r>
        <w:t xml:space="preserve"> F sur les Lignes directrices </w:t>
      </w:r>
      <w:proofErr w:type="spellStart"/>
      <w:r w:rsidRPr="00882D19">
        <w:t>Akwé</w:t>
      </w:r>
      <w:proofErr w:type="spellEnd"/>
      <w:r w:rsidRPr="00882D19">
        <w:t xml:space="preserve">: </w:t>
      </w:r>
      <w:proofErr w:type="spellStart"/>
      <w:r w:rsidRPr="00882D19">
        <w:t>Kon</w:t>
      </w:r>
      <w:proofErr w:type="spellEnd"/>
      <w:r>
        <w:t>.</w:t>
      </w:r>
    </w:p>
  </w:footnote>
  <w:footnote w:id="9">
    <w:p w:rsidR="007E2555" w:rsidRPr="00B37B16" w:rsidRDefault="007E2555" w:rsidP="007E2555">
      <w:pPr>
        <w:pStyle w:val="FootnoteText"/>
        <w:ind w:firstLine="0"/>
        <w:jc w:val="left"/>
        <w:rPr>
          <w:lang w:val="fr-FR"/>
        </w:rPr>
      </w:pPr>
      <w:r w:rsidRPr="00044E33">
        <w:rPr>
          <w:rStyle w:val="FootnoteReference"/>
          <w:rFonts w:eastAsiaTheme="majorEastAsia"/>
          <w:szCs w:val="22"/>
        </w:rPr>
        <w:footnoteRef/>
      </w:r>
      <w:r w:rsidRPr="00044E33">
        <w:rPr>
          <w:sz w:val="22"/>
          <w:szCs w:val="22"/>
          <w:vertAlign w:val="superscript"/>
          <w:lang w:val="fr-FR"/>
        </w:rPr>
        <w:t xml:space="preserve"> </w:t>
      </w:r>
      <w:r>
        <w:t>Approuvé au paragraphe 6 b) de l’annexe à l</w:t>
      </w:r>
      <w:r w:rsidRPr="00882D19">
        <w:t xml:space="preserve">a </w:t>
      </w:r>
      <w:hyperlink r:id="rId9" w:history="1">
        <w:r>
          <w:rPr>
            <w:rStyle w:val="Hyperlink"/>
            <w:kern w:val="18"/>
            <w:szCs w:val="18"/>
            <w:lang w:val="fr-FR"/>
          </w:rPr>
          <w:t>dé</w:t>
        </w:r>
        <w:r w:rsidRPr="00F72E6D">
          <w:rPr>
            <w:rStyle w:val="Hyperlink"/>
            <w:kern w:val="18"/>
            <w:szCs w:val="18"/>
            <w:lang w:val="fr-FR"/>
          </w:rPr>
          <w:t>cision VII/16</w:t>
        </w:r>
      </w:hyperlink>
      <w:r>
        <w:t xml:space="preserve"> F sur les Lignes directrices </w:t>
      </w:r>
      <w:proofErr w:type="spellStart"/>
      <w:r w:rsidRPr="00882D19">
        <w:t>Akwé</w:t>
      </w:r>
      <w:proofErr w:type="spellEnd"/>
      <w:r w:rsidRPr="00882D19">
        <w:t xml:space="preserve">: </w:t>
      </w:r>
      <w:proofErr w:type="spellStart"/>
      <w:r w:rsidRPr="00882D19">
        <w:t>Kon</w:t>
      </w:r>
      <w:proofErr w:type="spellEnd"/>
      <w:r w:rsidRPr="00B37B16">
        <w:t>. Les définitions de l’évaluation de l’impact sur le patrimoine culturel et du patrimoine culturel incluses dans la partie 3 du présent glossaire devraient être considérées de façon conjointe.</w:t>
      </w:r>
    </w:p>
  </w:footnote>
  <w:footnote w:id="10">
    <w:p w:rsidR="007E2555" w:rsidRPr="00044E33" w:rsidRDefault="007E2555" w:rsidP="007E2555">
      <w:pPr>
        <w:pStyle w:val="FootnoteText"/>
        <w:ind w:firstLine="0"/>
        <w:rPr>
          <w:lang w:val="fr-FR"/>
        </w:rPr>
      </w:pPr>
      <w:r w:rsidRPr="00044E33">
        <w:rPr>
          <w:rStyle w:val="FootnoteReference"/>
          <w:rFonts w:eastAsiaTheme="majorEastAsia"/>
          <w:szCs w:val="22"/>
        </w:rPr>
        <w:footnoteRef/>
      </w:r>
      <w:r w:rsidRPr="00044E33">
        <w:rPr>
          <w:sz w:val="22"/>
          <w:szCs w:val="22"/>
          <w:vertAlign w:val="superscript"/>
          <w:lang w:val="fr-FR"/>
        </w:rPr>
        <w:t xml:space="preserve"> </w:t>
      </w:r>
      <w:r>
        <w:t>Approuvé au paragraphe 6 c) de l’annexe à l</w:t>
      </w:r>
      <w:r w:rsidRPr="00882D19">
        <w:t xml:space="preserve">a </w:t>
      </w:r>
      <w:hyperlink r:id="rId10" w:history="1">
        <w:r>
          <w:rPr>
            <w:rStyle w:val="Hyperlink"/>
            <w:kern w:val="18"/>
            <w:szCs w:val="18"/>
            <w:lang w:val="fr-FR"/>
          </w:rPr>
          <w:t>dé</w:t>
        </w:r>
        <w:r w:rsidRPr="00F72E6D">
          <w:rPr>
            <w:rStyle w:val="Hyperlink"/>
            <w:kern w:val="18"/>
            <w:szCs w:val="18"/>
            <w:lang w:val="fr-FR"/>
          </w:rPr>
          <w:t>cision VII/16</w:t>
        </w:r>
      </w:hyperlink>
      <w:r>
        <w:t xml:space="preserve"> F sur les Lignes directrices </w:t>
      </w:r>
      <w:proofErr w:type="spellStart"/>
      <w:r w:rsidRPr="00882D19">
        <w:t>Akwé</w:t>
      </w:r>
      <w:proofErr w:type="spellEnd"/>
      <w:r w:rsidRPr="00882D19">
        <w:t xml:space="preserve">: </w:t>
      </w:r>
      <w:proofErr w:type="spellStart"/>
      <w:r w:rsidRPr="00882D19">
        <w:t>Kon</w:t>
      </w:r>
      <w:proofErr w:type="spellEnd"/>
      <w:r>
        <w:t>.</w:t>
      </w:r>
    </w:p>
  </w:footnote>
  <w:footnote w:id="11">
    <w:p w:rsidR="007E2555" w:rsidRPr="00044E33" w:rsidRDefault="007E2555" w:rsidP="007E2555">
      <w:pPr>
        <w:pStyle w:val="FootnoteText"/>
        <w:ind w:firstLine="0"/>
        <w:rPr>
          <w:lang w:val="fr-FR"/>
        </w:rPr>
      </w:pPr>
      <w:r w:rsidRPr="00044E33">
        <w:rPr>
          <w:rStyle w:val="FootnoteReference"/>
          <w:rFonts w:eastAsiaTheme="majorEastAsia"/>
          <w:szCs w:val="22"/>
        </w:rPr>
        <w:footnoteRef/>
      </w:r>
      <w:r w:rsidRPr="00044E33">
        <w:rPr>
          <w:lang w:val="fr-FR"/>
        </w:rPr>
        <w:t xml:space="preserve"> </w:t>
      </w:r>
      <w:r>
        <w:t>Approuvé au paragraphe 6 d) de l’annexe à l</w:t>
      </w:r>
      <w:r w:rsidRPr="00882D19">
        <w:t xml:space="preserve">a </w:t>
      </w:r>
      <w:hyperlink r:id="rId11" w:history="1">
        <w:r>
          <w:rPr>
            <w:rStyle w:val="Hyperlink"/>
            <w:kern w:val="18"/>
            <w:szCs w:val="18"/>
            <w:lang w:val="fr-FR"/>
          </w:rPr>
          <w:t>dé</w:t>
        </w:r>
        <w:r w:rsidRPr="00F72E6D">
          <w:rPr>
            <w:rStyle w:val="Hyperlink"/>
            <w:kern w:val="18"/>
            <w:szCs w:val="18"/>
            <w:lang w:val="fr-FR"/>
          </w:rPr>
          <w:t>cision VII/16</w:t>
        </w:r>
      </w:hyperlink>
      <w:r w:rsidRPr="00B37B16">
        <w:rPr>
          <w:kern w:val="18"/>
          <w:szCs w:val="18"/>
          <w:lang w:val="fr-FR"/>
        </w:rPr>
        <w:t xml:space="preserve"> </w:t>
      </w:r>
      <w:r>
        <w:t xml:space="preserve">F sur les Lignes directrices </w:t>
      </w:r>
      <w:proofErr w:type="spellStart"/>
      <w:r w:rsidRPr="00882D19">
        <w:t>Akwé</w:t>
      </w:r>
      <w:proofErr w:type="spellEnd"/>
      <w:r w:rsidRPr="00882D19">
        <w:t xml:space="preserve">: </w:t>
      </w:r>
      <w:proofErr w:type="spellStart"/>
      <w:r w:rsidRPr="00882D19">
        <w:t>Kon</w:t>
      </w:r>
      <w:proofErr w:type="spellEnd"/>
      <w:r>
        <w:t>.</w:t>
      </w:r>
    </w:p>
  </w:footnote>
  <w:footnote w:id="12">
    <w:p w:rsidR="007E2555" w:rsidRPr="00044E33" w:rsidRDefault="007E2555" w:rsidP="007E2555">
      <w:pPr>
        <w:pStyle w:val="FootnoteText"/>
        <w:ind w:firstLine="0"/>
        <w:rPr>
          <w:lang w:val="fr-FR"/>
        </w:rPr>
      </w:pPr>
      <w:r w:rsidRPr="00044E33">
        <w:rPr>
          <w:rStyle w:val="FootnoteReference"/>
          <w:rFonts w:eastAsiaTheme="majorEastAsia"/>
          <w:szCs w:val="22"/>
        </w:rPr>
        <w:footnoteRef/>
      </w:r>
      <w:r w:rsidRPr="00044E33">
        <w:rPr>
          <w:sz w:val="22"/>
          <w:szCs w:val="22"/>
          <w:vertAlign w:val="superscript"/>
          <w:lang w:val="fr-FR"/>
        </w:rPr>
        <w:t xml:space="preserve"> </w:t>
      </w:r>
      <w:r>
        <w:t>Approuvé au paragraphe 6 e) de l’annexe à l</w:t>
      </w:r>
      <w:r w:rsidRPr="00882D19">
        <w:t xml:space="preserve">a </w:t>
      </w:r>
      <w:hyperlink r:id="rId12" w:history="1">
        <w:r>
          <w:rPr>
            <w:rStyle w:val="Hyperlink"/>
            <w:kern w:val="18"/>
            <w:szCs w:val="18"/>
            <w:lang w:val="fr-FR"/>
          </w:rPr>
          <w:t>dé</w:t>
        </w:r>
        <w:r w:rsidRPr="00F72E6D">
          <w:rPr>
            <w:rStyle w:val="Hyperlink"/>
            <w:kern w:val="18"/>
            <w:szCs w:val="18"/>
            <w:lang w:val="fr-FR"/>
          </w:rPr>
          <w:t>cision VII/16</w:t>
        </w:r>
      </w:hyperlink>
      <w:r w:rsidRPr="00B37B16">
        <w:rPr>
          <w:kern w:val="18"/>
          <w:szCs w:val="18"/>
          <w:lang w:val="fr-FR"/>
        </w:rPr>
        <w:t xml:space="preserve"> </w:t>
      </w:r>
      <w:r>
        <w:t xml:space="preserve">F sur les Lignes directrices </w:t>
      </w:r>
      <w:proofErr w:type="spellStart"/>
      <w:r w:rsidRPr="00882D19">
        <w:t>Akwé</w:t>
      </w:r>
      <w:proofErr w:type="spellEnd"/>
      <w:r w:rsidRPr="00882D19">
        <w:t xml:space="preserve">: </w:t>
      </w:r>
      <w:proofErr w:type="spellStart"/>
      <w:r w:rsidRPr="00882D19">
        <w:t>Kon</w:t>
      </w:r>
      <w:proofErr w:type="spellEnd"/>
      <w:r>
        <w:t>.</w:t>
      </w:r>
    </w:p>
  </w:footnote>
  <w:footnote w:id="13">
    <w:p w:rsidR="007E2555" w:rsidRPr="00A43D06" w:rsidRDefault="007E2555" w:rsidP="007E2555">
      <w:pPr>
        <w:pStyle w:val="FootnoteText"/>
        <w:ind w:firstLine="0"/>
        <w:rPr>
          <w:lang w:val="fr-FR"/>
        </w:rPr>
      </w:pPr>
      <w:r w:rsidRPr="00A43D06">
        <w:rPr>
          <w:rStyle w:val="FootnoteReference"/>
          <w:rFonts w:eastAsiaTheme="majorEastAsia"/>
          <w:szCs w:val="22"/>
        </w:rPr>
        <w:footnoteRef/>
      </w:r>
      <w:r w:rsidRPr="00A43D06">
        <w:rPr>
          <w:sz w:val="22"/>
          <w:szCs w:val="22"/>
          <w:vertAlign w:val="superscript"/>
          <w:lang w:val="fr-FR"/>
        </w:rPr>
        <w:t xml:space="preserve"> </w:t>
      </w:r>
      <w:r>
        <w:t>Approuvé au paragraphe 6 f) de l’annexe à l</w:t>
      </w:r>
      <w:r w:rsidRPr="00882D19">
        <w:t xml:space="preserve">a </w:t>
      </w:r>
      <w:hyperlink r:id="rId13" w:history="1">
        <w:r>
          <w:rPr>
            <w:rStyle w:val="Hyperlink"/>
            <w:kern w:val="18"/>
            <w:szCs w:val="18"/>
            <w:lang w:val="fr-FR"/>
          </w:rPr>
          <w:t>dé</w:t>
        </w:r>
        <w:r w:rsidRPr="00F72E6D">
          <w:rPr>
            <w:rStyle w:val="Hyperlink"/>
            <w:kern w:val="18"/>
            <w:szCs w:val="18"/>
            <w:lang w:val="fr-FR"/>
          </w:rPr>
          <w:t>cision VII/16</w:t>
        </w:r>
      </w:hyperlink>
      <w:r w:rsidRPr="00B37B16">
        <w:rPr>
          <w:kern w:val="18"/>
          <w:szCs w:val="18"/>
          <w:lang w:val="fr-FR"/>
        </w:rPr>
        <w:t xml:space="preserve"> </w:t>
      </w:r>
      <w:r>
        <w:t xml:space="preserve">F sur les Lignes directrices </w:t>
      </w:r>
      <w:proofErr w:type="spellStart"/>
      <w:r w:rsidRPr="00882D19">
        <w:t>Akwé</w:t>
      </w:r>
      <w:proofErr w:type="spellEnd"/>
      <w:r w:rsidRPr="00882D19">
        <w:t xml:space="preserve">: </w:t>
      </w:r>
      <w:proofErr w:type="spellStart"/>
      <w:r w:rsidRPr="00882D19">
        <w:t>Kon</w:t>
      </w:r>
      <w:proofErr w:type="spellEnd"/>
      <w:r>
        <w:t>.</w:t>
      </w:r>
    </w:p>
  </w:footnote>
  <w:footnote w:id="14">
    <w:p w:rsidR="007E2555" w:rsidRPr="00A43D06" w:rsidRDefault="007E2555" w:rsidP="007E2555">
      <w:pPr>
        <w:pStyle w:val="FootnoteText"/>
        <w:ind w:firstLine="0"/>
        <w:rPr>
          <w:lang w:val="fr-FR"/>
        </w:rPr>
      </w:pPr>
      <w:r w:rsidRPr="00A43D06">
        <w:rPr>
          <w:rStyle w:val="FootnoteReference"/>
          <w:rFonts w:eastAsiaTheme="majorEastAsia"/>
          <w:szCs w:val="22"/>
        </w:rPr>
        <w:footnoteRef/>
      </w:r>
      <w:r w:rsidRPr="00A43D06">
        <w:rPr>
          <w:lang w:val="fr-FR"/>
        </w:rPr>
        <w:t xml:space="preserve"> </w:t>
      </w:r>
      <w:r>
        <w:t>Approuvé au paragraphe 6 g) de l’annexe à l</w:t>
      </w:r>
      <w:r w:rsidRPr="00882D19">
        <w:t xml:space="preserve">a </w:t>
      </w:r>
      <w:hyperlink r:id="rId14" w:history="1">
        <w:r>
          <w:rPr>
            <w:rStyle w:val="Hyperlink"/>
            <w:kern w:val="18"/>
            <w:szCs w:val="18"/>
            <w:lang w:val="fr-FR"/>
          </w:rPr>
          <w:t>dé</w:t>
        </w:r>
        <w:r w:rsidRPr="00F72E6D">
          <w:rPr>
            <w:rStyle w:val="Hyperlink"/>
            <w:kern w:val="18"/>
            <w:szCs w:val="18"/>
            <w:lang w:val="fr-FR"/>
          </w:rPr>
          <w:t>cision VII/16</w:t>
        </w:r>
      </w:hyperlink>
      <w:r>
        <w:t xml:space="preserve"> F sur les Lignes directrices </w:t>
      </w:r>
      <w:proofErr w:type="spellStart"/>
      <w:r w:rsidRPr="00882D19">
        <w:t>Akwé</w:t>
      </w:r>
      <w:proofErr w:type="spellEnd"/>
      <w:r w:rsidRPr="00882D19">
        <w:t xml:space="preserve">: </w:t>
      </w:r>
      <w:proofErr w:type="spellStart"/>
      <w:r w:rsidRPr="00882D19">
        <w:t>Kon</w:t>
      </w:r>
      <w:proofErr w:type="spellEnd"/>
      <w:r>
        <w:t>.</w:t>
      </w:r>
    </w:p>
  </w:footnote>
  <w:footnote w:id="15">
    <w:p w:rsidR="007E2555" w:rsidRPr="00A43D06" w:rsidRDefault="007E2555" w:rsidP="007E2555">
      <w:pPr>
        <w:pStyle w:val="FootnoteText"/>
        <w:ind w:firstLine="0"/>
        <w:jc w:val="left"/>
        <w:rPr>
          <w:lang w:val="fr-FR"/>
        </w:rPr>
      </w:pPr>
      <w:r w:rsidRPr="00A43D06">
        <w:rPr>
          <w:rStyle w:val="FootnoteReference"/>
          <w:rFonts w:eastAsiaTheme="majorEastAsia"/>
          <w:szCs w:val="22"/>
        </w:rPr>
        <w:footnoteRef/>
      </w:r>
      <w:r w:rsidRPr="00A43D06">
        <w:rPr>
          <w:sz w:val="22"/>
          <w:szCs w:val="22"/>
          <w:vertAlign w:val="superscript"/>
          <w:lang w:val="fr-FR"/>
        </w:rPr>
        <w:t xml:space="preserve"> </w:t>
      </w:r>
      <w:r w:rsidRPr="00A43D06">
        <w:rPr>
          <w:kern w:val="18"/>
          <w:szCs w:val="18"/>
          <w:lang w:val="fr-FR"/>
        </w:rPr>
        <w:t>Lignes directrices facultatives pour l’élaboration de mécanismes, lé</w:t>
      </w:r>
      <w:r>
        <w:rPr>
          <w:kern w:val="18"/>
          <w:szCs w:val="18"/>
          <w:lang w:val="fr-FR"/>
        </w:rPr>
        <w:t xml:space="preserve">gislation ou </w:t>
      </w:r>
      <w:r w:rsidRPr="00A43D06">
        <w:rPr>
          <w:kern w:val="18"/>
          <w:szCs w:val="18"/>
          <w:lang w:val="fr-FR"/>
        </w:rPr>
        <w:t>autres initiatives appropriées pour assure</w:t>
      </w:r>
      <w:r>
        <w:rPr>
          <w:kern w:val="18"/>
          <w:szCs w:val="18"/>
          <w:lang w:val="fr-FR"/>
        </w:rPr>
        <w:t xml:space="preserve">r le “consentement préalable donné </w:t>
      </w:r>
      <w:r w:rsidRPr="00A43D06">
        <w:rPr>
          <w:kern w:val="18"/>
          <w:szCs w:val="18"/>
          <w:lang w:val="fr-FR"/>
        </w:rPr>
        <w:t>en connaissance de cause”, le “</w:t>
      </w:r>
      <w:r>
        <w:rPr>
          <w:kern w:val="18"/>
          <w:szCs w:val="18"/>
          <w:lang w:val="fr-FR"/>
        </w:rPr>
        <w:t>consentement préalable, donné librement et en connaissance de cause</w:t>
      </w:r>
      <w:r w:rsidRPr="00A43D06">
        <w:rPr>
          <w:kern w:val="18"/>
          <w:szCs w:val="18"/>
          <w:lang w:val="fr-FR"/>
        </w:rPr>
        <w:t>”, ou “l’</w:t>
      </w:r>
      <w:r>
        <w:rPr>
          <w:kern w:val="18"/>
          <w:szCs w:val="18"/>
          <w:lang w:val="fr-FR"/>
        </w:rPr>
        <w:t>approbation</w:t>
      </w:r>
      <w:r w:rsidRPr="00A43D06">
        <w:rPr>
          <w:kern w:val="18"/>
          <w:szCs w:val="18"/>
          <w:lang w:val="fr-FR"/>
        </w:rPr>
        <w:t xml:space="preserve"> et la participation”</w:t>
      </w:r>
      <w:r>
        <w:rPr>
          <w:kern w:val="18"/>
          <w:szCs w:val="18"/>
          <w:lang w:val="fr-FR"/>
        </w:rPr>
        <w:t>, selon l</w:t>
      </w:r>
      <w:r w:rsidRPr="00A43D06">
        <w:rPr>
          <w:kern w:val="18"/>
          <w:szCs w:val="18"/>
          <w:lang w:val="fr-FR"/>
        </w:rPr>
        <w:t xml:space="preserve">es circonstances nationales, des </w:t>
      </w:r>
      <w:r>
        <w:rPr>
          <w:kern w:val="18"/>
          <w:szCs w:val="18"/>
          <w:lang w:val="fr-FR"/>
        </w:rPr>
        <w:t>peu</w:t>
      </w:r>
      <w:r w:rsidRPr="00A43D06">
        <w:rPr>
          <w:kern w:val="18"/>
          <w:szCs w:val="18"/>
          <w:lang w:val="fr-FR"/>
        </w:rPr>
        <w:t xml:space="preserve">ples autochtones et des </w:t>
      </w:r>
      <w:r>
        <w:rPr>
          <w:kern w:val="18"/>
          <w:szCs w:val="18"/>
          <w:lang w:val="fr-FR"/>
        </w:rPr>
        <w:t>communauté</w:t>
      </w:r>
      <w:r w:rsidRPr="00A43D06">
        <w:rPr>
          <w:kern w:val="18"/>
          <w:szCs w:val="18"/>
          <w:lang w:val="fr-FR"/>
        </w:rPr>
        <w:t>s</w:t>
      </w:r>
      <w:r>
        <w:rPr>
          <w:kern w:val="18"/>
          <w:szCs w:val="18"/>
          <w:lang w:val="fr-FR"/>
        </w:rPr>
        <w:t xml:space="preserve"> locales pour avoir accès à leurs connaissances, innovations et pratique</w:t>
      </w:r>
      <w:r w:rsidRPr="00A43D06">
        <w:rPr>
          <w:kern w:val="18"/>
          <w:szCs w:val="18"/>
          <w:lang w:val="fr-FR"/>
        </w:rPr>
        <w:t xml:space="preserve">s, </w:t>
      </w:r>
      <w:r>
        <w:rPr>
          <w:kern w:val="18"/>
          <w:szCs w:val="18"/>
          <w:lang w:val="fr-FR"/>
        </w:rPr>
        <w:t>pour le partage juste et é</w:t>
      </w:r>
      <w:r w:rsidRPr="00A43D06">
        <w:rPr>
          <w:kern w:val="18"/>
          <w:szCs w:val="18"/>
          <w:lang w:val="fr-FR"/>
        </w:rPr>
        <w:t xml:space="preserve">quitable </w:t>
      </w:r>
      <w:r>
        <w:rPr>
          <w:kern w:val="18"/>
          <w:szCs w:val="18"/>
          <w:lang w:val="fr-FR"/>
        </w:rPr>
        <w:t>des avantages découlant de l’utilisation de leurs connaissances, innovations et pratiqu</w:t>
      </w:r>
      <w:r w:rsidRPr="00A43D06">
        <w:rPr>
          <w:kern w:val="18"/>
          <w:szCs w:val="18"/>
          <w:lang w:val="fr-FR"/>
        </w:rPr>
        <w:t>es</w:t>
      </w:r>
      <w:r>
        <w:rPr>
          <w:kern w:val="18"/>
          <w:szCs w:val="18"/>
          <w:lang w:val="fr-FR"/>
        </w:rPr>
        <w:t xml:space="preserve"> qui intéressent la </w:t>
      </w:r>
      <w:r w:rsidRPr="00A43D06">
        <w:rPr>
          <w:kern w:val="18"/>
          <w:szCs w:val="18"/>
          <w:lang w:val="fr-FR"/>
        </w:rPr>
        <w:t xml:space="preserve">conservation </w:t>
      </w:r>
      <w:r>
        <w:rPr>
          <w:kern w:val="18"/>
          <w:szCs w:val="18"/>
          <w:lang w:val="fr-FR"/>
        </w:rPr>
        <w:t>et l’utilisation durable de la diversité biologique, et pour le signalement et la prévention d’une appropriation illicite des connaissances traditionnelles.</w:t>
      </w:r>
    </w:p>
  </w:footnote>
  <w:footnote w:id="16">
    <w:p w:rsidR="007E2555" w:rsidRPr="007F66C6" w:rsidRDefault="007E2555" w:rsidP="007E2555">
      <w:pPr>
        <w:pStyle w:val="FootnoteText"/>
        <w:ind w:firstLine="0"/>
        <w:rPr>
          <w:lang w:val="fr-FR"/>
        </w:rPr>
      </w:pPr>
      <w:r w:rsidRPr="008D4FD8">
        <w:rPr>
          <w:rStyle w:val="FootnoteReference"/>
          <w:rFonts w:eastAsiaTheme="majorEastAsia"/>
          <w:szCs w:val="18"/>
        </w:rPr>
        <w:footnoteRef/>
      </w:r>
      <w:r w:rsidRPr="008D4FD8">
        <w:rPr>
          <w:szCs w:val="18"/>
          <w:vertAlign w:val="superscript"/>
          <w:lang w:val="fr-FR"/>
        </w:rPr>
        <w:t xml:space="preserve"> </w:t>
      </w:r>
      <w:r>
        <w:rPr>
          <w:lang w:val="fr-FR"/>
        </w:rPr>
        <w:t xml:space="preserve">Approuvé aux paragraphes 7 et 8 de l’annexe à la </w:t>
      </w:r>
      <w:hyperlink r:id="rId15" w:history="1">
        <w:r>
          <w:rPr>
            <w:rStyle w:val="Hyperlink"/>
            <w:kern w:val="18"/>
            <w:szCs w:val="18"/>
            <w:lang w:val="fr-FR"/>
          </w:rPr>
          <w:t>dé</w:t>
        </w:r>
        <w:r w:rsidRPr="005B702C">
          <w:rPr>
            <w:rStyle w:val="Hyperlink"/>
            <w:kern w:val="18"/>
            <w:szCs w:val="18"/>
            <w:lang w:val="fr-FR"/>
          </w:rPr>
          <w:t>cision XIII/18</w:t>
        </w:r>
      </w:hyperlink>
      <w:r w:rsidRPr="005B702C">
        <w:rPr>
          <w:kern w:val="18"/>
          <w:szCs w:val="18"/>
          <w:lang w:val="fr-FR"/>
        </w:rPr>
        <w:t xml:space="preserve"> </w:t>
      </w:r>
      <w:r>
        <w:rPr>
          <w:lang w:val="fr-FR"/>
        </w:rPr>
        <w:t xml:space="preserve">sur les Lignes directrices facultatives </w:t>
      </w:r>
      <w:proofErr w:type="spellStart"/>
      <w:r>
        <w:rPr>
          <w:snapToGrid w:val="0"/>
          <w:kern w:val="22"/>
          <w:szCs w:val="18"/>
        </w:rPr>
        <w:t>Mo’otz</w:t>
      </w:r>
      <w:proofErr w:type="spellEnd"/>
      <w:r>
        <w:rPr>
          <w:snapToGrid w:val="0"/>
          <w:kern w:val="22"/>
          <w:szCs w:val="18"/>
        </w:rPr>
        <w:t xml:space="preserve"> </w:t>
      </w:r>
      <w:proofErr w:type="spellStart"/>
      <w:r>
        <w:rPr>
          <w:snapToGrid w:val="0"/>
          <w:kern w:val="22"/>
          <w:szCs w:val="18"/>
        </w:rPr>
        <w:t>K</w:t>
      </w:r>
      <w:r w:rsidRPr="00461391">
        <w:rPr>
          <w:snapToGrid w:val="0"/>
          <w:kern w:val="22"/>
          <w:szCs w:val="18"/>
        </w:rPr>
        <w:t>uxtal</w:t>
      </w:r>
      <w:proofErr w:type="spellEnd"/>
      <w:r>
        <w:rPr>
          <w:snapToGrid w:val="0"/>
          <w:kern w:val="22"/>
          <w:szCs w:val="18"/>
        </w:rPr>
        <w:t>.</w:t>
      </w:r>
    </w:p>
  </w:footnote>
  <w:footnote w:id="17">
    <w:p w:rsidR="007E2555" w:rsidRPr="00461391" w:rsidRDefault="007E2555" w:rsidP="007E2555">
      <w:pPr>
        <w:keepNext/>
        <w:outlineLvl w:val="1"/>
      </w:pPr>
      <w:r w:rsidRPr="009F77F6">
        <w:rPr>
          <w:rStyle w:val="FootnoteReference"/>
          <w:rFonts w:eastAsiaTheme="majorEastAsia"/>
          <w:szCs w:val="18"/>
        </w:rPr>
        <w:footnoteRef/>
      </w:r>
      <w:r>
        <w:rPr>
          <w:sz w:val="18"/>
          <w:szCs w:val="18"/>
        </w:rPr>
        <w:t xml:space="preserve"> Approuvé au paragrap</w:t>
      </w:r>
      <w:r w:rsidRPr="00461391">
        <w:rPr>
          <w:sz w:val="18"/>
          <w:szCs w:val="18"/>
        </w:rPr>
        <w:t xml:space="preserve">he 19 de la </w:t>
      </w:r>
      <w:hyperlink r:id="rId16" w:history="1">
        <w:r w:rsidRPr="005B702C">
          <w:rPr>
            <w:rStyle w:val="Hyperlink"/>
            <w:kern w:val="18"/>
            <w:szCs w:val="18"/>
            <w:lang w:val="fr-FR"/>
          </w:rPr>
          <w:t>décision XIII/18</w:t>
        </w:r>
      </w:hyperlink>
      <w:r>
        <w:rPr>
          <w:sz w:val="18"/>
          <w:szCs w:val="18"/>
        </w:rPr>
        <w:t xml:space="preserve"> </w:t>
      </w:r>
      <w:r w:rsidRPr="00461391">
        <w:rPr>
          <w:sz w:val="18"/>
          <w:szCs w:val="18"/>
        </w:rPr>
        <w:t>sur les Li</w:t>
      </w:r>
      <w:r>
        <w:rPr>
          <w:sz w:val="18"/>
          <w:szCs w:val="18"/>
        </w:rPr>
        <w:t xml:space="preserve">gnes directrices facultatives </w:t>
      </w:r>
      <w:proofErr w:type="spellStart"/>
      <w:r>
        <w:rPr>
          <w:snapToGrid w:val="0"/>
          <w:kern w:val="22"/>
          <w:sz w:val="18"/>
          <w:szCs w:val="18"/>
        </w:rPr>
        <w:t>Mo’otz</w:t>
      </w:r>
      <w:proofErr w:type="spellEnd"/>
      <w:r>
        <w:rPr>
          <w:snapToGrid w:val="0"/>
          <w:kern w:val="22"/>
          <w:sz w:val="18"/>
          <w:szCs w:val="18"/>
        </w:rPr>
        <w:t xml:space="preserve"> </w:t>
      </w:r>
      <w:proofErr w:type="spellStart"/>
      <w:r>
        <w:rPr>
          <w:snapToGrid w:val="0"/>
          <w:kern w:val="22"/>
          <w:sz w:val="18"/>
          <w:szCs w:val="18"/>
        </w:rPr>
        <w:t>Kuxtal</w:t>
      </w:r>
      <w:proofErr w:type="spellEnd"/>
      <w:r w:rsidRPr="00461391">
        <w:rPr>
          <w:snapToGrid w:val="0"/>
          <w:kern w:val="22"/>
          <w:sz w:val="18"/>
          <w:szCs w:val="18"/>
        </w:rPr>
        <w:t>.</w:t>
      </w:r>
    </w:p>
  </w:footnote>
  <w:footnote w:id="18">
    <w:p w:rsidR="007E2555" w:rsidRPr="008831A3" w:rsidRDefault="007E2555" w:rsidP="007E2555">
      <w:pPr>
        <w:pStyle w:val="FootnoteText"/>
        <w:spacing w:before="120" w:after="0"/>
        <w:ind w:firstLine="0"/>
        <w:jc w:val="left"/>
      </w:pPr>
      <w:r w:rsidRPr="009F77F6">
        <w:rPr>
          <w:rStyle w:val="FootnoteReference"/>
          <w:rFonts w:eastAsiaTheme="majorEastAsia"/>
        </w:rPr>
        <w:footnoteRef/>
      </w:r>
      <w:r w:rsidRPr="00BB18C4">
        <w:rPr>
          <w:lang w:val="fr-FR"/>
        </w:rPr>
        <w:t xml:space="preserve"> </w:t>
      </w:r>
      <w:r w:rsidRPr="00461391">
        <w:t xml:space="preserve">Ces termes et concepts sont issus </w:t>
      </w:r>
      <w:r>
        <w:t xml:space="preserve">d’un document sur les éléments possibles des </w:t>
      </w:r>
      <w:r>
        <w:rPr>
          <w:snapToGrid w:val="0"/>
          <w:kern w:val="22"/>
          <w:szCs w:val="20"/>
        </w:rPr>
        <w:t>systèmes</w:t>
      </w:r>
      <w:r w:rsidRPr="008831A3">
        <w:rPr>
          <w:snapToGrid w:val="0"/>
          <w:kern w:val="22"/>
          <w:szCs w:val="20"/>
        </w:rPr>
        <w:t xml:space="preserve"> sui generis pour la protection des </w:t>
      </w:r>
      <w:r>
        <w:rPr>
          <w:snapToGrid w:val="0"/>
          <w:kern w:val="22"/>
          <w:szCs w:val="20"/>
        </w:rPr>
        <w:t xml:space="preserve">connaissances, </w:t>
      </w:r>
      <w:r>
        <w:t xml:space="preserve">innovations et pratiques traditionnelles des peuples autochtones et des communautés locales, émis pour la huitième réunion du Groupe de travail (partie </w:t>
      </w:r>
      <w:r w:rsidR="005128B3">
        <w:t>II de l’annexe du</w:t>
      </w:r>
      <w:r>
        <w:t xml:space="preserve"> document </w:t>
      </w:r>
      <w:hyperlink r:id="rId17" w:history="1">
        <w:r w:rsidRPr="00FC52A6">
          <w:rPr>
            <w:rStyle w:val="Hyperlink"/>
            <w:snapToGrid w:val="0"/>
            <w:kern w:val="22"/>
            <w:szCs w:val="20"/>
          </w:rPr>
          <w:t>UNEP/CBD/WG8J/8/6/Add.1</w:t>
        </w:r>
      </w:hyperlink>
      <w:r>
        <w:rPr>
          <w:snapToGrid w:val="0"/>
          <w:kern w:val="22"/>
          <w:szCs w:val="20"/>
        </w:rPr>
        <w:t>)</w:t>
      </w:r>
      <w:r w:rsidRPr="008831A3">
        <w:rPr>
          <w:snapToGrid w:val="0"/>
          <w:kern w:val="22"/>
          <w:szCs w:val="20"/>
        </w:rPr>
        <w:t>.</w:t>
      </w:r>
    </w:p>
  </w:footnote>
  <w:footnote w:id="19">
    <w:p w:rsidR="007E2555" w:rsidRPr="0033579D" w:rsidRDefault="007E2555" w:rsidP="007E2555">
      <w:pPr>
        <w:pStyle w:val="FootnoteText"/>
        <w:ind w:firstLine="0"/>
        <w:jc w:val="left"/>
        <w:rPr>
          <w:szCs w:val="18"/>
        </w:rPr>
      </w:pPr>
      <w:r w:rsidRPr="009F77F6">
        <w:rPr>
          <w:rStyle w:val="FootnoteReference"/>
          <w:rFonts w:eastAsiaTheme="majorEastAsia"/>
          <w:szCs w:val="18"/>
        </w:rPr>
        <w:footnoteRef/>
      </w:r>
      <w:r w:rsidRPr="00BB18C4">
        <w:rPr>
          <w:szCs w:val="18"/>
          <w:lang w:val="fr-FR"/>
        </w:rPr>
        <w:t xml:space="preserve"> </w:t>
      </w:r>
      <w:r>
        <w:rPr>
          <w:szCs w:val="18"/>
        </w:rPr>
        <w:t>Cette terminologie</w:t>
      </w:r>
      <w:r w:rsidRPr="0033579D">
        <w:rPr>
          <w:szCs w:val="18"/>
        </w:rPr>
        <w:t xml:space="preserve"> est couramment utilisée dans le Code de conduite éthique </w:t>
      </w:r>
      <w:proofErr w:type="spellStart"/>
      <w:r w:rsidRPr="00BB18C4">
        <w:rPr>
          <w:bCs/>
          <w:szCs w:val="18"/>
          <w:lang w:val="fr-FR"/>
        </w:rPr>
        <w:t>Tkarihwaié:ri</w:t>
      </w:r>
      <w:proofErr w:type="spellEnd"/>
      <w:r w:rsidRPr="00BB18C4">
        <w:rPr>
          <w:bCs/>
          <w:szCs w:val="18"/>
          <w:lang w:val="fr-FR"/>
        </w:rPr>
        <w:t xml:space="preserve"> propre </w:t>
      </w:r>
      <w:r>
        <w:rPr>
          <w:bCs/>
          <w:szCs w:val="18"/>
        </w:rPr>
        <w:t xml:space="preserve">à assurer le respect du patrimoine culturel et intellectuel des communautés autochtones et locales, adopté par la Conférence des Parties à la Convention sur la diversité biologique dans sa </w:t>
      </w:r>
      <w:hyperlink r:id="rId18" w:history="1">
        <w:r>
          <w:rPr>
            <w:rStyle w:val="Hyperlink"/>
            <w:bCs/>
            <w:kern w:val="18"/>
            <w:szCs w:val="18"/>
            <w:lang w:val="fr-FR"/>
          </w:rPr>
          <w:t>dé</w:t>
        </w:r>
        <w:r w:rsidRPr="00E24634">
          <w:rPr>
            <w:rStyle w:val="Hyperlink"/>
            <w:bCs/>
            <w:kern w:val="18"/>
            <w:szCs w:val="18"/>
            <w:lang w:val="fr-FR"/>
          </w:rPr>
          <w:t>cision X/42</w:t>
        </w:r>
      </w:hyperlink>
      <w:r w:rsidRPr="0033579D">
        <w:rPr>
          <w:bCs/>
          <w:szCs w:val="18"/>
        </w:rPr>
        <w:t>.</w:t>
      </w:r>
      <w:r w:rsidRPr="0033579D">
        <w:rPr>
          <w:b/>
          <w:bCs/>
          <w:szCs w:val="18"/>
        </w:rPr>
        <w:t xml:space="preserve"> </w:t>
      </w:r>
    </w:p>
  </w:footnote>
  <w:footnote w:id="20">
    <w:p w:rsidR="007E2555" w:rsidRPr="000823F0" w:rsidRDefault="007E2555" w:rsidP="007E2555">
      <w:pPr>
        <w:pStyle w:val="FootnoteText"/>
        <w:ind w:firstLine="0"/>
      </w:pPr>
      <w:r w:rsidRPr="009F77F6">
        <w:rPr>
          <w:rStyle w:val="FootnoteReference"/>
          <w:rFonts w:eastAsiaTheme="majorEastAsia"/>
          <w:szCs w:val="18"/>
        </w:rPr>
        <w:footnoteRef/>
      </w:r>
      <w:r w:rsidRPr="00BB18C4">
        <w:rPr>
          <w:szCs w:val="18"/>
          <w:lang w:val="fr-FR"/>
        </w:rPr>
        <w:t xml:space="preserve"> </w:t>
      </w:r>
      <w:r w:rsidRPr="000823F0">
        <w:rPr>
          <w:szCs w:val="18"/>
        </w:rPr>
        <w:t xml:space="preserve">Selon le consortium de l’ICCA sur le site </w:t>
      </w:r>
      <w:hyperlink r:id="rId19" w:history="1">
        <w:r w:rsidRPr="000823F0">
          <w:rPr>
            <w:rStyle w:val="Hyperlink"/>
            <w:szCs w:val="18"/>
          </w:rPr>
          <w:t>https://www.iccaconsortium.or</w:t>
        </w:r>
        <w:r w:rsidRPr="000823F0">
          <w:rPr>
            <w:rStyle w:val="Hyperlink"/>
            <w:szCs w:val="18"/>
          </w:rPr>
          <w:t>g</w:t>
        </w:r>
        <w:r w:rsidRPr="000823F0">
          <w:rPr>
            <w:rStyle w:val="Hyperlink"/>
            <w:szCs w:val="18"/>
          </w:rPr>
          <w:t>/index.php/discover/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C1387E" w:rsidRDefault="00120917" w:rsidP="00534681">
        <w:pPr>
          <w:pStyle w:val="Header"/>
          <w:rPr>
            <w:lang w:val="en-CA"/>
          </w:rPr>
        </w:pPr>
        <w:r>
          <w:rPr>
            <w:lang w:val="en-GB"/>
          </w:rPr>
          <w:t>CBD/COP/DEC/14/13</w:t>
        </w:r>
      </w:p>
    </w:sdtContent>
  </w:sdt>
  <w:p w:rsidR="00534681" w:rsidRPr="00000614" w:rsidRDefault="00534681" w:rsidP="00534681">
    <w:pPr>
      <w:pStyle w:val="Header"/>
      <w:rPr>
        <w:lang w:val="fr-FR"/>
      </w:rPr>
    </w:pPr>
    <w:r w:rsidRPr="00000614">
      <w:rPr>
        <w:lang w:val="fr-FR"/>
      </w:rPr>
      <w:t xml:space="preserve">Page </w:t>
    </w:r>
    <w:r w:rsidR="00A466E6">
      <w:fldChar w:fldCharType="begin"/>
    </w:r>
    <w:r w:rsidRPr="00000614">
      <w:rPr>
        <w:lang w:val="fr-FR"/>
      </w:rPr>
      <w:instrText xml:space="preserve"> PAGE   \* MERGEFORMAT </w:instrText>
    </w:r>
    <w:r w:rsidR="00A466E6">
      <w:fldChar w:fldCharType="separate"/>
    </w:r>
    <w:r w:rsidR="00C34633">
      <w:rPr>
        <w:noProof/>
        <w:lang w:val="fr-FR"/>
      </w:rPr>
      <w:t>2</w:t>
    </w:r>
    <w:r w:rsidR="00A466E6">
      <w:rPr>
        <w:noProof/>
      </w:rPr>
      <w:fldChar w:fldCharType="end"/>
    </w:r>
  </w:p>
  <w:p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C1387E" w:rsidRDefault="00120917" w:rsidP="009505C9">
        <w:pPr>
          <w:pStyle w:val="Header"/>
          <w:jc w:val="right"/>
          <w:rPr>
            <w:lang w:val="en-CA"/>
          </w:rPr>
        </w:pPr>
        <w:r>
          <w:rPr>
            <w:lang w:val="en-GB"/>
          </w:rPr>
          <w:t>CBD/COP/DEC/14/13</w:t>
        </w:r>
      </w:p>
    </w:sdtContent>
  </w:sdt>
  <w:p w:rsidR="009505C9" w:rsidRPr="00000614" w:rsidRDefault="009505C9" w:rsidP="009505C9">
    <w:pPr>
      <w:pStyle w:val="Header"/>
      <w:jc w:val="right"/>
      <w:rPr>
        <w:lang w:val="fr-FR"/>
      </w:rPr>
    </w:pPr>
    <w:r w:rsidRPr="00000614">
      <w:rPr>
        <w:lang w:val="fr-FR"/>
      </w:rPr>
      <w:t xml:space="preserve">Page </w:t>
    </w:r>
    <w:r w:rsidR="00A466E6">
      <w:fldChar w:fldCharType="begin"/>
    </w:r>
    <w:r w:rsidRPr="00000614">
      <w:rPr>
        <w:lang w:val="fr-FR"/>
      </w:rPr>
      <w:instrText xml:space="preserve"> PAGE   \* MERGEFORMAT </w:instrText>
    </w:r>
    <w:r w:rsidR="00A466E6">
      <w:fldChar w:fldCharType="separate"/>
    </w:r>
    <w:r w:rsidR="00C34633">
      <w:rPr>
        <w:noProof/>
        <w:lang w:val="fr-FR"/>
      </w:rPr>
      <w:t>7</w:t>
    </w:r>
    <w:r w:rsidR="00A466E6">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fr-CA" w:vendorID="64" w:dllVersion="0" w:nlCheck="1" w:checkStyle="0"/>
  <w:activeWritingStyle w:appName="MSWord" w:lang="fr-CA"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96589"/>
    <w:rsid w:val="000E673A"/>
    <w:rsid w:val="000F74F5"/>
    <w:rsid w:val="00105372"/>
    <w:rsid w:val="00120917"/>
    <w:rsid w:val="00131E7A"/>
    <w:rsid w:val="00172AF6"/>
    <w:rsid w:val="00176CEE"/>
    <w:rsid w:val="00230959"/>
    <w:rsid w:val="002C0DC9"/>
    <w:rsid w:val="0030546D"/>
    <w:rsid w:val="00372F74"/>
    <w:rsid w:val="003F7224"/>
    <w:rsid w:val="00405146"/>
    <w:rsid w:val="0042412C"/>
    <w:rsid w:val="00427D21"/>
    <w:rsid w:val="004644C2"/>
    <w:rsid w:val="00467F9C"/>
    <w:rsid w:val="0049394A"/>
    <w:rsid w:val="004E0520"/>
    <w:rsid w:val="005128B3"/>
    <w:rsid w:val="005220C0"/>
    <w:rsid w:val="00534681"/>
    <w:rsid w:val="0054462D"/>
    <w:rsid w:val="005907D7"/>
    <w:rsid w:val="005954AD"/>
    <w:rsid w:val="005A0CA0"/>
    <w:rsid w:val="005C0F62"/>
    <w:rsid w:val="005F43CA"/>
    <w:rsid w:val="005F79FF"/>
    <w:rsid w:val="006122BA"/>
    <w:rsid w:val="0061445E"/>
    <w:rsid w:val="006B2290"/>
    <w:rsid w:val="00717BBE"/>
    <w:rsid w:val="00717D88"/>
    <w:rsid w:val="00762A0C"/>
    <w:rsid w:val="007942D3"/>
    <w:rsid w:val="007B6C09"/>
    <w:rsid w:val="007E09DA"/>
    <w:rsid w:val="007E2555"/>
    <w:rsid w:val="00816B15"/>
    <w:rsid w:val="008178B6"/>
    <w:rsid w:val="00852EF1"/>
    <w:rsid w:val="00865B74"/>
    <w:rsid w:val="008E33BA"/>
    <w:rsid w:val="00930BA1"/>
    <w:rsid w:val="0093169E"/>
    <w:rsid w:val="009505C9"/>
    <w:rsid w:val="009C200D"/>
    <w:rsid w:val="009F70C4"/>
    <w:rsid w:val="00A207B0"/>
    <w:rsid w:val="00A402F3"/>
    <w:rsid w:val="00A466E6"/>
    <w:rsid w:val="00A57492"/>
    <w:rsid w:val="00A82BEA"/>
    <w:rsid w:val="00AE2362"/>
    <w:rsid w:val="00B20932"/>
    <w:rsid w:val="00B25AA5"/>
    <w:rsid w:val="00B3369F"/>
    <w:rsid w:val="00B45C61"/>
    <w:rsid w:val="00B56C19"/>
    <w:rsid w:val="00B70CB5"/>
    <w:rsid w:val="00BE5C2F"/>
    <w:rsid w:val="00C1387E"/>
    <w:rsid w:val="00C34633"/>
    <w:rsid w:val="00C8699B"/>
    <w:rsid w:val="00C9161D"/>
    <w:rsid w:val="00CB2324"/>
    <w:rsid w:val="00CE2BF5"/>
    <w:rsid w:val="00CF1848"/>
    <w:rsid w:val="00CF5BD9"/>
    <w:rsid w:val="00D12044"/>
    <w:rsid w:val="00D76A18"/>
    <w:rsid w:val="00DD118C"/>
    <w:rsid w:val="00E66235"/>
    <w:rsid w:val="00E66392"/>
    <w:rsid w:val="00E83C24"/>
    <w:rsid w:val="00E9318D"/>
    <w:rsid w:val="00EA4B0D"/>
    <w:rsid w:val="00ED6C5E"/>
    <w:rsid w:val="00EF6B68"/>
    <w:rsid w:val="00F47ADB"/>
    <w:rsid w:val="00F94774"/>
    <w:rsid w:val="00FB546A"/>
    <w:rsid w:val="00FB77CF"/>
    <w:rsid w:val="00FC53DB"/>
    <w:rsid w:val="00FD164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B2324"/>
    <w:pPr>
      <w:spacing w:after="160" w:line="240" w:lineRule="exact"/>
    </w:pPr>
    <w:rPr>
      <w:rFonts w:asciiTheme="minorHAnsi" w:eastAsiaTheme="minorEastAsia" w:hAnsiTheme="minorHAnsi" w:cstheme="minorBidi"/>
      <w:vertAlign w:val="superscript"/>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fr.pdf" TargetMode="External"/><Relationship Id="rId13" Type="http://schemas.openxmlformats.org/officeDocument/2006/relationships/hyperlink" Target="https://www.cbd.int/doc/decisions/cop-07/cop-07-dec-16-fr.pdf" TargetMode="External"/><Relationship Id="rId18" Type="http://schemas.openxmlformats.org/officeDocument/2006/relationships/hyperlink" Target="https://www.cbd.int/doc/decisions/cop-10/cop-10-dec-42-fr.pdf" TargetMode="External"/><Relationship Id="rId3" Type="http://schemas.openxmlformats.org/officeDocument/2006/relationships/hyperlink" Target="https://www.cbd.int/doc/decisions/mop-08/mop-08-dec-19-fr.pdf" TargetMode="External"/><Relationship Id="rId7" Type="http://schemas.openxmlformats.org/officeDocument/2006/relationships/hyperlink" Target="https://www.cbd.int/doc/meetings/tk/wg8j-07/official/wg8j-07-08-add1-fr.pdf" TargetMode="External"/><Relationship Id="rId12" Type="http://schemas.openxmlformats.org/officeDocument/2006/relationships/hyperlink" Target="https://www.cbd.int/doc/decisions/cop-07/cop-07-dec-16-fr.pdf" TargetMode="External"/><Relationship Id="rId17" Type="http://schemas.openxmlformats.org/officeDocument/2006/relationships/hyperlink" Target="https://www.cbd.int/doc/meetings/tk/wg8j-08/official/wg8j-08-06-add1-fr.pdf" TargetMode="External"/><Relationship Id="rId2" Type="http://schemas.openxmlformats.org/officeDocument/2006/relationships/hyperlink" Target="https://www.cbd.int/doc/decisions/cop-12/cop-12-dec-12-fr.pdf" TargetMode="External"/><Relationship Id="rId16" Type="http://schemas.openxmlformats.org/officeDocument/2006/relationships/hyperlink" Target="https://www.cbd.int/doc/decisions/cop-13/cop-13-dec-18-fr.pdf" TargetMode="External"/><Relationship Id="rId1" Type="http://schemas.openxmlformats.org/officeDocument/2006/relationships/hyperlink" Target="https://www.cbd.int/doc/decisions/cop-07/cop-07-dec-16-fr.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cop-07-dec-16-fr.pdf" TargetMode="External"/><Relationship Id="rId5" Type="http://schemas.openxmlformats.org/officeDocument/2006/relationships/hyperlink" Target="http://www.un.org/esa/socdev/unpfii/documents/DRIPS_fr.pdf" TargetMode="External"/><Relationship Id="rId15" Type="http://schemas.openxmlformats.org/officeDocument/2006/relationships/hyperlink" Target="https://www.cbd.int/doc/decisions/cop-13/cop-13-dec-18-fr.pdf" TargetMode="External"/><Relationship Id="rId10" Type="http://schemas.openxmlformats.org/officeDocument/2006/relationships/hyperlink" Target="https://www.cbd.int/doc/decisions/cop-07/cop-07-dec-16-fr.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mop-08/mop-08-dec-19-fr.pdf" TargetMode="External"/><Relationship Id="rId9" Type="http://schemas.openxmlformats.org/officeDocument/2006/relationships/hyperlink" Target="https://www.cbd.int/doc/decisions/cop-07/cop-07-dec-16-fr.pdf" TargetMode="External"/><Relationship Id="rId14" Type="http://schemas.openxmlformats.org/officeDocument/2006/relationships/hyperlink" Target="https://www.cbd.int/doc/decisions/cop-07/cop-07-dec-16-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68F032AC1194F09AD7FC6BE7B7AE7A6"/>
        <w:category>
          <w:name w:val="General"/>
          <w:gallery w:val="placeholder"/>
        </w:category>
        <w:types>
          <w:type w:val="bbPlcHdr"/>
        </w:types>
        <w:behaviors>
          <w:behavior w:val="content"/>
        </w:behaviors>
        <w:guid w:val="{EB418797-EB92-4257-9929-FEC6AD42E272}"/>
      </w:docPartPr>
      <w:docPartBody>
        <w:p w:rsidR="0065591E" w:rsidRDefault="00CD2E4A" w:rsidP="00CD2E4A">
          <w:pPr>
            <w:pStyle w:val="568F032AC1194F09AD7FC6BE7B7AE7A6"/>
          </w:pPr>
          <w:r w:rsidRPr="007E02EB">
            <w:rPr>
              <w:rStyle w:val="PlaceholderText"/>
            </w:rPr>
            <w:t>[Status]</w:t>
          </w:r>
        </w:p>
      </w:docPartBody>
    </w:docPart>
    <w:docPart>
      <w:docPartPr>
        <w:name w:val="AC29AAFBEFA348BD895299FF190157C2"/>
        <w:category>
          <w:name w:val="General"/>
          <w:gallery w:val="placeholder"/>
        </w:category>
        <w:types>
          <w:type w:val="bbPlcHdr"/>
        </w:types>
        <w:behaviors>
          <w:behavior w:val="content"/>
        </w:behaviors>
        <w:guid w:val="{0BE63419-2100-435E-97C6-DA132D07C00F}"/>
      </w:docPartPr>
      <w:docPartBody>
        <w:p w:rsidR="0065591E" w:rsidRDefault="00CD2E4A" w:rsidP="00CD2E4A">
          <w:pPr>
            <w:pStyle w:val="AC29AAFBEFA348BD895299FF190157C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810A55"/>
    <w:rsid w:val="00005759"/>
    <w:rsid w:val="00073D1D"/>
    <w:rsid w:val="00261E9A"/>
    <w:rsid w:val="00500A2B"/>
    <w:rsid w:val="00520C56"/>
    <w:rsid w:val="0058288D"/>
    <w:rsid w:val="0065591E"/>
    <w:rsid w:val="006801B3"/>
    <w:rsid w:val="00685418"/>
    <w:rsid w:val="00720F63"/>
    <w:rsid w:val="007F1B76"/>
    <w:rsid w:val="00810A55"/>
    <w:rsid w:val="008C6619"/>
    <w:rsid w:val="008D420E"/>
    <w:rsid w:val="0098642F"/>
    <w:rsid w:val="00CD2E4A"/>
    <w:rsid w:val="00CE6602"/>
    <w:rsid w:val="00FB71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E4A"/>
    <w:rPr>
      <w:color w:val="808080"/>
    </w:rPr>
  </w:style>
  <w:style w:type="paragraph" w:customStyle="1" w:styleId="C444DEE40D7C456B82AF1A09CD132ABF">
    <w:name w:val="C444DEE40D7C456B82AF1A09CD132ABF"/>
    <w:rsid w:val="00CE6602"/>
    <w:pPr>
      <w:spacing w:after="160" w:line="259" w:lineRule="auto"/>
    </w:pPr>
  </w:style>
  <w:style w:type="paragraph" w:customStyle="1" w:styleId="568F032AC1194F09AD7FC6BE7B7AE7A6">
    <w:name w:val="568F032AC1194F09AD7FC6BE7B7AE7A6"/>
    <w:rsid w:val="00CD2E4A"/>
    <w:pPr>
      <w:spacing w:after="160" w:line="259" w:lineRule="auto"/>
    </w:pPr>
    <w:rPr>
      <w:lang w:val="en-CA" w:eastAsia="en-CA"/>
    </w:rPr>
  </w:style>
  <w:style w:type="paragraph" w:customStyle="1" w:styleId="AC29AAFBEFA348BD895299FF190157C2">
    <w:name w:val="AC29AAFBEFA348BD895299FF190157C2"/>
    <w:rsid w:val="00CD2E4A"/>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57413-D0A7-442F-BF09-DDFA8D14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2699</Words>
  <Characters>15389</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14/13.	Glossaire des principaux termes et concepts utilisés dans le contexte de l'article 8j) et des dispositions connexes</vt:lpstr>
      <vt:lpstr>glossary of relevant key terms and concepts within the context of article 8(j) and related provisions</vt:lpstr>
    </vt:vector>
  </TitlesOfParts>
  <Company>SCBD</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14/13.	Glossaire des principaux termes et concepts utilisés dans le contexte de l'article 8j) et des dispositions connexes</dc:title>
  <dc:subject>CBD/COP/DEC/14/13</dc:subject>
  <dc:creator>SCBD</dc:creator>
  <cp:lastModifiedBy>--</cp:lastModifiedBy>
  <cp:revision>6</cp:revision>
  <cp:lastPrinted>2018-11-22T18:57:00Z</cp:lastPrinted>
  <dcterms:created xsi:type="dcterms:W3CDTF">2019-01-06T17:29:00Z</dcterms:created>
  <dcterms:modified xsi:type="dcterms:W3CDTF">2019-01-07T11:00:00Z</dcterms:modified>
  <cp:contentStatus>GÉNÉRALE</cp:contentStatus>
</cp:coreProperties>
</file>