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RPr="00AE1101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Pr="00AE1101" w:rsidRDefault="00C9161D">
            <w:pPr>
              <w:rPr>
                <w:kern w:val="22"/>
                <w:lang w:val="es-419"/>
              </w:rPr>
            </w:pPr>
            <w:r w:rsidRPr="00AE1101">
              <w:rPr>
                <w:lang w:val="es-419"/>
              </w:rPr>
              <w:drawing>
                <wp:inline distT="0" distB="0" distL="0" distR="0" wp14:anchorId="2FD00828" wp14:editId="2FD00829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Pr="00AE1101" w:rsidRDefault="00C9161D">
            <w:pPr>
              <w:rPr>
                <w:kern w:val="22"/>
                <w:lang w:val="es-419"/>
              </w:rPr>
            </w:pPr>
            <w:r w:rsidRPr="00AE1101">
              <w:rPr>
                <w:lang w:val="es-419"/>
              </w:rPr>
              <w:drawing>
                <wp:inline distT="0" distB="0" distL="0" distR="0" wp14:anchorId="2FD0082A" wp14:editId="2FD0082B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AE1101" w:rsidRDefault="00C9161D" w:rsidP="00C9161D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  <w:lang w:val="es-419"/>
              </w:rPr>
            </w:pPr>
            <w:r w:rsidRPr="00AE1101">
              <w:rPr>
                <w:rFonts w:ascii="Arial" w:hAnsi="Arial"/>
                <w:b/>
                <w:sz w:val="32"/>
                <w:szCs w:val="32"/>
                <w:lang w:val="es-419"/>
              </w:rPr>
              <w:t>CBD</w:t>
            </w:r>
          </w:p>
        </w:tc>
      </w:tr>
      <w:tr w:rsidR="00C9161D" w:rsidRPr="00AE1101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Pr="00AE1101" w:rsidRDefault="00AE1101" w:rsidP="00C9161D">
            <w:pPr>
              <w:rPr>
                <w:kern w:val="22"/>
                <w:lang w:val="es-419"/>
              </w:rPr>
            </w:pPr>
            <w:r w:rsidRPr="00AE1101">
              <w:rPr>
                <w:lang w:val="es-419"/>
              </w:rPr>
              <w:drawing>
                <wp:inline distT="0" distB="0" distL="0" distR="0">
                  <wp:extent cx="2908300" cy="1079500"/>
                  <wp:effectExtent l="0" t="0" r="635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AE1101" w:rsidRDefault="00C9161D" w:rsidP="00176CEE">
            <w:pPr>
              <w:ind w:left="1215"/>
              <w:rPr>
                <w:kern w:val="22"/>
                <w:szCs w:val="22"/>
                <w:lang w:val="es-419"/>
              </w:rPr>
            </w:pPr>
            <w:r w:rsidRPr="00AE1101">
              <w:rPr>
                <w:lang w:val="es-419"/>
              </w:rPr>
              <w:t>Distr.</w:t>
            </w:r>
          </w:p>
          <w:p w:rsidR="00C9161D" w:rsidRPr="00AE1101" w:rsidRDefault="0018036E" w:rsidP="00176CEE">
            <w:pPr>
              <w:ind w:left="1215"/>
              <w:rPr>
                <w:kern w:val="22"/>
                <w:szCs w:val="22"/>
                <w:lang w:val="es-419"/>
              </w:rPr>
            </w:pPr>
            <w:sdt>
              <w:sdtPr>
                <w:rPr>
                  <w:caps/>
                  <w:kern w:val="22"/>
                  <w:szCs w:val="22"/>
                  <w:lang w:val="es-419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66795" w:rsidRPr="00AE1101">
                  <w:rPr>
                    <w:caps/>
                    <w:kern w:val="22"/>
                    <w:szCs w:val="22"/>
                    <w:lang w:val="es-419"/>
                  </w:rPr>
                  <w:t>GENERAL</w:t>
                </w:r>
              </w:sdtContent>
            </w:sdt>
          </w:p>
          <w:p w:rsidR="00C9161D" w:rsidRPr="00AE1101" w:rsidRDefault="00C9161D" w:rsidP="00176CEE">
            <w:pPr>
              <w:ind w:left="1215"/>
              <w:rPr>
                <w:kern w:val="22"/>
                <w:szCs w:val="22"/>
                <w:lang w:val="es-419"/>
              </w:rPr>
            </w:pPr>
          </w:p>
          <w:p w:rsidR="00C9161D" w:rsidRPr="00AE1101" w:rsidRDefault="0018036E" w:rsidP="00176CEE">
            <w:pPr>
              <w:ind w:left="1215"/>
              <w:rPr>
                <w:kern w:val="22"/>
                <w:szCs w:val="22"/>
                <w:lang w:val="es-419"/>
              </w:rPr>
            </w:pPr>
            <w:sdt>
              <w:sdtPr>
                <w:rPr>
                  <w:kern w:val="22"/>
                  <w:lang w:val="es-419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86AA0" w:rsidRPr="00AE1101">
                  <w:rPr>
                    <w:kern w:val="22"/>
                    <w:lang w:val="es-419"/>
                  </w:rPr>
                  <w:t>CBD/COP/DEC/14/</w:t>
                </w:r>
                <w:r w:rsidR="002B5595" w:rsidRPr="00AE1101">
                  <w:rPr>
                    <w:kern w:val="22"/>
                    <w:lang w:val="es-419"/>
                  </w:rPr>
                  <w:t>16</w:t>
                </w:r>
              </w:sdtContent>
            </w:sdt>
          </w:p>
          <w:p w:rsidR="00C9161D" w:rsidRPr="00AE1101" w:rsidRDefault="00066795" w:rsidP="00176CEE">
            <w:pPr>
              <w:ind w:left="1215"/>
              <w:rPr>
                <w:kern w:val="22"/>
                <w:szCs w:val="22"/>
                <w:lang w:val="es-419"/>
              </w:rPr>
            </w:pPr>
            <w:r w:rsidRPr="00AE1101">
              <w:rPr>
                <w:lang w:val="es-419"/>
              </w:rPr>
              <w:t>30 de noviembre de 2018</w:t>
            </w:r>
          </w:p>
          <w:p w:rsidR="00C9161D" w:rsidRPr="00AE1101" w:rsidRDefault="00C9161D" w:rsidP="00176CEE">
            <w:pPr>
              <w:ind w:left="1215"/>
              <w:rPr>
                <w:kern w:val="22"/>
                <w:szCs w:val="22"/>
                <w:lang w:val="es-419"/>
              </w:rPr>
            </w:pPr>
          </w:p>
          <w:p w:rsidR="00AE1101" w:rsidRDefault="006B2290" w:rsidP="00176CEE">
            <w:pPr>
              <w:ind w:left="1215"/>
              <w:rPr>
                <w:lang w:val="es-419"/>
              </w:rPr>
            </w:pPr>
            <w:r w:rsidRPr="00AE1101">
              <w:rPr>
                <w:lang w:val="es-419"/>
              </w:rPr>
              <w:t>ESPAÑOL</w:t>
            </w:r>
          </w:p>
          <w:p w:rsidR="00C9161D" w:rsidRPr="00AE1101" w:rsidRDefault="006B2290" w:rsidP="00176CEE">
            <w:pPr>
              <w:ind w:left="1215"/>
              <w:rPr>
                <w:kern w:val="22"/>
                <w:szCs w:val="22"/>
                <w:lang w:val="es-419"/>
              </w:rPr>
            </w:pPr>
            <w:r w:rsidRPr="00AE1101">
              <w:rPr>
                <w:lang w:val="es-419"/>
              </w:rPr>
              <w:t>ORIGINAL:</w:t>
            </w:r>
            <w:r w:rsidR="00AE1101">
              <w:rPr>
                <w:lang w:val="es-419"/>
              </w:rPr>
              <w:t xml:space="preserve"> </w:t>
            </w:r>
            <w:r w:rsidRPr="00AE1101">
              <w:rPr>
                <w:lang w:val="es-419"/>
              </w:rPr>
              <w:t>INGLÉS</w:t>
            </w:r>
          </w:p>
          <w:p w:rsidR="00C9161D" w:rsidRPr="00AE1101" w:rsidRDefault="00C9161D">
            <w:pPr>
              <w:rPr>
                <w:kern w:val="22"/>
                <w:lang w:val="es-419"/>
              </w:rPr>
            </w:pPr>
          </w:p>
        </w:tc>
      </w:tr>
    </w:tbl>
    <w:p w:rsidR="00273079" w:rsidRPr="00AE1101" w:rsidRDefault="00273079" w:rsidP="00273079">
      <w:pPr>
        <w:pStyle w:val="Sinespaciado"/>
        <w:ind w:left="142" w:right="4682" w:hanging="142"/>
        <w:rPr>
          <w:rFonts w:ascii="Times New Roman" w:hAnsi="Times New Roman"/>
          <w:kern w:val="22"/>
          <w:lang w:val="es-419"/>
        </w:rPr>
      </w:pPr>
      <w:bookmarkStart w:id="0" w:name="_Hlk530040340"/>
      <w:r w:rsidRPr="00AE1101">
        <w:rPr>
          <w:rFonts w:ascii="Times New Roman" w:hAnsi="Times New Roman"/>
          <w:lang w:val="es-419"/>
        </w:rPr>
        <w:t>CONFERENCIA DE LAS PARTES EN EL CONVENIO SOBRE LA DIVERSIDAD BIOLÓGICA</w:t>
      </w:r>
    </w:p>
    <w:p w:rsidR="00273079" w:rsidRPr="00AE1101" w:rsidRDefault="00273079" w:rsidP="00273079">
      <w:pPr>
        <w:pStyle w:val="Sinespaciado"/>
        <w:rPr>
          <w:rFonts w:ascii="Times New Roman" w:hAnsi="Times New Roman"/>
          <w:kern w:val="22"/>
          <w:lang w:val="es-419"/>
        </w:rPr>
      </w:pPr>
      <w:r w:rsidRPr="00AE1101">
        <w:rPr>
          <w:rFonts w:ascii="Times New Roman" w:hAnsi="Times New Roman"/>
          <w:lang w:val="es-419"/>
        </w:rPr>
        <w:t>Decimocuarta reunión</w:t>
      </w:r>
    </w:p>
    <w:p w:rsidR="00273079" w:rsidRPr="00AE1101" w:rsidRDefault="00273079" w:rsidP="00273079">
      <w:pPr>
        <w:pStyle w:val="Sinespaciado"/>
        <w:rPr>
          <w:rFonts w:ascii="Times New Roman" w:hAnsi="Times New Roman"/>
          <w:kern w:val="22"/>
          <w:lang w:val="es-419"/>
        </w:rPr>
      </w:pPr>
      <w:r w:rsidRPr="00AE1101">
        <w:rPr>
          <w:rFonts w:ascii="Times New Roman" w:hAnsi="Times New Roman"/>
          <w:lang w:val="es-419"/>
        </w:rPr>
        <w:t>Sharm el-Sheikh (Egipto), 17 a 29 de noviembre de 2018</w:t>
      </w:r>
    </w:p>
    <w:bookmarkEnd w:id="0"/>
    <w:p w:rsidR="00172AF6" w:rsidRPr="00AE1101" w:rsidRDefault="003A2AB0" w:rsidP="00172AF6">
      <w:pPr>
        <w:pStyle w:val="Cornernotation"/>
        <w:ind w:right="3973"/>
        <w:rPr>
          <w:kern w:val="22"/>
          <w:lang w:val="es-419"/>
        </w:rPr>
      </w:pPr>
      <w:r w:rsidRPr="00AE1101">
        <w:rPr>
          <w:color w:val="000000"/>
          <w:lang w:val="es-419"/>
        </w:rPr>
        <w:t>Tema</w:t>
      </w:r>
      <w:r w:rsidR="00AE1101">
        <w:rPr>
          <w:color w:val="000000"/>
          <w:lang w:val="es-419"/>
        </w:rPr>
        <w:t> </w:t>
      </w:r>
      <w:bookmarkStart w:id="1" w:name="_GoBack"/>
      <w:bookmarkEnd w:id="1"/>
      <w:r w:rsidRPr="00AE1101">
        <w:rPr>
          <w:color w:val="000000"/>
          <w:lang w:val="es-419"/>
        </w:rPr>
        <w:t>9 del programa</w:t>
      </w:r>
    </w:p>
    <w:p w:rsidR="00986AA0" w:rsidRPr="00AE1101" w:rsidRDefault="008A2786" w:rsidP="00986AA0">
      <w:pPr>
        <w:pStyle w:val="Ttulo1"/>
        <w:suppressLineNumbers/>
        <w:tabs>
          <w:tab w:val="clear" w:pos="720"/>
        </w:tabs>
        <w:suppressAutoHyphens/>
        <w:rPr>
          <w:rFonts w:ascii="Times New Roman Bold" w:hAnsi="Times New Roman Bold"/>
          <w:kern w:val="22"/>
          <w:szCs w:val="22"/>
          <w:lang w:val="es-419"/>
        </w:rPr>
      </w:pPr>
      <w:r w:rsidRPr="00AE1101">
        <w:rPr>
          <w:rFonts w:ascii="Times New Roman Bold" w:hAnsi="Times New Roman Bold"/>
          <w:szCs w:val="22"/>
          <w:lang w:val="es-419"/>
        </w:rPr>
        <w:t>Decisión adoptada por la Conferencia de las Partes en el Convenio sobre la Diversidad Biológica</w:t>
      </w:r>
    </w:p>
    <w:p w:rsidR="00C9161D" w:rsidRPr="00AE1101" w:rsidRDefault="00AE1101" w:rsidP="003E6CAB">
      <w:pPr>
        <w:pStyle w:val="recommendationheader"/>
        <w:tabs>
          <w:tab w:val="clear" w:pos="720"/>
          <w:tab w:val="left" w:pos="567"/>
        </w:tabs>
        <w:ind w:left="1701" w:hanging="850"/>
        <w:jc w:val="left"/>
        <w:rPr>
          <w:lang w:val="es-419"/>
        </w:rPr>
      </w:pPr>
      <w:sdt>
        <w:sdtPr>
          <w:rPr>
            <w:szCs w:val="22"/>
            <w:lang w:val="es-419" w:eastAsia="en-CA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E1101">
            <w:rPr>
              <w:szCs w:val="22"/>
              <w:lang w:val="es-419" w:eastAsia="en-CA"/>
            </w:rPr>
            <w:t>14/16.</w:t>
          </w:r>
          <w:r w:rsidRPr="00AE1101">
            <w:rPr>
              <w:szCs w:val="22"/>
              <w:lang w:val="es-419" w:eastAsia="en-CA"/>
            </w:rPr>
            <w:tab/>
          </w:r>
          <w:r w:rsidRPr="00AE1101">
            <w:rPr>
              <w:szCs w:val="22"/>
              <w:lang w:val="es-419" w:eastAsia="en-CA"/>
            </w:rPr>
            <w:t>Orientación metodológica relativa a las contribuciones de los pueblos indígenas y las comunidades locales</w:t>
          </w:r>
        </w:sdtContent>
      </w:sdt>
    </w:p>
    <w:p w:rsidR="00911DD6" w:rsidRPr="00AE1101" w:rsidRDefault="00911DD6" w:rsidP="00911DD6">
      <w:pPr>
        <w:keepNext/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iCs/>
          <w:snapToGrid w:val="0"/>
          <w:kern w:val="22"/>
          <w:szCs w:val="22"/>
          <w:lang w:val="es-419"/>
        </w:rPr>
      </w:pPr>
      <w:r w:rsidRPr="00AE1101">
        <w:rPr>
          <w:i/>
          <w:iCs/>
          <w:snapToGrid w:val="0"/>
          <w:szCs w:val="22"/>
          <w:lang w:val="es-419"/>
        </w:rPr>
        <w:t>La Conferencia de las Partes,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eastAsia="Batang"/>
          <w:snapToGrid w:val="0"/>
          <w:kern w:val="22"/>
          <w:szCs w:val="22"/>
          <w:lang w:val="es-419"/>
        </w:rPr>
      </w:pPr>
      <w:r w:rsidRPr="00AE1101">
        <w:rPr>
          <w:i/>
          <w:snapToGrid w:val="0"/>
          <w:szCs w:val="22"/>
          <w:lang w:val="es-419"/>
        </w:rPr>
        <w:t>Recordando</w:t>
      </w:r>
      <w:r w:rsidRPr="00AE1101">
        <w:rPr>
          <w:snapToGrid w:val="0"/>
          <w:szCs w:val="22"/>
          <w:lang w:val="es-419"/>
        </w:rPr>
        <w:t xml:space="preserve"> la decisión XIII/20, en la que la Conferencia de las Partes pidió al Secretario Ejecutivo que elaborase elementos de orientación metodológica relativos a las contribuciones de los pueblos indígenas y las comunidades locales,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eastAsia="MS Mincho"/>
          <w:snapToGrid w:val="0"/>
          <w:kern w:val="22"/>
          <w:szCs w:val="22"/>
          <w:lang w:val="es-419"/>
        </w:rPr>
      </w:pPr>
      <w:r w:rsidRPr="00AE1101">
        <w:rPr>
          <w:i/>
          <w:iCs/>
          <w:snapToGrid w:val="0"/>
          <w:szCs w:val="22"/>
          <w:lang w:val="es-419"/>
        </w:rPr>
        <w:t>Reconociendo</w:t>
      </w:r>
      <w:r w:rsidRPr="00AE1101">
        <w:rPr>
          <w:iCs/>
          <w:snapToGrid w:val="0"/>
          <w:szCs w:val="22"/>
          <w:lang w:val="es-419"/>
        </w:rPr>
        <w:t xml:space="preserve"> la importancia de las acciones colectivas holísticas de los pueblos indígenas y las comunidades locales para la consecución de los objetivos del Plan Estratégico para la Diversidad Biológica 2011-2020</w:t>
      </w:r>
      <w:r w:rsidRPr="00AE1101">
        <w:rPr>
          <w:iCs/>
          <w:snapToGrid w:val="0"/>
          <w:kern w:val="22"/>
          <w:szCs w:val="22"/>
          <w:vertAlign w:val="superscript"/>
          <w:lang w:val="es-419"/>
        </w:rPr>
        <w:footnoteReference w:id="1"/>
      </w:r>
      <w:r w:rsidRPr="00AE1101">
        <w:rPr>
          <w:iCs/>
          <w:snapToGrid w:val="0"/>
          <w:szCs w:val="22"/>
          <w:lang w:val="es-419"/>
        </w:rPr>
        <w:t xml:space="preserve"> y las Metas de Aichi para la Diversidad Biológica dentro de un marco de derechos, principios y valores éticos, gobernanza y roles diferenciados de mujeres y hombres en los pueblos indígenas y las comunidades locales,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kern w:val="22"/>
          <w:szCs w:val="22"/>
          <w:lang w:val="es-419"/>
        </w:rPr>
      </w:pPr>
      <w:r w:rsidRPr="00AE1101">
        <w:rPr>
          <w:iCs/>
          <w:snapToGrid w:val="0"/>
          <w:szCs w:val="22"/>
          <w:lang w:val="es-419"/>
        </w:rPr>
        <w:t>1.</w:t>
      </w:r>
      <w:r w:rsidRPr="00AE1101">
        <w:rPr>
          <w:i/>
          <w:iCs/>
          <w:snapToGrid w:val="0"/>
          <w:szCs w:val="22"/>
          <w:lang w:val="es-419"/>
        </w:rPr>
        <w:tab/>
        <w:t>Toma nota</w:t>
      </w:r>
      <w:r w:rsidRPr="00AE1101">
        <w:rPr>
          <w:iCs/>
          <w:snapToGrid w:val="0"/>
          <w:szCs w:val="22"/>
          <w:lang w:val="es-419"/>
        </w:rPr>
        <w:t xml:space="preserve"> de la lista indicativa y no exhaustiva de elementos de orientación metodológica para la determinación, el seguimiento y la evaluación de la contribución de los pueblos indígenas y las comunidades locales a la consecución de los objetivos del Plan Estratégico para la Diversidad Biológica 2011-2020 y las Metas de Aichi para la Diversidad Biológica, que figura en el anexo de la presente decisión;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kern w:val="22"/>
          <w:szCs w:val="22"/>
          <w:lang w:val="es-419"/>
        </w:rPr>
      </w:pPr>
      <w:r w:rsidRPr="00AE1101">
        <w:rPr>
          <w:iCs/>
          <w:snapToGrid w:val="0"/>
          <w:szCs w:val="22"/>
          <w:lang w:val="es-419"/>
        </w:rPr>
        <w:t>2.</w:t>
      </w:r>
      <w:r w:rsidRPr="00AE1101">
        <w:rPr>
          <w:i/>
          <w:iCs/>
          <w:snapToGrid w:val="0"/>
          <w:szCs w:val="22"/>
          <w:lang w:val="es-419"/>
        </w:rPr>
        <w:tab/>
        <w:t>Alienta</w:t>
      </w:r>
      <w:r w:rsidRPr="00AE1101">
        <w:rPr>
          <w:iCs/>
          <w:snapToGrid w:val="0"/>
          <w:szCs w:val="22"/>
          <w:lang w:val="es-419"/>
        </w:rPr>
        <w:t xml:space="preserve"> a las Partes, otros Gobiernos y organizaciones de interesados directos pertinentes a que hagan uso de los principios rectores para la evaluación de la contribución de la acción colectiva de los pueblos indígenas y las comunidades locales que figuran en el anexo de la decisión XIII/20, y consideren utilizar la lista indicativa y no exhaustiva de elementos de orientación metodológica que figura en el anexo de la presente decisión al diseñar y aplicar enfoques metodológicos para evaluar la contribución de los pueblos indígenas y las comunidades locales a la consecución de los objetivos del Plan Estratégico para la Diversidad Biológica 2011-2020 y las Metas de Aichi para la Diversidad Biológica y al presentar informes a través del mecanismo de presentación de informes financieros;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kern w:val="22"/>
          <w:szCs w:val="22"/>
          <w:lang w:val="es-419"/>
        </w:rPr>
      </w:pPr>
      <w:r w:rsidRPr="00AE1101">
        <w:rPr>
          <w:iCs/>
          <w:snapToGrid w:val="0"/>
          <w:szCs w:val="22"/>
          <w:lang w:val="es-419"/>
        </w:rPr>
        <w:t>3.</w:t>
      </w:r>
      <w:r w:rsidRPr="00AE1101">
        <w:rPr>
          <w:iCs/>
          <w:snapToGrid w:val="0"/>
          <w:szCs w:val="22"/>
          <w:lang w:val="es-419"/>
        </w:rPr>
        <w:tab/>
      </w:r>
      <w:r w:rsidRPr="00AE1101">
        <w:rPr>
          <w:i/>
          <w:iCs/>
          <w:snapToGrid w:val="0"/>
          <w:szCs w:val="22"/>
          <w:lang w:val="es-419"/>
        </w:rPr>
        <w:t>Invita</w:t>
      </w:r>
      <w:r w:rsidRPr="00AE1101">
        <w:rPr>
          <w:iCs/>
          <w:snapToGrid w:val="0"/>
          <w:szCs w:val="22"/>
          <w:lang w:val="es-419"/>
        </w:rPr>
        <w:t xml:space="preserve"> a la Plataforma Intergubernamental Científico-Normativa sobre Diversidad Biológica y Servicios de los Ecosistemas (IPBES) a tomar en cuenta la lista de elementos de orientación metodológica que figura en el anexo de la presente decisión.</w:t>
      </w:r>
    </w:p>
    <w:p w:rsidR="00911DD6" w:rsidRPr="00AE1101" w:rsidRDefault="00911DD6" w:rsidP="00911DD6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jc w:val="center"/>
        <w:outlineLvl w:val="2"/>
        <w:rPr>
          <w:i/>
          <w:kern w:val="22"/>
          <w:szCs w:val="22"/>
          <w:lang w:val="es-419"/>
        </w:rPr>
      </w:pPr>
      <w:r w:rsidRPr="00AE1101">
        <w:rPr>
          <w:i/>
          <w:szCs w:val="22"/>
          <w:lang w:val="es-419"/>
        </w:rPr>
        <w:lastRenderedPageBreak/>
        <w:t>Anexo</w:t>
      </w:r>
    </w:p>
    <w:p w:rsidR="00911DD6" w:rsidRPr="00AE1101" w:rsidRDefault="00911DD6" w:rsidP="00911DD6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rPr>
          <w:b/>
          <w:snapToGrid w:val="0"/>
          <w:kern w:val="22"/>
          <w:szCs w:val="22"/>
          <w:lang w:val="es-419"/>
        </w:rPr>
      </w:pPr>
      <w:r w:rsidRPr="00AE1101">
        <w:rPr>
          <w:b/>
          <w:snapToGrid w:val="0"/>
          <w:szCs w:val="22"/>
          <w:lang w:val="es-419"/>
        </w:rPr>
        <w:t>LISTA DE ELEMENTOS DE ORIENTACIÓN METODOLÓGICA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kern w:val="22"/>
          <w:szCs w:val="22"/>
          <w:lang w:val="es-419"/>
        </w:rPr>
      </w:pPr>
      <w:r w:rsidRPr="00AE1101">
        <w:rPr>
          <w:iCs/>
          <w:snapToGrid w:val="0"/>
          <w:szCs w:val="22"/>
          <w:lang w:val="es-419"/>
        </w:rPr>
        <w:t>Se alienta el uso de los principios rectores recogidos en la decisión XIII/20 de la Conferencia de las Partes en el Convenio sobre la Diversidad Biológica en los enfoques metodológicos para la determinación, el seguimiento y la evaluación de la contribución de los pueblos indígenas y las comunidades locales a la consecución de los objetivos del Plan Estratégico para la Diversidad Biológica 2011-2020 y las Metas de Aichi para la Diversidad Biológica, según las circunstancias nacionales, para enmarcar y orientar el diseño y la aplicación de esas metodologías, y se invita a considerar la siguiente lista indicativa y no exhaustiva de elementos metodológicos en su diseño y aplicación: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a)</w:t>
      </w:r>
      <w:r w:rsidRPr="00AE1101">
        <w:rPr>
          <w:snapToGrid w:val="0"/>
          <w:szCs w:val="22"/>
          <w:lang w:val="es-419"/>
        </w:rPr>
        <w:tab/>
        <w:t>Reconocer e incluir plenamente los conocimientos tradicionales, garantizando la complementariedad de los sistemas de conocimientos, la creación de condiciones para un diálogo eficaz entre los sistemas de conocimientos, incluida la ciencia, y procesos que permitan la creación conjunta de conocimiento desde el principio;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b)</w:t>
      </w:r>
      <w:r w:rsidRPr="00AE1101">
        <w:rPr>
          <w:snapToGrid w:val="0"/>
          <w:szCs w:val="22"/>
          <w:lang w:val="es-419"/>
        </w:rPr>
        <w:tab/>
        <w:t>Incluir una amplia variedad de enfoques metodológicos según lo requiera la especificidad de los contextos, teniendo en cuenta la diversidad de circunstancias nacionales y la diversidad cultural de los pueblos indígenas y las comunidades locales, y aplicarlos de manera adaptada a las circunstancias locales;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c)</w:t>
      </w:r>
      <w:r w:rsidRPr="00AE1101">
        <w:rPr>
          <w:snapToGrid w:val="0"/>
          <w:szCs w:val="22"/>
          <w:lang w:val="es-419"/>
        </w:rPr>
        <w:tab/>
        <w:t>Reconocer las múltiples perspectivas y cosmovisiones relacionadas con los valores, incluidos los valores sociales, económicos, culturales y espirituales, vinculadas a la conservación y la utilización sostenible de la diversidad biológica, y reflejarlas en la elección de enfoques e instrumentos metodológicos;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d)</w:t>
      </w:r>
      <w:r w:rsidRPr="00AE1101">
        <w:rPr>
          <w:snapToGrid w:val="0"/>
          <w:szCs w:val="22"/>
          <w:lang w:val="es-419"/>
        </w:rPr>
        <w:tab/>
        <w:t>Utilizar métodos combinados para la investigación y otras metodologías que puedan funcionar con distintos tipos de datos, en particular la combinación de información y datos cuantitativos y cualitativos;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e)</w:t>
      </w:r>
      <w:r w:rsidRPr="00AE1101">
        <w:rPr>
          <w:snapToGrid w:val="0"/>
          <w:szCs w:val="22"/>
          <w:lang w:val="es-419"/>
        </w:rPr>
        <w:tab/>
        <w:t>Aplicar enfoques, procesos y herramientas de múltiples escalas para captar y evaluar la situación a nivel local y, al mismo tiempo, considerar los vínculos en el paisaje y con marcos de políticas nacionales y subnacionales;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f)</w:t>
      </w:r>
      <w:r w:rsidRPr="00AE1101">
        <w:rPr>
          <w:snapToGrid w:val="0"/>
          <w:szCs w:val="22"/>
          <w:lang w:val="es-419"/>
        </w:rPr>
        <w:tab/>
        <w:t>Probar y perfeccionar enfoques metodológicos mediante proyectos experimentales, según corresponda, reconociendo que se trata de un campo nuevo y que es necesario desarrollarlos teniendo en cuenta las lecciones aprendidas de la experiencia y de una diversidad de contextos;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g)</w:t>
      </w:r>
      <w:r w:rsidRPr="00AE1101">
        <w:rPr>
          <w:snapToGrid w:val="0"/>
          <w:szCs w:val="22"/>
          <w:lang w:val="es-419"/>
        </w:rPr>
        <w:tab/>
        <w:t>Garantizar la participación plena y efectiva de los pueblos indígenas y las comunidades locales en todo el proceso de elaboración y aplicación de los enfoques, prestando especial atención a la participación de las mujeres, los jóvenes, los ancianos y demás grupos que forman parte de las comunidades;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h)</w:t>
      </w:r>
      <w:r w:rsidRPr="00AE1101">
        <w:rPr>
          <w:snapToGrid w:val="0"/>
          <w:szCs w:val="22"/>
          <w:lang w:val="es-419"/>
        </w:rPr>
        <w:tab/>
        <w:t>Fomentar las interacciones intergeneracionales en los procesos de evaluación, dando participación a los jóvenes, los ancianos y otros grupos, para estimular el aprendizaje y contribuir a proteger y promover la transferencia intergeneracional de las innovaciones, las prácticas y los conocimientos tradicionales;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i)</w:t>
      </w:r>
      <w:r w:rsidRPr="00AE1101">
        <w:rPr>
          <w:snapToGrid w:val="0"/>
          <w:szCs w:val="22"/>
          <w:lang w:val="es-419"/>
        </w:rPr>
        <w:tab/>
        <w:t>Incluir en las evaluaciones el análisis de los roles diferenciados en función de género y explorar oportunidades y condiciones para fomentar la igualdad de género;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j)</w:t>
      </w:r>
      <w:r w:rsidRPr="00AE1101">
        <w:rPr>
          <w:snapToGrid w:val="0"/>
          <w:szCs w:val="22"/>
          <w:lang w:val="es-419"/>
        </w:rPr>
        <w:tab/>
        <w:t>Reconocer que las acciones colectivas están relacionadas con la utilización consuetudinaria sostenible y que los resultados pueden ser amplios, abarcando cuestiones tales como los medios de vida y la seguridad alimentaria, así como el bienestar físico y mental;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lastRenderedPageBreak/>
        <w:t>k)</w:t>
      </w:r>
      <w:r w:rsidRPr="00AE1101">
        <w:rPr>
          <w:snapToGrid w:val="0"/>
          <w:szCs w:val="22"/>
          <w:lang w:val="es-419"/>
        </w:rPr>
        <w:tab/>
        <w:t>Procurar contribuir al reconocimiento de derechos, especialmente la tenencia de la tierra</w:t>
      </w:r>
      <w:r w:rsidRPr="00AE1101">
        <w:rPr>
          <w:rFonts w:eastAsiaTheme="majorEastAsia"/>
          <w:snapToGrid w:val="0"/>
          <w:kern w:val="22"/>
          <w:szCs w:val="22"/>
          <w:vertAlign w:val="superscript"/>
          <w:lang w:val="es-419"/>
        </w:rPr>
        <w:footnoteReference w:id="2"/>
      </w:r>
      <w:r w:rsidRPr="00AE1101">
        <w:rPr>
          <w:snapToGrid w:val="0"/>
          <w:szCs w:val="22"/>
          <w:lang w:val="es-419"/>
        </w:rPr>
        <w:t xml:space="preserve"> y el acceso a los recursos consuetudinarios</w:t>
      </w:r>
      <w:r w:rsidRPr="00AE1101">
        <w:rPr>
          <w:rFonts w:eastAsiaTheme="majorEastAsia"/>
          <w:snapToGrid w:val="0"/>
          <w:kern w:val="22"/>
          <w:szCs w:val="22"/>
          <w:vertAlign w:val="superscript"/>
          <w:lang w:val="es-419"/>
        </w:rPr>
        <w:footnoteReference w:id="3"/>
      </w:r>
      <w:r w:rsidRPr="00AE1101">
        <w:rPr>
          <w:snapToGrid w:val="0"/>
          <w:szCs w:val="22"/>
          <w:lang w:val="es-419"/>
        </w:rPr>
        <w:t xml:space="preserve"> y su influencia en la eficacia de las acciones colectivas, así como mediante el empoderamiento comunitario para fomentar la seguridad de la tenencia y el acceso;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l)</w:t>
      </w:r>
      <w:r w:rsidRPr="00AE1101">
        <w:rPr>
          <w:snapToGrid w:val="0"/>
          <w:szCs w:val="22"/>
          <w:lang w:val="es-419"/>
        </w:rPr>
        <w:tab/>
        <w:t>Incluir otros elementos pertinentes de las evaluaciones de la gobernanza, concretamente la función, las características y la vitalidad de los sistemas de gobernanza consuetudinarios;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m)</w:t>
      </w:r>
      <w:r w:rsidRPr="00AE1101">
        <w:rPr>
          <w:snapToGrid w:val="0"/>
          <w:szCs w:val="22"/>
          <w:lang w:val="es-419"/>
        </w:rPr>
        <w:tab/>
        <w:t>Incluir, en las evaluaciones, la determinación de los conflictos reales o potenciales que afecten a las acciones colectivas, utilizar los procesos de evaluación para fomentar el diálogo entre grupos que puedan tener intereses opuestos, y explorar otras oportunidades para resolver conflictos mediante el diálogo y la cooperación, incluido mediante mecanismos de resolución de conflictos culturalmente apropiados;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n)</w:t>
      </w:r>
      <w:r w:rsidRPr="00AE1101">
        <w:rPr>
          <w:snapToGrid w:val="0"/>
          <w:szCs w:val="22"/>
          <w:lang w:val="es-419"/>
        </w:rPr>
        <w:tab/>
        <w:t>Considerar evaluaciones basadas en zonas que se centren en las tierras y los recursos que son propiedad de los pueblos indígenas y las comunidades locales o que están ocupados o son utilizados por ellos, y en componentes específicos de la diversidad biológica, como las especies que están presentes en los hábitats y que son objeto de acciones colectivas;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o)</w:t>
      </w:r>
      <w:r w:rsidRPr="00AE1101">
        <w:rPr>
          <w:snapToGrid w:val="0"/>
          <w:szCs w:val="22"/>
          <w:lang w:val="es-419"/>
        </w:rPr>
        <w:tab/>
        <w:t>Considerar la posibilidad de tomar en cuenta las capacidades nacionales técnicas y de sostenibilidad en el uso de diversas formas de análisis geoespacial para las evaluaciones basadas en zonas, de manera que combinen herramientas tecnológicas con conocimientos tradicionales, y procurar que sean accesibles a las comunidades, con su participación directa;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p)</w:t>
      </w:r>
      <w:r w:rsidRPr="00AE1101">
        <w:rPr>
          <w:snapToGrid w:val="0"/>
          <w:szCs w:val="22"/>
          <w:lang w:val="es-419"/>
        </w:rPr>
        <w:tab/>
        <w:t>Promover la elaboración de conjuntos de indicadores y sistemas de parámetros de medición sólidos para la evaluación de las acciones colectivas, combinando indicadores de distintos tipos (cuantitativos y cualitativos, de proceso y resultado, individuales y agregados, etc.) e integrando indicadores basados en la cultura que reflejen los sistemas de valores de las comunidades y las particularidades de los contextos, observando también que mantener cierta coherencia en los indicadores que se usan a lo largo del tiempo posibilitará comparaciones en escalas temporales y que establecer una base de referencia permite una mayor evaluación de los cambios o las tendencias;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q)</w:t>
      </w:r>
      <w:r w:rsidRPr="00AE1101">
        <w:rPr>
          <w:snapToGrid w:val="0"/>
          <w:szCs w:val="22"/>
          <w:lang w:val="es-419"/>
        </w:rPr>
        <w:tab/>
        <w:t>Integrar los enfoques para analizar el estado y las tendencias del cambio en las evaluaciones, así como entender los impulsores de cambios y las condiciones para obtener resultados satisfactorios;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r)</w:t>
      </w:r>
      <w:r w:rsidRPr="00AE1101">
        <w:rPr>
          <w:snapToGrid w:val="0"/>
          <w:szCs w:val="22"/>
          <w:lang w:val="es-419"/>
        </w:rPr>
        <w:tab/>
        <w:t>Fomentar, según corresponda, la labor sobre metodologías de valoración que sean pertinentes y aplicables a los contextos, garantizando la consideración de toda la gama de valores de la diversidad biológica para las comunidades y sus acciones colectivas, y utilizar los resultados de la valoración para argumentar a favor de un mayor respeto, reconocimiento y apoyo de las acciones colectivas;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s)</w:t>
      </w:r>
      <w:r w:rsidRPr="00AE1101">
        <w:rPr>
          <w:snapToGrid w:val="0"/>
          <w:szCs w:val="22"/>
          <w:lang w:val="es-419"/>
        </w:rPr>
        <w:tab/>
        <w:t>Considerar la inclusión, en las evaluaciones, de un análisis de fortalezas y amenazas en los contextos específicos, con miras a comprender mejor los factores y condiciones que se precise fortalecer o que requieran apoyo adicional;</w:t>
      </w:r>
    </w:p>
    <w:p w:rsidR="00911DD6" w:rsidRPr="00AE1101" w:rsidRDefault="00911DD6" w:rsidP="00911DD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t>t)</w:t>
      </w:r>
      <w:r w:rsidRPr="00AE1101">
        <w:rPr>
          <w:snapToGrid w:val="0"/>
          <w:szCs w:val="22"/>
          <w:lang w:val="es-419"/>
        </w:rPr>
        <w:tab/>
        <w:t>Alentar la colaboración, el intercambio, el aprendizaje mutuo y la interacción entre los distintos enfoques y procurar mayores sinergias y resultados convergentes.</w:t>
      </w:r>
    </w:p>
    <w:p w:rsidR="00DB124A" w:rsidRPr="00AE1101" w:rsidRDefault="00DB124A" w:rsidP="00AE1101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  <w:r w:rsidRPr="00AE1101">
        <w:rPr>
          <w:snapToGrid w:val="0"/>
          <w:szCs w:val="22"/>
          <w:lang w:val="es-419"/>
        </w:rPr>
        <w:lastRenderedPageBreak/>
        <w:t>u)</w:t>
      </w:r>
      <w:r w:rsidRPr="00AE1101">
        <w:rPr>
          <w:snapToGrid w:val="0"/>
          <w:szCs w:val="22"/>
          <w:lang w:val="es-419"/>
        </w:rPr>
        <w:tab/>
        <w:t>Considerar, según proceda, la creación de capacidad y la transferencia de tecnología para garantizar que la información nueva, incluida aquella de la ciencia y la tecnología, contribuya al empoderamiento, la resiliencia y la autosuficiencia de los pueblos indígenas y las comunidades locales.</w:t>
      </w:r>
    </w:p>
    <w:p w:rsidR="00DB124A" w:rsidRPr="00AE1101" w:rsidRDefault="00DB124A" w:rsidP="00AE1101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firstLine="720"/>
        <w:rPr>
          <w:snapToGrid w:val="0"/>
          <w:kern w:val="22"/>
          <w:szCs w:val="22"/>
          <w:lang w:val="es-419"/>
        </w:rPr>
      </w:pPr>
    </w:p>
    <w:p w:rsidR="00911DD6" w:rsidRPr="00AE1101" w:rsidRDefault="00911DD6" w:rsidP="00911DD6">
      <w:pPr>
        <w:jc w:val="center"/>
        <w:rPr>
          <w:kern w:val="22"/>
          <w:szCs w:val="22"/>
          <w:lang w:val="es-419"/>
        </w:rPr>
      </w:pPr>
      <w:r w:rsidRPr="00AE1101">
        <w:rPr>
          <w:lang w:val="es-419"/>
        </w:rPr>
        <w:t>__________</w:t>
      </w:r>
    </w:p>
    <w:p w:rsidR="00B3369F" w:rsidRPr="00AE1101" w:rsidRDefault="00B3369F" w:rsidP="006C6B9C">
      <w:pPr>
        <w:rPr>
          <w:kern w:val="22"/>
          <w:szCs w:val="22"/>
          <w:lang w:val="es-419"/>
        </w:rPr>
      </w:pPr>
    </w:p>
    <w:sectPr w:rsidR="00B3369F" w:rsidRPr="00AE1101" w:rsidSect="007B078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36E" w:rsidRDefault="0018036E" w:rsidP="00CF1848">
      <w:r>
        <w:separator/>
      </w:r>
    </w:p>
  </w:endnote>
  <w:endnote w:type="continuationSeparator" w:id="0">
    <w:p w:rsidR="0018036E" w:rsidRDefault="0018036E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36E" w:rsidRDefault="0018036E" w:rsidP="00CF1848">
      <w:r>
        <w:separator/>
      </w:r>
    </w:p>
  </w:footnote>
  <w:footnote w:type="continuationSeparator" w:id="0">
    <w:p w:rsidR="0018036E" w:rsidRDefault="0018036E" w:rsidP="00CF1848">
      <w:r>
        <w:continuationSeparator/>
      </w:r>
    </w:p>
  </w:footnote>
  <w:footnote w:id="1">
    <w:p w:rsidR="00911DD6" w:rsidRPr="004E2AAE" w:rsidRDefault="00911DD6" w:rsidP="00911DD6">
      <w:pPr>
        <w:pStyle w:val="Textonotapie"/>
        <w:kinsoku w:val="0"/>
        <w:overflowPunct w:val="0"/>
        <w:autoSpaceDE w:val="0"/>
        <w:autoSpaceDN w:val="0"/>
        <w:ind w:firstLine="0"/>
        <w:jc w:val="left"/>
        <w:rPr>
          <w:snapToGrid w:val="0"/>
          <w:kern w:val="18"/>
          <w:szCs w:val="18"/>
        </w:rPr>
      </w:pPr>
      <w:r>
        <w:rPr>
          <w:rStyle w:val="Refdenotaalpie"/>
          <w:snapToGrid w:val="0"/>
          <w:kern w:val="18"/>
          <w:sz w:val="18"/>
          <w:szCs w:val="18"/>
        </w:rPr>
        <w:footnoteRef/>
      </w:r>
      <w:r>
        <w:rPr>
          <w:snapToGrid w:val="0"/>
          <w:szCs w:val="18"/>
        </w:rPr>
        <w:t xml:space="preserve"> Decisión X/2, anexo.</w:t>
      </w:r>
    </w:p>
  </w:footnote>
  <w:footnote w:id="2">
    <w:p w:rsidR="00911DD6" w:rsidRPr="00602837" w:rsidRDefault="00911DD6" w:rsidP="00911DD6">
      <w:pPr>
        <w:pStyle w:val="NormalWeb"/>
        <w:keepLines/>
        <w:kinsoku w:val="0"/>
        <w:overflowPunct w:val="0"/>
        <w:autoSpaceDE w:val="0"/>
        <w:autoSpaceDN w:val="0"/>
        <w:adjustRightInd w:val="0"/>
        <w:snapToGrid w:val="0"/>
        <w:spacing w:after="60"/>
        <w:jc w:val="left"/>
        <w:textAlignment w:val="baseline"/>
        <w:rPr>
          <w:snapToGrid w:val="0"/>
          <w:kern w:val="18"/>
          <w:sz w:val="18"/>
          <w:szCs w:val="18"/>
        </w:rPr>
      </w:pPr>
      <w:r>
        <w:rPr>
          <w:rStyle w:val="Refdenotaalpie"/>
          <w:snapToGrid w:val="0"/>
          <w:kern w:val="18"/>
          <w:sz w:val="18"/>
          <w:szCs w:val="18"/>
        </w:rPr>
        <w:footnoteRef/>
      </w:r>
      <w:r>
        <w:rPr>
          <w:snapToGrid w:val="0"/>
          <w:sz w:val="18"/>
          <w:szCs w:val="18"/>
        </w:rPr>
        <w:t xml:space="preserve"> En la decisión X/43, la Conferencia de las Partes adoptó las “tendencias de los cambios en la utilización y la tenencia de la tierra en los territorios tradicionales de las comunidades indígenas y locales” como uno de los cuatro indicadores mundiales para los conocimientos tradicionales, en el marco del Convenio sobre la Diversidad Biológica. La “tenencia” de los territorios tradicionales de los pueblos indígenas y las comunidades locales puede incluir tierras y aguas.</w:t>
      </w:r>
    </w:p>
  </w:footnote>
  <w:footnote w:id="3">
    <w:p w:rsidR="00911DD6" w:rsidRPr="004E2AAE" w:rsidRDefault="00911DD6" w:rsidP="00911DD6">
      <w:pPr>
        <w:pStyle w:val="Textonotapie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Refdenotaalpie"/>
          <w:rFonts w:eastAsiaTheme="majorEastAsia"/>
          <w:snapToGrid w:val="0"/>
          <w:kern w:val="18"/>
          <w:sz w:val="18"/>
          <w:szCs w:val="18"/>
        </w:rPr>
        <w:footnoteRef/>
      </w:r>
      <w:r>
        <w:rPr>
          <w:snapToGrid w:val="0"/>
          <w:szCs w:val="18"/>
        </w:rPr>
        <w:t xml:space="preserve"> En el anexo de la decisión XII/12 B, la Conferencia de las Partes adoptó un Plan de acción mundial sobre utilización consuetudinaria sostenible de la diversidad biológica.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3E6CAB" w:rsidRDefault="002B5595" w:rsidP="003E6CAB">
        <w:pPr>
          <w:pStyle w:val="Encabezado"/>
          <w:tabs>
            <w:tab w:val="clear" w:pos="4320"/>
            <w:tab w:val="clear" w:pos="8640"/>
          </w:tabs>
          <w:jc w:val="left"/>
          <w:rPr>
            <w:noProof/>
            <w:kern w:val="22"/>
          </w:rPr>
        </w:pPr>
        <w:r w:rsidRPr="003E6CAB">
          <w:rPr>
            <w:noProof/>
            <w:kern w:val="22"/>
          </w:rPr>
          <w:t>CBD/COP/DEC/14/16</w:t>
        </w:r>
      </w:p>
    </w:sdtContent>
  </w:sdt>
  <w:p w:rsidR="00534681" w:rsidRPr="003E6CAB" w:rsidRDefault="00534681" w:rsidP="003E6CAB">
    <w:pPr>
      <w:pStyle w:val="Encabezado"/>
      <w:tabs>
        <w:tab w:val="clear" w:pos="4320"/>
        <w:tab w:val="clear" w:pos="8640"/>
      </w:tabs>
      <w:jc w:val="left"/>
      <w:rPr>
        <w:noProof/>
        <w:kern w:val="22"/>
      </w:rPr>
    </w:pPr>
    <w:r>
      <w:t xml:space="preserve">Página </w:t>
    </w:r>
    <w:r w:rsidRPr="003E6CAB">
      <w:fldChar w:fldCharType="begin"/>
    </w:r>
    <w:r w:rsidRPr="003E6CAB">
      <w:instrText xml:space="preserve"> PAGE   \* MERGEFORMAT </w:instrText>
    </w:r>
    <w:r w:rsidRPr="003E6CAB">
      <w:fldChar w:fldCharType="separate"/>
    </w:r>
    <w:r w:rsidR="00602837" w:rsidRPr="003E6CAB">
      <w:t>2</w:t>
    </w:r>
    <w:r w:rsidRPr="003E6CAB">
      <w:fldChar w:fldCharType="end"/>
    </w:r>
  </w:p>
  <w:p w:rsidR="00534681" w:rsidRPr="003E6CAB" w:rsidRDefault="00534681" w:rsidP="003E6CAB">
    <w:pPr>
      <w:pStyle w:val="Encabezado"/>
      <w:tabs>
        <w:tab w:val="clear" w:pos="4320"/>
        <w:tab w:val="clear" w:pos="8640"/>
      </w:tabs>
      <w:jc w:val="left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3E6CAB" w:rsidRDefault="002B5595" w:rsidP="003E6CAB">
        <w:pPr>
          <w:pStyle w:val="Encabezado"/>
          <w:tabs>
            <w:tab w:val="clear" w:pos="4320"/>
            <w:tab w:val="clear" w:pos="8640"/>
          </w:tabs>
          <w:jc w:val="right"/>
          <w:rPr>
            <w:noProof/>
            <w:kern w:val="22"/>
          </w:rPr>
        </w:pPr>
        <w:r w:rsidRPr="003E6CAB">
          <w:rPr>
            <w:noProof/>
            <w:kern w:val="22"/>
          </w:rPr>
          <w:t>CBD/COP/DEC/14/16</w:t>
        </w:r>
      </w:p>
    </w:sdtContent>
  </w:sdt>
  <w:p w:rsidR="009505C9" w:rsidRPr="003E6CAB" w:rsidRDefault="009505C9" w:rsidP="003E6CAB">
    <w:pPr>
      <w:pStyle w:val="Encabezado"/>
      <w:tabs>
        <w:tab w:val="clear" w:pos="4320"/>
        <w:tab w:val="clear" w:pos="8640"/>
      </w:tabs>
      <w:jc w:val="right"/>
      <w:rPr>
        <w:noProof/>
        <w:kern w:val="22"/>
      </w:rPr>
    </w:pPr>
    <w:r>
      <w:t xml:space="preserve">Página </w:t>
    </w:r>
    <w:r w:rsidRPr="003E6CAB">
      <w:fldChar w:fldCharType="begin"/>
    </w:r>
    <w:r w:rsidRPr="003E6CAB">
      <w:instrText xml:space="preserve"> PAGE   \* MERGEFORMAT </w:instrText>
    </w:r>
    <w:r w:rsidRPr="003E6CAB">
      <w:fldChar w:fldCharType="separate"/>
    </w:r>
    <w:r w:rsidR="00602837" w:rsidRPr="003E6CAB">
      <w:t>3</w:t>
    </w:r>
    <w:r w:rsidRPr="003E6CAB">
      <w:fldChar w:fldCharType="end"/>
    </w:r>
  </w:p>
  <w:p w:rsidR="009505C9" w:rsidRPr="003E6CAB" w:rsidRDefault="009505C9" w:rsidP="003E6CAB">
    <w:pPr>
      <w:pStyle w:val="Encabezado"/>
      <w:tabs>
        <w:tab w:val="clear" w:pos="4320"/>
        <w:tab w:val="clear" w:pos="8640"/>
      </w:tabs>
      <w:jc w:val="right"/>
      <w:rPr>
        <w:noProof/>
        <w:kern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419" w:vendorID="64" w:dllVersion="0" w:nlCheck="1" w:checkStyle="0"/>
  <w:proofState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66795"/>
    <w:rsid w:val="000E673A"/>
    <w:rsid w:val="000F4914"/>
    <w:rsid w:val="000F74F5"/>
    <w:rsid w:val="00104052"/>
    <w:rsid w:val="00105372"/>
    <w:rsid w:val="00131E7A"/>
    <w:rsid w:val="001571F7"/>
    <w:rsid w:val="00172AF6"/>
    <w:rsid w:val="00176CEE"/>
    <w:rsid w:val="0018036E"/>
    <w:rsid w:val="00186DD8"/>
    <w:rsid w:val="001C36DB"/>
    <w:rsid w:val="00273079"/>
    <w:rsid w:val="002B5595"/>
    <w:rsid w:val="002B74E3"/>
    <w:rsid w:val="00372F74"/>
    <w:rsid w:val="003A2AB0"/>
    <w:rsid w:val="003D6DF7"/>
    <w:rsid w:val="003E6CAB"/>
    <w:rsid w:val="003F7224"/>
    <w:rsid w:val="004003A5"/>
    <w:rsid w:val="00427D21"/>
    <w:rsid w:val="004644C2"/>
    <w:rsid w:val="00467F9C"/>
    <w:rsid w:val="004A2B85"/>
    <w:rsid w:val="004E2AAE"/>
    <w:rsid w:val="00534681"/>
    <w:rsid w:val="00602837"/>
    <w:rsid w:val="006122BA"/>
    <w:rsid w:val="0068672C"/>
    <w:rsid w:val="006B2290"/>
    <w:rsid w:val="006C6B9C"/>
    <w:rsid w:val="00717D88"/>
    <w:rsid w:val="007942D3"/>
    <w:rsid w:val="007B023A"/>
    <w:rsid w:val="007B078D"/>
    <w:rsid w:val="007B6C09"/>
    <w:rsid w:val="007E09DA"/>
    <w:rsid w:val="007E0CB1"/>
    <w:rsid w:val="00803905"/>
    <w:rsid w:val="008178B6"/>
    <w:rsid w:val="00865B74"/>
    <w:rsid w:val="008A2786"/>
    <w:rsid w:val="008E5943"/>
    <w:rsid w:val="00911DD6"/>
    <w:rsid w:val="00930BA1"/>
    <w:rsid w:val="0093169E"/>
    <w:rsid w:val="009505C9"/>
    <w:rsid w:val="00986AA0"/>
    <w:rsid w:val="0099050E"/>
    <w:rsid w:val="009A3556"/>
    <w:rsid w:val="00A136DB"/>
    <w:rsid w:val="00A455D7"/>
    <w:rsid w:val="00A73613"/>
    <w:rsid w:val="00A91D4C"/>
    <w:rsid w:val="00AB3B56"/>
    <w:rsid w:val="00AE1101"/>
    <w:rsid w:val="00B3369F"/>
    <w:rsid w:val="00C16501"/>
    <w:rsid w:val="00C443BD"/>
    <w:rsid w:val="00C9161D"/>
    <w:rsid w:val="00CF1848"/>
    <w:rsid w:val="00D12044"/>
    <w:rsid w:val="00D14E64"/>
    <w:rsid w:val="00D76A18"/>
    <w:rsid w:val="00DB124A"/>
    <w:rsid w:val="00DD118C"/>
    <w:rsid w:val="00DE5AC9"/>
    <w:rsid w:val="00E44AAB"/>
    <w:rsid w:val="00E66235"/>
    <w:rsid w:val="00E83C24"/>
    <w:rsid w:val="00E9318D"/>
    <w:rsid w:val="00E94B3A"/>
    <w:rsid w:val="00F6586C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A58C4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</w:rPr>
  </w:style>
  <w:style w:type="paragraph" w:styleId="Ttulo1">
    <w:name w:val="heading 1"/>
    <w:basedOn w:val="Normal"/>
    <w:next w:val="Ttulo2"/>
    <w:link w:val="Ttulo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link w:val="Ttulo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link w:val="Ttulo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</w:rPr>
  </w:style>
  <w:style w:type="paragraph" w:styleId="Ttulo6">
    <w:name w:val="heading 6"/>
    <w:basedOn w:val="Normal"/>
    <w:next w:val="Normal"/>
    <w:link w:val="Ttulo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link w:val="Ttulo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61D"/>
    <w:rPr>
      <w:rFonts w:ascii="Lucida Grande" w:hAnsi="Lucida Grande" w:cs="Lucida Grande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05372"/>
    <w:rPr>
      <w:color w:val="808080"/>
    </w:rPr>
  </w:style>
  <w:style w:type="paragraph" w:styleId="Encabezado">
    <w:name w:val="header"/>
    <w:basedOn w:val="Normal"/>
    <w:link w:val="EncabezadoCar"/>
    <w:rsid w:val="007E09D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styleId="Piedepgina">
    <w:name w:val="footer"/>
    <w:basedOn w:val="Normal"/>
    <w:link w:val="Piedepgina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epginaCar">
    <w:name w:val="Pie de página Car"/>
    <w:basedOn w:val="Fuentedeprrafopredeter"/>
    <w:link w:val="Piedepgina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s-ES"/>
    </w:rPr>
  </w:style>
  <w:style w:type="character" w:customStyle="1" w:styleId="Ttulo1Car">
    <w:name w:val="Título 1 Car"/>
    <w:basedOn w:val="Fuentedeprrafopredeter"/>
    <w:link w:val="Ttulo1"/>
    <w:rsid w:val="007E09DA"/>
    <w:rPr>
      <w:rFonts w:ascii="Times New Roman" w:eastAsia="Times New Roman" w:hAnsi="Times New Roman" w:cs="Times New Roman"/>
      <w:b/>
      <w:caps/>
      <w:sz w:val="22"/>
      <w:lang w:val="es-ES"/>
    </w:rPr>
  </w:style>
  <w:style w:type="paragraph" w:styleId="Textoindependiente">
    <w:name w:val="Body Text"/>
    <w:basedOn w:val="Normal"/>
    <w:link w:val="TextoindependienteCar"/>
    <w:rsid w:val="007E09DA"/>
    <w:pPr>
      <w:spacing w:before="120" w:after="120"/>
      <w:ind w:firstLine="720"/>
    </w:pPr>
    <w:rPr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7E09DA"/>
    <w:rPr>
      <w:rFonts w:ascii="Times New Roman" w:eastAsia="Times New Roman" w:hAnsi="Times New Roman" w:cs="Times New Roman"/>
      <w:iCs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7E09DA"/>
    <w:pPr>
      <w:spacing w:before="120" w:after="120"/>
      <w:ind w:left="1440" w:hanging="720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rsid w:val="007E09DA"/>
    <w:rPr>
      <w:rFonts w:ascii="Times New Roman" w:eastAsia="Times New Roman" w:hAnsi="Times New Roman" w:cs="Times New Roman"/>
      <w:sz w:val="22"/>
      <w:lang w:val="es-ES"/>
    </w:rPr>
  </w:style>
  <w:style w:type="character" w:styleId="Refdecomentario">
    <w:name w:val="annotation reference"/>
    <w:semiHidden/>
    <w:rsid w:val="007E09DA"/>
    <w:rPr>
      <w:sz w:val="16"/>
    </w:rPr>
  </w:style>
  <w:style w:type="paragraph" w:styleId="Textocomentario">
    <w:name w:val="annotation text"/>
    <w:basedOn w:val="Normal"/>
    <w:link w:val="TextocomentarioCar"/>
    <w:semiHidden/>
    <w:rsid w:val="007E09DA"/>
    <w:pPr>
      <w:spacing w:after="120" w:line="240" w:lineRule="exact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E09DA"/>
    <w:rPr>
      <w:rFonts w:ascii="Times New Roman" w:eastAsia="Times New Roman" w:hAnsi="Times New Roman" w:cs="Times New Roman"/>
      <w:sz w:val="22"/>
      <w:lang w:val="es-ES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Refdenotaalfinal">
    <w:name w:val="endnote reference"/>
    <w:semiHidden/>
    <w:rsid w:val="007E09DA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E09DA"/>
    <w:rPr>
      <w:rFonts w:ascii="Courier New" w:eastAsia="Times New Roman" w:hAnsi="Courier New" w:cs="Times New Roman"/>
      <w:sz w:val="22"/>
      <w:lang w:val="es-ES"/>
    </w:rPr>
  </w:style>
  <w:style w:type="character" w:styleId="Hipervnculovisitado">
    <w:name w:val="FollowedHyperlink"/>
    <w:rsid w:val="007E09DA"/>
    <w:rPr>
      <w:color w:val="800080"/>
      <w:u w:val="single"/>
    </w:rPr>
  </w:style>
  <w:style w:type="character" w:styleId="Refdenotaalpie">
    <w:name w:val="footnote reference"/>
    <w:semiHidden/>
    <w:rsid w:val="00427D21"/>
    <w:rPr>
      <w:sz w:val="22"/>
      <w:u w:val="none"/>
      <w:vertAlign w:val="superscript"/>
    </w:rPr>
  </w:style>
  <w:style w:type="paragraph" w:styleId="Textonotapie">
    <w:name w:val="footnote text"/>
    <w:basedOn w:val="Normal"/>
    <w:link w:val="Textonotapi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semiHidden/>
    <w:rsid w:val="007E09DA"/>
    <w:rPr>
      <w:rFonts w:ascii="Times New Roman" w:eastAsia="Times New Roman" w:hAnsi="Times New Roman" w:cs="Times New Roman"/>
      <w:sz w:val="18"/>
      <w:lang w:val="es-ES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tulo2Car">
    <w:name w:val="Título 2 Car"/>
    <w:basedOn w:val="Fuentedeprrafopredeter"/>
    <w:link w:val="Ttulo2"/>
    <w:rsid w:val="006122BA"/>
    <w:rPr>
      <w:rFonts w:ascii="Times New Roman" w:eastAsia="Times New Roman" w:hAnsi="Times New Roman" w:cs="Times New Roman"/>
      <w:b/>
      <w:bCs/>
      <w:iCs/>
      <w:sz w:val="22"/>
      <w:lang w:val="es-ES"/>
    </w:rPr>
  </w:style>
  <w:style w:type="paragraph" w:customStyle="1" w:styleId="HEADINGNOTFORTOC">
    <w:name w:val="HEADING (NOT FOR TOC)"/>
    <w:basedOn w:val="Ttulo1"/>
    <w:next w:val="Ttulo2"/>
    <w:rsid w:val="007E09DA"/>
  </w:style>
  <w:style w:type="paragraph" w:customStyle="1" w:styleId="Heading1longmultiline">
    <w:name w:val="Heading 1 (long multiline)"/>
    <w:basedOn w:val="Ttulo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tulo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tulo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tulo3Car">
    <w:name w:val="Título 3 Car"/>
    <w:basedOn w:val="Fuentedeprrafopredeter"/>
    <w:link w:val="Ttulo3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paragraph" w:customStyle="1" w:styleId="heading2notforTOC">
    <w:name w:val="heading 2 not for TOC"/>
    <w:basedOn w:val="Ttulo3"/>
    <w:rsid w:val="007E09DA"/>
  </w:style>
  <w:style w:type="paragraph" w:customStyle="1" w:styleId="Heading3multiline">
    <w:name w:val="Heading 3 (multiline)"/>
    <w:basedOn w:val="Ttulo3"/>
    <w:next w:val="Normal"/>
    <w:rsid w:val="007E09DA"/>
    <w:pPr>
      <w:ind w:left="1418" w:hanging="425"/>
      <w:jc w:val="left"/>
    </w:pPr>
  </w:style>
  <w:style w:type="character" w:customStyle="1" w:styleId="Ttulo4Car">
    <w:name w:val="Título 4 Car"/>
    <w:basedOn w:val="Fuentedeprrafopredeter"/>
    <w:link w:val="Ttulo4"/>
    <w:rsid w:val="007E09DA"/>
    <w:rPr>
      <w:rFonts w:ascii="Times New Roman Bold" w:eastAsia="Arial Unicode MS" w:hAnsi="Times New Roman Bold" w:cs="Arial"/>
      <w:b/>
      <w:bCs/>
      <w:i/>
      <w:sz w:val="22"/>
      <w:lang w:val="es-ES"/>
    </w:rPr>
  </w:style>
  <w:style w:type="paragraph" w:customStyle="1" w:styleId="Heading4indent">
    <w:name w:val="Heading 4 indent"/>
    <w:basedOn w:val="Ttulo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tulo5Car">
    <w:name w:val="Título 5 Car"/>
    <w:basedOn w:val="Fuentedeprrafopredeter"/>
    <w:link w:val="Ttulo5"/>
    <w:rsid w:val="007E09DA"/>
    <w:rPr>
      <w:rFonts w:ascii="Times New Roman" w:eastAsia="Times New Roman" w:hAnsi="Times New Roman" w:cs="Times New Roman"/>
      <w:bCs/>
      <w:i/>
      <w:sz w:val="22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7E09DA"/>
    <w:rPr>
      <w:rFonts w:ascii="Times New Roman" w:eastAsia="Times New Roman" w:hAnsi="Times New Roman" w:cs="Times New Roman"/>
      <w:sz w:val="22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7E09DA"/>
    <w:rPr>
      <w:rFonts w:ascii="Univers" w:eastAsia="Times New Roman" w:hAnsi="Univers" w:cs="Times New Roman"/>
      <w:b/>
      <w:sz w:val="28"/>
      <w:lang w:val="es-ES"/>
    </w:rPr>
  </w:style>
  <w:style w:type="character" w:customStyle="1" w:styleId="Ttulo8Car">
    <w:name w:val="Título 8 Car"/>
    <w:basedOn w:val="Fuentedeprrafopredeter"/>
    <w:link w:val="Ttulo8"/>
    <w:rsid w:val="007E09DA"/>
    <w:rPr>
      <w:rFonts w:ascii="Univers" w:eastAsia="Times New Roman" w:hAnsi="Univers" w:cs="Times New Roman"/>
      <w:b/>
      <w:sz w:val="32"/>
      <w:lang w:val="es-ES"/>
    </w:rPr>
  </w:style>
  <w:style w:type="character" w:customStyle="1" w:styleId="Ttulo9Car">
    <w:name w:val="Título 9 Car"/>
    <w:basedOn w:val="Fuentedeprrafopredeter"/>
    <w:link w:val="Ttulo9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character" w:styleId="Nmerodepgina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tulo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tulo2"/>
    <w:qFormat/>
    <w:rsid w:val="0093169E"/>
    <w:pPr>
      <w:jc w:val="left"/>
      <w:outlineLvl w:val="9"/>
    </w:pPr>
    <w:rPr>
      <w:i/>
    </w:rPr>
  </w:style>
  <w:style w:type="paragraph" w:styleId="Encabezadodelista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D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D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D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D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D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ipervnculo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s-ES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rrafodelista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Ttulo2"/>
    <w:qFormat/>
    <w:rsid w:val="00F6586C"/>
    <w:rPr>
      <w:i/>
    </w:rPr>
  </w:style>
  <w:style w:type="paragraph" w:styleId="Sinespaciado">
    <w:name w:val="No Spacing"/>
    <w:link w:val="SinespaciadoCar"/>
    <w:uiPriority w:val="1"/>
    <w:qFormat/>
    <w:rsid w:val="00273079"/>
    <w:rPr>
      <w:rFonts w:ascii="Calibri" w:eastAsia="Calibri" w:hAnsi="Calibri" w:cs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73079"/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911DD6"/>
    <w:rPr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943"/>
    <w:pPr>
      <w:spacing w:after="0"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943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Textodelmarcadordeposicin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Textodelmarcadordeposicin"/>
            </w:rPr>
            <w:t>[Title]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Textodelmarcadordeposicin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1524A2"/>
    <w:rsid w:val="00201449"/>
    <w:rsid w:val="00500A2B"/>
    <w:rsid w:val="0058288D"/>
    <w:rsid w:val="006801B3"/>
    <w:rsid w:val="00810A55"/>
    <w:rsid w:val="008C6619"/>
    <w:rsid w:val="008D420E"/>
    <w:rsid w:val="00980FE1"/>
    <w:rsid w:val="0098642F"/>
    <w:rsid w:val="00C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66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213A81-4EB4-4660-A5BE-D32CDF77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1490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14/16.	Methodological guidance concerning the contributions of indigenous peoples and local communities</vt:lpstr>
      <vt:lpstr>14/16.	Methodological guidance concerning the contributions of indigenous peoples and local communities</vt:lpstr>
    </vt:vector>
  </TitlesOfParts>
  <Company>SCBD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14/16.	Orientación metodológica relativa a las contribuciones de los pueblos indígenas y las comunidades locales</dc:title>
  <dc:subject>CBD/COP/DEC/14/16</dc:subject>
  <dc:creator>COP 14</dc:creator>
  <cp:keywords>Resource mobilization and the financial mechanism, Convention on Biological Diversity</cp:keywords>
  <cp:lastModifiedBy>Maria Troitino</cp:lastModifiedBy>
  <cp:revision>3</cp:revision>
  <cp:lastPrinted>2018-11-22T15:29:00Z</cp:lastPrinted>
  <dcterms:created xsi:type="dcterms:W3CDTF">2019-01-14T19:11:00Z</dcterms:created>
  <dcterms:modified xsi:type="dcterms:W3CDTF">2019-01-14T19:14:00Z</dcterms:modified>
  <cp:contentStatus>GENERAL</cp:contentStatus>
</cp:coreProperties>
</file>