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EA2931">
                  <w:rPr>
                    <w:kern w:val="22"/>
                    <w:lang w:val="fr-FR"/>
                  </w:rPr>
                  <w:t>16</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EA2931">
        <w:rPr>
          <w:kern w:val="22"/>
          <w:szCs w:val="22"/>
          <w:lang w:val="fr-FR"/>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EA2931" w:rsidRDefault="009F5421" w:rsidP="009F5421">
      <w:pPr>
        <w:keepNext/>
        <w:spacing w:before="120" w:after="120"/>
        <w:ind w:firstLine="709"/>
        <w:jc w:val="center"/>
        <w:rPr>
          <w:b/>
          <w:iCs/>
          <w:lang w:val="fr-FR"/>
        </w:rPr>
      </w:pPr>
      <w:bookmarkStart w:id="1" w:name="_Toc522023215"/>
      <w:r w:rsidRPr="009F5421">
        <w:rPr>
          <w:b/>
          <w:iCs/>
          <w:lang w:val="fr-FR"/>
        </w:rPr>
        <w:t>14</w:t>
      </w:r>
      <w:r w:rsidR="005C3243">
        <w:rPr>
          <w:b/>
          <w:iCs/>
        </w:rPr>
        <w:t>/</w:t>
      </w:r>
      <w:r w:rsidR="00EA2931">
        <w:rPr>
          <w:b/>
          <w:iCs/>
          <w:lang w:val="fr-FR"/>
        </w:rPr>
        <w:t>16</w:t>
      </w:r>
      <w:r w:rsidRPr="009F5421">
        <w:rPr>
          <w:b/>
          <w:iCs/>
          <w:lang w:val="fr-FR"/>
        </w:rPr>
        <w:tab/>
      </w:r>
      <w:r w:rsidR="00EA2931">
        <w:rPr>
          <w:b/>
          <w:iCs/>
        </w:rPr>
        <w:t>М</w:t>
      </w:r>
      <w:r w:rsidR="00EA2931" w:rsidRPr="00EA2931">
        <w:rPr>
          <w:b/>
          <w:kern w:val="22"/>
        </w:rPr>
        <w:t>етодологическое руководство, касающееся вклада коренных народов и местных общин</w:t>
      </w:r>
    </w:p>
    <w:p w:rsidR="00EA2931" w:rsidRPr="00393C9C" w:rsidRDefault="00EA2931" w:rsidP="00EA2931">
      <w:pPr>
        <w:pStyle w:val="Para1"/>
        <w:keepNext/>
        <w:keepLines/>
        <w:suppressLineNumbers/>
        <w:suppressAutoHyphens/>
        <w:kinsoku w:val="0"/>
        <w:overflowPunct w:val="0"/>
        <w:autoSpaceDE w:val="0"/>
        <w:autoSpaceDN w:val="0"/>
        <w:adjustRightInd w:val="0"/>
        <w:snapToGrid w:val="0"/>
        <w:ind w:firstLine="720"/>
        <w:rPr>
          <w:i/>
          <w:iCs/>
          <w:kern w:val="22"/>
          <w:szCs w:val="22"/>
        </w:rPr>
      </w:pPr>
      <w:r w:rsidRPr="00393C9C">
        <w:rPr>
          <w:i/>
          <w:iCs/>
          <w:kern w:val="22"/>
          <w:szCs w:val="22"/>
        </w:rPr>
        <w:t>Конференция Сторон,</w:t>
      </w:r>
    </w:p>
    <w:p w:rsidR="00EA2931" w:rsidRPr="00393C9C" w:rsidRDefault="00EA2931" w:rsidP="00EA2931">
      <w:pPr>
        <w:pStyle w:val="Para1"/>
        <w:suppressLineNumbers/>
        <w:suppressAutoHyphens/>
        <w:kinsoku w:val="0"/>
        <w:overflowPunct w:val="0"/>
        <w:autoSpaceDE w:val="0"/>
        <w:autoSpaceDN w:val="0"/>
        <w:adjustRightInd w:val="0"/>
        <w:snapToGrid w:val="0"/>
        <w:ind w:firstLine="720"/>
        <w:rPr>
          <w:rFonts w:eastAsia="Batang"/>
          <w:kern w:val="22"/>
          <w:szCs w:val="22"/>
        </w:rPr>
      </w:pPr>
      <w:r w:rsidRPr="00393C9C">
        <w:rPr>
          <w:rFonts w:eastAsia="Batang"/>
          <w:i/>
          <w:kern w:val="22"/>
          <w:szCs w:val="22"/>
        </w:rPr>
        <w:t xml:space="preserve">ссылаясь </w:t>
      </w:r>
      <w:r w:rsidRPr="00393C9C">
        <w:rPr>
          <w:rFonts w:eastAsia="Batang"/>
          <w:kern w:val="22"/>
          <w:szCs w:val="22"/>
        </w:rPr>
        <w:t>на решение XIII/20, в котором Конференция Сторон поручила Исполнительному секретарю разработать элементы методологического руководства, касающиеся вклада коренных народов и местных общин,</w:t>
      </w:r>
    </w:p>
    <w:p w:rsidR="00EA2931" w:rsidRPr="00417069" w:rsidRDefault="00EA2931" w:rsidP="00EA2931">
      <w:pPr>
        <w:suppressLineNumbers/>
        <w:suppressAutoHyphens/>
        <w:kinsoku w:val="0"/>
        <w:overflowPunct w:val="0"/>
        <w:autoSpaceDE w:val="0"/>
        <w:autoSpaceDN w:val="0"/>
        <w:adjustRightInd w:val="0"/>
        <w:snapToGrid w:val="0"/>
        <w:spacing w:before="120" w:after="120"/>
        <w:ind w:firstLine="720"/>
        <w:rPr>
          <w:rFonts w:eastAsia="MS Mincho"/>
          <w:snapToGrid w:val="0"/>
          <w:kern w:val="22"/>
          <w:szCs w:val="22"/>
          <w:lang w:val="fr-FR"/>
        </w:rPr>
      </w:pPr>
      <w:proofErr w:type="gramStart"/>
      <w:r w:rsidRPr="00304E14">
        <w:rPr>
          <w:rFonts w:eastAsia="Batang"/>
          <w:i/>
          <w:snapToGrid w:val="0"/>
          <w:kern w:val="22"/>
          <w:szCs w:val="22"/>
        </w:rPr>
        <w:t>признавая</w:t>
      </w:r>
      <w:r w:rsidRPr="00393C9C">
        <w:rPr>
          <w:rFonts w:eastAsia="Batang"/>
          <w:i/>
          <w:snapToGrid w:val="0"/>
          <w:kern w:val="22"/>
          <w:szCs w:val="22"/>
        </w:rPr>
        <w:t xml:space="preserve"> </w:t>
      </w:r>
      <w:r w:rsidRPr="00393C9C">
        <w:rPr>
          <w:iCs/>
          <w:snapToGrid w:val="0"/>
          <w:kern w:val="22"/>
          <w:szCs w:val="22"/>
        </w:rPr>
        <w:t>важность комплексных коллективных действий коренных народов и местных общин для достижения целей Стратегического плана в области сохранения и устойчивого использования биоразнообразия на 2011</w:t>
      </w:r>
      <w:r w:rsidR="00417069">
        <w:rPr>
          <w:iCs/>
          <w:snapToGrid w:val="0"/>
          <w:kern w:val="22"/>
          <w:szCs w:val="22"/>
          <w:lang w:val="fr-FR"/>
        </w:rPr>
        <w:t>-</w:t>
      </w:r>
      <w:r w:rsidRPr="00393C9C">
        <w:rPr>
          <w:iCs/>
          <w:snapToGrid w:val="0"/>
          <w:kern w:val="22"/>
          <w:szCs w:val="22"/>
        </w:rPr>
        <w:t>2020 годы</w:t>
      </w:r>
      <w:r w:rsidRPr="00E91D0C">
        <w:rPr>
          <w:rStyle w:val="Appelnotedebasdep"/>
          <w:iCs/>
          <w:snapToGrid w:val="0"/>
          <w:kern w:val="22"/>
          <w:szCs w:val="22"/>
        </w:rPr>
        <w:footnoteReference w:id="2"/>
      </w:r>
      <w:r w:rsidRPr="00393C9C">
        <w:rPr>
          <w:iCs/>
          <w:snapToGrid w:val="0"/>
          <w:kern w:val="22"/>
          <w:szCs w:val="22"/>
        </w:rPr>
        <w:t xml:space="preserve"> и выполнения целевых задач по сохранению и устойчивому использованию биоразнообразия, принятых в Айти, в рамках прав, этических принципов и ценностей, управления и дифференцированных ролей мужчин и женщин из числа</w:t>
      </w:r>
      <w:proofErr w:type="gramEnd"/>
      <w:r w:rsidRPr="00393C9C">
        <w:rPr>
          <w:iCs/>
          <w:snapToGrid w:val="0"/>
          <w:kern w:val="22"/>
          <w:szCs w:val="22"/>
        </w:rPr>
        <w:t xml:space="preserve"> к</w:t>
      </w:r>
      <w:r w:rsidR="00417069">
        <w:rPr>
          <w:iCs/>
          <w:snapToGrid w:val="0"/>
          <w:kern w:val="22"/>
          <w:szCs w:val="22"/>
        </w:rPr>
        <w:t>оренных народов и местных общин</w:t>
      </w:r>
      <w:r w:rsidR="00417069">
        <w:rPr>
          <w:iCs/>
          <w:snapToGrid w:val="0"/>
          <w:kern w:val="22"/>
          <w:szCs w:val="22"/>
          <w:lang w:val="fr-FR"/>
        </w:rPr>
        <w:t>,</w:t>
      </w:r>
    </w:p>
    <w:p w:rsidR="00EA2931" w:rsidRPr="00A95B7C" w:rsidRDefault="00EA2931" w:rsidP="00EA2931">
      <w:pPr>
        <w:suppressLineNumbers/>
        <w:suppressAutoHyphens/>
        <w:kinsoku w:val="0"/>
        <w:overflowPunct w:val="0"/>
        <w:autoSpaceDE w:val="0"/>
        <w:autoSpaceDN w:val="0"/>
        <w:adjustRightInd w:val="0"/>
        <w:snapToGrid w:val="0"/>
        <w:spacing w:before="120" w:after="120"/>
        <w:ind w:firstLine="720"/>
        <w:rPr>
          <w:iCs/>
          <w:snapToGrid w:val="0"/>
          <w:kern w:val="22"/>
          <w:szCs w:val="22"/>
        </w:rPr>
      </w:pPr>
      <w:proofErr w:type="gramStart"/>
      <w:r w:rsidRPr="00A95B7C">
        <w:rPr>
          <w:iCs/>
          <w:snapToGrid w:val="0"/>
          <w:kern w:val="22"/>
          <w:szCs w:val="22"/>
        </w:rPr>
        <w:t>1.</w:t>
      </w:r>
      <w:r w:rsidRPr="00A95B7C">
        <w:rPr>
          <w:i/>
          <w:iCs/>
          <w:snapToGrid w:val="0"/>
          <w:kern w:val="22"/>
          <w:szCs w:val="22"/>
        </w:rPr>
        <w:tab/>
      </w:r>
      <w:r>
        <w:rPr>
          <w:i/>
          <w:iCs/>
          <w:snapToGrid w:val="0"/>
          <w:kern w:val="22"/>
          <w:szCs w:val="22"/>
        </w:rPr>
        <w:t>принимает</w:t>
      </w:r>
      <w:r w:rsidRPr="00A95B7C">
        <w:rPr>
          <w:i/>
          <w:iCs/>
          <w:snapToGrid w:val="0"/>
          <w:kern w:val="22"/>
          <w:szCs w:val="22"/>
        </w:rPr>
        <w:t xml:space="preserve"> </w:t>
      </w:r>
      <w:r>
        <w:rPr>
          <w:i/>
          <w:iCs/>
          <w:snapToGrid w:val="0"/>
          <w:kern w:val="22"/>
          <w:szCs w:val="22"/>
        </w:rPr>
        <w:t>к</w:t>
      </w:r>
      <w:r w:rsidRPr="00A95B7C">
        <w:rPr>
          <w:i/>
          <w:iCs/>
          <w:snapToGrid w:val="0"/>
          <w:kern w:val="22"/>
          <w:szCs w:val="22"/>
        </w:rPr>
        <w:t xml:space="preserve"> </w:t>
      </w:r>
      <w:r>
        <w:rPr>
          <w:i/>
          <w:iCs/>
          <w:snapToGrid w:val="0"/>
          <w:kern w:val="22"/>
          <w:szCs w:val="22"/>
        </w:rPr>
        <w:t>сведению</w:t>
      </w:r>
      <w:r w:rsidRPr="00A95B7C">
        <w:rPr>
          <w:i/>
          <w:iCs/>
          <w:snapToGrid w:val="0"/>
          <w:kern w:val="22"/>
          <w:szCs w:val="22"/>
        </w:rPr>
        <w:t xml:space="preserve"> </w:t>
      </w:r>
      <w:r w:rsidRPr="00A95B7C">
        <w:rPr>
          <w:iCs/>
          <w:snapToGrid w:val="0"/>
          <w:kern w:val="22"/>
          <w:szCs w:val="22"/>
        </w:rPr>
        <w:t>ориентировочный неисчерпывающий перечень элементов методологического руководства по выявлению, мониторингу и оценке вклада коренных народов и местных общин в выполнение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содержащийся в приложении к настоящему решению;</w:t>
      </w:r>
      <w:proofErr w:type="gramEnd"/>
    </w:p>
    <w:p w:rsidR="00EA2931" w:rsidRPr="00A95B7C" w:rsidRDefault="00EA2931" w:rsidP="00EA2931">
      <w:pPr>
        <w:suppressLineNumbers/>
        <w:suppressAutoHyphens/>
        <w:kinsoku w:val="0"/>
        <w:overflowPunct w:val="0"/>
        <w:autoSpaceDE w:val="0"/>
        <w:autoSpaceDN w:val="0"/>
        <w:adjustRightInd w:val="0"/>
        <w:snapToGrid w:val="0"/>
        <w:spacing w:before="120" w:after="120"/>
        <w:ind w:firstLine="720"/>
        <w:rPr>
          <w:iCs/>
          <w:snapToGrid w:val="0"/>
          <w:kern w:val="22"/>
          <w:szCs w:val="22"/>
        </w:rPr>
      </w:pPr>
      <w:proofErr w:type="gramStart"/>
      <w:r w:rsidRPr="00A95B7C">
        <w:rPr>
          <w:iCs/>
          <w:snapToGrid w:val="0"/>
          <w:kern w:val="22"/>
          <w:szCs w:val="22"/>
        </w:rPr>
        <w:t>2</w:t>
      </w:r>
      <w:r w:rsidRPr="00A95B7C">
        <w:rPr>
          <w:i/>
          <w:iCs/>
          <w:snapToGrid w:val="0"/>
          <w:kern w:val="22"/>
          <w:szCs w:val="22"/>
        </w:rPr>
        <w:t>.</w:t>
      </w:r>
      <w:r w:rsidRPr="00A95B7C">
        <w:rPr>
          <w:i/>
          <w:iCs/>
          <w:snapToGrid w:val="0"/>
          <w:kern w:val="22"/>
          <w:szCs w:val="22"/>
        </w:rPr>
        <w:tab/>
      </w:r>
      <w:r>
        <w:rPr>
          <w:i/>
          <w:iCs/>
          <w:snapToGrid w:val="0"/>
          <w:kern w:val="22"/>
          <w:szCs w:val="22"/>
        </w:rPr>
        <w:t>призывает</w:t>
      </w:r>
      <w:r w:rsidRPr="00A95B7C">
        <w:rPr>
          <w:iCs/>
          <w:snapToGrid w:val="0"/>
          <w:kern w:val="22"/>
          <w:szCs w:val="22"/>
        </w:rPr>
        <w:t xml:space="preserve"> Сторон</w:t>
      </w:r>
      <w:r>
        <w:rPr>
          <w:iCs/>
          <w:snapToGrid w:val="0"/>
          <w:kern w:val="22"/>
          <w:szCs w:val="22"/>
        </w:rPr>
        <w:t>ы</w:t>
      </w:r>
      <w:r w:rsidRPr="00A95B7C">
        <w:rPr>
          <w:iCs/>
          <w:snapToGrid w:val="0"/>
          <w:kern w:val="22"/>
          <w:szCs w:val="22"/>
        </w:rPr>
        <w:t>, други</w:t>
      </w:r>
      <w:r>
        <w:rPr>
          <w:iCs/>
          <w:snapToGrid w:val="0"/>
          <w:kern w:val="22"/>
          <w:szCs w:val="22"/>
        </w:rPr>
        <w:t>е правительства</w:t>
      </w:r>
      <w:r w:rsidRPr="00A95B7C">
        <w:rPr>
          <w:iCs/>
          <w:snapToGrid w:val="0"/>
          <w:kern w:val="22"/>
          <w:szCs w:val="22"/>
        </w:rPr>
        <w:t xml:space="preserve"> и соответствующи</w:t>
      </w:r>
      <w:r>
        <w:rPr>
          <w:iCs/>
          <w:snapToGrid w:val="0"/>
          <w:kern w:val="22"/>
          <w:szCs w:val="22"/>
        </w:rPr>
        <w:t>е</w:t>
      </w:r>
      <w:r w:rsidRPr="00A95B7C">
        <w:rPr>
          <w:iCs/>
          <w:snapToGrid w:val="0"/>
          <w:kern w:val="22"/>
          <w:szCs w:val="22"/>
        </w:rPr>
        <w:t xml:space="preserve"> организаци</w:t>
      </w:r>
      <w:r>
        <w:rPr>
          <w:iCs/>
          <w:snapToGrid w:val="0"/>
          <w:kern w:val="22"/>
          <w:szCs w:val="22"/>
        </w:rPr>
        <w:t>и</w:t>
      </w:r>
      <w:r w:rsidRPr="00A95B7C">
        <w:rPr>
          <w:iCs/>
          <w:snapToGrid w:val="0"/>
          <w:kern w:val="22"/>
          <w:szCs w:val="22"/>
        </w:rPr>
        <w:t xml:space="preserve"> субъектов деятельности использовать руководящие принципы оценки вклада коллективных действий коренных народов и местных общин, содержащиеся в приложении к решению XIII/20, для рассмотрения вопроса об использовании ориентировочного неисчерпывающего перечня элементов методологического руководства, содержащегося в приложении к настоящему решению, при разработке и применении методологических подходов к оценке вклада коренных народов и местных общин</w:t>
      </w:r>
      <w:proofErr w:type="gramEnd"/>
      <w:r w:rsidRPr="00A95B7C">
        <w:rPr>
          <w:iCs/>
          <w:snapToGrid w:val="0"/>
          <w:kern w:val="22"/>
          <w:szCs w:val="22"/>
        </w:rPr>
        <w:t xml:space="preserve"> в достижение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а также при представлении отчетности через механизм финансовой отчетности;</w:t>
      </w:r>
    </w:p>
    <w:p w:rsidR="00EA2931" w:rsidRPr="00A95B7C" w:rsidRDefault="00EA2931" w:rsidP="00EA2931">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A95B7C">
        <w:rPr>
          <w:iCs/>
          <w:snapToGrid w:val="0"/>
          <w:kern w:val="22"/>
          <w:szCs w:val="22"/>
        </w:rPr>
        <w:lastRenderedPageBreak/>
        <w:t>3.</w:t>
      </w:r>
      <w:r w:rsidRPr="00A95B7C">
        <w:rPr>
          <w:iCs/>
          <w:snapToGrid w:val="0"/>
          <w:kern w:val="22"/>
          <w:szCs w:val="22"/>
        </w:rPr>
        <w:tab/>
      </w:r>
      <w:r>
        <w:rPr>
          <w:i/>
          <w:iCs/>
          <w:snapToGrid w:val="0"/>
          <w:kern w:val="22"/>
          <w:szCs w:val="22"/>
        </w:rPr>
        <w:t>предлагает</w:t>
      </w:r>
      <w:r w:rsidRPr="00A95B7C">
        <w:rPr>
          <w:i/>
          <w:iCs/>
          <w:snapToGrid w:val="0"/>
          <w:kern w:val="22"/>
          <w:szCs w:val="22"/>
        </w:rPr>
        <w:t xml:space="preserve"> </w:t>
      </w:r>
      <w:r w:rsidRPr="00A95B7C">
        <w:rPr>
          <w:iCs/>
          <w:snapToGrid w:val="0"/>
          <w:kern w:val="22"/>
          <w:szCs w:val="22"/>
        </w:rPr>
        <w:t>Межправительственн</w:t>
      </w:r>
      <w:r>
        <w:rPr>
          <w:iCs/>
          <w:snapToGrid w:val="0"/>
          <w:kern w:val="22"/>
          <w:szCs w:val="22"/>
        </w:rPr>
        <w:t>ой</w:t>
      </w:r>
      <w:r w:rsidRPr="00A95B7C">
        <w:rPr>
          <w:iCs/>
          <w:snapToGrid w:val="0"/>
          <w:kern w:val="22"/>
          <w:szCs w:val="22"/>
        </w:rPr>
        <w:t xml:space="preserve"> научно-политическ</w:t>
      </w:r>
      <w:r>
        <w:rPr>
          <w:iCs/>
          <w:snapToGrid w:val="0"/>
          <w:kern w:val="22"/>
          <w:szCs w:val="22"/>
        </w:rPr>
        <w:t>ой</w:t>
      </w:r>
      <w:r w:rsidRPr="00A95B7C">
        <w:rPr>
          <w:iCs/>
          <w:snapToGrid w:val="0"/>
          <w:kern w:val="22"/>
          <w:szCs w:val="22"/>
        </w:rPr>
        <w:t xml:space="preserve"> платформ</w:t>
      </w:r>
      <w:r>
        <w:rPr>
          <w:iCs/>
          <w:snapToGrid w:val="0"/>
          <w:kern w:val="22"/>
          <w:szCs w:val="22"/>
        </w:rPr>
        <w:t>е</w:t>
      </w:r>
      <w:r w:rsidRPr="00A95B7C">
        <w:rPr>
          <w:iCs/>
          <w:snapToGrid w:val="0"/>
          <w:kern w:val="22"/>
          <w:szCs w:val="22"/>
        </w:rPr>
        <w:t xml:space="preserve"> по биоразнообразию и экосистемным услугам (</w:t>
      </w:r>
      <w:r>
        <w:rPr>
          <w:iCs/>
          <w:snapToGrid w:val="0"/>
          <w:kern w:val="22"/>
          <w:szCs w:val="22"/>
        </w:rPr>
        <w:t>МПБЭУ</w:t>
      </w:r>
      <w:r w:rsidRPr="00A95B7C">
        <w:rPr>
          <w:iCs/>
          <w:snapToGrid w:val="0"/>
          <w:kern w:val="22"/>
          <w:szCs w:val="22"/>
        </w:rPr>
        <w:t xml:space="preserve">) </w:t>
      </w:r>
      <w:r>
        <w:rPr>
          <w:iCs/>
          <w:snapToGrid w:val="0"/>
          <w:kern w:val="22"/>
          <w:szCs w:val="22"/>
        </w:rPr>
        <w:t>принять во внимание перечень элементов методологического руководства, приведенный в приложении к настоящему решению</w:t>
      </w:r>
      <w:r w:rsidRPr="00A95B7C">
        <w:rPr>
          <w:iCs/>
          <w:snapToGrid w:val="0"/>
          <w:kern w:val="22"/>
          <w:szCs w:val="22"/>
        </w:rPr>
        <w:t>.</w:t>
      </w:r>
    </w:p>
    <w:p w:rsidR="00EA2931" w:rsidRPr="00F22567" w:rsidRDefault="00EA2931" w:rsidP="00EA2931">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F22567">
        <w:rPr>
          <w:i/>
          <w:kern w:val="22"/>
          <w:szCs w:val="22"/>
        </w:rPr>
        <w:t>Приложение</w:t>
      </w:r>
    </w:p>
    <w:p w:rsidR="00EA2931" w:rsidRPr="00F22567" w:rsidRDefault="00EA2931" w:rsidP="00EA2931">
      <w:pPr>
        <w:keepNext/>
        <w:suppressLineNumbers/>
        <w:suppressAutoHyphens/>
        <w:kinsoku w:val="0"/>
        <w:overflowPunct w:val="0"/>
        <w:autoSpaceDE w:val="0"/>
        <w:autoSpaceDN w:val="0"/>
        <w:adjustRightInd w:val="0"/>
        <w:snapToGrid w:val="0"/>
        <w:spacing w:before="120" w:after="120"/>
        <w:jc w:val="center"/>
        <w:rPr>
          <w:b/>
          <w:snapToGrid w:val="0"/>
          <w:kern w:val="22"/>
          <w:szCs w:val="22"/>
        </w:rPr>
      </w:pPr>
      <w:r w:rsidRPr="00F22567">
        <w:rPr>
          <w:b/>
          <w:iCs/>
          <w:snapToGrid w:val="0"/>
          <w:kern w:val="22"/>
          <w:szCs w:val="22"/>
        </w:rPr>
        <w:t>ПЕРЕЧЕНЬ ЭЛЕМЕНТОВ МЕТОДОЛОГИЧЕСКОГО РУКОВОДСТВА</w:t>
      </w:r>
    </w:p>
    <w:p w:rsidR="00EA2931" w:rsidRPr="00F22567" w:rsidRDefault="00EA2931" w:rsidP="00EA2931">
      <w:pPr>
        <w:suppressLineNumbers/>
        <w:suppressAutoHyphens/>
        <w:kinsoku w:val="0"/>
        <w:overflowPunct w:val="0"/>
        <w:autoSpaceDE w:val="0"/>
        <w:autoSpaceDN w:val="0"/>
        <w:adjustRightInd w:val="0"/>
        <w:snapToGrid w:val="0"/>
        <w:spacing w:before="120" w:after="120"/>
        <w:ind w:firstLine="720"/>
        <w:rPr>
          <w:iCs/>
          <w:snapToGrid w:val="0"/>
          <w:kern w:val="22"/>
          <w:szCs w:val="22"/>
        </w:rPr>
      </w:pPr>
      <w:proofErr w:type="gramStart"/>
      <w:r w:rsidRPr="00F22567">
        <w:rPr>
          <w:iCs/>
          <w:snapToGrid w:val="0"/>
          <w:kern w:val="22"/>
          <w:szCs w:val="22"/>
        </w:rPr>
        <w:t>В ходе подготовки, разработки и применения методологических подходов по выявлению, мониторингу и оценке вклада коренных народов и местных общин в достижение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рекомендуется использовать руководящие принципы, содержащиеся в решении XIII/20 Конференции Сторон Конвенции о биологическом</w:t>
      </w:r>
      <w:proofErr w:type="gramEnd"/>
      <w:r w:rsidRPr="00F22567">
        <w:rPr>
          <w:iCs/>
          <w:snapToGrid w:val="0"/>
          <w:kern w:val="22"/>
          <w:szCs w:val="22"/>
        </w:rPr>
        <w:t xml:space="preserve"> </w:t>
      </w:r>
      <w:proofErr w:type="gramStart"/>
      <w:r w:rsidRPr="00F22567">
        <w:rPr>
          <w:iCs/>
          <w:snapToGrid w:val="0"/>
          <w:kern w:val="22"/>
          <w:szCs w:val="22"/>
        </w:rPr>
        <w:t>разнообразии</w:t>
      </w:r>
      <w:proofErr w:type="gramEnd"/>
      <w:r w:rsidRPr="00F22567">
        <w:rPr>
          <w:iCs/>
          <w:snapToGrid w:val="0"/>
          <w:kern w:val="22"/>
          <w:szCs w:val="22"/>
        </w:rPr>
        <w:t>, в зависимости от национальных обстоятельств, и предлагается учитывать следующий ориентировочный неисчерпывающий перечень методологических элементов:</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a</w:t>
      </w:r>
      <w:proofErr w:type="spellEnd"/>
      <w:r w:rsidRPr="00F22567">
        <w:rPr>
          <w:kern w:val="22"/>
          <w:szCs w:val="22"/>
        </w:rPr>
        <w:t>)</w:t>
      </w:r>
      <w:r w:rsidRPr="00F22567">
        <w:rPr>
          <w:kern w:val="22"/>
          <w:szCs w:val="22"/>
        </w:rPr>
        <w:tab/>
        <w:t>признание и полноценный учет традиционных знаний при обеспечении взаимодополняемости систем знаний, создание условий для эффективного диалога между системами знаний, включая науку и процессы, способствующие совместному созданию знаний с начального этапа;</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b</w:t>
      </w:r>
      <w:proofErr w:type="spellEnd"/>
      <w:r w:rsidRPr="00F22567">
        <w:rPr>
          <w:kern w:val="22"/>
          <w:szCs w:val="22"/>
        </w:rPr>
        <w:t>)</w:t>
      </w:r>
      <w:r w:rsidRPr="00F22567">
        <w:rPr>
          <w:kern w:val="22"/>
          <w:szCs w:val="22"/>
        </w:rPr>
        <w:tab/>
        <w:t>включение широкого спектра методологических подходов в соответствии со спецификой контекстов, с учетом разнообразия национальных условий и культурного разнообразия коренных народов и местных общин и адаптация к местным обстоятельствам;</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c</w:t>
      </w:r>
      <w:proofErr w:type="spellEnd"/>
      <w:r w:rsidRPr="00F22567">
        <w:rPr>
          <w:kern w:val="22"/>
          <w:szCs w:val="22"/>
        </w:rPr>
        <w:t>)</w:t>
      </w:r>
      <w:r w:rsidRPr="00F22567">
        <w:rPr>
          <w:kern w:val="22"/>
          <w:szCs w:val="22"/>
        </w:rPr>
        <w:tab/>
        <w:t>признание многочисленности концепций и мировоззрений касательно ценности, включая социальные, экономические, культурные и духовные ценности, связанные с сохранением и устойчивым использованием биоразнообразия, и их отражение при выборе методологических подходов и инструментов;</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d</w:t>
      </w:r>
      <w:proofErr w:type="spellEnd"/>
      <w:r w:rsidRPr="00F22567">
        <w:rPr>
          <w:kern w:val="22"/>
          <w:szCs w:val="22"/>
        </w:rPr>
        <w:t>)</w:t>
      </w:r>
      <w:r w:rsidRPr="00F22567">
        <w:rPr>
          <w:kern w:val="22"/>
          <w:szCs w:val="22"/>
        </w:rPr>
        <w:tab/>
        <w:t>использование различных взаимодополняющих методологий, поскольку они позволяют получать разные виды данных, в частности, сочетание количественных и качественных данных и информации;</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e</w:t>
      </w:r>
      <w:proofErr w:type="spellEnd"/>
      <w:r w:rsidRPr="00F22567">
        <w:rPr>
          <w:kern w:val="22"/>
          <w:szCs w:val="22"/>
        </w:rPr>
        <w:t>)</w:t>
      </w:r>
      <w:r w:rsidRPr="00F22567">
        <w:rPr>
          <w:kern w:val="22"/>
          <w:szCs w:val="22"/>
        </w:rPr>
        <w:tab/>
        <w:t>применение многоуровневых подходов, процессов и инструментов для учета и оценки ситуации на местном уровне при одновременном учете взаимосвязей на уровне ландшафта, а также с национальными и субнациональными рамками политики;</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f</w:t>
      </w:r>
      <w:proofErr w:type="spellEnd"/>
      <w:r w:rsidRPr="00F22567">
        <w:rPr>
          <w:kern w:val="22"/>
          <w:szCs w:val="22"/>
        </w:rPr>
        <w:t>)</w:t>
      </w:r>
      <w:r w:rsidRPr="00F22567">
        <w:rPr>
          <w:kern w:val="22"/>
          <w:szCs w:val="22"/>
        </w:rPr>
        <w:tab/>
        <w:t>тестирование и совершенствование методологических подходов с помощью экспериментальных проектов по мере необходимости с учетом того, что речь идет о новой области и что они должны разрабатываться на основе полученного опыта и с учетом разнообразия контекстов;</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g</w:t>
      </w:r>
      <w:proofErr w:type="spellEnd"/>
      <w:r w:rsidRPr="00F22567">
        <w:rPr>
          <w:kern w:val="22"/>
          <w:szCs w:val="22"/>
        </w:rPr>
        <w:t>)</w:t>
      </w:r>
      <w:r w:rsidRPr="00F22567">
        <w:rPr>
          <w:kern w:val="22"/>
          <w:szCs w:val="22"/>
        </w:rPr>
        <w:tab/>
        <w:t>обеспечение всестороннего и эффективного участия коренных народов и местных общин в процессе разработки и применения подходов с уделением особого внимания участию женщин, молодежи, пожилых людей и всех других групп, входящих в состав общин;</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h</w:t>
      </w:r>
      <w:proofErr w:type="spellEnd"/>
      <w:r w:rsidRPr="00F22567">
        <w:rPr>
          <w:kern w:val="22"/>
          <w:szCs w:val="22"/>
        </w:rPr>
        <w:t>)</w:t>
      </w:r>
      <w:r w:rsidRPr="00F22567">
        <w:rPr>
          <w:kern w:val="22"/>
          <w:szCs w:val="22"/>
        </w:rPr>
        <w:tab/>
        <w:t>поощрение взаимодействия между поколениями в процессах оценки путем вовлечения молодежи, пожилых людей и других групп населения в целях стимулирования обучения и содействия защите и поощрению передачи традиционных знаний, нововведений и практики от поколения к поколению;</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i</w:t>
      </w:r>
      <w:proofErr w:type="spellEnd"/>
      <w:r w:rsidRPr="00F22567">
        <w:rPr>
          <w:kern w:val="22"/>
          <w:szCs w:val="22"/>
        </w:rPr>
        <w:t>)</w:t>
      </w:r>
      <w:r w:rsidRPr="00F22567">
        <w:rPr>
          <w:kern w:val="22"/>
          <w:szCs w:val="22"/>
        </w:rPr>
        <w:tab/>
        <w:t xml:space="preserve">включение в оценку анализа </w:t>
      </w:r>
      <w:proofErr w:type="spellStart"/>
      <w:r w:rsidRPr="00F22567">
        <w:rPr>
          <w:kern w:val="22"/>
          <w:szCs w:val="22"/>
        </w:rPr>
        <w:t>гендерно-дифференцированных</w:t>
      </w:r>
      <w:proofErr w:type="spellEnd"/>
      <w:r w:rsidRPr="00F22567">
        <w:rPr>
          <w:kern w:val="22"/>
          <w:szCs w:val="22"/>
        </w:rPr>
        <w:t xml:space="preserve"> ролей, а также изучение возможностей и условий для обеспечения гендерного равенства;</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j</w:t>
      </w:r>
      <w:proofErr w:type="spellEnd"/>
      <w:r w:rsidRPr="00F22567">
        <w:rPr>
          <w:kern w:val="22"/>
          <w:szCs w:val="22"/>
        </w:rPr>
        <w:t>)</w:t>
      </w:r>
      <w:r w:rsidRPr="00F22567">
        <w:rPr>
          <w:kern w:val="22"/>
          <w:szCs w:val="22"/>
        </w:rPr>
        <w:tab/>
        <w:t xml:space="preserve">признание того, что коллективные действия связаны с устойчивым использованием на основе обычая и что их результативность может быть повышена, включая охват таких вопросов, </w:t>
      </w:r>
      <w:r w:rsidRPr="00F22567">
        <w:rPr>
          <w:kern w:val="22"/>
          <w:szCs w:val="22"/>
        </w:rPr>
        <w:lastRenderedPageBreak/>
        <w:t>как средства к существованию и продовольственная обеспеченность, а также психологическое и физическое благополучие;</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k</w:t>
      </w:r>
      <w:proofErr w:type="spellEnd"/>
      <w:r w:rsidRPr="00F22567">
        <w:rPr>
          <w:kern w:val="22"/>
          <w:szCs w:val="22"/>
        </w:rPr>
        <w:t>)</w:t>
      </w:r>
      <w:r w:rsidRPr="00F22567">
        <w:rPr>
          <w:kern w:val="22"/>
          <w:szCs w:val="22"/>
        </w:rPr>
        <w:tab/>
        <w:t>стремление содействовать признанию прав, в частности прав владения землей</w:t>
      </w:r>
      <w:r w:rsidRPr="00F22567">
        <w:rPr>
          <w:kern w:val="22"/>
          <w:szCs w:val="22"/>
          <w:vertAlign w:val="superscript"/>
        </w:rPr>
        <w:t xml:space="preserve"> </w:t>
      </w:r>
      <w:r w:rsidRPr="00F22567">
        <w:rPr>
          <w:rStyle w:val="Appelnotedebasdep"/>
          <w:rFonts w:eastAsiaTheme="majorEastAsia"/>
          <w:kern w:val="22"/>
          <w:szCs w:val="22"/>
        </w:rPr>
        <w:footnoteReference w:id="3"/>
      </w:r>
      <w:r w:rsidRPr="00F22567">
        <w:rPr>
          <w:kern w:val="22"/>
          <w:szCs w:val="22"/>
        </w:rPr>
        <w:t xml:space="preserve"> и доступа к традиционным ресурсам</w:t>
      </w:r>
      <w:r w:rsidRPr="00F22567">
        <w:rPr>
          <w:kern w:val="22"/>
          <w:szCs w:val="22"/>
          <w:vertAlign w:val="superscript"/>
        </w:rPr>
        <w:t xml:space="preserve"> </w:t>
      </w:r>
      <w:r w:rsidRPr="00F22567">
        <w:rPr>
          <w:rStyle w:val="Appelnotedebasdep"/>
          <w:rFonts w:eastAsiaTheme="majorEastAsia"/>
          <w:kern w:val="22"/>
          <w:szCs w:val="22"/>
        </w:rPr>
        <w:footnoteReference w:id="4"/>
      </w:r>
      <w:r w:rsidRPr="00F22567">
        <w:rPr>
          <w:kern w:val="22"/>
          <w:szCs w:val="22"/>
        </w:rPr>
        <w:t xml:space="preserve"> и их влияния на эффективность коллективных действий, в том числе путем расширения прав и возможностей общин в целях повышения безопасности владения и доступа;</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l</w:t>
      </w:r>
      <w:proofErr w:type="spellEnd"/>
      <w:r w:rsidRPr="00F22567">
        <w:rPr>
          <w:kern w:val="22"/>
          <w:szCs w:val="22"/>
        </w:rPr>
        <w:t>)</w:t>
      </w:r>
      <w:r w:rsidRPr="00F22567">
        <w:rPr>
          <w:kern w:val="22"/>
          <w:szCs w:val="22"/>
        </w:rPr>
        <w:tab/>
        <w:t>включение других соответствующих элементов оценки управления, в частности роль, особенности и жизнеспособность систем управления на основе обычая;</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m</w:t>
      </w:r>
      <w:proofErr w:type="spellEnd"/>
      <w:r w:rsidRPr="00F22567">
        <w:rPr>
          <w:kern w:val="22"/>
          <w:szCs w:val="22"/>
        </w:rPr>
        <w:t>)</w:t>
      </w:r>
      <w:r w:rsidRPr="00F22567">
        <w:rPr>
          <w:kern w:val="22"/>
          <w:szCs w:val="22"/>
        </w:rPr>
        <w:tab/>
        <w:t>включение в оценку выявления фактических или потенциальных конфликтов, затрагивающих коллективные действия, использование процессов оценки для укрепления диалога между группами, которые могут иметь конкурирующие интересы, и изучение дальнейших возможностей для разрешения конфликтов на основе диалога и сотрудничества, в том числе с помощью механизмов урегулирования конфликтов, соответствующих культурным условиям;</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n</w:t>
      </w:r>
      <w:proofErr w:type="spellEnd"/>
      <w:r w:rsidRPr="00F22567">
        <w:rPr>
          <w:kern w:val="22"/>
          <w:szCs w:val="22"/>
        </w:rPr>
        <w:t>)</w:t>
      </w:r>
      <w:r w:rsidRPr="00F22567">
        <w:rPr>
          <w:kern w:val="22"/>
          <w:szCs w:val="22"/>
        </w:rPr>
        <w:tab/>
        <w:t>учет оценок</w:t>
      </w:r>
      <w:r w:rsidR="007C7740">
        <w:rPr>
          <w:kern w:val="22"/>
          <w:szCs w:val="22"/>
          <w:lang w:val="fr-FR"/>
        </w:rPr>
        <w:t xml:space="preserve"> </w:t>
      </w:r>
      <w:r w:rsidR="007C7740">
        <w:rPr>
          <w:kern w:val="22"/>
          <w:szCs w:val="22"/>
        </w:rPr>
        <w:t>на порайонной основе, со</w:t>
      </w:r>
      <w:r w:rsidRPr="00F22567">
        <w:rPr>
          <w:kern w:val="22"/>
          <w:szCs w:val="22"/>
        </w:rPr>
        <w:t>средоточенных на принадлежащих коренным народам и местным общинам землях и ресурсах, занимаемых или используемых ими, а также на конкретных компонентах биоразнообразия, таких как виды, встречающиеся в различных местах обитания, на которые распространяются коллективные действия;</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o</w:t>
      </w:r>
      <w:proofErr w:type="spellEnd"/>
      <w:r w:rsidRPr="00F22567">
        <w:rPr>
          <w:kern w:val="22"/>
          <w:szCs w:val="22"/>
        </w:rPr>
        <w:t>)</w:t>
      </w:r>
      <w:r w:rsidRPr="00F22567">
        <w:rPr>
          <w:kern w:val="22"/>
          <w:szCs w:val="22"/>
        </w:rPr>
        <w:tab/>
        <w:t>рассмотрение вопроса ис</w:t>
      </w:r>
      <w:r w:rsidR="009401BD">
        <w:rPr>
          <w:kern w:val="22"/>
          <w:szCs w:val="22"/>
        </w:rPr>
        <w:t>пользования</w:t>
      </w:r>
      <w:r w:rsidRPr="00F22567">
        <w:rPr>
          <w:kern w:val="22"/>
          <w:szCs w:val="22"/>
        </w:rPr>
        <w:t xml:space="preserve"> различных форм геопространственного анализа для проведения оценок </w:t>
      </w:r>
      <w:r w:rsidR="007C7740" w:rsidRPr="007C7740">
        <w:rPr>
          <w:kern w:val="22"/>
          <w:szCs w:val="22"/>
        </w:rPr>
        <w:t>на порайонной основе</w:t>
      </w:r>
      <w:r w:rsidR="007C7740">
        <w:rPr>
          <w:kern w:val="22"/>
          <w:szCs w:val="22"/>
        </w:rPr>
        <w:t xml:space="preserve"> </w:t>
      </w:r>
      <w:r w:rsidR="009401BD">
        <w:rPr>
          <w:kern w:val="22"/>
          <w:szCs w:val="22"/>
        </w:rPr>
        <w:t xml:space="preserve">с </w:t>
      </w:r>
      <w:r w:rsidR="009401BD" w:rsidRPr="00F22567">
        <w:rPr>
          <w:kern w:val="22"/>
          <w:szCs w:val="22"/>
        </w:rPr>
        <w:t>учет</w:t>
      </w:r>
      <w:r w:rsidR="009401BD">
        <w:rPr>
          <w:kern w:val="22"/>
          <w:szCs w:val="22"/>
        </w:rPr>
        <w:t>ом</w:t>
      </w:r>
      <w:r w:rsidR="009401BD" w:rsidRPr="00F22567">
        <w:rPr>
          <w:kern w:val="22"/>
          <w:szCs w:val="22"/>
        </w:rPr>
        <w:t xml:space="preserve"> национальн</w:t>
      </w:r>
      <w:r w:rsidR="009401BD">
        <w:rPr>
          <w:kern w:val="22"/>
          <w:szCs w:val="22"/>
        </w:rPr>
        <w:t>ого</w:t>
      </w:r>
      <w:r w:rsidR="009401BD" w:rsidRPr="00F22567">
        <w:rPr>
          <w:kern w:val="22"/>
          <w:szCs w:val="22"/>
        </w:rPr>
        <w:t xml:space="preserve"> техническ</w:t>
      </w:r>
      <w:r w:rsidR="009401BD">
        <w:rPr>
          <w:kern w:val="22"/>
          <w:szCs w:val="22"/>
        </w:rPr>
        <w:t>ого потенциала и потенциала в области</w:t>
      </w:r>
      <w:r w:rsidR="009401BD" w:rsidRPr="00F22567">
        <w:rPr>
          <w:kern w:val="22"/>
          <w:szCs w:val="22"/>
        </w:rPr>
        <w:t xml:space="preserve"> устойчивости </w:t>
      </w:r>
      <w:r w:rsidRPr="00F22567">
        <w:rPr>
          <w:kern w:val="22"/>
          <w:szCs w:val="22"/>
        </w:rPr>
        <w:t xml:space="preserve">таким образом, чтобы комбинировать технологические инструменты с традиционными знаниями и стремиться сделать их доступными для общин </w:t>
      </w:r>
      <w:r w:rsidR="009401BD">
        <w:rPr>
          <w:kern w:val="22"/>
          <w:szCs w:val="22"/>
        </w:rPr>
        <w:t xml:space="preserve">при </w:t>
      </w:r>
      <w:r w:rsidRPr="00F22567">
        <w:rPr>
          <w:kern w:val="22"/>
          <w:szCs w:val="22"/>
        </w:rPr>
        <w:t>их непосредственно</w:t>
      </w:r>
      <w:r w:rsidR="009401BD">
        <w:rPr>
          <w:kern w:val="22"/>
          <w:szCs w:val="22"/>
        </w:rPr>
        <w:t>м</w:t>
      </w:r>
      <w:r w:rsidRPr="00F22567">
        <w:rPr>
          <w:kern w:val="22"/>
          <w:szCs w:val="22"/>
        </w:rPr>
        <w:t xml:space="preserve"> участи</w:t>
      </w:r>
      <w:r w:rsidR="009401BD">
        <w:rPr>
          <w:kern w:val="22"/>
          <w:szCs w:val="22"/>
        </w:rPr>
        <w:t>и</w:t>
      </w:r>
      <w:r w:rsidRPr="00F22567">
        <w:rPr>
          <w:kern w:val="22"/>
          <w:szCs w:val="22"/>
        </w:rPr>
        <w:t>;</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proofErr w:type="gramStart"/>
      <w:r w:rsidRPr="00F22567">
        <w:rPr>
          <w:kern w:val="22"/>
          <w:szCs w:val="22"/>
        </w:rPr>
        <w:t>p</w:t>
      </w:r>
      <w:proofErr w:type="spellEnd"/>
      <w:r w:rsidRPr="00F22567">
        <w:rPr>
          <w:kern w:val="22"/>
          <w:szCs w:val="22"/>
        </w:rPr>
        <w:t>)</w:t>
      </w:r>
      <w:r w:rsidRPr="00F22567">
        <w:rPr>
          <w:kern w:val="22"/>
          <w:szCs w:val="22"/>
        </w:rPr>
        <w:tab/>
        <w:t xml:space="preserve">содействие разработке комплекса надежных показателей и систем </w:t>
      </w:r>
      <w:r w:rsidR="00431B23">
        <w:rPr>
          <w:kern w:val="22"/>
          <w:szCs w:val="22"/>
        </w:rPr>
        <w:t xml:space="preserve">измерения </w:t>
      </w:r>
      <w:r w:rsidRPr="00F22567">
        <w:rPr>
          <w:kern w:val="22"/>
          <w:szCs w:val="22"/>
        </w:rPr>
        <w:t xml:space="preserve">для оценки коллективных действий, сочетая индикаторы разных типов </w:t>
      </w:r>
      <w:r w:rsidR="00431B23">
        <w:rPr>
          <w:kern w:val="22"/>
          <w:szCs w:val="22"/>
        </w:rPr>
        <w:t>(</w:t>
      </w:r>
      <w:r w:rsidRPr="00F22567">
        <w:rPr>
          <w:kern w:val="22"/>
          <w:szCs w:val="22"/>
        </w:rPr>
        <w:t>количественные</w:t>
      </w:r>
      <w:r w:rsidR="00431B23">
        <w:rPr>
          <w:kern w:val="22"/>
          <w:szCs w:val="22"/>
        </w:rPr>
        <w:t xml:space="preserve"> </w:t>
      </w:r>
      <w:r w:rsidRPr="00F22567">
        <w:rPr>
          <w:kern w:val="22"/>
          <w:szCs w:val="22"/>
        </w:rPr>
        <w:t>и качественные, текущие и конечные, отдельные и агрегированные и т. д.</w:t>
      </w:r>
      <w:r w:rsidR="00431B23">
        <w:rPr>
          <w:kern w:val="22"/>
          <w:szCs w:val="22"/>
        </w:rPr>
        <w:t>)</w:t>
      </w:r>
      <w:r w:rsidRPr="00F22567">
        <w:rPr>
          <w:kern w:val="22"/>
          <w:szCs w:val="22"/>
        </w:rPr>
        <w:t xml:space="preserve"> и интеграция культурно-ориентированных показателей, отражающих системы ценностей общин и особенности контекстов, отмечая также, что использование последовательных индикаторов с течением времени позволяет осуществлять сопоставление во временных масштабах и что установление базовых параметров</w:t>
      </w:r>
      <w:proofErr w:type="gramEnd"/>
      <w:r w:rsidRPr="00F22567">
        <w:rPr>
          <w:kern w:val="22"/>
          <w:szCs w:val="22"/>
        </w:rPr>
        <w:t xml:space="preserve"> дает возможность лучше оценивать изменения или тенденции;</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q</w:t>
      </w:r>
      <w:proofErr w:type="spellEnd"/>
      <w:r w:rsidRPr="00F22567">
        <w:rPr>
          <w:kern w:val="22"/>
          <w:szCs w:val="22"/>
        </w:rPr>
        <w:t>)</w:t>
      </w:r>
      <w:r w:rsidRPr="00F22567">
        <w:rPr>
          <w:kern w:val="22"/>
          <w:szCs w:val="22"/>
        </w:rPr>
        <w:tab/>
        <w:t>интеграция подходов для анализа положения дел и тенденций изменений в оценки, а также понимания факторов и условий для достижения успешных результатов;</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r</w:t>
      </w:r>
      <w:proofErr w:type="spellEnd"/>
      <w:r w:rsidRPr="00F22567">
        <w:rPr>
          <w:kern w:val="22"/>
          <w:szCs w:val="22"/>
        </w:rPr>
        <w:t>)</w:t>
      </w:r>
      <w:r w:rsidRPr="00F22567">
        <w:rPr>
          <w:kern w:val="22"/>
          <w:szCs w:val="22"/>
        </w:rPr>
        <w:tab/>
        <w:t>поощрение, по мере необходимости, деятельности в области целесообразных и применимых в определенных контекстах методологий определения ценности, принимая во внимание весь спектр ценностей биоразнообразия для общин и их коллективных действий, и использование результатов оценки для обеспечения большего уважения, признания и поддержки коллективных действий;</w:t>
      </w:r>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s</w:t>
      </w:r>
      <w:proofErr w:type="spellEnd"/>
      <w:r w:rsidRPr="00F22567">
        <w:rPr>
          <w:kern w:val="22"/>
          <w:szCs w:val="22"/>
        </w:rPr>
        <w:t>)</w:t>
      </w:r>
      <w:r w:rsidRPr="00F22567">
        <w:rPr>
          <w:kern w:val="22"/>
          <w:szCs w:val="22"/>
        </w:rPr>
        <w:tab/>
        <w:t>рассмотрение возможности включения в оценку анализа сильных сторон и угроз в конкретных контекстах с целью улучшения понимания факторов и условий, требующих укрепления или дополнительной поддержки;</w:t>
      </w:r>
    </w:p>
    <w:p w:rsidR="00EA2931" w:rsidRPr="00304EFF"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lastRenderedPageBreak/>
        <w:t>t</w:t>
      </w:r>
      <w:proofErr w:type="spellEnd"/>
      <w:r w:rsidRPr="00F22567">
        <w:rPr>
          <w:kern w:val="22"/>
          <w:szCs w:val="22"/>
        </w:rPr>
        <w:t>)</w:t>
      </w:r>
      <w:r w:rsidRPr="00F22567">
        <w:rPr>
          <w:kern w:val="22"/>
          <w:szCs w:val="22"/>
        </w:rPr>
        <w:tab/>
        <w:t xml:space="preserve">поощрение сотрудничества, обмена, взаимного обучения, взаимодействия между различными подходами и обеспечение более тесного взаимодействия и одновременного достижения </w:t>
      </w:r>
      <w:proofErr w:type="spellStart"/>
      <w:r w:rsidRPr="00F22567">
        <w:rPr>
          <w:kern w:val="22"/>
          <w:szCs w:val="22"/>
        </w:rPr>
        <w:t>результатов</w:t>
      </w:r>
      <w:proofErr w:type="gramStart"/>
      <w:r w:rsidRPr="00F22567">
        <w:rPr>
          <w:kern w:val="22"/>
          <w:szCs w:val="22"/>
        </w:rPr>
        <w:t>L</w:t>
      </w:r>
      <w:proofErr w:type="spellEnd"/>
      <w:proofErr w:type="gramEnd"/>
    </w:p>
    <w:p w:rsidR="00EA2931" w:rsidRPr="00F22567" w:rsidRDefault="00EA2931" w:rsidP="00EA2931">
      <w:pPr>
        <w:pStyle w:val="Para1"/>
        <w:suppressLineNumbers/>
        <w:suppressAutoHyphens/>
        <w:kinsoku w:val="0"/>
        <w:overflowPunct w:val="0"/>
        <w:autoSpaceDE w:val="0"/>
        <w:autoSpaceDN w:val="0"/>
        <w:adjustRightInd w:val="0"/>
        <w:snapToGrid w:val="0"/>
        <w:spacing w:before="0"/>
        <w:ind w:firstLine="720"/>
        <w:rPr>
          <w:kern w:val="22"/>
          <w:szCs w:val="22"/>
        </w:rPr>
      </w:pPr>
      <w:proofErr w:type="spellStart"/>
      <w:r w:rsidRPr="00F22567">
        <w:rPr>
          <w:kern w:val="22"/>
          <w:szCs w:val="22"/>
        </w:rPr>
        <w:t>u</w:t>
      </w:r>
      <w:proofErr w:type="spellEnd"/>
      <w:r w:rsidRPr="00304EFF">
        <w:rPr>
          <w:kern w:val="22"/>
          <w:szCs w:val="22"/>
        </w:rPr>
        <w:t>)</w:t>
      </w:r>
      <w:r w:rsidRPr="00304EFF">
        <w:rPr>
          <w:kern w:val="22"/>
          <w:szCs w:val="22"/>
        </w:rPr>
        <w:tab/>
      </w:r>
      <w:r w:rsidRPr="00F22567">
        <w:rPr>
          <w:kern w:val="22"/>
          <w:szCs w:val="22"/>
        </w:rPr>
        <w:t>содействие, в зависимости от обстоятельств, созданию потенциала и передаче технологи</w:t>
      </w:r>
      <w:r>
        <w:rPr>
          <w:kern w:val="22"/>
          <w:szCs w:val="22"/>
        </w:rPr>
        <w:t>й</w:t>
      </w:r>
      <w:r w:rsidRPr="00F22567">
        <w:rPr>
          <w:kern w:val="22"/>
          <w:szCs w:val="22"/>
        </w:rPr>
        <w:t xml:space="preserve"> для обеспечения того, чтобы новая информация, включая науку и технологи</w:t>
      </w:r>
      <w:r>
        <w:rPr>
          <w:kern w:val="22"/>
          <w:szCs w:val="22"/>
        </w:rPr>
        <w:t>и</w:t>
      </w:r>
      <w:r w:rsidRPr="00F22567">
        <w:rPr>
          <w:kern w:val="22"/>
          <w:szCs w:val="22"/>
        </w:rPr>
        <w:t>, способствовали расширению прав и возможностей, устойчивости и самодостаточности коренных народов и местных общин.</w:t>
      </w:r>
      <w:r>
        <w:rPr>
          <w:kern w:val="22"/>
          <w:szCs w:val="22"/>
        </w:rPr>
        <w:t xml:space="preserve"> </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F19" w:rsidRDefault="00673F19" w:rsidP="00CF1848">
      <w:r>
        <w:separator/>
      </w:r>
    </w:p>
  </w:endnote>
  <w:endnote w:type="continuationSeparator" w:id="0">
    <w:p w:rsidR="00673F19" w:rsidRDefault="00673F19" w:rsidP="00CF1848">
      <w:r>
        <w:continuationSeparator/>
      </w:r>
    </w:p>
  </w:endnote>
  <w:endnote w:type="continuationNotice" w:id="1">
    <w:p w:rsidR="00673F19" w:rsidRDefault="00673F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F19" w:rsidRDefault="00673F19" w:rsidP="00CF1848">
      <w:r>
        <w:separator/>
      </w:r>
    </w:p>
  </w:footnote>
  <w:footnote w:type="continuationSeparator" w:id="0">
    <w:p w:rsidR="00673F19" w:rsidRDefault="00673F19" w:rsidP="00CF1848">
      <w:r>
        <w:continuationSeparator/>
      </w:r>
    </w:p>
  </w:footnote>
  <w:footnote w:type="continuationNotice" w:id="1">
    <w:p w:rsidR="00673F19" w:rsidRDefault="00673F19"/>
  </w:footnote>
  <w:footnote w:id="2">
    <w:p w:rsidR="00EA2931" w:rsidRPr="00FA4BAA" w:rsidRDefault="00EA2931" w:rsidP="00EA2931">
      <w:pPr>
        <w:pStyle w:val="Notedebasdepage"/>
        <w:kinsoku w:val="0"/>
        <w:overflowPunct w:val="0"/>
        <w:autoSpaceDE w:val="0"/>
        <w:autoSpaceDN w:val="0"/>
        <w:ind w:firstLine="0"/>
        <w:jc w:val="left"/>
        <w:rPr>
          <w:snapToGrid w:val="0"/>
          <w:kern w:val="18"/>
          <w:szCs w:val="18"/>
        </w:rPr>
      </w:pPr>
      <w:r w:rsidRPr="00325CB1">
        <w:rPr>
          <w:rStyle w:val="Appelnotedebasdep"/>
          <w:snapToGrid w:val="0"/>
          <w:kern w:val="18"/>
          <w:szCs w:val="18"/>
        </w:rPr>
        <w:footnoteRef/>
      </w:r>
      <w:r w:rsidRPr="00FA4BAA">
        <w:rPr>
          <w:snapToGrid w:val="0"/>
          <w:kern w:val="18"/>
          <w:szCs w:val="18"/>
        </w:rPr>
        <w:t xml:space="preserve"> </w:t>
      </w:r>
      <w:r w:rsidRPr="00393C9C">
        <w:rPr>
          <w:snapToGrid w:val="0"/>
          <w:kern w:val="18"/>
          <w:szCs w:val="18"/>
        </w:rPr>
        <w:t xml:space="preserve">Приложение к решению </w:t>
      </w:r>
      <w:r w:rsidRPr="00393C9C">
        <w:rPr>
          <w:snapToGrid w:val="0"/>
          <w:kern w:val="18"/>
          <w:szCs w:val="18"/>
          <w:lang w:val="en-CA"/>
        </w:rPr>
        <w:t>X</w:t>
      </w:r>
      <w:r w:rsidRPr="00393C9C">
        <w:rPr>
          <w:snapToGrid w:val="0"/>
          <w:kern w:val="18"/>
          <w:szCs w:val="18"/>
        </w:rPr>
        <w:t>/2</w:t>
      </w:r>
      <w:r w:rsidRPr="00FA4BAA">
        <w:rPr>
          <w:snapToGrid w:val="0"/>
          <w:kern w:val="18"/>
          <w:szCs w:val="18"/>
        </w:rPr>
        <w:t>.</w:t>
      </w:r>
    </w:p>
  </w:footnote>
  <w:footnote w:id="3">
    <w:p w:rsidR="00EA2931" w:rsidRPr="00714BF8" w:rsidRDefault="00EA2931" w:rsidP="00EA2931">
      <w:pPr>
        <w:pStyle w:val="NormalWeb"/>
        <w:keepLines/>
        <w:kinsoku w:val="0"/>
        <w:overflowPunct w:val="0"/>
        <w:autoSpaceDE w:val="0"/>
        <w:autoSpaceDN w:val="0"/>
        <w:adjustRightInd w:val="0"/>
        <w:snapToGrid w:val="0"/>
        <w:spacing w:after="60"/>
        <w:textAlignment w:val="baseline"/>
        <w:rPr>
          <w:snapToGrid w:val="0"/>
          <w:kern w:val="18"/>
          <w:sz w:val="18"/>
          <w:szCs w:val="18"/>
        </w:rPr>
      </w:pPr>
      <w:r w:rsidRPr="003E0A8F">
        <w:rPr>
          <w:rStyle w:val="Appelnotedebasdep"/>
          <w:snapToGrid w:val="0"/>
          <w:kern w:val="18"/>
          <w:lang w:val="en-GB"/>
        </w:rPr>
        <w:footnoteRef/>
      </w:r>
      <w:r w:rsidRPr="00FA4BAA">
        <w:rPr>
          <w:snapToGrid w:val="0"/>
          <w:kern w:val="18"/>
        </w:rPr>
        <w:t xml:space="preserve"> </w:t>
      </w:r>
      <w:r w:rsidRPr="00714BF8">
        <w:rPr>
          <w:snapToGrid w:val="0"/>
          <w:kern w:val="18"/>
          <w:sz w:val="18"/>
          <w:szCs w:val="18"/>
        </w:rPr>
        <w:t xml:space="preserve">В решении X/43 Конференция Сторон приняла </w:t>
      </w:r>
      <w:r w:rsidR="006607D2" w:rsidRPr="00714BF8">
        <w:rPr>
          <w:snapToGrid w:val="0"/>
          <w:kern w:val="18"/>
          <w:sz w:val="18"/>
          <w:szCs w:val="18"/>
        </w:rPr>
        <w:t>в качестве одного из четырех глобальных индикаторов традиционных знаний в рамках Конвенции о биологическом разнообразии</w:t>
      </w:r>
      <w:r w:rsidR="006607D2">
        <w:rPr>
          <w:snapToGrid w:val="0"/>
          <w:kern w:val="18"/>
          <w:sz w:val="18"/>
          <w:szCs w:val="18"/>
        </w:rPr>
        <w:t xml:space="preserve"> </w:t>
      </w:r>
      <w:r w:rsidRPr="00714BF8">
        <w:rPr>
          <w:snapToGrid w:val="0"/>
          <w:kern w:val="18"/>
          <w:sz w:val="18"/>
          <w:szCs w:val="18"/>
        </w:rPr>
        <w:t>«</w:t>
      </w:r>
      <w:r w:rsidR="00F01098">
        <w:rPr>
          <w:snapToGrid w:val="0"/>
          <w:kern w:val="18"/>
          <w:sz w:val="18"/>
          <w:szCs w:val="18"/>
        </w:rPr>
        <w:t xml:space="preserve">положение дел и </w:t>
      </w:r>
      <w:r w:rsidRPr="00714BF8">
        <w:rPr>
          <w:snapToGrid w:val="0"/>
          <w:kern w:val="18"/>
          <w:sz w:val="18"/>
          <w:szCs w:val="18"/>
        </w:rPr>
        <w:t>тенденции касательно изменения характера землепользования и землевладения на традиционных территориях коренных и местных общин». «Землевладение» на традиционных территориях коренных народов и местных общин может включать в себя земли и водоемы.</w:t>
      </w:r>
    </w:p>
  </w:footnote>
  <w:footnote w:id="4">
    <w:p w:rsidR="00EA2931" w:rsidRPr="00FA4BAA" w:rsidRDefault="00EA2931" w:rsidP="00EA2931">
      <w:pPr>
        <w:pStyle w:val="Notedebasdepage"/>
        <w:kinsoku w:val="0"/>
        <w:overflowPunct w:val="0"/>
        <w:autoSpaceDE w:val="0"/>
        <w:autoSpaceDN w:val="0"/>
        <w:adjustRightInd w:val="0"/>
        <w:snapToGrid w:val="0"/>
        <w:ind w:firstLine="0"/>
        <w:rPr>
          <w:snapToGrid w:val="0"/>
          <w:kern w:val="18"/>
          <w:szCs w:val="18"/>
        </w:rPr>
      </w:pPr>
      <w:r w:rsidRPr="003E0A8F">
        <w:rPr>
          <w:rStyle w:val="Appelnotedebasdep"/>
          <w:rFonts w:eastAsiaTheme="majorEastAsia"/>
          <w:snapToGrid w:val="0"/>
          <w:kern w:val="18"/>
          <w:szCs w:val="18"/>
        </w:rPr>
        <w:footnoteRef/>
      </w:r>
      <w:r w:rsidRPr="00FA4BAA">
        <w:rPr>
          <w:snapToGrid w:val="0"/>
          <w:kern w:val="18"/>
          <w:szCs w:val="18"/>
        </w:rPr>
        <w:t xml:space="preserve"> В решении XII/12 B, приложение, Конференция Сторон приняла Глобальный план действий по устойчивому использованию биологического разнообразия на основе обычая.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EA2931">
          <w:rPr>
            <w:noProof/>
            <w:kern w:val="22"/>
          </w:rPr>
          <w:t>16</w:t>
        </w:r>
      </w:p>
    </w:sdtContent>
  </w:sdt>
  <w:p w:rsidR="006B12C7" w:rsidRDefault="006B12C7" w:rsidP="00534681">
    <w:pPr>
      <w:pStyle w:val="En-tte"/>
      <w:rPr>
        <w:noProof/>
      </w:rPr>
    </w:pPr>
    <w:r>
      <w:rPr>
        <w:noProof/>
      </w:rPr>
      <w:t xml:space="preserve">Страница </w:t>
    </w:r>
    <w:r w:rsidR="008E4469">
      <w:rPr>
        <w:noProof/>
      </w:rPr>
      <w:fldChar w:fldCharType="begin"/>
    </w:r>
    <w:r>
      <w:rPr>
        <w:noProof/>
      </w:rPr>
      <w:instrText xml:space="preserve"> PAGE   \* MERGEFORMAT </w:instrText>
    </w:r>
    <w:r w:rsidR="008E4469">
      <w:rPr>
        <w:noProof/>
      </w:rPr>
      <w:fldChar w:fldCharType="separate"/>
    </w:r>
    <w:r w:rsidR="005C3243">
      <w:rPr>
        <w:noProof/>
      </w:rPr>
      <w:t>4</w:t>
    </w:r>
    <w:r w:rsidR="008E4469">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EA2931">
          <w:rPr>
            <w:noProof/>
            <w:kern w:val="22"/>
          </w:rPr>
          <w:t>16</w:t>
        </w:r>
      </w:p>
    </w:sdtContent>
  </w:sdt>
  <w:p w:rsidR="006B12C7" w:rsidRDefault="006B12C7" w:rsidP="009505C9">
    <w:pPr>
      <w:pStyle w:val="En-tte"/>
      <w:jc w:val="right"/>
    </w:pPr>
    <w:r>
      <w:t xml:space="preserve">Страница </w:t>
    </w:r>
    <w:r w:rsidR="008E4469">
      <w:fldChar w:fldCharType="begin"/>
    </w:r>
    <w:r>
      <w:instrText xml:space="preserve"> PAGE   \* MERGEFORMAT </w:instrText>
    </w:r>
    <w:r w:rsidR="008E4469">
      <w:fldChar w:fldCharType="separate"/>
    </w:r>
    <w:r w:rsidR="005C3243">
      <w:rPr>
        <w:noProof/>
      </w:rPr>
      <w:t>3</w:t>
    </w:r>
    <w:r w:rsidR="008E4469">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3FAB"/>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17069"/>
    <w:rsid w:val="00421AE1"/>
    <w:rsid w:val="0042714B"/>
    <w:rsid w:val="00431B23"/>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4A58"/>
    <w:rsid w:val="005B5022"/>
    <w:rsid w:val="005C3243"/>
    <w:rsid w:val="005C48D3"/>
    <w:rsid w:val="005C6C4B"/>
    <w:rsid w:val="005D664D"/>
    <w:rsid w:val="005E2279"/>
    <w:rsid w:val="005E751E"/>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07D2"/>
    <w:rsid w:val="006609FF"/>
    <w:rsid w:val="0066383C"/>
    <w:rsid w:val="00673F19"/>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4BF8"/>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7740"/>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3EBD"/>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E4469"/>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01BD"/>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293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098"/>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F51FDF"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F51FDF"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90A6F"/>
    <w:rsid w:val="003A644B"/>
    <w:rsid w:val="005C5751"/>
    <w:rsid w:val="007C585D"/>
    <w:rsid w:val="00B43A61"/>
    <w:rsid w:val="00CC68AE"/>
    <w:rsid w:val="00DF7856"/>
    <w:rsid w:val="00F51FDF"/>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1F9A1C-337D-4AA8-A9A7-877E6E0C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1383</Words>
  <Characters>7608</Characters>
  <Application>Microsoft Office Word</Application>
  <DocSecurity>0</DocSecurity>
  <Lines>63</Lines>
  <Paragraphs>17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8974</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CBD/COP/DEC/14/16</dc:subject>
  <dc:creator>SCBD</dc:creator>
  <cp:lastModifiedBy>Bureau</cp:lastModifiedBy>
  <cp:revision>8</cp:revision>
  <cp:lastPrinted>2018-10-14T15:07:00Z</cp:lastPrinted>
  <dcterms:created xsi:type="dcterms:W3CDTF">2019-01-10T13:48:00Z</dcterms:created>
  <dcterms:modified xsi:type="dcterms:W3CDTF">2019-02-06T16:25:00Z</dcterms:modified>
  <cp:contentStatus>CBD/COP/DEC/14/16</cp:contentStatus>
</cp:coreProperties>
</file>