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CC6565" w14:paraId="2FD00814" w14:textId="77777777" w:rsidTr="00CF1848">
        <w:trPr>
          <w:trHeight w:val="709"/>
        </w:trPr>
        <w:tc>
          <w:tcPr>
            <w:tcW w:w="976" w:type="dxa"/>
            <w:tcBorders>
              <w:bottom w:val="single" w:sz="12" w:space="0" w:color="auto"/>
            </w:tcBorders>
          </w:tcPr>
          <w:p w14:paraId="2FD00811" w14:textId="77777777" w:rsidR="00C9161D" w:rsidRPr="00CC6565" w:rsidRDefault="00C9161D">
            <w:pPr>
              <w:rPr>
                <w:lang w:val="fr-FR"/>
              </w:rPr>
            </w:pPr>
            <w:r w:rsidRPr="00CC6565">
              <w:rPr>
                <w:noProof/>
                <w:lang w:eastAsia="en-GB"/>
              </w:rPr>
              <w:drawing>
                <wp:inline distT="0" distB="0" distL="0" distR="0" wp14:anchorId="2FD00828" wp14:editId="2FD00829">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2FD00812" w14:textId="77777777" w:rsidR="00C9161D" w:rsidRPr="00CC6565" w:rsidRDefault="00C9161D">
            <w:pPr>
              <w:rPr>
                <w:lang w:val="fr-FR"/>
              </w:rPr>
            </w:pPr>
            <w:r w:rsidRPr="00CC6565">
              <w:rPr>
                <w:noProof/>
                <w:lang w:eastAsia="en-GB"/>
              </w:rPr>
              <w:drawing>
                <wp:inline distT="0" distB="0" distL="0" distR="0" wp14:anchorId="2FD0082A" wp14:editId="2FD0082B">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2FD00813" w14:textId="77777777" w:rsidR="00C9161D" w:rsidRPr="00CC6565" w:rsidRDefault="00C9161D" w:rsidP="00C9161D">
            <w:pPr>
              <w:jc w:val="right"/>
              <w:rPr>
                <w:rFonts w:ascii="Arial" w:hAnsi="Arial" w:cs="Arial"/>
                <w:b/>
                <w:sz w:val="32"/>
                <w:szCs w:val="32"/>
                <w:lang w:val="fr-FR"/>
              </w:rPr>
            </w:pPr>
            <w:r w:rsidRPr="00CC6565">
              <w:rPr>
                <w:rFonts w:ascii="Arial" w:hAnsi="Arial" w:cs="Arial"/>
                <w:b/>
                <w:sz w:val="32"/>
                <w:szCs w:val="32"/>
                <w:lang w:val="fr-FR"/>
              </w:rPr>
              <w:t>CBD</w:t>
            </w:r>
          </w:p>
        </w:tc>
      </w:tr>
      <w:tr w:rsidR="00C9161D" w:rsidRPr="00CC6565" w14:paraId="2FD0081E" w14:textId="77777777" w:rsidTr="00CF1848">
        <w:tc>
          <w:tcPr>
            <w:tcW w:w="6117" w:type="dxa"/>
            <w:gridSpan w:val="2"/>
            <w:tcBorders>
              <w:top w:val="single" w:sz="12" w:space="0" w:color="auto"/>
              <w:bottom w:val="single" w:sz="36" w:space="0" w:color="auto"/>
            </w:tcBorders>
            <w:vAlign w:val="center"/>
          </w:tcPr>
          <w:p w14:paraId="2FD00815" w14:textId="25BDC770" w:rsidR="00C9161D" w:rsidRPr="00CC6565" w:rsidRDefault="00B74F42" w:rsidP="00C9161D">
            <w:pPr>
              <w:rPr>
                <w:lang w:val="fr-FR"/>
              </w:rPr>
            </w:pPr>
            <w:r w:rsidRPr="00CC6565">
              <w:rPr>
                <w:noProof/>
                <w:szCs w:val="22"/>
                <w:lang w:eastAsia="en-GB"/>
              </w:rPr>
              <w:drawing>
                <wp:inline distT="0" distB="0" distL="0" distR="0" wp14:anchorId="7C98EBE0" wp14:editId="119DE890">
                  <wp:extent cx="2861945" cy="1066800"/>
                  <wp:effectExtent l="0" t="0" r="0" b="0"/>
                  <wp:docPr id="2" name="Image 2" descr="CBD_logo_fr-CMYK-black [Conver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descr="CBD_logo_fr-CMYK-black [Converted]"/>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1945" cy="10668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2FD00816" w14:textId="77777777" w:rsidR="00C9161D" w:rsidRPr="00CC6565" w:rsidRDefault="00C9161D" w:rsidP="00176CEE">
            <w:pPr>
              <w:ind w:left="1215"/>
              <w:rPr>
                <w:noProof/>
                <w:kern w:val="22"/>
                <w:szCs w:val="22"/>
                <w:lang w:val="fr-FR"/>
              </w:rPr>
            </w:pPr>
            <w:r w:rsidRPr="00CC6565">
              <w:rPr>
                <w:noProof/>
                <w:kern w:val="22"/>
                <w:szCs w:val="22"/>
                <w:lang w:val="fr-FR"/>
              </w:rPr>
              <w:t>Distr.</w:t>
            </w:r>
          </w:p>
          <w:p w14:paraId="2FD00817" w14:textId="0557D06E" w:rsidR="00C9161D" w:rsidRPr="00CC6565" w:rsidRDefault="00BF2DEB" w:rsidP="00176CEE">
            <w:pPr>
              <w:ind w:left="1215"/>
              <w:rPr>
                <w:kern w:val="22"/>
                <w:szCs w:val="22"/>
                <w:lang w:val="fr-FR"/>
              </w:rPr>
            </w:pPr>
            <w:sdt>
              <w:sdtPr>
                <w:rPr>
                  <w:kern w:val="22"/>
                  <w:szCs w:val="22"/>
                  <w:lang w:val="fr-FR"/>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FA0830">
                  <w:rPr>
                    <w:kern w:val="22"/>
                    <w:szCs w:val="22"/>
                  </w:rPr>
                  <w:t>GÉNÉRALE</w:t>
                </w:r>
              </w:sdtContent>
            </w:sdt>
          </w:p>
          <w:p w14:paraId="2FD00818" w14:textId="77777777" w:rsidR="00C9161D" w:rsidRPr="00CC6565" w:rsidRDefault="00C9161D" w:rsidP="00176CEE">
            <w:pPr>
              <w:ind w:left="1215"/>
              <w:rPr>
                <w:kern w:val="22"/>
                <w:szCs w:val="22"/>
                <w:lang w:val="fr-FR"/>
              </w:rPr>
            </w:pPr>
          </w:p>
          <w:p w14:paraId="2FD00819" w14:textId="1E69475F" w:rsidR="00C9161D" w:rsidRPr="00CC6565" w:rsidRDefault="00BF2DEB" w:rsidP="00176CEE">
            <w:pPr>
              <w:ind w:left="1215"/>
              <w:rPr>
                <w:kern w:val="22"/>
                <w:szCs w:val="22"/>
                <w:lang w:val="fr-FR"/>
              </w:rPr>
            </w:pPr>
            <w:sdt>
              <w:sdtPr>
                <w:rPr>
                  <w:kern w:val="22"/>
                  <w:lang w:val="fr-FR"/>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FA0830">
                  <w:rPr>
                    <w:kern w:val="22"/>
                  </w:rPr>
                  <w:t>CBD/COP/DEC/14/17</w:t>
                </w:r>
              </w:sdtContent>
            </w:sdt>
          </w:p>
          <w:p w14:paraId="2FD0081A" w14:textId="1D1B7837" w:rsidR="00C9161D" w:rsidRPr="00CC6565" w:rsidRDefault="00BF0146" w:rsidP="00176CEE">
            <w:pPr>
              <w:ind w:left="1215"/>
              <w:rPr>
                <w:kern w:val="22"/>
                <w:szCs w:val="22"/>
                <w:lang w:val="fr-FR"/>
              </w:rPr>
            </w:pPr>
            <w:r>
              <w:rPr>
                <w:kern w:val="22"/>
                <w:szCs w:val="22"/>
                <w:lang w:val="fr-FR"/>
              </w:rPr>
              <w:t>30</w:t>
            </w:r>
            <w:r w:rsidR="00C91405" w:rsidRPr="00CC6565">
              <w:rPr>
                <w:kern w:val="22"/>
                <w:szCs w:val="22"/>
                <w:lang w:val="fr-FR"/>
              </w:rPr>
              <w:t xml:space="preserve"> </w:t>
            </w:r>
            <w:r w:rsidR="00CC6565" w:rsidRPr="00CC6565">
              <w:rPr>
                <w:kern w:val="22"/>
                <w:szCs w:val="22"/>
                <w:lang w:val="fr-FR"/>
              </w:rPr>
              <w:t>novembre</w:t>
            </w:r>
            <w:r w:rsidR="00F6586C" w:rsidRPr="00CC6565">
              <w:rPr>
                <w:kern w:val="22"/>
                <w:szCs w:val="22"/>
                <w:lang w:val="fr-FR"/>
              </w:rPr>
              <w:t xml:space="preserve"> 2018</w:t>
            </w:r>
          </w:p>
          <w:p w14:paraId="2FD0081B" w14:textId="77777777" w:rsidR="00C9161D" w:rsidRPr="00CC6565" w:rsidRDefault="00C9161D" w:rsidP="00176CEE">
            <w:pPr>
              <w:ind w:left="1215"/>
              <w:rPr>
                <w:kern w:val="22"/>
                <w:szCs w:val="22"/>
                <w:lang w:val="fr-FR"/>
              </w:rPr>
            </w:pPr>
          </w:p>
          <w:p w14:paraId="6E1500FA" w14:textId="77777777" w:rsidR="00CC6565" w:rsidRPr="00CC6565" w:rsidRDefault="00CC6565" w:rsidP="00CC6565">
            <w:pPr>
              <w:ind w:left="1215"/>
              <w:rPr>
                <w:kern w:val="22"/>
                <w:szCs w:val="22"/>
                <w:lang w:val="fr-FR"/>
              </w:rPr>
            </w:pPr>
            <w:r w:rsidRPr="00CC6565">
              <w:rPr>
                <w:kern w:val="22"/>
                <w:szCs w:val="22"/>
                <w:lang w:val="fr-FR"/>
              </w:rPr>
              <w:t>FRANÇAIS</w:t>
            </w:r>
          </w:p>
          <w:p w14:paraId="2FD0081D" w14:textId="5A1CAC9F" w:rsidR="00C9161D" w:rsidRPr="00CC6565" w:rsidRDefault="00CC6565" w:rsidP="00CC6565">
            <w:pPr>
              <w:rPr>
                <w:kern w:val="22"/>
                <w:lang w:val="fr-FR"/>
              </w:rPr>
            </w:pPr>
            <w:r w:rsidRPr="00CC6565">
              <w:rPr>
                <w:kern w:val="22"/>
                <w:szCs w:val="22"/>
                <w:lang w:val="fr-FR"/>
              </w:rPr>
              <w:t xml:space="preserve">                      ORIGINAL : ANGLAIS </w:t>
            </w:r>
          </w:p>
        </w:tc>
      </w:tr>
    </w:tbl>
    <w:p w14:paraId="1A7C19E1" w14:textId="77777777" w:rsidR="00CC6565" w:rsidRPr="00CC6565" w:rsidRDefault="00CC6565" w:rsidP="00CC6565">
      <w:pPr>
        <w:pStyle w:val="NoSpacing"/>
        <w:ind w:left="142" w:right="4682" w:hanging="142"/>
        <w:rPr>
          <w:rFonts w:ascii="Times New Roman" w:hAnsi="Times New Roman"/>
          <w:lang w:val="fr-FR"/>
        </w:rPr>
      </w:pPr>
      <w:r w:rsidRPr="00CC6565">
        <w:rPr>
          <w:rFonts w:asciiTheme="majorBidi" w:hAnsiTheme="majorBidi" w:cstheme="majorBidi"/>
          <w:kern w:val="22"/>
          <w:lang w:val="fr-FR"/>
        </w:rPr>
        <w:t>CONFÉRENCE DES PARTIES À LA CONVENTION SUR LA DIVERSITÉ BIOLOGIQUE</w:t>
      </w:r>
    </w:p>
    <w:p w14:paraId="25F9913A" w14:textId="77777777" w:rsidR="00CC6565" w:rsidRPr="00CC6565" w:rsidRDefault="00CC6565" w:rsidP="00CC6565">
      <w:pPr>
        <w:pStyle w:val="Cornernotation"/>
        <w:suppressLineNumbers/>
        <w:suppressAutoHyphens/>
        <w:kinsoku w:val="0"/>
        <w:overflowPunct w:val="0"/>
        <w:autoSpaceDE w:val="0"/>
        <w:autoSpaceDN w:val="0"/>
        <w:ind w:left="0" w:right="4512" w:firstLine="0"/>
        <w:rPr>
          <w:snapToGrid w:val="0"/>
          <w:kern w:val="22"/>
          <w:lang w:val="fr-FR"/>
        </w:rPr>
      </w:pPr>
      <w:r w:rsidRPr="00CC6565">
        <w:rPr>
          <w:snapToGrid w:val="0"/>
          <w:kern w:val="22"/>
          <w:lang w:val="fr-FR"/>
        </w:rPr>
        <w:t>Quatorzième réunion</w:t>
      </w:r>
    </w:p>
    <w:p w14:paraId="7245124B" w14:textId="04D45A13" w:rsidR="00CC6565" w:rsidRPr="00CC6565" w:rsidRDefault="00FA0830" w:rsidP="00CC6565">
      <w:pPr>
        <w:suppressLineNumbers/>
        <w:suppressAutoHyphens/>
        <w:kinsoku w:val="0"/>
        <w:overflowPunct w:val="0"/>
        <w:autoSpaceDE w:val="0"/>
        <w:autoSpaceDN w:val="0"/>
        <w:rPr>
          <w:snapToGrid w:val="0"/>
          <w:kern w:val="22"/>
          <w:szCs w:val="22"/>
          <w:lang w:val="fr-FR" w:eastAsia="nb-NO"/>
        </w:rPr>
      </w:pPr>
      <w:bookmarkStart w:id="0" w:name="_Hlk505863673"/>
      <w:r>
        <w:rPr>
          <w:noProof/>
          <w:snapToGrid w:val="0"/>
          <w:kern w:val="22"/>
          <w:szCs w:val="22"/>
          <w:lang w:val="fr-FR" w:eastAsia="nb-NO"/>
        </w:rPr>
        <w:t>Charm el</w:t>
      </w:r>
      <w:r>
        <w:rPr>
          <w:noProof/>
          <w:snapToGrid w:val="0"/>
          <w:kern w:val="22"/>
          <w:szCs w:val="22"/>
          <w:lang w:val="fr-FR" w:eastAsia="nb-NO"/>
        </w:rPr>
        <w:noBreakHyphen/>
        <w:t>C</w:t>
      </w:r>
      <w:r w:rsidR="00CC6565" w:rsidRPr="00CC6565">
        <w:rPr>
          <w:noProof/>
          <w:snapToGrid w:val="0"/>
          <w:kern w:val="22"/>
          <w:szCs w:val="22"/>
          <w:lang w:val="fr-FR" w:eastAsia="nb-NO"/>
        </w:rPr>
        <w:t>heikh, Égypt</w:t>
      </w:r>
      <w:bookmarkEnd w:id="0"/>
      <w:r w:rsidR="00CC6565" w:rsidRPr="00CC6565">
        <w:rPr>
          <w:noProof/>
          <w:snapToGrid w:val="0"/>
          <w:kern w:val="22"/>
          <w:szCs w:val="22"/>
          <w:lang w:val="fr-FR" w:eastAsia="nb-NO"/>
        </w:rPr>
        <w:t>e</w:t>
      </w:r>
      <w:r w:rsidR="00CC6565" w:rsidRPr="00CC6565">
        <w:rPr>
          <w:snapToGrid w:val="0"/>
          <w:kern w:val="22"/>
          <w:szCs w:val="22"/>
          <w:lang w:val="fr-FR" w:eastAsia="nb-NO"/>
        </w:rPr>
        <w:t>, 17</w:t>
      </w:r>
      <w:r w:rsidR="00CC6565" w:rsidRPr="00CC6565">
        <w:rPr>
          <w:snapToGrid w:val="0"/>
          <w:kern w:val="22"/>
          <w:szCs w:val="22"/>
          <w:lang w:val="fr-FR" w:eastAsia="nb-NO"/>
        </w:rPr>
        <w:noBreakHyphen/>
        <w:t>29 novembre 2018</w:t>
      </w:r>
    </w:p>
    <w:p w14:paraId="2FD00823" w14:textId="5EDBB83D" w:rsidR="00C9161D" w:rsidRDefault="00CC6565" w:rsidP="00CC6565">
      <w:pPr>
        <w:pStyle w:val="Cornernotation"/>
        <w:ind w:right="3973"/>
        <w:rPr>
          <w:snapToGrid w:val="0"/>
          <w:kern w:val="22"/>
          <w:szCs w:val="22"/>
          <w:lang w:val="fr-FR"/>
        </w:rPr>
      </w:pPr>
      <w:r w:rsidRPr="00CC6565">
        <w:rPr>
          <w:snapToGrid w:val="0"/>
          <w:kern w:val="22"/>
          <w:szCs w:val="22"/>
          <w:lang w:val="fr-FR"/>
        </w:rPr>
        <w:t>Point 13 de l’ordre du jour</w:t>
      </w:r>
    </w:p>
    <w:p w14:paraId="61904B57" w14:textId="1DF59205" w:rsidR="00FA0830" w:rsidRPr="00FA0830" w:rsidRDefault="00FA0830" w:rsidP="00FA0830">
      <w:pPr>
        <w:pStyle w:val="Cornernotation"/>
        <w:spacing w:before="120" w:after="120"/>
        <w:ind w:left="0" w:right="-34" w:firstLine="0"/>
        <w:jc w:val="center"/>
        <w:rPr>
          <w:b/>
          <w:lang w:val="fr-FR"/>
        </w:rPr>
      </w:pPr>
      <w:r>
        <w:rPr>
          <w:b/>
          <w:snapToGrid w:val="0"/>
          <w:kern w:val="22"/>
          <w:szCs w:val="22"/>
          <w:lang w:val="fr-FR"/>
        </w:rPr>
        <w:t>DÉCISION ADOPTÉE PAR LA CONFÉRENCE DES PARTIES À LA CONVENTION SUR LA DIVERSITÉ BIOLOGIQUE</w:t>
      </w:r>
    </w:p>
    <w:p w14:paraId="50C7F11E" w14:textId="43E4EC4F" w:rsidR="008D45FC" w:rsidRPr="00CC6565" w:rsidRDefault="00BF2DEB" w:rsidP="00FA0830">
      <w:pPr>
        <w:pStyle w:val="Style1"/>
        <w:tabs>
          <w:tab w:val="clear" w:pos="720"/>
        </w:tabs>
        <w:spacing w:before="240"/>
        <w:ind w:left="1418" w:hanging="709"/>
        <w:jc w:val="left"/>
        <w:rPr>
          <w:rStyle w:val="Heading2Char"/>
          <w:b/>
          <w:bCs/>
          <w:i w:val="0"/>
          <w:iCs/>
          <w:caps/>
          <w:kern w:val="22"/>
          <w:lang w:val="fr-FR"/>
        </w:rPr>
      </w:pPr>
      <w:sdt>
        <w:sdtPr>
          <w:rPr>
            <w:b w:val="0"/>
            <w:bCs w:val="0"/>
            <w:i w:val="0"/>
            <w:iCs w:val="0"/>
            <w:snapToGrid w:val="0"/>
            <w:lang w:val="fr-FR"/>
          </w:rPr>
          <w:alias w:val="Title"/>
          <w:tag w:val=""/>
          <w:id w:val="-1643957553"/>
          <w:placeholder>
            <w:docPart w:val="124A198206954D5692E354C748C0A3BA"/>
          </w:placeholder>
          <w:dataBinding w:prefixMappings="xmlns:ns0='http://purl.org/dc/elements/1.1/' xmlns:ns1='http://schemas.openxmlformats.org/package/2006/metadata/core-properties' " w:xpath="/ns1:coreProperties[1]/ns0:title[1]" w:storeItemID="{6C3C8BC8-F283-45AE-878A-BAB7291924A1}"/>
          <w:text/>
        </w:sdtPr>
        <w:sdtEndPr/>
        <w:sdtContent>
          <w:r w:rsidR="00FA0830" w:rsidRPr="00FA0830">
            <w:rPr>
              <w:bCs w:val="0"/>
              <w:i w:val="0"/>
              <w:iCs w:val="0"/>
              <w:snapToGrid w:val="0"/>
              <w:lang w:val="fr-FR"/>
            </w:rPr>
            <w:t>14/17.</w:t>
          </w:r>
          <w:r w:rsidR="00FA0830">
            <w:rPr>
              <w:bCs w:val="0"/>
              <w:i w:val="0"/>
              <w:iCs w:val="0"/>
              <w:snapToGrid w:val="0"/>
              <w:lang w:val="fr-FR"/>
            </w:rPr>
            <w:tab/>
          </w:r>
          <w:r w:rsidR="00FA0830" w:rsidRPr="00FA0830">
            <w:rPr>
              <w:i w:val="0"/>
              <w:iCs w:val="0"/>
              <w:snapToGrid w:val="0"/>
              <w:lang w:val="fr-FR"/>
            </w:rPr>
            <w:t xml:space="preserve">Intégration de l’article 8j) </w:t>
          </w:r>
          <w:r w:rsidR="00BF0146">
            <w:rPr>
              <w:i w:val="0"/>
              <w:iCs w:val="0"/>
              <w:snapToGrid w:val="0"/>
              <w:lang w:val="fr-FR"/>
            </w:rPr>
            <w:t>et de ses dispositions relatives aux peuples autochtones et aux</w:t>
          </w:r>
          <w:r w:rsidR="00FA0830" w:rsidRPr="00FA0830">
            <w:rPr>
              <w:i w:val="0"/>
              <w:iCs w:val="0"/>
              <w:snapToGrid w:val="0"/>
              <w:lang w:val="fr-FR"/>
            </w:rPr>
            <w:t xml:space="preserve"> communautés </w:t>
          </w:r>
          <w:r w:rsidR="00BF0146">
            <w:rPr>
              <w:i w:val="0"/>
              <w:iCs w:val="0"/>
              <w:snapToGrid w:val="0"/>
              <w:lang w:val="fr-FR"/>
            </w:rPr>
            <w:t>locales dans les travaux de la C</w:t>
          </w:r>
          <w:r w:rsidR="00FA0830" w:rsidRPr="00FA0830">
            <w:rPr>
              <w:i w:val="0"/>
              <w:iCs w:val="0"/>
              <w:snapToGrid w:val="0"/>
              <w:lang w:val="fr-FR"/>
            </w:rPr>
            <w:t>onvention et ses protocoles</w:t>
          </w:r>
        </w:sdtContent>
      </w:sdt>
    </w:p>
    <w:p w14:paraId="61FEA444" w14:textId="77777777" w:rsidR="00CC6565" w:rsidRPr="00CC6565" w:rsidRDefault="00CC6565" w:rsidP="00CC6565">
      <w:pPr>
        <w:suppressLineNumbers/>
        <w:suppressAutoHyphens/>
        <w:kinsoku w:val="0"/>
        <w:overflowPunct w:val="0"/>
        <w:autoSpaceDE w:val="0"/>
        <w:autoSpaceDN w:val="0"/>
        <w:adjustRightInd w:val="0"/>
        <w:snapToGrid w:val="0"/>
        <w:spacing w:before="120" w:after="120"/>
        <w:ind w:firstLine="720"/>
        <w:rPr>
          <w:i/>
          <w:iCs/>
          <w:kern w:val="22"/>
          <w:szCs w:val="22"/>
          <w:lang w:val="fr-FR"/>
        </w:rPr>
      </w:pPr>
      <w:r w:rsidRPr="00CC6565">
        <w:rPr>
          <w:i/>
          <w:kern w:val="22"/>
          <w:lang w:val="fr-FR"/>
        </w:rPr>
        <w:t>La Conférence des Parties</w:t>
      </w:r>
      <w:r w:rsidRPr="00CC6565">
        <w:rPr>
          <w:i/>
          <w:iCs/>
          <w:kern w:val="22"/>
          <w:szCs w:val="22"/>
          <w:lang w:val="fr-FR"/>
        </w:rPr>
        <w:t>,</w:t>
      </w:r>
    </w:p>
    <w:p w14:paraId="00F0B2ED" w14:textId="77777777" w:rsidR="00CC6565" w:rsidRPr="00CC6565" w:rsidRDefault="00CC6565" w:rsidP="00CC6565">
      <w:pPr>
        <w:pStyle w:val="Para1"/>
        <w:numPr>
          <w:ilvl w:val="0"/>
          <w:numId w:val="0"/>
        </w:numPr>
        <w:ind w:firstLine="709"/>
        <w:rPr>
          <w:b/>
          <w:iCs/>
          <w:kern w:val="22"/>
          <w:lang w:val="fr-FR"/>
        </w:rPr>
      </w:pPr>
      <w:r w:rsidRPr="00CC6565">
        <w:rPr>
          <w:i/>
          <w:kern w:val="22"/>
          <w:lang w:val="fr-FR"/>
        </w:rPr>
        <w:t>Rappelant</w:t>
      </w:r>
      <w:r w:rsidRPr="00CC6565">
        <w:rPr>
          <w:iCs/>
          <w:kern w:val="22"/>
          <w:lang w:val="fr-FR"/>
        </w:rPr>
        <w:t xml:space="preserve"> l</w:t>
      </w:r>
      <w:r w:rsidRPr="00CC6565">
        <w:rPr>
          <w:iCs/>
          <w:kern w:val="22"/>
          <w:szCs w:val="22"/>
          <w:lang w:val="fr-FR"/>
        </w:rPr>
        <w:t xml:space="preserve">a </w:t>
      </w:r>
      <w:hyperlink r:id="rId13" w:history="1">
        <w:r w:rsidRPr="00CC6565">
          <w:rPr>
            <w:rStyle w:val="Hyperlink"/>
            <w:iCs/>
            <w:kern w:val="22"/>
            <w:sz w:val="22"/>
            <w:szCs w:val="22"/>
            <w:lang w:val="fr-FR"/>
          </w:rPr>
          <w:t>décision V/16</w:t>
        </w:r>
      </w:hyperlink>
      <w:r w:rsidRPr="00CC6565">
        <w:rPr>
          <w:iCs/>
          <w:kern w:val="22"/>
          <w:szCs w:val="22"/>
          <w:lang w:val="fr-FR"/>
        </w:rPr>
        <w:t xml:space="preserve">, dans laquelle elle a défini le programme de travail sur l’article 8 j) et les dispositions connexes, et la </w:t>
      </w:r>
      <w:hyperlink r:id="rId14" w:history="1">
        <w:r w:rsidRPr="00CC6565">
          <w:rPr>
            <w:rStyle w:val="Hyperlink"/>
            <w:iCs/>
            <w:kern w:val="22"/>
            <w:sz w:val="22"/>
            <w:szCs w:val="22"/>
            <w:lang w:val="fr-FR"/>
          </w:rPr>
          <w:t>décision X/43</w:t>
        </w:r>
      </w:hyperlink>
      <w:r w:rsidRPr="00CC6565">
        <w:rPr>
          <w:iCs/>
          <w:kern w:val="22"/>
          <w:szCs w:val="22"/>
          <w:vertAlign w:val="superscript"/>
          <w:lang w:val="fr-FR"/>
        </w:rPr>
        <w:footnoteReference w:id="1"/>
      </w:r>
      <w:r w:rsidRPr="00CC6565">
        <w:rPr>
          <w:iCs/>
          <w:kern w:val="22"/>
          <w:szCs w:val="22"/>
          <w:lang w:val="fr-FR"/>
        </w:rPr>
        <w:t xml:space="preserve">, dans </w:t>
      </w:r>
      <w:r w:rsidRPr="00CC6565">
        <w:rPr>
          <w:iCs/>
          <w:kern w:val="22"/>
          <w:lang w:val="fr-FR"/>
        </w:rPr>
        <w:t>laquelle elle a révisé le programme de travail pluriannuel pour la période 2010</w:t>
      </w:r>
      <w:r w:rsidRPr="00CC6565">
        <w:rPr>
          <w:iCs/>
          <w:kern w:val="22"/>
          <w:lang w:val="fr-FR"/>
        </w:rPr>
        <w:noBreakHyphen/>
        <w:t xml:space="preserve">2020, </w:t>
      </w:r>
    </w:p>
    <w:p w14:paraId="2D0CE8FE" w14:textId="77777777" w:rsidR="00CC6565" w:rsidRPr="00CC6565" w:rsidRDefault="00CC6565" w:rsidP="00CC6565">
      <w:pPr>
        <w:suppressLineNumbers/>
        <w:suppressAutoHyphens/>
        <w:kinsoku w:val="0"/>
        <w:overflowPunct w:val="0"/>
        <w:autoSpaceDE w:val="0"/>
        <w:autoSpaceDN w:val="0"/>
        <w:adjustRightInd w:val="0"/>
        <w:snapToGrid w:val="0"/>
        <w:spacing w:before="120" w:after="120"/>
        <w:ind w:firstLine="720"/>
        <w:rPr>
          <w:kern w:val="22"/>
          <w:szCs w:val="22"/>
          <w:lang w:val="fr-FR"/>
        </w:rPr>
      </w:pPr>
      <w:r w:rsidRPr="00CC6565">
        <w:rPr>
          <w:i/>
          <w:kern w:val="22"/>
          <w:lang w:val="fr-FR"/>
        </w:rPr>
        <w:t xml:space="preserve">Notant </w:t>
      </w:r>
      <w:r w:rsidRPr="00CC6565">
        <w:rPr>
          <w:kern w:val="22"/>
          <w:lang w:val="fr-FR"/>
        </w:rPr>
        <w:t>que les tâches reportées </w:t>
      </w:r>
      <w:r w:rsidRPr="00CC6565">
        <w:rPr>
          <w:rFonts w:eastAsia="Batang"/>
          <w:kern w:val="22"/>
          <w:lang w:val="fr-FR"/>
        </w:rPr>
        <w:t>6, 11, 13, 14 et 17 du programme de travail pluriannuel ont été effectuées par l’achèvement d’autres tâches au titre du programme de travail sur l’article 8 j) et les dispositions connexes</w:t>
      </w:r>
      <w:r w:rsidRPr="00CC6565">
        <w:rPr>
          <w:rFonts w:eastAsia="Batang"/>
          <w:kern w:val="22"/>
          <w:szCs w:val="22"/>
          <w:lang w:val="fr-FR" w:eastAsia="ko-KR"/>
        </w:rPr>
        <w:t>,</w:t>
      </w:r>
    </w:p>
    <w:p w14:paraId="63532945" w14:textId="4245477A" w:rsidR="00CC6565" w:rsidRPr="00CC6565" w:rsidRDefault="00CC6565" w:rsidP="00CC6565">
      <w:pPr>
        <w:suppressLineNumbers/>
        <w:suppressAutoHyphens/>
        <w:kinsoku w:val="0"/>
        <w:overflowPunct w:val="0"/>
        <w:autoSpaceDE w:val="0"/>
        <w:autoSpaceDN w:val="0"/>
        <w:adjustRightInd w:val="0"/>
        <w:snapToGrid w:val="0"/>
        <w:spacing w:before="120" w:after="120"/>
        <w:ind w:firstLine="720"/>
        <w:rPr>
          <w:rFonts w:eastAsia="Batang"/>
          <w:kern w:val="22"/>
          <w:szCs w:val="22"/>
          <w:lang w:val="fr-FR" w:eastAsia="ko-KR"/>
        </w:rPr>
      </w:pPr>
      <w:r w:rsidRPr="00CC6565">
        <w:rPr>
          <w:rFonts w:eastAsia="Batang"/>
          <w:i/>
          <w:kern w:val="22"/>
          <w:lang w:val="fr-FR"/>
        </w:rPr>
        <w:t>Reconnaissant</w:t>
      </w:r>
      <w:r w:rsidRPr="00CC6565">
        <w:rPr>
          <w:rFonts w:eastAsia="Batang"/>
          <w:kern w:val="22"/>
          <w:lang w:val="fr-FR"/>
        </w:rPr>
        <w:t xml:space="preserve"> la nécessité de disposer d’un programme de travail plus global, tourné vers l’avenir et intégré, prenant en compte les évolutions récentes, y compris le Programme de développement durable à l’horizon 2030 et ses ob</w:t>
      </w:r>
      <w:bookmarkStart w:id="1" w:name="_Ref501148281"/>
      <w:r w:rsidRPr="00CC6565">
        <w:rPr>
          <w:rFonts w:eastAsia="Batang"/>
          <w:kern w:val="22"/>
          <w:lang w:val="fr-FR"/>
        </w:rPr>
        <w:t>jectifs</w:t>
      </w:r>
      <w:bookmarkStart w:id="2" w:name="_Ref535325687"/>
      <w:r w:rsidRPr="00CC6565">
        <w:rPr>
          <w:rStyle w:val="FootnoteReference"/>
          <w:rFonts w:eastAsia="Batang"/>
          <w:kern w:val="22"/>
          <w:szCs w:val="22"/>
          <w:lang w:val="fr-FR"/>
        </w:rPr>
        <w:footnoteReference w:id="2"/>
      </w:r>
      <w:bookmarkEnd w:id="2"/>
      <w:r w:rsidRPr="00CC6565">
        <w:rPr>
          <w:rFonts w:eastAsia="Batang"/>
          <w:kern w:val="22"/>
          <w:lang w:val="fr-FR"/>
        </w:rPr>
        <w:t>,</w:t>
      </w:r>
      <w:bookmarkEnd w:id="1"/>
      <w:r w:rsidRPr="00CC6565">
        <w:rPr>
          <w:rFonts w:eastAsia="Batang"/>
          <w:kern w:val="22"/>
          <w:vertAlign w:val="superscript"/>
          <w:lang w:val="fr-FR"/>
        </w:rPr>
        <w:t xml:space="preserve"> </w:t>
      </w:r>
      <w:r w:rsidRPr="00CC6565">
        <w:rPr>
          <w:rFonts w:eastAsia="Batang"/>
          <w:kern w:val="22"/>
          <w:lang w:val="fr-FR"/>
        </w:rPr>
        <w:t>l’Accord de Paris</w:t>
      </w:r>
      <w:bookmarkStart w:id="3" w:name="_Ref531088869"/>
      <w:r w:rsidRPr="00CC6565">
        <w:rPr>
          <w:rStyle w:val="FootnoteReference"/>
          <w:rFonts w:eastAsia="Batang"/>
          <w:kern w:val="22"/>
          <w:szCs w:val="22"/>
          <w:lang w:val="fr-FR" w:eastAsia="ko-KR"/>
        </w:rPr>
        <w:footnoteReference w:id="3"/>
      </w:r>
      <w:bookmarkEnd w:id="3"/>
      <w:r w:rsidRPr="00CC6565">
        <w:rPr>
          <w:rFonts w:eastAsia="Batang"/>
          <w:kern w:val="22"/>
          <w:szCs w:val="22"/>
          <w:lang w:val="fr-FR" w:eastAsia="ko-KR"/>
        </w:rPr>
        <w:t xml:space="preserve"> </w:t>
      </w:r>
      <w:r w:rsidRPr="00CC6565">
        <w:rPr>
          <w:rFonts w:eastAsia="Batang"/>
          <w:kern w:val="22"/>
          <w:lang w:val="fr-FR"/>
        </w:rPr>
        <w:t xml:space="preserve">dans le cadre de la Convention-cadre des Nations Unies sur les changements climatiques, ainsi que le futur cadre mondial de la biodiversité pour l’après-2020, </w:t>
      </w:r>
    </w:p>
    <w:p w14:paraId="08632EF9" w14:textId="093B9505" w:rsidR="00CC6565" w:rsidRPr="00CC6565" w:rsidRDefault="00CC6565" w:rsidP="00CC6565">
      <w:pPr>
        <w:pStyle w:val="Para1"/>
        <w:numPr>
          <w:ilvl w:val="0"/>
          <w:numId w:val="0"/>
        </w:numPr>
        <w:ind w:firstLine="709"/>
        <w:rPr>
          <w:iCs/>
          <w:kern w:val="22"/>
          <w:lang w:val="fr-FR" w:eastAsia="en-GB"/>
        </w:rPr>
      </w:pPr>
      <w:r w:rsidRPr="00CC6565">
        <w:rPr>
          <w:rFonts w:eastAsia="Batang"/>
          <w:i/>
          <w:kern w:val="22"/>
          <w:lang w:val="fr-FR"/>
        </w:rPr>
        <w:t>Prenant en considération</w:t>
      </w:r>
      <w:r w:rsidRPr="00CC6565">
        <w:rPr>
          <w:rFonts w:eastAsia="Batang"/>
          <w:kern w:val="22"/>
          <w:lang w:val="fr-FR"/>
        </w:rPr>
        <w:t xml:space="preserve"> les résultats </w:t>
      </w:r>
      <w:r w:rsidRPr="00CC6565">
        <w:rPr>
          <w:kern w:val="22"/>
          <w:lang w:val="fr-FR"/>
        </w:rPr>
        <w:t xml:space="preserve">du </w:t>
      </w:r>
      <w:r w:rsidRPr="00CC6565">
        <w:rPr>
          <w:iCs/>
          <w:kern w:val="22"/>
          <w:lang w:val="fr-FR"/>
        </w:rPr>
        <w:t xml:space="preserve">« Sommet </w:t>
      </w:r>
      <w:r w:rsidRPr="00CC6565">
        <w:rPr>
          <w:noProof/>
          <w:kern w:val="22"/>
          <w:lang w:val="fr-FR"/>
        </w:rPr>
        <w:t>Múuch’tambal sur</w:t>
      </w:r>
      <w:r w:rsidRPr="00CC6565">
        <w:rPr>
          <w:kern w:val="22"/>
          <w:lang w:val="fr-FR"/>
        </w:rPr>
        <w:t xml:space="preserve"> les expériences autoc</w:t>
      </w:r>
      <w:r w:rsidR="004915FC">
        <w:rPr>
          <w:kern w:val="22"/>
          <w:lang w:val="fr-FR"/>
        </w:rPr>
        <w:t xml:space="preserve">htones et locales : </w:t>
      </w:r>
      <w:r w:rsidRPr="00CC6565">
        <w:rPr>
          <w:kern w:val="22"/>
          <w:lang w:val="fr-FR"/>
        </w:rPr>
        <w:t>co</w:t>
      </w:r>
      <w:r w:rsidR="004915FC">
        <w:rPr>
          <w:kern w:val="22"/>
          <w:lang w:val="fr-FR"/>
        </w:rPr>
        <w:t xml:space="preserve">nnaissances traditionnelles, </w:t>
      </w:r>
      <w:r w:rsidRPr="00CC6565">
        <w:rPr>
          <w:kern w:val="22"/>
          <w:lang w:val="fr-FR"/>
        </w:rPr>
        <w:t>diversité biologique et culturelle</w:t>
      </w:r>
      <w:r w:rsidR="004915FC">
        <w:rPr>
          <w:iCs/>
          <w:kern w:val="22"/>
          <w:lang w:val="fr-FR"/>
        </w:rPr>
        <w:t xml:space="preserve"> – I</w:t>
      </w:r>
      <w:r w:rsidRPr="00CC6565">
        <w:rPr>
          <w:iCs/>
          <w:kern w:val="22"/>
          <w:lang w:val="fr-FR"/>
        </w:rPr>
        <w:t xml:space="preserve">ntégration de la contribution des connaissances, innovations et pratiques traditionnelles dans les secteurs de l’agriculture, </w:t>
      </w:r>
      <w:r w:rsidR="00FD04FB">
        <w:rPr>
          <w:iCs/>
          <w:kern w:val="22"/>
          <w:lang w:val="fr-FR"/>
        </w:rPr>
        <w:t>des pêcheries, de la foresterie</w:t>
      </w:r>
      <w:r w:rsidRPr="00CC6565">
        <w:rPr>
          <w:iCs/>
          <w:kern w:val="22"/>
          <w:lang w:val="fr-FR"/>
        </w:rPr>
        <w:t xml:space="preserve"> et du tourisme pour la conservation et l’utilisation durable de la biodiversité a</w:t>
      </w:r>
      <w:r w:rsidR="00FD04FB">
        <w:rPr>
          <w:iCs/>
          <w:kern w:val="22"/>
          <w:lang w:val="fr-FR"/>
        </w:rPr>
        <w:t>u service du bien-être humain »</w:t>
      </w:r>
      <w:r w:rsidRPr="00CC6565">
        <w:rPr>
          <w:rStyle w:val="FootnoteReference"/>
          <w:kern w:val="22"/>
          <w:szCs w:val="22"/>
          <w:lang w:val="fr-FR"/>
        </w:rPr>
        <w:footnoteReference w:id="4"/>
      </w:r>
      <w:r w:rsidR="00FD04FB">
        <w:rPr>
          <w:iCs/>
          <w:kern w:val="22"/>
          <w:lang w:val="fr-FR"/>
        </w:rPr>
        <w:t>,</w:t>
      </w:r>
    </w:p>
    <w:p w14:paraId="600DBBA8" w14:textId="77777777" w:rsidR="00CC6565" w:rsidRPr="00CC6565" w:rsidRDefault="00CC6565" w:rsidP="00CC6565">
      <w:pPr>
        <w:suppressLineNumbers/>
        <w:suppressAutoHyphens/>
        <w:kinsoku w:val="0"/>
        <w:overflowPunct w:val="0"/>
        <w:autoSpaceDE w:val="0"/>
        <w:autoSpaceDN w:val="0"/>
        <w:adjustRightInd w:val="0"/>
        <w:snapToGrid w:val="0"/>
        <w:spacing w:before="120" w:after="120"/>
        <w:ind w:firstLine="720"/>
        <w:rPr>
          <w:rFonts w:eastAsia="Batang"/>
          <w:kern w:val="22"/>
          <w:szCs w:val="22"/>
          <w:lang w:val="fr-FR" w:eastAsia="ko-KR"/>
        </w:rPr>
      </w:pPr>
      <w:r w:rsidRPr="00CC6565">
        <w:rPr>
          <w:rFonts w:eastAsia="Batang"/>
          <w:i/>
          <w:kern w:val="22"/>
          <w:lang w:val="fr-FR"/>
        </w:rPr>
        <w:t xml:space="preserve">S’appuyant sur </w:t>
      </w:r>
      <w:r w:rsidRPr="00CC6565">
        <w:rPr>
          <w:rFonts w:eastAsia="Batang"/>
          <w:kern w:val="22"/>
          <w:lang w:val="fr-FR"/>
        </w:rPr>
        <w:t xml:space="preserve">le </w:t>
      </w:r>
      <w:r w:rsidRPr="00CC6565">
        <w:rPr>
          <w:kern w:val="22"/>
          <w:lang w:val="fr-FR"/>
        </w:rPr>
        <w:t xml:space="preserve">rapport de synthèse sur l’état et les tendances des connaissances traditionnelles et les lignes directrices et d’autres outils et normes déjà élaborés par le </w:t>
      </w:r>
      <w:r w:rsidRPr="00CC6565">
        <w:rPr>
          <w:rFonts w:eastAsia="Batang"/>
          <w:kern w:val="22"/>
          <w:lang w:val="fr-FR"/>
        </w:rPr>
        <w:t>Groupe de travail spécial à composition non limitée sur l’article 8 j) et les dispositions connexes, notamment :</w:t>
      </w:r>
    </w:p>
    <w:p w14:paraId="09E4F486" w14:textId="18B7BB13" w:rsidR="00CC6565" w:rsidRPr="00CC6565" w:rsidRDefault="00CC6565" w:rsidP="00CC6565">
      <w:pPr>
        <w:pStyle w:val="Para1"/>
        <w:numPr>
          <w:ilvl w:val="0"/>
          <w:numId w:val="0"/>
        </w:numPr>
        <w:ind w:firstLine="709"/>
        <w:rPr>
          <w:kern w:val="22"/>
          <w:lang w:val="fr-FR"/>
        </w:rPr>
      </w:pPr>
      <w:r w:rsidRPr="00CC6565">
        <w:rPr>
          <w:rFonts w:eastAsia="Batang"/>
          <w:kern w:val="22"/>
          <w:lang w:val="fr-FR" w:eastAsia="ko-KR"/>
        </w:rPr>
        <w:t>a)</w:t>
      </w:r>
      <w:r w:rsidRPr="00CC6565">
        <w:rPr>
          <w:rFonts w:eastAsia="Batang"/>
          <w:kern w:val="22"/>
          <w:lang w:val="fr-FR" w:eastAsia="ko-KR"/>
        </w:rPr>
        <w:tab/>
      </w:r>
      <w:r w:rsidRPr="00CC6565">
        <w:rPr>
          <w:rFonts w:eastAsia="Batang"/>
          <w:kern w:val="22"/>
          <w:lang w:val="fr-FR"/>
        </w:rPr>
        <w:t xml:space="preserve">Les </w:t>
      </w:r>
      <w:r w:rsidRPr="00CC6565">
        <w:rPr>
          <w:kern w:val="22"/>
          <w:lang w:val="fr-FR"/>
        </w:rPr>
        <w:t xml:space="preserve">Lignes directrices </w:t>
      </w:r>
      <w:r w:rsidRPr="00CC6565">
        <w:rPr>
          <w:noProof/>
          <w:kern w:val="22"/>
          <w:lang w:val="fr-FR"/>
        </w:rPr>
        <w:t>facultatives Akwé: Kon pour la</w:t>
      </w:r>
      <w:r w:rsidRPr="00CC6565">
        <w:rPr>
          <w:kern w:val="22"/>
          <w:lang w:val="fr-FR"/>
        </w:rPr>
        <w:t xml:space="preserve"> conduite d’études sur les impacts culturels, environnementaux et sociaux des projets d’a</w:t>
      </w:r>
      <w:r w:rsidR="00FD04FB">
        <w:rPr>
          <w:kern w:val="22"/>
          <w:lang w:val="fr-FR"/>
        </w:rPr>
        <w:t xml:space="preserve">ménagement ou des aménagements </w:t>
      </w:r>
      <w:r w:rsidRPr="00CC6565">
        <w:rPr>
          <w:kern w:val="22"/>
          <w:lang w:val="fr-FR"/>
        </w:rPr>
        <w:t xml:space="preserve">susceptibles </w:t>
      </w:r>
      <w:r w:rsidRPr="00CC6565">
        <w:rPr>
          <w:kern w:val="22"/>
          <w:lang w:val="fr-FR"/>
        </w:rPr>
        <w:lastRenderedPageBreak/>
        <w:t>d’avoir un impact sur des sites sacrés et sur des terres ou des eaux occupées ou utilisées traditionnellement par des comm</w:t>
      </w:r>
      <w:r w:rsidR="00FD04FB">
        <w:rPr>
          <w:kern w:val="22"/>
          <w:lang w:val="fr-FR"/>
        </w:rPr>
        <w:t>unautés autochtones et locales</w:t>
      </w:r>
      <w:r w:rsidRPr="00CC6565">
        <w:rPr>
          <w:rStyle w:val="FootnoteReference"/>
          <w:kern w:val="22"/>
          <w:szCs w:val="22"/>
          <w:lang w:val="fr-FR"/>
        </w:rPr>
        <w:footnoteReference w:id="5"/>
      </w:r>
      <w:r w:rsidR="00FD04FB">
        <w:rPr>
          <w:kern w:val="22"/>
          <w:lang w:val="fr-FR"/>
        </w:rPr>
        <w:t> ;</w:t>
      </w:r>
      <w:r w:rsidRPr="00CC6565">
        <w:rPr>
          <w:kern w:val="22"/>
          <w:lang w:val="fr-FR"/>
        </w:rPr>
        <w:t xml:space="preserve"> </w:t>
      </w:r>
    </w:p>
    <w:p w14:paraId="2F858003" w14:textId="681534C6" w:rsidR="00CC6565" w:rsidRPr="00CC6565" w:rsidRDefault="00CC6565" w:rsidP="00CC6565">
      <w:pPr>
        <w:pStyle w:val="Para1"/>
        <w:numPr>
          <w:ilvl w:val="0"/>
          <w:numId w:val="0"/>
        </w:numPr>
        <w:ind w:firstLine="709"/>
        <w:rPr>
          <w:kern w:val="22"/>
          <w:lang w:val="fr-FR"/>
        </w:rPr>
      </w:pPr>
      <w:r w:rsidRPr="00CC6565">
        <w:rPr>
          <w:kern w:val="22"/>
          <w:lang w:val="fr-FR"/>
        </w:rPr>
        <w:t>b)</w:t>
      </w:r>
      <w:r w:rsidRPr="00CC6565">
        <w:rPr>
          <w:b/>
          <w:kern w:val="22"/>
          <w:lang w:val="fr-FR"/>
        </w:rPr>
        <w:tab/>
      </w:r>
      <w:r w:rsidRPr="00CC6565">
        <w:rPr>
          <w:kern w:val="22"/>
          <w:lang w:val="fr-FR"/>
        </w:rPr>
        <w:t xml:space="preserve">Le Code de conduite </w:t>
      </w:r>
      <w:r w:rsidRPr="00CC6565">
        <w:rPr>
          <w:noProof/>
          <w:kern w:val="22"/>
          <w:lang w:val="fr-FR"/>
        </w:rPr>
        <w:t>éthique Tkarihwaié:ri propre à assurer</w:t>
      </w:r>
      <w:r w:rsidRPr="00CC6565">
        <w:rPr>
          <w:kern w:val="22"/>
          <w:lang w:val="fr-FR"/>
        </w:rPr>
        <w:t xml:space="preserve"> le respect du patrimoine culturel et intellectuel des com</w:t>
      </w:r>
      <w:r w:rsidR="00FD04FB">
        <w:rPr>
          <w:kern w:val="22"/>
          <w:lang w:val="fr-FR"/>
        </w:rPr>
        <w:t>munautés autochtones et locales</w:t>
      </w:r>
      <w:r w:rsidRPr="00CC6565">
        <w:rPr>
          <w:rStyle w:val="FootnoteReference"/>
          <w:kern w:val="22"/>
          <w:szCs w:val="22"/>
          <w:lang w:val="fr-FR"/>
        </w:rPr>
        <w:footnoteReference w:id="6"/>
      </w:r>
      <w:r w:rsidR="00FD04FB">
        <w:rPr>
          <w:kern w:val="22"/>
          <w:lang w:val="fr-FR"/>
        </w:rPr>
        <w:t> ;</w:t>
      </w:r>
    </w:p>
    <w:p w14:paraId="2F8CC9EF" w14:textId="7A246015" w:rsidR="00CC6565" w:rsidRPr="00CC6565" w:rsidRDefault="00CC6565" w:rsidP="00CC6565">
      <w:pPr>
        <w:suppressLineNumbers/>
        <w:suppressAutoHyphens/>
        <w:kinsoku w:val="0"/>
        <w:overflowPunct w:val="0"/>
        <w:autoSpaceDE w:val="0"/>
        <w:autoSpaceDN w:val="0"/>
        <w:adjustRightInd w:val="0"/>
        <w:snapToGrid w:val="0"/>
        <w:spacing w:before="120" w:after="120"/>
        <w:ind w:firstLine="720"/>
        <w:rPr>
          <w:kern w:val="22"/>
          <w:szCs w:val="22"/>
          <w:lang w:val="fr-FR"/>
        </w:rPr>
      </w:pPr>
      <w:r w:rsidRPr="00CC6565">
        <w:rPr>
          <w:kern w:val="22"/>
          <w:lang w:val="fr-FR"/>
        </w:rPr>
        <w:t>c)</w:t>
      </w:r>
      <w:r w:rsidRPr="00CC6565">
        <w:rPr>
          <w:kern w:val="22"/>
          <w:lang w:val="fr-FR"/>
        </w:rPr>
        <w:tab/>
        <w:t xml:space="preserve">Les Lignes directrices </w:t>
      </w:r>
      <w:r w:rsidRPr="00CC6565">
        <w:rPr>
          <w:noProof/>
          <w:kern w:val="22"/>
          <w:lang w:val="fr-FR"/>
        </w:rPr>
        <w:t>facultatives Mo’otz kuxtal</w:t>
      </w:r>
      <w:r w:rsidRPr="00CC6565">
        <w:rPr>
          <w:caps/>
          <w:kern w:val="22"/>
          <w:vertAlign w:val="superscript"/>
          <w:lang w:val="fr-FR"/>
        </w:rPr>
        <w:footnoteReference w:id="7"/>
      </w:r>
      <w:r w:rsidRPr="00CC6565">
        <w:rPr>
          <w:caps/>
          <w:kern w:val="22"/>
          <w:lang w:val="fr-FR"/>
        </w:rPr>
        <w:t xml:space="preserve"> </w:t>
      </w:r>
      <w:r w:rsidRPr="00CC6565">
        <w:rPr>
          <w:kern w:val="22"/>
          <w:lang w:val="fr-FR"/>
        </w:rPr>
        <w:t>pour l’élaboration de mécanismes, d’une législation ou d’autres initiatives appropriées propres à assurer le « consentement préalable donné en connaissance de cause » ou le « consentement préalable donné librement et en connaissance de cause » ou « l’approbation et la participation », selon les circonstances nationales, des peuples autochtones et des communautés locales</w:t>
      </w:r>
      <w:r w:rsidRPr="00CC6565">
        <w:rPr>
          <w:kern w:val="22"/>
          <w:vertAlign w:val="superscript"/>
          <w:lang w:val="fr-FR"/>
        </w:rPr>
        <w:footnoteReference w:id="8"/>
      </w:r>
      <w:r w:rsidRPr="00CC6565">
        <w:rPr>
          <w:kern w:val="22"/>
          <w:lang w:val="fr-FR"/>
        </w:rPr>
        <w:t xml:space="preserve"> pour l’accès à leurs connaissances, innovations et pratiques, pour le partage juste et équitable des avantages découlant de l’utilisation de leurs connaissances, innovations et pratiques présentant un intérêt pour la conservation et l’utilisation durable de la diversité biologique, et pour le signalement et la prévention d’une appropriation illicite de</w:t>
      </w:r>
      <w:r w:rsidR="00FD04FB">
        <w:rPr>
          <w:kern w:val="22"/>
          <w:lang w:val="fr-FR"/>
        </w:rPr>
        <w:t>s connaissances traditionnelles</w:t>
      </w:r>
      <w:r w:rsidRPr="00CC6565">
        <w:rPr>
          <w:rStyle w:val="FootnoteReference"/>
          <w:kern w:val="22"/>
          <w:szCs w:val="22"/>
          <w:lang w:val="fr-FR"/>
        </w:rPr>
        <w:footnoteReference w:id="9"/>
      </w:r>
      <w:r w:rsidR="00FD04FB">
        <w:rPr>
          <w:kern w:val="22"/>
          <w:lang w:val="fr-FR"/>
        </w:rPr>
        <w:t> ;</w:t>
      </w:r>
    </w:p>
    <w:p w14:paraId="472B9D4E" w14:textId="3316CCEE" w:rsidR="00CC6565" w:rsidRPr="00CC6565" w:rsidRDefault="00CC6565" w:rsidP="00CC6565">
      <w:pPr>
        <w:suppressLineNumbers/>
        <w:suppressAutoHyphens/>
        <w:kinsoku w:val="0"/>
        <w:overflowPunct w:val="0"/>
        <w:autoSpaceDE w:val="0"/>
        <w:autoSpaceDN w:val="0"/>
        <w:adjustRightInd w:val="0"/>
        <w:snapToGrid w:val="0"/>
        <w:spacing w:before="120" w:after="120"/>
        <w:ind w:firstLine="720"/>
        <w:rPr>
          <w:kern w:val="22"/>
          <w:szCs w:val="22"/>
          <w:lang w:val="fr-FR"/>
        </w:rPr>
      </w:pPr>
      <w:r w:rsidRPr="00CC6565">
        <w:rPr>
          <w:kern w:val="22"/>
          <w:lang w:val="fr-FR"/>
        </w:rPr>
        <w:t>d)</w:t>
      </w:r>
      <w:r w:rsidRPr="00CC6565">
        <w:rPr>
          <w:kern w:val="22"/>
          <w:lang w:val="fr-FR"/>
        </w:rPr>
        <w:tab/>
        <w:t xml:space="preserve">Les Lignes directrices facultatives </w:t>
      </w:r>
      <w:r w:rsidRPr="00CC6565">
        <w:rPr>
          <w:noProof/>
          <w:kern w:val="22"/>
          <w:lang w:val="fr-FR"/>
        </w:rPr>
        <w:t>Rutzolijirisaxik po</w:t>
      </w:r>
      <w:r w:rsidRPr="00CC6565">
        <w:rPr>
          <w:kern w:val="22"/>
          <w:lang w:val="fr-FR"/>
        </w:rPr>
        <w:t xml:space="preserve">ur le rapatriement des connaissances </w:t>
      </w:r>
      <w:bookmarkStart w:id="4" w:name="_GoBack"/>
      <w:bookmarkEnd w:id="4"/>
      <w:r w:rsidRPr="00CC6565">
        <w:rPr>
          <w:kern w:val="22"/>
          <w:lang w:val="fr-FR"/>
        </w:rPr>
        <w:t>traditionnelles des peuples autochtones et des communautés locales présentant un intérêt pour la conservation et l’utilisation dur</w:t>
      </w:r>
      <w:r w:rsidR="00FD04FB">
        <w:rPr>
          <w:kern w:val="22"/>
          <w:lang w:val="fr-FR"/>
        </w:rPr>
        <w:t>able de la diversité biologique</w:t>
      </w:r>
      <w:r w:rsidRPr="00CC6565">
        <w:rPr>
          <w:kern w:val="22"/>
          <w:vertAlign w:val="superscript"/>
          <w:lang w:val="fr-FR"/>
        </w:rPr>
        <w:footnoteReference w:id="10"/>
      </w:r>
      <w:r w:rsidR="00FD04FB">
        <w:rPr>
          <w:kern w:val="22"/>
          <w:lang w:val="fr-FR"/>
        </w:rPr>
        <w:t> ;</w:t>
      </w:r>
    </w:p>
    <w:p w14:paraId="6F3E9E1D" w14:textId="710A4F9C" w:rsidR="00CC6565" w:rsidRPr="00CC6565" w:rsidRDefault="00CC6565" w:rsidP="00CC6565">
      <w:pPr>
        <w:suppressLineNumbers/>
        <w:suppressAutoHyphens/>
        <w:kinsoku w:val="0"/>
        <w:overflowPunct w:val="0"/>
        <w:autoSpaceDE w:val="0"/>
        <w:autoSpaceDN w:val="0"/>
        <w:adjustRightInd w:val="0"/>
        <w:snapToGrid w:val="0"/>
        <w:spacing w:before="120" w:after="120"/>
        <w:ind w:firstLine="720"/>
        <w:rPr>
          <w:kern w:val="22"/>
          <w:szCs w:val="22"/>
          <w:lang w:val="fr-FR"/>
        </w:rPr>
      </w:pPr>
      <w:r w:rsidRPr="00CC6565">
        <w:rPr>
          <w:kern w:val="22"/>
          <w:szCs w:val="22"/>
          <w:lang w:val="fr-FR"/>
        </w:rPr>
        <w:t>e)</w:t>
      </w:r>
      <w:r w:rsidRPr="00CC6565">
        <w:rPr>
          <w:kern w:val="22"/>
          <w:szCs w:val="22"/>
          <w:lang w:val="fr-FR"/>
        </w:rPr>
        <w:tab/>
      </w:r>
      <w:r w:rsidRPr="00CC6565">
        <w:rPr>
          <w:kern w:val="22"/>
          <w:lang w:val="fr-FR"/>
        </w:rPr>
        <w:t>Le Plan d’action sur l’utilisation durable coutum</w:t>
      </w:r>
      <w:r w:rsidR="00FD04FB">
        <w:rPr>
          <w:kern w:val="22"/>
          <w:lang w:val="fr-FR"/>
        </w:rPr>
        <w:t>ière de la diversité biologique</w:t>
      </w:r>
      <w:r w:rsidRPr="00CC6565">
        <w:rPr>
          <w:rStyle w:val="FootnoteReference"/>
          <w:kern w:val="22"/>
          <w:szCs w:val="22"/>
          <w:lang w:val="fr-FR"/>
        </w:rPr>
        <w:footnoteReference w:id="11"/>
      </w:r>
      <w:r w:rsidR="00FD04FB">
        <w:rPr>
          <w:kern w:val="22"/>
          <w:lang w:val="fr-FR"/>
        </w:rPr>
        <w:t> ;</w:t>
      </w:r>
    </w:p>
    <w:p w14:paraId="5044A423" w14:textId="46FE487D" w:rsidR="00CC6565" w:rsidRPr="00CC6565" w:rsidRDefault="00CC6565" w:rsidP="00CC6565">
      <w:pPr>
        <w:pStyle w:val="Para1"/>
        <w:numPr>
          <w:ilvl w:val="0"/>
          <w:numId w:val="0"/>
        </w:numPr>
        <w:ind w:firstLine="709"/>
        <w:rPr>
          <w:kern w:val="22"/>
          <w:lang w:val="fr-FR"/>
        </w:rPr>
      </w:pPr>
      <w:r w:rsidRPr="00CC6565">
        <w:rPr>
          <w:i/>
          <w:kern w:val="22"/>
          <w:lang w:val="fr-FR"/>
        </w:rPr>
        <w:t xml:space="preserve">Prenant en considération </w:t>
      </w:r>
      <w:r w:rsidR="00FD04FB">
        <w:rPr>
          <w:kern w:val="22"/>
          <w:lang w:val="fr-FR"/>
        </w:rPr>
        <w:t>le programme de travail conjoint du</w:t>
      </w:r>
      <w:r w:rsidRPr="00CC6565">
        <w:rPr>
          <w:kern w:val="22"/>
          <w:lang w:val="fr-FR"/>
        </w:rPr>
        <w:t xml:space="preserve"> Secrétariat de la Convention sur la diversité biologique et</w:t>
      </w:r>
      <w:r w:rsidR="00FD04FB">
        <w:rPr>
          <w:kern w:val="22"/>
          <w:lang w:val="fr-FR"/>
        </w:rPr>
        <w:t xml:space="preserve"> de</w:t>
      </w:r>
      <w:r w:rsidRPr="00CC6565">
        <w:rPr>
          <w:kern w:val="22"/>
          <w:lang w:val="fr-FR"/>
        </w:rPr>
        <w:t xml:space="preserve"> l’Organisation des Nations Unies pour l’éducation, la science et la culture sur les liens entre la div</w:t>
      </w:r>
      <w:r w:rsidR="00FD04FB">
        <w:rPr>
          <w:kern w:val="22"/>
          <w:lang w:val="fr-FR"/>
        </w:rPr>
        <w:t>ersité biologique et culturelle</w:t>
      </w:r>
      <w:r w:rsidRPr="00CC6565">
        <w:rPr>
          <w:rStyle w:val="FootnoteReference"/>
          <w:kern w:val="22"/>
          <w:szCs w:val="22"/>
          <w:lang w:val="fr-FR"/>
        </w:rPr>
        <w:footnoteReference w:id="12"/>
      </w:r>
      <w:r w:rsidR="00FD04FB">
        <w:rPr>
          <w:kern w:val="22"/>
          <w:lang w:val="fr-FR"/>
        </w:rPr>
        <w:t>,</w:t>
      </w:r>
    </w:p>
    <w:p w14:paraId="7459B83D" w14:textId="7E37BDAD" w:rsidR="00CC6565" w:rsidRPr="00CC6565" w:rsidRDefault="00CC6565" w:rsidP="00CC6565">
      <w:pPr>
        <w:suppressLineNumbers/>
        <w:suppressAutoHyphens/>
        <w:kinsoku w:val="0"/>
        <w:overflowPunct w:val="0"/>
        <w:autoSpaceDE w:val="0"/>
        <w:autoSpaceDN w:val="0"/>
        <w:adjustRightInd w:val="0"/>
        <w:snapToGrid w:val="0"/>
        <w:spacing w:before="120" w:after="120"/>
        <w:ind w:firstLine="720"/>
        <w:rPr>
          <w:rFonts w:eastAsia="Batang"/>
          <w:kern w:val="22"/>
          <w:szCs w:val="22"/>
          <w:lang w:val="fr-FR" w:eastAsia="ko-KR"/>
        </w:rPr>
      </w:pPr>
      <w:r w:rsidRPr="00CC6565">
        <w:rPr>
          <w:i/>
          <w:iCs/>
          <w:kern w:val="22"/>
          <w:lang w:val="fr-FR"/>
        </w:rPr>
        <w:t>Se félicitant</w:t>
      </w:r>
      <w:r w:rsidRPr="00CC6565">
        <w:rPr>
          <w:iCs/>
          <w:kern w:val="22"/>
          <w:lang w:val="fr-FR"/>
        </w:rPr>
        <w:t xml:space="preserve"> de l’achèvement des travaux sur la tâche 15 marqué par l’adoption des L</w:t>
      </w:r>
      <w:r w:rsidRPr="00CC6565">
        <w:rPr>
          <w:kern w:val="22"/>
          <w:lang w:val="fr-FR"/>
        </w:rPr>
        <w:t xml:space="preserve">ignes directrices </w:t>
      </w:r>
      <w:r w:rsidRPr="00CC6565">
        <w:rPr>
          <w:noProof/>
          <w:kern w:val="22"/>
          <w:lang w:val="fr-FR"/>
        </w:rPr>
        <w:t>facultatives Rutzolijirisaxik pour le</w:t>
      </w:r>
      <w:r w:rsidRPr="00CC6565">
        <w:rPr>
          <w:kern w:val="22"/>
          <w:lang w:val="fr-FR"/>
        </w:rPr>
        <w:t xml:space="preserve"> rapatriement des connaissances traditionnelles des peuples autochtones et des communautés locales présentant un intérêt pour la conservation et l’utilisation dur</w:t>
      </w:r>
      <w:r w:rsidR="00FD04FB">
        <w:rPr>
          <w:kern w:val="22"/>
          <w:lang w:val="fr-FR"/>
        </w:rPr>
        <w:t>able de la diversité biologique</w:t>
      </w:r>
      <w:r w:rsidRPr="00CC6565">
        <w:rPr>
          <w:rStyle w:val="FootnoteReference"/>
          <w:kern w:val="22"/>
          <w:szCs w:val="22"/>
          <w:lang w:val="fr-FR"/>
        </w:rPr>
        <w:footnoteReference w:id="13"/>
      </w:r>
      <w:r w:rsidR="00FD04FB">
        <w:rPr>
          <w:kern w:val="22"/>
          <w:lang w:val="fr-FR"/>
        </w:rPr>
        <w:t>,</w:t>
      </w:r>
    </w:p>
    <w:p w14:paraId="30FE0116" w14:textId="77777777" w:rsidR="00CC6565" w:rsidRPr="00CC6565" w:rsidRDefault="00CC6565" w:rsidP="00CC6565">
      <w:pPr>
        <w:pStyle w:val="Para1"/>
        <w:numPr>
          <w:ilvl w:val="0"/>
          <w:numId w:val="0"/>
        </w:numPr>
        <w:ind w:firstLine="709"/>
        <w:rPr>
          <w:kern w:val="22"/>
          <w:lang w:val="fr-FR"/>
        </w:rPr>
      </w:pPr>
      <w:r w:rsidRPr="00CC6565">
        <w:rPr>
          <w:i/>
          <w:kern w:val="22"/>
          <w:lang w:val="fr-FR"/>
        </w:rPr>
        <w:t xml:space="preserve">Notant </w:t>
      </w:r>
      <w:r w:rsidRPr="00CC6565">
        <w:rPr>
          <w:kern w:val="22"/>
          <w:lang w:val="fr-FR"/>
        </w:rPr>
        <w:t>que les tâches 1, 2, 4, ainsi que l’application des lignes directrices et normes susmentionnées adoptées par la Conférence des Parties représentent des responsabilités permanentes des Parties,</w:t>
      </w:r>
    </w:p>
    <w:p w14:paraId="1B7C6576" w14:textId="77777777" w:rsidR="00CC6565" w:rsidRPr="00CC6565" w:rsidRDefault="00CC6565" w:rsidP="00CC6565">
      <w:pPr>
        <w:suppressLineNumbers/>
        <w:suppressAutoHyphens/>
        <w:kinsoku w:val="0"/>
        <w:overflowPunct w:val="0"/>
        <w:autoSpaceDE w:val="0"/>
        <w:autoSpaceDN w:val="0"/>
        <w:adjustRightInd w:val="0"/>
        <w:snapToGrid w:val="0"/>
        <w:spacing w:before="120" w:after="120"/>
        <w:ind w:firstLine="720"/>
        <w:rPr>
          <w:kern w:val="22"/>
          <w:szCs w:val="22"/>
          <w:lang w:val="fr-FR"/>
        </w:rPr>
      </w:pPr>
      <w:r w:rsidRPr="00CC6565">
        <w:rPr>
          <w:rFonts w:eastAsia="Batang"/>
          <w:i/>
          <w:kern w:val="22"/>
          <w:lang w:val="fr-FR"/>
        </w:rPr>
        <w:t>Soulignant</w:t>
      </w:r>
      <w:r w:rsidRPr="00CC6565">
        <w:rPr>
          <w:rFonts w:eastAsia="Batang"/>
          <w:kern w:val="22"/>
          <w:lang w:val="fr-FR"/>
        </w:rPr>
        <w:t xml:space="preserve"> la nécessité de promouvoir l’application effective des lignes directrices et normes relatives à l’article 8 j) et aux dispositions connexes à l’échelle nationale afin d’accomplir des progrès dans la réalisation de l’Objectif 18 d’Aichi pour la biodiversité du Plan stratégique pour la diversité biologique 2011-2020</w:t>
      </w:r>
      <w:r w:rsidRPr="00CC6565">
        <w:rPr>
          <w:rFonts w:eastAsia="Batang"/>
          <w:kern w:val="22"/>
          <w:szCs w:val="22"/>
          <w:lang w:val="fr-FR" w:eastAsia="ko-KR"/>
        </w:rPr>
        <w:t>,</w:t>
      </w:r>
    </w:p>
    <w:p w14:paraId="0E4D29C0" w14:textId="6A9FC80D" w:rsidR="00CC6565" w:rsidRPr="00CC6565" w:rsidRDefault="00CC6565" w:rsidP="00CC6565">
      <w:pPr>
        <w:suppressLineNumbers/>
        <w:suppressAutoHyphens/>
        <w:kinsoku w:val="0"/>
        <w:overflowPunct w:val="0"/>
        <w:autoSpaceDE w:val="0"/>
        <w:autoSpaceDN w:val="0"/>
        <w:adjustRightInd w:val="0"/>
        <w:snapToGrid w:val="0"/>
        <w:spacing w:before="120" w:after="120"/>
        <w:ind w:firstLine="720"/>
        <w:rPr>
          <w:kern w:val="22"/>
          <w:szCs w:val="22"/>
          <w:lang w:val="fr-FR"/>
        </w:rPr>
      </w:pPr>
      <w:r w:rsidRPr="00CC6565">
        <w:rPr>
          <w:rFonts w:eastAsia="Batang"/>
          <w:kern w:val="22"/>
          <w:szCs w:val="22"/>
          <w:lang w:val="fr-FR" w:eastAsia="ko-KR"/>
        </w:rPr>
        <w:t>1.</w:t>
      </w:r>
      <w:r w:rsidRPr="00CC6565">
        <w:rPr>
          <w:rFonts w:eastAsia="Batang"/>
          <w:i/>
          <w:kern w:val="22"/>
          <w:szCs w:val="22"/>
          <w:lang w:val="fr-FR" w:eastAsia="ko-KR"/>
        </w:rPr>
        <w:tab/>
      </w:r>
      <w:r w:rsidRPr="00CC6565">
        <w:rPr>
          <w:rFonts w:eastAsia="Batang"/>
          <w:i/>
          <w:kern w:val="22"/>
          <w:lang w:val="fr-FR"/>
        </w:rPr>
        <w:t>Décide</w:t>
      </w:r>
      <w:r w:rsidRPr="00CC6565">
        <w:rPr>
          <w:rFonts w:eastAsia="Batang"/>
          <w:kern w:val="22"/>
          <w:lang w:val="fr-FR"/>
        </w:rPr>
        <w:t xml:space="preserve"> d’achever le programme de travail actuel sur l’article </w:t>
      </w:r>
      <w:r w:rsidRPr="00CC6565">
        <w:rPr>
          <w:kern w:val="22"/>
          <w:lang w:val="fr-FR"/>
        </w:rPr>
        <w:t>8 j) et les dispositions connexes au plus tard à la quinzième réunion de la Conférence des Parties</w:t>
      </w:r>
      <w:r w:rsidR="009635D0">
        <w:rPr>
          <w:kern w:val="22"/>
          <w:lang w:val="fr-FR"/>
        </w:rPr>
        <w:t> </w:t>
      </w:r>
      <w:r w:rsidR="009635D0">
        <w:rPr>
          <w:kern w:val="22"/>
          <w:szCs w:val="22"/>
          <w:lang w:val="fr-FR"/>
        </w:rPr>
        <w:t>;</w:t>
      </w:r>
      <w:r w:rsidR="00962A5D">
        <w:rPr>
          <w:kern w:val="22"/>
          <w:szCs w:val="22"/>
          <w:lang w:val="fr-FR"/>
        </w:rPr>
        <w:t xml:space="preserve"> </w:t>
      </w:r>
    </w:p>
    <w:p w14:paraId="414761F9" w14:textId="37BA2F95" w:rsidR="00CC6565" w:rsidRPr="00CC6565" w:rsidRDefault="00CC6565" w:rsidP="00CC6565">
      <w:pPr>
        <w:suppressLineNumbers/>
        <w:suppressAutoHyphens/>
        <w:kinsoku w:val="0"/>
        <w:overflowPunct w:val="0"/>
        <w:autoSpaceDE w:val="0"/>
        <w:autoSpaceDN w:val="0"/>
        <w:adjustRightInd w:val="0"/>
        <w:snapToGrid w:val="0"/>
        <w:spacing w:before="120" w:after="120"/>
        <w:ind w:firstLine="720"/>
        <w:rPr>
          <w:iCs/>
          <w:kern w:val="22"/>
          <w:szCs w:val="22"/>
          <w:lang w:val="fr-FR"/>
        </w:rPr>
      </w:pPr>
      <w:r w:rsidRPr="00CC6565">
        <w:rPr>
          <w:kern w:val="22"/>
          <w:szCs w:val="22"/>
          <w:lang w:val="fr-FR"/>
        </w:rPr>
        <w:lastRenderedPageBreak/>
        <w:t>2.</w:t>
      </w:r>
      <w:r w:rsidRPr="00CC6565">
        <w:rPr>
          <w:kern w:val="22"/>
          <w:szCs w:val="22"/>
          <w:lang w:val="fr-FR"/>
        </w:rPr>
        <w:tab/>
      </w:r>
      <w:r w:rsidRPr="00CC6565">
        <w:rPr>
          <w:i/>
          <w:kern w:val="22"/>
          <w:lang w:val="fr-FR"/>
        </w:rPr>
        <w:t>Décide</w:t>
      </w:r>
      <w:r w:rsidRPr="00CC6565">
        <w:rPr>
          <w:kern w:val="22"/>
          <w:lang w:val="fr-FR"/>
        </w:rPr>
        <w:t xml:space="preserve"> </w:t>
      </w:r>
      <w:r w:rsidRPr="00CC6565">
        <w:rPr>
          <w:i/>
          <w:kern w:val="22"/>
          <w:lang w:val="fr-FR"/>
        </w:rPr>
        <w:t>également</w:t>
      </w:r>
      <w:r w:rsidRPr="00CC6565">
        <w:rPr>
          <w:kern w:val="22"/>
          <w:lang w:val="fr-FR"/>
        </w:rPr>
        <w:t xml:space="preserve"> d’envisager l’élaboration d’un programme de travail pleinement intégré sur l’article 8 j) et les dispositions connexes au sein du cadre de la biodiversité pour l’après-2020</w:t>
      </w:r>
      <w:r>
        <w:rPr>
          <w:kern w:val="22"/>
          <w:lang w:val="fr-FR"/>
        </w:rPr>
        <w:t xml:space="preserve">, </w:t>
      </w:r>
      <w:r w:rsidR="00A8439D">
        <w:rPr>
          <w:kern w:val="22"/>
          <w:lang w:val="fr-FR"/>
        </w:rPr>
        <w:t>afin de</w:t>
      </w:r>
      <w:r w:rsidR="00222498" w:rsidRPr="00222498">
        <w:rPr>
          <w:kern w:val="22"/>
          <w:lang w:val="fr-FR"/>
        </w:rPr>
        <w:t xml:space="preserve"> permettre la participation pleine et effective des peuples autochtones et des communautés locales aux travaux menés dans le cadre de la Convention</w:t>
      </w:r>
      <w:r w:rsidR="00222498">
        <w:rPr>
          <w:kern w:val="22"/>
          <w:lang w:val="fr-FR"/>
        </w:rPr>
        <w:t xml:space="preserve">, </w:t>
      </w:r>
      <w:r w:rsidRPr="00CC6565">
        <w:rPr>
          <w:kern w:val="22"/>
          <w:lang w:val="fr-FR"/>
        </w:rPr>
        <w:t xml:space="preserve">sur la base des réalisations accomplies jusqu’à présent, en prenant en compte les tâches des Parties en cours de réalisation ou reportées, ainsi que le Programme de développement durable à l’horizon 2030 </w:t>
      </w:r>
      <w:r w:rsidR="00222498" w:rsidRPr="00222498">
        <w:rPr>
          <w:kern w:val="22"/>
          <w:lang w:val="fr-FR"/>
        </w:rPr>
        <w:t>et ses objectifs</w:t>
      </w:r>
      <w:r w:rsidR="00227B49" w:rsidRPr="00227B49">
        <w:rPr>
          <w:kern w:val="22"/>
          <w:vertAlign w:val="superscript"/>
          <w:lang w:val="fr-FR"/>
        </w:rPr>
        <w:fldChar w:fldCharType="begin"/>
      </w:r>
      <w:r w:rsidR="00227B49" w:rsidRPr="00227B49">
        <w:rPr>
          <w:kern w:val="22"/>
          <w:vertAlign w:val="superscript"/>
          <w:lang w:val="fr-FR"/>
        </w:rPr>
        <w:instrText xml:space="preserve"> NOTEREF _Ref535325687 \h </w:instrText>
      </w:r>
      <w:r w:rsidR="00227B49" w:rsidRPr="00227B49">
        <w:rPr>
          <w:kern w:val="22"/>
          <w:vertAlign w:val="superscript"/>
          <w:lang w:val="fr-FR"/>
        </w:rPr>
      </w:r>
      <w:r w:rsidR="00227B49" w:rsidRPr="00227B49">
        <w:rPr>
          <w:kern w:val="22"/>
          <w:vertAlign w:val="superscript"/>
          <w:lang w:val="fr-FR"/>
        </w:rPr>
        <w:instrText xml:space="preserve"> \* MERGEFORMAT </w:instrText>
      </w:r>
      <w:r w:rsidR="00227B49" w:rsidRPr="00227B49">
        <w:rPr>
          <w:kern w:val="22"/>
          <w:vertAlign w:val="superscript"/>
          <w:lang w:val="fr-FR"/>
        </w:rPr>
        <w:fldChar w:fldCharType="separate"/>
      </w:r>
      <w:r w:rsidR="00227B49" w:rsidRPr="00227B49">
        <w:rPr>
          <w:kern w:val="22"/>
          <w:vertAlign w:val="superscript"/>
          <w:lang w:val="fr-FR"/>
        </w:rPr>
        <w:t>2</w:t>
      </w:r>
      <w:r w:rsidR="00227B49" w:rsidRPr="00227B49">
        <w:rPr>
          <w:kern w:val="22"/>
          <w:vertAlign w:val="superscript"/>
          <w:lang w:val="fr-FR"/>
        </w:rPr>
        <w:fldChar w:fldCharType="end"/>
      </w:r>
      <w:r w:rsidR="00222498" w:rsidRPr="00222498">
        <w:rPr>
          <w:kern w:val="22"/>
          <w:lang w:val="fr-FR"/>
        </w:rPr>
        <w:t>, l’Accord de Paris</w:t>
      </w:r>
      <w:r w:rsidR="00227B49" w:rsidRPr="00227B49">
        <w:rPr>
          <w:kern w:val="22"/>
          <w:vertAlign w:val="superscript"/>
          <w:lang w:val="fr-FR"/>
        </w:rPr>
        <w:fldChar w:fldCharType="begin"/>
      </w:r>
      <w:r w:rsidR="00227B49" w:rsidRPr="00227B49">
        <w:rPr>
          <w:kern w:val="22"/>
          <w:vertAlign w:val="superscript"/>
          <w:lang w:val="fr-FR"/>
        </w:rPr>
        <w:instrText xml:space="preserve"> NOTEREF _Ref531088869 \h </w:instrText>
      </w:r>
      <w:r w:rsidR="00227B49" w:rsidRPr="00227B49">
        <w:rPr>
          <w:kern w:val="22"/>
          <w:vertAlign w:val="superscript"/>
          <w:lang w:val="fr-FR"/>
        </w:rPr>
      </w:r>
      <w:r w:rsidR="00227B49" w:rsidRPr="00227B49">
        <w:rPr>
          <w:kern w:val="22"/>
          <w:vertAlign w:val="superscript"/>
          <w:lang w:val="fr-FR"/>
        </w:rPr>
        <w:instrText xml:space="preserve"> \* MERGEFORMAT </w:instrText>
      </w:r>
      <w:r w:rsidR="00227B49" w:rsidRPr="00227B49">
        <w:rPr>
          <w:kern w:val="22"/>
          <w:vertAlign w:val="superscript"/>
          <w:lang w:val="fr-FR"/>
        </w:rPr>
        <w:fldChar w:fldCharType="separate"/>
      </w:r>
      <w:r w:rsidR="00227B49" w:rsidRPr="00227B49">
        <w:rPr>
          <w:kern w:val="22"/>
          <w:vertAlign w:val="superscript"/>
          <w:lang w:val="fr-FR"/>
        </w:rPr>
        <w:t>3</w:t>
      </w:r>
      <w:r w:rsidR="00227B49" w:rsidRPr="00227B49">
        <w:rPr>
          <w:kern w:val="22"/>
          <w:vertAlign w:val="superscript"/>
          <w:lang w:val="fr-FR"/>
        </w:rPr>
        <w:fldChar w:fldCharType="end"/>
      </w:r>
      <w:r w:rsidR="00222498" w:rsidRPr="00222498">
        <w:rPr>
          <w:kern w:val="22"/>
          <w:lang w:val="fr-FR"/>
        </w:rPr>
        <w:t xml:space="preserve"> dans le cadre de la Convention-cadre des Nations Unies sur les changements climatiques</w:t>
      </w:r>
      <w:r w:rsidR="00222498">
        <w:rPr>
          <w:kern w:val="22"/>
          <w:lang w:val="fr-FR"/>
        </w:rPr>
        <w:t>,</w:t>
      </w:r>
      <w:r w:rsidR="00222498" w:rsidRPr="00222498">
        <w:rPr>
          <w:kern w:val="22"/>
          <w:lang w:val="fr-FR"/>
        </w:rPr>
        <w:t xml:space="preserve"> </w:t>
      </w:r>
      <w:r w:rsidRPr="00CC6565">
        <w:rPr>
          <w:kern w:val="22"/>
          <w:lang w:val="fr-FR"/>
        </w:rPr>
        <w:t xml:space="preserve">ainsi que </w:t>
      </w:r>
      <w:r w:rsidRPr="00CC6565">
        <w:rPr>
          <w:kern w:val="22"/>
          <w:szCs w:val="22"/>
          <w:lang w:val="fr-FR"/>
        </w:rPr>
        <w:t>les insuffisances reconnues</w:t>
      </w:r>
      <w:r w:rsidR="009F658A">
        <w:rPr>
          <w:kern w:val="22"/>
          <w:szCs w:val="22"/>
          <w:lang w:val="fr-FR"/>
        </w:rPr>
        <w:t> </w:t>
      </w:r>
      <w:r w:rsidR="009F658A">
        <w:rPr>
          <w:iCs/>
          <w:kern w:val="22"/>
          <w:szCs w:val="22"/>
          <w:lang w:val="fr-FR"/>
        </w:rPr>
        <w:t>;</w:t>
      </w:r>
    </w:p>
    <w:p w14:paraId="6A866246" w14:textId="16D1C88F" w:rsidR="00CC6565" w:rsidRPr="00CC6565" w:rsidRDefault="00CC6565" w:rsidP="00CC6565">
      <w:pPr>
        <w:pStyle w:val="Para1"/>
        <w:numPr>
          <w:ilvl w:val="0"/>
          <w:numId w:val="0"/>
        </w:numPr>
        <w:ind w:firstLine="709"/>
        <w:rPr>
          <w:rFonts w:eastAsia="Batang"/>
          <w:kern w:val="22"/>
          <w:lang w:val="fr-FR" w:eastAsia="ko-KR"/>
        </w:rPr>
      </w:pPr>
      <w:r w:rsidRPr="00CC6565">
        <w:rPr>
          <w:kern w:val="22"/>
          <w:szCs w:val="22"/>
          <w:lang w:val="fr-FR"/>
        </w:rPr>
        <w:t>3.</w:t>
      </w:r>
      <w:r w:rsidRPr="00CC6565">
        <w:rPr>
          <w:kern w:val="22"/>
          <w:szCs w:val="22"/>
          <w:lang w:val="fr-FR"/>
        </w:rPr>
        <w:tab/>
      </w:r>
      <w:r w:rsidRPr="00CC6565">
        <w:rPr>
          <w:i/>
          <w:kern w:val="22"/>
          <w:lang w:val="fr-FR"/>
        </w:rPr>
        <w:t>Invite</w:t>
      </w:r>
      <w:r w:rsidRPr="00CC6565">
        <w:rPr>
          <w:kern w:val="22"/>
          <w:lang w:val="fr-FR"/>
        </w:rPr>
        <w:t xml:space="preserve"> les Parties à recueillir des données d’expérience dans l’application des lignes directrices et normes relatives à l’article 8 j) et ses dispositions connexes à l’échelle nationale et, à la lumière de ces expériences, à examiner le besoin de futurs travaux sur ces questions dans le cadre de l’élaboration d’un programm</w:t>
      </w:r>
      <w:r w:rsidR="009F658A">
        <w:rPr>
          <w:kern w:val="22"/>
          <w:lang w:val="fr-FR"/>
        </w:rPr>
        <w:t>e de travail pleinement intégré ;</w:t>
      </w:r>
    </w:p>
    <w:p w14:paraId="407508F2" w14:textId="378026B1" w:rsidR="00CC6565" w:rsidRPr="00CC6565" w:rsidRDefault="00CC6565" w:rsidP="00CC6565">
      <w:pPr>
        <w:suppressLineNumbers/>
        <w:suppressAutoHyphens/>
        <w:kinsoku w:val="0"/>
        <w:overflowPunct w:val="0"/>
        <w:autoSpaceDE w:val="0"/>
        <w:autoSpaceDN w:val="0"/>
        <w:adjustRightInd w:val="0"/>
        <w:snapToGrid w:val="0"/>
        <w:spacing w:before="120" w:after="120"/>
        <w:ind w:firstLine="720"/>
        <w:rPr>
          <w:rFonts w:eastAsia="Batang"/>
          <w:kern w:val="22"/>
          <w:szCs w:val="22"/>
          <w:lang w:val="fr-FR" w:eastAsia="ko-KR"/>
        </w:rPr>
      </w:pPr>
      <w:r w:rsidRPr="00CC6565">
        <w:rPr>
          <w:iCs/>
          <w:kern w:val="22"/>
          <w:lang w:val="fr-FR"/>
        </w:rPr>
        <w:t>4.</w:t>
      </w:r>
      <w:r w:rsidRPr="00CC6565">
        <w:rPr>
          <w:i/>
          <w:iCs/>
          <w:kern w:val="22"/>
          <w:lang w:val="fr-FR"/>
        </w:rPr>
        <w:tab/>
        <w:t>Encourage</w:t>
      </w:r>
      <w:r w:rsidRPr="00CC6565">
        <w:rPr>
          <w:kern w:val="22"/>
          <w:lang w:val="fr-FR"/>
        </w:rPr>
        <w:t xml:space="preserve"> les</w:t>
      </w:r>
      <w:r w:rsidRPr="00CC6565">
        <w:rPr>
          <w:i/>
          <w:iCs/>
          <w:kern w:val="22"/>
          <w:lang w:val="fr-FR"/>
        </w:rPr>
        <w:t xml:space="preserve"> </w:t>
      </w:r>
      <w:r w:rsidRPr="00CC6565">
        <w:rPr>
          <w:kern w:val="22"/>
          <w:lang w:val="fr-FR"/>
        </w:rPr>
        <w:t>Parties à collaborer avec les peuples autochtones et les communautés locales dans le cadre de l’application de la Convention, y compris par la reconnaissance, l’appui et l</w:t>
      </w:r>
      <w:r w:rsidR="00427823">
        <w:rPr>
          <w:kern w:val="22"/>
          <w:lang w:val="fr-FR"/>
        </w:rPr>
        <w:t xml:space="preserve">’appréciation </w:t>
      </w:r>
      <w:r w:rsidRPr="00CC6565">
        <w:rPr>
          <w:kern w:val="22"/>
          <w:lang w:val="fr-FR"/>
        </w:rPr>
        <w:t>de leurs mesures collectives, et notamment des efforts qu’ils déploient pour protéger et conserver leurs territoires et aires, afin d’atteindre les objectifs de la Convention, et à les investir pleinement dans la préparation des rapports nationaux, la révision et l’application des stratégies et plans d’action nationaux pour la diversité biologique, et le processus d’élaboration du cadre de la biodiversité pour l’après-2020 au titre de la Convention</w:t>
      </w:r>
      <w:r w:rsidR="00427823">
        <w:rPr>
          <w:kern w:val="22"/>
          <w:lang w:val="fr-FR"/>
        </w:rPr>
        <w:t> </w:t>
      </w:r>
      <w:r w:rsidR="00427823">
        <w:rPr>
          <w:kern w:val="22"/>
          <w:szCs w:val="22"/>
          <w:lang w:val="fr-FR"/>
        </w:rPr>
        <w:t>;</w:t>
      </w:r>
    </w:p>
    <w:p w14:paraId="64E50CDF" w14:textId="558D78AB" w:rsidR="00CC6565" w:rsidRPr="00CC6565" w:rsidRDefault="00CC6565" w:rsidP="00CC6565">
      <w:pPr>
        <w:suppressLineNumbers/>
        <w:suppressAutoHyphens/>
        <w:kinsoku w:val="0"/>
        <w:overflowPunct w:val="0"/>
        <w:autoSpaceDE w:val="0"/>
        <w:autoSpaceDN w:val="0"/>
        <w:adjustRightInd w:val="0"/>
        <w:snapToGrid w:val="0"/>
        <w:spacing w:before="120" w:after="120"/>
        <w:ind w:firstLine="720"/>
        <w:rPr>
          <w:kern w:val="22"/>
          <w:szCs w:val="22"/>
          <w:lang w:val="fr-FR"/>
        </w:rPr>
      </w:pPr>
      <w:r w:rsidRPr="00CC6565">
        <w:rPr>
          <w:kern w:val="22"/>
          <w:szCs w:val="22"/>
          <w:lang w:val="fr-FR"/>
        </w:rPr>
        <w:t>5</w:t>
      </w:r>
      <w:r w:rsidRPr="00CC6565">
        <w:rPr>
          <w:i/>
          <w:kern w:val="22"/>
          <w:szCs w:val="22"/>
          <w:lang w:val="fr-FR"/>
        </w:rPr>
        <w:t>.</w:t>
      </w:r>
      <w:r w:rsidRPr="00CC6565">
        <w:rPr>
          <w:i/>
          <w:kern w:val="22"/>
          <w:szCs w:val="22"/>
          <w:lang w:val="fr-FR"/>
        </w:rPr>
        <w:tab/>
      </w:r>
      <w:r w:rsidRPr="00CC6565">
        <w:rPr>
          <w:i/>
          <w:kern w:val="22"/>
          <w:lang w:val="fr-FR"/>
        </w:rPr>
        <w:t>Invite</w:t>
      </w:r>
      <w:r w:rsidRPr="00CC6565">
        <w:rPr>
          <w:rFonts w:eastAsia="Batang"/>
          <w:kern w:val="22"/>
          <w:lang w:val="fr-FR"/>
        </w:rPr>
        <w:t xml:space="preserve"> les Parties et les autres gouvernements à faire rapport sur la mise en œuvre du programme de travail sur l’article </w:t>
      </w:r>
      <w:r w:rsidRPr="00CC6565">
        <w:rPr>
          <w:kern w:val="22"/>
          <w:lang w:val="fr-FR"/>
        </w:rPr>
        <w:t>8 j) et les dispositions connexes, en particulier les tâches 1, 2 et 4 et la mise en œuvre du Plan d’action sur l’utilisation coutumière durable, ainsi que l’application de diverses lignes directrices et normes élaborées sous l’égide du Groupe de travail spécial à composition non limitée sur l’article 8 j) et les dispositions connexes et adoptées par la Conférence des Parties, par le biais des rapports nationaux ou du Centre d’échange</w:t>
      </w:r>
      <w:r w:rsidR="00222498">
        <w:rPr>
          <w:kern w:val="22"/>
          <w:lang w:val="fr-FR"/>
        </w:rPr>
        <w:t xml:space="preserve">, </w:t>
      </w:r>
      <w:r w:rsidRPr="00CC6565">
        <w:rPr>
          <w:kern w:val="22"/>
          <w:lang w:val="fr-FR"/>
        </w:rPr>
        <w:t xml:space="preserve"> afin de déterminer les progrès accomplis et de contribuer à l’élaboration du cadre de la</w:t>
      </w:r>
      <w:r w:rsidR="00427823">
        <w:rPr>
          <w:kern w:val="22"/>
          <w:lang w:val="fr-FR"/>
        </w:rPr>
        <w:t xml:space="preserve"> biodiversité pour l’après-2020 ;</w:t>
      </w:r>
    </w:p>
    <w:p w14:paraId="422BA280" w14:textId="77777777" w:rsidR="00CC6565" w:rsidRPr="00CC6565" w:rsidRDefault="00CC6565" w:rsidP="00CC6565">
      <w:pPr>
        <w:suppressLineNumbers/>
        <w:suppressAutoHyphens/>
        <w:kinsoku w:val="0"/>
        <w:overflowPunct w:val="0"/>
        <w:autoSpaceDE w:val="0"/>
        <w:autoSpaceDN w:val="0"/>
        <w:adjustRightInd w:val="0"/>
        <w:snapToGrid w:val="0"/>
        <w:spacing w:before="120" w:after="120"/>
        <w:ind w:firstLine="720"/>
        <w:rPr>
          <w:kern w:val="22"/>
          <w:szCs w:val="22"/>
          <w:lang w:val="fr-FR"/>
        </w:rPr>
      </w:pPr>
      <w:r w:rsidRPr="00CC6565">
        <w:rPr>
          <w:kern w:val="22"/>
          <w:szCs w:val="22"/>
          <w:lang w:val="fr-FR"/>
        </w:rPr>
        <w:t>6.</w:t>
      </w:r>
      <w:r w:rsidRPr="00CC6565">
        <w:rPr>
          <w:i/>
          <w:kern w:val="22"/>
          <w:szCs w:val="22"/>
          <w:lang w:val="fr-FR"/>
        </w:rPr>
        <w:tab/>
      </w:r>
      <w:r w:rsidRPr="00CC6565">
        <w:rPr>
          <w:i/>
          <w:kern w:val="22"/>
          <w:lang w:val="fr-FR"/>
        </w:rPr>
        <w:t>Prie</w:t>
      </w:r>
      <w:r w:rsidRPr="00CC6565">
        <w:rPr>
          <w:kern w:val="22"/>
          <w:lang w:val="fr-FR"/>
        </w:rPr>
        <w:t xml:space="preserve"> la Secrétaire exécutive de favoriser la mise en place d’un forum en ligne invitant les Parties, les autres gouvernements, les peuples autochtones et les communautés locales, les autres organisations compétentes et les parties prenantes intéressées à procéder à un premier échange de vues et d’informations, selon qu’il convient, sur :</w:t>
      </w:r>
    </w:p>
    <w:p w14:paraId="1F05DA06" w14:textId="1E9159C5" w:rsidR="00CC6565" w:rsidRPr="00CC6565" w:rsidRDefault="00CC6565" w:rsidP="00CC6565">
      <w:pPr>
        <w:pStyle w:val="Para1"/>
        <w:numPr>
          <w:ilvl w:val="0"/>
          <w:numId w:val="0"/>
        </w:numPr>
        <w:ind w:firstLine="709"/>
        <w:rPr>
          <w:kern w:val="22"/>
          <w:lang w:val="fr-FR"/>
        </w:rPr>
      </w:pPr>
      <w:r w:rsidRPr="00CC6565">
        <w:rPr>
          <w:kern w:val="22"/>
          <w:lang w:val="fr-FR"/>
        </w:rPr>
        <w:t>a)</w:t>
      </w:r>
      <w:r w:rsidRPr="00CC6565">
        <w:rPr>
          <w:kern w:val="22"/>
          <w:lang w:val="fr-FR"/>
        </w:rPr>
        <w:tab/>
        <w:t xml:space="preserve">les objectifs possibles à envisager pour réaliser une intégration efficace des travaux des organes subsidiaires sur des questions concernant directement les peuples autochtones et les communautés locales et permettre leur participation pleine et effective </w:t>
      </w:r>
      <w:r w:rsidR="00427823">
        <w:rPr>
          <w:kern w:val="22"/>
          <w:lang w:val="fr-FR"/>
        </w:rPr>
        <w:t>aux travaux de la Convention ;</w:t>
      </w:r>
    </w:p>
    <w:p w14:paraId="3E89E3A2" w14:textId="77777777" w:rsidR="00CC6565" w:rsidRPr="00CC6565" w:rsidRDefault="00CC6565" w:rsidP="00CC6565">
      <w:pPr>
        <w:pStyle w:val="Para1"/>
        <w:numPr>
          <w:ilvl w:val="0"/>
          <w:numId w:val="0"/>
        </w:numPr>
        <w:ind w:firstLine="709"/>
        <w:rPr>
          <w:kern w:val="22"/>
          <w:lang w:val="fr-FR"/>
        </w:rPr>
      </w:pPr>
      <w:r w:rsidRPr="00CC6565">
        <w:rPr>
          <w:kern w:val="22"/>
          <w:lang w:val="fr-FR"/>
        </w:rPr>
        <w:t>b)</w:t>
      </w:r>
      <w:r w:rsidRPr="00CC6565">
        <w:rPr>
          <w:kern w:val="22"/>
          <w:lang w:val="fr-FR"/>
        </w:rPr>
        <w:tab/>
        <w:t>les éléments possibles d’un programme de travail sur l’article 8 j) et les dispositions connexes en tant que composante du cadre de la biodiversité pour l’après-2020;</w:t>
      </w:r>
    </w:p>
    <w:p w14:paraId="4AEE9452" w14:textId="12766D86" w:rsidR="00CC6565" w:rsidRPr="00CC6565" w:rsidRDefault="00CC6565" w:rsidP="00CC6565">
      <w:pPr>
        <w:suppressLineNumbers/>
        <w:suppressAutoHyphens/>
        <w:kinsoku w:val="0"/>
        <w:overflowPunct w:val="0"/>
        <w:autoSpaceDE w:val="0"/>
        <w:autoSpaceDN w:val="0"/>
        <w:adjustRightInd w:val="0"/>
        <w:snapToGrid w:val="0"/>
        <w:spacing w:before="120" w:after="120"/>
        <w:ind w:firstLine="720"/>
        <w:rPr>
          <w:kern w:val="22"/>
          <w:szCs w:val="22"/>
          <w:lang w:val="fr-FR"/>
        </w:rPr>
      </w:pPr>
      <w:r w:rsidRPr="00CC6565">
        <w:rPr>
          <w:kern w:val="22"/>
          <w:lang w:val="fr-FR"/>
        </w:rPr>
        <w:t>c)</w:t>
      </w:r>
      <w:r w:rsidRPr="00CC6565">
        <w:rPr>
          <w:kern w:val="22"/>
          <w:lang w:val="fr-FR"/>
        </w:rPr>
        <w:tab/>
        <w:t>les arrang</w:t>
      </w:r>
      <w:r w:rsidR="00427823">
        <w:rPr>
          <w:kern w:val="22"/>
          <w:lang w:val="fr-FR"/>
        </w:rPr>
        <w:t>ements institutionnels éventuels</w:t>
      </w:r>
      <w:r w:rsidRPr="00CC6565">
        <w:rPr>
          <w:kern w:val="22"/>
          <w:lang w:val="fr-FR"/>
        </w:rPr>
        <w:t>, les enseignements tirés et les avantages et les inconvénients des dispositions actuelles:</w:t>
      </w:r>
    </w:p>
    <w:p w14:paraId="3DBCD8CB" w14:textId="145F4F3C" w:rsidR="00CC6565" w:rsidRPr="00CC6565" w:rsidRDefault="00CC6565" w:rsidP="00CC6565">
      <w:pPr>
        <w:pStyle w:val="Para1"/>
        <w:numPr>
          <w:ilvl w:val="0"/>
          <w:numId w:val="0"/>
        </w:numPr>
        <w:ind w:firstLine="709"/>
        <w:rPr>
          <w:kern w:val="22"/>
          <w:lang w:val="fr-FR"/>
        </w:rPr>
      </w:pPr>
      <w:r w:rsidRPr="00CC6565">
        <w:rPr>
          <w:kern w:val="22"/>
          <w:szCs w:val="22"/>
          <w:lang w:val="fr-FR"/>
        </w:rPr>
        <w:t>7.</w:t>
      </w:r>
      <w:r w:rsidRPr="00CC6565">
        <w:rPr>
          <w:kern w:val="22"/>
          <w:szCs w:val="22"/>
          <w:lang w:val="fr-FR"/>
        </w:rPr>
        <w:tab/>
      </w:r>
      <w:r w:rsidRPr="00CC6565">
        <w:rPr>
          <w:i/>
          <w:iCs/>
          <w:kern w:val="22"/>
          <w:lang w:val="fr-FR"/>
        </w:rPr>
        <w:t>Prie également</w:t>
      </w:r>
      <w:r w:rsidRPr="00CC6565">
        <w:rPr>
          <w:kern w:val="22"/>
          <w:lang w:val="fr-FR"/>
        </w:rPr>
        <w:t xml:space="preserve"> la Secrétaire exécutive d’élaborer un résumé de l’échange de vues reçues pendant le forum en ligne et de le mettre à disposition du Groupe de travail spécial à composition non limitée sur l’article 8 j) et les dispositions connexes </w:t>
      </w:r>
      <w:r w:rsidRPr="00CC6565">
        <w:rPr>
          <w:rFonts w:eastAsia="Batang"/>
          <w:kern w:val="22"/>
          <w:lang w:val="fr-FR"/>
        </w:rPr>
        <w:t>à sa onzième réunion</w:t>
      </w:r>
      <w:r w:rsidR="00427823">
        <w:rPr>
          <w:rFonts w:eastAsia="Batang"/>
          <w:kern w:val="22"/>
          <w:lang w:val="fr-FR"/>
        </w:rPr>
        <w:t> </w:t>
      </w:r>
      <w:r w:rsidR="00427823">
        <w:rPr>
          <w:kern w:val="22"/>
          <w:lang w:val="fr-FR"/>
        </w:rPr>
        <w:t>;</w:t>
      </w:r>
    </w:p>
    <w:p w14:paraId="10D5B6C5" w14:textId="77777777" w:rsidR="00CC6565" w:rsidRPr="00CC6565" w:rsidRDefault="00CC6565" w:rsidP="00CC6565">
      <w:pPr>
        <w:pStyle w:val="Para1"/>
        <w:numPr>
          <w:ilvl w:val="0"/>
          <w:numId w:val="0"/>
        </w:numPr>
        <w:ind w:firstLine="709"/>
        <w:rPr>
          <w:rFonts w:eastAsia="Batang"/>
          <w:iCs/>
          <w:kern w:val="22"/>
          <w:lang w:val="fr-FR" w:eastAsia="ko-KR"/>
        </w:rPr>
      </w:pPr>
      <w:r w:rsidRPr="00CC6565">
        <w:rPr>
          <w:rFonts w:eastAsia="Batang"/>
          <w:kern w:val="22"/>
          <w:lang w:val="fr-FR" w:eastAsia="ko-KR"/>
        </w:rPr>
        <w:t>8</w:t>
      </w:r>
      <w:r w:rsidRPr="00CC6565">
        <w:rPr>
          <w:rFonts w:eastAsia="Batang"/>
          <w:i/>
          <w:kern w:val="22"/>
          <w:lang w:val="fr-FR" w:eastAsia="ko-KR"/>
        </w:rPr>
        <w:t>.</w:t>
      </w:r>
      <w:r w:rsidRPr="00CC6565">
        <w:rPr>
          <w:rFonts w:eastAsia="Batang"/>
          <w:i/>
          <w:kern w:val="22"/>
          <w:lang w:val="fr-FR" w:eastAsia="ko-KR"/>
        </w:rPr>
        <w:tab/>
      </w:r>
      <w:r w:rsidRPr="00CC6565">
        <w:rPr>
          <w:rFonts w:eastAsia="Batang"/>
          <w:i/>
          <w:kern w:val="22"/>
          <w:lang w:val="fr-FR"/>
        </w:rPr>
        <w:t>I</w:t>
      </w:r>
      <w:r w:rsidRPr="00CC6565">
        <w:rPr>
          <w:rStyle w:val="Emphasis"/>
          <w:kern w:val="22"/>
          <w:szCs w:val="22"/>
          <w:lang w:val="fr-FR"/>
        </w:rPr>
        <w:t>nvite</w:t>
      </w:r>
      <w:r w:rsidRPr="00CC6565">
        <w:rPr>
          <w:kern w:val="22"/>
          <w:lang w:val="fr-FR"/>
        </w:rPr>
        <w:t xml:space="preserve"> les Parties, les gouvernements; les peuples autochtones et les communautés locales, les organisations internationales compétentes, en particulier les autres conventions relatives à la diversité biologique, et les parties prenantes intéressées à transmettre des points de vue à la Secrétaire exécutive sur les éléments éventuels d’un programme de travail pleinement intégré comme composante du </w:t>
      </w:r>
      <w:r w:rsidRPr="00CC6565">
        <w:rPr>
          <w:rFonts w:eastAsia="Batang"/>
          <w:kern w:val="22"/>
          <w:lang w:val="fr-FR"/>
        </w:rPr>
        <w:t>cadre de la biodiversité pour l’après-2020</w:t>
      </w:r>
      <w:r w:rsidRPr="00CC6565">
        <w:rPr>
          <w:rFonts w:eastAsia="Batang"/>
          <w:iCs/>
          <w:kern w:val="22"/>
          <w:lang w:val="fr-FR" w:eastAsia="ko-KR"/>
        </w:rPr>
        <w:t>;</w:t>
      </w:r>
    </w:p>
    <w:p w14:paraId="71D160EE" w14:textId="76837AA6" w:rsidR="00CC6565" w:rsidRPr="00CC6565" w:rsidRDefault="00CC6565" w:rsidP="00CC6565">
      <w:pPr>
        <w:suppressLineNumbers/>
        <w:suppressAutoHyphens/>
        <w:kinsoku w:val="0"/>
        <w:overflowPunct w:val="0"/>
        <w:autoSpaceDE w:val="0"/>
        <w:autoSpaceDN w:val="0"/>
        <w:adjustRightInd w:val="0"/>
        <w:snapToGrid w:val="0"/>
        <w:spacing w:before="120" w:after="120"/>
        <w:ind w:firstLine="720"/>
        <w:rPr>
          <w:rFonts w:eastAsia="Batang"/>
          <w:kern w:val="22"/>
          <w:szCs w:val="22"/>
          <w:lang w:val="fr-FR" w:eastAsia="ko-KR"/>
        </w:rPr>
      </w:pPr>
      <w:r w:rsidRPr="00CC6565">
        <w:rPr>
          <w:rFonts w:eastAsia="Batang"/>
          <w:kern w:val="22"/>
          <w:lang w:val="fr-FR" w:eastAsia="ko-KR"/>
        </w:rPr>
        <w:t>9.</w:t>
      </w:r>
      <w:r w:rsidRPr="00CC6565">
        <w:rPr>
          <w:rFonts w:eastAsia="Batang"/>
          <w:kern w:val="22"/>
          <w:lang w:val="fr-FR" w:eastAsia="ko-KR"/>
        </w:rPr>
        <w:tab/>
      </w:r>
      <w:r w:rsidRPr="00CC6565">
        <w:rPr>
          <w:rFonts w:eastAsia="Batang"/>
          <w:i/>
          <w:iCs/>
          <w:kern w:val="22"/>
          <w:lang w:val="fr-FR"/>
        </w:rPr>
        <w:t>I</w:t>
      </w:r>
      <w:r w:rsidRPr="00CC6565">
        <w:rPr>
          <w:rStyle w:val="Emphasis"/>
          <w:kern w:val="22"/>
          <w:szCs w:val="22"/>
          <w:lang w:val="fr-FR"/>
        </w:rPr>
        <w:t>nvite</w:t>
      </w:r>
      <w:r w:rsidRPr="00CC6565">
        <w:rPr>
          <w:kern w:val="22"/>
          <w:lang w:val="fr-FR"/>
        </w:rPr>
        <w:t xml:space="preserve"> les Parties, les gouvernements e</w:t>
      </w:r>
      <w:r w:rsidR="00427823">
        <w:rPr>
          <w:kern w:val="22"/>
          <w:lang w:val="fr-FR"/>
        </w:rPr>
        <w:t xml:space="preserve">t les peuples autochtones et </w:t>
      </w:r>
      <w:r w:rsidRPr="00CC6565">
        <w:rPr>
          <w:kern w:val="22"/>
          <w:lang w:val="fr-FR"/>
        </w:rPr>
        <w:t>communautés locales à transmettre des points de vue à la Secrétaire exécutive sur des</w:t>
      </w:r>
      <w:r w:rsidRPr="00CC6565">
        <w:rPr>
          <w:rFonts w:eastAsia="Batang"/>
          <w:kern w:val="22"/>
          <w:lang w:val="fr-FR"/>
        </w:rPr>
        <w:t xml:space="preserve"> arrangements institutionnels éventuels et </w:t>
      </w:r>
      <w:r w:rsidRPr="00CC6565">
        <w:rPr>
          <w:rFonts w:eastAsia="Batang"/>
          <w:kern w:val="22"/>
          <w:lang w:val="fr-FR"/>
        </w:rPr>
        <w:lastRenderedPageBreak/>
        <w:t>leur mode de fonctionnement en vue de l’application de l’article 8 j) et ses dispositions connexes, tels que ce qui suit mais sans s’y limiter :</w:t>
      </w:r>
    </w:p>
    <w:p w14:paraId="0880819A" w14:textId="09A2DE06" w:rsidR="00CC6565" w:rsidRPr="00CC6565" w:rsidRDefault="00CC6565" w:rsidP="00CC6565">
      <w:pPr>
        <w:pStyle w:val="Para1"/>
        <w:numPr>
          <w:ilvl w:val="0"/>
          <w:numId w:val="0"/>
        </w:numPr>
        <w:ind w:firstLine="709"/>
        <w:rPr>
          <w:rFonts w:eastAsia="Batang"/>
          <w:kern w:val="22"/>
          <w:lang w:val="fr-FR" w:eastAsia="ko-KR"/>
        </w:rPr>
      </w:pPr>
      <w:r w:rsidRPr="00CC6565">
        <w:rPr>
          <w:rFonts w:eastAsia="Batang"/>
          <w:kern w:val="22"/>
          <w:lang w:val="fr-FR" w:eastAsia="ko-KR"/>
        </w:rPr>
        <w:t>a)</w:t>
      </w:r>
      <w:r w:rsidRPr="00CC6565">
        <w:rPr>
          <w:rFonts w:eastAsia="Batang"/>
          <w:kern w:val="22"/>
          <w:lang w:val="fr-FR" w:eastAsia="ko-KR"/>
        </w:rPr>
        <w:tab/>
      </w:r>
      <w:r w:rsidRPr="00CC6565">
        <w:rPr>
          <w:rFonts w:eastAsia="Batang"/>
          <w:kern w:val="22"/>
          <w:lang w:val="fr-FR"/>
        </w:rPr>
        <w:t>Création d’un organe subsidiaire chargé de l’article 8 j) et des dispositions connexes, avec pour mandat de fournir des avis à la Conférence des Parties, à d’autres organes subsidiaires et, sous réserve de leur approbation, à la Conférence des Parties siégeant en tant que réunion des Parties aux Protocoles respectifs, sur des questions qui présentent un intérêt pour les peuples autochtones et les communautés locales et qui entrent dans le champ d’application de la Convention</w:t>
      </w:r>
      <w:r w:rsidR="00427823">
        <w:rPr>
          <w:rFonts w:eastAsia="Batang"/>
          <w:kern w:val="22"/>
          <w:lang w:val="fr-FR"/>
        </w:rPr>
        <w:t> </w:t>
      </w:r>
      <w:r w:rsidR="00427823">
        <w:rPr>
          <w:rFonts w:eastAsia="Batang"/>
          <w:kern w:val="22"/>
          <w:lang w:val="fr-FR" w:eastAsia="ko-KR"/>
        </w:rPr>
        <w:t>;</w:t>
      </w:r>
    </w:p>
    <w:p w14:paraId="44F89D3A" w14:textId="289FDEDA" w:rsidR="00CC6565" w:rsidRPr="00CC6565" w:rsidRDefault="00CC6565" w:rsidP="00CC6565">
      <w:pPr>
        <w:pStyle w:val="Para1"/>
        <w:numPr>
          <w:ilvl w:val="0"/>
          <w:numId w:val="0"/>
        </w:numPr>
        <w:ind w:firstLine="709"/>
        <w:rPr>
          <w:rFonts w:eastAsia="Batang"/>
          <w:kern w:val="22"/>
          <w:lang w:val="fr-FR" w:eastAsia="ko-KR"/>
        </w:rPr>
      </w:pPr>
      <w:r w:rsidRPr="00CC6565">
        <w:rPr>
          <w:rFonts w:eastAsia="Batang"/>
          <w:kern w:val="22"/>
          <w:lang w:val="fr-FR" w:eastAsia="ko-KR"/>
        </w:rPr>
        <w:t>b)</w:t>
      </w:r>
      <w:r w:rsidRPr="00CC6565">
        <w:rPr>
          <w:rFonts w:eastAsia="Batang"/>
          <w:kern w:val="22"/>
          <w:lang w:val="fr-FR" w:eastAsia="ko-KR"/>
        </w:rPr>
        <w:tab/>
      </w:r>
      <w:r w:rsidRPr="00CC6565">
        <w:rPr>
          <w:rFonts w:eastAsia="Batang"/>
          <w:kern w:val="22"/>
          <w:lang w:val="fr-FR"/>
        </w:rPr>
        <w:t>Poursuite des travaux du Groupe de travail spécial à composition non limitée sur l’article 8 j) et les dispositions connexes avec un mandat révisé au sein du cadre de la biodiversité pour l’après-2020</w:t>
      </w:r>
      <w:r w:rsidR="00427823">
        <w:rPr>
          <w:rFonts w:eastAsia="Batang"/>
          <w:kern w:val="22"/>
          <w:lang w:val="fr-FR"/>
        </w:rPr>
        <w:t> </w:t>
      </w:r>
      <w:r w:rsidR="00427823">
        <w:rPr>
          <w:rFonts w:eastAsia="Batang"/>
          <w:kern w:val="22"/>
          <w:lang w:val="fr-FR" w:eastAsia="ko-KR"/>
        </w:rPr>
        <w:t>;</w:t>
      </w:r>
    </w:p>
    <w:p w14:paraId="10B4A153" w14:textId="686177B5" w:rsidR="00CC6565" w:rsidRPr="00CC6565" w:rsidRDefault="00CC6565" w:rsidP="00CC6565">
      <w:pPr>
        <w:suppressLineNumbers/>
        <w:suppressAutoHyphens/>
        <w:kinsoku w:val="0"/>
        <w:overflowPunct w:val="0"/>
        <w:autoSpaceDE w:val="0"/>
        <w:autoSpaceDN w:val="0"/>
        <w:adjustRightInd w:val="0"/>
        <w:snapToGrid w:val="0"/>
        <w:spacing w:before="120" w:after="120"/>
        <w:ind w:firstLine="720"/>
        <w:rPr>
          <w:rFonts w:eastAsia="Batang"/>
          <w:kern w:val="22"/>
          <w:szCs w:val="22"/>
          <w:lang w:val="fr-FR" w:eastAsia="ko-KR"/>
        </w:rPr>
      </w:pPr>
      <w:r w:rsidRPr="00CC6565">
        <w:rPr>
          <w:rFonts w:eastAsia="Batang"/>
          <w:kern w:val="22"/>
          <w:lang w:val="fr-FR" w:eastAsia="ko-KR"/>
        </w:rPr>
        <w:t>c)</w:t>
      </w:r>
      <w:r w:rsidRPr="00CC6565">
        <w:rPr>
          <w:rFonts w:eastAsia="Batang"/>
          <w:kern w:val="22"/>
          <w:lang w:val="fr-FR" w:eastAsia="ko-KR"/>
        </w:rPr>
        <w:tab/>
      </w:r>
      <w:r w:rsidRPr="00CC6565">
        <w:rPr>
          <w:rFonts w:eastAsia="Batang"/>
          <w:kern w:val="22"/>
          <w:lang w:val="fr-FR"/>
        </w:rPr>
        <w:t>Application de mécanismes de participation améliorés utilisés par le Groupe de travail spécial à composition non limitée sur l’article 8 j) et les dispositions connexes visant à favoriser la participation des représentants de peuples autochtones et de communautés locales, selon qu’il convient, lors du traitement de questions en rapport direct avec les peuples autochtones et les communautés locales dans les organes subsidiaires, afin d’assurer leur participation effective et de les intégrer pleinement aux travaux de la Convention</w:t>
      </w:r>
      <w:r w:rsidR="00A418D3">
        <w:rPr>
          <w:rFonts w:eastAsia="Batang"/>
          <w:kern w:val="22"/>
          <w:lang w:val="fr-FR"/>
        </w:rPr>
        <w:t> </w:t>
      </w:r>
      <w:r w:rsidR="00A418D3">
        <w:rPr>
          <w:rFonts w:eastAsia="Batang"/>
          <w:kern w:val="22"/>
          <w:szCs w:val="22"/>
          <w:lang w:val="fr-FR" w:eastAsia="ko-KR"/>
        </w:rPr>
        <w:t>;</w:t>
      </w:r>
    </w:p>
    <w:p w14:paraId="7C9DAC2A" w14:textId="75C26C22" w:rsidR="00CC6565" w:rsidRPr="00CC6565" w:rsidRDefault="00CC6565" w:rsidP="00CC6565">
      <w:pPr>
        <w:suppressLineNumbers/>
        <w:suppressAutoHyphens/>
        <w:kinsoku w:val="0"/>
        <w:overflowPunct w:val="0"/>
        <w:autoSpaceDE w:val="0"/>
        <w:autoSpaceDN w:val="0"/>
        <w:adjustRightInd w:val="0"/>
        <w:snapToGrid w:val="0"/>
        <w:spacing w:before="120" w:after="120"/>
        <w:ind w:firstLine="720"/>
        <w:rPr>
          <w:kern w:val="22"/>
          <w:szCs w:val="22"/>
          <w:lang w:val="fr-FR"/>
        </w:rPr>
      </w:pPr>
      <w:r w:rsidRPr="00CC6565">
        <w:rPr>
          <w:rFonts w:eastAsia="Batang"/>
          <w:kern w:val="22"/>
          <w:szCs w:val="22"/>
          <w:lang w:val="fr-FR" w:eastAsia="ko-KR"/>
        </w:rPr>
        <w:t>10.</w:t>
      </w:r>
      <w:r w:rsidRPr="00CC6565">
        <w:rPr>
          <w:rFonts w:eastAsia="Batang"/>
          <w:i/>
          <w:kern w:val="22"/>
          <w:szCs w:val="22"/>
          <w:lang w:val="fr-FR" w:eastAsia="ko-KR"/>
        </w:rPr>
        <w:tab/>
      </w:r>
      <w:r w:rsidRPr="00CC6565">
        <w:rPr>
          <w:rFonts w:eastAsia="Batang"/>
          <w:i/>
          <w:kern w:val="22"/>
          <w:lang w:val="fr-FR"/>
        </w:rPr>
        <w:t>Prie</w:t>
      </w:r>
      <w:r w:rsidRPr="00CC6565">
        <w:rPr>
          <w:rFonts w:eastAsia="Batang"/>
          <w:kern w:val="22"/>
          <w:lang w:val="fr-FR"/>
        </w:rPr>
        <w:t xml:space="preserve"> la Secrétaire exécutive de compiler et d’analyser les informations reçues en vue de proposer des éléments éventuels d’un programme de travail pleinement intégré comme composante du cadre de la biodiversité pour l’après-2020, ainsi que des arrangements institutionnels éventuels et leur mode de fonctionnement, aux fins d’examen par le Groupe de travail spécial à composition non limitée sur l’article </w:t>
      </w:r>
      <w:r w:rsidRPr="00CC6565">
        <w:rPr>
          <w:kern w:val="22"/>
          <w:lang w:val="fr-FR"/>
        </w:rPr>
        <w:t>8 j) et les dispositions connexes à sa onzième réunion</w:t>
      </w:r>
      <w:r w:rsidR="00A418D3">
        <w:rPr>
          <w:kern w:val="22"/>
          <w:lang w:val="fr-FR"/>
        </w:rPr>
        <w:t> </w:t>
      </w:r>
      <w:r w:rsidR="00A418D3">
        <w:rPr>
          <w:kern w:val="22"/>
          <w:szCs w:val="22"/>
          <w:lang w:val="fr-FR"/>
        </w:rPr>
        <w:t>;</w:t>
      </w:r>
    </w:p>
    <w:p w14:paraId="47E2BE3E" w14:textId="05E3CC47" w:rsidR="00CC6565" w:rsidRPr="00CC6565" w:rsidRDefault="00CC6565" w:rsidP="00CC6565">
      <w:pPr>
        <w:suppressLineNumbers/>
        <w:suppressAutoHyphens/>
        <w:kinsoku w:val="0"/>
        <w:overflowPunct w:val="0"/>
        <w:autoSpaceDE w:val="0"/>
        <w:autoSpaceDN w:val="0"/>
        <w:adjustRightInd w:val="0"/>
        <w:snapToGrid w:val="0"/>
        <w:spacing w:before="120" w:after="120"/>
        <w:ind w:firstLine="720"/>
        <w:rPr>
          <w:rFonts w:eastAsia="Batang"/>
          <w:kern w:val="22"/>
          <w:szCs w:val="22"/>
          <w:lang w:val="fr-FR" w:eastAsia="ko-KR"/>
        </w:rPr>
      </w:pPr>
      <w:r w:rsidRPr="00CC6565">
        <w:rPr>
          <w:rFonts w:eastAsia="Batang"/>
          <w:kern w:val="22"/>
          <w:szCs w:val="22"/>
          <w:lang w:val="fr-FR" w:eastAsia="ko-KR"/>
        </w:rPr>
        <w:t>11.</w:t>
      </w:r>
      <w:r w:rsidRPr="00CC6565">
        <w:rPr>
          <w:rFonts w:eastAsia="Batang"/>
          <w:kern w:val="22"/>
          <w:szCs w:val="22"/>
          <w:lang w:val="fr-FR" w:eastAsia="ko-KR"/>
        </w:rPr>
        <w:tab/>
      </w:r>
      <w:r w:rsidRPr="00CC6565">
        <w:rPr>
          <w:rFonts w:eastAsia="Batang"/>
          <w:i/>
          <w:kern w:val="22"/>
          <w:lang w:val="fr-FR"/>
        </w:rPr>
        <w:t>Prie également</w:t>
      </w:r>
      <w:r w:rsidRPr="00CC6565">
        <w:rPr>
          <w:rFonts w:eastAsia="Batang"/>
          <w:kern w:val="22"/>
          <w:lang w:val="fr-FR"/>
        </w:rPr>
        <w:t xml:space="preserve"> la Secrétaire exécutive </w:t>
      </w:r>
      <w:r w:rsidRPr="00CC6565">
        <w:rPr>
          <w:rFonts w:eastAsia="Batang"/>
          <w:kern w:val="22"/>
          <w:szCs w:val="22"/>
          <w:lang w:val="fr-FR" w:eastAsia="ko-KR"/>
        </w:rPr>
        <w:t>d’établir des prévisions sur les répercussions financières et de gouvernance des</w:t>
      </w:r>
      <w:r w:rsidRPr="00CC6565">
        <w:rPr>
          <w:rFonts w:eastAsia="Batang"/>
          <w:kern w:val="22"/>
          <w:lang w:val="fr-FR"/>
        </w:rPr>
        <w:t xml:space="preserve"> arrangements institutionnels éventuels sur l’application de l’</w:t>
      </w:r>
      <w:r w:rsidRPr="00CC6565">
        <w:rPr>
          <w:rFonts w:eastAsia="Batang"/>
          <w:kern w:val="22"/>
          <w:szCs w:val="22"/>
          <w:lang w:val="fr-FR" w:eastAsia="ko-KR"/>
        </w:rPr>
        <w:t xml:space="preserve">article 8 j) et des dispositions connexes durant l’exercice biennal 2021-2022, aux fins d’examen par </w:t>
      </w:r>
      <w:r w:rsidRPr="00CC6565">
        <w:rPr>
          <w:rFonts w:eastAsia="Batang"/>
          <w:kern w:val="22"/>
          <w:lang w:val="fr-FR"/>
        </w:rPr>
        <w:t>l’Organe subsidiaire chargé de l’application à sa troisième réunion</w:t>
      </w:r>
      <w:r w:rsidR="00A418D3">
        <w:rPr>
          <w:rFonts w:eastAsia="Batang"/>
          <w:kern w:val="22"/>
          <w:lang w:val="fr-FR"/>
        </w:rPr>
        <w:t> </w:t>
      </w:r>
      <w:r w:rsidR="00A418D3">
        <w:rPr>
          <w:rFonts w:eastAsia="Batang"/>
          <w:kern w:val="22"/>
          <w:szCs w:val="22"/>
          <w:lang w:val="fr-FR" w:eastAsia="ko-KR"/>
        </w:rPr>
        <w:t>;</w:t>
      </w:r>
    </w:p>
    <w:p w14:paraId="60A93B72" w14:textId="29169D01" w:rsidR="00CC6565" w:rsidRPr="00CC6565" w:rsidRDefault="00CC6565" w:rsidP="00CC6565">
      <w:pPr>
        <w:suppressLineNumbers/>
        <w:suppressAutoHyphens/>
        <w:kinsoku w:val="0"/>
        <w:overflowPunct w:val="0"/>
        <w:autoSpaceDE w:val="0"/>
        <w:autoSpaceDN w:val="0"/>
        <w:adjustRightInd w:val="0"/>
        <w:snapToGrid w:val="0"/>
        <w:spacing w:before="120" w:after="120"/>
        <w:ind w:firstLine="720"/>
        <w:rPr>
          <w:rFonts w:eastAsia="Batang"/>
          <w:kern w:val="22"/>
          <w:szCs w:val="22"/>
          <w:lang w:val="fr-FR" w:eastAsia="ko-KR"/>
        </w:rPr>
      </w:pPr>
      <w:r w:rsidRPr="00CC6565">
        <w:rPr>
          <w:rFonts w:eastAsia="Batang"/>
          <w:kern w:val="22"/>
          <w:szCs w:val="22"/>
          <w:lang w:val="fr-FR" w:eastAsia="ko-KR"/>
        </w:rPr>
        <w:t>12.</w:t>
      </w:r>
      <w:r w:rsidRPr="00CC6565">
        <w:rPr>
          <w:rFonts w:eastAsia="Batang"/>
          <w:i/>
          <w:kern w:val="22"/>
          <w:szCs w:val="22"/>
          <w:lang w:val="fr-FR" w:eastAsia="ko-KR"/>
        </w:rPr>
        <w:tab/>
      </w:r>
      <w:r w:rsidRPr="00CC6565">
        <w:rPr>
          <w:rFonts w:eastAsia="Batang"/>
          <w:i/>
          <w:kern w:val="22"/>
          <w:lang w:val="fr-FR"/>
        </w:rPr>
        <w:t>Prie</w:t>
      </w:r>
      <w:r w:rsidRPr="00CC6565">
        <w:rPr>
          <w:rFonts w:eastAsia="Batang"/>
          <w:kern w:val="22"/>
          <w:lang w:val="fr-FR"/>
        </w:rPr>
        <w:t xml:space="preserve"> le Groupe de travail spécial à composition non limitée sur l’article 8 j) et les dispositions connexes d’élaborer, à sa onzième réunion, des propositions portant sur d’éventuels futurs travaux, notamment des propositions concernant une deuxième phase de travail pour le Plan d’action sur l’utilisation coutumière durable, ainsi que des arrangements institutionnels et leur mode de fonctionnement, aux fins d’examen par l’Organe subsidiaire chargé de l’application à sa troisième réunion, afin de contribuer à l’élaboration d’un programme de travail pleinement intégré comme composante du cadre de la biodiversité pour l’après-2020, qui prenne en compte les évolutions intervenant dans les autres organisations et </w:t>
      </w:r>
      <w:r w:rsidR="00A418D3">
        <w:rPr>
          <w:rFonts w:eastAsia="Batang"/>
          <w:kern w:val="22"/>
          <w:lang w:val="fr-FR"/>
        </w:rPr>
        <w:t>instances internationales</w:t>
      </w:r>
      <w:r w:rsidRPr="00CC6565">
        <w:rPr>
          <w:rFonts w:eastAsia="Batang"/>
          <w:kern w:val="22"/>
          <w:lang w:val="fr-FR"/>
        </w:rPr>
        <w:t xml:space="preserve"> pertinent</w:t>
      </w:r>
      <w:r w:rsidR="00A418D3">
        <w:rPr>
          <w:rFonts w:eastAsia="Batang"/>
          <w:kern w:val="22"/>
          <w:lang w:val="fr-FR"/>
        </w:rPr>
        <w:t>e</w:t>
      </w:r>
      <w:r w:rsidRPr="00CC6565">
        <w:rPr>
          <w:rFonts w:eastAsia="Batang"/>
          <w:kern w:val="22"/>
          <w:lang w:val="fr-FR"/>
        </w:rPr>
        <w:t>s</w:t>
      </w:r>
      <w:r w:rsidRPr="00CC6565">
        <w:rPr>
          <w:rFonts w:eastAsia="Batang"/>
          <w:kern w:val="22"/>
          <w:szCs w:val="22"/>
          <w:lang w:val="fr-FR" w:eastAsia="ko-KR"/>
        </w:rPr>
        <w:t>;</w:t>
      </w:r>
    </w:p>
    <w:p w14:paraId="575A65F8" w14:textId="34466368" w:rsidR="00CC6565" w:rsidRPr="00CC6565" w:rsidRDefault="00CC6565" w:rsidP="00CC6565">
      <w:pPr>
        <w:suppressLineNumbers/>
        <w:suppressAutoHyphens/>
        <w:kinsoku w:val="0"/>
        <w:overflowPunct w:val="0"/>
        <w:autoSpaceDE w:val="0"/>
        <w:autoSpaceDN w:val="0"/>
        <w:adjustRightInd w:val="0"/>
        <w:snapToGrid w:val="0"/>
        <w:spacing w:before="120" w:after="120"/>
        <w:ind w:firstLine="720"/>
        <w:rPr>
          <w:kern w:val="22"/>
          <w:szCs w:val="22"/>
          <w:lang w:val="fr-FR"/>
        </w:rPr>
      </w:pPr>
      <w:r w:rsidRPr="00CC6565">
        <w:rPr>
          <w:kern w:val="22"/>
          <w:szCs w:val="22"/>
          <w:lang w:val="fr-FR"/>
        </w:rPr>
        <w:t>13</w:t>
      </w:r>
      <w:r w:rsidRPr="00CC6565">
        <w:rPr>
          <w:i/>
          <w:kern w:val="22"/>
          <w:szCs w:val="22"/>
          <w:lang w:val="fr-FR"/>
        </w:rPr>
        <w:t>.</w:t>
      </w:r>
      <w:r w:rsidRPr="00CC6565">
        <w:rPr>
          <w:i/>
          <w:kern w:val="22"/>
          <w:szCs w:val="22"/>
          <w:lang w:val="fr-FR"/>
        </w:rPr>
        <w:tab/>
      </w:r>
      <w:r w:rsidRPr="00CC6565">
        <w:rPr>
          <w:i/>
          <w:kern w:val="22"/>
          <w:lang w:val="fr-FR"/>
        </w:rPr>
        <w:t>Prie</w:t>
      </w:r>
      <w:r w:rsidRPr="00CC6565">
        <w:rPr>
          <w:kern w:val="22"/>
          <w:lang w:val="fr-FR"/>
        </w:rPr>
        <w:t xml:space="preserve"> la Secrétaire exécutive, dans la limite des ressources disponibles, d’apporter l’aide appropriée de façon à </w:t>
      </w:r>
      <w:r w:rsidR="00222498" w:rsidRPr="00222498">
        <w:rPr>
          <w:kern w:val="22"/>
          <w:lang w:val="fr-FR"/>
        </w:rPr>
        <w:t xml:space="preserve">permettre aux représentants des peuples autochtones et des communautés locales de participer efficacement </w:t>
      </w:r>
      <w:r w:rsidRPr="00CC6565">
        <w:rPr>
          <w:kern w:val="22"/>
          <w:lang w:val="fr-FR"/>
        </w:rPr>
        <w:t>aux discussions et processus plus généraux au titre de la Convention, y compris par le biais de consultations régionales, qui détermineront le cadre de la biodiversité pour l’après-2020, afin de faciliter l’intégration d’éventuels futurs travaux sur l’article 8 j) et les dispositions connexes dans les travaux de la Convention.</w:t>
      </w:r>
    </w:p>
    <w:p w14:paraId="28622BBE" w14:textId="316411B5" w:rsidR="00487483" w:rsidRPr="00CC6565" w:rsidRDefault="00487483" w:rsidP="00575706">
      <w:pPr>
        <w:jc w:val="center"/>
        <w:rPr>
          <w:color w:val="000000" w:themeColor="text1"/>
          <w:lang w:val="fr-FR"/>
        </w:rPr>
      </w:pPr>
      <w:r w:rsidRPr="00CC6565">
        <w:rPr>
          <w:color w:val="000000" w:themeColor="text1"/>
          <w:lang w:val="fr-FR"/>
        </w:rPr>
        <w:t>______</w:t>
      </w:r>
      <w:r w:rsidR="00F333EA" w:rsidRPr="00CC6565">
        <w:rPr>
          <w:color w:val="000000" w:themeColor="text1"/>
          <w:lang w:val="fr-FR"/>
        </w:rPr>
        <w:t>____</w:t>
      </w:r>
    </w:p>
    <w:p w14:paraId="2FD00827" w14:textId="77777777" w:rsidR="00B3369F" w:rsidRPr="00CC6565" w:rsidRDefault="00B3369F" w:rsidP="00C9161D">
      <w:pPr>
        <w:rPr>
          <w:color w:val="000000" w:themeColor="text1"/>
          <w:lang w:val="fr-FR"/>
        </w:rPr>
      </w:pPr>
    </w:p>
    <w:sectPr w:rsidR="00B3369F" w:rsidRPr="00CC6565" w:rsidSect="007B078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282435" w14:textId="77777777" w:rsidR="00BF2DEB" w:rsidRDefault="00BF2DEB" w:rsidP="00CF1848">
      <w:r>
        <w:separator/>
      </w:r>
    </w:p>
  </w:endnote>
  <w:endnote w:type="continuationSeparator" w:id="0">
    <w:p w14:paraId="08CD7071" w14:textId="77777777" w:rsidR="00BF2DEB" w:rsidRDefault="00BF2DEB"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74713F" w14:textId="77777777" w:rsidR="00BF2DEB" w:rsidRDefault="00BF2DEB" w:rsidP="00CF1848">
      <w:r>
        <w:separator/>
      </w:r>
    </w:p>
  </w:footnote>
  <w:footnote w:type="continuationSeparator" w:id="0">
    <w:p w14:paraId="7B8AC999" w14:textId="77777777" w:rsidR="00BF2DEB" w:rsidRDefault="00BF2DEB" w:rsidP="00CF1848">
      <w:r>
        <w:continuationSeparator/>
      </w:r>
    </w:p>
  </w:footnote>
  <w:footnote w:id="1">
    <w:p w14:paraId="4206C7F7" w14:textId="77777777" w:rsidR="00CC6565" w:rsidRPr="00CC6565" w:rsidRDefault="00CC6565" w:rsidP="00CC6565">
      <w:pPr>
        <w:pStyle w:val="FootnoteText"/>
        <w:keepLines w:val="0"/>
        <w:suppressLineNumbers/>
        <w:suppressAutoHyphens/>
        <w:adjustRightInd w:val="0"/>
        <w:snapToGrid w:val="0"/>
        <w:ind w:firstLine="0"/>
        <w:jc w:val="left"/>
        <w:rPr>
          <w:kern w:val="18"/>
          <w:szCs w:val="18"/>
          <w:lang w:val="fr-FR"/>
        </w:rPr>
      </w:pPr>
      <w:r w:rsidRPr="00CC6565">
        <w:rPr>
          <w:rStyle w:val="FootnoteReference"/>
          <w:kern w:val="18"/>
          <w:szCs w:val="18"/>
          <w:lang w:val="fr-FR"/>
        </w:rPr>
        <w:footnoteRef/>
      </w:r>
      <w:r w:rsidRPr="00CC6565">
        <w:rPr>
          <w:kern w:val="18"/>
          <w:szCs w:val="18"/>
          <w:lang w:val="fr-FR"/>
        </w:rPr>
        <w:t xml:space="preserve"> Dans la </w:t>
      </w:r>
      <w:hyperlink r:id="rId1" w:history="1">
        <w:r w:rsidRPr="00CC6565">
          <w:rPr>
            <w:rStyle w:val="Hyperlink"/>
            <w:kern w:val="18"/>
            <w:szCs w:val="18"/>
            <w:lang w:val="fr-FR"/>
          </w:rPr>
          <w:t>décision X/43</w:t>
        </w:r>
      </w:hyperlink>
      <w:r w:rsidRPr="00CC6565">
        <w:rPr>
          <w:kern w:val="18"/>
          <w:szCs w:val="18"/>
          <w:lang w:val="fr-FR"/>
        </w:rPr>
        <w:t>, la Conférence des Parties a adopté un programme de travail pluriannuel révisé sur l’article 8 j), supprimant les tâches terminées ou dépassées 3, 5, 8, 9 et 16.</w:t>
      </w:r>
    </w:p>
  </w:footnote>
  <w:footnote w:id="2">
    <w:p w14:paraId="74130945" w14:textId="77777777" w:rsidR="00CC6565" w:rsidRPr="00CC6565" w:rsidRDefault="00CC6565" w:rsidP="00CC6565">
      <w:pPr>
        <w:pStyle w:val="FootnoteText"/>
        <w:keepLines w:val="0"/>
        <w:ind w:firstLine="0"/>
        <w:jc w:val="left"/>
        <w:rPr>
          <w:szCs w:val="18"/>
          <w:lang w:val="fr-FR"/>
        </w:rPr>
      </w:pPr>
      <w:r w:rsidRPr="00CC6565">
        <w:rPr>
          <w:rStyle w:val="FootnoteReference"/>
          <w:kern w:val="18"/>
          <w:szCs w:val="18"/>
          <w:lang w:val="fr-FR"/>
        </w:rPr>
        <w:footnoteRef/>
      </w:r>
      <w:r w:rsidRPr="00CC6565">
        <w:rPr>
          <w:szCs w:val="18"/>
          <w:lang w:val="fr-FR"/>
        </w:rPr>
        <w:t xml:space="preserve"> Voir la </w:t>
      </w:r>
      <w:hyperlink r:id="rId2" w:history="1">
        <w:r w:rsidRPr="00CC6565">
          <w:rPr>
            <w:rStyle w:val="Hyperlink"/>
            <w:szCs w:val="18"/>
            <w:lang w:val="fr-FR"/>
          </w:rPr>
          <w:t>résolution 70/1 de l’Assemblée générale</w:t>
        </w:r>
      </w:hyperlink>
      <w:r w:rsidRPr="00CC6565">
        <w:rPr>
          <w:szCs w:val="18"/>
          <w:lang w:val="fr-FR"/>
        </w:rPr>
        <w:t xml:space="preserve"> des Nations Unies, intitulée « Transformer notre monde : le programme de développement durable à l’horizon 2030 ».</w:t>
      </w:r>
    </w:p>
  </w:footnote>
  <w:footnote w:id="3">
    <w:p w14:paraId="5B82C17A" w14:textId="1499B556" w:rsidR="00CC6565" w:rsidRPr="00CC6565" w:rsidRDefault="00CC6565" w:rsidP="00CC6565">
      <w:pPr>
        <w:pStyle w:val="FootnoteText"/>
        <w:suppressLineNumbers/>
        <w:suppressAutoHyphens/>
        <w:ind w:firstLine="0"/>
        <w:jc w:val="left"/>
        <w:rPr>
          <w:kern w:val="18"/>
          <w:szCs w:val="18"/>
          <w:lang w:val="fr-FR"/>
        </w:rPr>
      </w:pPr>
      <w:r w:rsidRPr="00CC6565">
        <w:rPr>
          <w:rStyle w:val="FootnoteReference"/>
          <w:kern w:val="18"/>
          <w:szCs w:val="22"/>
          <w:lang w:val="fr-FR"/>
        </w:rPr>
        <w:footnoteRef/>
      </w:r>
      <w:r w:rsidRPr="00CC6565">
        <w:rPr>
          <w:kern w:val="18"/>
          <w:sz w:val="22"/>
          <w:szCs w:val="22"/>
          <w:lang w:val="fr-FR"/>
        </w:rPr>
        <w:t xml:space="preserve"> </w:t>
      </w:r>
      <w:r w:rsidRPr="00CC6565">
        <w:rPr>
          <w:kern w:val="18"/>
          <w:szCs w:val="18"/>
          <w:lang w:val="fr-FR"/>
        </w:rPr>
        <w:t xml:space="preserve">Nations Unies, </w:t>
      </w:r>
      <w:r w:rsidRPr="00CC6565">
        <w:rPr>
          <w:i/>
          <w:kern w:val="18"/>
          <w:szCs w:val="18"/>
          <w:lang w:val="fr-FR"/>
        </w:rPr>
        <w:t>Recueil des Traités</w:t>
      </w:r>
      <w:r w:rsidRPr="00CC6565">
        <w:rPr>
          <w:kern w:val="18"/>
          <w:szCs w:val="18"/>
          <w:lang w:val="fr-FR"/>
        </w:rPr>
        <w:t>, numéro I-54113.</w:t>
      </w:r>
    </w:p>
  </w:footnote>
  <w:footnote w:id="4">
    <w:p w14:paraId="33DB1FC1" w14:textId="77777777" w:rsidR="00CC6565" w:rsidRPr="00CC6565" w:rsidRDefault="00CC6565" w:rsidP="00CC6565">
      <w:pPr>
        <w:pStyle w:val="FootnoteText"/>
        <w:keepLines w:val="0"/>
        <w:suppressLineNumbers/>
        <w:suppressAutoHyphens/>
        <w:adjustRightInd w:val="0"/>
        <w:snapToGrid w:val="0"/>
        <w:ind w:firstLine="0"/>
        <w:jc w:val="left"/>
        <w:rPr>
          <w:kern w:val="18"/>
          <w:szCs w:val="18"/>
          <w:lang w:val="fr-FR"/>
        </w:rPr>
      </w:pPr>
      <w:r w:rsidRPr="00CC6565">
        <w:rPr>
          <w:rStyle w:val="FootnoteReference"/>
          <w:kern w:val="18"/>
          <w:szCs w:val="18"/>
          <w:lang w:val="fr-FR"/>
        </w:rPr>
        <w:footnoteRef/>
      </w:r>
      <w:r w:rsidRPr="00CC6565">
        <w:rPr>
          <w:kern w:val="18"/>
          <w:szCs w:val="18"/>
          <w:lang w:val="fr-FR"/>
        </w:rPr>
        <w:t xml:space="preserve"> Le Sommet</w:t>
      </w:r>
      <w:r w:rsidRPr="00CC6565">
        <w:rPr>
          <w:noProof/>
          <w:kern w:val="18"/>
          <w:szCs w:val="18"/>
          <w:lang w:val="fr-FR"/>
        </w:rPr>
        <w:t xml:space="preserve"> « </w:t>
      </w:r>
      <w:r w:rsidRPr="00CC6565">
        <w:rPr>
          <w:noProof/>
          <w:kern w:val="22"/>
          <w:szCs w:val="18"/>
          <w:lang w:val="fr-FR"/>
        </w:rPr>
        <w:t>Múuch’tambal </w:t>
      </w:r>
      <w:r w:rsidRPr="00CC6565">
        <w:rPr>
          <w:noProof/>
          <w:kern w:val="18"/>
          <w:szCs w:val="18"/>
          <w:lang w:val="fr-FR"/>
        </w:rPr>
        <w:t>» sur</w:t>
      </w:r>
      <w:r w:rsidRPr="00CC6565">
        <w:rPr>
          <w:kern w:val="18"/>
          <w:szCs w:val="18"/>
          <w:lang w:val="fr-FR"/>
        </w:rPr>
        <w:t xml:space="preserve"> les expériences autochtones et locales s’est tenu en marge de la treizième réunion de la Conférence des Parties. Sa déclaration figure dans le document UNEP/CBD/COP/13/INF/48.</w:t>
      </w:r>
    </w:p>
  </w:footnote>
  <w:footnote w:id="5">
    <w:p w14:paraId="785E0FC5" w14:textId="77777777" w:rsidR="00CC6565" w:rsidRPr="00CC6565" w:rsidRDefault="00CC6565" w:rsidP="00CC6565">
      <w:pPr>
        <w:pStyle w:val="FootnoteText"/>
        <w:keepLines w:val="0"/>
        <w:suppressLineNumbers/>
        <w:suppressAutoHyphens/>
        <w:adjustRightInd w:val="0"/>
        <w:snapToGrid w:val="0"/>
        <w:ind w:firstLine="0"/>
        <w:jc w:val="left"/>
        <w:rPr>
          <w:kern w:val="18"/>
          <w:szCs w:val="18"/>
          <w:lang w:val="fr-FR"/>
        </w:rPr>
      </w:pPr>
      <w:r w:rsidRPr="00CC6565">
        <w:rPr>
          <w:rStyle w:val="FootnoteReference"/>
          <w:kern w:val="18"/>
          <w:szCs w:val="18"/>
          <w:lang w:val="fr-FR"/>
        </w:rPr>
        <w:footnoteRef/>
      </w:r>
      <w:r w:rsidRPr="00CC6565">
        <w:rPr>
          <w:kern w:val="18"/>
          <w:szCs w:val="18"/>
          <w:lang w:val="fr-FR"/>
        </w:rPr>
        <w:t xml:space="preserve"> </w:t>
      </w:r>
      <w:hyperlink r:id="rId3" w:history="1">
        <w:r w:rsidRPr="00CC6565">
          <w:rPr>
            <w:rStyle w:val="Hyperlink"/>
            <w:kern w:val="18"/>
            <w:szCs w:val="18"/>
            <w:lang w:val="fr-FR"/>
          </w:rPr>
          <w:t>Décision VII/16</w:t>
        </w:r>
      </w:hyperlink>
      <w:r w:rsidRPr="00CC6565">
        <w:rPr>
          <w:kern w:val="18"/>
          <w:szCs w:val="18"/>
          <w:lang w:val="fr-FR"/>
        </w:rPr>
        <w:t>.</w:t>
      </w:r>
    </w:p>
  </w:footnote>
  <w:footnote w:id="6">
    <w:p w14:paraId="4B8FDE8B" w14:textId="77777777" w:rsidR="00CC6565" w:rsidRPr="00CC6565" w:rsidRDefault="00CC6565" w:rsidP="00CC6565">
      <w:pPr>
        <w:pStyle w:val="FootnoteText"/>
        <w:keepLines w:val="0"/>
        <w:suppressLineNumbers/>
        <w:suppressAutoHyphens/>
        <w:adjustRightInd w:val="0"/>
        <w:snapToGrid w:val="0"/>
        <w:ind w:firstLine="0"/>
        <w:jc w:val="left"/>
        <w:rPr>
          <w:kern w:val="18"/>
          <w:szCs w:val="18"/>
          <w:lang w:val="fr-FR"/>
        </w:rPr>
      </w:pPr>
      <w:r w:rsidRPr="00CC6565">
        <w:rPr>
          <w:rStyle w:val="FootnoteReference"/>
          <w:kern w:val="18"/>
          <w:szCs w:val="18"/>
          <w:lang w:val="fr-FR"/>
        </w:rPr>
        <w:footnoteRef/>
      </w:r>
      <w:r w:rsidRPr="00CC6565">
        <w:rPr>
          <w:kern w:val="18"/>
          <w:szCs w:val="18"/>
          <w:lang w:val="fr-FR"/>
        </w:rPr>
        <w:t xml:space="preserve"> Annexe de la </w:t>
      </w:r>
      <w:hyperlink r:id="rId4" w:history="1">
        <w:r w:rsidRPr="00CC6565">
          <w:rPr>
            <w:rStyle w:val="Hyperlink"/>
            <w:kern w:val="18"/>
            <w:szCs w:val="18"/>
            <w:lang w:val="fr-FR"/>
          </w:rPr>
          <w:t>décision X/42</w:t>
        </w:r>
      </w:hyperlink>
      <w:r w:rsidRPr="00CC6565">
        <w:rPr>
          <w:kern w:val="18"/>
          <w:szCs w:val="18"/>
          <w:lang w:val="fr-FR"/>
        </w:rPr>
        <w:t>.</w:t>
      </w:r>
    </w:p>
  </w:footnote>
  <w:footnote w:id="7">
    <w:p w14:paraId="69595C93" w14:textId="77777777" w:rsidR="00CC6565" w:rsidRPr="00CC6565" w:rsidRDefault="00CC6565" w:rsidP="00CC6565">
      <w:pPr>
        <w:pStyle w:val="FootnoteText"/>
        <w:keepLines w:val="0"/>
        <w:suppressLineNumbers/>
        <w:suppressAutoHyphens/>
        <w:adjustRightInd w:val="0"/>
        <w:snapToGrid w:val="0"/>
        <w:ind w:firstLine="0"/>
        <w:jc w:val="left"/>
        <w:rPr>
          <w:kern w:val="18"/>
          <w:szCs w:val="18"/>
          <w:lang w:val="fr-FR"/>
        </w:rPr>
      </w:pPr>
      <w:r w:rsidRPr="00CC6565">
        <w:rPr>
          <w:rStyle w:val="FootnoteReference"/>
          <w:kern w:val="18"/>
          <w:szCs w:val="18"/>
          <w:lang w:val="fr-FR"/>
        </w:rPr>
        <w:footnoteRef/>
      </w:r>
      <w:r w:rsidRPr="00CC6565">
        <w:rPr>
          <w:kern w:val="18"/>
          <w:szCs w:val="18"/>
          <w:lang w:val="fr-FR"/>
        </w:rPr>
        <w:t xml:space="preserve"> Signifie « racine de la vie » en langue maya.</w:t>
      </w:r>
    </w:p>
  </w:footnote>
  <w:footnote w:id="8">
    <w:p w14:paraId="24416AB1" w14:textId="77777777" w:rsidR="00CC6565" w:rsidRPr="00CC6565" w:rsidRDefault="00CC6565" w:rsidP="00CC6565">
      <w:pPr>
        <w:suppressLineNumbers/>
        <w:suppressAutoHyphens/>
        <w:adjustRightInd w:val="0"/>
        <w:snapToGrid w:val="0"/>
        <w:spacing w:after="60"/>
        <w:jc w:val="left"/>
        <w:rPr>
          <w:color w:val="000000"/>
          <w:kern w:val="18"/>
          <w:sz w:val="18"/>
          <w:szCs w:val="18"/>
          <w:lang w:val="fr-FR"/>
        </w:rPr>
      </w:pPr>
      <w:r w:rsidRPr="00CC6565">
        <w:rPr>
          <w:rStyle w:val="FootnoteReference"/>
          <w:kern w:val="18"/>
          <w:sz w:val="18"/>
          <w:szCs w:val="18"/>
          <w:lang w:val="fr-FR"/>
        </w:rPr>
        <w:footnoteRef/>
      </w:r>
      <w:r w:rsidRPr="00CC6565">
        <w:rPr>
          <w:color w:val="000000"/>
          <w:kern w:val="18"/>
          <w:sz w:val="18"/>
          <w:szCs w:val="18"/>
          <w:vertAlign w:val="superscript"/>
          <w:lang w:val="fr-FR"/>
        </w:rPr>
        <w:t xml:space="preserve"> </w:t>
      </w:r>
      <w:r w:rsidRPr="00CC6565">
        <w:rPr>
          <w:color w:val="000000"/>
          <w:kern w:val="18"/>
          <w:sz w:val="18"/>
          <w:szCs w:val="18"/>
          <w:lang w:val="fr-FR"/>
        </w:rPr>
        <w:t xml:space="preserve">L’emploi et l’interprétation du terme « peuples autochtones et communautés locales » dans ces lignes directrices sont indiqués au paragraphe 2 a), b) et c) de la </w:t>
      </w:r>
      <w:hyperlink r:id="rId5" w:history="1">
        <w:r w:rsidRPr="00CC6565">
          <w:rPr>
            <w:rStyle w:val="Hyperlink"/>
            <w:kern w:val="18"/>
            <w:szCs w:val="18"/>
            <w:lang w:val="fr-FR"/>
          </w:rPr>
          <w:t>décision XII/12</w:t>
        </w:r>
      </w:hyperlink>
      <w:r w:rsidRPr="00CC6565">
        <w:rPr>
          <w:color w:val="000000"/>
          <w:kern w:val="18"/>
          <w:sz w:val="18"/>
          <w:szCs w:val="18"/>
          <w:lang w:val="fr-FR"/>
        </w:rPr>
        <w:t xml:space="preserve"> F.</w:t>
      </w:r>
    </w:p>
  </w:footnote>
  <w:footnote w:id="9">
    <w:p w14:paraId="7CA6C25E" w14:textId="77777777" w:rsidR="00CC6565" w:rsidRPr="00CC6565" w:rsidRDefault="00CC6565" w:rsidP="00CC6565">
      <w:pPr>
        <w:pStyle w:val="FootnoteText"/>
        <w:keepLines w:val="0"/>
        <w:suppressLineNumbers/>
        <w:suppressAutoHyphens/>
        <w:adjustRightInd w:val="0"/>
        <w:snapToGrid w:val="0"/>
        <w:ind w:firstLine="0"/>
        <w:jc w:val="left"/>
        <w:rPr>
          <w:kern w:val="18"/>
          <w:szCs w:val="18"/>
          <w:lang w:val="fr-FR"/>
        </w:rPr>
      </w:pPr>
      <w:r w:rsidRPr="00CC6565">
        <w:rPr>
          <w:rStyle w:val="FootnoteReference"/>
          <w:kern w:val="18"/>
          <w:szCs w:val="18"/>
          <w:lang w:val="fr-FR"/>
        </w:rPr>
        <w:footnoteRef/>
      </w:r>
      <w:r w:rsidRPr="00CC6565">
        <w:rPr>
          <w:kern w:val="18"/>
          <w:szCs w:val="18"/>
          <w:lang w:val="fr-FR"/>
        </w:rPr>
        <w:t xml:space="preserve"> </w:t>
      </w:r>
      <w:hyperlink r:id="rId6" w:history="1">
        <w:r w:rsidRPr="00CC6565">
          <w:rPr>
            <w:rStyle w:val="Hyperlink"/>
            <w:kern w:val="18"/>
            <w:szCs w:val="18"/>
            <w:lang w:val="fr-FR"/>
          </w:rPr>
          <w:t>Décision XIII/18</w:t>
        </w:r>
      </w:hyperlink>
      <w:r w:rsidRPr="00CC6565">
        <w:rPr>
          <w:kern w:val="18"/>
          <w:szCs w:val="18"/>
          <w:lang w:val="fr-FR"/>
        </w:rPr>
        <w:t>.</w:t>
      </w:r>
    </w:p>
  </w:footnote>
  <w:footnote w:id="10">
    <w:p w14:paraId="247B8796" w14:textId="44D1B8AE" w:rsidR="00CC6565" w:rsidRPr="00CC6565" w:rsidRDefault="00CC6565" w:rsidP="00CC6565">
      <w:pPr>
        <w:pStyle w:val="FootnoteText"/>
        <w:keepLines w:val="0"/>
        <w:suppressLineNumbers/>
        <w:suppressAutoHyphens/>
        <w:adjustRightInd w:val="0"/>
        <w:snapToGrid w:val="0"/>
        <w:ind w:firstLine="0"/>
        <w:jc w:val="left"/>
        <w:rPr>
          <w:kern w:val="18"/>
          <w:szCs w:val="18"/>
          <w:lang w:val="fr-FR"/>
        </w:rPr>
      </w:pPr>
      <w:r w:rsidRPr="00CC6565">
        <w:rPr>
          <w:rStyle w:val="FootnoteReference"/>
          <w:kern w:val="18"/>
          <w:szCs w:val="18"/>
          <w:lang w:val="fr-FR"/>
        </w:rPr>
        <w:footnoteRef/>
      </w:r>
      <w:r w:rsidRPr="00CC6565">
        <w:rPr>
          <w:kern w:val="18"/>
          <w:szCs w:val="18"/>
          <w:lang w:val="fr-FR"/>
        </w:rPr>
        <w:t xml:space="preserve"> </w:t>
      </w:r>
      <w:r w:rsidR="008D2519">
        <w:rPr>
          <w:kern w:val="18"/>
          <w:szCs w:val="18"/>
          <w:lang w:val="fr-FR"/>
        </w:rPr>
        <w:t>D</w:t>
      </w:r>
      <w:r w:rsidR="00A139D0">
        <w:rPr>
          <w:kern w:val="18"/>
          <w:szCs w:val="18"/>
          <w:lang w:val="fr-FR"/>
        </w:rPr>
        <w:t>écision 14</w:t>
      </w:r>
      <w:r w:rsidR="008D2519">
        <w:rPr>
          <w:kern w:val="18"/>
          <w:szCs w:val="18"/>
          <w:lang w:val="fr-FR"/>
        </w:rPr>
        <w:t>/12</w:t>
      </w:r>
      <w:r w:rsidR="00A139D0">
        <w:rPr>
          <w:kern w:val="18"/>
          <w:szCs w:val="18"/>
          <w:lang w:val="fr-FR"/>
        </w:rPr>
        <w:t>.</w:t>
      </w:r>
    </w:p>
  </w:footnote>
  <w:footnote w:id="11">
    <w:p w14:paraId="320D4DA6" w14:textId="77777777" w:rsidR="00CC6565" w:rsidRPr="00CC6565" w:rsidRDefault="00CC6565" w:rsidP="00CC6565">
      <w:pPr>
        <w:pStyle w:val="FootnoteText"/>
        <w:keepLines w:val="0"/>
        <w:suppressLineNumbers/>
        <w:suppressAutoHyphens/>
        <w:adjustRightInd w:val="0"/>
        <w:snapToGrid w:val="0"/>
        <w:ind w:firstLine="0"/>
        <w:jc w:val="left"/>
        <w:rPr>
          <w:kern w:val="18"/>
          <w:szCs w:val="18"/>
          <w:lang w:val="fr-FR"/>
        </w:rPr>
      </w:pPr>
      <w:r w:rsidRPr="00CC6565">
        <w:rPr>
          <w:rStyle w:val="FootnoteReference"/>
          <w:kern w:val="18"/>
          <w:szCs w:val="18"/>
          <w:lang w:val="fr-FR"/>
        </w:rPr>
        <w:footnoteRef/>
      </w:r>
      <w:r w:rsidRPr="00CC6565">
        <w:rPr>
          <w:kern w:val="18"/>
          <w:szCs w:val="18"/>
          <w:lang w:val="fr-FR"/>
        </w:rPr>
        <w:t xml:space="preserve"> </w:t>
      </w:r>
      <w:hyperlink r:id="rId7" w:history="1">
        <w:r w:rsidRPr="00CC6565">
          <w:rPr>
            <w:rStyle w:val="Hyperlink"/>
            <w:kern w:val="18"/>
            <w:szCs w:val="18"/>
            <w:lang w:val="fr-FR"/>
          </w:rPr>
          <w:t>Décision XII/12 </w:t>
        </w:r>
      </w:hyperlink>
      <w:r w:rsidRPr="00CC6565">
        <w:rPr>
          <w:kern w:val="18"/>
          <w:szCs w:val="18"/>
          <w:lang w:val="fr-FR"/>
        </w:rPr>
        <w:t>B, annexe.</w:t>
      </w:r>
    </w:p>
  </w:footnote>
  <w:footnote w:id="12">
    <w:p w14:paraId="4368B012" w14:textId="77777777" w:rsidR="00CC6565" w:rsidRPr="00CC6565" w:rsidRDefault="00CC6565" w:rsidP="00CC6565">
      <w:pPr>
        <w:pStyle w:val="FootnoteText"/>
        <w:keepLines w:val="0"/>
        <w:suppressLineNumbers/>
        <w:suppressAutoHyphens/>
        <w:adjustRightInd w:val="0"/>
        <w:snapToGrid w:val="0"/>
        <w:ind w:firstLine="0"/>
        <w:jc w:val="left"/>
        <w:rPr>
          <w:kern w:val="18"/>
          <w:szCs w:val="18"/>
          <w:lang w:val="fr-FR"/>
        </w:rPr>
      </w:pPr>
      <w:r w:rsidRPr="00CC6565">
        <w:rPr>
          <w:rStyle w:val="FootnoteReference"/>
          <w:kern w:val="18"/>
          <w:szCs w:val="18"/>
          <w:lang w:val="fr-FR"/>
        </w:rPr>
        <w:footnoteRef/>
      </w:r>
      <w:r w:rsidRPr="00CC6565">
        <w:rPr>
          <w:rStyle w:val="FootnoteReference"/>
          <w:szCs w:val="18"/>
          <w:lang w:val="fr-FR"/>
        </w:rPr>
        <w:t xml:space="preserve"> </w:t>
      </w:r>
      <w:r w:rsidRPr="00CC6565">
        <w:rPr>
          <w:kern w:val="18"/>
          <w:szCs w:val="18"/>
          <w:lang w:val="fr-FR"/>
        </w:rPr>
        <w:t xml:space="preserve">Voir le paragraphe 16 de la </w:t>
      </w:r>
      <w:hyperlink r:id="rId8" w:history="1">
        <w:r w:rsidRPr="00CC6565">
          <w:rPr>
            <w:rStyle w:val="Hyperlink"/>
            <w:kern w:val="18"/>
            <w:szCs w:val="18"/>
            <w:lang w:val="fr-FR"/>
          </w:rPr>
          <w:t>décision X/20</w:t>
        </w:r>
      </w:hyperlink>
      <w:r w:rsidRPr="00CC6565">
        <w:rPr>
          <w:kern w:val="18"/>
          <w:szCs w:val="18"/>
          <w:lang w:val="fr-FR"/>
        </w:rPr>
        <w:t xml:space="preserve"> sur la coopération avec d’autres conventions et organisations et initiatives internationales, </w:t>
      </w:r>
      <w:r w:rsidRPr="00CC6565">
        <w:rPr>
          <w:bCs/>
          <w:iCs/>
          <w:kern w:val="18"/>
          <w:szCs w:val="18"/>
          <w:lang w:val="fr-FR"/>
        </w:rPr>
        <w:t>dans lequel la Conférence des Parties se félicite du Programme de travail commun.</w:t>
      </w:r>
    </w:p>
  </w:footnote>
  <w:footnote w:id="13">
    <w:p w14:paraId="2237896B" w14:textId="4824BF75" w:rsidR="00CC6565" w:rsidRPr="00CC6565" w:rsidRDefault="00CC6565" w:rsidP="00CC6565">
      <w:pPr>
        <w:pStyle w:val="FootnoteText"/>
        <w:keepLines w:val="0"/>
        <w:suppressLineNumbers/>
        <w:suppressAutoHyphens/>
        <w:adjustRightInd w:val="0"/>
        <w:snapToGrid w:val="0"/>
        <w:ind w:firstLine="0"/>
        <w:jc w:val="left"/>
        <w:rPr>
          <w:kern w:val="18"/>
          <w:szCs w:val="18"/>
          <w:lang w:val="fr-FR"/>
        </w:rPr>
      </w:pPr>
      <w:r w:rsidRPr="00CC6565">
        <w:rPr>
          <w:rStyle w:val="FootnoteReference"/>
          <w:kern w:val="18"/>
          <w:szCs w:val="18"/>
          <w:lang w:val="fr-FR"/>
        </w:rPr>
        <w:footnoteRef/>
      </w:r>
      <w:r w:rsidRPr="00CC6565">
        <w:rPr>
          <w:szCs w:val="18"/>
          <w:lang w:val="fr-FR"/>
        </w:rPr>
        <w:t xml:space="preserve"> </w:t>
      </w:r>
      <w:r w:rsidR="008D2519">
        <w:rPr>
          <w:szCs w:val="18"/>
          <w:lang w:val="fr-FR"/>
        </w:rPr>
        <w:t>D</w:t>
      </w:r>
      <w:r w:rsidR="00A139D0">
        <w:rPr>
          <w:szCs w:val="18"/>
          <w:lang w:val="fr-FR"/>
        </w:rPr>
        <w:t>écision 14/12.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2FD00832" w14:textId="001FDE45" w:rsidR="00487483" w:rsidRPr="00575706" w:rsidRDefault="00FA0830" w:rsidP="00575706">
        <w:pPr>
          <w:pStyle w:val="Header"/>
          <w:tabs>
            <w:tab w:val="clear" w:pos="4320"/>
            <w:tab w:val="clear" w:pos="8640"/>
          </w:tabs>
          <w:jc w:val="left"/>
          <w:rPr>
            <w:noProof/>
            <w:kern w:val="22"/>
          </w:rPr>
        </w:pPr>
        <w:r>
          <w:rPr>
            <w:noProof/>
            <w:kern w:val="22"/>
          </w:rPr>
          <w:t>CBD/COP/DEC/14/17</w:t>
        </w:r>
      </w:p>
    </w:sdtContent>
  </w:sdt>
  <w:p w14:paraId="2FD00833" w14:textId="33F0EB8E" w:rsidR="00487483" w:rsidRPr="00575706" w:rsidRDefault="00487483" w:rsidP="00575706">
    <w:pPr>
      <w:pStyle w:val="Header"/>
      <w:tabs>
        <w:tab w:val="clear" w:pos="4320"/>
        <w:tab w:val="clear" w:pos="8640"/>
      </w:tabs>
      <w:jc w:val="left"/>
      <w:rPr>
        <w:noProof/>
        <w:kern w:val="22"/>
      </w:rPr>
    </w:pPr>
    <w:r w:rsidRPr="00575706">
      <w:rPr>
        <w:noProof/>
        <w:kern w:val="22"/>
      </w:rPr>
      <w:t xml:space="preserve">Page </w:t>
    </w:r>
    <w:r w:rsidRPr="00575706">
      <w:rPr>
        <w:noProof/>
        <w:kern w:val="22"/>
      </w:rPr>
      <w:fldChar w:fldCharType="begin"/>
    </w:r>
    <w:r w:rsidRPr="00575706">
      <w:rPr>
        <w:noProof/>
        <w:kern w:val="22"/>
      </w:rPr>
      <w:instrText xml:space="preserve"> PAGE   \* MERGEFORMAT </w:instrText>
    </w:r>
    <w:r w:rsidRPr="00575706">
      <w:rPr>
        <w:noProof/>
        <w:kern w:val="22"/>
      </w:rPr>
      <w:fldChar w:fldCharType="separate"/>
    </w:r>
    <w:r w:rsidR="0057210D">
      <w:rPr>
        <w:noProof/>
        <w:kern w:val="22"/>
      </w:rPr>
      <w:t>2</w:t>
    </w:r>
    <w:r w:rsidRPr="00575706">
      <w:rPr>
        <w:noProof/>
        <w:kern w:val="22"/>
      </w:rPr>
      <w:fldChar w:fldCharType="end"/>
    </w:r>
  </w:p>
  <w:p w14:paraId="2FD00834" w14:textId="77777777" w:rsidR="00487483" w:rsidRPr="00575706" w:rsidRDefault="00487483" w:rsidP="00575706">
    <w:pPr>
      <w:pStyle w:val="Header"/>
      <w:tabs>
        <w:tab w:val="clear" w:pos="4320"/>
        <w:tab w:val="clear" w:pos="8640"/>
      </w:tabs>
      <w:jc w:val="left"/>
      <w:rPr>
        <w:noProof/>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FD00835" w14:textId="0A468285" w:rsidR="00487483" w:rsidRPr="00575706" w:rsidRDefault="00FA0830" w:rsidP="00575706">
        <w:pPr>
          <w:pStyle w:val="Header"/>
          <w:tabs>
            <w:tab w:val="clear" w:pos="4320"/>
            <w:tab w:val="clear" w:pos="8640"/>
          </w:tabs>
          <w:jc w:val="right"/>
          <w:rPr>
            <w:noProof/>
            <w:kern w:val="22"/>
          </w:rPr>
        </w:pPr>
        <w:r>
          <w:rPr>
            <w:noProof/>
            <w:kern w:val="22"/>
          </w:rPr>
          <w:t>CBD/COP/DEC/14/17</w:t>
        </w:r>
      </w:p>
    </w:sdtContent>
  </w:sdt>
  <w:p w14:paraId="2FD00836" w14:textId="7EC14B3A" w:rsidR="00487483" w:rsidRPr="00575706" w:rsidRDefault="00487483" w:rsidP="00575706">
    <w:pPr>
      <w:pStyle w:val="Header"/>
      <w:tabs>
        <w:tab w:val="clear" w:pos="4320"/>
        <w:tab w:val="clear" w:pos="8640"/>
      </w:tabs>
      <w:jc w:val="right"/>
      <w:rPr>
        <w:noProof/>
        <w:kern w:val="22"/>
      </w:rPr>
    </w:pPr>
    <w:r w:rsidRPr="00575706">
      <w:rPr>
        <w:noProof/>
        <w:kern w:val="22"/>
      </w:rPr>
      <w:t xml:space="preserve">Page </w:t>
    </w:r>
    <w:r w:rsidRPr="00575706">
      <w:rPr>
        <w:noProof/>
        <w:kern w:val="22"/>
      </w:rPr>
      <w:fldChar w:fldCharType="begin"/>
    </w:r>
    <w:r w:rsidRPr="00575706">
      <w:rPr>
        <w:noProof/>
        <w:kern w:val="22"/>
      </w:rPr>
      <w:instrText xml:space="preserve"> PAGE   \* MERGEFORMAT </w:instrText>
    </w:r>
    <w:r w:rsidRPr="00575706">
      <w:rPr>
        <w:noProof/>
        <w:kern w:val="22"/>
      </w:rPr>
      <w:fldChar w:fldCharType="separate"/>
    </w:r>
    <w:r w:rsidR="0057210D">
      <w:rPr>
        <w:noProof/>
        <w:kern w:val="22"/>
      </w:rPr>
      <w:t>3</w:t>
    </w:r>
    <w:r w:rsidRPr="00575706">
      <w:rPr>
        <w:noProof/>
        <w:kern w:val="22"/>
      </w:rPr>
      <w:fldChar w:fldCharType="end"/>
    </w:r>
  </w:p>
  <w:p w14:paraId="2FD00837" w14:textId="77777777" w:rsidR="00487483" w:rsidRPr="00575706" w:rsidRDefault="00487483" w:rsidP="00575706">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17A71"/>
    <w:rsid w:val="000E673A"/>
    <w:rsid w:val="000F4914"/>
    <w:rsid w:val="000F74F5"/>
    <w:rsid w:val="00105372"/>
    <w:rsid w:val="00131E7A"/>
    <w:rsid w:val="00172AF6"/>
    <w:rsid w:val="00176CEE"/>
    <w:rsid w:val="00186DD8"/>
    <w:rsid w:val="001E383B"/>
    <w:rsid w:val="0021076F"/>
    <w:rsid w:val="00222498"/>
    <w:rsid w:val="00227B49"/>
    <w:rsid w:val="00245714"/>
    <w:rsid w:val="00273079"/>
    <w:rsid w:val="002F311B"/>
    <w:rsid w:val="00331FB2"/>
    <w:rsid w:val="00353DE9"/>
    <w:rsid w:val="00372F74"/>
    <w:rsid w:val="003740E7"/>
    <w:rsid w:val="0038557E"/>
    <w:rsid w:val="003C0F73"/>
    <w:rsid w:val="003D6DF7"/>
    <w:rsid w:val="003F7224"/>
    <w:rsid w:val="00427823"/>
    <w:rsid w:val="00427D21"/>
    <w:rsid w:val="004644C2"/>
    <w:rsid w:val="00467F9C"/>
    <w:rsid w:val="00487483"/>
    <w:rsid w:val="004915FC"/>
    <w:rsid w:val="004E15F2"/>
    <w:rsid w:val="004F1823"/>
    <w:rsid w:val="00534681"/>
    <w:rsid w:val="0057210D"/>
    <w:rsid w:val="00575706"/>
    <w:rsid w:val="006122BA"/>
    <w:rsid w:val="0068672C"/>
    <w:rsid w:val="006B2290"/>
    <w:rsid w:val="006B4ED1"/>
    <w:rsid w:val="006E5820"/>
    <w:rsid w:val="006F69DB"/>
    <w:rsid w:val="00717D88"/>
    <w:rsid w:val="00756862"/>
    <w:rsid w:val="007843F0"/>
    <w:rsid w:val="007942D3"/>
    <w:rsid w:val="007B078D"/>
    <w:rsid w:val="007B6C09"/>
    <w:rsid w:val="007E09DA"/>
    <w:rsid w:val="00816509"/>
    <w:rsid w:val="008178B6"/>
    <w:rsid w:val="00825EFA"/>
    <w:rsid w:val="00865B74"/>
    <w:rsid w:val="008D2519"/>
    <w:rsid w:val="008D45FC"/>
    <w:rsid w:val="00930BA1"/>
    <w:rsid w:val="0093169E"/>
    <w:rsid w:val="009505C9"/>
    <w:rsid w:val="00962A5D"/>
    <w:rsid w:val="009635D0"/>
    <w:rsid w:val="00996FB5"/>
    <w:rsid w:val="00997A24"/>
    <w:rsid w:val="009A40D0"/>
    <w:rsid w:val="009F658A"/>
    <w:rsid w:val="00A139D0"/>
    <w:rsid w:val="00A418D3"/>
    <w:rsid w:val="00A44B3F"/>
    <w:rsid w:val="00A565AE"/>
    <w:rsid w:val="00A80A87"/>
    <w:rsid w:val="00A8439D"/>
    <w:rsid w:val="00A85725"/>
    <w:rsid w:val="00A91D4C"/>
    <w:rsid w:val="00B3369F"/>
    <w:rsid w:val="00B6587C"/>
    <w:rsid w:val="00B700E5"/>
    <w:rsid w:val="00B74F42"/>
    <w:rsid w:val="00BF0146"/>
    <w:rsid w:val="00BF2DEB"/>
    <w:rsid w:val="00C443BD"/>
    <w:rsid w:val="00C76069"/>
    <w:rsid w:val="00C825AE"/>
    <w:rsid w:val="00C91405"/>
    <w:rsid w:val="00C9161D"/>
    <w:rsid w:val="00C95BEE"/>
    <w:rsid w:val="00CC6565"/>
    <w:rsid w:val="00CF1848"/>
    <w:rsid w:val="00D12044"/>
    <w:rsid w:val="00D76A18"/>
    <w:rsid w:val="00D8125E"/>
    <w:rsid w:val="00DB42D1"/>
    <w:rsid w:val="00DD118C"/>
    <w:rsid w:val="00E574F7"/>
    <w:rsid w:val="00E66235"/>
    <w:rsid w:val="00E83C24"/>
    <w:rsid w:val="00E9318D"/>
    <w:rsid w:val="00F333EA"/>
    <w:rsid w:val="00F6586C"/>
    <w:rsid w:val="00F94774"/>
    <w:rsid w:val="00FA0830"/>
    <w:rsid w:val="00FC53DB"/>
    <w:rsid w:val="00FD04F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D00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Table" w:semiHidden="0" w:unhideWhenUsed="0"/>
    <w:lsdException w:name="No List" w:uiPriority="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NoSpacing">
    <w:name w:val="No Spacing"/>
    <w:link w:val="NoSpacingChar"/>
    <w:uiPriority w:val="1"/>
    <w:qFormat/>
    <w:rsid w:val="00273079"/>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273079"/>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CC6565"/>
    <w:pPr>
      <w:spacing w:after="160" w:line="240" w:lineRule="exact"/>
    </w:pPr>
    <w:rPr>
      <w:rFonts w:asciiTheme="minorHAnsi" w:eastAsiaTheme="minorEastAsia" w:hAnsiTheme="minorHAnsi" w:cstheme="minorBidi"/>
      <w:vertAlign w:val="superscript"/>
      <w:lang w:val="fr-CA"/>
    </w:rPr>
  </w:style>
  <w:style w:type="character" w:styleId="Emphasis">
    <w:name w:val="Emphasis"/>
    <w:uiPriority w:val="20"/>
    <w:qFormat/>
    <w:rsid w:val="00CC656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Table" w:semiHidden="0" w:unhideWhenUsed="0"/>
    <w:lsdException w:name="No List" w:uiPriority="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NoSpacing">
    <w:name w:val="No Spacing"/>
    <w:link w:val="NoSpacingChar"/>
    <w:uiPriority w:val="1"/>
    <w:qFormat/>
    <w:rsid w:val="00273079"/>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273079"/>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CC6565"/>
    <w:pPr>
      <w:spacing w:after="160" w:line="240" w:lineRule="exact"/>
    </w:pPr>
    <w:rPr>
      <w:rFonts w:asciiTheme="minorHAnsi" w:eastAsiaTheme="minorEastAsia" w:hAnsiTheme="minorHAnsi" w:cstheme="minorBidi"/>
      <w:vertAlign w:val="superscript"/>
      <w:lang w:val="fr-CA"/>
    </w:rPr>
  </w:style>
  <w:style w:type="character" w:styleId="Emphasis">
    <w:name w:val="Emphasis"/>
    <w:uiPriority w:val="20"/>
    <w:qFormat/>
    <w:rsid w:val="00CC65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ecision/cop/default.shtml?id=7158"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cbd.int/doc/decisions/cop-10/cop-10-dec-43-fr.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10/cop-10-dec-20-fr.pdf" TargetMode="External"/><Relationship Id="rId3" Type="http://schemas.openxmlformats.org/officeDocument/2006/relationships/hyperlink" Target="https://www.cbd.int/doc/decisions/cop-07/full/cop-07-dec-fr.pdf" TargetMode="External"/><Relationship Id="rId7" Type="http://schemas.openxmlformats.org/officeDocument/2006/relationships/hyperlink" Target="https://www.cbd.int/doc/decisions/cop-12/cop-12-dec-12-fr.pdf" TargetMode="External"/><Relationship Id="rId2" Type="http://schemas.openxmlformats.org/officeDocument/2006/relationships/hyperlink" Target="http://www.un.org/fr/ga/search/view_doc.asp?symbol=A/RES/70/1" TargetMode="External"/><Relationship Id="rId1" Type="http://schemas.openxmlformats.org/officeDocument/2006/relationships/hyperlink" Target="https://www.cbd.int/doc/decisions/cop-10/cop-10-dec-43-fr.pdf" TargetMode="External"/><Relationship Id="rId6" Type="http://schemas.openxmlformats.org/officeDocument/2006/relationships/hyperlink" Target="https://www.cbd.int/doc/decisions/cop-13/cop-13-dec-18-fr.pdf" TargetMode="External"/><Relationship Id="rId5" Type="http://schemas.openxmlformats.org/officeDocument/2006/relationships/hyperlink" Target="https://www.cbd.int/doc/decisions/cop-12/cop-12-dec-12-fr.pdf" TargetMode="External"/><Relationship Id="rId4" Type="http://schemas.openxmlformats.org/officeDocument/2006/relationships/hyperlink" Target="https://www.cbd.int/doc/decisions/cop-10/cop-10-dec-42-fr.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124A198206954D5692E354C748C0A3BA"/>
        <w:category>
          <w:name w:val="General"/>
          <w:gallery w:val="placeholder"/>
        </w:category>
        <w:types>
          <w:type w:val="bbPlcHdr"/>
        </w:types>
        <w:behaviors>
          <w:behavior w:val="content"/>
        </w:behaviors>
        <w:guid w:val="{1DBE2F78-5AD3-42EF-BFDB-CDD3BEE5964D}"/>
      </w:docPartPr>
      <w:docPartBody>
        <w:p w:rsidR="001B14A1" w:rsidRDefault="003D7FD9">
          <w:r w:rsidRPr="0012757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1B14A1"/>
    <w:rsid w:val="00206CE9"/>
    <w:rsid w:val="003D7FD9"/>
    <w:rsid w:val="00500A2B"/>
    <w:rsid w:val="0058288D"/>
    <w:rsid w:val="006801B3"/>
    <w:rsid w:val="00805A59"/>
    <w:rsid w:val="00810A55"/>
    <w:rsid w:val="008C6619"/>
    <w:rsid w:val="008D420E"/>
    <w:rsid w:val="0098642F"/>
    <w:rsid w:val="00D11082"/>
    <w:rsid w:val="00DF133A"/>
    <w:rsid w:val="00F14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7FD9"/>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7FD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2307CB-EDD7-46EF-83EA-8737FABA9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1970</Words>
  <Characters>11231</Characters>
  <Application>Microsoft Office Word</Application>
  <DocSecurity>0</DocSecurity>
  <Lines>93</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14/17.	Intégration de l’article 8j) et de ses dispositions relatives aux peuples autochtones et aux communautés locales dans les travaux de la Convention et ses protocoles</vt:lpstr>
      <vt:lpstr>Integration of Article 8(j) and provisions related to indigenous peoples and local communities in the work of the Convention and its Protocols</vt:lpstr>
    </vt:vector>
  </TitlesOfParts>
  <Company>SCBD</Company>
  <LinksUpToDate>false</LinksUpToDate>
  <CharactersWithSpaces>13175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14/17.	Intégration de l’article 8j) et de ses dispositions relatives aux peuples autochtones et aux communautés locales dans les travaux de la Convention et ses protocoles</dc:title>
  <dc:subject>CBD/COP/DEC/14/17</dc:subject>
  <dc:creator>COP 14</dc:creator>
  <cp:keywords>Enhancing integration under the Convention and its Protocols with respect to provisions related to access and benefit-sharing, biosafety, and Article 8(j) and related provisions, Convention on Biological Diversity</cp:keywords>
  <cp:lastModifiedBy>--</cp:lastModifiedBy>
  <cp:revision>12</cp:revision>
  <dcterms:created xsi:type="dcterms:W3CDTF">2019-01-14T17:36:00Z</dcterms:created>
  <dcterms:modified xsi:type="dcterms:W3CDTF">2019-01-15T14:58:00Z</dcterms:modified>
  <cp:contentStatus>GÉNÉRALE</cp:contentStatus>
</cp:coreProperties>
</file>