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E46E0" w:rsidRPr="001D1A95" w14:paraId="31C7EDA0" w14:textId="77777777" w:rsidTr="009756DC">
        <w:trPr>
          <w:trHeight w:val="709"/>
        </w:trPr>
        <w:tc>
          <w:tcPr>
            <w:tcW w:w="976" w:type="dxa"/>
            <w:tcBorders>
              <w:bottom w:val="single" w:sz="12" w:space="0" w:color="auto"/>
            </w:tcBorders>
          </w:tcPr>
          <w:p w14:paraId="6C6AB665" w14:textId="77777777" w:rsidR="005E46E0" w:rsidRPr="001D1A95" w:rsidRDefault="005E46E0" w:rsidP="009756DC">
            <w:pPr>
              <w:rPr>
                <w:kern w:val="22"/>
              </w:rPr>
            </w:pPr>
            <w:r w:rsidRPr="001D1A95">
              <w:rPr>
                <w:kern w:val="22"/>
              </w:rPr>
              <w:drawing>
                <wp:inline distT="0" distB="0" distL="0" distR="0" wp14:anchorId="28CC3CC2" wp14:editId="3E43A0F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4E43A13" w14:textId="77777777" w:rsidR="005E46E0" w:rsidRPr="001D1A95" w:rsidRDefault="005E46E0" w:rsidP="009756DC">
            <w:pPr>
              <w:rPr>
                <w:kern w:val="22"/>
              </w:rPr>
            </w:pPr>
            <w:r w:rsidRPr="001D1A95">
              <w:rPr>
                <w:kern w:val="22"/>
              </w:rPr>
              <w:drawing>
                <wp:inline distT="0" distB="0" distL="0" distR="0" wp14:anchorId="4381F573" wp14:editId="6BB2039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5294CEA2" w14:textId="77777777" w:rsidR="005E46E0" w:rsidRPr="001D1A95" w:rsidRDefault="005E46E0" w:rsidP="009756DC">
            <w:pPr>
              <w:jc w:val="right"/>
              <w:rPr>
                <w:rFonts w:ascii="Arial" w:hAnsi="Arial" w:cs="Arial"/>
                <w:b/>
                <w:kern w:val="22"/>
                <w:sz w:val="32"/>
                <w:szCs w:val="32"/>
              </w:rPr>
            </w:pPr>
            <w:r w:rsidRPr="001D1A95">
              <w:rPr>
                <w:rFonts w:ascii="Arial" w:hAnsi="Arial" w:cs="Arial"/>
                <w:b/>
                <w:kern w:val="22"/>
                <w:sz w:val="32"/>
                <w:szCs w:val="32"/>
              </w:rPr>
              <w:t>CBD</w:t>
            </w:r>
          </w:p>
        </w:tc>
      </w:tr>
      <w:tr w:rsidR="005E46E0" w:rsidRPr="001D1A95" w14:paraId="0AB92AD9" w14:textId="77777777" w:rsidTr="009756DC">
        <w:tc>
          <w:tcPr>
            <w:tcW w:w="6117" w:type="dxa"/>
            <w:gridSpan w:val="2"/>
            <w:tcBorders>
              <w:top w:val="single" w:sz="12" w:space="0" w:color="auto"/>
              <w:bottom w:val="single" w:sz="36" w:space="0" w:color="auto"/>
            </w:tcBorders>
            <w:vAlign w:val="center"/>
          </w:tcPr>
          <w:p w14:paraId="5DF3E59F" w14:textId="77777777" w:rsidR="005E46E0" w:rsidRPr="001D1A95" w:rsidRDefault="005E46E0" w:rsidP="009756DC">
            <w:pPr>
              <w:rPr>
                <w:kern w:val="22"/>
              </w:rPr>
            </w:pPr>
            <w:r w:rsidRPr="001D1A95">
              <w:rPr>
                <w:kern w:val="22"/>
              </w:rPr>
              <w:drawing>
                <wp:inline distT="0" distB="0" distL="0" distR="0" wp14:anchorId="27405DEC" wp14:editId="6B5FE4B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0BCDE13" w14:textId="77777777" w:rsidR="005E46E0" w:rsidRPr="001D1A95" w:rsidRDefault="005E46E0" w:rsidP="009756DC">
            <w:pPr>
              <w:ind w:left="1215"/>
              <w:rPr>
                <w:kern w:val="22"/>
                <w:szCs w:val="22"/>
              </w:rPr>
            </w:pPr>
            <w:r w:rsidRPr="001D1A95">
              <w:rPr>
                <w:kern w:val="22"/>
                <w:szCs w:val="22"/>
              </w:rPr>
              <w:t>Distr.</w:t>
            </w:r>
          </w:p>
          <w:p w14:paraId="18A06C86" w14:textId="33016E75" w:rsidR="005E46E0" w:rsidRPr="001D1A95" w:rsidRDefault="001D1A95" w:rsidP="009756DC">
            <w:pPr>
              <w:ind w:left="1215"/>
              <w:rPr>
                <w:kern w:val="22"/>
                <w:szCs w:val="22"/>
              </w:rPr>
            </w:pPr>
            <w:sdt>
              <w:sdtPr>
                <w:rPr>
                  <w:caps/>
                  <w:kern w:val="22"/>
                  <w:szCs w:val="22"/>
                </w:rPr>
                <w:alias w:val="Status"/>
                <w:tag w:val=""/>
                <w:id w:val="307985777"/>
                <w:placeholder>
                  <w:docPart w:val="C430C73C82AC42BE998BFFD01F67FB6C"/>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7EEF" w:rsidRPr="001D1A95">
                  <w:rPr>
                    <w:caps/>
                    <w:kern w:val="22"/>
                    <w:szCs w:val="22"/>
                  </w:rPr>
                  <w:t>GENERAL</w:t>
                </w:r>
              </w:sdtContent>
            </w:sdt>
          </w:p>
          <w:p w14:paraId="5D7020A0" w14:textId="77777777" w:rsidR="005E46E0" w:rsidRPr="001D1A95" w:rsidRDefault="005E46E0" w:rsidP="009756DC">
            <w:pPr>
              <w:ind w:left="1215"/>
              <w:rPr>
                <w:kern w:val="22"/>
                <w:szCs w:val="22"/>
              </w:rPr>
            </w:pPr>
          </w:p>
          <w:p w14:paraId="31A0930F" w14:textId="665B74ED" w:rsidR="005E46E0" w:rsidRPr="001D1A95" w:rsidRDefault="001D1A95" w:rsidP="009756DC">
            <w:pPr>
              <w:ind w:left="1215"/>
              <w:rPr>
                <w:kern w:val="22"/>
                <w:szCs w:val="22"/>
              </w:rPr>
            </w:pPr>
            <w:sdt>
              <w:sdtPr>
                <w:rPr>
                  <w:kern w:val="22"/>
                </w:rPr>
                <w:alias w:val="Subject"/>
                <w:tag w:val=""/>
                <w:id w:val="2137136483"/>
                <w:placeholder>
                  <w:docPart w:val="EA016468B3964D30ACE4E65CE77AD901"/>
                </w:placeholder>
                <w:dataBinding w:prefixMappings="xmlns:ns0='http://purl.org/dc/elements/1.1/' xmlns:ns1='http://schemas.openxmlformats.org/package/2006/metadata/core-properties' " w:xpath="/ns1:coreProperties[1]/ns0:subject[1]" w:storeItemID="{6C3C8BC8-F283-45AE-878A-BAB7291924A1}"/>
                <w:text/>
              </w:sdtPr>
              <w:sdtEndPr/>
              <w:sdtContent>
                <w:r w:rsidR="00AE7EEF" w:rsidRPr="001D1A95">
                  <w:rPr>
                    <w:kern w:val="22"/>
                  </w:rPr>
                  <w:t>CBD/COP/DEC/14/18</w:t>
                </w:r>
              </w:sdtContent>
            </w:sdt>
          </w:p>
          <w:p w14:paraId="783686BB" w14:textId="29968E50" w:rsidR="005E46E0" w:rsidRPr="001D1A95" w:rsidRDefault="00AE7EEF" w:rsidP="009756DC">
            <w:pPr>
              <w:ind w:left="1215"/>
              <w:rPr>
                <w:kern w:val="22"/>
                <w:szCs w:val="22"/>
              </w:rPr>
            </w:pPr>
            <w:r w:rsidRPr="001D1A95">
              <w:rPr>
                <w:kern w:val="22"/>
                <w:szCs w:val="22"/>
              </w:rPr>
              <w:t xml:space="preserve">30 </w:t>
            </w:r>
            <w:r w:rsidR="005E46E0" w:rsidRPr="001D1A95">
              <w:rPr>
                <w:kern w:val="22"/>
                <w:szCs w:val="22"/>
              </w:rPr>
              <w:t>November 2018</w:t>
            </w:r>
          </w:p>
          <w:p w14:paraId="5EDB9D6E" w14:textId="77777777" w:rsidR="005E46E0" w:rsidRPr="001D1A95" w:rsidRDefault="005E46E0" w:rsidP="009756DC">
            <w:pPr>
              <w:ind w:left="1215"/>
              <w:rPr>
                <w:kern w:val="22"/>
                <w:szCs w:val="22"/>
              </w:rPr>
            </w:pPr>
          </w:p>
          <w:p w14:paraId="2A337B93" w14:textId="77777777" w:rsidR="005E46E0" w:rsidRPr="001D1A95" w:rsidRDefault="005E46E0" w:rsidP="009756DC">
            <w:pPr>
              <w:ind w:left="1215"/>
              <w:rPr>
                <w:kern w:val="22"/>
                <w:szCs w:val="22"/>
              </w:rPr>
            </w:pPr>
            <w:r w:rsidRPr="001D1A95">
              <w:rPr>
                <w:kern w:val="22"/>
                <w:szCs w:val="22"/>
              </w:rPr>
              <w:t>ORIGINAL: ENGLISH</w:t>
            </w:r>
          </w:p>
          <w:p w14:paraId="14187E7D" w14:textId="77777777" w:rsidR="005E46E0" w:rsidRPr="001D1A95" w:rsidRDefault="005E46E0" w:rsidP="009756DC">
            <w:pPr>
              <w:rPr>
                <w:kern w:val="22"/>
              </w:rPr>
            </w:pPr>
          </w:p>
        </w:tc>
      </w:tr>
    </w:tbl>
    <w:p w14:paraId="7CAD8B77" w14:textId="77777777" w:rsidR="005E46E0" w:rsidRPr="001D1A95" w:rsidRDefault="005E46E0" w:rsidP="005E46E0">
      <w:pPr>
        <w:pStyle w:val="NoSpacing"/>
        <w:ind w:left="142" w:right="4682" w:hanging="142"/>
        <w:rPr>
          <w:rFonts w:ascii="Times New Roman" w:hAnsi="Times New Roman"/>
          <w:kern w:val="22"/>
          <w:lang w:val="en-GB"/>
        </w:rPr>
      </w:pPr>
      <w:r w:rsidRPr="001D1A95">
        <w:rPr>
          <w:rFonts w:ascii="Times New Roman" w:hAnsi="Times New Roman"/>
          <w:kern w:val="22"/>
          <w:lang w:val="en-GB"/>
        </w:rPr>
        <w:t>CONFERENCE OF THE PARTIES TO THE CONVENTION ON BIOLOGICAL DIVERSITY</w:t>
      </w:r>
    </w:p>
    <w:p w14:paraId="5B0F9F9E" w14:textId="77777777" w:rsidR="0061445E" w:rsidRPr="001D1A95" w:rsidRDefault="0061445E" w:rsidP="0061445E">
      <w:pPr>
        <w:pStyle w:val="NoSpacing"/>
        <w:rPr>
          <w:rFonts w:ascii="Times New Roman" w:hAnsi="Times New Roman"/>
          <w:kern w:val="22"/>
          <w:lang w:val="en-GB"/>
        </w:rPr>
      </w:pPr>
      <w:r w:rsidRPr="001D1A95">
        <w:rPr>
          <w:rFonts w:ascii="Times New Roman" w:hAnsi="Times New Roman"/>
          <w:kern w:val="22"/>
          <w:lang w:val="en-GB"/>
        </w:rPr>
        <w:t>Fourteenth meeting</w:t>
      </w:r>
    </w:p>
    <w:p w14:paraId="016B4752" w14:textId="77777777" w:rsidR="0061445E" w:rsidRPr="001D1A95" w:rsidRDefault="0061445E" w:rsidP="0061445E">
      <w:pPr>
        <w:pStyle w:val="NoSpacing"/>
        <w:rPr>
          <w:rFonts w:ascii="Times New Roman" w:hAnsi="Times New Roman"/>
          <w:kern w:val="22"/>
          <w:lang w:val="en-GB"/>
        </w:rPr>
      </w:pPr>
      <w:r w:rsidRPr="001D1A95">
        <w:rPr>
          <w:rFonts w:ascii="Times New Roman" w:hAnsi="Times New Roman"/>
          <w:kern w:val="22"/>
          <w:lang w:val="en-GB"/>
        </w:rPr>
        <w:t>Sharm el-Sheikh, Egypt, 17-29 November 2018</w:t>
      </w:r>
    </w:p>
    <w:p w14:paraId="0B9BBCE1" w14:textId="4A6124A5" w:rsidR="00C9161D" w:rsidRPr="001D1A95" w:rsidRDefault="00405146" w:rsidP="00C9161D">
      <w:pPr>
        <w:rPr>
          <w:kern w:val="22"/>
        </w:rPr>
      </w:pPr>
      <w:r w:rsidRPr="001D1A95">
        <w:rPr>
          <w:kern w:val="22"/>
        </w:rPr>
        <w:t xml:space="preserve">Agenda item </w:t>
      </w:r>
      <w:r w:rsidR="00FD7A33" w:rsidRPr="001D1A95">
        <w:rPr>
          <w:kern w:val="22"/>
        </w:rPr>
        <w:t>8</w:t>
      </w:r>
    </w:p>
    <w:p w14:paraId="032C4FF9" w14:textId="77777777" w:rsidR="00AE7EEF" w:rsidRPr="001D1A95" w:rsidRDefault="00AE7EEF" w:rsidP="001D1A95">
      <w:pPr>
        <w:suppressLineNumbers/>
        <w:suppressAutoHyphens/>
        <w:spacing w:before="240" w:after="120"/>
        <w:jc w:val="center"/>
        <w:rPr>
          <w:kern w:val="22"/>
          <w:szCs w:val="22"/>
        </w:rPr>
      </w:pPr>
      <w:r w:rsidRPr="001D1A95">
        <w:rPr>
          <w:b/>
          <w:caps/>
          <w:kern w:val="22"/>
          <w:szCs w:val="22"/>
        </w:rPr>
        <w:t>DECISION ADOPTED BY THE CONFERENCE OF THE PARTIES TO THE CONVENTION ON BIOLOGICAL DIVERSITY</w:t>
      </w:r>
    </w:p>
    <w:p w14:paraId="70A9BE08" w14:textId="4738119B" w:rsidR="00C9161D" w:rsidRPr="001D1A95" w:rsidRDefault="001D1A95" w:rsidP="001D1A95">
      <w:pPr>
        <w:pStyle w:val="recommendationheader"/>
        <w:rPr>
          <w:caps/>
          <w:kern w:val="22"/>
        </w:rPr>
      </w:pPr>
      <w:sdt>
        <w:sdtPr>
          <w:rPr>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32EC5" w:rsidRPr="001D1A95">
            <w:rPr>
              <w:kern w:val="22"/>
            </w:rPr>
            <w:t>14/18.</w:t>
          </w:r>
          <w:r w:rsidR="00132EC5" w:rsidRPr="001D1A95">
            <w:rPr>
              <w:kern w:val="22"/>
            </w:rPr>
            <w:tab/>
            <w:t>Gender plan of action</w:t>
          </w:r>
        </w:sdtContent>
      </w:sdt>
      <w:r w:rsidR="00FD7A33" w:rsidRPr="001D1A95">
        <w:rPr>
          <w:kern w:val="22"/>
        </w:rPr>
        <w:t xml:space="preserve"> </w:t>
      </w:r>
    </w:p>
    <w:p w14:paraId="03DAAECA" w14:textId="234A1F05" w:rsidR="001A6239" w:rsidRPr="006C51CF" w:rsidRDefault="001A6239" w:rsidP="001D1A95">
      <w:pPr>
        <w:keepNext/>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CA0B05">
        <w:rPr>
          <w:i/>
          <w:snapToGrid w:val="0"/>
          <w:kern w:val="22"/>
          <w:szCs w:val="22"/>
        </w:rPr>
        <w:t>The Conference of the Parties</w:t>
      </w:r>
      <w:r w:rsidR="00214EB8" w:rsidRPr="006C51CF">
        <w:rPr>
          <w:i/>
          <w:snapToGrid w:val="0"/>
          <w:kern w:val="22"/>
          <w:szCs w:val="22"/>
        </w:rPr>
        <w:t>,</w:t>
      </w:r>
    </w:p>
    <w:p w14:paraId="77704017" w14:textId="77777777" w:rsidR="001A6239" w:rsidRPr="006C51CF"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6C51CF">
        <w:rPr>
          <w:rFonts w:ascii="Times New Roman" w:hAnsi="Times New Roman" w:cs="Times New Roman"/>
          <w:i/>
          <w:kern w:val="22"/>
          <w:sz w:val="22"/>
          <w:szCs w:val="22"/>
          <w:lang w:val="en-GB"/>
        </w:rPr>
        <w:t>Recalling</w:t>
      </w:r>
      <w:r w:rsidRPr="006C51CF">
        <w:rPr>
          <w:rFonts w:ascii="Times New Roman" w:hAnsi="Times New Roman" w:cs="Times New Roman"/>
          <w:kern w:val="22"/>
          <w:sz w:val="22"/>
          <w:szCs w:val="22"/>
          <w:lang w:val="en-GB"/>
        </w:rPr>
        <w:t xml:space="preserve"> decision XII/7, in which it welcomed the 2015-2020 Gender Plan of Action under the Convention,</w:t>
      </w:r>
    </w:p>
    <w:p w14:paraId="2857A1DA" w14:textId="77777777" w:rsidR="001A6239" w:rsidRPr="001D1A95"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6C51CF">
        <w:rPr>
          <w:rFonts w:ascii="Times New Roman" w:hAnsi="Times New Roman" w:cs="Times New Roman"/>
          <w:i/>
          <w:kern w:val="22"/>
          <w:sz w:val="22"/>
          <w:szCs w:val="22"/>
          <w:lang w:val="en-GB"/>
        </w:rPr>
        <w:t>Noting</w:t>
      </w:r>
      <w:r w:rsidRPr="006C51CF">
        <w:rPr>
          <w:rFonts w:ascii="Times New Roman" w:hAnsi="Times New Roman" w:cs="Times New Roman"/>
          <w:kern w:val="22"/>
          <w:sz w:val="22"/>
          <w:szCs w:val="22"/>
          <w:lang w:val="en-GB"/>
        </w:rPr>
        <w:t xml:space="preserve"> that the 2015-2020 Gender Plan of Action is at its mid-way point, and </w:t>
      </w:r>
      <w:r w:rsidRPr="006C51CF">
        <w:rPr>
          <w:rFonts w:ascii="Times New Roman" w:hAnsi="Times New Roman" w:cs="Times New Roman"/>
          <w:i/>
          <w:kern w:val="22"/>
          <w:sz w:val="22"/>
          <w:szCs w:val="22"/>
          <w:lang w:val="en-GB"/>
        </w:rPr>
        <w:t>recognizing</w:t>
      </w:r>
      <w:r w:rsidRPr="006C51CF">
        <w:rPr>
          <w:rFonts w:ascii="Times New Roman" w:hAnsi="Times New Roman" w:cs="Times New Roman"/>
          <w:kern w:val="22"/>
          <w:sz w:val="22"/>
          <w:szCs w:val="22"/>
          <w:lang w:val="en-GB"/>
        </w:rPr>
        <w:t xml:space="preserve"> the need for effective implementation of the Plan, including towards the achievement of the Aichi Biodiversity Targets and the Strategic Plan for Biodiversity 2011-2020,</w:t>
      </w:r>
    </w:p>
    <w:p w14:paraId="44E8E676" w14:textId="77777777" w:rsidR="001A6239" w:rsidRPr="00CA0B05"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1D1A95">
        <w:rPr>
          <w:rFonts w:ascii="Times New Roman" w:hAnsi="Times New Roman" w:cs="Times New Roman"/>
          <w:kern w:val="22"/>
          <w:sz w:val="22"/>
          <w:szCs w:val="22"/>
          <w:lang w:val="en-GB"/>
        </w:rPr>
        <w:t>1.</w:t>
      </w:r>
      <w:r w:rsidRPr="001D1A95">
        <w:rPr>
          <w:rFonts w:ascii="Times New Roman" w:hAnsi="Times New Roman" w:cs="Times New Roman"/>
          <w:kern w:val="22"/>
          <w:sz w:val="22"/>
          <w:szCs w:val="22"/>
          <w:lang w:val="en-GB"/>
        </w:rPr>
        <w:tab/>
      </w:r>
      <w:r w:rsidRPr="001D1A95">
        <w:rPr>
          <w:rFonts w:ascii="Times New Roman" w:hAnsi="Times New Roman" w:cs="Times New Roman"/>
          <w:i/>
          <w:iCs/>
          <w:kern w:val="22"/>
          <w:sz w:val="22"/>
          <w:szCs w:val="22"/>
          <w:lang w:val="en-GB"/>
        </w:rPr>
        <w:t>Welcomes</w:t>
      </w:r>
      <w:r w:rsidRPr="001D1A95">
        <w:rPr>
          <w:rFonts w:ascii="Times New Roman" w:hAnsi="Times New Roman" w:cs="Times New Roman"/>
          <w:kern w:val="22"/>
          <w:sz w:val="22"/>
          <w:szCs w:val="22"/>
          <w:lang w:val="en-GB"/>
        </w:rPr>
        <w:t xml:space="preserve"> </w:t>
      </w:r>
      <w:r w:rsidRPr="001D1A95">
        <w:rPr>
          <w:rFonts w:ascii="Times New Roman" w:hAnsi="Times New Roman" w:cs="Times New Roman"/>
          <w:color w:val="auto"/>
          <w:kern w:val="22"/>
          <w:sz w:val="22"/>
          <w:szCs w:val="22"/>
          <w:lang w:val="en-GB"/>
        </w:rPr>
        <w:t xml:space="preserve">the updated assessment of progress in the implementation of </w:t>
      </w:r>
      <w:r w:rsidRPr="001D1A95">
        <w:rPr>
          <w:rFonts w:ascii="Times New Roman" w:hAnsi="Times New Roman" w:cs="Times New Roman"/>
          <w:kern w:val="22"/>
          <w:sz w:val="22"/>
          <w:szCs w:val="22"/>
          <w:lang w:val="en-GB"/>
        </w:rPr>
        <w:t>the 2015-2020 Gender Plan of Action;</w:t>
      </w:r>
      <w:r w:rsidRPr="00CA0B05">
        <w:rPr>
          <w:rStyle w:val="FootnoteReference"/>
          <w:rFonts w:ascii="Times New Roman" w:hAnsi="Times New Roman" w:cs="Times New Roman"/>
          <w:kern w:val="22"/>
          <w:szCs w:val="22"/>
          <w:lang w:val="en-GB"/>
        </w:rPr>
        <w:footnoteReference w:id="1"/>
      </w:r>
    </w:p>
    <w:p w14:paraId="35DE1489" w14:textId="77777777" w:rsidR="001A6239" w:rsidRPr="00CA0B05"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6C51CF">
        <w:rPr>
          <w:rFonts w:ascii="Times New Roman" w:hAnsi="Times New Roman" w:cs="Times New Roman"/>
          <w:kern w:val="22"/>
          <w:sz w:val="22"/>
          <w:szCs w:val="22"/>
          <w:lang w:val="en-GB"/>
        </w:rPr>
        <w:t>2.</w:t>
      </w:r>
      <w:r w:rsidRPr="006C51CF">
        <w:rPr>
          <w:rFonts w:ascii="Times New Roman" w:hAnsi="Times New Roman" w:cs="Times New Roman"/>
          <w:i/>
          <w:kern w:val="22"/>
          <w:sz w:val="22"/>
          <w:szCs w:val="22"/>
          <w:lang w:val="en-GB"/>
        </w:rPr>
        <w:tab/>
        <w:t>Emphasizes</w:t>
      </w:r>
      <w:r w:rsidRPr="006C51CF">
        <w:rPr>
          <w:rFonts w:ascii="Times New Roman" w:hAnsi="Times New Roman" w:cs="Times New Roman"/>
          <w:kern w:val="22"/>
          <w:sz w:val="22"/>
          <w:szCs w:val="22"/>
          <w:lang w:val="en-GB"/>
        </w:rPr>
        <w:t xml:space="preserve"> the need to address gender considerations in the development of the post-2020 biodiversity framework and in line with the gender targets of the Sustainable Development Goals;</w:t>
      </w:r>
      <w:r w:rsidRPr="00CA0B05">
        <w:rPr>
          <w:rStyle w:val="FootnoteReference"/>
          <w:rFonts w:ascii="Times New Roman" w:hAnsi="Times New Roman" w:cs="Times New Roman"/>
          <w:kern w:val="22"/>
          <w:szCs w:val="22"/>
          <w:lang w:val="en-GB"/>
        </w:rPr>
        <w:footnoteReference w:id="2"/>
      </w:r>
    </w:p>
    <w:p w14:paraId="23C6932E" w14:textId="77777777" w:rsidR="001A6239" w:rsidRPr="006C51CF" w:rsidRDefault="001A6239" w:rsidP="001D1A95">
      <w:pPr>
        <w:suppressLineNumbers/>
        <w:suppressAutoHyphens/>
        <w:kinsoku w:val="0"/>
        <w:autoSpaceDE w:val="0"/>
        <w:autoSpaceDN w:val="0"/>
        <w:adjustRightInd w:val="0"/>
        <w:snapToGrid w:val="0"/>
        <w:spacing w:before="120" w:after="120"/>
        <w:ind w:firstLine="720"/>
        <w:rPr>
          <w:i/>
          <w:iCs/>
          <w:snapToGrid w:val="0"/>
          <w:kern w:val="22"/>
          <w:szCs w:val="22"/>
        </w:rPr>
      </w:pPr>
      <w:r w:rsidRPr="006C51CF">
        <w:rPr>
          <w:kern w:val="22"/>
          <w:szCs w:val="22"/>
        </w:rPr>
        <w:t>3.</w:t>
      </w:r>
      <w:r w:rsidRPr="006C51CF">
        <w:rPr>
          <w:i/>
          <w:kern w:val="22"/>
          <w:szCs w:val="22"/>
        </w:rPr>
        <w:tab/>
      </w:r>
      <w:r w:rsidRPr="006C51CF">
        <w:rPr>
          <w:i/>
          <w:iCs/>
          <w:snapToGrid w:val="0"/>
          <w:kern w:val="22"/>
          <w:szCs w:val="22"/>
        </w:rPr>
        <w:t xml:space="preserve">Encourages </w:t>
      </w:r>
      <w:r w:rsidRPr="006C51CF">
        <w:rPr>
          <w:iCs/>
          <w:snapToGrid w:val="0"/>
          <w:kern w:val="22"/>
          <w:szCs w:val="22"/>
        </w:rPr>
        <w:t>Parties to develop and implement gender-responsive strategies and actions to support the implementation of the Convention and the Strategic Plan for Biodiversity 2011-2020;</w:t>
      </w:r>
    </w:p>
    <w:p w14:paraId="14090329" w14:textId="77777777" w:rsidR="001A6239" w:rsidRPr="001D1A95" w:rsidRDefault="001A6239" w:rsidP="001D1A95">
      <w:pPr>
        <w:suppressLineNumbers/>
        <w:suppressAutoHyphens/>
        <w:kinsoku w:val="0"/>
        <w:autoSpaceDE w:val="0"/>
        <w:autoSpaceDN w:val="0"/>
        <w:adjustRightInd w:val="0"/>
        <w:snapToGrid w:val="0"/>
        <w:spacing w:before="120" w:after="120"/>
        <w:ind w:firstLine="720"/>
        <w:rPr>
          <w:kern w:val="22"/>
          <w:szCs w:val="22"/>
        </w:rPr>
      </w:pPr>
      <w:r w:rsidRPr="001D1A95">
        <w:rPr>
          <w:kern w:val="22"/>
          <w:szCs w:val="22"/>
        </w:rPr>
        <w:t>4.</w:t>
      </w:r>
      <w:r w:rsidRPr="001D1A95">
        <w:rPr>
          <w:kern w:val="22"/>
          <w:szCs w:val="22"/>
        </w:rPr>
        <w:tab/>
      </w:r>
      <w:r w:rsidRPr="001D1A95">
        <w:rPr>
          <w:i/>
          <w:kern w:val="22"/>
          <w:szCs w:val="22"/>
        </w:rPr>
        <w:t>Encourages</w:t>
      </w:r>
      <w:r w:rsidRPr="001D1A95">
        <w:rPr>
          <w:kern w:val="22"/>
          <w:szCs w:val="22"/>
        </w:rPr>
        <w:t xml:space="preserve"> Parties and </w:t>
      </w:r>
      <w:r w:rsidRPr="001D1A95">
        <w:rPr>
          <w:i/>
          <w:kern w:val="22"/>
          <w:szCs w:val="22"/>
        </w:rPr>
        <w:t>invites</w:t>
      </w:r>
      <w:r w:rsidRPr="001D1A95">
        <w:rPr>
          <w:kern w:val="22"/>
          <w:szCs w:val="22"/>
        </w:rPr>
        <w:t xml:space="preserve"> other relevant stakeholders to support actions to strengthen knowledge on the linkages between gender and biodiversity, including through the provision of resources for capacity</w:t>
      </w:r>
      <w:r w:rsidRPr="001D1A95">
        <w:rPr>
          <w:kern w:val="22"/>
          <w:szCs w:val="22"/>
        </w:rPr>
        <w:noBreakHyphen/>
        <w:t>building on gender and biodiversity issues, and the collection of sex-disaggregated data;</w:t>
      </w:r>
    </w:p>
    <w:p w14:paraId="38CAFF41" w14:textId="77777777" w:rsidR="001A6239" w:rsidRPr="006C51CF"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CA0B05">
        <w:rPr>
          <w:rFonts w:ascii="Times New Roman" w:hAnsi="Times New Roman" w:cs="Times New Roman"/>
          <w:kern w:val="22"/>
          <w:sz w:val="22"/>
          <w:szCs w:val="22"/>
          <w:lang w:val="en-GB"/>
        </w:rPr>
        <w:t>5.</w:t>
      </w:r>
      <w:r w:rsidRPr="006C51CF">
        <w:rPr>
          <w:rFonts w:ascii="Times New Roman" w:hAnsi="Times New Roman" w:cs="Times New Roman"/>
          <w:i/>
          <w:kern w:val="22"/>
          <w:sz w:val="22"/>
          <w:szCs w:val="22"/>
          <w:lang w:val="en-GB"/>
        </w:rPr>
        <w:tab/>
        <w:t>Encourages</w:t>
      </w:r>
      <w:r w:rsidRPr="006C51CF">
        <w:rPr>
          <w:rFonts w:ascii="Times New Roman" w:hAnsi="Times New Roman" w:cs="Times New Roman"/>
          <w:kern w:val="22"/>
          <w:sz w:val="22"/>
          <w:szCs w:val="22"/>
          <w:lang w:val="en-GB"/>
        </w:rPr>
        <w:t xml:space="preserve"> Parties and </w:t>
      </w:r>
      <w:r w:rsidRPr="006C51CF">
        <w:rPr>
          <w:rFonts w:ascii="Times New Roman" w:hAnsi="Times New Roman" w:cs="Times New Roman"/>
          <w:i/>
          <w:kern w:val="22"/>
          <w:sz w:val="22"/>
          <w:szCs w:val="22"/>
          <w:lang w:val="en-GB"/>
        </w:rPr>
        <w:t>invites</w:t>
      </w:r>
      <w:r w:rsidRPr="006C51CF">
        <w:rPr>
          <w:rFonts w:ascii="Times New Roman" w:hAnsi="Times New Roman" w:cs="Times New Roman"/>
          <w:kern w:val="22"/>
          <w:sz w:val="22"/>
          <w:szCs w:val="22"/>
          <w:lang w:val="en-GB"/>
        </w:rPr>
        <w:t xml:space="preserve"> other relevant stakeholders to support harmonized approaches to capacity</w:t>
      </w:r>
      <w:r w:rsidRPr="006C51CF">
        <w:rPr>
          <w:rFonts w:ascii="Times New Roman" w:hAnsi="Times New Roman" w:cs="Times New Roman"/>
          <w:kern w:val="22"/>
          <w:sz w:val="22"/>
          <w:szCs w:val="22"/>
          <w:lang w:val="en-GB"/>
        </w:rPr>
        <w:noBreakHyphen/>
        <w:t>building and implementation of gender-responsive measures for biodiversity across the multilateral environmental agreements;</w:t>
      </w:r>
    </w:p>
    <w:p w14:paraId="5EAF45C4" w14:textId="4648FD24" w:rsidR="001A6239" w:rsidRPr="001D1A95"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6C51CF">
        <w:rPr>
          <w:rFonts w:ascii="Times New Roman" w:hAnsi="Times New Roman" w:cs="Times New Roman"/>
          <w:kern w:val="22"/>
          <w:sz w:val="22"/>
          <w:szCs w:val="22"/>
          <w:lang w:val="en-GB"/>
        </w:rPr>
        <w:t>6</w:t>
      </w:r>
      <w:r w:rsidRPr="006C51CF">
        <w:rPr>
          <w:rFonts w:ascii="Times New Roman" w:hAnsi="Times New Roman" w:cs="Times New Roman"/>
          <w:i/>
          <w:kern w:val="22"/>
          <w:sz w:val="22"/>
          <w:szCs w:val="22"/>
          <w:lang w:val="en-GB"/>
        </w:rPr>
        <w:t>.</w:t>
      </w:r>
      <w:r w:rsidRPr="006C51CF">
        <w:rPr>
          <w:rFonts w:ascii="Times New Roman" w:hAnsi="Times New Roman" w:cs="Times New Roman"/>
          <w:i/>
          <w:kern w:val="22"/>
          <w:sz w:val="22"/>
          <w:szCs w:val="22"/>
          <w:lang w:val="en-GB"/>
        </w:rPr>
        <w:tab/>
        <w:t>Requests</w:t>
      </w:r>
      <w:r w:rsidRPr="006C51CF">
        <w:rPr>
          <w:rFonts w:ascii="Times New Roman" w:hAnsi="Times New Roman" w:cs="Times New Roman"/>
          <w:kern w:val="22"/>
          <w:sz w:val="22"/>
          <w:szCs w:val="22"/>
          <w:lang w:val="en-GB"/>
        </w:rPr>
        <w:t xml:space="preserve"> the Executive Secretary, subject to availability of resources, to undertake a review of the implementation of the 2015-2020 Gender Plan of Action, in parallel to the development of the fifth edition of the </w:t>
      </w:r>
      <w:r w:rsidRPr="006C51CF">
        <w:rPr>
          <w:rFonts w:ascii="Times New Roman" w:hAnsi="Times New Roman" w:cs="Times New Roman"/>
          <w:i/>
          <w:kern w:val="22"/>
          <w:sz w:val="22"/>
          <w:szCs w:val="22"/>
          <w:lang w:val="en-GB"/>
        </w:rPr>
        <w:t>Global Biodiversity Outlook</w:t>
      </w:r>
      <w:r w:rsidRPr="006C51CF">
        <w:rPr>
          <w:rFonts w:ascii="Times New Roman" w:hAnsi="Times New Roman" w:cs="Times New Roman"/>
          <w:kern w:val="22"/>
          <w:sz w:val="22"/>
          <w:szCs w:val="22"/>
          <w:lang w:val="en-GB"/>
        </w:rPr>
        <w:t xml:space="preserve"> and the second edition of the </w:t>
      </w:r>
      <w:r w:rsidRPr="001D1A95">
        <w:rPr>
          <w:rFonts w:ascii="Times New Roman" w:hAnsi="Times New Roman" w:cs="Times New Roman"/>
          <w:i/>
          <w:iCs/>
          <w:kern w:val="22"/>
          <w:sz w:val="22"/>
          <w:szCs w:val="22"/>
          <w:lang w:val="en-GB"/>
        </w:rPr>
        <w:t>Local</w:t>
      </w:r>
      <w:r w:rsidRPr="001D1A95">
        <w:rPr>
          <w:rFonts w:ascii="Times New Roman" w:hAnsi="Times New Roman" w:cs="Times New Roman"/>
          <w:kern w:val="22"/>
          <w:sz w:val="22"/>
          <w:szCs w:val="22"/>
          <w:lang w:val="en-GB"/>
        </w:rPr>
        <w:t xml:space="preserve"> </w:t>
      </w:r>
      <w:r w:rsidRPr="001D1A95">
        <w:rPr>
          <w:rFonts w:ascii="Times New Roman" w:hAnsi="Times New Roman" w:cs="Times New Roman"/>
          <w:i/>
          <w:iCs/>
          <w:kern w:val="22"/>
          <w:sz w:val="22"/>
          <w:szCs w:val="22"/>
          <w:lang w:val="en-GB"/>
        </w:rPr>
        <w:t>Biodiversity</w:t>
      </w:r>
      <w:r w:rsidRPr="001D1A95">
        <w:rPr>
          <w:rFonts w:ascii="Times New Roman" w:hAnsi="Times New Roman" w:cs="Times New Roman"/>
          <w:kern w:val="22"/>
          <w:sz w:val="22"/>
          <w:szCs w:val="22"/>
          <w:lang w:val="en-GB"/>
        </w:rPr>
        <w:t xml:space="preserve"> </w:t>
      </w:r>
      <w:r w:rsidRPr="001D1A95">
        <w:rPr>
          <w:rFonts w:ascii="Times New Roman" w:hAnsi="Times New Roman" w:cs="Times New Roman"/>
          <w:i/>
          <w:iCs/>
          <w:kern w:val="22"/>
          <w:sz w:val="22"/>
          <w:szCs w:val="22"/>
          <w:lang w:val="en-GB"/>
        </w:rPr>
        <w:t>Outlook</w:t>
      </w:r>
      <w:r w:rsidR="00C41B3F" w:rsidRPr="001D1A95">
        <w:rPr>
          <w:rFonts w:ascii="Times New Roman" w:hAnsi="Times New Roman" w:cs="Times New Roman"/>
          <w:i/>
          <w:iCs/>
          <w:kern w:val="22"/>
          <w:sz w:val="22"/>
          <w:szCs w:val="22"/>
          <w:lang w:val="en-GB"/>
        </w:rPr>
        <w:t>s</w:t>
      </w:r>
      <w:r w:rsidRPr="001D1A95">
        <w:rPr>
          <w:rFonts w:ascii="Times New Roman" w:hAnsi="Times New Roman" w:cs="Times New Roman"/>
          <w:kern w:val="22"/>
          <w:sz w:val="22"/>
          <w:szCs w:val="22"/>
          <w:lang w:val="en-GB"/>
        </w:rPr>
        <w:t xml:space="preserve">, </w:t>
      </w:r>
      <w:proofErr w:type="gramStart"/>
      <w:r w:rsidRPr="001D1A95">
        <w:rPr>
          <w:rFonts w:ascii="Times New Roman" w:hAnsi="Times New Roman" w:cs="Times New Roman"/>
          <w:kern w:val="22"/>
          <w:sz w:val="22"/>
          <w:szCs w:val="22"/>
          <w:lang w:val="en-GB"/>
        </w:rPr>
        <w:t>in order to</w:t>
      </w:r>
      <w:proofErr w:type="gramEnd"/>
      <w:r w:rsidRPr="001D1A95">
        <w:rPr>
          <w:rFonts w:ascii="Times New Roman" w:hAnsi="Times New Roman" w:cs="Times New Roman"/>
          <w:kern w:val="22"/>
          <w:sz w:val="22"/>
          <w:szCs w:val="22"/>
          <w:lang w:val="en-GB"/>
        </w:rPr>
        <w:t xml:space="preserve"> identify gaps, best practices and lessons learned;</w:t>
      </w:r>
    </w:p>
    <w:p w14:paraId="0514524A" w14:textId="77777777" w:rsidR="001A6239" w:rsidRPr="001D1A95"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1D1A95">
        <w:rPr>
          <w:rFonts w:ascii="Times New Roman" w:hAnsi="Times New Roman" w:cs="Times New Roman"/>
          <w:kern w:val="22"/>
          <w:sz w:val="22"/>
          <w:szCs w:val="22"/>
          <w:lang w:val="en-GB"/>
        </w:rPr>
        <w:t>7.</w:t>
      </w:r>
      <w:r w:rsidRPr="001D1A95">
        <w:rPr>
          <w:rFonts w:ascii="Times New Roman" w:hAnsi="Times New Roman" w:cs="Times New Roman"/>
          <w:kern w:val="22"/>
          <w:sz w:val="22"/>
          <w:szCs w:val="22"/>
          <w:lang w:val="en-GB"/>
        </w:rPr>
        <w:tab/>
      </w:r>
      <w:r w:rsidRPr="001D1A95">
        <w:rPr>
          <w:rFonts w:ascii="Times New Roman" w:hAnsi="Times New Roman" w:cs="Times New Roman"/>
          <w:i/>
          <w:kern w:val="22"/>
          <w:sz w:val="22"/>
          <w:szCs w:val="22"/>
          <w:lang w:val="en-GB"/>
        </w:rPr>
        <w:t>Also requests</w:t>
      </w:r>
      <w:r w:rsidRPr="001D1A95">
        <w:rPr>
          <w:rFonts w:ascii="Times New Roman" w:hAnsi="Times New Roman" w:cs="Times New Roman"/>
          <w:kern w:val="22"/>
          <w:sz w:val="22"/>
          <w:szCs w:val="22"/>
          <w:lang w:val="en-GB"/>
        </w:rPr>
        <w:t xml:space="preserve"> the Executive Secretary, subject to the availability of resources, to organize regional workshops on the linkages between gender and biodiversity, and the lessons learned from the implementation of the 2015-2020 Gender Plan of Action;</w:t>
      </w:r>
      <w:bookmarkStart w:id="0" w:name="_GoBack"/>
      <w:bookmarkEnd w:id="0"/>
    </w:p>
    <w:p w14:paraId="77A58B70" w14:textId="3742E376" w:rsidR="001A6239" w:rsidRPr="001D1A95"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1D1A95">
        <w:rPr>
          <w:rFonts w:ascii="Times New Roman" w:hAnsi="Times New Roman" w:cs="Times New Roman"/>
          <w:kern w:val="22"/>
          <w:sz w:val="22"/>
          <w:szCs w:val="22"/>
          <w:lang w:val="en-GB"/>
        </w:rPr>
        <w:t>8.</w:t>
      </w:r>
      <w:r w:rsidRPr="001D1A95">
        <w:rPr>
          <w:rFonts w:ascii="Times New Roman" w:hAnsi="Times New Roman" w:cs="Times New Roman"/>
          <w:kern w:val="22"/>
          <w:sz w:val="22"/>
          <w:szCs w:val="22"/>
          <w:lang w:val="en-GB"/>
        </w:rPr>
        <w:tab/>
      </w:r>
      <w:r w:rsidRPr="001D1A95">
        <w:rPr>
          <w:rFonts w:ascii="Times New Roman" w:hAnsi="Times New Roman" w:cs="Times New Roman"/>
          <w:i/>
          <w:kern w:val="22"/>
          <w:sz w:val="22"/>
          <w:szCs w:val="22"/>
          <w:lang w:val="en-GB"/>
        </w:rPr>
        <w:t xml:space="preserve">Further requests </w:t>
      </w:r>
      <w:r w:rsidRPr="001D1A95">
        <w:rPr>
          <w:rFonts w:ascii="Times New Roman" w:hAnsi="Times New Roman" w:cs="Times New Roman"/>
          <w:kern w:val="22"/>
          <w:sz w:val="22"/>
          <w:szCs w:val="22"/>
          <w:lang w:val="en-GB"/>
        </w:rPr>
        <w:t xml:space="preserve">the Executive Secretary, subject to the availability of resources, to include discussions on the linkages between gender and biodiversity, and the lessons learned from the </w:t>
      </w:r>
      <w:r w:rsidRPr="001D1A95">
        <w:rPr>
          <w:rFonts w:ascii="Times New Roman" w:hAnsi="Times New Roman" w:cs="Times New Roman"/>
          <w:kern w:val="22"/>
          <w:sz w:val="22"/>
          <w:szCs w:val="22"/>
          <w:lang w:val="en-GB"/>
        </w:rPr>
        <w:lastRenderedPageBreak/>
        <w:t>implementation of the 2015-2020 Gender Plan of Action within the regional consultations on the post-2020 global biodiversity framework.</w:t>
      </w:r>
    </w:p>
    <w:p w14:paraId="1C1CEBC7" w14:textId="66615F4F" w:rsidR="00AE7EEF" w:rsidRPr="001D1A95" w:rsidRDefault="00AE7EEF" w:rsidP="001D1A95">
      <w:pPr>
        <w:pStyle w:val="NormalWeb"/>
        <w:suppressLineNumbers/>
        <w:suppressAutoHyphens/>
        <w:kinsoku w:val="0"/>
        <w:autoSpaceDE w:val="0"/>
        <w:autoSpaceDN w:val="0"/>
        <w:adjustRightInd w:val="0"/>
        <w:snapToGrid w:val="0"/>
        <w:spacing w:before="120" w:beforeAutospacing="0" w:after="120" w:afterAutospacing="0"/>
        <w:jc w:val="center"/>
        <w:rPr>
          <w:rFonts w:ascii="Times New Roman" w:hAnsi="Times New Roman" w:cs="Times New Roman"/>
          <w:kern w:val="22"/>
          <w:sz w:val="22"/>
          <w:szCs w:val="22"/>
          <w:lang w:val="en-GB"/>
        </w:rPr>
      </w:pPr>
      <w:r w:rsidRPr="001D1A95">
        <w:rPr>
          <w:rFonts w:ascii="Times New Roman" w:hAnsi="Times New Roman" w:cs="Times New Roman"/>
          <w:kern w:val="22"/>
          <w:sz w:val="22"/>
          <w:szCs w:val="22"/>
          <w:lang w:val="en-GB"/>
        </w:rPr>
        <w:t>__________</w:t>
      </w:r>
    </w:p>
    <w:sectPr w:rsidR="00AE7EEF" w:rsidRPr="001D1A95"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EE2F9" w14:textId="77777777" w:rsidR="00287C5E" w:rsidRDefault="00287C5E" w:rsidP="00CF1848">
      <w:r>
        <w:separator/>
      </w:r>
    </w:p>
  </w:endnote>
  <w:endnote w:type="continuationSeparator" w:id="0">
    <w:p w14:paraId="28C518E0" w14:textId="77777777" w:rsidR="00287C5E" w:rsidRDefault="00287C5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4D491" w14:textId="77777777" w:rsidR="00287C5E" w:rsidRDefault="00287C5E" w:rsidP="00CF1848">
      <w:r>
        <w:separator/>
      </w:r>
    </w:p>
  </w:footnote>
  <w:footnote w:type="continuationSeparator" w:id="0">
    <w:p w14:paraId="4DAFEF84" w14:textId="77777777" w:rsidR="00287C5E" w:rsidRDefault="00287C5E" w:rsidP="00CF1848">
      <w:r>
        <w:continuationSeparator/>
      </w:r>
    </w:p>
  </w:footnote>
  <w:footnote w:id="1">
    <w:p w14:paraId="24E34E7C" w14:textId="77777777" w:rsidR="001A6239" w:rsidRPr="001D1A95" w:rsidRDefault="001A6239" w:rsidP="001D1A95">
      <w:pPr>
        <w:keepLines/>
        <w:suppressLineNumbers/>
        <w:suppressAutoHyphens/>
        <w:kinsoku w:val="0"/>
        <w:overflowPunct w:val="0"/>
        <w:autoSpaceDE w:val="0"/>
        <w:autoSpaceDN w:val="0"/>
        <w:adjustRightInd w:val="0"/>
        <w:snapToGrid w:val="0"/>
        <w:spacing w:after="60"/>
        <w:jc w:val="left"/>
        <w:rPr>
          <w:kern w:val="18"/>
          <w:sz w:val="18"/>
          <w:szCs w:val="18"/>
        </w:rPr>
      </w:pPr>
      <w:r w:rsidRPr="001D1A95">
        <w:rPr>
          <w:rStyle w:val="FootnoteReference"/>
          <w:kern w:val="18"/>
          <w:sz w:val="18"/>
          <w:szCs w:val="18"/>
        </w:rPr>
        <w:footnoteRef/>
      </w:r>
      <w:r w:rsidRPr="001D1A95">
        <w:rPr>
          <w:kern w:val="18"/>
          <w:sz w:val="18"/>
          <w:szCs w:val="18"/>
        </w:rPr>
        <w:t xml:space="preserve"> </w:t>
      </w:r>
      <w:hyperlink r:id="rId1" w:history="1">
        <w:r w:rsidRPr="001D1A95">
          <w:rPr>
            <w:rStyle w:val="Hyperlink"/>
            <w:bCs/>
            <w:kern w:val="18"/>
            <w:szCs w:val="18"/>
          </w:rPr>
          <w:t>CBD/</w:t>
        </w:r>
        <w:proofErr w:type="spellStart"/>
        <w:r w:rsidRPr="001D1A95">
          <w:rPr>
            <w:rStyle w:val="Hyperlink"/>
            <w:bCs/>
            <w:kern w:val="18"/>
            <w:szCs w:val="18"/>
          </w:rPr>
          <w:t>SBI</w:t>
        </w:r>
        <w:proofErr w:type="spellEnd"/>
        <w:r w:rsidRPr="001D1A95">
          <w:rPr>
            <w:rStyle w:val="Hyperlink"/>
            <w:bCs/>
            <w:kern w:val="18"/>
            <w:szCs w:val="18"/>
          </w:rPr>
          <w:t>/2/2/Add.3</w:t>
        </w:r>
      </w:hyperlink>
      <w:r w:rsidRPr="001D1A95">
        <w:rPr>
          <w:kern w:val="18"/>
          <w:sz w:val="18"/>
          <w:szCs w:val="18"/>
        </w:rPr>
        <w:t>.</w:t>
      </w:r>
    </w:p>
  </w:footnote>
  <w:footnote w:id="2">
    <w:p w14:paraId="3F46BC32" w14:textId="77777777" w:rsidR="001A6239" w:rsidRPr="001D1A95" w:rsidRDefault="001A6239" w:rsidP="001D1A95">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1D1A95">
        <w:rPr>
          <w:rStyle w:val="FootnoteReference"/>
          <w:snapToGrid w:val="0"/>
          <w:kern w:val="18"/>
          <w:sz w:val="18"/>
          <w:szCs w:val="18"/>
        </w:rPr>
        <w:footnoteRef/>
      </w:r>
      <w:r w:rsidRPr="001D1A95">
        <w:rPr>
          <w:snapToGrid w:val="0"/>
          <w:kern w:val="18"/>
          <w:szCs w:val="18"/>
        </w:rPr>
        <w:t xml:space="preserve"> See General Assembly resolution </w:t>
      </w:r>
      <w:hyperlink r:id="rId2" w:history="1">
        <w:r w:rsidRPr="001D1A95">
          <w:rPr>
            <w:rStyle w:val="Hyperlink"/>
            <w:snapToGrid w:val="0"/>
            <w:kern w:val="18"/>
            <w:szCs w:val="18"/>
          </w:rPr>
          <w:t>70/1</w:t>
        </w:r>
      </w:hyperlink>
      <w:r w:rsidRPr="001D1A95">
        <w:rPr>
          <w:snapToGrid w:val="0"/>
          <w:kern w:val="18"/>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D8D9C82" w:rsidR="001A6239" w:rsidRPr="006326EC" w:rsidRDefault="00AE7EEF" w:rsidP="00534681">
        <w:pPr>
          <w:pStyle w:val="Header"/>
          <w:rPr>
            <w:lang w:val="en-CA"/>
          </w:rPr>
        </w:pPr>
        <w:r>
          <w:rPr>
            <w:lang w:val="en-CA"/>
          </w:rPr>
          <w:t>CBD/COP/DEC/14/18</w:t>
        </w:r>
      </w:p>
    </w:sdtContent>
  </w:sdt>
  <w:p w14:paraId="57597240" w14:textId="3EBFF6EE" w:rsidR="001A6239" w:rsidRPr="00000614" w:rsidRDefault="001A6239"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160BA6">
      <w:rPr>
        <w:noProof/>
        <w:lang w:val="fr-FR"/>
      </w:rPr>
      <w:t>2</w:t>
    </w:r>
    <w:r>
      <w:rPr>
        <w:noProof/>
      </w:rPr>
      <w:fldChar w:fldCharType="end"/>
    </w:r>
  </w:p>
  <w:p w14:paraId="1D80EB20" w14:textId="77777777" w:rsidR="001A6239" w:rsidRPr="00000614" w:rsidRDefault="001A6239">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CB9F7A0" w:rsidR="001A6239" w:rsidRPr="006326EC" w:rsidRDefault="00AE7EEF" w:rsidP="009505C9">
        <w:pPr>
          <w:pStyle w:val="Header"/>
          <w:jc w:val="right"/>
          <w:rPr>
            <w:lang w:val="en-CA"/>
          </w:rPr>
        </w:pPr>
        <w:r>
          <w:rPr>
            <w:lang w:val="en-CA"/>
          </w:rPr>
          <w:t>CBD/COP/DEC/14/18</w:t>
        </w:r>
      </w:p>
    </w:sdtContent>
  </w:sdt>
  <w:p w14:paraId="7E9B8683" w14:textId="3F231203" w:rsidR="001A6239" w:rsidRPr="00000614" w:rsidRDefault="001A623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42C60">
      <w:rPr>
        <w:noProof/>
        <w:lang w:val="fr-FR"/>
      </w:rPr>
      <w:t>7</w:t>
    </w:r>
    <w:r>
      <w:rPr>
        <w:noProof/>
      </w:rPr>
      <w:fldChar w:fldCharType="end"/>
    </w:r>
  </w:p>
  <w:p w14:paraId="2F845650" w14:textId="77777777" w:rsidR="001A6239" w:rsidRPr="00000614" w:rsidRDefault="001A623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revisionView w:markup="0" w:formatting="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46FA1"/>
    <w:rsid w:val="00060B74"/>
    <w:rsid w:val="000B4CA8"/>
    <w:rsid w:val="000E673A"/>
    <w:rsid w:val="000F6126"/>
    <w:rsid w:val="000F74F5"/>
    <w:rsid w:val="00105372"/>
    <w:rsid w:val="00131E7A"/>
    <w:rsid w:val="00132EC5"/>
    <w:rsid w:val="0015619B"/>
    <w:rsid w:val="00160BA6"/>
    <w:rsid w:val="00172AF6"/>
    <w:rsid w:val="00176CEE"/>
    <w:rsid w:val="001827F4"/>
    <w:rsid w:val="00183F86"/>
    <w:rsid w:val="001A6239"/>
    <w:rsid w:val="001D1A95"/>
    <w:rsid w:val="00214EB8"/>
    <w:rsid w:val="00242C60"/>
    <w:rsid w:val="002540C7"/>
    <w:rsid w:val="00287C5E"/>
    <w:rsid w:val="002B399B"/>
    <w:rsid w:val="00347FF9"/>
    <w:rsid w:val="00372F74"/>
    <w:rsid w:val="003D3030"/>
    <w:rsid w:val="003D38F3"/>
    <w:rsid w:val="003D708B"/>
    <w:rsid w:val="003E0411"/>
    <w:rsid w:val="003F7224"/>
    <w:rsid w:val="00405146"/>
    <w:rsid w:val="0042412C"/>
    <w:rsid w:val="00427D21"/>
    <w:rsid w:val="004644C2"/>
    <w:rsid w:val="00467F9C"/>
    <w:rsid w:val="0047645E"/>
    <w:rsid w:val="00476FDC"/>
    <w:rsid w:val="0048059E"/>
    <w:rsid w:val="0048775C"/>
    <w:rsid w:val="004A6E32"/>
    <w:rsid w:val="00501F5F"/>
    <w:rsid w:val="0050593C"/>
    <w:rsid w:val="00534681"/>
    <w:rsid w:val="005E46E0"/>
    <w:rsid w:val="006122BA"/>
    <w:rsid w:val="0061445E"/>
    <w:rsid w:val="006326EC"/>
    <w:rsid w:val="006630D9"/>
    <w:rsid w:val="0068528E"/>
    <w:rsid w:val="006B2290"/>
    <w:rsid w:val="006C51CF"/>
    <w:rsid w:val="006E3202"/>
    <w:rsid w:val="00717D88"/>
    <w:rsid w:val="00767359"/>
    <w:rsid w:val="00771AE9"/>
    <w:rsid w:val="007942D3"/>
    <w:rsid w:val="007B6C09"/>
    <w:rsid w:val="007C38D4"/>
    <w:rsid w:val="007E09DA"/>
    <w:rsid w:val="007E76BC"/>
    <w:rsid w:val="008178B6"/>
    <w:rsid w:val="00861C10"/>
    <w:rsid w:val="00865B74"/>
    <w:rsid w:val="00882B03"/>
    <w:rsid w:val="00930BA1"/>
    <w:rsid w:val="0093169E"/>
    <w:rsid w:val="009505C9"/>
    <w:rsid w:val="009A6450"/>
    <w:rsid w:val="009C200D"/>
    <w:rsid w:val="009C2794"/>
    <w:rsid w:val="009D397C"/>
    <w:rsid w:val="009F6C90"/>
    <w:rsid w:val="00A543CA"/>
    <w:rsid w:val="00AE7EEF"/>
    <w:rsid w:val="00AF4287"/>
    <w:rsid w:val="00B1511B"/>
    <w:rsid w:val="00B3369F"/>
    <w:rsid w:val="00B52AA7"/>
    <w:rsid w:val="00BA0DE7"/>
    <w:rsid w:val="00BF20A5"/>
    <w:rsid w:val="00C41B3F"/>
    <w:rsid w:val="00C860A4"/>
    <w:rsid w:val="00C9161D"/>
    <w:rsid w:val="00CA0B05"/>
    <w:rsid w:val="00CA497C"/>
    <w:rsid w:val="00CF1848"/>
    <w:rsid w:val="00D12044"/>
    <w:rsid w:val="00D56A59"/>
    <w:rsid w:val="00D76A18"/>
    <w:rsid w:val="00DB019B"/>
    <w:rsid w:val="00DC01D0"/>
    <w:rsid w:val="00DD118C"/>
    <w:rsid w:val="00E66235"/>
    <w:rsid w:val="00E83C24"/>
    <w:rsid w:val="00E9318D"/>
    <w:rsid w:val="00F0077D"/>
    <w:rsid w:val="00F60E21"/>
    <w:rsid w:val="00F94031"/>
    <w:rsid w:val="00F94774"/>
    <w:rsid w:val="00FA6B8E"/>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n/ga/search/view_doc.asp?symbol=A/RES/70/1" TargetMode="External"/><Relationship Id="rId1" Type="http://schemas.openxmlformats.org/officeDocument/2006/relationships/hyperlink" Target="https://www.cbd.int/doc/c/fcc3/ac3d/eba5d8364fbe8d5950fef9bf/sbi-02-02-add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30C73C82AC42BE998BFFD01F67FB6C"/>
        <w:category>
          <w:name w:val="General"/>
          <w:gallery w:val="placeholder"/>
        </w:category>
        <w:types>
          <w:type w:val="bbPlcHdr"/>
        </w:types>
        <w:behaviors>
          <w:behavior w:val="content"/>
        </w:behaviors>
        <w:guid w:val="{1A651AFE-58DC-4F4D-AA35-CC13AC095F2D}"/>
      </w:docPartPr>
      <w:docPartBody>
        <w:p w:rsidR="00E71D20" w:rsidRDefault="00FD4A1A" w:rsidP="00FD4A1A">
          <w:pPr>
            <w:pStyle w:val="C430C73C82AC42BE998BFFD01F67FB6C"/>
          </w:pPr>
          <w:r w:rsidRPr="007E02EB">
            <w:rPr>
              <w:rStyle w:val="PlaceholderText"/>
            </w:rPr>
            <w:t>[Status]</w:t>
          </w:r>
        </w:p>
      </w:docPartBody>
    </w:docPart>
    <w:docPart>
      <w:docPartPr>
        <w:name w:val="EA016468B3964D30ACE4E65CE77AD901"/>
        <w:category>
          <w:name w:val="General"/>
          <w:gallery w:val="placeholder"/>
        </w:category>
        <w:types>
          <w:type w:val="bbPlcHdr"/>
        </w:types>
        <w:behaviors>
          <w:behavior w:val="content"/>
        </w:behaviors>
        <w:guid w:val="{53A27283-A618-44DC-8A89-015FA95561FE}"/>
      </w:docPartPr>
      <w:docPartBody>
        <w:p w:rsidR="00E71D20" w:rsidRDefault="00FD4A1A" w:rsidP="00FD4A1A">
          <w:pPr>
            <w:pStyle w:val="EA016468B3964D30ACE4E65CE77AD901"/>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41399F"/>
    <w:rsid w:val="00500A2B"/>
    <w:rsid w:val="0058288D"/>
    <w:rsid w:val="006801B3"/>
    <w:rsid w:val="00720F63"/>
    <w:rsid w:val="007F1B76"/>
    <w:rsid w:val="00810A55"/>
    <w:rsid w:val="008C6619"/>
    <w:rsid w:val="008D420E"/>
    <w:rsid w:val="0098642F"/>
    <w:rsid w:val="00B51630"/>
    <w:rsid w:val="00CE6602"/>
    <w:rsid w:val="00E71D20"/>
    <w:rsid w:val="00F53976"/>
    <w:rsid w:val="00FD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A1A"/>
    <w:rPr>
      <w:color w:val="808080"/>
    </w:rPr>
  </w:style>
  <w:style w:type="paragraph" w:customStyle="1" w:styleId="C444DEE40D7C456B82AF1A09CD132ABF">
    <w:name w:val="C444DEE40D7C456B82AF1A09CD132ABF"/>
    <w:rsid w:val="00CE6602"/>
    <w:pPr>
      <w:spacing w:after="160" w:line="259" w:lineRule="auto"/>
    </w:pPr>
  </w:style>
  <w:style w:type="paragraph" w:customStyle="1" w:styleId="A53E5B36C9544DF9BA1DDC69490326CB">
    <w:name w:val="A53E5B36C9544DF9BA1DDC69490326CB"/>
    <w:rsid w:val="00FD4A1A"/>
    <w:pPr>
      <w:spacing w:after="160" w:line="259" w:lineRule="auto"/>
    </w:pPr>
    <w:rPr>
      <w:lang w:val="en-CA" w:eastAsia="en-CA"/>
    </w:rPr>
  </w:style>
  <w:style w:type="paragraph" w:customStyle="1" w:styleId="1E3C5A7E8E17465C906D368A65951B40">
    <w:name w:val="1E3C5A7E8E17465C906D368A65951B40"/>
    <w:rsid w:val="00FD4A1A"/>
    <w:pPr>
      <w:spacing w:after="160" w:line="259" w:lineRule="auto"/>
    </w:pPr>
    <w:rPr>
      <w:lang w:val="en-CA" w:eastAsia="en-CA"/>
    </w:rPr>
  </w:style>
  <w:style w:type="paragraph" w:customStyle="1" w:styleId="C430C73C82AC42BE998BFFD01F67FB6C">
    <w:name w:val="C430C73C82AC42BE998BFFD01F67FB6C"/>
    <w:rsid w:val="00FD4A1A"/>
    <w:pPr>
      <w:spacing w:after="160" w:line="259" w:lineRule="auto"/>
    </w:pPr>
    <w:rPr>
      <w:lang w:val="en-CA" w:eastAsia="en-CA"/>
    </w:rPr>
  </w:style>
  <w:style w:type="paragraph" w:customStyle="1" w:styleId="EA016468B3964D30ACE4E65CE77AD901">
    <w:name w:val="EA016468B3964D30ACE4E65CE77AD901"/>
    <w:rsid w:val="00FD4A1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533A9F-3DAF-4384-9147-30B12681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14/18.	Gender plan of action</vt:lpstr>
    </vt:vector>
  </TitlesOfParts>
  <Company>SCBD</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14/18.	Gender plan of action</dc:title>
  <dc:subject>CBD/COP/DEC/14/18</dc:subject>
  <dc:creator>SCBD</dc:creator>
  <cp:keywords>Review of progress in the implementation of the Convention and the Strategic Plan for Biodiversity 2011-2020, Convention on Biological Diversity</cp:keywords>
  <cp:lastModifiedBy>Orestes Plasencia</cp:lastModifiedBy>
  <cp:revision>2</cp:revision>
  <dcterms:created xsi:type="dcterms:W3CDTF">2018-12-17T00:05:00Z</dcterms:created>
  <dcterms:modified xsi:type="dcterms:W3CDTF">2018-12-17T00:05:00Z</dcterms:modified>
  <cp:contentStatus>GENERAL</cp:contentStatus>
</cp:coreProperties>
</file>