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2" w:type="dxa"/>
        <w:tblInd w:w="-4" w:type="dxa"/>
        <w:tblBorders>
          <w:bottom w:val="single" w:sz="30" w:space="0" w:color="000000"/>
        </w:tblBorders>
        <w:tblLayout w:type="fixed"/>
        <w:tblLook w:val="0000" w:firstRow="0" w:lastRow="0" w:firstColumn="0" w:lastColumn="0" w:noHBand="0" w:noVBand="0"/>
      </w:tblPr>
      <w:tblGrid>
        <w:gridCol w:w="1371"/>
        <w:gridCol w:w="1260"/>
        <w:gridCol w:w="2611"/>
        <w:gridCol w:w="1710"/>
        <w:gridCol w:w="2880"/>
      </w:tblGrid>
      <w:tr w:rsidR="0036593A" w:rsidTr="00FA7EF3">
        <w:tc>
          <w:tcPr>
            <w:tcW w:w="1371" w:type="dxa"/>
            <w:tcBorders>
              <w:bottom w:val="single" w:sz="12" w:space="0" w:color="000000"/>
            </w:tcBorders>
          </w:tcPr>
          <w:p w:rsidR="0036593A" w:rsidRDefault="0036593A" w:rsidP="00FA7EF3">
            <w:pPr>
              <w:rPr>
                <w:noProof/>
              </w:rPr>
            </w:pPr>
            <w:r w:rsidRPr="00C75CE2">
              <w:rPr>
                <w:rFonts w:ascii="Cambria" w:hAnsi="Cambria"/>
                <w:noProof/>
                <w:snapToGrid w:val="0"/>
                <w:kern w:val="22"/>
                <w:lang w:val="en-US"/>
              </w:rPr>
              <w:drawing>
                <wp:inline distT="0" distB="0" distL="0" distR="0" wp14:anchorId="4EE2CF70" wp14:editId="6E3CE748">
                  <wp:extent cx="514350" cy="457200"/>
                  <wp:effectExtent l="0" t="0" r="0" b="0"/>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457200"/>
                          </a:xfrm>
                          <a:prstGeom prst="rect">
                            <a:avLst/>
                          </a:prstGeom>
                          <a:noFill/>
                          <a:ln>
                            <a:noFill/>
                          </a:ln>
                        </pic:spPr>
                      </pic:pic>
                    </a:graphicData>
                  </a:graphic>
                </wp:inline>
              </w:drawing>
            </w:r>
          </w:p>
        </w:tc>
        <w:tc>
          <w:tcPr>
            <w:tcW w:w="1260" w:type="dxa"/>
            <w:tcBorders>
              <w:bottom w:val="single" w:sz="12" w:space="0" w:color="000000"/>
            </w:tcBorders>
          </w:tcPr>
          <w:p w:rsidR="0036593A" w:rsidRDefault="0036593A" w:rsidP="00FA7EF3">
            <w:r>
              <w:rPr>
                <w:noProof/>
                <w:lang w:val="en-US"/>
              </w:rPr>
              <w:drawing>
                <wp:inline distT="0" distB="0" distL="0" distR="0" wp14:anchorId="3181AF11" wp14:editId="5725E708">
                  <wp:extent cx="465455" cy="508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455" cy="508000"/>
                          </a:xfrm>
                          <a:prstGeom prst="rect">
                            <a:avLst/>
                          </a:prstGeom>
                          <a:noFill/>
                        </pic:spPr>
                      </pic:pic>
                    </a:graphicData>
                  </a:graphic>
                </wp:inline>
              </w:drawing>
            </w:r>
          </w:p>
        </w:tc>
        <w:tc>
          <w:tcPr>
            <w:tcW w:w="7201" w:type="dxa"/>
            <w:gridSpan w:val="3"/>
            <w:tcBorders>
              <w:bottom w:val="single" w:sz="12" w:space="0" w:color="000000"/>
            </w:tcBorders>
          </w:tcPr>
          <w:p w:rsidR="0036593A" w:rsidRDefault="0036593A" w:rsidP="00FA7EF3">
            <w:pPr>
              <w:pStyle w:val="Heading8"/>
              <w:spacing w:beforeLines="30" w:before="72"/>
              <w:rPr>
                <w:rFonts w:ascii="Arial" w:hAnsi="Arial"/>
                <w:szCs w:val="32"/>
              </w:rPr>
            </w:pPr>
            <w:r>
              <w:rPr>
                <w:rFonts w:ascii="Arial" w:hAnsi="Arial"/>
                <w:szCs w:val="32"/>
              </w:rPr>
              <w:t>CBD</w:t>
            </w:r>
          </w:p>
          <w:p w:rsidR="0036593A" w:rsidRDefault="0036593A" w:rsidP="00FA7EF3">
            <w:pPr>
              <w:jc w:val="left"/>
              <w:rPr>
                <w:rFonts w:ascii="Univers" w:hAnsi="Univers"/>
                <w:b/>
                <w:sz w:val="36"/>
                <w:szCs w:val="36"/>
              </w:rPr>
            </w:pPr>
          </w:p>
        </w:tc>
      </w:tr>
      <w:tr w:rsidR="008A56B4" w:rsidTr="00FA7EF3">
        <w:trPr>
          <w:trHeight w:val="1693"/>
        </w:trPr>
        <w:tc>
          <w:tcPr>
            <w:tcW w:w="5242" w:type="dxa"/>
            <w:gridSpan w:val="3"/>
          </w:tcPr>
          <w:p w:rsidR="008A56B4" w:rsidRPr="00E86D8D" w:rsidRDefault="008A56B4" w:rsidP="008A56B4">
            <w:pPr>
              <w:rPr>
                <w:sz w:val="16"/>
                <w:szCs w:val="16"/>
              </w:rPr>
            </w:pPr>
          </w:p>
          <w:p w:rsidR="008A56B4" w:rsidRDefault="008A56B4" w:rsidP="008A56B4">
            <w:pPr>
              <w:rPr>
                <w:b/>
                <w:sz w:val="40"/>
                <w:szCs w:val="40"/>
              </w:rPr>
            </w:pPr>
            <w:r>
              <w:rPr>
                <w:b/>
                <w:noProof/>
                <w:sz w:val="40"/>
                <w:szCs w:val="40"/>
                <w:lang w:val="en-US"/>
              </w:rPr>
              <w:drawing>
                <wp:inline distT="0" distB="0" distL="0" distR="0" wp14:anchorId="458A8F7B" wp14:editId="6FAF3D78">
                  <wp:extent cx="2997200" cy="1079500"/>
                  <wp:effectExtent l="0" t="0" r="0" b="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7200" cy="1079500"/>
                          </a:xfrm>
                          <a:prstGeom prst="rect">
                            <a:avLst/>
                          </a:prstGeom>
                          <a:noFill/>
                          <a:ln>
                            <a:noFill/>
                          </a:ln>
                        </pic:spPr>
                      </pic:pic>
                    </a:graphicData>
                  </a:graphic>
                </wp:inline>
              </w:drawing>
            </w:r>
          </w:p>
          <w:p w:rsidR="008A56B4" w:rsidRPr="00E86D8D" w:rsidRDefault="008A56B4" w:rsidP="008A56B4">
            <w:pPr>
              <w:rPr>
                <w:b/>
                <w:sz w:val="16"/>
                <w:szCs w:val="16"/>
              </w:rPr>
            </w:pPr>
          </w:p>
        </w:tc>
        <w:tc>
          <w:tcPr>
            <w:tcW w:w="1710" w:type="dxa"/>
          </w:tcPr>
          <w:p w:rsidR="008A56B4" w:rsidRDefault="008A56B4" w:rsidP="008A56B4"/>
        </w:tc>
        <w:tc>
          <w:tcPr>
            <w:tcW w:w="2880" w:type="dxa"/>
          </w:tcPr>
          <w:p w:rsidR="008A56B4" w:rsidRPr="0062372F" w:rsidRDefault="008A56B4" w:rsidP="008A56B4">
            <w:pPr>
              <w:topLinePunct/>
              <w:spacing w:before="120"/>
              <w:rPr>
                <w:sz w:val="24"/>
              </w:rPr>
            </w:pPr>
            <w:r w:rsidRPr="0062372F">
              <w:rPr>
                <w:sz w:val="24"/>
              </w:rPr>
              <w:t xml:space="preserve">Distr. </w:t>
            </w:r>
          </w:p>
          <w:p w:rsidR="008A56B4" w:rsidRPr="0062372F" w:rsidRDefault="008A56B4" w:rsidP="008A56B4">
            <w:pPr>
              <w:topLinePunct/>
              <w:rPr>
                <w:sz w:val="24"/>
              </w:rPr>
            </w:pPr>
            <w:r w:rsidRPr="0062372F">
              <w:rPr>
                <w:sz w:val="24"/>
              </w:rPr>
              <w:t>GENERAL</w:t>
            </w:r>
          </w:p>
          <w:p w:rsidR="008A56B4" w:rsidRPr="008A3017" w:rsidRDefault="008A56B4" w:rsidP="008A56B4">
            <w:pPr>
              <w:topLinePunct/>
              <w:rPr>
                <w:sz w:val="20"/>
              </w:rPr>
            </w:pPr>
          </w:p>
          <w:p w:rsidR="008A56B4" w:rsidRPr="0062372F" w:rsidRDefault="008A56B4" w:rsidP="008A56B4">
            <w:pPr>
              <w:topLinePunct/>
              <w:rPr>
                <w:sz w:val="24"/>
              </w:rPr>
            </w:pPr>
            <w:r>
              <w:rPr>
                <w:sz w:val="24"/>
              </w:rPr>
              <w:t>CBD/COP/DEC/14/18</w:t>
            </w:r>
          </w:p>
          <w:p w:rsidR="008A56B4" w:rsidRPr="0062372F" w:rsidRDefault="008A56B4" w:rsidP="008A56B4">
            <w:pPr>
              <w:topLinePunct/>
              <w:rPr>
                <w:sz w:val="24"/>
              </w:rPr>
            </w:pPr>
            <w:r w:rsidRPr="0062372F">
              <w:rPr>
                <w:sz w:val="24"/>
              </w:rPr>
              <w:t>30 November 2018</w:t>
            </w:r>
          </w:p>
          <w:p w:rsidR="008A56B4" w:rsidRPr="008A3017" w:rsidRDefault="008A56B4" w:rsidP="008A56B4">
            <w:pPr>
              <w:topLinePunct/>
              <w:rPr>
                <w:sz w:val="20"/>
              </w:rPr>
            </w:pPr>
          </w:p>
          <w:p w:rsidR="008A56B4" w:rsidRPr="0062372F" w:rsidRDefault="008A56B4" w:rsidP="008A56B4">
            <w:pPr>
              <w:topLinePunct/>
              <w:rPr>
                <w:sz w:val="24"/>
              </w:rPr>
            </w:pPr>
            <w:r w:rsidRPr="0062372F">
              <w:rPr>
                <w:rFonts w:hint="eastAsia"/>
                <w:sz w:val="24"/>
              </w:rPr>
              <w:t>CHINESE</w:t>
            </w:r>
          </w:p>
          <w:p w:rsidR="008A56B4" w:rsidRPr="00711439" w:rsidRDefault="008A56B4" w:rsidP="008A56B4">
            <w:pPr>
              <w:spacing w:after="120"/>
              <w:rPr>
                <w:rFonts w:ascii="Courier New" w:hAnsi="Courier New"/>
                <w:szCs w:val="22"/>
              </w:rPr>
            </w:pPr>
            <w:r w:rsidRPr="0062372F">
              <w:rPr>
                <w:sz w:val="24"/>
              </w:rPr>
              <w:t>ORIGINAL: ENGLISH</w:t>
            </w:r>
          </w:p>
        </w:tc>
      </w:tr>
    </w:tbl>
    <w:p w:rsidR="0036593A" w:rsidRPr="00BD7F46" w:rsidRDefault="0036593A" w:rsidP="00365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line="240" w:lineRule="atLeast"/>
        <w:jc w:val="left"/>
        <w:rPr>
          <w:rFonts w:ascii="SimSun" w:hAnsi="SimSun" w:cs="Courier New"/>
          <w:sz w:val="24"/>
          <w:lang w:val="en-US"/>
        </w:rPr>
      </w:pPr>
      <w:r w:rsidRPr="00BD7F46">
        <w:rPr>
          <w:rFonts w:ascii="SimSun" w:hAnsi="SimSun" w:cs="Microsoft YaHei" w:hint="eastAsia"/>
          <w:sz w:val="24"/>
          <w:lang w:val="en-US"/>
        </w:rPr>
        <w:t>生物多样性公约缔约方大会</w:t>
      </w:r>
    </w:p>
    <w:p w:rsidR="00666863" w:rsidRDefault="00CA47C3">
      <w:pPr>
        <w:autoSpaceDE w:val="0"/>
        <w:autoSpaceDN w:val="0"/>
        <w:adjustRightInd w:val="0"/>
        <w:rPr>
          <w:rFonts w:cs="Times New Roman"/>
          <w:sz w:val="24"/>
        </w:rPr>
      </w:pPr>
      <w:r>
        <w:rPr>
          <w:rFonts w:ascii="SimSun" w:cs="Times New Roman" w:hint="eastAsia"/>
          <w:noProof/>
          <w:sz w:val="24"/>
        </w:rPr>
        <w:t>第十四</w:t>
      </w:r>
      <w:r w:rsidR="00666863">
        <w:rPr>
          <w:rFonts w:ascii="SimSun" w:cs="Times New Roman" w:hint="eastAsia"/>
          <w:noProof/>
          <w:sz w:val="24"/>
        </w:rPr>
        <w:t>届会议</w:t>
      </w:r>
    </w:p>
    <w:p w:rsidR="001C6AF5" w:rsidRPr="00FA2E6B" w:rsidRDefault="001C6AF5" w:rsidP="001C6AF5">
      <w:pPr>
        <w:pStyle w:val="Cornernotation"/>
        <w:ind w:left="230" w:right="3168" w:hanging="230"/>
        <w:rPr>
          <w:bCs/>
          <w:iCs/>
          <w:sz w:val="24"/>
        </w:rPr>
      </w:pPr>
      <w:r w:rsidRPr="00FA2E6B">
        <w:rPr>
          <w:bCs/>
          <w:iCs/>
          <w:sz w:val="24"/>
        </w:rPr>
        <w:t>2018</w:t>
      </w:r>
      <w:r w:rsidRPr="00FA2E6B">
        <w:rPr>
          <w:bCs/>
          <w:iCs/>
          <w:sz w:val="24"/>
        </w:rPr>
        <w:t>年</w:t>
      </w:r>
      <w:r w:rsidRPr="00FA2E6B">
        <w:rPr>
          <w:bCs/>
          <w:iCs/>
          <w:sz w:val="24"/>
        </w:rPr>
        <w:t>11</w:t>
      </w:r>
      <w:r w:rsidRPr="00FA2E6B">
        <w:rPr>
          <w:bCs/>
          <w:iCs/>
          <w:sz w:val="24"/>
        </w:rPr>
        <w:t>月</w:t>
      </w:r>
      <w:r w:rsidRPr="00FA2E6B">
        <w:rPr>
          <w:bCs/>
          <w:iCs/>
          <w:sz w:val="24"/>
        </w:rPr>
        <w:t>17</w:t>
      </w:r>
      <w:r w:rsidRPr="00FA2E6B">
        <w:rPr>
          <w:bCs/>
          <w:iCs/>
          <w:sz w:val="24"/>
        </w:rPr>
        <w:t>日至</w:t>
      </w:r>
      <w:r w:rsidRPr="00FA2E6B">
        <w:rPr>
          <w:bCs/>
          <w:iCs/>
          <w:sz w:val="24"/>
        </w:rPr>
        <w:t>29</w:t>
      </w:r>
      <w:r w:rsidRPr="00FA2E6B">
        <w:rPr>
          <w:bCs/>
          <w:iCs/>
          <w:sz w:val="24"/>
        </w:rPr>
        <w:t>日，埃及沙姆沙伊赫</w:t>
      </w:r>
    </w:p>
    <w:p w:rsidR="00666863" w:rsidRDefault="00666863">
      <w:pPr>
        <w:pStyle w:val="Cornernotation"/>
        <w:ind w:right="3548"/>
        <w:rPr>
          <w:rFonts w:ascii="Univers" w:hAnsi="Univers" w:cs="Times New Roman"/>
          <w:kern w:val="22"/>
        </w:rPr>
      </w:pPr>
      <w:r>
        <w:rPr>
          <w:rFonts w:ascii="SimSun" w:cs="Times New Roman" w:hint="eastAsia"/>
          <w:noProof/>
          <w:sz w:val="24"/>
        </w:rPr>
        <w:t>议程项</w:t>
      </w:r>
      <w:r w:rsidRPr="00EF36C9">
        <w:rPr>
          <w:rFonts w:ascii="SimSun" w:cs="Times New Roman" w:hint="eastAsia"/>
          <w:noProof/>
          <w:sz w:val="24"/>
        </w:rPr>
        <w:t>目</w:t>
      </w:r>
      <w:r w:rsidR="008B689F" w:rsidRPr="008B689F">
        <w:rPr>
          <w:rFonts w:cs="Times New Roman"/>
          <w:noProof/>
          <w:sz w:val="24"/>
        </w:rPr>
        <w:t>8</w:t>
      </w:r>
    </w:p>
    <w:p w:rsidR="008A56B4" w:rsidRPr="00536A5A" w:rsidRDefault="008A56B4" w:rsidP="008A56B4">
      <w:pPr>
        <w:pStyle w:val="Heading1"/>
        <w:rPr>
          <w:rFonts w:ascii="SimHei" w:eastAsia="SimHei" w:hAnsi="SimHei" w:cs="Times New Roman"/>
          <w:noProof/>
          <w:kern w:val="22"/>
          <w:sz w:val="28"/>
        </w:rPr>
      </w:pPr>
      <w:bookmarkStart w:id="0" w:name="_Toc524194609"/>
      <w:bookmarkStart w:id="1" w:name="_Toc524194615"/>
      <w:bookmarkStart w:id="2" w:name="_Toc524194603"/>
      <w:bookmarkStart w:id="3" w:name="_Toc524194605"/>
      <w:bookmarkStart w:id="4" w:name="_Toc524194581"/>
      <w:r w:rsidRPr="00536A5A">
        <w:rPr>
          <w:rFonts w:ascii="SimHei" w:eastAsia="SimHei" w:hAnsi="SimHei" w:cs="Times New Roman" w:hint="eastAsia"/>
          <w:noProof/>
          <w:kern w:val="22"/>
          <w:sz w:val="28"/>
        </w:rPr>
        <w:t>生物多样性</w:t>
      </w:r>
      <w:r w:rsidRPr="00536A5A">
        <w:rPr>
          <w:rFonts w:ascii="SimHei" w:eastAsia="SimHei" w:hAnsi="SimHei" w:cs="Times New Roman"/>
          <w:noProof/>
          <w:kern w:val="22"/>
          <w:sz w:val="28"/>
        </w:rPr>
        <w:t>公约缔约方大会通过的决定</w:t>
      </w:r>
    </w:p>
    <w:p w:rsidR="00666863" w:rsidRPr="008A56B4" w:rsidRDefault="00F63696" w:rsidP="008A56B4">
      <w:pPr>
        <w:pStyle w:val="Heading1"/>
        <w:tabs>
          <w:tab w:val="clear" w:pos="720"/>
        </w:tabs>
        <w:adjustRightInd w:val="0"/>
        <w:spacing w:before="120"/>
        <w:rPr>
          <w:rFonts w:cs="Times New Roman"/>
          <w:noProof/>
          <w:kern w:val="22"/>
          <w:sz w:val="24"/>
        </w:rPr>
      </w:pPr>
      <w:r>
        <w:rPr>
          <w:rFonts w:cs="Times New Roman"/>
          <w:noProof/>
          <w:kern w:val="22"/>
          <w:sz w:val="24"/>
        </w:rPr>
        <w:t>14/18</w:t>
      </w:r>
      <w:r w:rsidR="008A56B4" w:rsidRPr="005A73FA">
        <w:rPr>
          <w:rFonts w:cs="Times New Roman"/>
          <w:noProof/>
          <w:kern w:val="22"/>
          <w:sz w:val="24"/>
        </w:rPr>
        <w:t>.</w:t>
      </w:r>
      <w:bookmarkEnd w:id="0"/>
      <w:bookmarkEnd w:id="1"/>
      <w:bookmarkEnd w:id="2"/>
      <w:r w:rsidR="008A56B4">
        <w:rPr>
          <w:rFonts w:cs="Times New Roman"/>
          <w:noProof/>
          <w:kern w:val="22"/>
          <w:sz w:val="24"/>
        </w:rPr>
        <w:t xml:space="preserve">     </w:t>
      </w:r>
      <w:bookmarkEnd w:id="3"/>
      <w:bookmarkEnd w:id="4"/>
      <w:r w:rsidR="008B689F" w:rsidRPr="008A56B4">
        <w:rPr>
          <w:rFonts w:cs="Times New Roman" w:hint="eastAsia"/>
          <w:noProof/>
          <w:kern w:val="22"/>
          <w:sz w:val="24"/>
        </w:rPr>
        <w:t>性别平等行动计划</w:t>
      </w:r>
      <w:r w:rsidR="00D04D02">
        <w:rPr>
          <w:rFonts w:cs="Times New Roman" w:hint="eastAsia"/>
          <w:noProof/>
          <w:kern w:val="22"/>
          <w:sz w:val="24"/>
        </w:rPr>
        <w:t xml:space="preserve"> </w:t>
      </w:r>
      <w:r w:rsidR="005B342E">
        <w:rPr>
          <w:rFonts w:cs="Times New Roman"/>
          <w:noProof/>
          <w:kern w:val="22"/>
          <w:sz w:val="24"/>
        </w:rPr>
        <w:t xml:space="preserve"> </w:t>
      </w:r>
      <w:bookmarkStart w:id="5" w:name="_GoBack"/>
      <w:bookmarkEnd w:id="5"/>
    </w:p>
    <w:p w:rsidR="00666863" w:rsidRPr="00E40630" w:rsidRDefault="00666863" w:rsidP="00AA694D">
      <w:pPr>
        <w:pStyle w:val="Para1"/>
        <w:numPr>
          <w:ilvl w:val="0"/>
          <w:numId w:val="0"/>
        </w:numPr>
        <w:spacing w:beforeLines="50" w:before="120" w:line="240" w:lineRule="atLeast"/>
        <w:ind w:firstLine="720"/>
        <w:rPr>
          <w:rFonts w:hAnsi="SimSun" w:cs="Times New Roman"/>
          <w:i/>
          <w:noProof/>
          <w:kern w:val="22"/>
          <w:sz w:val="24"/>
          <w:szCs w:val="24"/>
        </w:rPr>
      </w:pPr>
      <w:bookmarkStart w:id="6" w:name="_Ref314474052"/>
      <w:r w:rsidRPr="00E40630">
        <w:rPr>
          <w:rFonts w:ascii="KaiTi" w:eastAsia="KaiTi" w:hAnsi="KaiTi" w:cs="Times New Roman"/>
          <w:kern w:val="22"/>
          <w:sz w:val="24"/>
          <w:szCs w:val="24"/>
          <w:lang w:val="zh-CN"/>
        </w:rPr>
        <w:t>缔约方大会</w:t>
      </w:r>
      <w:r w:rsidRPr="00E40630">
        <w:rPr>
          <w:rFonts w:hAnsi="SimSun" w:cs="Times New Roman"/>
          <w:noProof/>
          <w:kern w:val="22"/>
          <w:sz w:val="24"/>
          <w:szCs w:val="24"/>
        </w:rPr>
        <w:t>，</w:t>
      </w:r>
    </w:p>
    <w:p w:rsidR="00B0433D" w:rsidRPr="005D25D7" w:rsidRDefault="00B0433D" w:rsidP="00B0433D">
      <w:pPr>
        <w:pStyle w:val="NormalWeb"/>
        <w:suppressLineNumbers/>
        <w:suppressAutoHyphens/>
        <w:kinsoku w:val="0"/>
        <w:overflowPunct w:val="0"/>
        <w:autoSpaceDE w:val="0"/>
        <w:autoSpaceDN w:val="0"/>
        <w:adjustRightInd w:val="0"/>
        <w:spacing w:before="120" w:beforeAutospacing="0" w:after="120" w:afterAutospacing="0" w:line="240" w:lineRule="atLeast"/>
        <w:ind w:firstLine="720"/>
        <w:rPr>
          <w:rFonts w:eastAsiaTheme="minorEastAsia" w:cs="Times New Roman"/>
          <w:kern w:val="22"/>
          <w:sz w:val="24"/>
          <w:szCs w:val="24"/>
          <w:lang w:val="en-GB"/>
        </w:rPr>
      </w:pPr>
      <w:r w:rsidRPr="005D25D7">
        <w:rPr>
          <w:rFonts w:ascii="KaiTi" w:eastAsia="KaiTi" w:hAnsi="KaiTi" w:cs="Times New Roman"/>
          <w:kern w:val="22"/>
          <w:sz w:val="24"/>
          <w:szCs w:val="24"/>
          <w:lang w:val="en-GB"/>
        </w:rPr>
        <w:t>回顾</w:t>
      </w:r>
      <w:r w:rsidRPr="005D25D7">
        <w:rPr>
          <w:rFonts w:eastAsiaTheme="minorEastAsia" w:cs="Times New Roman"/>
          <w:kern w:val="22"/>
          <w:sz w:val="24"/>
          <w:szCs w:val="24"/>
          <w:lang w:val="en-GB"/>
        </w:rPr>
        <w:t>第</w:t>
      </w:r>
      <w:r w:rsidRPr="005D25D7">
        <w:rPr>
          <w:rFonts w:eastAsiaTheme="minorEastAsia" w:cs="Times New Roman"/>
          <w:kern w:val="22"/>
          <w:sz w:val="24"/>
          <w:szCs w:val="24"/>
          <w:lang w:val="en-GB"/>
        </w:rPr>
        <w:t>XII/7</w:t>
      </w:r>
      <w:r w:rsidRPr="005D25D7">
        <w:rPr>
          <w:rFonts w:eastAsiaTheme="minorEastAsia" w:cs="Times New Roman"/>
          <w:kern w:val="22"/>
          <w:sz w:val="24"/>
          <w:szCs w:val="24"/>
          <w:lang w:val="en-GB"/>
        </w:rPr>
        <w:t>号决定，</w:t>
      </w:r>
      <w:r w:rsidR="007C5ADA">
        <w:rPr>
          <w:rFonts w:eastAsiaTheme="minorEastAsia" w:cs="Times New Roman"/>
          <w:kern w:val="22"/>
          <w:sz w:val="24"/>
          <w:szCs w:val="24"/>
          <w:lang w:val="en-GB"/>
        </w:rPr>
        <w:t>该</w:t>
      </w:r>
      <w:r w:rsidR="007C5ADA">
        <w:rPr>
          <w:rFonts w:eastAsiaTheme="minorEastAsia" w:cs="Times New Roman" w:hint="eastAsia"/>
          <w:kern w:val="22"/>
          <w:sz w:val="24"/>
          <w:szCs w:val="24"/>
          <w:lang w:val="en-GB"/>
        </w:rPr>
        <w:t>决定</w:t>
      </w:r>
      <w:r w:rsidR="0036593A">
        <w:rPr>
          <w:rFonts w:eastAsiaTheme="minorEastAsia" w:cs="Times New Roman"/>
          <w:kern w:val="22"/>
          <w:sz w:val="24"/>
          <w:szCs w:val="24"/>
          <w:lang w:val="en-GB"/>
        </w:rPr>
        <w:t>对</w:t>
      </w:r>
      <w:r w:rsidRPr="005D25D7">
        <w:rPr>
          <w:rFonts w:eastAsiaTheme="minorEastAsia" w:cs="Times New Roman"/>
          <w:kern w:val="22"/>
          <w:sz w:val="24"/>
          <w:szCs w:val="24"/>
          <w:lang w:val="en-GB"/>
        </w:rPr>
        <w:t>《公约》的《</w:t>
      </w:r>
      <w:r w:rsidRPr="005D25D7">
        <w:rPr>
          <w:rFonts w:eastAsiaTheme="minorEastAsia" w:cs="Times New Roman"/>
          <w:kern w:val="22"/>
          <w:sz w:val="24"/>
          <w:szCs w:val="24"/>
          <w:lang w:val="en-GB"/>
        </w:rPr>
        <w:t>2015-2020</w:t>
      </w:r>
      <w:r w:rsidRPr="005D25D7">
        <w:rPr>
          <w:rFonts w:eastAsiaTheme="minorEastAsia" w:cs="Times New Roman"/>
          <w:kern w:val="22"/>
          <w:sz w:val="24"/>
          <w:szCs w:val="24"/>
          <w:lang w:val="en-GB"/>
        </w:rPr>
        <w:t>年</w:t>
      </w:r>
      <w:r w:rsidR="00281931">
        <w:rPr>
          <w:rFonts w:eastAsiaTheme="minorEastAsia" w:cs="Times New Roman"/>
          <w:kern w:val="22"/>
          <w:sz w:val="24"/>
          <w:szCs w:val="24"/>
          <w:lang w:val="en-GB"/>
        </w:rPr>
        <w:t>性别平等行动计划</w:t>
      </w:r>
      <w:r w:rsidRPr="005D25D7">
        <w:rPr>
          <w:rFonts w:eastAsiaTheme="minorEastAsia" w:cs="Times New Roman"/>
          <w:kern w:val="22"/>
          <w:sz w:val="24"/>
          <w:szCs w:val="24"/>
          <w:lang w:val="en-GB"/>
        </w:rPr>
        <w:t>》</w:t>
      </w:r>
      <w:r w:rsidR="0036593A">
        <w:rPr>
          <w:rFonts w:eastAsiaTheme="minorEastAsia" w:cs="Times New Roman" w:hint="eastAsia"/>
          <w:kern w:val="22"/>
          <w:sz w:val="24"/>
          <w:szCs w:val="24"/>
          <w:lang w:val="en-GB"/>
        </w:rPr>
        <w:t>表示</w:t>
      </w:r>
      <w:r w:rsidR="007C5ADA">
        <w:rPr>
          <w:rFonts w:eastAsiaTheme="minorEastAsia" w:cs="Times New Roman" w:hint="eastAsia"/>
          <w:kern w:val="22"/>
          <w:sz w:val="24"/>
          <w:szCs w:val="24"/>
          <w:lang w:val="en-GB"/>
        </w:rPr>
        <w:t xml:space="preserve"> </w:t>
      </w:r>
      <w:r w:rsidR="0036593A">
        <w:rPr>
          <w:rFonts w:eastAsiaTheme="minorEastAsia" w:cs="Times New Roman" w:hint="eastAsia"/>
          <w:kern w:val="22"/>
          <w:sz w:val="24"/>
          <w:szCs w:val="24"/>
          <w:lang w:val="en-GB"/>
        </w:rPr>
        <w:t>欢迎</w:t>
      </w:r>
      <w:r w:rsidRPr="005D25D7">
        <w:rPr>
          <w:rFonts w:eastAsiaTheme="minorEastAsia" w:cs="Times New Roman"/>
          <w:kern w:val="22"/>
          <w:sz w:val="24"/>
          <w:szCs w:val="24"/>
          <w:lang w:val="en-GB"/>
        </w:rPr>
        <w:t>，</w:t>
      </w:r>
    </w:p>
    <w:p w:rsidR="00B0433D" w:rsidRPr="005D25D7" w:rsidRDefault="00B0433D" w:rsidP="007C5ADA">
      <w:pPr>
        <w:pStyle w:val="NormalWeb"/>
        <w:suppressLineNumbers/>
        <w:suppressAutoHyphens/>
        <w:kinsoku w:val="0"/>
        <w:overflowPunct w:val="0"/>
        <w:autoSpaceDE w:val="0"/>
        <w:autoSpaceDN w:val="0"/>
        <w:adjustRightInd w:val="0"/>
        <w:spacing w:before="120" w:beforeAutospacing="0" w:after="120" w:afterAutospacing="0" w:line="240" w:lineRule="atLeast"/>
        <w:ind w:firstLine="720"/>
        <w:rPr>
          <w:rFonts w:eastAsiaTheme="minorEastAsia" w:cs="Times New Roman"/>
          <w:kern w:val="22"/>
          <w:sz w:val="24"/>
          <w:szCs w:val="24"/>
        </w:rPr>
      </w:pPr>
      <w:r w:rsidRPr="005D25D7">
        <w:rPr>
          <w:rFonts w:ascii="KaiTi" w:eastAsia="KaiTi" w:hAnsi="KaiTi" w:cs="Times New Roman"/>
          <w:kern w:val="22"/>
          <w:sz w:val="24"/>
          <w:szCs w:val="24"/>
          <w:lang w:val="en-GB"/>
        </w:rPr>
        <w:t>注意到</w:t>
      </w:r>
      <w:r w:rsidRPr="005D25D7">
        <w:rPr>
          <w:rFonts w:eastAsiaTheme="minorEastAsia" w:cs="Times New Roman"/>
          <w:kern w:val="22"/>
          <w:sz w:val="24"/>
          <w:szCs w:val="24"/>
        </w:rPr>
        <w:t>《</w:t>
      </w:r>
      <w:r w:rsidRPr="005D25D7">
        <w:rPr>
          <w:rFonts w:eastAsiaTheme="minorEastAsia" w:cs="Times New Roman"/>
          <w:kern w:val="22"/>
          <w:sz w:val="24"/>
          <w:szCs w:val="24"/>
        </w:rPr>
        <w:t>2015-2020</w:t>
      </w:r>
      <w:r w:rsidRPr="005D25D7">
        <w:rPr>
          <w:rFonts w:eastAsiaTheme="minorEastAsia" w:cs="Times New Roman"/>
          <w:kern w:val="22"/>
          <w:sz w:val="24"/>
          <w:szCs w:val="24"/>
        </w:rPr>
        <w:t>年</w:t>
      </w:r>
      <w:r w:rsidR="00281931">
        <w:rPr>
          <w:rFonts w:eastAsiaTheme="minorEastAsia" w:cs="Times New Roman"/>
          <w:kern w:val="22"/>
          <w:sz w:val="24"/>
          <w:szCs w:val="24"/>
        </w:rPr>
        <w:t>性别平等行动计划</w:t>
      </w:r>
      <w:r w:rsidRPr="005D25D7">
        <w:rPr>
          <w:rFonts w:eastAsiaTheme="minorEastAsia" w:cs="Times New Roman"/>
          <w:kern w:val="22"/>
          <w:sz w:val="24"/>
          <w:szCs w:val="24"/>
        </w:rPr>
        <w:t>》已</w:t>
      </w:r>
      <w:r w:rsidR="007C5ADA">
        <w:rPr>
          <w:rFonts w:eastAsiaTheme="minorEastAsia" w:cs="Times New Roman" w:hint="eastAsia"/>
          <w:kern w:val="22"/>
          <w:sz w:val="24"/>
          <w:szCs w:val="24"/>
        </w:rPr>
        <w:t>达到</w:t>
      </w:r>
      <w:r w:rsidRPr="005D25D7">
        <w:rPr>
          <w:rFonts w:eastAsiaTheme="minorEastAsia" w:cs="Times New Roman"/>
          <w:kern w:val="22"/>
          <w:sz w:val="24"/>
          <w:szCs w:val="24"/>
        </w:rPr>
        <w:t>中间点，</w:t>
      </w:r>
      <w:r w:rsidR="007C5ADA">
        <w:rPr>
          <w:rFonts w:eastAsiaTheme="minorEastAsia" w:cs="Times New Roman" w:hint="eastAsia"/>
          <w:kern w:val="22"/>
          <w:sz w:val="24"/>
          <w:szCs w:val="24"/>
        </w:rPr>
        <w:t>同时</w:t>
      </w:r>
      <w:r w:rsidR="007C5ADA">
        <w:rPr>
          <w:rFonts w:eastAsiaTheme="minorEastAsia" w:cs="Times New Roman"/>
          <w:kern w:val="22"/>
          <w:sz w:val="24"/>
          <w:szCs w:val="24"/>
        </w:rPr>
        <w:t>认识到</w:t>
      </w:r>
      <w:r w:rsidR="007C5ADA">
        <w:rPr>
          <w:rFonts w:eastAsiaTheme="minorEastAsia" w:cs="Times New Roman" w:hint="eastAsia"/>
          <w:kern w:val="22"/>
          <w:sz w:val="24"/>
          <w:szCs w:val="24"/>
        </w:rPr>
        <w:t>需要</w:t>
      </w:r>
      <w:r w:rsidR="007C5ADA">
        <w:rPr>
          <w:rFonts w:eastAsiaTheme="minorEastAsia" w:cs="Times New Roman"/>
          <w:kern w:val="22"/>
          <w:sz w:val="24"/>
          <w:szCs w:val="24"/>
        </w:rPr>
        <w:t>有效地执行</w:t>
      </w:r>
      <w:r w:rsidR="007C5ADA">
        <w:rPr>
          <w:rFonts w:eastAsiaTheme="minorEastAsia" w:cs="Times New Roman" w:hint="eastAsia"/>
          <w:kern w:val="22"/>
          <w:sz w:val="24"/>
          <w:szCs w:val="24"/>
        </w:rPr>
        <w:t>《</w:t>
      </w:r>
      <w:r w:rsidRPr="005D25D7">
        <w:rPr>
          <w:rFonts w:eastAsiaTheme="minorEastAsia" w:cs="Times New Roman"/>
          <w:kern w:val="22"/>
          <w:sz w:val="24"/>
          <w:szCs w:val="24"/>
        </w:rPr>
        <w:t>行动计划</w:t>
      </w:r>
      <w:r w:rsidR="007C5ADA">
        <w:rPr>
          <w:rFonts w:eastAsiaTheme="minorEastAsia" w:cs="Times New Roman" w:hint="eastAsia"/>
          <w:kern w:val="22"/>
          <w:sz w:val="24"/>
          <w:szCs w:val="24"/>
        </w:rPr>
        <w:t>》</w:t>
      </w:r>
      <w:r w:rsidRPr="005D25D7">
        <w:rPr>
          <w:rFonts w:eastAsiaTheme="minorEastAsia" w:cs="Times New Roman"/>
          <w:kern w:val="22"/>
          <w:sz w:val="24"/>
          <w:szCs w:val="24"/>
        </w:rPr>
        <w:t>，包括实现</w:t>
      </w:r>
      <w:r w:rsidR="007C5ADA">
        <w:rPr>
          <w:rFonts w:eastAsiaTheme="minorEastAsia" w:cs="Times New Roman" w:hint="eastAsia"/>
          <w:kern w:val="22"/>
          <w:sz w:val="24"/>
          <w:szCs w:val="24"/>
        </w:rPr>
        <w:t>《</w:t>
      </w:r>
      <w:r>
        <w:rPr>
          <w:rFonts w:eastAsiaTheme="minorEastAsia" w:cs="Times New Roman"/>
          <w:kern w:val="22"/>
          <w:sz w:val="24"/>
          <w:szCs w:val="24"/>
        </w:rPr>
        <w:t>爱知生物多样性指标</w:t>
      </w:r>
      <w:r w:rsidR="007C5ADA">
        <w:rPr>
          <w:rFonts w:eastAsiaTheme="minorEastAsia" w:cs="Times New Roman" w:hint="eastAsia"/>
          <w:kern w:val="22"/>
          <w:sz w:val="24"/>
          <w:szCs w:val="24"/>
        </w:rPr>
        <w:t>》</w:t>
      </w:r>
      <w:r w:rsidRPr="005D25D7">
        <w:rPr>
          <w:rFonts w:eastAsiaTheme="minorEastAsia" w:cs="Times New Roman"/>
          <w:kern w:val="22"/>
          <w:sz w:val="24"/>
          <w:szCs w:val="24"/>
        </w:rPr>
        <w:t>和《</w:t>
      </w:r>
      <w:r w:rsidRPr="005D25D7">
        <w:rPr>
          <w:rFonts w:eastAsiaTheme="minorEastAsia" w:cs="Times New Roman"/>
          <w:kern w:val="22"/>
          <w:sz w:val="24"/>
          <w:szCs w:val="24"/>
        </w:rPr>
        <w:t>2011-2020</w:t>
      </w:r>
      <w:r w:rsidRPr="005D25D7">
        <w:rPr>
          <w:rFonts w:eastAsiaTheme="minorEastAsia" w:cs="Times New Roman"/>
          <w:kern w:val="22"/>
          <w:sz w:val="24"/>
          <w:szCs w:val="24"/>
        </w:rPr>
        <w:t>年生物多样性战略计划》，</w:t>
      </w:r>
    </w:p>
    <w:p w:rsidR="00B0433D" w:rsidRPr="005D25D7" w:rsidRDefault="00B0433D" w:rsidP="00B0433D">
      <w:pPr>
        <w:pStyle w:val="NormalWeb"/>
        <w:numPr>
          <w:ilvl w:val="0"/>
          <w:numId w:val="31"/>
        </w:numPr>
        <w:suppressLineNumbers/>
        <w:suppressAutoHyphens/>
        <w:kinsoku w:val="0"/>
        <w:overflowPunct w:val="0"/>
        <w:autoSpaceDE w:val="0"/>
        <w:autoSpaceDN w:val="0"/>
        <w:adjustRightInd w:val="0"/>
        <w:spacing w:before="120" w:beforeAutospacing="0" w:after="120" w:afterAutospacing="0" w:line="240" w:lineRule="atLeast"/>
        <w:ind w:left="0" w:firstLine="720"/>
        <w:jc w:val="both"/>
        <w:rPr>
          <w:rFonts w:eastAsiaTheme="minorEastAsia" w:cs="Times New Roman"/>
          <w:kern w:val="22"/>
          <w:sz w:val="24"/>
          <w:szCs w:val="24"/>
          <w:lang w:val="en-GB"/>
        </w:rPr>
      </w:pPr>
      <w:r w:rsidRPr="005D25D7">
        <w:rPr>
          <w:rFonts w:ascii="KaiTi" w:eastAsia="KaiTi" w:hAnsi="KaiTi" w:cs="Times New Roman"/>
          <w:kern w:val="22"/>
          <w:sz w:val="24"/>
          <w:szCs w:val="24"/>
          <w:lang w:val="en-GB"/>
        </w:rPr>
        <w:t>欢迎</w:t>
      </w:r>
      <w:r w:rsidR="007C5ADA" w:rsidRPr="007C5ADA">
        <w:rPr>
          <w:rFonts w:eastAsiaTheme="minorEastAsia" w:cs="Times New Roman" w:hint="eastAsia"/>
          <w:sz w:val="24"/>
          <w:szCs w:val="24"/>
        </w:rPr>
        <w:t>关于</w:t>
      </w:r>
      <w:r w:rsidRPr="005D25D7">
        <w:rPr>
          <w:rFonts w:eastAsiaTheme="minorEastAsia" w:cs="Times New Roman"/>
          <w:sz w:val="24"/>
          <w:szCs w:val="24"/>
        </w:rPr>
        <w:t>《</w:t>
      </w:r>
      <w:r w:rsidRPr="005D25D7">
        <w:rPr>
          <w:rFonts w:eastAsiaTheme="minorEastAsia" w:cs="Times New Roman"/>
          <w:kern w:val="22"/>
          <w:sz w:val="24"/>
          <w:szCs w:val="24"/>
        </w:rPr>
        <w:t>2015-2020</w:t>
      </w:r>
      <w:r w:rsidRPr="005D25D7">
        <w:rPr>
          <w:rFonts w:eastAsiaTheme="minorEastAsia" w:cs="Times New Roman"/>
          <w:sz w:val="24"/>
          <w:szCs w:val="24"/>
        </w:rPr>
        <w:t>年</w:t>
      </w:r>
      <w:r w:rsidR="00281931">
        <w:rPr>
          <w:rFonts w:eastAsiaTheme="minorEastAsia" w:cs="Times New Roman"/>
          <w:sz w:val="24"/>
          <w:szCs w:val="24"/>
        </w:rPr>
        <w:t>性别平等行动计划</w:t>
      </w:r>
      <w:r w:rsidRPr="005D25D7">
        <w:rPr>
          <w:rFonts w:eastAsiaTheme="minorEastAsia" w:cs="Times New Roman"/>
          <w:sz w:val="24"/>
          <w:szCs w:val="24"/>
        </w:rPr>
        <w:t>》执行进展情况的最新评估</w:t>
      </w:r>
      <w:r w:rsidRPr="005D25D7">
        <w:rPr>
          <w:rFonts w:eastAsiaTheme="minorEastAsia" w:cs="Times New Roman"/>
          <w:kern w:val="22"/>
          <w:sz w:val="24"/>
          <w:szCs w:val="24"/>
          <w:lang w:val="en-GB"/>
        </w:rPr>
        <w:t>；</w:t>
      </w:r>
      <w:r w:rsidRPr="00281931">
        <w:rPr>
          <w:rStyle w:val="FootnoteReference"/>
          <w:rFonts w:eastAsiaTheme="minorEastAsia"/>
          <w:kern w:val="22"/>
          <w:sz w:val="24"/>
          <w:szCs w:val="24"/>
          <w:u w:val="none"/>
          <w:vertAlign w:val="superscript"/>
          <w:lang w:val="en-GB"/>
        </w:rPr>
        <w:footnoteReference w:id="1"/>
      </w:r>
    </w:p>
    <w:p w:rsidR="00B0433D" w:rsidRPr="005D25D7" w:rsidRDefault="00B0433D" w:rsidP="00B0433D">
      <w:pPr>
        <w:pStyle w:val="NormalWeb"/>
        <w:numPr>
          <w:ilvl w:val="0"/>
          <w:numId w:val="31"/>
        </w:numPr>
        <w:suppressLineNumbers/>
        <w:suppressAutoHyphens/>
        <w:kinsoku w:val="0"/>
        <w:overflowPunct w:val="0"/>
        <w:autoSpaceDE w:val="0"/>
        <w:autoSpaceDN w:val="0"/>
        <w:adjustRightInd w:val="0"/>
        <w:spacing w:before="120" w:beforeAutospacing="0" w:after="120" w:afterAutospacing="0" w:line="240" w:lineRule="atLeast"/>
        <w:ind w:left="0" w:firstLine="720"/>
        <w:jc w:val="both"/>
        <w:rPr>
          <w:rFonts w:eastAsiaTheme="minorEastAsia" w:cs="Times New Roman"/>
          <w:kern w:val="22"/>
          <w:sz w:val="24"/>
          <w:szCs w:val="24"/>
          <w:lang w:val="en-GB"/>
        </w:rPr>
      </w:pPr>
      <w:r w:rsidRPr="005D25D7">
        <w:rPr>
          <w:rFonts w:ascii="KaiTi" w:eastAsia="KaiTi" w:hAnsi="KaiTi" w:cs="Times New Roman"/>
          <w:kern w:val="22"/>
          <w:sz w:val="24"/>
          <w:szCs w:val="24"/>
          <w:lang w:val="en-GB"/>
        </w:rPr>
        <w:t>强调</w:t>
      </w:r>
      <w:r w:rsidRPr="005D25D7">
        <w:rPr>
          <w:rFonts w:eastAsiaTheme="minorEastAsia" w:cs="Times New Roman"/>
          <w:kern w:val="22"/>
          <w:sz w:val="24"/>
          <w:szCs w:val="24"/>
          <w:lang w:val="en-GB"/>
        </w:rPr>
        <w:t>必须在制定</w:t>
      </w:r>
      <w:r w:rsidRPr="005D25D7">
        <w:rPr>
          <w:rFonts w:eastAsiaTheme="minorEastAsia" w:cs="Times New Roman"/>
          <w:kern w:val="22"/>
          <w:sz w:val="24"/>
          <w:szCs w:val="24"/>
          <w:lang w:val="en-GB"/>
        </w:rPr>
        <w:t>2020</w:t>
      </w:r>
      <w:r w:rsidRPr="005D25D7">
        <w:rPr>
          <w:rFonts w:eastAsiaTheme="minorEastAsia" w:cs="Times New Roman"/>
          <w:kern w:val="22"/>
          <w:sz w:val="24"/>
          <w:szCs w:val="24"/>
          <w:lang w:val="en-GB"/>
        </w:rPr>
        <w:t>年后生物多样性框架时依据</w:t>
      </w:r>
      <w:r w:rsidR="007C5ADA">
        <w:rPr>
          <w:rFonts w:eastAsiaTheme="minorEastAsia" w:cs="Times New Roman" w:hint="eastAsia"/>
          <w:kern w:val="22"/>
          <w:sz w:val="24"/>
          <w:szCs w:val="24"/>
          <w:lang w:val="en-GB"/>
        </w:rPr>
        <w:t>《</w:t>
      </w:r>
      <w:r w:rsidRPr="005D25D7">
        <w:rPr>
          <w:rFonts w:eastAsiaTheme="minorEastAsia" w:cs="Times New Roman"/>
          <w:kern w:val="22"/>
          <w:sz w:val="24"/>
          <w:szCs w:val="24"/>
          <w:lang w:val="en-GB"/>
        </w:rPr>
        <w:t>可持续发展目标</w:t>
      </w:r>
      <w:r w:rsidR="007C5ADA">
        <w:rPr>
          <w:rFonts w:eastAsiaTheme="minorEastAsia" w:cs="Times New Roman" w:hint="eastAsia"/>
          <w:kern w:val="22"/>
          <w:sz w:val="24"/>
          <w:szCs w:val="24"/>
          <w:lang w:val="en-GB"/>
        </w:rPr>
        <w:t>》</w:t>
      </w:r>
      <w:r w:rsidRPr="005D25D7">
        <w:rPr>
          <w:rFonts w:eastAsiaTheme="minorEastAsia" w:cs="Times New Roman"/>
          <w:kern w:val="22"/>
          <w:sz w:val="24"/>
          <w:szCs w:val="24"/>
          <w:lang w:val="en-GB"/>
        </w:rPr>
        <w:t>的</w:t>
      </w:r>
      <w:r w:rsidR="00281931">
        <w:rPr>
          <w:rFonts w:eastAsiaTheme="minorEastAsia" w:cs="Times New Roman"/>
          <w:kern w:val="22"/>
          <w:sz w:val="24"/>
          <w:szCs w:val="24"/>
          <w:lang w:val="en-GB"/>
        </w:rPr>
        <w:t>性别平等</w:t>
      </w:r>
      <w:r w:rsidRPr="005D25D7">
        <w:rPr>
          <w:rFonts w:eastAsiaTheme="minorEastAsia" w:cs="Times New Roman"/>
          <w:kern w:val="22"/>
          <w:sz w:val="24"/>
          <w:szCs w:val="24"/>
          <w:lang w:val="en-GB"/>
        </w:rPr>
        <w:t>目标</w:t>
      </w:r>
      <w:r w:rsidR="007C5ADA" w:rsidRPr="00281931">
        <w:rPr>
          <w:rStyle w:val="FootnoteReference"/>
          <w:rFonts w:eastAsiaTheme="minorEastAsia"/>
          <w:kern w:val="22"/>
          <w:sz w:val="24"/>
          <w:szCs w:val="24"/>
          <w:u w:val="none"/>
          <w:vertAlign w:val="superscript"/>
          <w:lang w:val="en-GB"/>
        </w:rPr>
        <w:footnoteReference w:id="2"/>
      </w:r>
      <w:r w:rsidR="007C5ADA">
        <w:rPr>
          <w:rFonts w:eastAsiaTheme="minorEastAsia" w:cs="Times New Roman" w:hint="eastAsia"/>
          <w:kern w:val="22"/>
          <w:sz w:val="24"/>
          <w:szCs w:val="24"/>
          <w:lang w:val="en-GB"/>
        </w:rPr>
        <w:t xml:space="preserve"> </w:t>
      </w:r>
      <w:r w:rsidRPr="005D25D7">
        <w:rPr>
          <w:rFonts w:eastAsiaTheme="minorEastAsia" w:cs="Times New Roman"/>
          <w:kern w:val="22"/>
          <w:sz w:val="24"/>
          <w:szCs w:val="24"/>
          <w:lang w:val="en-GB"/>
        </w:rPr>
        <w:t>处理性别因素；</w:t>
      </w:r>
    </w:p>
    <w:p w:rsidR="00B0433D" w:rsidRPr="005D25D7" w:rsidRDefault="00B0433D" w:rsidP="00B0433D">
      <w:pPr>
        <w:pStyle w:val="NormalWeb"/>
        <w:numPr>
          <w:ilvl w:val="0"/>
          <w:numId w:val="31"/>
        </w:numPr>
        <w:suppressLineNumbers/>
        <w:suppressAutoHyphens/>
        <w:kinsoku w:val="0"/>
        <w:overflowPunct w:val="0"/>
        <w:autoSpaceDE w:val="0"/>
        <w:autoSpaceDN w:val="0"/>
        <w:adjustRightInd w:val="0"/>
        <w:spacing w:before="120" w:beforeAutospacing="0" w:after="120" w:afterAutospacing="0" w:line="240" w:lineRule="atLeast"/>
        <w:ind w:left="0" w:firstLine="720"/>
        <w:jc w:val="both"/>
        <w:rPr>
          <w:rFonts w:eastAsiaTheme="minorEastAsia" w:cs="Times New Roman"/>
          <w:kern w:val="22"/>
          <w:sz w:val="24"/>
          <w:szCs w:val="24"/>
          <w:lang w:val="en-GB"/>
        </w:rPr>
      </w:pPr>
      <w:r w:rsidRPr="005D25D7">
        <w:rPr>
          <w:rFonts w:ascii="KaiTi" w:eastAsia="KaiTi" w:hAnsi="KaiTi" w:cs="Times New Roman"/>
          <w:kern w:val="22"/>
          <w:sz w:val="24"/>
          <w:szCs w:val="24"/>
          <w:lang w:val="en-GB"/>
        </w:rPr>
        <w:t>鼓励</w:t>
      </w:r>
      <w:r w:rsidR="00667E3B" w:rsidRPr="00667E3B">
        <w:rPr>
          <w:rFonts w:eastAsiaTheme="minorEastAsia" w:cs="Times New Roman" w:hint="eastAsia"/>
          <w:kern w:val="22"/>
          <w:sz w:val="24"/>
          <w:szCs w:val="24"/>
          <w:lang w:val="en-GB"/>
        </w:rPr>
        <w:t>各缔约方</w:t>
      </w:r>
      <w:r w:rsidRPr="005D25D7">
        <w:rPr>
          <w:rFonts w:eastAsiaTheme="minorEastAsia" w:cs="Times New Roman"/>
          <w:kern w:val="22"/>
          <w:sz w:val="24"/>
          <w:szCs w:val="24"/>
          <w:lang w:val="en-GB"/>
        </w:rPr>
        <w:t>制定和执行促进性别平等战略和行动，以支持执行《公约》和《</w:t>
      </w:r>
      <w:r w:rsidRPr="005D25D7">
        <w:rPr>
          <w:rFonts w:eastAsiaTheme="minorEastAsia" w:cs="Times New Roman"/>
          <w:kern w:val="22"/>
          <w:sz w:val="24"/>
          <w:szCs w:val="24"/>
        </w:rPr>
        <w:t>2011-2020</w:t>
      </w:r>
      <w:r w:rsidRPr="005D25D7">
        <w:rPr>
          <w:rFonts w:eastAsiaTheme="minorEastAsia" w:cs="Times New Roman"/>
          <w:kern w:val="22"/>
          <w:sz w:val="24"/>
          <w:szCs w:val="24"/>
          <w:lang w:val="en-GB"/>
        </w:rPr>
        <w:t>年生物多样性战略计划》</w:t>
      </w:r>
      <w:r>
        <w:rPr>
          <w:rFonts w:eastAsiaTheme="minorEastAsia" w:cs="Times New Roman" w:hint="eastAsia"/>
          <w:kern w:val="22"/>
          <w:sz w:val="24"/>
          <w:szCs w:val="24"/>
          <w:lang w:val="en-GB"/>
        </w:rPr>
        <w:t xml:space="preserve"> </w:t>
      </w:r>
      <w:r w:rsidRPr="005D25D7">
        <w:rPr>
          <w:rFonts w:eastAsiaTheme="minorEastAsia" w:cs="Times New Roman"/>
          <w:kern w:val="22"/>
          <w:sz w:val="24"/>
          <w:szCs w:val="24"/>
          <w:lang w:val="en-GB"/>
        </w:rPr>
        <w:t>；</w:t>
      </w:r>
    </w:p>
    <w:p w:rsidR="00B0433D" w:rsidRPr="005D25D7" w:rsidRDefault="00B0433D" w:rsidP="00B0433D">
      <w:pPr>
        <w:pStyle w:val="NormalWeb"/>
        <w:numPr>
          <w:ilvl w:val="0"/>
          <w:numId w:val="31"/>
        </w:numPr>
        <w:suppressLineNumbers/>
        <w:suppressAutoHyphens/>
        <w:kinsoku w:val="0"/>
        <w:overflowPunct w:val="0"/>
        <w:autoSpaceDE w:val="0"/>
        <w:autoSpaceDN w:val="0"/>
        <w:adjustRightInd w:val="0"/>
        <w:spacing w:before="120" w:beforeAutospacing="0" w:after="120" w:afterAutospacing="0" w:line="240" w:lineRule="atLeast"/>
        <w:ind w:left="0" w:firstLine="720"/>
        <w:jc w:val="both"/>
        <w:rPr>
          <w:rFonts w:eastAsiaTheme="minorEastAsia" w:cs="Times New Roman"/>
          <w:kern w:val="22"/>
          <w:sz w:val="24"/>
          <w:szCs w:val="24"/>
          <w:lang w:val="en-GB"/>
        </w:rPr>
      </w:pPr>
      <w:r w:rsidRPr="005D25D7">
        <w:rPr>
          <w:rFonts w:ascii="KaiTi" w:eastAsia="KaiTi" w:hAnsi="KaiTi" w:cs="Times New Roman"/>
          <w:kern w:val="22"/>
          <w:sz w:val="24"/>
          <w:szCs w:val="24"/>
          <w:lang w:val="en-GB"/>
        </w:rPr>
        <w:t>鼓励</w:t>
      </w:r>
      <w:r w:rsidRPr="005D25D7">
        <w:rPr>
          <w:rFonts w:eastAsiaTheme="minorEastAsia" w:cs="Times New Roman"/>
          <w:kern w:val="22"/>
          <w:sz w:val="24"/>
          <w:szCs w:val="24"/>
          <w:lang w:val="en-GB"/>
        </w:rPr>
        <w:t>各缔约方并</w:t>
      </w:r>
      <w:r w:rsidRPr="005D25D7">
        <w:rPr>
          <w:rFonts w:ascii="KaiTi" w:eastAsia="KaiTi" w:hAnsi="KaiTi" w:cs="Times New Roman"/>
          <w:kern w:val="22"/>
          <w:sz w:val="24"/>
          <w:szCs w:val="24"/>
          <w:lang w:val="en-GB"/>
        </w:rPr>
        <w:t>邀请</w:t>
      </w:r>
      <w:r w:rsidRPr="005D25D7">
        <w:rPr>
          <w:rFonts w:eastAsiaTheme="minorEastAsia" w:cs="Times New Roman"/>
          <w:kern w:val="22"/>
          <w:sz w:val="24"/>
          <w:szCs w:val="24"/>
          <w:lang w:val="en-GB"/>
        </w:rPr>
        <w:t>其他相关利益攸关方通过向性别</w:t>
      </w:r>
      <w:r w:rsidR="00DA044B">
        <w:rPr>
          <w:rFonts w:eastAsiaTheme="minorEastAsia" w:cs="Times New Roman" w:hint="eastAsia"/>
          <w:kern w:val="22"/>
          <w:sz w:val="24"/>
          <w:szCs w:val="24"/>
          <w:lang w:val="en-GB"/>
        </w:rPr>
        <w:t>与</w:t>
      </w:r>
      <w:r w:rsidRPr="005D25D7">
        <w:rPr>
          <w:rFonts w:eastAsiaTheme="minorEastAsia" w:cs="Times New Roman"/>
          <w:kern w:val="22"/>
          <w:sz w:val="24"/>
          <w:szCs w:val="24"/>
          <w:lang w:val="en-GB"/>
        </w:rPr>
        <w:t>生物多样性问题能力建设提供资源和收集</w:t>
      </w:r>
      <w:r w:rsidR="00281931">
        <w:rPr>
          <w:rFonts w:eastAsiaTheme="minorEastAsia" w:cs="Times New Roman"/>
          <w:kern w:val="22"/>
          <w:sz w:val="24"/>
          <w:szCs w:val="24"/>
          <w:lang w:val="en-GB"/>
        </w:rPr>
        <w:t>性别平等</w:t>
      </w:r>
      <w:r w:rsidRPr="005D25D7">
        <w:rPr>
          <w:rFonts w:eastAsiaTheme="minorEastAsia" w:cs="Times New Roman"/>
          <w:kern w:val="22"/>
          <w:sz w:val="24"/>
          <w:szCs w:val="24"/>
          <w:lang w:val="en-GB"/>
        </w:rPr>
        <w:t>分类数据等方式，支持加强关于性别</w:t>
      </w:r>
      <w:r w:rsidR="00DA044B">
        <w:rPr>
          <w:rFonts w:eastAsiaTheme="minorEastAsia" w:cs="Times New Roman" w:hint="eastAsia"/>
          <w:kern w:val="22"/>
          <w:sz w:val="24"/>
          <w:szCs w:val="24"/>
          <w:lang w:val="en-GB"/>
        </w:rPr>
        <w:t>问题</w:t>
      </w:r>
      <w:r w:rsidR="00DA044B">
        <w:rPr>
          <w:rFonts w:eastAsiaTheme="minorEastAsia" w:cs="Times New Roman"/>
          <w:kern w:val="22"/>
          <w:sz w:val="24"/>
          <w:szCs w:val="24"/>
          <w:lang w:val="en-GB"/>
        </w:rPr>
        <w:t>与</w:t>
      </w:r>
      <w:r w:rsidRPr="005D25D7">
        <w:rPr>
          <w:rFonts w:eastAsiaTheme="minorEastAsia" w:cs="Times New Roman"/>
          <w:kern w:val="22"/>
          <w:sz w:val="24"/>
          <w:szCs w:val="24"/>
          <w:lang w:val="en-GB"/>
        </w:rPr>
        <w:t>生物多样性的关联性的知识的行动；</w:t>
      </w:r>
    </w:p>
    <w:p w:rsidR="00B0433D" w:rsidRPr="005D25D7" w:rsidRDefault="00B0433D" w:rsidP="00B0433D">
      <w:pPr>
        <w:pStyle w:val="NormalWeb"/>
        <w:numPr>
          <w:ilvl w:val="0"/>
          <w:numId w:val="31"/>
        </w:numPr>
        <w:suppressLineNumbers/>
        <w:suppressAutoHyphens/>
        <w:kinsoku w:val="0"/>
        <w:overflowPunct w:val="0"/>
        <w:autoSpaceDE w:val="0"/>
        <w:autoSpaceDN w:val="0"/>
        <w:adjustRightInd w:val="0"/>
        <w:spacing w:before="120" w:beforeAutospacing="0" w:after="120" w:afterAutospacing="0" w:line="240" w:lineRule="atLeast"/>
        <w:ind w:left="0" w:firstLine="720"/>
        <w:jc w:val="both"/>
        <w:rPr>
          <w:rFonts w:eastAsiaTheme="minorEastAsia" w:cs="Times New Roman"/>
          <w:kern w:val="22"/>
          <w:sz w:val="24"/>
          <w:szCs w:val="24"/>
          <w:lang w:val="en-GB"/>
        </w:rPr>
      </w:pPr>
      <w:r w:rsidRPr="005D25D7">
        <w:rPr>
          <w:rFonts w:ascii="KaiTi" w:eastAsia="KaiTi" w:hAnsi="KaiTi" w:cs="Times New Roman"/>
          <w:kern w:val="22"/>
          <w:sz w:val="24"/>
          <w:szCs w:val="24"/>
          <w:lang w:val="en-GB"/>
        </w:rPr>
        <w:t>鼓励</w:t>
      </w:r>
      <w:r w:rsidRPr="005D25D7">
        <w:rPr>
          <w:rFonts w:eastAsiaTheme="minorEastAsia" w:cs="Times New Roman"/>
          <w:kern w:val="22"/>
          <w:sz w:val="24"/>
          <w:szCs w:val="24"/>
          <w:lang w:val="en-GB"/>
        </w:rPr>
        <w:t>各缔约方并</w:t>
      </w:r>
      <w:r w:rsidRPr="005D25D7">
        <w:rPr>
          <w:rFonts w:ascii="KaiTi" w:eastAsia="KaiTi" w:hAnsi="KaiTi" w:cs="Times New Roman"/>
          <w:kern w:val="22"/>
          <w:sz w:val="24"/>
          <w:szCs w:val="24"/>
          <w:lang w:val="en-GB"/>
        </w:rPr>
        <w:t>邀请</w:t>
      </w:r>
      <w:r w:rsidRPr="005D25D7">
        <w:rPr>
          <w:rFonts w:eastAsiaTheme="minorEastAsia" w:cs="Times New Roman"/>
          <w:kern w:val="22"/>
          <w:sz w:val="24"/>
          <w:szCs w:val="24"/>
          <w:lang w:val="en-GB"/>
        </w:rPr>
        <w:t>其他相关利益攸关方支持对各多边环境协定采用统一办法进行能力建设和实施促进性别平等的生物多样性措施；</w:t>
      </w:r>
    </w:p>
    <w:p w:rsidR="00B0433D" w:rsidRPr="005D25D7" w:rsidRDefault="00B0433D" w:rsidP="00B0433D">
      <w:pPr>
        <w:pStyle w:val="NormalWeb"/>
        <w:numPr>
          <w:ilvl w:val="0"/>
          <w:numId w:val="31"/>
        </w:numPr>
        <w:suppressLineNumbers/>
        <w:suppressAutoHyphens/>
        <w:kinsoku w:val="0"/>
        <w:overflowPunct w:val="0"/>
        <w:autoSpaceDE w:val="0"/>
        <w:autoSpaceDN w:val="0"/>
        <w:adjustRightInd w:val="0"/>
        <w:spacing w:before="120" w:beforeAutospacing="0" w:after="120" w:afterAutospacing="0" w:line="240" w:lineRule="atLeast"/>
        <w:ind w:left="0" w:firstLine="720"/>
        <w:jc w:val="both"/>
        <w:rPr>
          <w:rFonts w:eastAsiaTheme="minorEastAsia" w:cs="Times New Roman"/>
          <w:kern w:val="22"/>
          <w:sz w:val="24"/>
          <w:szCs w:val="24"/>
          <w:lang w:val="en-GB"/>
        </w:rPr>
      </w:pPr>
      <w:r w:rsidRPr="005D25D7">
        <w:rPr>
          <w:rFonts w:ascii="KaiTi" w:eastAsia="KaiTi" w:hAnsi="KaiTi" w:cs="Times New Roman"/>
          <w:kern w:val="22"/>
          <w:sz w:val="24"/>
          <w:szCs w:val="24"/>
          <w:lang w:val="en-GB"/>
        </w:rPr>
        <w:t>请</w:t>
      </w:r>
      <w:r w:rsidRPr="005D25D7">
        <w:rPr>
          <w:rFonts w:eastAsiaTheme="minorEastAsia" w:cs="Times New Roman"/>
          <w:kern w:val="22"/>
          <w:sz w:val="24"/>
          <w:szCs w:val="24"/>
          <w:lang w:val="en-GB"/>
        </w:rPr>
        <w:t>执行秘书在资源允许的情况下，在编制第五版</w:t>
      </w:r>
      <w:r w:rsidRPr="005D25D7">
        <w:rPr>
          <w:rFonts w:eastAsiaTheme="minorEastAsia" w:cs="Times New Roman"/>
          <w:kern w:val="22"/>
          <w:sz w:val="24"/>
          <w:szCs w:val="24"/>
        </w:rPr>
        <w:t>《</w:t>
      </w:r>
      <w:r w:rsidRPr="0036593A">
        <w:rPr>
          <w:rFonts w:ascii="KaiTi" w:eastAsia="KaiTi" w:hAnsi="KaiTi" w:cs="Times New Roman"/>
          <w:kern w:val="22"/>
          <w:sz w:val="24"/>
          <w:szCs w:val="24"/>
          <w:lang w:val="en-GB"/>
        </w:rPr>
        <w:t>全球生物多样性展望</w:t>
      </w:r>
      <w:r w:rsidRPr="005D25D7">
        <w:rPr>
          <w:rFonts w:eastAsiaTheme="minorEastAsia" w:cs="Times New Roman"/>
          <w:kern w:val="22"/>
          <w:sz w:val="24"/>
          <w:szCs w:val="24"/>
        </w:rPr>
        <w:t>》和第二版《</w:t>
      </w:r>
      <w:r w:rsidRPr="0036593A">
        <w:rPr>
          <w:rFonts w:ascii="KaiTi" w:eastAsia="KaiTi" w:hAnsi="KaiTi" w:cs="Times New Roman"/>
          <w:kern w:val="22"/>
          <w:sz w:val="24"/>
          <w:szCs w:val="24"/>
          <w:lang w:val="en-GB"/>
        </w:rPr>
        <w:t>地方生物多样性展望</w:t>
      </w:r>
      <w:r w:rsidRPr="005D25D7">
        <w:rPr>
          <w:rFonts w:eastAsiaTheme="minorEastAsia" w:cs="Times New Roman"/>
          <w:kern w:val="22"/>
          <w:sz w:val="24"/>
          <w:szCs w:val="24"/>
        </w:rPr>
        <w:t>》的同时，</w:t>
      </w:r>
      <w:r w:rsidRPr="005D25D7">
        <w:rPr>
          <w:rFonts w:eastAsiaTheme="minorEastAsia" w:cs="Times New Roman"/>
          <w:kern w:val="22"/>
          <w:sz w:val="24"/>
          <w:szCs w:val="24"/>
          <w:lang w:val="en-GB"/>
        </w:rPr>
        <w:t>对《</w:t>
      </w:r>
      <w:r w:rsidRPr="005D25D7">
        <w:rPr>
          <w:rFonts w:eastAsiaTheme="minorEastAsia" w:cs="Times New Roman"/>
          <w:kern w:val="22"/>
          <w:sz w:val="24"/>
          <w:szCs w:val="24"/>
          <w:lang w:val="en-GB"/>
        </w:rPr>
        <w:t>2015-2020</w:t>
      </w:r>
      <w:r w:rsidRPr="005D25D7">
        <w:rPr>
          <w:rFonts w:eastAsiaTheme="minorEastAsia" w:cs="Times New Roman"/>
          <w:kern w:val="22"/>
          <w:sz w:val="24"/>
          <w:szCs w:val="24"/>
          <w:lang w:val="en-GB"/>
        </w:rPr>
        <w:t>年</w:t>
      </w:r>
      <w:r w:rsidR="00281931">
        <w:rPr>
          <w:rFonts w:eastAsiaTheme="minorEastAsia" w:cs="Times New Roman"/>
          <w:kern w:val="22"/>
          <w:sz w:val="24"/>
          <w:szCs w:val="24"/>
          <w:lang w:val="en-GB"/>
        </w:rPr>
        <w:t>性别平等行动计划</w:t>
      </w:r>
      <w:r w:rsidRPr="005D25D7">
        <w:rPr>
          <w:rFonts w:eastAsiaTheme="minorEastAsia" w:cs="Times New Roman"/>
          <w:kern w:val="22"/>
          <w:sz w:val="24"/>
          <w:szCs w:val="24"/>
          <w:lang w:val="en-GB"/>
        </w:rPr>
        <w:t>》的执行情况进行一次审查，以便查明差距、最佳做法和经验教训；</w:t>
      </w:r>
    </w:p>
    <w:p w:rsidR="00B0433D" w:rsidRPr="005D25D7" w:rsidRDefault="00B0433D" w:rsidP="00B0433D">
      <w:pPr>
        <w:pStyle w:val="NormalWeb"/>
        <w:numPr>
          <w:ilvl w:val="0"/>
          <w:numId w:val="31"/>
        </w:numPr>
        <w:suppressLineNumbers/>
        <w:suppressAutoHyphens/>
        <w:kinsoku w:val="0"/>
        <w:overflowPunct w:val="0"/>
        <w:autoSpaceDE w:val="0"/>
        <w:autoSpaceDN w:val="0"/>
        <w:adjustRightInd w:val="0"/>
        <w:spacing w:before="120" w:beforeAutospacing="0" w:after="120" w:afterAutospacing="0" w:line="240" w:lineRule="atLeast"/>
        <w:ind w:left="0" w:firstLine="720"/>
        <w:jc w:val="both"/>
        <w:rPr>
          <w:rFonts w:eastAsiaTheme="minorEastAsia" w:cs="Times New Roman"/>
          <w:kern w:val="22"/>
          <w:sz w:val="24"/>
          <w:szCs w:val="24"/>
          <w:lang w:val="en-GB"/>
        </w:rPr>
      </w:pPr>
      <w:r w:rsidRPr="005D25D7">
        <w:rPr>
          <w:rFonts w:ascii="KaiTi" w:eastAsia="KaiTi" w:hAnsi="KaiTi" w:cs="Times New Roman"/>
          <w:kern w:val="22"/>
          <w:sz w:val="24"/>
          <w:szCs w:val="24"/>
          <w:lang w:val="en-GB"/>
        </w:rPr>
        <w:lastRenderedPageBreak/>
        <w:t>又请</w:t>
      </w:r>
      <w:r w:rsidRPr="005D25D7">
        <w:rPr>
          <w:rFonts w:eastAsiaTheme="minorEastAsia" w:cs="Times New Roman"/>
          <w:kern w:val="22"/>
          <w:sz w:val="24"/>
          <w:szCs w:val="24"/>
          <w:lang w:val="en-GB"/>
        </w:rPr>
        <w:t>执行秘书在资源允许的情况下，举办性别与生物多样性之间联系和《</w:t>
      </w:r>
      <w:r w:rsidRPr="005D25D7">
        <w:rPr>
          <w:rFonts w:eastAsiaTheme="minorEastAsia" w:cs="Times New Roman"/>
          <w:kern w:val="22"/>
          <w:sz w:val="24"/>
          <w:szCs w:val="24"/>
          <w:lang w:val="en-GB"/>
        </w:rPr>
        <w:t>2015</w:t>
      </w:r>
      <w:r w:rsidR="0036593A">
        <w:rPr>
          <w:rFonts w:eastAsiaTheme="minorEastAsia" w:cs="Times New Roman"/>
          <w:kern w:val="22"/>
          <w:sz w:val="24"/>
          <w:szCs w:val="24"/>
          <w:lang w:val="en-GB"/>
        </w:rPr>
        <w:t>-</w:t>
      </w:r>
      <w:r w:rsidRPr="005D25D7">
        <w:rPr>
          <w:rFonts w:eastAsiaTheme="minorEastAsia" w:cs="Times New Roman"/>
          <w:kern w:val="22"/>
          <w:sz w:val="24"/>
          <w:szCs w:val="24"/>
          <w:lang w:val="en-GB"/>
        </w:rPr>
        <w:t>2020</w:t>
      </w:r>
      <w:r w:rsidRPr="005D25D7">
        <w:rPr>
          <w:rFonts w:eastAsiaTheme="minorEastAsia" w:cs="Times New Roman"/>
          <w:kern w:val="22"/>
          <w:sz w:val="24"/>
          <w:szCs w:val="24"/>
          <w:lang w:val="en-GB"/>
        </w:rPr>
        <w:t>年</w:t>
      </w:r>
      <w:r w:rsidR="00281931">
        <w:rPr>
          <w:rFonts w:eastAsiaTheme="minorEastAsia" w:cs="Times New Roman"/>
          <w:kern w:val="22"/>
          <w:sz w:val="24"/>
          <w:szCs w:val="24"/>
          <w:lang w:val="en-GB"/>
        </w:rPr>
        <w:t>性别平等行动计划</w:t>
      </w:r>
      <w:r w:rsidRPr="005D25D7">
        <w:rPr>
          <w:rFonts w:eastAsiaTheme="minorEastAsia" w:cs="Times New Roman"/>
          <w:kern w:val="22"/>
          <w:sz w:val="24"/>
          <w:szCs w:val="24"/>
          <w:lang w:val="en-GB"/>
        </w:rPr>
        <w:t>》执行工作经验教训</w:t>
      </w:r>
      <w:r w:rsidR="00BF0513">
        <w:rPr>
          <w:rFonts w:eastAsiaTheme="minorEastAsia" w:cs="Times New Roman" w:hint="eastAsia"/>
          <w:kern w:val="22"/>
          <w:sz w:val="24"/>
          <w:szCs w:val="24"/>
          <w:lang w:val="en-GB"/>
        </w:rPr>
        <w:t>问题</w:t>
      </w:r>
      <w:r w:rsidRPr="005D25D7">
        <w:rPr>
          <w:rFonts w:eastAsiaTheme="minorEastAsia" w:cs="Times New Roman"/>
          <w:kern w:val="22"/>
          <w:sz w:val="24"/>
          <w:szCs w:val="24"/>
          <w:lang w:val="en-GB"/>
        </w:rPr>
        <w:t>区域讲习班</w:t>
      </w:r>
      <w:r>
        <w:rPr>
          <w:rFonts w:eastAsiaTheme="minorEastAsia" w:cs="Times New Roman" w:hint="eastAsia"/>
          <w:kern w:val="22"/>
          <w:sz w:val="24"/>
          <w:szCs w:val="24"/>
          <w:lang w:val="en-GB"/>
        </w:rPr>
        <w:t>；</w:t>
      </w:r>
    </w:p>
    <w:p w:rsidR="008A56B4" w:rsidRPr="00BF0513" w:rsidRDefault="00B0433D" w:rsidP="003F4661">
      <w:pPr>
        <w:pStyle w:val="NormalWeb"/>
        <w:numPr>
          <w:ilvl w:val="0"/>
          <w:numId w:val="31"/>
        </w:numPr>
        <w:suppressLineNumbers/>
        <w:suppressAutoHyphens/>
        <w:kinsoku w:val="0"/>
        <w:overflowPunct w:val="0"/>
        <w:autoSpaceDE w:val="0"/>
        <w:autoSpaceDN w:val="0"/>
        <w:adjustRightInd w:val="0"/>
        <w:snapToGrid w:val="0"/>
        <w:spacing w:before="120" w:beforeAutospacing="0" w:after="120" w:afterAutospacing="0" w:line="240" w:lineRule="atLeast"/>
        <w:ind w:left="0" w:firstLine="720"/>
        <w:jc w:val="both"/>
        <w:rPr>
          <w:rFonts w:eastAsia="Univers" w:cs="Times New Roman"/>
          <w:kern w:val="22"/>
          <w:sz w:val="24"/>
        </w:rPr>
      </w:pPr>
      <w:r w:rsidRPr="00BF0513">
        <w:rPr>
          <w:rFonts w:ascii="KaiTi" w:eastAsia="KaiTi" w:hAnsi="KaiTi" w:cs="Times New Roman"/>
          <w:kern w:val="22"/>
          <w:sz w:val="24"/>
          <w:szCs w:val="24"/>
          <w:lang w:val="en-GB"/>
        </w:rPr>
        <w:t>还请</w:t>
      </w:r>
      <w:r w:rsidRPr="00BF0513">
        <w:rPr>
          <w:rFonts w:eastAsiaTheme="minorEastAsia" w:cs="Times New Roman"/>
          <w:sz w:val="24"/>
          <w:szCs w:val="24"/>
        </w:rPr>
        <w:t>执行秘书在资源允许的情况下，将性别与生物多样性之间联系和执行《</w:t>
      </w:r>
      <w:r w:rsidRPr="00BF0513">
        <w:rPr>
          <w:rFonts w:eastAsiaTheme="minorEastAsia" w:cs="Times New Roman"/>
          <w:sz w:val="24"/>
          <w:szCs w:val="24"/>
        </w:rPr>
        <w:t>2015-2020</w:t>
      </w:r>
      <w:r w:rsidRPr="00BF0513">
        <w:rPr>
          <w:rFonts w:eastAsiaTheme="minorEastAsia" w:cs="Times New Roman"/>
          <w:sz w:val="24"/>
          <w:szCs w:val="24"/>
        </w:rPr>
        <w:t>性别</w:t>
      </w:r>
      <w:r w:rsidR="00DA044B" w:rsidRPr="00BF0513">
        <w:rPr>
          <w:rFonts w:eastAsiaTheme="minorEastAsia" w:cs="Times New Roman" w:hint="eastAsia"/>
          <w:sz w:val="24"/>
          <w:szCs w:val="24"/>
        </w:rPr>
        <w:t>平等</w:t>
      </w:r>
      <w:r w:rsidRPr="00BF0513">
        <w:rPr>
          <w:rFonts w:eastAsiaTheme="minorEastAsia" w:cs="Times New Roman"/>
          <w:sz w:val="24"/>
          <w:szCs w:val="24"/>
        </w:rPr>
        <w:t>行动计划》的经验教训的讨论列入关于</w:t>
      </w:r>
      <w:r w:rsidRPr="00BF0513">
        <w:rPr>
          <w:rFonts w:eastAsiaTheme="minorEastAsia" w:cs="Times New Roman"/>
          <w:sz w:val="24"/>
          <w:szCs w:val="24"/>
        </w:rPr>
        <w:t>2020</w:t>
      </w:r>
      <w:r w:rsidRPr="00BF0513">
        <w:rPr>
          <w:rFonts w:eastAsiaTheme="minorEastAsia" w:cs="Times New Roman"/>
          <w:sz w:val="24"/>
          <w:szCs w:val="24"/>
        </w:rPr>
        <w:t>年后全球生物多样性框架的区域协商。</w:t>
      </w:r>
      <w:bookmarkEnd w:id="6"/>
    </w:p>
    <w:p w:rsidR="00666863" w:rsidRPr="00E40630" w:rsidRDefault="008A56B4">
      <w:pPr>
        <w:spacing w:before="120" w:after="120"/>
        <w:jc w:val="center"/>
        <w:rPr>
          <w:rFonts w:cs="Times New Roman"/>
          <w:kern w:val="22"/>
          <w:sz w:val="24"/>
        </w:rPr>
      </w:pPr>
      <w:r>
        <w:rPr>
          <w:rFonts w:eastAsia="Univers" w:cs="Times New Roman"/>
          <w:kern w:val="22"/>
          <w:sz w:val="24"/>
        </w:rPr>
        <w:t>__</w:t>
      </w:r>
      <w:r w:rsidR="00666863" w:rsidRPr="00E40630">
        <w:rPr>
          <w:rFonts w:eastAsia="Univers" w:cs="Times New Roman"/>
          <w:kern w:val="22"/>
          <w:sz w:val="24"/>
        </w:rPr>
        <w:t>__________</w:t>
      </w:r>
      <w:r w:rsidR="008027F1" w:rsidRPr="00E40630">
        <w:rPr>
          <w:rFonts w:cs="Times New Roman" w:hint="eastAsia"/>
          <w:kern w:val="22"/>
          <w:sz w:val="24"/>
        </w:rPr>
        <w:t xml:space="preserve"> </w:t>
      </w:r>
    </w:p>
    <w:sectPr w:rsidR="00666863" w:rsidRPr="00E40630" w:rsidSect="00FF196E">
      <w:headerReference w:type="even" r:id="rId11"/>
      <w:headerReference w:type="default" r:id="rId12"/>
      <w:type w:val="continuous"/>
      <w:pgSz w:w="12240" w:h="15840" w:code="1"/>
      <w:pgMar w:top="864" w:right="1440" w:bottom="864" w:left="1440" w:header="461"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DDC" w:rsidRDefault="00C86DDC">
      <w:pPr>
        <w:rPr>
          <w:rFonts w:ascii="Univers" w:eastAsia="Univers" w:hAnsi="Univers" w:cs="Times New Roman"/>
        </w:rPr>
      </w:pPr>
      <w:r>
        <w:rPr>
          <w:rFonts w:ascii="Univers" w:eastAsia="Univers" w:hAnsi="Univers" w:cs="Times New Roman"/>
        </w:rPr>
        <w:separator/>
      </w:r>
    </w:p>
  </w:endnote>
  <w:endnote w:type="continuationSeparator" w:id="0">
    <w:p w:rsidR="00C86DDC" w:rsidRDefault="00C86DDC">
      <w:pPr>
        <w:rPr>
          <w:rFonts w:ascii="Univers" w:eastAsia="Univers" w:hAnsi="Univers" w:cs="Times New Roman"/>
        </w:rPr>
      </w:pPr>
      <w:r>
        <w:rPr>
          <w:rFonts w:ascii="Univers" w:eastAsia="Univers" w:hAnsi="Univer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crosoft YaHei">
    <w:panose1 w:val="020B0503020204020204"/>
    <w:charset w:val="86"/>
    <w:family w:val="swiss"/>
    <w:pitch w:val="variable"/>
    <w:sig w:usb0="A0000287" w:usb1="28CF3C52" w:usb2="00000016" w:usb3="00000000" w:csb0="0004001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DDC" w:rsidRDefault="00C86DDC">
      <w:pPr>
        <w:rPr>
          <w:rFonts w:ascii="Univers" w:eastAsia="Univers" w:hAnsi="Univers" w:cs="Times New Roman"/>
        </w:rPr>
      </w:pPr>
      <w:r>
        <w:rPr>
          <w:rFonts w:ascii="Univers" w:eastAsia="Univers" w:hAnsi="Univers" w:cs="Times New Roman"/>
        </w:rPr>
        <w:separator/>
      </w:r>
    </w:p>
  </w:footnote>
  <w:footnote w:type="continuationSeparator" w:id="0">
    <w:p w:rsidR="00C86DDC" w:rsidRDefault="00C86DDC">
      <w:pPr>
        <w:rPr>
          <w:rFonts w:ascii="Univers" w:eastAsia="Univers" w:hAnsi="Univers" w:cs="Times New Roman"/>
        </w:rPr>
      </w:pPr>
      <w:r>
        <w:rPr>
          <w:rFonts w:ascii="Univers" w:eastAsia="Univers" w:hAnsi="Univers" w:cs="Times New Roman"/>
        </w:rPr>
        <w:continuationSeparator/>
      </w:r>
    </w:p>
  </w:footnote>
  <w:footnote w:id="1">
    <w:p w:rsidR="00B0433D" w:rsidRPr="005D25D7" w:rsidRDefault="00B0433D" w:rsidP="00B0433D">
      <w:pPr>
        <w:pStyle w:val="FootnoteText"/>
        <w:tabs>
          <w:tab w:val="left" w:pos="360"/>
        </w:tabs>
        <w:adjustRightInd w:val="0"/>
        <w:ind w:firstLine="0"/>
        <w:rPr>
          <w:rFonts w:eastAsiaTheme="minorEastAsia"/>
          <w:sz w:val="20"/>
          <w:szCs w:val="20"/>
          <w:lang w:eastAsia="zh-CN"/>
        </w:rPr>
      </w:pPr>
      <w:r w:rsidRPr="00B0433D">
        <w:rPr>
          <w:rStyle w:val="FootnoteReference"/>
          <w:rFonts w:eastAsiaTheme="majorEastAsia"/>
          <w:sz w:val="24"/>
          <w:szCs w:val="20"/>
          <w:u w:val="none"/>
          <w:vertAlign w:val="superscript"/>
        </w:rPr>
        <w:footnoteRef/>
      </w:r>
      <w:r w:rsidRPr="00C51E06">
        <w:rPr>
          <w:sz w:val="24"/>
          <w:szCs w:val="20"/>
          <w:lang w:eastAsia="zh-CN"/>
        </w:rPr>
        <w:t xml:space="preserve"> </w:t>
      </w:r>
      <w:r>
        <w:rPr>
          <w:sz w:val="20"/>
          <w:szCs w:val="20"/>
          <w:lang w:eastAsia="zh-CN"/>
        </w:rPr>
        <w:tab/>
      </w:r>
      <w:hyperlink r:id="rId1" w:history="1">
        <w:r w:rsidRPr="005D25D7">
          <w:rPr>
            <w:rStyle w:val="Hyperlink"/>
            <w:bCs/>
            <w:sz w:val="20"/>
            <w:szCs w:val="20"/>
            <w:lang w:eastAsia="zh-CN"/>
          </w:rPr>
          <w:t>CBD/SBI/2/2/ADD.3</w:t>
        </w:r>
      </w:hyperlink>
      <w:r w:rsidRPr="005D25D7">
        <w:rPr>
          <w:rFonts w:ascii="SimSun" w:hAnsi="SimSun" w:cs="SimSun" w:hint="eastAsia"/>
          <w:bCs/>
          <w:sz w:val="20"/>
          <w:szCs w:val="20"/>
          <w:lang w:eastAsia="zh-CN"/>
        </w:rPr>
        <w:t>。</w:t>
      </w:r>
    </w:p>
  </w:footnote>
  <w:footnote w:id="2">
    <w:p w:rsidR="007C5ADA" w:rsidRPr="000449BB" w:rsidRDefault="007C5ADA" w:rsidP="007C5ADA">
      <w:pPr>
        <w:pStyle w:val="FootnoteText"/>
        <w:tabs>
          <w:tab w:val="left" w:pos="360"/>
        </w:tabs>
        <w:adjustRightInd w:val="0"/>
        <w:ind w:firstLine="0"/>
        <w:rPr>
          <w:rFonts w:ascii="SimSun" w:hAnsi="SimSun"/>
          <w:lang w:eastAsia="zh-CN"/>
        </w:rPr>
      </w:pPr>
      <w:r w:rsidRPr="00B0433D">
        <w:rPr>
          <w:rStyle w:val="FootnoteReference"/>
          <w:rFonts w:eastAsiaTheme="majorEastAsia"/>
          <w:sz w:val="24"/>
          <w:szCs w:val="20"/>
          <w:u w:val="none"/>
          <w:vertAlign w:val="superscript"/>
        </w:rPr>
        <w:footnoteRef/>
      </w:r>
      <w:r w:rsidRPr="00B0433D">
        <w:rPr>
          <w:rStyle w:val="FootnoteReference"/>
          <w:rFonts w:eastAsiaTheme="majorEastAsia"/>
          <w:sz w:val="24"/>
          <w:u w:val="none"/>
          <w:vertAlign w:val="superscript"/>
          <w:lang w:eastAsia="zh-CN"/>
        </w:rPr>
        <w:t xml:space="preserve"> </w:t>
      </w:r>
      <w:r>
        <w:rPr>
          <w:sz w:val="20"/>
          <w:szCs w:val="20"/>
          <w:lang w:eastAsia="zh-CN"/>
        </w:rPr>
        <w:tab/>
      </w:r>
      <w:r w:rsidRPr="0036593A">
        <w:rPr>
          <w:rFonts w:ascii="SimSun" w:hAnsi="SimSun" w:cs="SimSun" w:hint="eastAsia"/>
          <w:sz w:val="20"/>
          <w:szCs w:val="20"/>
          <w:lang w:eastAsia="zh-CN"/>
        </w:rPr>
        <w:t>见大会</w:t>
      </w:r>
      <w:r>
        <w:rPr>
          <w:sz w:val="20"/>
          <w:szCs w:val="20"/>
        </w:rPr>
        <w:fldChar w:fldCharType="begin"/>
      </w:r>
      <w:r>
        <w:rPr>
          <w:sz w:val="20"/>
          <w:szCs w:val="20"/>
        </w:rPr>
        <w:instrText xml:space="preserve"> HYPERLINK "http://www.un.org/en/ga/search/view_doc.asp?symbol=A/RES/70/1" </w:instrText>
      </w:r>
      <w:r>
        <w:rPr>
          <w:sz w:val="20"/>
          <w:szCs w:val="20"/>
        </w:rPr>
        <w:fldChar w:fldCharType="separate"/>
      </w:r>
      <w:r w:rsidRPr="0036593A">
        <w:rPr>
          <w:sz w:val="20"/>
          <w:szCs w:val="20"/>
        </w:rPr>
        <w:t>第</w:t>
      </w:r>
      <w:r w:rsidRPr="0036593A">
        <w:rPr>
          <w:rStyle w:val="Hyperlink"/>
          <w:snapToGrid w:val="0"/>
          <w:kern w:val="18"/>
          <w:sz w:val="20"/>
          <w:szCs w:val="20"/>
          <w:lang w:eastAsia="zh-CN"/>
        </w:rPr>
        <w:t>70/1</w:t>
      </w:r>
      <w:proofErr w:type="spellStart"/>
      <w:r w:rsidRPr="0036593A">
        <w:rPr>
          <w:rFonts w:hint="eastAsia"/>
          <w:sz w:val="20"/>
          <w:szCs w:val="20"/>
        </w:rPr>
        <w:t>号决议</w:t>
      </w:r>
      <w:r>
        <w:rPr>
          <w:sz w:val="20"/>
          <w:szCs w:val="20"/>
        </w:rPr>
        <w:fldChar w:fldCharType="end"/>
      </w:r>
      <w:r w:rsidRPr="0036593A">
        <w:rPr>
          <w:rFonts w:hint="eastAsia"/>
          <w:bCs/>
          <w:sz w:val="20"/>
          <w:szCs w:val="20"/>
          <w:lang w:eastAsia="zh-CN"/>
        </w:rPr>
        <w:t>，</w:t>
      </w:r>
      <w:r w:rsidRPr="0036593A">
        <w:rPr>
          <w:rFonts w:ascii="SimSun" w:hAnsi="SimSun" w:hint="eastAsia"/>
          <w:bCs/>
          <w:sz w:val="20"/>
          <w:szCs w:val="20"/>
          <w:lang w:eastAsia="zh-CN"/>
        </w:rPr>
        <w:t>附件</w:t>
      </w:r>
      <w:proofErr w:type="spellEnd"/>
      <w:r w:rsidRPr="0036593A">
        <w:rPr>
          <w:rFonts w:ascii="SimSun" w:hAnsi="SimSun"/>
          <w:bCs/>
          <w:sz w:val="20"/>
          <w:szCs w:val="20"/>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6B4" w:rsidRPr="0062372F" w:rsidRDefault="008A56B4" w:rsidP="008A56B4">
    <w:pPr>
      <w:topLinePunct/>
      <w:rPr>
        <w:sz w:val="24"/>
      </w:rPr>
    </w:pPr>
    <w:r>
      <w:rPr>
        <w:sz w:val="24"/>
      </w:rPr>
      <w:t>CBD/COP/DEC/14/18</w:t>
    </w:r>
  </w:p>
  <w:p w:rsidR="00660A89" w:rsidRDefault="00660A89" w:rsidP="00660A89">
    <w:pPr>
      <w:pStyle w:val="Header"/>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5B342E">
      <w:rPr>
        <w:noProof/>
        <w:sz w:val="24"/>
        <w:szCs w:val="22"/>
      </w:rPr>
      <w:t>2</w:t>
    </w:r>
    <w:r w:rsidRPr="00367DF4">
      <w:rPr>
        <w:sz w:val="24"/>
        <w:szCs w:val="22"/>
      </w:rPr>
      <w:fldChar w:fldCharType="end"/>
    </w:r>
  </w:p>
  <w:p w:rsidR="0017652F" w:rsidRPr="00367DF4" w:rsidRDefault="0017652F" w:rsidP="00660A89">
    <w:pPr>
      <w:pStyle w:val="Header"/>
      <w:rPr>
        <w:sz w:val="24"/>
        <w:szCs w:val="22"/>
      </w:rPr>
    </w:pPr>
  </w:p>
  <w:p w:rsidR="00660A89" w:rsidRDefault="00660A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6B4" w:rsidRPr="0062372F" w:rsidRDefault="008A56B4" w:rsidP="008A56B4">
    <w:pPr>
      <w:topLinePunct/>
      <w:jc w:val="right"/>
      <w:rPr>
        <w:sz w:val="24"/>
      </w:rPr>
    </w:pPr>
    <w:r>
      <w:rPr>
        <w:sz w:val="24"/>
      </w:rPr>
      <w:t>CBD/COP/DEC/14/18</w:t>
    </w:r>
  </w:p>
  <w:p w:rsidR="0017652F" w:rsidRDefault="0017652F" w:rsidP="00526DA7">
    <w:pPr>
      <w:pStyle w:val="Header"/>
      <w:jc w:val="right"/>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8A56B4">
      <w:rPr>
        <w:noProof/>
        <w:sz w:val="24"/>
        <w:szCs w:val="22"/>
      </w:rPr>
      <w:t>3</w:t>
    </w:r>
    <w:r w:rsidRPr="00367DF4">
      <w:rPr>
        <w:sz w:val="24"/>
        <w:szCs w:val="22"/>
      </w:rPr>
      <w:fldChar w:fldCharType="end"/>
    </w:r>
  </w:p>
  <w:p w:rsidR="00660A89" w:rsidRDefault="00660A89">
    <w:pPr>
      <w:pStyle w:val="Header"/>
    </w:pPr>
  </w:p>
  <w:p w:rsidR="0017652F" w:rsidRDefault="00176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134DB"/>
    <w:multiLevelType w:val="multilevel"/>
    <w:tmpl w:val="D02A5E1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380"/>
        </w:tabs>
        <w:ind w:left="-60"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AA92F02"/>
    <w:multiLevelType w:val="multilevel"/>
    <w:tmpl w:val="1204829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15:restartNumberingAfterBreak="0">
    <w:nsid w:val="1859376B"/>
    <w:multiLevelType w:val="singleLevel"/>
    <w:tmpl w:val="35D0F268"/>
    <w:lvl w:ilvl="0">
      <w:start w:val="1"/>
      <w:numFmt w:val="decimal"/>
      <w:lvlText w:val="%1."/>
      <w:lvlJc w:val="left"/>
      <w:pPr>
        <w:tabs>
          <w:tab w:val="num" w:pos="4860"/>
        </w:tabs>
        <w:ind w:left="4500" w:firstLine="0"/>
      </w:pPr>
    </w:lvl>
  </w:abstractNum>
  <w:abstractNum w:abstractNumId="3" w15:restartNumberingAfterBreak="0">
    <w:nsid w:val="211854C8"/>
    <w:multiLevelType w:val="hybridMultilevel"/>
    <w:tmpl w:val="79E008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9432FC4"/>
    <w:multiLevelType w:val="hybridMultilevel"/>
    <w:tmpl w:val="E02A2524"/>
    <w:lvl w:ilvl="0" w:tplc="65A2974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396814BD"/>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8"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9" w15:restartNumberingAfterBreak="0">
    <w:nsid w:val="429637AA"/>
    <w:multiLevelType w:val="multilevel"/>
    <w:tmpl w:val="8726330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decimal"/>
      <w:lvlText w:val="%2."/>
      <w:lvlJc w:val="left"/>
      <w:pPr>
        <w:tabs>
          <w:tab w:val="num" w:pos="1620"/>
        </w:tabs>
        <w:ind w:left="180" w:firstLine="720"/>
      </w:pPr>
      <w:rPr>
        <w:rFonts w:cs="Times New Roman"/>
        <w:b w:val="0"/>
        <w:i w:val="0"/>
      </w:rPr>
    </w:lvl>
    <w:lvl w:ilvl="2">
      <w:start w:val="1"/>
      <w:numFmt w:val="lowerRoman"/>
      <w:lvlText w:val="(%3)"/>
      <w:lvlJc w:val="right"/>
      <w:pPr>
        <w:tabs>
          <w:tab w:val="num" w:pos="1900"/>
        </w:tabs>
        <w:ind w:left="190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44CC7FBB"/>
    <w:multiLevelType w:val="hybridMultilevel"/>
    <w:tmpl w:val="DC8ED5BA"/>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1" w15:restartNumberingAfterBreak="0">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A6E2604"/>
    <w:multiLevelType w:val="multilevel"/>
    <w:tmpl w:val="53F67F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15:restartNumberingAfterBreak="0">
    <w:nsid w:val="4E0442B4"/>
    <w:multiLevelType w:val="multilevel"/>
    <w:tmpl w:val="B97E9A72"/>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50F04460"/>
    <w:multiLevelType w:val="hybridMultilevel"/>
    <w:tmpl w:val="12B4C0EC"/>
    <w:lvl w:ilvl="0" w:tplc="90800732">
      <w:start w:val="1"/>
      <w:numFmt w:val="decimal"/>
      <w:lvlText w:val="%1."/>
      <w:lvlJc w:val="left"/>
      <w:pPr>
        <w:ind w:left="1440" w:hanging="720"/>
      </w:pPr>
      <w:rPr>
        <w:rFonts w:hint="default"/>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17" w15:restartNumberingAfterBreak="0">
    <w:nsid w:val="6CD57C6E"/>
    <w:multiLevelType w:val="multilevel"/>
    <w:tmpl w:val="747AF608"/>
    <w:lvl w:ilvl="0">
      <w:start w:val="1"/>
      <w:numFmt w:val="decimal"/>
      <w:lvlText w:val="%1."/>
      <w:lvlJc w:val="left"/>
      <w:pPr>
        <w:tabs>
          <w:tab w:val="num" w:pos="1800"/>
        </w:tabs>
        <w:ind w:left="1800" w:hanging="360"/>
      </w:pPr>
      <w:rPr>
        <w:rFonts w:cs="Times New Roman" w:hint="default"/>
      </w:rPr>
    </w:lvl>
    <w:lvl w:ilvl="1">
      <w:start w:val="1"/>
      <w:numFmt w:val="decimal"/>
      <w:lvlText w:val="%1.%2."/>
      <w:lvlJc w:val="left"/>
      <w:pPr>
        <w:tabs>
          <w:tab w:val="num" w:pos="2232"/>
        </w:tabs>
        <w:ind w:left="2232" w:hanging="432"/>
      </w:pPr>
      <w:rPr>
        <w:rFonts w:cs="Times New Roman" w:hint="default"/>
      </w:rPr>
    </w:lvl>
    <w:lvl w:ilvl="2">
      <w:start w:val="1"/>
      <w:numFmt w:val="decimal"/>
      <w:lvlText w:val="%1.%2.%3."/>
      <w:lvlJc w:val="left"/>
      <w:pPr>
        <w:tabs>
          <w:tab w:val="num" w:pos="2664"/>
        </w:tabs>
        <w:ind w:left="2664" w:hanging="504"/>
      </w:pPr>
      <w:rPr>
        <w:rFonts w:cs="Times New Roman" w:hint="default"/>
      </w:rPr>
    </w:lvl>
    <w:lvl w:ilvl="3">
      <w:start w:val="1"/>
      <w:numFmt w:val="decimal"/>
      <w:lvlText w:val="%1.%2.%3.%4."/>
      <w:lvlJc w:val="left"/>
      <w:pPr>
        <w:tabs>
          <w:tab w:val="num" w:pos="3240"/>
        </w:tabs>
        <w:ind w:left="3168" w:hanging="648"/>
      </w:pPr>
      <w:rPr>
        <w:rFonts w:cs="Times New Roman" w:hint="default"/>
      </w:rPr>
    </w:lvl>
    <w:lvl w:ilvl="4">
      <w:start w:val="1"/>
      <w:numFmt w:val="decimal"/>
      <w:lvlText w:val="%1.%2.%3.%4.%5."/>
      <w:lvlJc w:val="left"/>
      <w:pPr>
        <w:tabs>
          <w:tab w:val="num" w:pos="3960"/>
        </w:tabs>
        <w:ind w:left="3672" w:hanging="792"/>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5040"/>
        </w:tabs>
        <w:ind w:left="4680" w:hanging="1080"/>
      </w:pPr>
      <w:rPr>
        <w:rFonts w:cs="Times New Roman" w:hint="default"/>
      </w:rPr>
    </w:lvl>
    <w:lvl w:ilvl="7">
      <w:start w:val="1"/>
      <w:numFmt w:val="decimal"/>
      <w:lvlText w:val="%1.%2.%3.%4.%5.%6.%7.%8."/>
      <w:lvlJc w:val="left"/>
      <w:pPr>
        <w:tabs>
          <w:tab w:val="num" w:pos="5760"/>
        </w:tabs>
        <w:ind w:left="5184" w:hanging="1224"/>
      </w:pPr>
      <w:rPr>
        <w:rFonts w:cs="Times New Roman" w:hint="default"/>
      </w:rPr>
    </w:lvl>
    <w:lvl w:ilvl="8">
      <w:start w:val="1"/>
      <w:numFmt w:val="decimal"/>
      <w:lvlText w:val="%1.%2.%3.%4.%5.%6.%7.%8.%9."/>
      <w:lvlJc w:val="left"/>
      <w:pPr>
        <w:tabs>
          <w:tab w:val="num" w:pos="6120"/>
        </w:tabs>
        <w:ind w:left="5760" w:hanging="1440"/>
      </w:pPr>
      <w:rPr>
        <w:rFonts w:cs="Times New Roman" w:hint="default"/>
      </w:rPr>
    </w:lvl>
  </w:abstractNum>
  <w:abstractNum w:abstractNumId="18" w15:restartNumberingAfterBreak="0">
    <w:nsid w:val="708151E1"/>
    <w:multiLevelType w:val="multilevel"/>
    <w:tmpl w:val="FC4EF6E2"/>
    <w:lvl w:ilvl="0">
      <w:start w:val="3"/>
      <w:numFmt w:val="decimal"/>
      <w:lvlText w:val="%1"/>
      <w:lvlJc w:val="left"/>
      <w:pPr>
        <w:tabs>
          <w:tab w:val="num" w:pos="660"/>
        </w:tabs>
        <w:ind w:left="660" w:hanging="660"/>
      </w:pPr>
      <w:rPr>
        <w:rFonts w:cs="Times New Roman" w:hint="default"/>
      </w:rPr>
    </w:lvl>
    <w:lvl w:ilvl="1">
      <w:start w:val="4"/>
      <w:numFmt w:val="decimal"/>
      <w:lvlText w:val="%1.%2"/>
      <w:lvlJc w:val="left"/>
      <w:pPr>
        <w:tabs>
          <w:tab w:val="num" w:pos="1431"/>
        </w:tabs>
        <w:ind w:left="1431" w:hanging="660"/>
      </w:pPr>
      <w:rPr>
        <w:rFonts w:cs="Times New Roman" w:hint="default"/>
      </w:rPr>
    </w:lvl>
    <w:lvl w:ilvl="2">
      <w:start w:val="1"/>
      <w:numFmt w:val="decimal"/>
      <w:lvlText w:val="%1.%2.%3"/>
      <w:lvlJc w:val="left"/>
      <w:pPr>
        <w:tabs>
          <w:tab w:val="num" w:pos="2262"/>
        </w:tabs>
        <w:ind w:left="2262" w:hanging="720"/>
      </w:pPr>
      <w:rPr>
        <w:rFonts w:cs="Times New Roman" w:hint="default"/>
      </w:rPr>
    </w:lvl>
    <w:lvl w:ilvl="3">
      <w:start w:val="1"/>
      <w:numFmt w:val="decimal"/>
      <w:lvlText w:val="%1.%2.%3.%4"/>
      <w:lvlJc w:val="left"/>
      <w:pPr>
        <w:tabs>
          <w:tab w:val="num" w:pos="3033"/>
        </w:tabs>
        <w:ind w:left="3033" w:hanging="720"/>
      </w:pPr>
      <w:rPr>
        <w:rFonts w:cs="Times New Roman" w:hint="default"/>
      </w:rPr>
    </w:lvl>
    <w:lvl w:ilvl="4">
      <w:start w:val="1"/>
      <w:numFmt w:val="decimal"/>
      <w:lvlText w:val="%1.%2.%3.%4.%5"/>
      <w:lvlJc w:val="left"/>
      <w:pPr>
        <w:tabs>
          <w:tab w:val="num" w:pos="4164"/>
        </w:tabs>
        <w:ind w:left="4164" w:hanging="1080"/>
      </w:pPr>
      <w:rPr>
        <w:rFonts w:cs="Times New Roman" w:hint="default"/>
      </w:rPr>
    </w:lvl>
    <w:lvl w:ilvl="5">
      <w:start w:val="1"/>
      <w:numFmt w:val="decimal"/>
      <w:lvlText w:val="%1.%2.%3.%4.%5.%6"/>
      <w:lvlJc w:val="left"/>
      <w:pPr>
        <w:tabs>
          <w:tab w:val="num" w:pos="4935"/>
        </w:tabs>
        <w:ind w:left="4935" w:hanging="1080"/>
      </w:pPr>
      <w:rPr>
        <w:rFonts w:cs="Times New Roman" w:hint="default"/>
      </w:rPr>
    </w:lvl>
    <w:lvl w:ilvl="6">
      <w:start w:val="1"/>
      <w:numFmt w:val="decimal"/>
      <w:lvlText w:val="%1.%2.%3.%4.%5.%6.%7"/>
      <w:lvlJc w:val="left"/>
      <w:pPr>
        <w:tabs>
          <w:tab w:val="num" w:pos="6066"/>
        </w:tabs>
        <w:ind w:left="6066" w:hanging="1440"/>
      </w:pPr>
      <w:rPr>
        <w:rFonts w:cs="Times New Roman" w:hint="default"/>
      </w:rPr>
    </w:lvl>
    <w:lvl w:ilvl="7">
      <w:start w:val="1"/>
      <w:numFmt w:val="decimal"/>
      <w:lvlText w:val="%1.%2.%3.%4.%5.%6.%7.%8"/>
      <w:lvlJc w:val="left"/>
      <w:pPr>
        <w:tabs>
          <w:tab w:val="num" w:pos="6837"/>
        </w:tabs>
        <w:ind w:left="6837" w:hanging="1440"/>
      </w:pPr>
      <w:rPr>
        <w:rFonts w:cs="Times New Roman" w:hint="default"/>
      </w:rPr>
    </w:lvl>
    <w:lvl w:ilvl="8">
      <w:start w:val="1"/>
      <w:numFmt w:val="decimal"/>
      <w:lvlText w:val="%1.%2.%3.%4.%5.%6.%7.%8.%9"/>
      <w:lvlJc w:val="left"/>
      <w:pPr>
        <w:tabs>
          <w:tab w:val="num" w:pos="7608"/>
        </w:tabs>
        <w:ind w:left="7608" w:hanging="1440"/>
      </w:pPr>
      <w:rPr>
        <w:rFonts w:cs="Times New Roman" w:hint="default"/>
      </w:rPr>
    </w:lvl>
  </w:abstractNum>
  <w:num w:numId="1">
    <w:abstractNumId w:val="8"/>
  </w:num>
  <w:num w:numId="2">
    <w:abstractNumId w:val="7"/>
  </w:num>
  <w:num w:numId="3">
    <w:abstractNumId w:val="5"/>
  </w:num>
  <w:num w:numId="4">
    <w:abstractNumId w:val="10"/>
  </w:num>
  <w:num w:numId="5">
    <w:abstractNumId w:val="11"/>
  </w:num>
  <w:num w:numId="6">
    <w:abstractNumId w:val="13"/>
  </w:num>
  <w:num w:numId="7">
    <w:abstractNumId w:val="17"/>
  </w:num>
  <w:num w:numId="8">
    <w:abstractNumId w:val="12"/>
  </w:num>
  <w:num w:numId="9">
    <w:abstractNumId w:val="1"/>
  </w:num>
  <w:num w:numId="10">
    <w:abstractNumId w:val="5"/>
  </w:num>
  <w:num w:numId="11">
    <w:abstractNumId w:val="16"/>
  </w:num>
  <w:num w:numId="12">
    <w:abstractNumId w:val="13"/>
  </w:num>
  <w:num w:numId="13">
    <w:abstractNumId w:val="15"/>
  </w:num>
  <w:num w:numId="14">
    <w:abstractNumId w:val="7"/>
  </w:num>
  <w:num w:numId="15">
    <w:abstractNumId w:val="13"/>
  </w:num>
  <w:num w:numId="16">
    <w:abstractNumId w:val="11"/>
  </w:num>
  <w:num w:numId="17">
    <w:abstractNumId w:val="8"/>
  </w:num>
  <w:num w:numId="18">
    <w:abstractNumId w:val="18"/>
  </w:num>
  <w:num w:numId="19">
    <w:abstractNumId w:val="9"/>
  </w:num>
  <w:num w:numId="20">
    <w:abstractNumId w:val="13"/>
  </w:num>
  <w:num w:numId="21">
    <w:abstractNumId w:val="13"/>
  </w:num>
  <w:num w:numId="22">
    <w:abstractNumId w:val="13"/>
  </w:num>
  <w:num w:numId="23">
    <w:abstractNumId w:val="13"/>
  </w:num>
  <w:num w:numId="24">
    <w:abstractNumId w:val="0"/>
  </w:num>
  <w:num w:numId="25">
    <w:abstractNumId w:val="2"/>
  </w:num>
  <w:num w:numId="26">
    <w:abstractNumId w:val="6"/>
  </w:num>
  <w:num w:numId="27">
    <w:abstractNumId w:val="3"/>
  </w:num>
  <w:num w:numId="28">
    <w:abstractNumId w:val="14"/>
  </w:num>
  <w:num w:numId="29">
    <w:abstractNumId w:val="13"/>
  </w:num>
  <w:num w:numId="30">
    <w:abstractNumId w:val="13"/>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evenAndOddHeaders/>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68A"/>
    <w:rsid w:val="00062E12"/>
    <w:rsid w:val="000A5388"/>
    <w:rsid w:val="000B099A"/>
    <w:rsid w:val="000B42E0"/>
    <w:rsid w:val="001055C7"/>
    <w:rsid w:val="0014440A"/>
    <w:rsid w:val="0017652F"/>
    <w:rsid w:val="001A18D7"/>
    <w:rsid w:val="001A4969"/>
    <w:rsid w:val="001C6AF5"/>
    <w:rsid w:val="001D28F7"/>
    <w:rsid w:val="001E7F85"/>
    <w:rsid w:val="001F268A"/>
    <w:rsid w:val="001F65C2"/>
    <w:rsid w:val="00220173"/>
    <w:rsid w:val="00220462"/>
    <w:rsid w:val="002473F7"/>
    <w:rsid w:val="00281931"/>
    <w:rsid w:val="00284207"/>
    <w:rsid w:val="0029567E"/>
    <w:rsid w:val="002A3359"/>
    <w:rsid w:val="002B4AAD"/>
    <w:rsid w:val="00310066"/>
    <w:rsid w:val="003150CB"/>
    <w:rsid w:val="00362B19"/>
    <w:rsid w:val="0036593A"/>
    <w:rsid w:val="003A0887"/>
    <w:rsid w:val="003A57C0"/>
    <w:rsid w:val="003E6ED3"/>
    <w:rsid w:val="00403279"/>
    <w:rsid w:val="004148C8"/>
    <w:rsid w:val="00474EF8"/>
    <w:rsid w:val="00487367"/>
    <w:rsid w:val="00494C0D"/>
    <w:rsid w:val="00497336"/>
    <w:rsid w:val="004C4203"/>
    <w:rsid w:val="004D5D26"/>
    <w:rsid w:val="00502FC2"/>
    <w:rsid w:val="005160B9"/>
    <w:rsid w:val="00526DA7"/>
    <w:rsid w:val="005416C6"/>
    <w:rsid w:val="005465C3"/>
    <w:rsid w:val="00563F04"/>
    <w:rsid w:val="00595CF6"/>
    <w:rsid w:val="005B342E"/>
    <w:rsid w:val="005D02E8"/>
    <w:rsid w:val="005E4552"/>
    <w:rsid w:val="005E6475"/>
    <w:rsid w:val="00601E02"/>
    <w:rsid w:val="006154D2"/>
    <w:rsid w:val="006173B8"/>
    <w:rsid w:val="00660A89"/>
    <w:rsid w:val="00666863"/>
    <w:rsid w:val="00667E3B"/>
    <w:rsid w:val="00685EBE"/>
    <w:rsid w:val="006D67C0"/>
    <w:rsid w:val="006F0B8D"/>
    <w:rsid w:val="00720748"/>
    <w:rsid w:val="0079191A"/>
    <w:rsid w:val="007C5ADA"/>
    <w:rsid w:val="008027F1"/>
    <w:rsid w:val="00811302"/>
    <w:rsid w:val="00811778"/>
    <w:rsid w:val="00846267"/>
    <w:rsid w:val="00853EB8"/>
    <w:rsid w:val="008645B4"/>
    <w:rsid w:val="0086503B"/>
    <w:rsid w:val="00887F31"/>
    <w:rsid w:val="008A56B4"/>
    <w:rsid w:val="008B1503"/>
    <w:rsid w:val="008B689F"/>
    <w:rsid w:val="00924E62"/>
    <w:rsid w:val="00953C22"/>
    <w:rsid w:val="00955DEE"/>
    <w:rsid w:val="009658E0"/>
    <w:rsid w:val="009779CB"/>
    <w:rsid w:val="0098360A"/>
    <w:rsid w:val="009B7651"/>
    <w:rsid w:val="009D2834"/>
    <w:rsid w:val="00A05940"/>
    <w:rsid w:val="00A06782"/>
    <w:rsid w:val="00A17F8C"/>
    <w:rsid w:val="00A31CA6"/>
    <w:rsid w:val="00A43CB6"/>
    <w:rsid w:val="00A5550F"/>
    <w:rsid w:val="00A57DDC"/>
    <w:rsid w:val="00A61752"/>
    <w:rsid w:val="00AA4091"/>
    <w:rsid w:val="00AA694D"/>
    <w:rsid w:val="00AD53FC"/>
    <w:rsid w:val="00AF2F1D"/>
    <w:rsid w:val="00B042A2"/>
    <w:rsid w:val="00B0433D"/>
    <w:rsid w:val="00B22565"/>
    <w:rsid w:val="00B36CBF"/>
    <w:rsid w:val="00B92DD6"/>
    <w:rsid w:val="00BD5727"/>
    <w:rsid w:val="00BF0513"/>
    <w:rsid w:val="00C12149"/>
    <w:rsid w:val="00C161EB"/>
    <w:rsid w:val="00C27DB5"/>
    <w:rsid w:val="00C66174"/>
    <w:rsid w:val="00C731C5"/>
    <w:rsid w:val="00C73E01"/>
    <w:rsid w:val="00C7690F"/>
    <w:rsid w:val="00C86DDC"/>
    <w:rsid w:val="00C9504B"/>
    <w:rsid w:val="00CA1A7A"/>
    <w:rsid w:val="00CA47C3"/>
    <w:rsid w:val="00CC075D"/>
    <w:rsid w:val="00CC5CE1"/>
    <w:rsid w:val="00CC7B35"/>
    <w:rsid w:val="00CD3ED2"/>
    <w:rsid w:val="00D04D02"/>
    <w:rsid w:val="00D132C7"/>
    <w:rsid w:val="00D1353A"/>
    <w:rsid w:val="00D44135"/>
    <w:rsid w:val="00D82E38"/>
    <w:rsid w:val="00D90F93"/>
    <w:rsid w:val="00D91296"/>
    <w:rsid w:val="00DA044B"/>
    <w:rsid w:val="00DF7EF5"/>
    <w:rsid w:val="00E13B5C"/>
    <w:rsid w:val="00E33CA1"/>
    <w:rsid w:val="00E402B9"/>
    <w:rsid w:val="00E40630"/>
    <w:rsid w:val="00E43F23"/>
    <w:rsid w:val="00E7190C"/>
    <w:rsid w:val="00EA78DB"/>
    <w:rsid w:val="00EC13B2"/>
    <w:rsid w:val="00EE4356"/>
    <w:rsid w:val="00EF36C9"/>
    <w:rsid w:val="00F27144"/>
    <w:rsid w:val="00F5045B"/>
    <w:rsid w:val="00F63696"/>
    <w:rsid w:val="00F90E0F"/>
    <w:rsid w:val="00F92321"/>
    <w:rsid w:val="00FF196E"/>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http://schemas.microsoft.com/office/word/2003/wordmlurn:schemas-microsoft-com:office:smarttags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CA2065-4FA7-4C56-8F4F-56EB2E909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cs="Angsana New"/>
      <w:sz w:val="22"/>
      <w:szCs w:val="24"/>
      <w:lang w:val="en-GB"/>
    </w:rPr>
  </w:style>
  <w:style w:type="paragraph" w:styleId="Heading1">
    <w:name w:val="heading 1"/>
    <w:basedOn w:val="Normal"/>
    <w:next w:val="Heading2"/>
    <w:qFormat/>
    <w:pPr>
      <w:keepNext/>
      <w:tabs>
        <w:tab w:val="left" w:pos="720"/>
      </w:tabs>
      <w:spacing w:before="240" w:after="120"/>
      <w:jc w:val="center"/>
      <w:outlineLvl w:val="0"/>
    </w:pPr>
    <w:rPr>
      <w:b/>
      <w:caps/>
    </w:rPr>
  </w:style>
  <w:style w:type="paragraph" w:styleId="Heading2">
    <w:name w:val="heading 2"/>
    <w:basedOn w:val="Normal"/>
    <w:next w:val="Normal"/>
    <w:qFormat/>
    <w:pPr>
      <w:keepNext/>
      <w:tabs>
        <w:tab w:val="left" w:pos="720"/>
      </w:tabs>
      <w:spacing w:before="120" w:after="120"/>
      <w:jc w:val="center"/>
      <w:outlineLvl w:val="1"/>
    </w:pPr>
    <w:rPr>
      <w:b/>
      <w:bCs/>
      <w:i/>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eastAsia="Univers" w:cs="Arial"/>
      <w:b/>
      <w:bCs/>
      <w:i/>
      <w:iCs/>
    </w:rPr>
  </w:style>
  <w:style w:type="paragraph" w:styleId="Heading5">
    <w:name w:val="heading 5"/>
    <w:aliases w:val="Heading 5 - GTI"/>
    <w:basedOn w:val="Normal"/>
    <w:next w:val="Normal"/>
    <w:qFormat/>
    <w:pPr>
      <w:keepNext/>
      <w:numPr>
        <w:ilvl w:val="4"/>
        <w:numId w:val="10"/>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cs="Times New Roman"/>
      <w:sz w:val="16"/>
      <w:szCs w:val="16"/>
    </w:rPr>
  </w:style>
  <w:style w:type="character" w:customStyle="1" w:styleId="CharChar2">
    <w:name w:val="Char Char2"/>
    <w:semiHidden/>
    <w:locked/>
    <w:rPr>
      <w:rFonts w:ascii="Times New Roman" w:hAnsi="Times New Roman"/>
      <w:sz w:val="18"/>
    </w:rPr>
  </w:style>
  <w:style w:type="paragraph" w:styleId="BodyText">
    <w:name w:val="Body Text"/>
    <w:basedOn w:val="Normal"/>
    <w:pPr>
      <w:spacing w:before="120" w:after="120"/>
      <w:ind w:firstLine="720"/>
    </w:pPr>
    <w:rPr>
      <w:iCs/>
    </w:rPr>
  </w:style>
  <w:style w:type="paragraph" w:styleId="Footer">
    <w:name w:val="footer"/>
    <w:basedOn w:val="Normal"/>
    <w:pPr>
      <w:tabs>
        <w:tab w:val="center" w:pos="4320"/>
        <w:tab w:val="right" w:pos="8640"/>
      </w:tabs>
      <w:ind w:firstLine="720"/>
      <w:jc w:val="right"/>
    </w:pPr>
  </w:style>
  <w:style w:type="paragraph" w:customStyle="1" w:styleId="Para1">
    <w:name w:val="Para1"/>
    <w:basedOn w:val="Normal"/>
    <w:pPr>
      <w:numPr>
        <w:numId w:val="15"/>
      </w:numPr>
      <w:spacing w:after="120"/>
    </w:pPr>
    <w:rPr>
      <w:snapToGrid w:val="0"/>
      <w:szCs w:val="18"/>
    </w:rPr>
  </w:style>
  <w:style w:type="paragraph" w:customStyle="1" w:styleId="Para20">
    <w:name w:val="Para2"/>
    <w:basedOn w:val="Para1"/>
    <w:pPr>
      <w:numPr>
        <w:numId w:val="0"/>
      </w:numPr>
      <w:autoSpaceDE w:val="0"/>
      <w:autoSpaceDN w:val="0"/>
    </w:pPr>
  </w:style>
  <w:style w:type="paragraph" w:customStyle="1" w:styleId="Para3">
    <w:name w:val="Para3"/>
    <w:basedOn w:val="Normal"/>
    <w:pPr>
      <w:numPr>
        <w:ilvl w:val="2"/>
        <w:numId w:val="15"/>
      </w:numPr>
      <w:tabs>
        <w:tab w:val="left" w:pos="1980"/>
      </w:tabs>
      <w:spacing w:before="80" w:after="80"/>
    </w:pPr>
    <w:rPr>
      <w:szCs w:val="20"/>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pPr>
      <w:keepLines/>
      <w:spacing w:after="60"/>
      <w:ind w:firstLine="720"/>
    </w:pPr>
    <w:rPr>
      <w:rFonts w:cs="Times New Roman"/>
      <w:sz w:val="18"/>
      <w:lang w:eastAsia="x-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Pr>
      <w:rFonts w:cs="Times New Roman"/>
      <w:sz w:val="18"/>
      <w:u w:val="single"/>
      <w:vertAlign w:val="baseline"/>
    </w:rPr>
  </w:style>
  <w:style w:type="paragraph" w:customStyle="1" w:styleId="Cornernotation">
    <w:name w:val="Corner notation"/>
    <w:basedOn w:val="Normal"/>
    <w:pPr>
      <w:ind w:left="284" w:right="4398" w:hanging="284"/>
      <w:jc w:val="left"/>
    </w:pPr>
  </w:style>
  <w:style w:type="paragraph" w:customStyle="1" w:styleId="para2">
    <w:name w:val="para2"/>
    <w:basedOn w:val="Normal"/>
    <w:pPr>
      <w:numPr>
        <w:numId w:val="14"/>
      </w:numPr>
      <w:spacing w:before="120" w:after="120"/>
    </w:pPr>
    <w:rPr>
      <w:szCs w:val="20"/>
    </w:rPr>
  </w:style>
  <w:style w:type="paragraph" w:customStyle="1" w:styleId="Paranum">
    <w:name w:val="Paranum"/>
    <w:basedOn w:val="Para1"/>
    <w:pPr>
      <w:numPr>
        <w:numId w:val="17"/>
      </w:numPr>
      <w:spacing w:line="240" w:lineRule="exact"/>
    </w:pPr>
    <w:rPr>
      <w:snapToGrid/>
      <w:szCs w:val="20"/>
      <w:lang w:val="en-US"/>
    </w:rPr>
  </w:style>
  <w:style w:type="paragraph" w:styleId="EndnoteText">
    <w:name w:val="endnote text"/>
    <w:basedOn w:val="Normal"/>
    <w:semiHidden/>
    <w:pPr>
      <w:widowControl w:val="0"/>
      <w:tabs>
        <w:tab w:val="left" w:pos="-720"/>
      </w:tabs>
      <w:suppressAutoHyphens/>
    </w:pPr>
    <w:rPr>
      <w:rFonts w:ascii="Courier New" w:hAnsi="Courier New"/>
    </w:rPr>
  </w:style>
  <w:style w:type="character" w:styleId="EndnoteReference">
    <w:name w:val="endnote reference"/>
    <w:semiHidden/>
    <w:locked/>
    <w:rPr>
      <w:rFonts w:cs="Times New Roman"/>
      <w:vertAlign w:val="superscript"/>
    </w:rPr>
  </w:style>
  <w:style w:type="character" w:styleId="PageNumber">
    <w:name w:val="page number"/>
    <w:rPr>
      <w:rFonts w:ascii="Times New Roman" w:hAnsi="Times New Roman" w:cs="Times New Roman"/>
      <w:sz w:val="22"/>
    </w:rPr>
  </w:style>
  <w:style w:type="paragraph" w:customStyle="1" w:styleId="para4">
    <w:name w:val="para4"/>
    <w:basedOn w:val="Normal"/>
    <w:pPr>
      <w:numPr>
        <w:ilvl w:val="3"/>
        <w:numId w:val="16"/>
      </w:numPr>
      <w:overflowPunct w:val="0"/>
      <w:autoSpaceDE w:val="0"/>
      <w:autoSpaceDN w:val="0"/>
      <w:adjustRightInd w:val="0"/>
      <w:spacing w:after="120" w:line="240" w:lineRule="atLeast"/>
      <w:textAlignment w:val="baseline"/>
    </w:pPr>
    <w:rPr>
      <w:color w:val="000000"/>
      <w:sz w:val="20"/>
      <w:szCs w:val="20"/>
    </w:r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Normal"/>
    <w:pPr>
      <w:spacing w:before="120"/>
      <w:ind w:left="1843" w:right="998" w:hanging="567"/>
      <w:jc w:val="left"/>
    </w:pPr>
    <w:rPr>
      <w:i/>
      <w:iCs/>
      <w:caps w:val="0"/>
    </w:rPr>
  </w:style>
  <w:style w:type="paragraph" w:customStyle="1" w:styleId="Heading3multiline">
    <w:name w:val="Heading 3 (multiline)"/>
    <w:basedOn w:val="Heading3"/>
    <w:next w:val="Normal"/>
    <w:pPr>
      <w:ind w:left="1418" w:hanging="425"/>
      <w:jc w:val="left"/>
    </w:pPr>
  </w:style>
  <w:style w:type="paragraph" w:customStyle="1" w:styleId="Heading2longmultiline">
    <w:name w:val="Heading 2 (long multiline)"/>
    <w:basedOn w:val="Heading2multiline"/>
    <w:pPr>
      <w:ind w:left="2127" w:hanging="1276"/>
    </w:pPr>
  </w:style>
  <w:style w:type="paragraph" w:customStyle="1" w:styleId="Heading1longmultiline">
    <w:name w:val="Heading 1 (long multiline)"/>
    <w:basedOn w:val="Heading1"/>
    <w:pPr>
      <w:ind w:left="1843" w:hanging="1134"/>
      <w:jc w:val="left"/>
    </w:pPr>
  </w:style>
  <w:style w:type="paragraph" w:styleId="BodyTextIndent">
    <w:name w:val="Body Text Indent"/>
    <w:basedOn w:val="Normal"/>
    <w:pPr>
      <w:spacing w:before="120" w:after="120"/>
      <w:ind w:left="1440" w:hanging="720"/>
      <w:jc w:val="left"/>
    </w:pPr>
  </w:style>
  <w:style w:type="paragraph" w:customStyle="1" w:styleId="Heading-plainbold">
    <w:name w:val="Heading-plain bold"/>
    <w:basedOn w:val="BodyText"/>
    <w:pPr>
      <w:ind w:firstLine="0"/>
      <w:jc w:val="center"/>
    </w:pPr>
    <w:rPr>
      <w:b/>
      <w:bCs/>
      <w:i/>
      <w:iCs w:val="0"/>
    </w:rPr>
  </w:style>
  <w:style w:type="paragraph" w:customStyle="1" w:styleId="Heading-plainitalic">
    <w:name w:val="Heading-plain italic"/>
    <w:basedOn w:val="Heading-plainbold"/>
    <w:rPr>
      <w:b w:val="0"/>
      <w:bCs w:val="0"/>
    </w:rPr>
  </w:style>
  <w:style w:type="paragraph" w:styleId="TOC1">
    <w:name w:val="toc 1"/>
    <w:basedOn w:val="Normal"/>
    <w:next w:val="Normal"/>
    <w:autoRedefine/>
    <w:semiHidden/>
    <w:pPr>
      <w:tabs>
        <w:tab w:val="left" w:pos="1440"/>
        <w:tab w:val="right" w:leader="dot" w:pos="9360"/>
      </w:tabs>
      <w:spacing w:after="120"/>
      <w:ind w:left="1440" w:right="540" w:hanging="1440"/>
      <w:jc w:val="left"/>
    </w:pPr>
    <w:rPr>
      <w:noProof/>
      <w:szCs w:val="22"/>
      <w:lang w:val="en-US"/>
    </w:rPr>
  </w:style>
  <w:style w:type="paragraph" w:styleId="TOC2">
    <w:name w:val="toc 2"/>
    <w:basedOn w:val="Normal"/>
    <w:next w:val="Normal"/>
    <w:autoRedefine/>
    <w:semiHidden/>
    <w:pPr>
      <w:tabs>
        <w:tab w:val="left" w:pos="2700"/>
        <w:tab w:val="right" w:leader="dot" w:pos="9360"/>
      </w:tabs>
      <w:ind w:left="2160" w:right="720" w:hanging="1260"/>
    </w:pPr>
    <w:rPr>
      <w:noProof/>
      <w:szCs w:val="22"/>
      <w:lang w:val="en-US"/>
    </w:rPr>
  </w:style>
  <w:style w:type="paragraph" w:styleId="TOC3">
    <w:name w:val="toc 3"/>
    <w:basedOn w:val="Normal"/>
    <w:next w:val="Normal"/>
    <w:autoRedefine/>
    <w:semiHidden/>
    <w:pPr>
      <w:ind w:left="2160" w:hanging="720"/>
    </w:pPr>
  </w:style>
  <w:style w:type="paragraph" w:styleId="Header">
    <w:name w:val="header"/>
    <w:basedOn w:val="Normal"/>
    <w:link w:val="HeaderChar"/>
    <w:uiPriority w:val="99"/>
    <w:pPr>
      <w:tabs>
        <w:tab w:val="center" w:pos="4320"/>
        <w:tab w:val="right" w:pos="8640"/>
      </w:tabs>
    </w:pPr>
    <w:rPr>
      <w:rFonts w:cs="Times New Roman"/>
      <w:lang w:eastAsia="x-none"/>
    </w:rPr>
  </w:style>
  <w:style w:type="paragraph" w:customStyle="1" w:styleId="HEADINGNOTFORTOC">
    <w:name w:val="HEADING (NOT FOR TOC)"/>
    <w:basedOn w:val="Heading1"/>
    <w:next w:val="Heading2"/>
  </w:style>
  <w:style w:type="character" w:customStyle="1" w:styleId="Document5">
    <w:name w:val="Document 5"/>
    <w:rPr>
      <w:rFonts w:cs="Times New Roman"/>
    </w:rPr>
  </w:style>
  <w:style w:type="paragraph" w:customStyle="1" w:styleId="Paragraph">
    <w:name w:val="Paragraph"/>
    <w:basedOn w:val="Normal"/>
    <w:pPr>
      <w:spacing w:before="120" w:after="120"/>
    </w:pPr>
  </w:style>
  <w:style w:type="character" w:styleId="Hyperlink">
    <w:name w:val="Hyperlink"/>
    <w:rPr>
      <w:rFonts w:cs="Times New Roman"/>
      <w:color w:val="0000FF"/>
      <w:u w:val="single"/>
    </w:rPr>
  </w:style>
  <w:style w:type="paragraph" w:styleId="BodyTextIndent2">
    <w:name w:val="Body Text Indent 2"/>
    <w:basedOn w:val="Normal"/>
    <w:pPr>
      <w:ind w:firstLine="720"/>
    </w:pPr>
  </w:style>
  <w:style w:type="paragraph" w:customStyle="1" w:styleId="bodytextnoindent">
    <w:name w:val="body text (no indent)"/>
    <w:basedOn w:val="Normal"/>
    <w:pPr>
      <w:widowControl w:val="0"/>
      <w:overflowPunct w:val="0"/>
      <w:autoSpaceDE w:val="0"/>
      <w:autoSpaceDN w:val="0"/>
      <w:adjustRightInd w:val="0"/>
      <w:spacing w:before="120" w:after="120"/>
      <w:textAlignment w:val="baseline"/>
    </w:pPr>
    <w:rPr>
      <w:szCs w:val="20"/>
    </w:rPr>
  </w:style>
  <w:style w:type="paragraph" w:styleId="BodyText2">
    <w:name w:val="Body Text 2"/>
    <w:basedOn w:val="Normal"/>
    <w:rPr>
      <w:i/>
      <w:iCs/>
    </w:rPr>
  </w:style>
  <w:style w:type="paragraph" w:styleId="BodyText3">
    <w:name w:val="Body Text 3"/>
    <w:basedOn w:val="Normal"/>
    <w:pPr>
      <w:jc w:val="center"/>
    </w:pPr>
    <w:rPr>
      <w:sz w:val="28"/>
    </w:rPr>
  </w:style>
  <w:style w:type="character" w:customStyle="1" w:styleId="BodyTextChar">
    <w:name w:val="Body Text Char"/>
    <w:rPr>
      <w:sz w:val="24"/>
      <w:lang w:val="en-GB"/>
    </w:rPr>
  </w:style>
  <w:style w:type="paragraph" w:customStyle="1" w:styleId="Bodytextitalic">
    <w:name w:val="Body text italic"/>
    <w:basedOn w:val="BodyText"/>
    <w:rPr>
      <w:i/>
      <w:iCs w:val="0"/>
    </w:rPr>
  </w:style>
  <w:style w:type="paragraph" w:customStyle="1" w:styleId="boxbody">
    <w:name w:val="boxbody"/>
    <w:basedOn w:val="Normal"/>
    <w:pPr>
      <w:spacing w:before="100" w:beforeAutospacing="1" w:after="100" w:afterAutospacing="1"/>
      <w:ind w:left="612" w:right="612"/>
    </w:pPr>
    <w:rPr>
      <w:rFonts w:eastAsia="Univers" w:cs="Times New Roman"/>
      <w:sz w:val="18"/>
      <w:szCs w:val="18"/>
    </w:rPr>
  </w:style>
  <w:style w:type="character" w:styleId="FollowedHyperlink">
    <w:name w:val="FollowedHyperlink"/>
    <w:rPr>
      <w:rFonts w:cs="Times New Roman"/>
      <w:color w:val="800080"/>
      <w:u w:val="single"/>
    </w:rPr>
  </w:style>
  <w:style w:type="paragraph" w:customStyle="1" w:styleId="HEADING">
    <w:name w:val="HEADING"/>
    <w:basedOn w:val="Normal"/>
    <w:pPr>
      <w:keepNext/>
      <w:tabs>
        <w:tab w:val="left" w:pos="426"/>
      </w:tabs>
      <w:spacing w:before="120" w:after="120"/>
      <w:jc w:val="center"/>
    </w:pPr>
    <w:rPr>
      <w:rFonts w:cs="Times New Roman"/>
      <w:b/>
      <w:bCs/>
      <w:caps/>
    </w:rPr>
  </w:style>
  <w:style w:type="paragraph" w:customStyle="1" w:styleId="Heading-plain">
    <w:name w:val="Heading - plain"/>
    <w:basedOn w:val="Heading2"/>
    <w:next w:val="BodyText"/>
    <w:pPr>
      <w:tabs>
        <w:tab w:val="clear" w:pos="720"/>
        <w:tab w:val="left" w:pos="900"/>
      </w:tabs>
    </w:pPr>
    <w:rPr>
      <w:rFonts w:eastAsia="Univers" w:cs="Times New Roman"/>
      <w:b w:val="0"/>
      <w:bCs w:val="0"/>
      <w:szCs w:val="20"/>
    </w:rPr>
  </w:style>
  <w:style w:type="paragraph" w:customStyle="1" w:styleId="Heading2noletter">
    <w:name w:val="Heading 2 (no letter)"/>
    <w:basedOn w:val="Heading2"/>
    <w:pPr>
      <w:tabs>
        <w:tab w:val="clear" w:pos="720"/>
      </w:tabs>
    </w:pPr>
    <w:rPr>
      <w:rFonts w:cs="Times New Roman"/>
    </w:rPr>
  </w:style>
  <w:style w:type="character" w:customStyle="1" w:styleId="Heading2CharChar">
    <w:name w:val="Heading 2 Char Char"/>
    <w:rPr>
      <w:rFonts w:ascii="Arial" w:hAnsi="Arial"/>
      <w:b/>
      <w:i/>
      <w:sz w:val="28"/>
      <w:lang w:val="en-US"/>
    </w:rPr>
  </w:style>
  <w:style w:type="paragraph" w:customStyle="1" w:styleId="Heading-plain0">
    <w:name w:val="Heading-plain"/>
    <w:basedOn w:val="Normal"/>
    <w:pPr>
      <w:spacing w:before="120" w:after="120"/>
      <w:jc w:val="center"/>
      <w:outlineLvl w:val="0"/>
    </w:pPr>
    <w:rPr>
      <w:i/>
      <w:szCs w:val="20"/>
    </w:rPr>
  </w:style>
  <w:style w:type="paragraph" w:styleId="NormalWeb">
    <w:name w:val="Normal (Web)"/>
    <w:basedOn w:val="Normal"/>
    <w:uiPriority w:val="99"/>
    <w:pPr>
      <w:spacing w:before="100" w:beforeAutospacing="1" w:after="100" w:afterAutospacing="1"/>
      <w:jc w:val="left"/>
    </w:pPr>
    <w:rPr>
      <w:color w:val="000000"/>
      <w:sz w:val="18"/>
      <w:szCs w:val="18"/>
      <w:lang w:val="en-US"/>
    </w:rPr>
  </w:style>
  <w:style w:type="paragraph" w:customStyle="1" w:styleId="Para10">
    <w:name w:val="Para 1"/>
    <w:basedOn w:val="BodyText"/>
    <w:pPr>
      <w:ind w:firstLine="0"/>
    </w:pPr>
    <w:rPr>
      <w:rFonts w:eastAsia="Univers"/>
      <w:bCs/>
      <w:iCs w:val="0"/>
      <w:szCs w:val="22"/>
    </w:rPr>
  </w:style>
  <w:style w:type="character" w:customStyle="1" w:styleId="Para1Char">
    <w:name w:val="Para 1 Char"/>
    <w:rPr>
      <w:rFonts w:eastAsia="Times New Roman"/>
      <w:sz w:val="22"/>
      <w:lang w:val="en-GB"/>
    </w:rPr>
  </w:style>
  <w:style w:type="paragraph" w:customStyle="1" w:styleId="Para2rev">
    <w:name w:val="Para 2 (rev)"/>
    <w:basedOn w:val="Normal"/>
    <w:pPr>
      <w:tabs>
        <w:tab w:val="num" w:pos="720"/>
      </w:tabs>
      <w:spacing w:after="120"/>
      <w:ind w:left="720" w:hanging="360"/>
    </w:pPr>
  </w:style>
  <w:style w:type="paragraph" w:customStyle="1" w:styleId="Paraofficial">
    <w:name w:val="Para official"/>
    <w:basedOn w:val="Normal"/>
    <w:pPr>
      <w:framePr w:hSpace="187" w:vSpace="187" w:wrap="notBeside" w:vAnchor="text" w:hAnchor="text" w:y="1"/>
      <w:numPr>
        <w:numId w:val="11"/>
      </w:numPr>
      <w:spacing w:before="240" w:after="240"/>
      <w:jc w:val="left"/>
    </w:pPr>
    <w:rPr>
      <w:szCs w:val="20"/>
    </w:rPr>
  </w:style>
  <w:style w:type="paragraph" w:customStyle="1" w:styleId="Para1Char0">
    <w:name w:val="Para1 Char"/>
    <w:basedOn w:val="Normal"/>
    <w:pPr>
      <w:tabs>
        <w:tab w:val="num" w:pos="720"/>
      </w:tabs>
      <w:spacing w:before="120" w:after="120"/>
      <w:ind w:left="360"/>
    </w:pPr>
    <w:rPr>
      <w:snapToGrid w:val="0"/>
      <w:szCs w:val="18"/>
    </w:rPr>
  </w:style>
  <w:style w:type="paragraph" w:customStyle="1" w:styleId="Para1-Annex">
    <w:name w:val="Para1-Annex"/>
    <w:basedOn w:val="Normal"/>
    <w:pPr>
      <w:numPr>
        <w:numId w:val="13"/>
      </w:numPr>
      <w:spacing w:after="120"/>
    </w:pPr>
    <w:rPr>
      <w:rFonts w:cs="Times New Roman"/>
      <w:szCs w:val="22"/>
      <w:lang w:val="en-US"/>
    </w:rPr>
  </w:style>
  <w:style w:type="paragraph" w:customStyle="1" w:styleId="Para40">
    <w:name w:val="Para4"/>
    <w:basedOn w:val="Para3"/>
    <w:pPr>
      <w:numPr>
        <w:ilvl w:val="0"/>
        <w:numId w:val="0"/>
      </w:numPr>
      <w:tabs>
        <w:tab w:val="clear" w:pos="1980"/>
        <w:tab w:val="left" w:pos="2552"/>
        <w:tab w:val="num" w:pos="3540"/>
      </w:tabs>
      <w:ind w:left="2552" w:hanging="567"/>
    </w:pPr>
    <w:rPr>
      <w:lang w:val="en-US"/>
    </w:rPr>
  </w:style>
  <w:style w:type="character" w:styleId="Strong">
    <w:name w:val="Strong"/>
    <w:qFormat/>
    <w:rPr>
      <w:rFonts w:cs="Times New Roman"/>
      <w:b/>
    </w:rPr>
  </w:style>
  <w:style w:type="paragraph" w:customStyle="1" w:styleId="StyleBodyTextTimesNewRoman11ptCharChar">
    <w:name w:val="Style Body Text + Times New Roman 11 pt Char Char"/>
    <w:basedOn w:val="BodyText"/>
    <w:rPr>
      <w:iCs w:val="0"/>
      <w:snapToGrid w:val="0"/>
      <w:color w:val="000000"/>
      <w:szCs w:val="22"/>
      <w:lang w:val="en-US"/>
    </w:rPr>
  </w:style>
  <w:style w:type="character" w:customStyle="1" w:styleId="StyleBodyTextTimesNewRoman11ptCharCharChar">
    <w:name w:val="Style Body Text + Times New Roman 11 pt Char Char Char"/>
    <w:rPr>
      <w:snapToGrid w:val="0"/>
      <w:color w:val="000000"/>
      <w:sz w:val="22"/>
      <w:lang w:val="en-US"/>
    </w:rPr>
  </w:style>
  <w:style w:type="paragraph" w:customStyle="1" w:styleId="StylePara1Firstline127cm">
    <w:name w:val="Style Para1 + First line:  1.27 cm"/>
    <w:basedOn w:val="Para1"/>
    <w:pPr>
      <w:numPr>
        <w:numId w:val="0"/>
      </w:numPr>
      <w:tabs>
        <w:tab w:val="num" w:pos="360"/>
      </w:tabs>
    </w:pPr>
    <w:rPr>
      <w:szCs w:val="20"/>
    </w:rPr>
  </w:style>
  <w:style w:type="paragraph" w:styleId="Title">
    <w:name w:val="Title"/>
    <w:basedOn w:val="Normal"/>
    <w:qFormat/>
    <w:pPr>
      <w:jc w:val="center"/>
    </w:pPr>
    <w:rPr>
      <w:i/>
      <w:iCs/>
    </w:rPr>
  </w:style>
  <w:style w:type="paragraph" w:styleId="TOC5">
    <w:name w:val="toc 5"/>
    <w:basedOn w:val="Normal"/>
    <w:next w:val="Normal"/>
    <w:autoRedefine/>
    <w:semiHidden/>
    <w:pPr>
      <w:ind w:left="880"/>
    </w:pPr>
  </w:style>
  <w:style w:type="character" w:styleId="CommentReference">
    <w:name w:val="annotation reference"/>
    <w:rPr>
      <w:rFonts w:cs="Times New Roman"/>
      <w:sz w:val="16"/>
    </w:rPr>
  </w:style>
  <w:style w:type="paragraph" w:styleId="CommentText">
    <w:name w:val="annotation text"/>
    <w:basedOn w:val="Normal"/>
    <w:rPr>
      <w:rFonts w:cs="Times New Roman"/>
      <w:sz w:val="20"/>
      <w:szCs w:val="20"/>
    </w:rPr>
  </w:style>
  <w:style w:type="character" w:customStyle="1" w:styleId="CharChar1">
    <w:name w:val="Char Char1"/>
    <w:locked/>
    <w:rPr>
      <w:lang w:val="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rPr>
      <w:rFonts w:cs="Angsana New"/>
      <w:b/>
      <w:bCs/>
    </w:rPr>
  </w:style>
  <w:style w:type="character" w:customStyle="1" w:styleId="CharChar">
    <w:name w:val="Char Char"/>
    <w:locked/>
    <w:rPr>
      <w:b/>
      <w:lang w:val="en-GB"/>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customStyle="1" w:styleId="HeaderChar">
    <w:name w:val="Header Char"/>
    <w:link w:val="Header"/>
    <w:uiPriority w:val="99"/>
    <w:rsid w:val="00660A89"/>
    <w:rPr>
      <w:rFonts w:cs="Angsana New"/>
      <w:sz w:val="22"/>
      <w:szCs w:val="24"/>
      <w:lang w:val="en-GB"/>
    </w:rPr>
  </w:style>
  <w:style w:type="paragraph" w:customStyle="1" w:styleId="Paraa">
    <w:name w:val="Para (a)"/>
    <w:basedOn w:val="Normal"/>
    <w:rsid w:val="005E6475"/>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lang w:eastAsia="en-US"/>
    </w:rPr>
  </w:style>
  <w:style w:type="character" w:customStyle="1" w:styleId="shorttext">
    <w:name w:val="short_text"/>
    <w:rsid w:val="005E4552"/>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rsid w:val="005E4552"/>
    <w:rPr>
      <w:rFonts w:cs="Angsana New"/>
      <w:sz w:val="18"/>
      <w:szCs w:val="24"/>
      <w:lang w:val="en-GB"/>
    </w:rPr>
  </w:style>
  <w:style w:type="character" w:customStyle="1" w:styleId="shorttext0">
    <w:name w:val="shorttext"/>
    <w:basedOn w:val="DefaultParagraphFont"/>
    <w:rsid w:val="009B7651"/>
  </w:style>
  <w:style w:type="character" w:customStyle="1" w:styleId="shorttext1">
    <w:name w:val="short_text1"/>
    <w:rsid w:val="009B7651"/>
    <w:rPr>
      <w:sz w:val="23"/>
      <w:szCs w:val="23"/>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B0433D"/>
    <w:pPr>
      <w:spacing w:after="160" w:line="240" w:lineRule="exact"/>
    </w:pPr>
    <w:rPr>
      <w:rFonts w:cs="Times New Roman"/>
      <w:sz w:val="18"/>
      <w:szCs w:val="20"/>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150"/>
                                                              <w:marTop w:val="0"/>
                                                              <w:marBottom w:val="15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150"/>
                                                              <w:marTop w:val="0"/>
                                                              <w:marBottom w:val="15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39136042">
      <w:bodyDiv w:val="1"/>
      <w:marLeft w:val="0"/>
      <w:marRight w:val="0"/>
      <w:marTop w:val="0"/>
      <w:marBottom w:val="0"/>
      <w:divBdr>
        <w:top w:val="none" w:sz="0" w:space="0" w:color="auto"/>
        <w:left w:val="none" w:sz="0" w:space="0" w:color="auto"/>
        <w:bottom w:val="none" w:sz="0" w:space="0" w:color="auto"/>
        <w:right w:val="none" w:sz="0" w:space="0" w:color="auto"/>
      </w:divBdr>
      <w:divsChild>
        <w:div w:id="1838376493">
          <w:marLeft w:val="0"/>
          <w:marRight w:val="0"/>
          <w:marTop w:val="50"/>
          <w:marBottom w:val="0"/>
          <w:divBdr>
            <w:top w:val="none" w:sz="0" w:space="0" w:color="auto"/>
            <w:left w:val="none" w:sz="0" w:space="0" w:color="auto"/>
            <w:bottom w:val="none" w:sz="0" w:space="0" w:color="auto"/>
            <w:right w:val="none" w:sz="0" w:space="0" w:color="auto"/>
          </w:divBdr>
        </w:div>
        <w:div w:id="1879277250">
          <w:marLeft w:val="0"/>
          <w:marRight w:val="0"/>
          <w:marTop w:val="50"/>
          <w:marBottom w:val="0"/>
          <w:divBdr>
            <w:top w:val="none" w:sz="0" w:space="0" w:color="auto"/>
            <w:left w:val="none" w:sz="0" w:space="0" w:color="auto"/>
            <w:bottom w:val="none" w:sz="0" w:space="0" w:color="auto"/>
            <w:right w:val="none" w:sz="0" w:space="0" w:color="auto"/>
          </w:divBdr>
        </w:div>
      </w:divsChild>
    </w:div>
    <w:div w:id="904225146">
      <w:bodyDiv w:val="1"/>
      <w:marLeft w:val="0"/>
      <w:marRight w:val="0"/>
      <w:marTop w:val="0"/>
      <w:marBottom w:val="0"/>
      <w:divBdr>
        <w:top w:val="none" w:sz="0" w:space="0" w:color="auto"/>
        <w:left w:val="none" w:sz="0" w:space="0" w:color="auto"/>
        <w:bottom w:val="none" w:sz="0" w:space="0" w:color="auto"/>
        <w:right w:val="none" w:sz="0" w:space="0" w:color="auto"/>
      </w:divBdr>
      <w:divsChild>
        <w:div w:id="524757373">
          <w:marLeft w:val="0"/>
          <w:marRight w:val="0"/>
          <w:marTop w:val="50"/>
          <w:marBottom w:val="0"/>
          <w:divBdr>
            <w:top w:val="none" w:sz="0" w:space="0" w:color="auto"/>
            <w:left w:val="none" w:sz="0" w:space="0" w:color="auto"/>
            <w:bottom w:val="none" w:sz="0" w:space="0" w:color="auto"/>
            <w:right w:val="none" w:sz="0" w:space="0" w:color="auto"/>
          </w:divBdr>
        </w:div>
        <w:div w:id="1994601453">
          <w:marLeft w:val="0"/>
          <w:marRight w:val="0"/>
          <w:marTop w:val="50"/>
          <w:marBottom w:val="0"/>
          <w:divBdr>
            <w:top w:val="none" w:sz="0" w:space="0" w:color="auto"/>
            <w:left w:val="none" w:sz="0" w:space="0" w:color="auto"/>
            <w:bottom w:val="none" w:sz="0" w:space="0" w:color="auto"/>
            <w:right w:val="none" w:sz="0" w:space="0" w:color="auto"/>
          </w:divBdr>
        </w:div>
      </w:divsChild>
    </w:div>
    <w:div w:id="1013456821">
      <w:bodyDiv w:val="1"/>
      <w:marLeft w:val="0"/>
      <w:marRight w:val="0"/>
      <w:marTop w:val="0"/>
      <w:marBottom w:val="0"/>
      <w:divBdr>
        <w:top w:val="none" w:sz="0" w:space="0" w:color="auto"/>
        <w:left w:val="none" w:sz="0" w:space="0" w:color="auto"/>
        <w:bottom w:val="none" w:sz="0" w:space="0" w:color="auto"/>
        <w:right w:val="none" w:sz="0" w:space="0" w:color="auto"/>
      </w:divBdr>
      <w:divsChild>
        <w:div w:id="483740146">
          <w:marLeft w:val="0"/>
          <w:marRight w:val="0"/>
          <w:marTop w:val="50"/>
          <w:marBottom w:val="0"/>
          <w:divBdr>
            <w:top w:val="none" w:sz="0" w:space="0" w:color="auto"/>
            <w:left w:val="none" w:sz="0" w:space="0" w:color="auto"/>
            <w:bottom w:val="none" w:sz="0" w:space="0" w:color="auto"/>
            <w:right w:val="none" w:sz="0" w:space="0" w:color="auto"/>
          </w:divBdr>
        </w:div>
        <w:div w:id="777525219">
          <w:marLeft w:val="0"/>
          <w:marRight w:val="0"/>
          <w:marTop w:val="50"/>
          <w:marBottom w:val="0"/>
          <w:divBdr>
            <w:top w:val="none" w:sz="0" w:space="0" w:color="auto"/>
            <w:left w:val="none" w:sz="0" w:space="0" w:color="auto"/>
            <w:bottom w:val="none" w:sz="0" w:space="0" w:color="auto"/>
            <w:right w:val="none" w:sz="0" w:space="0" w:color="auto"/>
          </w:divBdr>
        </w:div>
        <w:div w:id="875197557">
          <w:marLeft w:val="0"/>
          <w:marRight w:val="0"/>
          <w:marTop w:val="50"/>
          <w:marBottom w:val="0"/>
          <w:divBdr>
            <w:top w:val="none" w:sz="0" w:space="0" w:color="auto"/>
            <w:left w:val="none" w:sz="0" w:space="0" w:color="auto"/>
            <w:bottom w:val="none" w:sz="0" w:space="0" w:color="auto"/>
            <w:right w:val="none" w:sz="0" w:space="0" w:color="auto"/>
          </w:divBdr>
        </w:div>
        <w:div w:id="1047097377">
          <w:marLeft w:val="0"/>
          <w:marRight w:val="0"/>
          <w:marTop w:val="50"/>
          <w:marBottom w:val="0"/>
          <w:divBdr>
            <w:top w:val="none" w:sz="0" w:space="0" w:color="auto"/>
            <w:left w:val="none" w:sz="0" w:space="0" w:color="auto"/>
            <w:bottom w:val="none" w:sz="0" w:space="0" w:color="auto"/>
            <w:right w:val="none" w:sz="0" w:space="0" w:color="auto"/>
          </w:divBdr>
        </w:div>
        <w:div w:id="1194810825">
          <w:marLeft w:val="0"/>
          <w:marRight w:val="0"/>
          <w:marTop w:val="50"/>
          <w:marBottom w:val="0"/>
          <w:divBdr>
            <w:top w:val="none" w:sz="0" w:space="0" w:color="auto"/>
            <w:left w:val="none" w:sz="0" w:space="0" w:color="auto"/>
            <w:bottom w:val="none" w:sz="0" w:space="0" w:color="auto"/>
            <w:right w:val="none" w:sz="0" w:space="0" w:color="auto"/>
          </w:divBdr>
        </w:div>
        <w:div w:id="1641379760">
          <w:marLeft w:val="0"/>
          <w:marRight w:val="0"/>
          <w:marTop w:val="50"/>
          <w:marBottom w:val="0"/>
          <w:divBdr>
            <w:top w:val="none" w:sz="0" w:space="0" w:color="auto"/>
            <w:left w:val="none" w:sz="0" w:space="0" w:color="auto"/>
            <w:bottom w:val="none" w:sz="0" w:space="0" w:color="auto"/>
            <w:right w:val="none" w:sz="0" w:space="0" w:color="auto"/>
          </w:divBdr>
        </w:div>
        <w:div w:id="1832020494">
          <w:marLeft w:val="0"/>
          <w:marRight w:val="0"/>
          <w:marTop w:val="50"/>
          <w:marBottom w:val="0"/>
          <w:divBdr>
            <w:top w:val="none" w:sz="0" w:space="0" w:color="auto"/>
            <w:left w:val="none" w:sz="0" w:space="0" w:color="auto"/>
            <w:bottom w:val="none" w:sz="0" w:space="0" w:color="auto"/>
            <w:right w:val="none" w:sz="0" w:space="0" w:color="auto"/>
          </w:divBdr>
        </w:div>
        <w:div w:id="1968201966">
          <w:marLeft w:val="0"/>
          <w:marRight w:val="0"/>
          <w:marTop w:val="0"/>
          <w:marBottom w:val="0"/>
          <w:divBdr>
            <w:top w:val="none" w:sz="0" w:space="0" w:color="auto"/>
            <w:left w:val="none" w:sz="0" w:space="0" w:color="auto"/>
            <w:bottom w:val="none" w:sz="0" w:space="0" w:color="auto"/>
            <w:right w:val="none" w:sz="0" w:space="0" w:color="auto"/>
          </w:divBdr>
          <w:divsChild>
            <w:div w:id="1522470182">
              <w:marLeft w:val="0"/>
              <w:marRight w:val="0"/>
              <w:marTop w:val="0"/>
              <w:marBottom w:val="0"/>
              <w:divBdr>
                <w:top w:val="none" w:sz="0" w:space="0" w:color="auto"/>
                <w:left w:val="none" w:sz="0" w:space="0" w:color="auto"/>
                <w:bottom w:val="none" w:sz="0" w:space="0" w:color="auto"/>
                <w:right w:val="none" w:sz="0" w:space="0" w:color="auto"/>
              </w:divBdr>
              <w:divsChild>
                <w:div w:id="142194878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968392790">
          <w:marLeft w:val="0"/>
          <w:marRight w:val="0"/>
          <w:marTop w:val="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894c/03fa/011be460c6ec40bc56753270/sbi-02-02-add3-z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0E263-87E2-4032-A346-28665D17C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131</Words>
  <Characters>751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14/18. Gender plan of action</vt:lpstr>
    </vt:vector>
  </TitlesOfParts>
  <Company>SCBD</Company>
  <LinksUpToDate>false</LinksUpToDate>
  <CharactersWithSpaces>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14/18. Gender plan of action</dc:title>
  <dc:subject>CBD/COP/DEC/14/18</dc:subject>
  <dc:creator>SCBD</dc:creator>
  <cp:keywords/>
  <cp:lastModifiedBy>Chuansheng Li</cp:lastModifiedBy>
  <cp:revision>10</cp:revision>
  <cp:lastPrinted>2019-01-14T14:22:00Z</cp:lastPrinted>
  <dcterms:created xsi:type="dcterms:W3CDTF">2019-01-13T03:37:00Z</dcterms:created>
  <dcterms:modified xsi:type="dcterms:W3CDTF">2019-04-09T12:24:00Z</dcterms:modified>
</cp:coreProperties>
</file>