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C42BD9" w14:paraId="2FD00814" w14:textId="77777777" w:rsidTr="00CF1848">
        <w:trPr>
          <w:trHeight w:val="709"/>
        </w:trPr>
        <w:tc>
          <w:tcPr>
            <w:tcW w:w="976" w:type="dxa"/>
            <w:tcBorders>
              <w:bottom w:val="single" w:sz="12" w:space="0" w:color="auto"/>
            </w:tcBorders>
          </w:tcPr>
          <w:p w14:paraId="2FD00811" w14:textId="77777777" w:rsidR="00C9161D" w:rsidRPr="00C42BD9" w:rsidRDefault="00C9161D">
            <w:pPr>
              <w:rPr>
                <w:kern w:val="22"/>
                <w:lang w:val="fr-FR"/>
              </w:rPr>
            </w:pPr>
            <w:r w:rsidRPr="00C42BD9">
              <w:rPr>
                <w:noProof/>
                <w:kern w:val="22"/>
                <w:lang w:eastAsia="en-GB"/>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C42BD9" w:rsidRDefault="00C9161D">
            <w:pPr>
              <w:rPr>
                <w:kern w:val="22"/>
                <w:lang w:val="fr-FR"/>
              </w:rPr>
            </w:pPr>
            <w:r w:rsidRPr="00C42BD9">
              <w:rPr>
                <w:noProof/>
                <w:kern w:val="22"/>
                <w:lang w:eastAsia="en-GB"/>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C42BD9" w:rsidRDefault="00C9161D" w:rsidP="00C9161D">
            <w:pPr>
              <w:jc w:val="right"/>
              <w:rPr>
                <w:rFonts w:ascii="Arial" w:hAnsi="Arial" w:cs="Arial"/>
                <w:b/>
                <w:kern w:val="22"/>
                <w:sz w:val="32"/>
                <w:szCs w:val="32"/>
                <w:lang w:val="fr-FR"/>
              </w:rPr>
            </w:pPr>
            <w:r w:rsidRPr="00C42BD9">
              <w:rPr>
                <w:rFonts w:ascii="Arial" w:hAnsi="Arial" w:cs="Arial"/>
                <w:b/>
                <w:kern w:val="22"/>
                <w:sz w:val="32"/>
                <w:szCs w:val="32"/>
                <w:lang w:val="fr-FR"/>
              </w:rPr>
              <w:t>CBD</w:t>
            </w:r>
          </w:p>
        </w:tc>
      </w:tr>
      <w:tr w:rsidR="00C9161D" w:rsidRPr="00C42BD9" w14:paraId="2FD0081E" w14:textId="77777777" w:rsidTr="00CF1848">
        <w:tc>
          <w:tcPr>
            <w:tcW w:w="6117" w:type="dxa"/>
            <w:gridSpan w:val="2"/>
            <w:tcBorders>
              <w:top w:val="single" w:sz="12" w:space="0" w:color="auto"/>
              <w:bottom w:val="single" w:sz="36" w:space="0" w:color="auto"/>
            </w:tcBorders>
            <w:vAlign w:val="center"/>
          </w:tcPr>
          <w:p w14:paraId="2FD00815" w14:textId="64B2FDE4" w:rsidR="00C9161D" w:rsidRPr="00C42BD9" w:rsidRDefault="00396ABB" w:rsidP="00C9161D">
            <w:pPr>
              <w:rPr>
                <w:kern w:val="22"/>
                <w:lang w:val="fr-FR"/>
              </w:rPr>
            </w:pPr>
            <w:r w:rsidRPr="00C42BD9">
              <w:rPr>
                <w:bCs/>
                <w:noProof/>
                <w:lang w:eastAsia="en-GB"/>
              </w:rPr>
              <w:drawing>
                <wp:inline distT="0" distB="0" distL="0" distR="0" wp14:anchorId="41C311B5" wp14:editId="738B2C96">
                  <wp:extent cx="2857500" cy="1076325"/>
                  <wp:effectExtent l="0" t="0" r="0" b="9525"/>
                  <wp:docPr id="2"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C42BD9" w:rsidRDefault="00C9161D" w:rsidP="00176CEE">
            <w:pPr>
              <w:ind w:left="1215"/>
              <w:rPr>
                <w:noProof/>
                <w:kern w:val="22"/>
                <w:szCs w:val="22"/>
                <w:lang w:val="fr-FR"/>
              </w:rPr>
            </w:pPr>
            <w:r w:rsidRPr="00C42BD9">
              <w:rPr>
                <w:noProof/>
                <w:kern w:val="22"/>
                <w:szCs w:val="22"/>
                <w:lang w:val="fr-FR"/>
              </w:rPr>
              <w:t>Distr.</w:t>
            </w:r>
          </w:p>
          <w:p w14:paraId="2FD00817" w14:textId="79F63D4D" w:rsidR="00C9161D" w:rsidRPr="00C42BD9" w:rsidRDefault="006407E5" w:rsidP="00176CEE">
            <w:pPr>
              <w:ind w:left="1215"/>
              <w:rPr>
                <w:kern w:val="22"/>
                <w:szCs w:val="22"/>
                <w:lang w:val="fr-FR"/>
              </w:rPr>
            </w:pPr>
            <w:sdt>
              <w:sdtPr>
                <w:rPr>
                  <w:kern w:val="22"/>
                  <w:szCs w:val="22"/>
                  <w:lang w:val="fr-FR"/>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F05FA0" w:rsidRPr="00C42BD9">
                  <w:rPr>
                    <w:kern w:val="22"/>
                    <w:szCs w:val="22"/>
                    <w:lang w:val="fr-FR"/>
                  </w:rPr>
                  <w:t>GÉNÉRALE</w:t>
                </w:r>
              </w:sdtContent>
            </w:sdt>
          </w:p>
          <w:p w14:paraId="2FD00818" w14:textId="77777777" w:rsidR="00C9161D" w:rsidRPr="00C42BD9" w:rsidRDefault="00C9161D" w:rsidP="00176CEE">
            <w:pPr>
              <w:ind w:left="1215"/>
              <w:rPr>
                <w:kern w:val="22"/>
                <w:szCs w:val="22"/>
                <w:lang w:val="fr-FR"/>
              </w:rPr>
            </w:pPr>
          </w:p>
          <w:p w14:paraId="2FD00819" w14:textId="5C84E48C" w:rsidR="00C9161D" w:rsidRPr="00C42BD9" w:rsidRDefault="006407E5" w:rsidP="00176CEE">
            <w:pPr>
              <w:ind w:left="1215"/>
              <w:rPr>
                <w:kern w:val="22"/>
                <w:szCs w:val="22"/>
                <w:lang w:val="fr-FR"/>
              </w:rPr>
            </w:pPr>
            <w:sdt>
              <w:sdtPr>
                <w:rPr>
                  <w:kern w:val="22"/>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F05FA0" w:rsidRPr="00C42BD9">
                  <w:rPr>
                    <w:kern w:val="22"/>
                    <w:lang w:val="fr-FR"/>
                  </w:rPr>
                  <w:t>CBD/COP/DEC/14/19</w:t>
                </w:r>
              </w:sdtContent>
            </w:sdt>
          </w:p>
          <w:p w14:paraId="2FD0081A" w14:textId="03B80E6F" w:rsidR="00C9161D" w:rsidRPr="00C42BD9" w:rsidRDefault="00C42BD9" w:rsidP="00176CEE">
            <w:pPr>
              <w:ind w:left="1215"/>
              <w:rPr>
                <w:kern w:val="22"/>
                <w:szCs w:val="22"/>
                <w:lang w:val="fr-FR"/>
              </w:rPr>
            </w:pPr>
            <w:r w:rsidRPr="00C42BD9">
              <w:rPr>
                <w:kern w:val="22"/>
                <w:szCs w:val="22"/>
                <w:lang w:val="fr-FR"/>
              </w:rPr>
              <w:t>30</w:t>
            </w:r>
            <w:r w:rsidR="00F6586C" w:rsidRPr="00C42BD9">
              <w:rPr>
                <w:kern w:val="22"/>
                <w:szCs w:val="22"/>
                <w:lang w:val="fr-FR"/>
              </w:rPr>
              <w:t xml:space="preserve"> </w:t>
            </w:r>
            <w:r w:rsidR="00A140A2" w:rsidRPr="00C42BD9">
              <w:rPr>
                <w:kern w:val="22"/>
                <w:szCs w:val="22"/>
                <w:lang w:val="fr-FR"/>
              </w:rPr>
              <w:t>novemb</w:t>
            </w:r>
            <w:r w:rsidR="00ED72FA" w:rsidRPr="00C42BD9">
              <w:rPr>
                <w:kern w:val="22"/>
                <w:szCs w:val="22"/>
                <w:lang w:val="fr-FR"/>
              </w:rPr>
              <w:t>r</w:t>
            </w:r>
            <w:r w:rsidR="00A140A2" w:rsidRPr="00C42BD9">
              <w:rPr>
                <w:kern w:val="22"/>
                <w:szCs w:val="22"/>
                <w:lang w:val="fr-FR"/>
              </w:rPr>
              <w:t>e</w:t>
            </w:r>
            <w:r w:rsidR="00F6586C" w:rsidRPr="00C42BD9">
              <w:rPr>
                <w:kern w:val="22"/>
                <w:szCs w:val="22"/>
                <w:lang w:val="fr-FR"/>
              </w:rPr>
              <w:t xml:space="preserve"> 2018</w:t>
            </w:r>
          </w:p>
          <w:p w14:paraId="0B3DBCCA" w14:textId="77777777" w:rsidR="00A140A2" w:rsidRPr="00C42BD9" w:rsidRDefault="00A140A2" w:rsidP="00176CEE">
            <w:pPr>
              <w:ind w:left="1215"/>
              <w:rPr>
                <w:kern w:val="22"/>
                <w:szCs w:val="22"/>
                <w:lang w:val="fr-FR"/>
              </w:rPr>
            </w:pPr>
            <w:bookmarkStart w:id="0" w:name="_GoBack"/>
            <w:bookmarkEnd w:id="0"/>
          </w:p>
          <w:p w14:paraId="0AF06830" w14:textId="42BDED19" w:rsidR="00A140A2" w:rsidRPr="00C42BD9" w:rsidRDefault="00A140A2" w:rsidP="00176CEE">
            <w:pPr>
              <w:ind w:left="1215"/>
              <w:rPr>
                <w:kern w:val="22"/>
                <w:szCs w:val="22"/>
                <w:lang w:val="fr-FR"/>
              </w:rPr>
            </w:pPr>
            <w:r w:rsidRPr="00C42BD9">
              <w:rPr>
                <w:kern w:val="22"/>
                <w:szCs w:val="22"/>
                <w:lang w:val="fr-FR"/>
              </w:rPr>
              <w:t>FRANÇAIS</w:t>
            </w:r>
          </w:p>
          <w:p w14:paraId="2FD0081C" w14:textId="3BC32532" w:rsidR="00C9161D" w:rsidRPr="00C42BD9" w:rsidRDefault="006B2290" w:rsidP="00176CEE">
            <w:pPr>
              <w:ind w:left="1215"/>
              <w:rPr>
                <w:kern w:val="22"/>
                <w:szCs w:val="22"/>
                <w:lang w:val="fr-FR"/>
              </w:rPr>
            </w:pPr>
            <w:r w:rsidRPr="00C42BD9">
              <w:rPr>
                <w:kern w:val="22"/>
                <w:szCs w:val="22"/>
                <w:lang w:val="fr-FR"/>
              </w:rPr>
              <w:t>ORIGINAL</w:t>
            </w:r>
            <w:r w:rsidR="00A140A2" w:rsidRPr="00C42BD9">
              <w:rPr>
                <w:kern w:val="22"/>
                <w:szCs w:val="22"/>
                <w:lang w:val="fr-FR"/>
              </w:rPr>
              <w:t xml:space="preserve"> </w:t>
            </w:r>
            <w:r w:rsidRPr="00C42BD9">
              <w:rPr>
                <w:kern w:val="22"/>
                <w:szCs w:val="22"/>
                <w:lang w:val="fr-FR"/>
              </w:rPr>
              <w:t xml:space="preserve">: </w:t>
            </w:r>
            <w:r w:rsidR="00A140A2" w:rsidRPr="00C42BD9">
              <w:rPr>
                <w:kern w:val="22"/>
                <w:szCs w:val="22"/>
                <w:lang w:val="fr-FR"/>
              </w:rPr>
              <w:t>A</w:t>
            </w:r>
            <w:r w:rsidR="00C9161D" w:rsidRPr="00C42BD9">
              <w:rPr>
                <w:kern w:val="22"/>
                <w:szCs w:val="22"/>
                <w:lang w:val="fr-FR"/>
              </w:rPr>
              <w:t>NGL</w:t>
            </w:r>
            <w:r w:rsidR="00A140A2" w:rsidRPr="00C42BD9">
              <w:rPr>
                <w:kern w:val="22"/>
                <w:szCs w:val="22"/>
                <w:lang w:val="fr-FR"/>
              </w:rPr>
              <w:t>AIS</w:t>
            </w:r>
          </w:p>
          <w:p w14:paraId="2FD0081D" w14:textId="77777777" w:rsidR="00C9161D" w:rsidRPr="00C42BD9" w:rsidRDefault="00C9161D">
            <w:pPr>
              <w:rPr>
                <w:kern w:val="22"/>
                <w:lang w:val="fr-FR"/>
              </w:rPr>
            </w:pPr>
          </w:p>
        </w:tc>
      </w:tr>
    </w:tbl>
    <w:p w14:paraId="15C88BC5" w14:textId="3D544C34" w:rsidR="00A140A2" w:rsidRPr="00C42BD9" w:rsidRDefault="00A140A2" w:rsidP="00A140A2">
      <w:pPr>
        <w:pStyle w:val="Cornernotation"/>
        <w:kinsoku w:val="0"/>
        <w:overflowPunct w:val="0"/>
        <w:autoSpaceDE w:val="0"/>
        <w:autoSpaceDN w:val="0"/>
        <w:ind w:left="142" w:right="4423" w:hanging="142"/>
        <w:rPr>
          <w:snapToGrid w:val="0"/>
          <w:kern w:val="22"/>
          <w:szCs w:val="22"/>
          <w:lang w:val="fr-FR"/>
        </w:rPr>
      </w:pPr>
      <w:bookmarkStart w:id="1" w:name="_Hlk530040340"/>
      <w:r w:rsidRPr="00C42BD9">
        <w:rPr>
          <w:kern w:val="22"/>
          <w:lang w:val="fr-FR"/>
        </w:rPr>
        <w:t>CONFÉRENCE DES PARTIES À LA CONVENTION SUR LA DIVERSITÉ BIOLOGIQUE</w:t>
      </w:r>
    </w:p>
    <w:p w14:paraId="49A6B246" w14:textId="77777777" w:rsidR="00A140A2" w:rsidRPr="00C42BD9" w:rsidRDefault="00A140A2" w:rsidP="00A140A2">
      <w:pPr>
        <w:pStyle w:val="Cornernotation"/>
        <w:kinsoku w:val="0"/>
        <w:overflowPunct w:val="0"/>
        <w:autoSpaceDE w:val="0"/>
        <w:autoSpaceDN w:val="0"/>
        <w:ind w:left="187" w:right="4421" w:hanging="187"/>
        <w:rPr>
          <w:snapToGrid w:val="0"/>
          <w:kern w:val="22"/>
          <w:szCs w:val="22"/>
          <w:lang w:val="fr-FR"/>
        </w:rPr>
      </w:pPr>
      <w:r w:rsidRPr="00C42BD9">
        <w:rPr>
          <w:snapToGrid w:val="0"/>
          <w:kern w:val="22"/>
          <w:szCs w:val="22"/>
          <w:lang w:val="fr-FR"/>
        </w:rPr>
        <w:t>Quatorzième réunion</w:t>
      </w:r>
    </w:p>
    <w:p w14:paraId="1B11F9A1" w14:textId="4CF8A489" w:rsidR="00A140A2" w:rsidRPr="00C42BD9" w:rsidRDefault="00C42BD9" w:rsidP="00A140A2">
      <w:pPr>
        <w:pStyle w:val="NoSpacing"/>
        <w:rPr>
          <w:rFonts w:ascii="Times New Roman" w:hAnsi="Times New Roman"/>
          <w:lang w:val="fr-FR"/>
        </w:rPr>
      </w:pPr>
      <w:r w:rsidRPr="00C42BD9">
        <w:rPr>
          <w:rFonts w:ascii="Times New Roman" w:hAnsi="Times New Roman"/>
          <w:noProof/>
          <w:snapToGrid w:val="0"/>
          <w:kern w:val="22"/>
          <w:lang w:val="fr-FR"/>
        </w:rPr>
        <w:t>C</w:t>
      </w:r>
      <w:r w:rsidR="00A140A2" w:rsidRPr="00C42BD9">
        <w:rPr>
          <w:rFonts w:ascii="Times New Roman" w:hAnsi="Times New Roman"/>
          <w:noProof/>
          <w:snapToGrid w:val="0"/>
          <w:kern w:val="22"/>
          <w:lang w:val="fr-FR"/>
        </w:rPr>
        <w:t>harm</w:t>
      </w:r>
      <w:r w:rsidRPr="00C42BD9">
        <w:rPr>
          <w:rFonts w:ascii="Times New Roman" w:hAnsi="Times New Roman"/>
          <w:snapToGrid w:val="0"/>
          <w:kern w:val="22"/>
          <w:lang w:val="fr-FR"/>
        </w:rPr>
        <w:t xml:space="preserve"> el-C</w:t>
      </w:r>
      <w:r w:rsidR="00A140A2" w:rsidRPr="00C42BD9">
        <w:rPr>
          <w:rFonts w:ascii="Times New Roman" w:hAnsi="Times New Roman"/>
          <w:snapToGrid w:val="0"/>
          <w:kern w:val="22"/>
          <w:lang w:val="fr-FR"/>
        </w:rPr>
        <w:t xml:space="preserve">heikh, Égypte, 17-29 novembre </w:t>
      </w:r>
      <w:r w:rsidR="00A140A2" w:rsidRPr="00C42BD9">
        <w:rPr>
          <w:rFonts w:ascii="Times New Roman" w:hAnsi="Times New Roman"/>
          <w:lang w:val="fr-FR"/>
        </w:rPr>
        <w:t>2018</w:t>
      </w:r>
    </w:p>
    <w:p w14:paraId="1BA252EF" w14:textId="77777777" w:rsidR="00A140A2" w:rsidRPr="00C42BD9" w:rsidRDefault="00A140A2" w:rsidP="00A140A2">
      <w:pPr>
        <w:spacing w:after="240"/>
        <w:rPr>
          <w:lang w:val="fr-FR"/>
        </w:rPr>
      </w:pPr>
      <w:r w:rsidRPr="00C42BD9">
        <w:rPr>
          <w:lang w:val="fr-FR"/>
        </w:rPr>
        <w:t>Point 27 de l’ordre du jour</w:t>
      </w:r>
    </w:p>
    <w:p w14:paraId="529DE383" w14:textId="476B97B2" w:rsidR="00F05FA0" w:rsidRPr="00C42BD9" w:rsidRDefault="00F05FA0" w:rsidP="00F05FA0">
      <w:pPr>
        <w:spacing w:after="240"/>
        <w:jc w:val="center"/>
        <w:rPr>
          <w:b/>
          <w:szCs w:val="22"/>
          <w:lang w:val="fr-FR"/>
        </w:rPr>
      </w:pPr>
      <w:r w:rsidRPr="00C42BD9">
        <w:rPr>
          <w:b/>
          <w:lang w:val="fr-FR"/>
        </w:rPr>
        <w:t>DÉCISION ADOPTÉE PAR LA CONFÉRENCE DES PARTIES À LA CONVENTION SUR LA DIVERSITÉ BIOLOGIQUE</w:t>
      </w:r>
    </w:p>
    <w:bookmarkEnd w:id="1"/>
    <w:p w14:paraId="7FE85325" w14:textId="76E63DE7" w:rsidR="00C42BD9" w:rsidRPr="00C42BD9" w:rsidRDefault="006407E5" w:rsidP="00C42BD9">
      <w:pPr>
        <w:pStyle w:val="recommendationheader"/>
        <w:rPr>
          <w:b w:val="0"/>
          <w:caps/>
          <w:kern w:val="22"/>
          <w:lang w:val="fr-FR"/>
        </w:rPr>
      </w:pPr>
      <w:sdt>
        <w:sdtPr>
          <w:rPr>
            <w:rStyle w:val="Heading2Char"/>
            <w:b/>
            <w:kern w:val="22"/>
            <w:szCs w:val="22"/>
            <w:lang w:val="fr-FR"/>
          </w:rPr>
          <w:alias w:val="Title"/>
          <w:tag w:val=""/>
          <w:id w:val="1534694703"/>
          <w:placeholder>
            <w:docPart w:val="0D3C777C863B4BC39C28FC7B92DCBFD2"/>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C42BD9" w:rsidRPr="00C42BD9">
            <w:rPr>
              <w:rStyle w:val="Heading2Char"/>
              <w:b/>
              <w:kern w:val="22"/>
              <w:szCs w:val="22"/>
              <w:lang w:val="fr-FR"/>
            </w:rPr>
            <w:t>14/19.</w:t>
          </w:r>
          <w:r w:rsidR="00C42BD9" w:rsidRPr="00C42BD9">
            <w:rPr>
              <w:rStyle w:val="Heading2Char"/>
              <w:b/>
              <w:kern w:val="22"/>
              <w:szCs w:val="22"/>
              <w:lang w:val="fr-FR"/>
            </w:rPr>
            <w:tab/>
            <w:t>Biologie de synthèse</w:t>
          </w:r>
        </w:sdtContent>
      </w:sdt>
    </w:p>
    <w:p w14:paraId="598F7CE6" w14:textId="77777777" w:rsidR="006D275E" w:rsidRPr="00C42BD9" w:rsidRDefault="006D275E" w:rsidP="006D275E">
      <w:pPr>
        <w:suppressLineNumbers/>
        <w:suppressAutoHyphens/>
        <w:kinsoku w:val="0"/>
        <w:overflowPunct w:val="0"/>
        <w:autoSpaceDE w:val="0"/>
        <w:autoSpaceDN w:val="0"/>
        <w:snapToGrid w:val="0"/>
        <w:spacing w:before="120" w:after="120"/>
        <w:ind w:firstLine="720"/>
        <w:rPr>
          <w:i/>
          <w:snapToGrid w:val="0"/>
          <w:color w:val="000000"/>
          <w:kern w:val="22"/>
          <w:szCs w:val="22"/>
          <w:lang w:val="fr-FR"/>
        </w:rPr>
      </w:pPr>
      <w:r w:rsidRPr="00C42BD9">
        <w:rPr>
          <w:i/>
          <w:snapToGrid w:val="0"/>
          <w:kern w:val="22"/>
          <w:szCs w:val="22"/>
          <w:lang w:val="fr-FR"/>
        </w:rPr>
        <w:t>La Conférence des Parties</w:t>
      </w:r>
      <w:r w:rsidRPr="00C42BD9">
        <w:rPr>
          <w:iCs/>
          <w:snapToGrid w:val="0"/>
          <w:color w:val="000000"/>
          <w:kern w:val="22"/>
          <w:szCs w:val="22"/>
          <w:lang w:val="fr-FR"/>
        </w:rPr>
        <w:t>,</w:t>
      </w:r>
    </w:p>
    <w:p w14:paraId="70B76FD3" w14:textId="77777777" w:rsidR="006D275E" w:rsidRPr="00C42BD9" w:rsidRDefault="006D275E" w:rsidP="006D275E">
      <w:pPr>
        <w:suppressLineNumbers/>
        <w:suppressAutoHyphens/>
        <w:kinsoku w:val="0"/>
        <w:overflowPunct w:val="0"/>
        <w:autoSpaceDE w:val="0"/>
        <w:autoSpaceDN w:val="0"/>
        <w:snapToGrid w:val="0"/>
        <w:spacing w:before="120" w:after="120"/>
        <w:ind w:firstLine="720"/>
        <w:rPr>
          <w:i/>
          <w:snapToGrid w:val="0"/>
          <w:color w:val="000000"/>
          <w:kern w:val="22"/>
          <w:szCs w:val="22"/>
          <w:lang w:val="fr-FR"/>
        </w:rPr>
      </w:pPr>
      <w:r w:rsidRPr="00C42BD9">
        <w:rPr>
          <w:i/>
          <w:snapToGrid w:val="0"/>
          <w:color w:val="000000"/>
          <w:kern w:val="22"/>
          <w:szCs w:val="22"/>
          <w:lang w:val="fr-FR"/>
        </w:rPr>
        <w:t xml:space="preserve">Rappelant </w:t>
      </w:r>
      <w:r w:rsidRPr="00C42BD9">
        <w:rPr>
          <w:snapToGrid w:val="0"/>
          <w:color w:val="000000"/>
          <w:kern w:val="22"/>
          <w:szCs w:val="22"/>
          <w:lang w:val="fr-FR"/>
        </w:rPr>
        <w:t>les décisions</w:t>
      </w:r>
      <w:r w:rsidRPr="00C42BD9">
        <w:rPr>
          <w:i/>
          <w:snapToGrid w:val="0"/>
          <w:color w:val="000000"/>
          <w:kern w:val="22"/>
          <w:szCs w:val="22"/>
          <w:lang w:val="fr-FR"/>
        </w:rPr>
        <w:t> </w:t>
      </w:r>
      <w:r w:rsidRPr="00C42BD9">
        <w:rPr>
          <w:iCs/>
          <w:snapToGrid w:val="0"/>
          <w:kern w:val="22"/>
          <w:szCs w:val="22"/>
          <w:lang w:val="fr-FR"/>
        </w:rPr>
        <w:t>XII/24 et XIII/17,</w:t>
      </w:r>
    </w:p>
    <w:p w14:paraId="4849DD8D" w14:textId="56C722F5"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kern w:val="22"/>
          <w:szCs w:val="22"/>
          <w:lang w:val="fr-FR"/>
        </w:rPr>
      </w:pPr>
      <w:r w:rsidRPr="00C42BD9">
        <w:rPr>
          <w:snapToGrid w:val="0"/>
          <w:kern w:val="22"/>
          <w:szCs w:val="22"/>
          <w:lang w:val="fr-FR"/>
        </w:rPr>
        <w:t>1.</w:t>
      </w:r>
      <w:r w:rsidRPr="00C42BD9">
        <w:rPr>
          <w:snapToGrid w:val="0"/>
          <w:kern w:val="22"/>
          <w:szCs w:val="22"/>
          <w:lang w:val="fr-FR"/>
        </w:rPr>
        <w:tab/>
      </w:r>
      <w:r w:rsidRPr="00C42BD9">
        <w:rPr>
          <w:i/>
          <w:snapToGrid w:val="0"/>
          <w:color w:val="000000"/>
          <w:kern w:val="22"/>
          <w:szCs w:val="22"/>
          <w:lang w:val="fr-FR"/>
        </w:rPr>
        <w:t>Se félicite</w:t>
      </w:r>
      <w:r w:rsidRPr="00C42BD9">
        <w:rPr>
          <w:iCs/>
          <w:snapToGrid w:val="0"/>
          <w:color w:val="000000"/>
          <w:kern w:val="22"/>
          <w:szCs w:val="22"/>
          <w:lang w:val="fr-FR"/>
        </w:rPr>
        <w:t xml:space="preserve"> </w:t>
      </w:r>
      <w:r w:rsidRPr="00C42BD9">
        <w:rPr>
          <w:snapToGrid w:val="0"/>
          <w:color w:val="000000"/>
          <w:kern w:val="22"/>
          <w:szCs w:val="22"/>
          <w:lang w:val="fr-FR"/>
        </w:rPr>
        <w:t xml:space="preserve">des résultats de la </w:t>
      </w:r>
      <w:r w:rsidRPr="00C42BD9">
        <w:rPr>
          <w:snapToGrid w:val="0"/>
          <w:kern w:val="22"/>
          <w:szCs w:val="22"/>
          <w:lang w:val="fr-FR"/>
        </w:rPr>
        <w:t>réunion du Groupe spécial d’experts techniques sur la biologie de synthèse, tenue à Montréal (Canada), du 5 au 8 décembre 2017</w:t>
      </w:r>
      <w:r w:rsidRPr="00C42BD9">
        <w:rPr>
          <w:rStyle w:val="FootnoteReference"/>
          <w:rFonts w:eastAsiaTheme="majorEastAsia"/>
          <w:snapToGrid w:val="0"/>
          <w:kern w:val="22"/>
          <w:szCs w:val="22"/>
          <w:lang w:val="fr-FR"/>
        </w:rPr>
        <w:footnoteReference w:id="1"/>
      </w:r>
      <w:r w:rsidR="00697C09">
        <w:rPr>
          <w:snapToGrid w:val="0"/>
          <w:kern w:val="22"/>
          <w:szCs w:val="22"/>
          <w:lang w:val="fr-FR"/>
        </w:rPr>
        <w:t> ;</w:t>
      </w:r>
    </w:p>
    <w:p w14:paraId="54C53347" w14:textId="016F0CF5"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color w:val="000000"/>
          <w:kern w:val="22"/>
          <w:szCs w:val="22"/>
          <w:lang w:val="fr-FR"/>
        </w:rPr>
      </w:pPr>
      <w:r w:rsidRPr="00C42BD9">
        <w:rPr>
          <w:snapToGrid w:val="0"/>
          <w:color w:val="000000"/>
          <w:kern w:val="22"/>
          <w:szCs w:val="22"/>
          <w:lang w:val="fr-FR"/>
        </w:rPr>
        <w:t>2.</w:t>
      </w:r>
      <w:r w:rsidRPr="00C42BD9">
        <w:rPr>
          <w:snapToGrid w:val="0"/>
          <w:color w:val="000000"/>
          <w:kern w:val="22"/>
          <w:szCs w:val="22"/>
          <w:lang w:val="fr-FR"/>
        </w:rPr>
        <w:tab/>
      </w:r>
      <w:r w:rsidRPr="00C42BD9">
        <w:rPr>
          <w:i/>
          <w:iCs/>
          <w:snapToGrid w:val="0"/>
          <w:color w:val="000000"/>
          <w:kern w:val="22"/>
          <w:szCs w:val="22"/>
          <w:lang w:val="fr-FR"/>
        </w:rPr>
        <w:t xml:space="preserve">Reconnaît </w:t>
      </w:r>
      <w:r w:rsidRPr="00C42BD9">
        <w:rPr>
          <w:snapToGrid w:val="0"/>
          <w:color w:val="000000"/>
          <w:kern w:val="22"/>
          <w:szCs w:val="22"/>
          <w:lang w:val="fr-FR"/>
        </w:rPr>
        <w:t xml:space="preserve">que la biologie de synthèse </w:t>
      </w:r>
      <w:r w:rsidRPr="00C42BD9">
        <w:rPr>
          <w:snapToGrid w:val="0"/>
          <w:kern w:val="22"/>
          <w:szCs w:val="22"/>
          <w:lang w:val="fr-FR"/>
        </w:rPr>
        <w:t xml:space="preserve">est une question pluridisciplinaire qui évolue rapidement, avec des </w:t>
      </w:r>
      <w:r w:rsidRPr="00C42BD9">
        <w:rPr>
          <w:snapToGrid w:val="0"/>
          <w:color w:val="000000"/>
          <w:kern w:val="22"/>
          <w:szCs w:val="22"/>
          <w:lang w:val="fr-FR"/>
        </w:rPr>
        <w:t>avantages potentiels et des effets défavorables potentiels au regard des trois objectifs de la Convent</w:t>
      </w:r>
      <w:r w:rsidR="00697C09">
        <w:rPr>
          <w:snapToGrid w:val="0"/>
          <w:color w:val="000000"/>
          <w:kern w:val="22"/>
          <w:szCs w:val="22"/>
          <w:lang w:val="fr-FR"/>
        </w:rPr>
        <w:t>ion sur la diversité biologique ;</w:t>
      </w:r>
    </w:p>
    <w:p w14:paraId="2C4D0874" w14:textId="01737F23"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color w:val="000000"/>
          <w:kern w:val="22"/>
          <w:szCs w:val="22"/>
          <w:lang w:val="fr-FR"/>
        </w:rPr>
      </w:pPr>
      <w:r w:rsidRPr="00C42BD9">
        <w:rPr>
          <w:snapToGrid w:val="0"/>
          <w:kern w:val="22"/>
          <w:szCs w:val="22"/>
          <w:lang w:val="fr-FR"/>
        </w:rPr>
        <w:t>3.</w:t>
      </w:r>
      <w:r w:rsidRPr="00C42BD9">
        <w:rPr>
          <w:snapToGrid w:val="0"/>
          <w:kern w:val="22"/>
          <w:szCs w:val="22"/>
          <w:lang w:val="fr-FR"/>
        </w:rPr>
        <w:tab/>
      </w:r>
      <w:r w:rsidRPr="00C42BD9">
        <w:rPr>
          <w:i/>
          <w:iCs/>
          <w:snapToGrid w:val="0"/>
          <w:kern w:val="22"/>
          <w:szCs w:val="22"/>
          <w:lang w:val="fr-FR"/>
        </w:rPr>
        <w:t>Convient</w:t>
      </w:r>
      <w:r w:rsidRPr="00C42BD9">
        <w:rPr>
          <w:snapToGrid w:val="0"/>
          <w:kern w:val="22"/>
          <w:szCs w:val="22"/>
          <w:lang w:val="fr-FR"/>
        </w:rPr>
        <w:t xml:space="preserve"> </w:t>
      </w:r>
      <w:r w:rsidRPr="00C42BD9">
        <w:rPr>
          <w:snapToGrid w:val="0"/>
          <w:color w:val="000000"/>
          <w:kern w:val="22"/>
          <w:szCs w:val="22"/>
          <w:lang w:val="fr-FR"/>
        </w:rPr>
        <w:t>qu’une analyse prospective, un suivi et une évaluation des dernières avancées technologiques sont</w:t>
      </w:r>
      <w:r w:rsidR="00FF7E2E" w:rsidRPr="00C42BD9">
        <w:rPr>
          <w:color w:val="000000"/>
          <w:kern w:val="22"/>
          <w:szCs w:val="22"/>
          <w:lang w:val="fr-FR" w:eastAsia="x-none"/>
        </w:rPr>
        <w:t xml:space="preserve"> nécessaires</w:t>
      </w:r>
      <w:r w:rsidRPr="00C42BD9">
        <w:rPr>
          <w:snapToGrid w:val="0"/>
          <w:color w:val="000000"/>
          <w:kern w:val="22"/>
          <w:szCs w:val="22"/>
          <w:lang w:val="fr-FR"/>
        </w:rPr>
        <w:t xml:space="preserve"> afin d’examiner les nouvelles informations concernant les impacts positifs et négatifs de la biologie de synthèse au regard des trois objectifs de la Convention, et de ceux du Protocole de Nagoya et du Protocole de Cartagena</w:t>
      </w:r>
      <w:r w:rsidR="00697C09">
        <w:rPr>
          <w:snapToGrid w:val="0"/>
          <w:color w:val="000000"/>
          <w:kern w:val="22"/>
          <w:szCs w:val="22"/>
          <w:lang w:val="fr-FR"/>
        </w:rPr>
        <w:t> ;</w:t>
      </w:r>
    </w:p>
    <w:p w14:paraId="224A25EE" w14:textId="5A41C555"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kern w:val="22"/>
          <w:szCs w:val="22"/>
          <w:lang w:val="fr-FR"/>
        </w:rPr>
      </w:pPr>
      <w:r w:rsidRPr="00C42BD9">
        <w:rPr>
          <w:snapToGrid w:val="0"/>
          <w:kern w:val="22"/>
          <w:szCs w:val="22"/>
          <w:lang w:val="fr-FR"/>
        </w:rPr>
        <w:t>4.</w:t>
      </w:r>
      <w:r w:rsidRPr="00C42BD9">
        <w:rPr>
          <w:snapToGrid w:val="0"/>
          <w:kern w:val="22"/>
          <w:szCs w:val="22"/>
          <w:lang w:val="fr-FR"/>
        </w:rPr>
        <w:tab/>
      </w:r>
      <w:r w:rsidRPr="00C42BD9">
        <w:rPr>
          <w:i/>
          <w:snapToGrid w:val="0"/>
          <w:color w:val="000000"/>
          <w:kern w:val="22"/>
          <w:szCs w:val="22"/>
          <w:lang w:val="fr-FR"/>
        </w:rPr>
        <w:t>Reconnaît</w:t>
      </w:r>
      <w:r w:rsidRPr="00C42BD9">
        <w:rPr>
          <w:snapToGrid w:val="0"/>
          <w:color w:val="000000"/>
          <w:kern w:val="22"/>
          <w:szCs w:val="22"/>
          <w:lang w:val="fr-FR"/>
        </w:rPr>
        <w:t xml:space="preserve"> la nécessité d’effectuer une </w:t>
      </w:r>
      <w:r w:rsidRPr="00C42BD9">
        <w:rPr>
          <w:snapToGrid w:val="0"/>
          <w:kern w:val="22"/>
          <w:szCs w:val="22"/>
          <w:lang w:val="fr-FR"/>
        </w:rPr>
        <w:t>analyse de l</w:t>
      </w:r>
      <w:r w:rsidR="00697C09">
        <w:rPr>
          <w:snapToGrid w:val="0"/>
          <w:kern w:val="22"/>
          <w:szCs w:val="22"/>
          <w:lang w:val="fr-FR"/>
        </w:rPr>
        <w:t xml:space="preserve">a biologie de synthèse par rapport aux </w:t>
      </w:r>
      <w:r w:rsidRPr="00C42BD9">
        <w:rPr>
          <w:snapToGrid w:val="0"/>
          <w:kern w:val="22"/>
          <w:szCs w:val="22"/>
          <w:lang w:val="fr-FR"/>
        </w:rPr>
        <w:t>critères énoncés au paragraphe 12 de la décision IX/29, afin de parachever l</w:t>
      </w:r>
      <w:r w:rsidR="00FF7E2E" w:rsidRPr="00C42BD9">
        <w:rPr>
          <w:snapToGrid w:val="0"/>
          <w:kern w:val="22"/>
          <w:szCs w:val="22"/>
          <w:lang w:val="fr-FR"/>
        </w:rPr>
        <w:t>’analyse demandée au paragraphe </w:t>
      </w:r>
      <w:r w:rsidRPr="00C42BD9">
        <w:rPr>
          <w:snapToGrid w:val="0"/>
          <w:kern w:val="22"/>
          <w:szCs w:val="22"/>
          <w:lang w:val="fr-FR"/>
        </w:rPr>
        <w:t>2 de la décision XII/24 et au paragraphe 13 de la décis</w:t>
      </w:r>
      <w:r w:rsidR="00697C09">
        <w:rPr>
          <w:snapToGrid w:val="0"/>
          <w:kern w:val="22"/>
          <w:szCs w:val="22"/>
          <w:lang w:val="fr-FR"/>
        </w:rPr>
        <w:t>ion XIII/17 ;</w:t>
      </w:r>
    </w:p>
    <w:p w14:paraId="119DE27F" w14:textId="2DDDE036"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color w:val="000000"/>
          <w:kern w:val="22"/>
          <w:szCs w:val="22"/>
          <w:lang w:val="fr-FR"/>
        </w:rPr>
      </w:pPr>
      <w:r w:rsidRPr="00C42BD9">
        <w:rPr>
          <w:snapToGrid w:val="0"/>
          <w:kern w:val="22"/>
          <w:szCs w:val="22"/>
          <w:lang w:val="fr-FR"/>
        </w:rPr>
        <w:t>5.</w:t>
      </w:r>
      <w:r w:rsidRPr="00C42BD9">
        <w:rPr>
          <w:snapToGrid w:val="0"/>
          <w:kern w:val="22"/>
          <w:szCs w:val="22"/>
          <w:lang w:val="fr-FR"/>
        </w:rPr>
        <w:tab/>
      </w:r>
      <w:r w:rsidRPr="00C42BD9">
        <w:rPr>
          <w:i/>
          <w:snapToGrid w:val="0"/>
          <w:color w:val="000000"/>
          <w:kern w:val="22"/>
          <w:szCs w:val="22"/>
          <w:lang w:val="fr-FR"/>
        </w:rPr>
        <w:t>Reconnaît aussi</w:t>
      </w:r>
      <w:r w:rsidRPr="00C42BD9">
        <w:rPr>
          <w:snapToGrid w:val="0"/>
          <w:color w:val="000000"/>
          <w:kern w:val="22"/>
          <w:szCs w:val="22"/>
          <w:lang w:val="fr-FR"/>
        </w:rPr>
        <w:t xml:space="preserve"> que les</w:t>
      </w:r>
      <w:r w:rsidRPr="00C42BD9">
        <w:rPr>
          <w:snapToGrid w:val="0"/>
          <w:kern w:val="22"/>
          <w:szCs w:val="22"/>
          <w:lang w:val="fr-FR"/>
        </w:rPr>
        <w:t xml:space="preserve"> avancées découlant de la recherche et développement dans le domaine</w:t>
      </w:r>
      <w:r w:rsidRPr="00C42BD9">
        <w:rPr>
          <w:snapToGrid w:val="0"/>
          <w:color w:val="000000"/>
          <w:kern w:val="22"/>
          <w:szCs w:val="22"/>
          <w:lang w:val="fr-FR"/>
        </w:rPr>
        <w:t xml:space="preserve"> de la biolo</w:t>
      </w:r>
      <w:r w:rsidR="00697C09">
        <w:rPr>
          <w:snapToGrid w:val="0"/>
          <w:color w:val="000000"/>
          <w:kern w:val="22"/>
          <w:szCs w:val="22"/>
          <w:lang w:val="fr-FR"/>
        </w:rPr>
        <w:t>gie de synthèse peuvent entraver la capacité de certains pays</w:t>
      </w:r>
      <w:r w:rsidRPr="00C42BD9">
        <w:rPr>
          <w:snapToGrid w:val="0"/>
          <w:color w:val="000000"/>
          <w:kern w:val="22"/>
          <w:szCs w:val="22"/>
          <w:lang w:val="fr-FR"/>
        </w:rPr>
        <w:t>, notamment les pays en développement et en particulier ceux qui manquent d’expérience ou de ressources, d’évaluer toute la gamme des applications et les effets potentiels de la biologie de synthèse sur les t</w:t>
      </w:r>
      <w:r w:rsidR="00697C09">
        <w:rPr>
          <w:snapToGrid w:val="0"/>
          <w:color w:val="000000"/>
          <w:kern w:val="22"/>
          <w:szCs w:val="22"/>
          <w:lang w:val="fr-FR"/>
        </w:rPr>
        <w:t>rois objectifs de la Convention ;</w:t>
      </w:r>
      <w:r w:rsidRPr="00C42BD9">
        <w:rPr>
          <w:snapToGrid w:val="0"/>
          <w:color w:val="000000"/>
          <w:kern w:val="22"/>
          <w:szCs w:val="22"/>
          <w:lang w:val="fr-FR"/>
        </w:rPr>
        <w:t xml:space="preserve"> </w:t>
      </w:r>
    </w:p>
    <w:p w14:paraId="7106DD1A" w14:textId="4E66F9D6"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kern w:val="22"/>
          <w:szCs w:val="22"/>
          <w:lang w:val="fr-FR"/>
        </w:rPr>
      </w:pPr>
      <w:r w:rsidRPr="00C42BD9">
        <w:rPr>
          <w:snapToGrid w:val="0"/>
          <w:color w:val="000000"/>
          <w:kern w:val="22"/>
          <w:szCs w:val="22"/>
          <w:lang w:val="fr-FR"/>
        </w:rPr>
        <w:t>6.</w:t>
      </w:r>
      <w:r w:rsidRPr="00C42BD9">
        <w:rPr>
          <w:snapToGrid w:val="0"/>
          <w:color w:val="000000"/>
          <w:kern w:val="22"/>
          <w:szCs w:val="22"/>
          <w:lang w:val="fr-FR"/>
        </w:rPr>
        <w:tab/>
      </w:r>
      <w:r w:rsidRPr="00C42BD9">
        <w:rPr>
          <w:i/>
          <w:iCs/>
          <w:snapToGrid w:val="0"/>
          <w:color w:val="000000"/>
          <w:kern w:val="22"/>
          <w:szCs w:val="22"/>
          <w:lang w:val="fr-FR"/>
        </w:rPr>
        <w:t>Reconnaît en outre</w:t>
      </w:r>
      <w:r w:rsidRPr="00C42BD9">
        <w:rPr>
          <w:snapToGrid w:val="0"/>
          <w:color w:val="000000"/>
          <w:kern w:val="22"/>
          <w:szCs w:val="22"/>
          <w:lang w:val="fr-FR"/>
        </w:rPr>
        <w:t xml:space="preserve"> le rôle des informations et des </w:t>
      </w:r>
      <w:r w:rsidR="00697C09">
        <w:rPr>
          <w:snapToGrid w:val="0"/>
          <w:color w:val="000000"/>
          <w:kern w:val="22"/>
          <w:szCs w:val="22"/>
          <w:lang w:val="fr-FR"/>
        </w:rPr>
        <w:t>ressources disponibles dans le c</w:t>
      </w:r>
      <w:r w:rsidRPr="00C42BD9">
        <w:rPr>
          <w:snapToGrid w:val="0"/>
          <w:color w:val="000000"/>
          <w:kern w:val="22"/>
          <w:szCs w:val="22"/>
          <w:lang w:val="fr-FR"/>
        </w:rPr>
        <w:t>entre d’</w:t>
      </w:r>
      <w:r w:rsidR="00697C09">
        <w:rPr>
          <w:snapToGrid w:val="0"/>
          <w:color w:val="000000"/>
          <w:kern w:val="22"/>
          <w:szCs w:val="22"/>
          <w:lang w:val="fr-FR"/>
        </w:rPr>
        <w:t>échange de la Convention et le c</w:t>
      </w:r>
      <w:r w:rsidRPr="00C42BD9">
        <w:rPr>
          <w:snapToGrid w:val="0"/>
          <w:color w:val="000000"/>
          <w:kern w:val="22"/>
          <w:szCs w:val="22"/>
          <w:lang w:val="fr-FR"/>
        </w:rPr>
        <w:t>entre d'échange pour la prévention des risques biotechnologiques du Protocole de Cartagena, ainsi que des initiatives en matière de renforcement de</w:t>
      </w:r>
      <w:r w:rsidR="003148D0">
        <w:rPr>
          <w:snapToGrid w:val="0"/>
          <w:color w:val="000000"/>
          <w:kern w:val="22"/>
          <w:szCs w:val="22"/>
          <w:lang w:val="fr-FR"/>
        </w:rPr>
        <w:t>s capacités pour aider ces pays ;</w:t>
      </w:r>
    </w:p>
    <w:p w14:paraId="2F5D2CC7" w14:textId="7EBCB3ED"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kern w:val="22"/>
          <w:szCs w:val="22"/>
          <w:lang w:val="fr-FR"/>
        </w:rPr>
      </w:pPr>
      <w:r w:rsidRPr="00C42BD9">
        <w:rPr>
          <w:snapToGrid w:val="0"/>
          <w:kern w:val="22"/>
          <w:szCs w:val="22"/>
          <w:lang w:val="fr-FR"/>
        </w:rPr>
        <w:t>7.</w:t>
      </w:r>
      <w:r w:rsidRPr="00C42BD9">
        <w:rPr>
          <w:snapToGrid w:val="0"/>
          <w:kern w:val="22"/>
          <w:szCs w:val="22"/>
          <w:lang w:val="fr-FR"/>
        </w:rPr>
        <w:tab/>
      </w:r>
      <w:r w:rsidRPr="00C42BD9">
        <w:rPr>
          <w:i/>
          <w:iCs/>
          <w:snapToGrid w:val="0"/>
          <w:kern w:val="22"/>
          <w:szCs w:val="22"/>
          <w:lang w:val="fr-FR"/>
        </w:rPr>
        <w:t>Souligne</w:t>
      </w:r>
      <w:r w:rsidRPr="00C42BD9">
        <w:rPr>
          <w:snapToGrid w:val="0"/>
          <w:kern w:val="22"/>
          <w:szCs w:val="22"/>
          <w:lang w:val="fr-FR"/>
        </w:rPr>
        <w:t xml:space="preserve"> le besoin d’une approche coordonnée, complémentaire et sans doubles emplois sur les questions relatives à la biologie de synthèse au ti</w:t>
      </w:r>
      <w:r w:rsidR="00697C09">
        <w:rPr>
          <w:snapToGrid w:val="0"/>
          <w:kern w:val="22"/>
          <w:szCs w:val="22"/>
          <w:lang w:val="fr-FR"/>
        </w:rPr>
        <w:t>tre de la Convention et de ses p</w:t>
      </w:r>
      <w:r w:rsidRPr="00C42BD9">
        <w:rPr>
          <w:snapToGrid w:val="0"/>
          <w:kern w:val="22"/>
          <w:szCs w:val="22"/>
          <w:lang w:val="fr-FR"/>
        </w:rPr>
        <w:t>rotocoles, ainsi qu’avec d’autres conventions et des organisations et initiatives</w:t>
      </w:r>
      <w:r w:rsidR="003148D0">
        <w:rPr>
          <w:snapToGrid w:val="0"/>
          <w:kern w:val="22"/>
          <w:szCs w:val="22"/>
          <w:lang w:val="fr-FR"/>
        </w:rPr>
        <w:t xml:space="preserve"> pertinentes ;</w:t>
      </w:r>
    </w:p>
    <w:p w14:paraId="53090639" w14:textId="77777777" w:rsidR="003148D0" w:rsidRDefault="006D275E" w:rsidP="006D275E">
      <w:pPr>
        <w:suppressLineNumbers/>
        <w:suppressAutoHyphens/>
        <w:kinsoku w:val="0"/>
        <w:overflowPunct w:val="0"/>
        <w:autoSpaceDE w:val="0"/>
        <w:autoSpaceDN w:val="0"/>
        <w:snapToGrid w:val="0"/>
        <w:spacing w:before="120" w:after="120"/>
        <w:ind w:firstLine="720"/>
        <w:rPr>
          <w:snapToGrid w:val="0"/>
          <w:color w:val="000000"/>
          <w:kern w:val="22"/>
          <w:szCs w:val="22"/>
          <w:lang w:val="fr-FR"/>
        </w:rPr>
      </w:pPr>
      <w:r w:rsidRPr="00C42BD9">
        <w:rPr>
          <w:snapToGrid w:val="0"/>
          <w:color w:val="000000"/>
          <w:kern w:val="22"/>
          <w:szCs w:val="22"/>
          <w:lang w:val="fr-FR"/>
        </w:rPr>
        <w:lastRenderedPageBreak/>
        <w:t>8.</w:t>
      </w:r>
      <w:r w:rsidRPr="00C42BD9">
        <w:rPr>
          <w:snapToGrid w:val="0"/>
          <w:color w:val="000000"/>
          <w:kern w:val="22"/>
          <w:szCs w:val="22"/>
          <w:lang w:val="fr-FR"/>
        </w:rPr>
        <w:tab/>
      </w:r>
      <w:r w:rsidRPr="00C42BD9">
        <w:rPr>
          <w:i/>
          <w:iCs/>
          <w:snapToGrid w:val="0"/>
          <w:color w:val="000000"/>
          <w:kern w:val="22"/>
          <w:szCs w:val="22"/>
          <w:lang w:val="fr-FR"/>
        </w:rPr>
        <w:t>Prend note</w:t>
      </w:r>
      <w:r w:rsidR="003148D0">
        <w:rPr>
          <w:snapToGrid w:val="0"/>
          <w:color w:val="000000"/>
          <w:kern w:val="22"/>
          <w:szCs w:val="22"/>
          <w:lang w:val="fr-FR"/>
        </w:rPr>
        <w:t xml:space="preserve"> des efforts </w:t>
      </w:r>
      <w:r w:rsidRPr="00C42BD9">
        <w:rPr>
          <w:snapToGrid w:val="0"/>
          <w:color w:val="000000"/>
          <w:kern w:val="22"/>
          <w:szCs w:val="22"/>
          <w:lang w:val="fr-FR"/>
        </w:rPr>
        <w:t>prodigués</w:t>
      </w:r>
      <w:r w:rsidR="003148D0">
        <w:rPr>
          <w:snapToGrid w:val="0"/>
          <w:color w:val="000000"/>
          <w:kern w:val="22"/>
          <w:szCs w:val="22"/>
          <w:lang w:val="fr-FR"/>
        </w:rPr>
        <w:t xml:space="preserve"> actuellement</w:t>
      </w:r>
      <w:r w:rsidRPr="00C42BD9">
        <w:rPr>
          <w:snapToGrid w:val="0"/>
          <w:color w:val="000000"/>
          <w:kern w:val="22"/>
          <w:szCs w:val="22"/>
          <w:lang w:val="fr-FR"/>
        </w:rPr>
        <w:t xml:space="preserve"> par les Parties, les autres gouvernements, les organisations pertinentes et d’autres entités pour fournir des informations sur les avancées, les lacunes dans les connaissances et d’autres questions </w:t>
      </w:r>
      <w:r w:rsidR="003148D0">
        <w:rPr>
          <w:snapToGrid w:val="0"/>
          <w:color w:val="000000"/>
          <w:kern w:val="22"/>
          <w:szCs w:val="22"/>
          <w:lang w:val="fr-FR"/>
        </w:rPr>
        <w:t xml:space="preserve">relatives à la biologie de synthèse </w:t>
      </w:r>
      <w:r w:rsidRPr="00C42BD9">
        <w:rPr>
          <w:snapToGrid w:val="0"/>
          <w:color w:val="000000"/>
          <w:kern w:val="22"/>
          <w:szCs w:val="22"/>
          <w:lang w:val="fr-FR"/>
        </w:rPr>
        <w:t xml:space="preserve">qui intéressent les </w:t>
      </w:r>
      <w:r w:rsidR="003148D0">
        <w:rPr>
          <w:snapToGrid w:val="0"/>
          <w:color w:val="000000"/>
          <w:kern w:val="22"/>
          <w:szCs w:val="22"/>
          <w:lang w:val="fr-FR"/>
        </w:rPr>
        <w:t>objectifs de la Convention ;</w:t>
      </w:r>
    </w:p>
    <w:p w14:paraId="1207571E" w14:textId="5309177F" w:rsidR="003148D0" w:rsidRDefault="003148D0" w:rsidP="006D275E">
      <w:pPr>
        <w:suppressLineNumbers/>
        <w:suppressAutoHyphens/>
        <w:kinsoku w:val="0"/>
        <w:overflowPunct w:val="0"/>
        <w:autoSpaceDE w:val="0"/>
        <w:autoSpaceDN w:val="0"/>
        <w:snapToGrid w:val="0"/>
        <w:spacing w:before="120" w:after="120"/>
        <w:ind w:firstLine="720"/>
        <w:rPr>
          <w:snapToGrid w:val="0"/>
          <w:kern w:val="22"/>
          <w:szCs w:val="22"/>
          <w:lang w:val="fr-FR"/>
        </w:rPr>
      </w:pPr>
      <w:r>
        <w:rPr>
          <w:snapToGrid w:val="0"/>
          <w:kern w:val="22"/>
          <w:szCs w:val="22"/>
          <w:lang w:val="fr-FR"/>
        </w:rPr>
        <w:t>9.</w:t>
      </w:r>
      <w:r>
        <w:rPr>
          <w:snapToGrid w:val="0"/>
          <w:kern w:val="22"/>
          <w:szCs w:val="22"/>
          <w:lang w:val="fr-FR"/>
        </w:rPr>
        <w:tab/>
      </w:r>
      <w:r w:rsidRPr="00C42BD9">
        <w:rPr>
          <w:i/>
          <w:snapToGrid w:val="0"/>
          <w:kern w:val="22"/>
          <w:szCs w:val="22"/>
          <w:lang w:val="fr-FR"/>
        </w:rPr>
        <w:t xml:space="preserve">Reconnaît </w:t>
      </w:r>
      <w:r w:rsidRPr="00C42BD9">
        <w:rPr>
          <w:snapToGrid w:val="0"/>
          <w:kern w:val="22"/>
          <w:szCs w:val="22"/>
          <w:lang w:val="fr-FR"/>
        </w:rPr>
        <w:t>que des recherches et analyses doivent être effectuées et des orientations peuvent s’avérer utiles</w:t>
      </w:r>
      <w:r w:rsidRPr="00C42BD9">
        <w:rPr>
          <w:rStyle w:val="FootnoteReference"/>
          <w:snapToGrid w:val="0"/>
          <w:kern w:val="22"/>
          <w:szCs w:val="22"/>
          <w:lang w:val="fr-FR"/>
        </w:rPr>
        <w:footnoteReference w:id="2"/>
      </w:r>
      <w:r w:rsidRPr="00C42BD9">
        <w:rPr>
          <w:snapToGrid w:val="0"/>
          <w:kern w:val="22"/>
          <w:szCs w:val="22"/>
          <w:lang w:val="fr-FR"/>
        </w:rPr>
        <w:t xml:space="preserve"> pour appuyer une évalua</w:t>
      </w:r>
      <w:r>
        <w:rPr>
          <w:snapToGrid w:val="0"/>
          <w:kern w:val="22"/>
          <w:szCs w:val="22"/>
          <w:lang w:val="fr-FR"/>
        </w:rPr>
        <w:t>tion des risques au cas par cas</w:t>
      </w:r>
      <w:r w:rsidRPr="00C42BD9">
        <w:rPr>
          <w:snapToGrid w:val="0"/>
          <w:kern w:val="22"/>
          <w:szCs w:val="22"/>
          <w:lang w:val="fr-FR"/>
        </w:rPr>
        <w:t xml:space="preserve"> avant d’envisager leur dissémination dans l’environnement, puisque des effets défavorables potentiels peuvent résulter des organismes </w:t>
      </w:r>
      <w:r>
        <w:rPr>
          <w:snapToGrid w:val="0"/>
          <w:kern w:val="22"/>
          <w:szCs w:val="22"/>
          <w:lang w:val="fr-FR"/>
        </w:rPr>
        <w:t>ayant subi un forçage génétique ;</w:t>
      </w:r>
    </w:p>
    <w:p w14:paraId="248B8B5D" w14:textId="0ABC3DAC" w:rsidR="006D275E" w:rsidRPr="00C42BD9" w:rsidRDefault="003148D0" w:rsidP="006D275E">
      <w:pPr>
        <w:suppressLineNumbers/>
        <w:suppressAutoHyphens/>
        <w:kinsoku w:val="0"/>
        <w:overflowPunct w:val="0"/>
        <w:autoSpaceDE w:val="0"/>
        <w:autoSpaceDN w:val="0"/>
        <w:snapToGrid w:val="0"/>
        <w:spacing w:before="120" w:after="120"/>
        <w:ind w:firstLine="720"/>
        <w:rPr>
          <w:snapToGrid w:val="0"/>
          <w:color w:val="000000"/>
          <w:kern w:val="22"/>
          <w:szCs w:val="22"/>
          <w:lang w:val="fr-FR"/>
        </w:rPr>
      </w:pPr>
      <w:r>
        <w:rPr>
          <w:iCs/>
          <w:snapToGrid w:val="0"/>
          <w:color w:val="000000" w:themeColor="text1"/>
          <w:kern w:val="22"/>
          <w:szCs w:val="22"/>
          <w:lang w:val="fr-FR"/>
        </w:rPr>
        <w:t>10.</w:t>
      </w:r>
      <w:r>
        <w:rPr>
          <w:iCs/>
          <w:snapToGrid w:val="0"/>
          <w:color w:val="000000" w:themeColor="text1"/>
          <w:kern w:val="22"/>
          <w:szCs w:val="22"/>
          <w:lang w:val="fr-FR"/>
        </w:rPr>
        <w:tab/>
      </w:r>
      <w:r w:rsidRPr="00C42BD9">
        <w:rPr>
          <w:i/>
          <w:iCs/>
          <w:snapToGrid w:val="0"/>
          <w:color w:val="000000" w:themeColor="text1"/>
          <w:kern w:val="22"/>
          <w:szCs w:val="22"/>
          <w:lang w:val="fr-FR"/>
        </w:rPr>
        <w:t>Prend note</w:t>
      </w:r>
      <w:r w:rsidRPr="00C42BD9">
        <w:rPr>
          <w:snapToGrid w:val="0"/>
          <w:color w:val="000000" w:themeColor="text1"/>
          <w:kern w:val="22"/>
          <w:szCs w:val="22"/>
          <w:lang w:val="fr-FR"/>
        </w:rPr>
        <w:t xml:space="preserve"> des conclusions du Groupe spécial d’experts techniques sur la biologie de synthèse</w:t>
      </w:r>
      <w:r w:rsidRPr="00C42BD9">
        <w:rPr>
          <w:rStyle w:val="FootnoteReference"/>
          <w:snapToGrid w:val="0"/>
          <w:color w:val="000000" w:themeColor="text1"/>
          <w:kern w:val="22"/>
          <w:szCs w:val="22"/>
          <w:lang w:val="fr-FR"/>
        </w:rPr>
        <w:footnoteReference w:id="3"/>
      </w:r>
      <w:r w:rsidR="0084014E">
        <w:rPr>
          <w:snapToGrid w:val="0"/>
          <w:color w:val="000000" w:themeColor="text1"/>
          <w:kern w:val="22"/>
          <w:szCs w:val="22"/>
          <w:lang w:val="fr-FR"/>
        </w:rPr>
        <w:t>, à savoir</w:t>
      </w:r>
      <w:r w:rsidRPr="00C42BD9">
        <w:rPr>
          <w:snapToGrid w:val="0"/>
          <w:color w:val="000000" w:themeColor="text1"/>
          <w:kern w:val="22"/>
          <w:szCs w:val="22"/>
          <w:lang w:val="fr-FR"/>
        </w:rPr>
        <w:t xml:space="preserve"> qu’</w:t>
      </w:r>
      <w:r w:rsidRPr="00C42BD9">
        <w:rPr>
          <w:snapToGrid w:val="0"/>
          <w:color w:val="000000"/>
          <w:kern w:val="22"/>
          <w:szCs w:val="22"/>
          <w:lang w:val="fr-FR"/>
        </w:rPr>
        <w:t xml:space="preserve">en raison </w:t>
      </w:r>
      <w:r w:rsidRPr="00C42BD9">
        <w:rPr>
          <w:kern w:val="22"/>
          <w:szCs w:val="22"/>
          <w:lang w:val="fr-FR"/>
        </w:rPr>
        <w:t>des incertitudes actuelles concernant le forçage génétique, il conviendrait d’obtenir le consentement préalable, donné librement et en connaissance de cause des peuples autochtones et des communautés locales lorsque la dissémination d’organismes ayant subi un forçage génétique qui pourraient avoir un impact sur leurs connaissances, innovations, pratiques, moyens de subsistance et utilisation traditionnels des terres et des eaux</w:t>
      </w:r>
      <w:r w:rsidR="0084014E">
        <w:rPr>
          <w:kern w:val="22"/>
          <w:szCs w:val="22"/>
          <w:lang w:val="fr-FR"/>
        </w:rPr>
        <w:t xml:space="preserve"> </w:t>
      </w:r>
      <w:r w:rsidR="0084014E" w:rsidRPr="00C42BD9">
        <w:rPr>
          <w:kern w:val="22"/>
          <w:szCs w:val="22"/>
          <w:lang w:val="fr-FR"/>
        </w:rPr>
        <w:t>est envisagée</w:t>
      </w:r>
      <w:r w:rsidR="0084014E">
        <w:rPr>
          <w:kern w:val="22"/>
          <w:szCs w:val="22"/>
          <w:lang w:val="fr-FR"/>
        </w:rPr>
        <w:t> ;</w:t>
      </w:r>
      <w:r w:rsidR="006D275E" w:rsidRPr="00C42BD9">
        <w:rPr>
          <w:snapToGrid w:val="0"/>
          <w:color w:val="000000"/>
          <w:kern w:val="22"/>
          <w:szCs w:val="22"/>
          <w:lang w:val="fr-FR"/>
        </w:rPr>
        <w:t xml:space="preserve"> </w:t>
      </w:r>
    </w:p>
    <w:p w14:paraId="186E23B0" w14:textId="23811590" w:rsidR="006D275E" w:rsidRPr="00C42BD9" w:rsidRDefault="0084014E" w:rsidP="006D275E">
      <w:pPr>
        <w:suppressLineNumbers/>
        <w:suppressAutoHyphens/>
        <w:kinsoku w:val="0"/>
        <w:overflowPunct w:val="0"/>
        <w:autoSpaceDE w:val="0"/>
        <w:autoSpaceDN w:val="0"/>
        <w:snapToGrid w:val="0"/>
        <w:spacing w:before="120" w:after="120"/>
        <w:ind w:firstLine="720"/>
        <w:rPr>
          <w:snapToGrid w:val="0"/>
          <w:kern w:val="22"/>
          <w:szCs w:val="22"/>
          <w:lang w:val="fr-FR"/>
        </w:rPr>
      </w:pPr>
      <w:r>
        <w:rPr>
          <w:snapToGrid w:val="0"/>
          <w:color w:val="000000"/>
          <w:kern w:val="22"/>
          <w:szCs w:val="22"/>
          <w:lang w:val="fr-FR"/>
        </w:rPr>
        <w:t>11</w:t>
      </w:r>
      <w:r w:rsidR="006D275E" w:rsidRPr="00C42BD9">
        <w:rPr>
          <w:snapToGrid w:val="0"/>
          <w:color w:val="000000"/>
          <w:kern w:val="22"/>
          <w:szCs w:val="22"/>
          <w:lang w:val="fr-FR"/>
        </w:rPr>
        <w:t>.</w:t>
      </w:r>
      <w:r w:rsidR="006D275E" w:rsidRPr="00C42BD9">
        <w:rPr>
          <w:snapToGrid w:val="0"/>
          <w:color w:val="000000"/>
          <w:kern w:val="22"/>
          <w:szCs w:val="22"/>
          <w:lang w:val="fr-FR"/>
        </w:rPr>
        <w:tab/>
      </w:r>
      <w:r w:rsidR="006D275E" w:rsidRPr="00C42BD9">
        <w:rPr>
          <w:i/>
          <w:iCs/>
          <w:snapToGrid w:val="0"/>
          <w:color w:val="000000"/>
          <w:kern w:val="22"/>
          <w:szCs w:val="22"/>
          <w:lang w:val="fr-FR"/>
        </w:rPr>
        <w:t>Demande</w:t>
      </w:r>
      <w:r w:rsidR="006D275E" w:rsidRPr="00C42BD9">
        <w:rPr>
          <w:snapToGrid w:val="0"/>
          <w:color w:val="000000"/>
          <w:kern w:val="22"/>
          <w:szCs w:val="22"/>
          <w:lang w:val="fr-FR"/>
        </w:rPr>
        <w:t xml:space="preserve"> aux Parties et aux autres gouvernements, compte tenu des incertitudes actuelles concernant le forçage génétique, d’appliquer </w:t>
      </w:r>
      <w:r w:rsidR="006D275E" w:rsidRPr="00C42BD9">
        <w:rPr>
          <w:snapToGrid w:val="0"/>
          <w:kern w:val="22"/>
          <w:szCs w:val="22"/>
          <w:lang w:val="fr-FR"/>
        </w:rPr>
        <w:t>une approche de précaution</w:t>
      </w:r>
      <w:r w:rsidR="00FF7E2E" w:rsidRPr="00C42BD9">
        <w:rPr>
          <w:rStyle w:val="FootnoteReference"/>
          <w:color w:val="000000"/>
          <w:kern w:val="22"/>
          <w:szCs w:val="22"/>
          <w:lang w:val="fr-FR" w:eastAsia="x-none"/>
        </w:rPr>
        <w:footnoteReference w:id="4"/>
      </w:r>
      <w:r w:rsidR="00FF7E2E" w:rsidRPr="00C42BD9">
        <w:rPr>
          <w:snapToGrid w:val="0"/>
          <w:kern w:val="22"/>
          <w:szCs w:val="22"/>
          <w:lang w:val="fr-FR"/>
        </w:rPr>
        <w:t>, co</w:t>
      </w:r>
      <w:r w:rsidR="006D275E" w:rsidRPr="00C42BD9">
        <w:rPr>
          <w:snapToGrid w:val="0"/>
          <w:kern w:val="22"/>
          <w:szCs w:val="22"/>
          <w:lang w:val="fr-FR"/>
        </w:rPr>
        <w:t xml:space="preserve">nformément aux objectifs de la Convention, et </w:t>
      </w:r>
      <w:r w:rsidR="006D275E" w:rsidRPr="00C42BD9">
        <w:rPr>
          <w:i/>
          <w:snapToGrid w:val="0"/>
          <w:kern w:val="22"/>
          <w:szCs w:val="22"/>
          <w:lang w:val="fr-FR"/>
        </w:rPr>
        <w:t>demande également</w:t>
      </w:r>
      <w:r w:rsidR="006D275E" w:rsidRPr="00C42BD9">
        <w:rPr>
          <w:snapToGrid w:val="0"/>
          <w:kern w:val="22"/>
          <w:szCs w:val="22"/>
          <w:lang w:val="fr-FR"/>
        </w:rPr>
        <w:t xml:space="preserve"> aux Parties et aux autres gouvernements de ne considérer l'int</w:t>
      </w:r>
      <w:r>
        <w:rPr>
          <w:snapToGrid w:val="0"/>
          <w:kern w:val="22"/>
          <w:szCs w:val="22"/>
          <w:lang w:val="fr-FR"/>
        </w:rPr>
        <w:t>roduction d'organismes ayant subi un forçage génétique</w:t>
      </w:r>
      <w:r w:rsidR="006D275E" w:rsidRPr="00C42BD9">
        <w:rPr>
          <w:snapToGrid w:val="0"/>
          <w:kern w:val="22"/>
          <w:szCs w:val="22"/>
          <w:lang w:val="fr-FR"/>
        </w:rPr>
        <w:t xml:space="preserve"> dans l'environnement, y compris à des fins expérimentales de dissémination et de recherche et développement, que lorsque :</w:t>
      </w:r>
    </w:p>
    <w:p w14:paraId="545BD38E" w14:textId="2D3122EF"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kern w:val="22"/>
          <w:szCs w:val="22"/>
          <w:lang w:val="fr-FR"/>
        </w:rPr>
      </w:pPr>
      <w:r w:rsidRPr="00C42BD9">
        <w:rPr>
          <w:snapToGrid w:val="0"/>
          <w:kern w:val="22"/>
          <w:szCs w:val="22"/>
          <w:lang w:val="fr-FR"/>
        </w:rPr>
        <w:t xml:space="preserve">a) </w:t>
      </w:r>
      <w:r w:rsidR="00FF7E2E" w:rsidRPr="00C42BD9">
        <w:rPr>
          <w:snapToGrid w:val="0"/>
          <w:kern w:val="22"/>
          <w:szCs w:val="22"/>
          <w:lang w:val="fr-FR"/>
        </w:rPr>
        <w:tab/>
      </w:r>
      <w:r w:rsidRPr="00C42BD9">
        <w:rPr>
          <w:snapToGrid w:val="0"/>
          <w:kern w:val="22"/>
          <w:szCs w:val="22"/>
          <w:lang w:val="fr-FR"/>
        </w:rPr>
        <w:t>Des évaluations scientifiques approfondies des risques on</w:t>
      </w:r>
      <w:r w:rsidR="00527E65" w:rsidRPr="00C42BD9">
        <w:rPr>
          <w:snapToGrid w:val="0"/>
          <w:kern w:val="22"/>
          <w:szCs w:val="22"/>
          <w:lang w:val="fr-FR"/>
        </w:rPr>
        <w:t>t été effectuées au cas par cas</w:t>
      </w:r>
      <w:r w:rsidR="0084014E">
        <w:rPr>
          <w:snapToGrid w:val="0"/>
          <w:kern w:val="22"/>
          <w:szCs w:val="22"/>
          <w:lang w:val="fr-FR"/>
        </w:rPr>
        <w:t> ;</w:t>
      </w:r>
    </w:p>
    <w:p w14:paraId="61CFC666" w14:textId="4B8B6241"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kern w:val="22"/>
          <w:szCs w:val="22"/>
          <w:lang w:val="fr-FR"/>
        </w:rPr>
      </w:pPr>
      <w:r w:rsidRPr="00C42BD9">
        <w:rPr>
          <w:snapToGrid w:val="0"/>
          <w:kern w:val="22"/>
          <w:szCs w:val="22"/>
          <w:lang w:val="fr-FR"/>
        </w:rPr>
        <w:t xml:space="preserve">b) </w:t>
      </w:r>
      <w:r w:rsidR="00FF7E2E" w:rsidRPr="00C42BD9">
        <w:rPr>
          <w:snapToGrid w:val="0"/>
          <w:kern w:val="22"/>
          <w:szCs w:val="22"/>
          <w:lang w:val="fr-FR"/>
        </w:rPr>
        <w:tab/>
      </w:r>
      <w:r w:rsidRPr="00C42BD9">
        <w:rPr>
          <w:snapToGrid w:val="0"/>
          <w:kern w:val="22"/>
          <w:szCs w:val="22"/>
          <w:lang w:val="fr-FR"/>
        </w:rPr>
        <w:t>Des mécanismes de gestion des risques ont été établis pour éviter ou réduire au minimum les effets néf</w:t>
      </w:r>
      <w:r w:rsidR="00527E65" w:rsidRPr="00C42BD9">
        <w:rPr>
          <w:snapToGrid w:val="0"/>
          <w:kern w:val="22"/>
          <w:szCs w:val="22"/>
          <w:lang w:val="fr-FR"/>
        </w:rPr>
        <w:t>astes potentiels, si nécessaire</w:t>
      </w:r>
      <w:r w:rsidR="0084014E">
        <w:rPr>
          <w:snapToGrid w:val="0"/>
          <w:kern w:val="22"/>
          <w:szCs w:val="22"/>
          <w:lang w:val="fr-FR"/>
        </w:rPr>
        <w:t> ;</w:t>
      </w:r>
    </w:p>
    <w:p w14:paraId="7AFB32C2" w14:textId="66790F9B"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kern w:val="22"/>
          <w:szCs w:val="22"/>
          <w:lang w:val="fr-FR"/>
        </w:rPr>
      </w:pPr>
      <w:r w:rsidRPr="00C42BD9">
        <w:rPr>
          <w:snapToGrid w:val="0"/>
          <w:kern w:val="22"/>
          <w:szCs w:val="22"/>
          <w:lang w:val="fr-FR"/>
        </w:rPr>
        <w:t xml:space="preserve">c) </w:t>
      </w:r>
      <w:r w:rsidR="00FF7E2E" w:rsidRPr="00C42BD9">
        <w:rPr>
          <w:snapToGrid w:val="0"/>
          <w:kern w:val="22"/>
          <w:szCs w:val="22"/>
          <w:lang w:val="fr-FR"/>
        </w:rPr>
        <w:tab/>
      </w:r>
      <w:r w:rsidRPr="00C42BD9">
        <w:rPr>
          <w:snapToGrid w:val="0"/>
          <w:kern w:val="22"/>
          <w:szCs w:val="22"/>
          <w:lang w:val="fr-FR"/>
        </w:rPr>
        <w:t>Le cas échéant, le « consentement préalable donné en connaissance de cause », le « consentement préalable donné librement et en connaissance de cause » ou « l’approbation et la participation</w:t>
      </w:r>
      <w:r w:rsidRPr="00C42BD9">
        <w:rPr>
          <w:rStyle w:val="FootnoteReference"/>
          <w:color w:val="000000"/>
          <w:kern w:val="22"/>
          <w:szCs w:val="22"/>
          <w:lang w:val="fr-FR" w:eastAsia="x-none"/>
        </w:rPr>
        <w:footnoteReference w:id="5"/>
      </w:r>
      <w:r w:rsidRPr="00C42BD9">
        <w:rPr>
          <w:snapToGrid w:val="0"/>
          <w:kern w:val="22"/>
          <w:szCs w:val="22"/>
          <w:lang w:val="fr-FR"/>
        </w:rPr>
        <w:t> » des peuples autochtones et des communautés locales potentie</w:t>
      </w:r>
      <w:r w:rsidR="00FF7E2E" w:rsidRPr="00C42BD9">
        <w:rPr>
          <w:snapToGrid w:val="0"/>
          <w:kern w:val="22"/>
          <w:szCs w:val="22"/>
          <w:lang w:val="fr-FR"/>
        </w:rPr>
        <w:t xml:space="preserve">llement touchés sont sollicités </w:t>
      </w:r>
      <w:r w:rsidRPr="00C42BD9">
        <w:rPr>
          <w:snapToGrid w:val="0"/>
          <w:kern w:val="22"/>
          <w:szCs w:val="22"/>
          <w:lang w:val="fr-FR"/>
        </w:rPr>
        <w:t>ou obtenus, selon les circonstances nationales et conformément aux lois en vigueur;</w:t>
      </w:r>
    </w:p>
    <w:p w14:paraId="5DC9D377" w14:textId="6CDD0692"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color w:val="000000" w:themeColor="text1"/>
          <w:kern w:val="22"/>
          <w:szCs w:val="22"/>
          <w:lang w:val="fr-FR"/>
        </w:rPr>
      </w:pPr>
      <w:r w:rsidRPr="00C42BD9">
        <w:rPr>
          <w:snapToGrid w:val="0"/>
          <w:color w:val="000000" w:themeColor="text1"/>
          <w:kern w:val="22"/>
          <w:szCs w:val="22"/>
          <w:lang w:val="fr-FR"/>
        </w:rPr>
        <w:t>12.</w:t>
      </w:r>
      <w:r w:rsidRPr="00C42BD9">
        <w:rPr>
          <w:snapToGrid w:val="0"/>
          <w:color w:val="000000" w:themeColor="text1"/>
          <w:kern w:val="22"/>
          <w:szCs w:val="22"/>
          <w:lang w:val="fr-FR"/>
        </w:rPr>
        <w:tab/>
      </w:r>
      <w:r w:rsidRPr="00C42BD9">
        <w:rPr>
          <w:i/>
          <w:snapToGrid w:val="0"/>
          <w:kern w:val="22"/>
          <w:szCs w:val="22"/>
          <w:lang w:val="fr-FR"/>
        </w:rPr>
        <w:t>Demande</w:t>
      </w:r>
      <w:r w:rsidRPr="00C42BD9">
        <w:rPr>
          <w:snapToGrid w:val="0"/>
          <w:kern w:val="22"/>
          <w:szCs w:val="22"/>
          <w:lang w:val="fr-FR"/>
        </w:rPr>
        <w:t xml:space="preserve"> aux Parties, aux autres gouvernements et aux organisations compétentes de continuer d’élaborer ou d’appliquer, selon qu’il convient, des mesures pour prévenir ou réduire à un minimum les effets défavorables potentiels découlant d’une exposition de l’</w:t>
      </w:r>
      <w:r w:rsidRPr="00C42BD9">
        <w:rPr>
          <w:snapToGrid w:val="0"/>
          <w:color w:val="000000"/>
          <w:kern w:val="22"/>
          <w:szCs w:val="22"/>
          <w:lang w:val="fr-FR"/>
        </w:rPr>
        <w:t>environnement à des organismes, composants et produits issus de la biologie de synthèse utilisés en milieu confiné, y compris des mesures</w:t>
      </w:r>
      <w:r w:rsidRPr="00C42BD9">
        <w:rPr>
          <w:snapToGrid w:val="0"/>
          <w:color w:val="000000" w:themeColor="text1"/>
          <w:kern w:val="22"/>
          <w:szCs w:val="22"/>
          <w:lang w:val="fr-FR"/>
        </w:rPr>
        <w:t xml:space="preserve"> </w:t>
      </w:r>
      <w:r w:rsidR="00F0045D">
        <w:rPr>
          <w:kern w:val="22"/>
          <w:szCs w:val="22"/>
          <w:lang w:val="fr-FR"/>
        </w:rPr>
        <w:t>de détection, d’identification et de</w:t>
      </w:r>
      <w:r w:rsidRPr="00C42BD9">
        <w:rPr>
          <w:kern w:val="22"/>
          <w:szCs w:val="22"/>
          <w:lang w:val="fr-FR"/>
        </w:rPr>
        <w:t xml:space="preserve"> surveillance, selon les circonstances nationales ou conformément aux lignes directrices reconnues au niveau international, selon qu’il convient, et en prenant dûment en considération les centres d’or</w:t>
      </w:r>
      <w:r w:rsidR="00F0045D">
        <w:rPr>
          <w:kern w:val="22"/>
          <w:szCs w:val="22"/>
          <w:lang w:val="fr-FR"/>
        </w:rPr>
        <w:t>igine et la diversité génétique ;</w:t>
      </w:r>
    </w:p>
    <w:p w14:paraId="22C25339" w14:textId="76686D45"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color w:val="000000"/>
          <w:kern w:val="22"/>
          <w:szCs w:val="22"/>
          <w:lang w:val="fr-FR"/>
        </w:rPr>
      </w:pPr>
      <w:r w:rsidRPr="00C42BD9">
        <w:rPr>
          <w:snapToGrid w:val="0"/>
          <w:color w:val="000000"/>
          <w:kern w:val="22"/>
          <w:szCs w:val="22"/>
          <w:lang w:val="fr-FR"/>
        </w:rPr>
        <w:t>13.</w:t>
      </w:r>
      <w:r w:rsidRPr="00C42BD9">
        <w:rPr>
          <w:snapToGrid w:val="0"/>
          <w:color w:val="000000"/>
          <w:kern w:val="22"/>
          <w:szCs w:val="22"/>
          <w:lang w:val="fr-FR"/>
        </w:rPr>
        <w:tab/>
      </w:r>
      <w:r w:rsidRPr="00C42BD9">
        <w:rPr>
          <w:i/>
          <w:snapToGrid w:val="0"/>
          <w:color w:val="000000"/>
          <w:kern w:val="22"/>
          <w:szCs w:val="22"/>
          <w:lang w:val="fr-FR"/>
        </w:rPr>
        <w:t>Demande aussi</w:t>
      </w:r>
      <w:r w:rsidRPr="00C42BD9">
        <w:rPr>
          <w:snapToGrid w:val="0"/>
          <w:color w:val="000000"/>
          <w:kern w:val="22"/>
          <w:szCs w:val="22"/>
          <w:lang w:val="fr-FR"/>
        </w:rPr>
        <w:t xml:space="preserve"> aux Parties, aux autres gouvernements et aux organisations compétentes de continuer de diffuser des </w:t>
      </w:r>
      <w:r w:rsidRPr="00C42BD9">
        <w:rPr>
          <w:snapToGrid w:val="0"/>
          <w:kern w:val="22"/>
          <w:szCs w:val="22"/>
          <w:lang w:val="fr-FR"/>
        </w:rPr>
        <w:t>informations</w:t>
      </w:r>
      <w:r w:rsidRPr="00C42BD9">
        <w:rPr>
          <w:snapToGrid w:val="0"/>
          <w:color w:val="000000"/>
          <w:kern w:val="22"/>
          <w:szCs w:val="22"/>
          <w:lang w:val="fr-FR"/>
        </w:rPr>
        <w:t xml:space="preserve"> et de parta</w:t>
      </w:r>
      <w:r w:rsidR="00F0045D">
        <w:rPr>
          <w:snapToGrid w:val="0"/>
          <w:color w:val="000000"/>
          <w:kern w:val="22"/>
          <w:szCs w:val="22"/>
          <w:lang w:val="fr-FR"/>
        </w:rPr>
        <w:t>ger, notamment par le biais du c</w:t>
      </w:r>
      <w:r w:rsidRPr="00C42BD9">
        <w:rPr>
          <w:snapToGrid w:val="0"/>
          <w:color w:val="000000"/>
          <w:kern w:val="22"/>
          <w:szCs w:val="22"/>
          <w:lang w:val="fr-FR"/>
        </w:rPr>
        <w:t>entre d'</w:t>
      </w:r>
      <w:r w:rsidR="00F0045D">
        <w:rPr>
          <w:snapToGrid w:val="0"/>
          <w:color w:val="000000"/>
          <w:kern w:val="22"/>
          <w:szCs w:val="22"/>
          <w:lang w:val="fr-FR"/>
        </w:rPr>
        <w:t>échange de la Convention et du c</w:t>
      </w:r>
      <w:r w:rsidRPr="00C42BD9">
        <w:rPr>
          <w:snapToGrid w:val="0"/>
          <w:color w:val="000000"/>
          <w:kern w:val="22"/>
          <w:szCs w:val="22"/>
          <w:lang w:val="fr-FR"/>
        </w:rPr>
        <w:t>entre d’échange pour la prévention des risques biotechnologiques, leurs données d’expérience sur les évaluations scientifiques des avantages potentiels et des effets défavorables potentiels de la biologie de synthèse sur la diversité biologique, y compris, entre autres, les effets de certaines applications spécifi</w:t>
      </w:r>
      <w:r w:rsidR="00F0045D">
        <w:rPr>
          <w:snapToGrid w:val="0"/>
          <w:color w:val="000000"/>
          <w:kern w:val="22"/>
          <w:szCs w:val="22"/>
          <w:lang w:val="fr-FR"/>
        </w:rPr>
        <w:t>ques d’</w:t>
      </w:r>
      <w:r w:rsidRPr="00C42BD9">
        <w:rPr>
          <w:snapToGrid w:val="0"/>
          <w:color w:val="000000"/>
          <w:kern w:val="22"/>
          <w:szCs w:val="22"/>
          <w:lang w:val="fr-FR"/>
        </w:rPr>
        <w:t>organismes résultant du forçage génétique et les effets de l’utilisation d’organismes vivants modifiés qui ont é</w:t>
      </w:r>
      <w:r w:rsidR="00F0045D">
        <w:rPr>
          <w:snapToGrid w:val="0"/>
          <w:color w:val="000000"/>
          <w:kern w:val="22"/>
          <w:szCs w:val="22"/>
          <w:lang w:val="fr-FR"/>
        </w:rPr>
        <w:t>té libérés dans l’environnement ;</w:t>
      </w:r>
    </w:p>
    <w:p w14:paraId="13FF8721" w14:textId="4A63F039"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kern w:val="22"/>
          <w:szCs w:val="22"/>
          <w:lang w:val="fr-FR"/>
        </w:rPr>
      </w:pPr>
      <w:r w:rsidRPr="00C42BD9">
        <w:rPr>
          <w:iCs/>
          <w:snapToGrid w:val="0"/>
          <w:kern w:val="22"/>
          <w:szCs w:val="22"/>
          <w:lang w:val="fr-FR"/>
        </w:rPr>
        <w:lastRenderedPageBreak/>
        <w:t>14.</w:t>
      </w:r>
      <w:r w:rsidRPr="00C42BD9">
        <w:rPr>
          <w:iCs/>
          <w:snapToGrid w:val="0"/>
          <w:kern w:val="22"/>
          <w:szCs w:val="22"/>
          <w:lang w:val="fr-FR"/>
        </w:rPr>
        <w:tab/>
      </w:r>
      <w:r w:rsidRPr="00C42BD9">
        <w:rPr>
          <w:i/>
          <w:snapToGrid w:val="0"/>
          <w:color w:val="000000"/>
          <w:kern w:val="22"/>
          <w:szCs w:val="22"/>
          <w:lang w:val="fr-FR"/>
        </w:rPr>
        <w:t>Décide</w:t>
      </w:r>
      <w:r w:rsidRPr="00C42BD9">
        <w:rPr>
          <w:iCs/>
          <w:snapToGrid w:val="0"/>
          <w:color w:val="000000"/>
          <w:kern w:val="22"/>
          <w:szCs w:val="22"/>
          <w:lang w:val="fr-FR"/>
        </w:rPr>
        <w:t xml:space="preserve"> de proroger le</w:t>
      </w:r>
      <w:r w:rsidRPr="00C42BD9">
        <w:rPr>
          <w:snapToGrid w:val="0"/>
          <w:color w:val="000000"/>
          <w:kern w:val="22"/>
          <w:szCs w:val="22"/>
          <w:lang w:val="fr-FR"/>
        </w:rPr>
        <w:t xml:space="preserve"> Groupe spécial d’experts techniques sur la biologie de synthèse en renouvelant ses membres, en tenant compte, entre autres, des travau</w:t>
      </w:r>
      <w:r w:rsidR="00F0045D">
        <w:rPr>
          <w:snapToGrid w:val="0"/>
          <w:color w:val="000000"/>
          <w:kern w:val="22"/>
          <w:szCs w:val="22"/>
          <w:lang w:val="fr-FR"/>
        </w:rPr>
        <w:t xml:space="preserve">x sur l’évaluation des risques </w:t>
      </w:r>
      <w:r w:rsidRPr="00C42BD9">
        <w:rPr>
          <w:snapToGrid w:val="0"/>
          <w:color w:val="000000"/>
          <w:kern w:val="22"/>
          <w:szCs w:val="22"/>
          <w:lang w:val="fr-FR"/>
        </w:rPr>
        <w:t>menés au titre du Protocole de Cartagena, afin d’entreprendre des travaux conf</w:t>
      </w:r>
      <w:r w:rsidR="00F0045D">
        <w:rPr>
          <w:snapToGrid w:val="0"/>
          <w:color w:val="000000"/>
          <w:kern w:val="22"/>
          <w:szCs w:val="22"/>
          <w:lang w:val="fr-FR"/>
        </w:rPr>
        <w:t>ormément au mandat figurant à l’annexe de la présente décision ;</w:t>
      </w:r>
    </w:p>
    <w:p w14:paraId="4CEFB329" w14:textId="6178AA80"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color w:val="000000"/>
          <w:kern w:val="22"/>
          <w:szCs w:val="22"/>
          <w:lang w:val="fr-FR"/>
        </w:rPr>
      </w:pPr>
      <w:r w:rsidRPr="00C42BD9">
        <w:rPr>
          <w:snapToGrid w:val="0"/>
          <w:color w:val="000000"/>
          <w:kern w:val="22"/>
          <w:szCs w:val="22"/>
          <w:lang w:val="fr-FR"/>
        </w:rPr>
        <w:t>15.</w:t>
      </w:r>
      <w:r w:rsidRPr="00C42BD9">
        <w:rPr>
          <w:snapToGrid w:val="0"/>
          <w:color w:val="000000"/>
          <w:kern w:val="22"/>
          <w:szCs w:val="22"/>
          <w:lang w:val="fr-FR"/>
        </w:rPr>
        <w:tab/>
      </w:r>
      <w:r w:rsidRPr="00C42BD9">
        <w:rPr>
          <w:i/>
          <w:snapToGrid w:val="0"/>
          <w:color w:val="000000"/>
          <w:kern w:val="22"/>
          <w:szCs w:val="22"/>
          <w:lang w:val="fr-FR"/>
        </w:rPr>
        <w:t>Décide également</w:t>
      </w:r>
      <w:r w:rsidRPr="00C42BD9">
        <w:rPr>
          <w:iCs/>
          <w:snapToGrid w:val="0"/>
          <w:color w:val="000000"/>
          <w:kern w:val="22"/>
          <w:szCs w:val="22"/>
          <w:lang w:val="fr-FR"/>
        </w:rPr>
        <w:t xml:space="preserve"> de proroger le</w:t>
      </w:r>
      <w:r w:rsidRPr="00C42BD9">
        <w:rPr>
          <w:snapToGrid w:val="0"/>
          <w:color w:val="000000"/>
          <w:kern w:val="22"/>
          <w:szCs w:val="22"/>
          <w:lang w:val="fr-FR"/>
        </w:rPr>
        <w:t xml:space="preserve"> Forum en ligne à composition non limitée sur la biologie de synthèse, en tenant compte des travaux sur l’évaluation des risques menés au titre du Protocole de Cartagena, afin d’appuyer les délibérations du Groupe spécial d’experts techniques sur la biologie de synthèse, et </w:t>
      </w:r>
      <w:r w:rsidRPr="00C42BD9">
        <w:rPr>
          <w:i/>
          <w:snapToGrid w:val="0"/>
          <w:color w:val="000000"/>
          <w:kern w:val="22"/>
          <w:szCs w:val="22"/>
          <w:lang w:val="fr-FR"/>
        </w:rPr>
        <w:t xml:space="preserve">invite </w:t>
      </w:r>
      <w:r w:rsidRPr="00C42BD9">
        <w:rPr>
          <w:snapToGrid w:val="0"/>
          <w:color w:val="000000"/>
          <w:kern w:val="22"/>
          <w:szCs w:val="22"/>
          <w:lang w:val="fr-FR"/>
        </w:rPr>
        <w:t>les Parties, les autres gouvernements, les peuples autochtones et communautés locales et les organisations compétentes à continuer de désigner des experts pour participer au Forum en ligne sur la biologie de syn</w:t>
      </w:r>
      <w:r w:rsidR="00970898">
        <w:rPr>
          <w:snapToGrid w:val="0"/>
          <w:color w:val="000000"/>
          <w:kern w:val="22"/>
          <w:szCs w:val="22"/>
          <w:lang w:val="fr-FR"/>
        </w:rPr>
        <w:t>thèse ;</w:t>
      </w:r>
    </w:p>
    <w:p w14:paraId="22B91240" w14:textId="2A9F381B"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color w:val="000000"/>
          <w:kern w:val="22"/>
          <w:szCs w:val="22"/>
          <w:lang w:val="fr-FR"/>
        </w:rPr>
      </w:pPr>
      <w:r w:rsidRPr="00C42BD9">
        <w:rPr>
          <w:snapToGrid w:val="0"/>
          <w:color w:val="000000"/>
          <w:kern w:val="22"/>
          <w:szCs w:val="22"/>
          <w:lang w:val="fr-FR"/>
        </w:rPr>
        <w:t>16.</w:t>
      </w:r>
      <w:r w:rsidRPr="00C42BD9">
        <w:rPr>
          <w:snapToGrid w:val="0"/>
          <w:color w:val="000000"/>
          <w:kern w:val="22"/>
          <w:szCs w:val="22"/>
          <w:lang w:val="fr-FR"/>
        </w:rPr>
        <w:tab/>
      </w:r>
      <w:r w:rsidRPr="00C42BD9">
        <w:rPr>
          <w:i/>
          <w:snapToGrid w:val="0"/>
          <w:kern w:val="22"/>
          <w:szCs w:val="22"/>
          <w:lang w:val="fr-FR"/>
        </w:rPr>
        <w:t>Invite</w:t>
      </w:r>
      <w:r w:rsidRPr="00C42BD9">
        <w:rPr>
          <w:snapToGrid w:val="0"/>
          <w:kern w:val="22"/>
          <w:szCs w:val="22"/>
          <w:lang w:val="fr-FR"/>
        </w:rPr>
        <w:t xml:space="preserve"> les Parties, les autres gouvernements, les peuples autochtones et communautés locales et les </w:t>
      </w:r>
      <w:r w:rsidRPr="00C42BD9">
        <w:rPr>
          <w:snapToGrid w:val="0"/>
          <w:color w:val="000000" w:themeColor="text1"/>
          <w:kern w:val="22"/>
          <w:szCs w:val="22"/>
          <w:lang w:val="fr-FR"/>
        </w:rPr>
        <w:t xml:space="preserve">organisations compétentes à fournir à la Secrétaire exécutive des informations pertinentes relatives aux </w:t>
      </w:r>
      <w:r w:rsidR="00970898">
        <w:rPr>
          <w:snapToGrid w:val="0"/>
          <w:color w:val="000000" w:themeColor="text1"/>
          <w:kern w:val="22"/>
          <w:szCs w:val="22"/>
          <w:lang w:val="fr-FR"/>
        </w:rPr>
        <w:t>paragraphes a) à d) de l’annexe</w:t>
      </w:r>
      <w:r w:rsidRPr="00C42BD9">
        <w:rPr>
          <w:snapToGrid w:val="0"/>
          <w:color w:val="000000" w:themeColor="text1"/>
          <w:kern w:val="22"/>
          <w:szCs w:val="22"/>
          <w:lang w:val="fr-FR"/>
        </w:rPr>
        <w:t xml:space="preserve"> afin de contribuer aux travaux du Groupe spécial d’experts techniques;</w:t>
      </w:r>
    </w:p>
    <w:p w14:paraId="30FDD95F" w14:textId="77777777"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color w:val="000000" w:themeColor="text1"/>
          <w:kern w:val="22"/>
          <w:szCs w:val="22"/>
          <w:lang w:val="fr-FR"/>
        </w:rPr>
      </w:pPr>
      <w:r w:rsidRPr="00C42BD9">
        <w:rPr>
          <w:snapToGrid w:val="0"/>
          <w:color w:val="000000" w:themeColor="text1"/>
          <w:kern w:val="22"/>
          <w:szCs w:val="22"/>
          <w:lang w:val="fr-FR"/>
        </w:rPr>
        <w:t>17.</w:t>
      </w:r>
      <w:r w:rsidRPr="00C42BD9">
        <w:rPr>
          <w:snapToGrid w:val="0"/>
          <w:color w:val="000000" w:themeColor="text1"/>
          <w:kern w:val="22"/>
          <w:szCs w:val="22"/>
          <w:lang w:val="fr-FR"/>
        </w:rPr>
        <w:tab/>
      </w:r>
      <w:r w:rsidRPr="00C42BD9">
        <w:rPr>
          <w:i/>
          <w:iCs/>
          <w:snapToGrid w:val="0"/>
          <w:color w:val="000000" w:themeColor="text1"/>
          <w:kern w:val="22"/>
          <w:szCs w:val="22"/>
          <w:lang w:val="fr-FR"/>
        </w:rPr>
        <w:t>Prie</w:t>
      </w:r>
      <w:r w:rsidRPr="00C42BD9">
        <w:rPr>
          <w:snapToGrid w:val="0"/>
          <w:color w:val="000000" w:themeColor="text1"/>
          <w:kern w:val="22"/>
          <w:szCs w:val="22"/>
          <w:lang w:val="fr-FR"/>
        </w:rPr>
        <w:t xml:space="preserve"> la Secrétaire exécutive, dans la limite des ressources disponibles :</w:t>
      </w:r>
    </w:p>
    <w:p w14:paraId="1588ED3A" w14:textId="71D97850" w:rsidR="006D275E" w:rsidRPr="00C42BD9" w:rsidRDefault="006055D1" w:rsidP="006D275E">
      <w:pPr>
        <w:suppressLineNumbers/>
        <w:suppressAutoHyphens/>
        <w:kinsoku w:val="0"/>
        <w:overflowPunct w:val="0"/>
        <w:autoSpaceDE w:val="0"/>
        <w:autoSpaceDN w:val="0"/>
        <w:snapToGrid w:val="0"/>
        <w:spacing w:after="120"/>
        <w:ind w:firstLine="720"/>
        <w:rPr>
          <w:snapToGrid w:val="0"/>
          <w:color w:val="000000"/>
          <w:kern w:val="22"/>
          <w:szCs w:val="22"/>
          <w:lang w:val="fr-FR"/>
        </w:rPr>
      </w:pPr>
      <w:r>
        <w:rPr>
          <w:snapToGrid w:val="0"/>
          <w:color w:val="000000"/>
          <w:kern w:val="22"/>
          <w:szCs w:val="22"/>
          <w:lang w:val="fr-FR"/>
        </w:rPr>
        <w:t>a)</w:t>
      </w:r>
      <w:r>
        <w:rPr>
          <w:snapToGrid w:val="0"/>
          <w:color w:val="000000"/>
          <w:kern w:val="22"/>
          <w:szCs w:val="22"/>
          <w:lang w:val="fr-FR"/>
        </w:rPr>
        <w:tab/>
        <w:t>D’organiser des discussions</w:t>
      </w:r>
      <w:r w:rsidR="006D275E" w:rsidRPr="00C42BD9">
        <w:rPr>
          <w:snapToGrid w:val="0"/>
          <w:color w:val="000000"/>
          <w:kern w:val="22"/>
          <w:szCs w:val="22"/>
          <w:lang w:val="fr-FR"/>
        </w:rPr>
        <w:t xml:space="preserve"> </w:t>
      </w:r>
      <w:r w:rsidR="00970898">
        <w:rPr>
          <w:snapToGrid w:val="0"/>
          <w:color w:val="000000"/>
          <w:kern w:val="22"/>
          <w:szCs w:val="22"/>
          <w:lang w:val="fr-FR"/>
        </w:rPr>
        <w:t>dirigé</w:t>
      </w:r>
      <w:r>
        <w:rPr>
          <w:snapToGrid w:val="0"/>
          <w:color w:val="000000"/>
          <w:kern w:val="22"/>
          <w:szCs w:val="22"/>
          <w:lang w:val="fr-FR"/>
        </w:rPr>
        <w:t>e</w:t>
      </w:r>
      <w:r w:rsidR="00970898">
        <w:rPr>
          <w:snapToGrid w:val="0"/>
          <w:color w:val="000000"/>
          <w:kern w:val="22"/>
          <w:szCs w:val="22"/>
          <w:lang w:val="fr-FR"/>
        </w:rPr>
        <w:t>s en ligne</w:t>
      </w:r>
      <w:r w:rsidR="006D275E" w:rsidRPr="00C42BD9">
        <w:rPr>
          <w:snapToGrid w:val="0"/>
          <w:color w:val="000000"/>
          <w:kern w:val="22"/>
          <w:szCs w:val="22"/>
          <w:lang w:val="fr-FR"/>
        </w:rPr>
        <w:t xml:space="preserve"> dans le cadre du Forum en ligne à composition non limitée </w:t>
      </w:r>
      <w:r w:rsidR="00970898">
        <w:rPr>
          <w:snapToGrid w:val="0"/>
          <w:color w:val="000000"/>
          <w:kern w:val="22"/>
          <w:szCs w:val="22"/>
          <w:lang w:val="fr-FR"/>
        </w:rPr>
        <w:t>sur la biologie de synthèse ;</w:t>
      </w:r>
    </w:p>
    <w:p w14:paraId="41018A22" w14:textId="26E7177D" w:rsidR="006D275E" w:rsidRPr="00C42BD9" w:rsidRDefault="006D275E" w:rsidP="006D275E">
      <w:pPr>
        <w:suppressLineNumbers/>
        <w:suppressAutoHyphens/>
        <w:kinsoku w:val="0"/>
        <w:overflowPunct w:val="0"/>
        <w:autoSpaceDE w:val="0"/>
        <w:autoSpaceDN w:val="0"/>
        <w:snapToGrid w:val="0"/>
        <w:spacing w:after="120"/>
        <w:ind w:firstLine="720"/>
        <w:rPr>
          <w:snapToGrid w:val="0"/>
          <w:color w:val="000000" w:themeColor="text1"/>
          <w:kern w:val="22"/>
          <w:szCs w:val="22"/>
          <w:lang w:val="fr-FR"/>
        </w:rPr>
      </w:pPr>
      <w:r w:rsidRPr="00C42BD9">
        <w:rPr>
          <w:snapToGrid w:val="0"/>
          <w:color w:val="000000" w:themeColor="text1"/>
          <w:kern w:val="22"/>
          <w:szCs w:val="22"/>
          <w:lang w:val="fr-FR"/>
        </w:rPr>
        <w:t>b)</w:t>
      </w:r>
      <w:r w:rsidRPr="00C42BD9">
        <w:rPr>
          <w:snapToGrid w:val="0"/>
          <w:color w:val="000000" w:themeColor="text1"/>
          <w:kern w:val="22"/>
          <w:szCs w:val="22"/>
          <w:lang w:val="fr-FR"/>
        </w:rPr>
        <w:tab/>
        <w:t>De f</w:t>
      </w:r>
      <w:r w:rsidRPr="00C42BD9">
        <w:rPr>
          <w:snapToGrid w:val="0"/>
          <w:kern w:val="22"/>
          <w:szCs w:val="22"/>
          <w:lang w:val="fr-FR"/>
        </w:rPr>
        <w:t>aciliter les travaux du Groupe spécial d’experts techniques sur la biologie de synthèse en effectuant, entre autres, la collecte et synthèse d’informations pertinentes et leur examen critique par des pairs, et en organisant au m</w:t>
      </w:r>
      <w:r w:rsidR="006055D1">
        <w:rPr>
          <w:snapToGrid w:val="0"/>
          <w:kern w:val="22"/>
          <w:szCs w:val="22"/>
          <w:lang w:val="fr-FR"/>
        </w:rPr>
        <w:t>oins une réunion en face-à-face ;</w:t>
      </w:r>
    </w:p>
    <w:p w14:paraId="731D1FCD" w14:textId="69E5195D" w:rsidR="006D275E" w:rsidRPr="00C42BD9" w:rsidRDefault="006D275E" w:rsidP="006D275E">
      <w:pPr>
        <w:suppressLineNumbers/>
        <w:suppressAutoHyphens/>
        <w:kinsoku w:val="0"/>
        <w:overflowPunct w:val="0"/>
        <w:autoSpaceDE w:val="0"/>
        <w:autoSpaceDN w:val="0"/>
        <w:snapToGrid w:val="0"/>
        <w:spacing w:after="120"/>
        <w:ind w:firstLine="720"/>
        <w:rPr>
          <w:snapToGrid w:val="0"/>
          <w:color w:val="000000" w:themeColor="text1"/>
          <w:kern w:val="22"/>
          <w:szCs w:val="22"/>
          <w:lang w:val="fr-FR"/>
        </w:rPr>
      </w:pPr>
      <w:r w:rsidRPr="00C42BD9">
        <w:rPr>
          <w:snapToGrid w:val="0"/>
          <w:color w:val="000000" w:themeColor="text1"/>
          <w:kern w:val="22"/>
          <w:szCs w:val="22"/>
          <w:lang w:val="fr-FR"/>
        </w:rPr>
        <w:t>c)</w:t>
      </w:r>
      <w:r w:rsidRPr="00C42BD9">
        <w:rPr>
          <w:snapToGrid w:val="0"/>
          <w:color w:val="000000" w:themeColor="text1"/>
          <w:kern w:val="22"/>
          <w:szCs w:val="22"/>
          <w:lang w:val="fr-FR"/>
        </w:rPr>
        <w:tab/>
        <w:t>De mettre à jour le Cahier techni</w:t>
      </w:r>
      <w:r w:rsidR="006055D1">
        <w:rPr>
          <w:snapToGrid w:val="0"/>
          <w:color w:val="000000" w:themeColor="text1"/>
          <w:kern w:val="22"/>
          <w:szCs w:val="22"/>
          <w:lang w:val="fr-FR"/>
        </w:rPr>
        <w:t>que sur la biologie de synthèse</w:t>
      </w:r>
      <w:r w:rsidRPr="00C42BD9">
        <w:rPr>
          <w:snapToGrid w:val="0"/>
          <w:color w:val="000000" w:themeColor="text1"/>
          <w:kern w:val="22"/>
          <w:szCs w:val="22"/>
          <w:lang w:val="fr-FR"/>
        </w:rPr>
        <w:t xml:space="preserve"> aux fins d’examen par l’Organe subsidiaire chargé de donner des avis scientifique</w:t>
      </w:r>
      <w:r w:rsidR="006055D1">
        <w:rPr>
          <w:snapToGrid w:val="0"/>
          <w:color w:val="000000" w:themeColor="text1"/>
          <w:kern w:val="22"/>
          <w:szCs w:val="22"/>
          <w:lang w:val="fr-FR"/>
        </w:rPr>
        <w:t>s, techniques et technologiques</w:t>
      </w:r>
      <w:r w:rsidRPr="00C42BD9">
        <w:rPr>
          <w:snapToGrid w:val="0"/>
          <w:color w:val="000000" w:themeColor="text1"/>
          <w:kern w:val="22"/>
          <w:szCs w:val="22"/>
          <w:lang w:val="fr-FR"/>
        </w:rPr>
        <w:t xml:space="preserve"> sur la base d’informations scientifiques révisées par des pairs et d’autres informations pertinentes;</w:t>
      </w:r>
    </w:p>
    <w:p w14:paraId="3F59F96D" w14:textId="15BDD298" w:rsidR="006D275E" w:rsidRPr="00C42BD9" w:rsidRDefault="006D275E" w:rsidP="006D275E">
      <w:pPr>
        <w:snapToGrid w:val="0"/>
        <w:spacing w:after="120"/>
        <w:ind w:firstLine="720"/>
        <w:rPr>
          <w:snapToGrid w:val="0"/>
          <w:color w:val="000000" w:themeColor="text1"/>
          <w:kern w:val="22"/>
          <w:szCs w:val="22"/>
          <w:lang w:val="fr-FR"/>
        </w:rPr>
      </w:pPr>
      <w:r w:rsidRPr="00C42BD9">
        <w:rPr>
          <w:snapToGrid w:val="0"/>
          <w:color w:val="000000" w:themeColor="text1"/>
          <w:kern w:val="22"/>
          <w:szCs w:val="22"/>
          <w:lang w:val="fr-FR"/>
        </w:rPr>
        <w:t>d)</w:t>
      </w:r>
      <w:r w:rsidRPr="00C42BD9">
        <w:rPr>
          <w:snapToGrid w:val="0"/>
          <w:color w:val="000000" w:themeColor="text1"/>
          <w:kern w:val="22"/>
          <w:szCs w:val="22"/>
          <w:lang w:val="fr-FR"/>
        </w:rPr>
        <w:tab/>
        <w:t>De poursuivre la coopération avec d’autres organisations, conventions et initiatives, y compris des établissements universitaires et des i</w:t>
      </w:r>
      <w:r w:rsidR="006055D1">
        <w:rPr>
          <w:snapToGrid w:val="0"/>
          <w:color w:val="000000" w:themeColor="text1"/>
          <w:kern w:val="22"/>
          <w:szCs w:val="22"/>
          <w:lang w:val="fr-FR"/>
        </w:rPr>
        <w:t xml:space="preserve">nstituts de recherche </w:t>
      </w:r>
      <w:r w:rsidRPr="00C42BD9">
        <w:rPr>
          <w:snapToGrid w:val="0"/>
          <w:color w:val="000000" w:themeColor="text1"/>
          <w:kern w:val="22"/>
          <w:szCs w:val="22"/>
          <w:lang w:val="fr-FR"/>
        </w:rPr>
        <w:t>de toutes les régions, sur les questions relatives à la bi</w:t>
      </w:r>
      <w:r w:rsidR="006055D1">
        <w:rPr>
          <w:snapToGrid w:val="0"/>
          <w:color w:val="000000" w:themeColor="text1"/>
          <w:kern w:val="22"/>
          <w:szCs w:val="22"/>
          <w:lang w:val="fr-FR"/>
        </w:rPr>
        <w:t>ologie de synthèse, y compris le</w:t>
      </w:r>
      <w:r w:rsidRPr="00C42BD9">
        <w:rPr>
          <w:snapToGrid w:val="0"/>
          <w:color w:val="000000" w:themeColor="text1"/>
          <w:kern w:val="22"/>
          <w:szCs w:val="22"/>
          <w:lang w:val="fr-FR"/>
        </w:rPr>
        <w:t xml:space="preserve"> partage de données</w:t>
      </w:r>
      <w:r w:rsidR="006055D1">
        <w:rPr>
          <w:snapToGrid w:val="0"/>
          <w:color w:val="000000" w:themeColor="text1"/>
          <w:kern w:val="22"/>
          <w:szCs w:val="22"/>
          <w:lang w:val="fr-FR"/>
        </w:rPr>
        <w:t xml:space="preserve"> d’expérience et d’informations ;</w:t>
      </w:r>
    </w:p>
    <w:p w14:paraId="79C2B179" w14:textId="621E04AC" w:rsidR="006D275E" w:rsidRPr="00C42BD9" w:rsidRDefault="006D275E" w:rsidP="006D275E">
      <w:pPr>
        <w:suppressLineNumbers/>
        <w:tabs>
          <w:tab w:val="left" w:pos="1440"/>
        </w:tabs>
        <w:suppressAutoHyphens/>
        <w:kinsoku w:val="0"/>
        <w:overflowPunct w:val="0"/>
        <w:autoSpaceDE w:val="0"/>
        <w:autoSpaceDN w:val="0"/>
        <w:snapToGrid w:val="0"/>
        <w:spacing w:after="120"/>
        <w:ind w:firstLine="720"/>
        <w:rPr>
          <w:snapToGrid w:val="0"/>
          <w:color w:val="000000"/>
          <w:kern w:val="22"/>
          <w:szCs w:val="22"/>
          <w:lang w:val="fr-FR"/>
        </w:rPr>
      </w:pPr>
      <w:r w:rsidRPr="00C42BD9">
        <w:rPr>
          <w:snapToGrid w:val="0"/>
          <w:color w:val="000000"/>
          <w:kern w:val="22"/>
          <w:szCs w:val="22"/>
          <w:lang w:val="fr-FR"/>
        </w:rPr>
        <w:t>e)</w:t>
      </w:r>
      <w:r w:rsidRPr="00C42BD9">
        <w:rPr>
          <w:snapToGrid w:val="0"/>
          <w:color w:val="000000"/>
          <w:kern w:val="22"/>
          <w:szCs w:val="22"/>
          <w:lang w:val="fr-FR"/>
        </w:rPr>
        <w:tab/>
        <w:t>D’étudier les moyens de faciliter, favoriser et appuyer le renforcement des capacités et le partage de connaissances concernant la biologie de synthèse, en tenant compte des besoins des Parties et des peuples autochtones et communautés loc</w:t>
      </w:r>
      <w:r w:rsidR="006055D1">
        <w:rPr>
          <w:snapToGrid w:val="0"/>
          <w:color w:val="000000"/>
          <w:kern w:val="22"/>
          <w:szCs w:val="22"/>
          <w:lang w:val="fr-FR"/>
        </w:rPr>
        <w:t>ales, notamment au moyen du financement nécessaire</w:t>
      </w:r>
      <w:r w:rsidRPr="00C42BD9">
        <w:rPr>
          <w:snapToGrid w:val="0"/>
          <w:color w:val="000000"/>
          <w:kern w:val="22"/>
          <w:szCs w:val="22"/>
          <w:lang w:val="fr-FR"/>
        </w:rPr>
        <w:t xml:space="preserve"> et en m</w:t>
      </w:r>
      <w:r w:rsidR="006055D1">
        <w:rPr>
          <w:snapToGrid w:val="0"/>
          <w:color w:val="000000"/>
          <w:kern w:val="22"/>
          <w:szCs w:val="22"/>
          <w:lang w:val="fr-FR"/>
        </w:rPr>
        <w:t>ettant au point conjointement du</w:t>
      </w:r>
      <w:r w:rsidRPr="00C42BD9">
        <w:rPr>
          <w:snapToGrid w:val="0"/>
          <w:color w:val="000000"/>
          <w:kern w:val="22"/>
          <w:szCs w:val="22"/>
          <w:lang w:val="fr-FR"/>
        </w:rPr>
        <w:t xml:space="preserve"> matériel d’information et de formation dan</w:t>
      </w:r>
      <w:r w:rsidR="006055D1">
        <w:rPr>
          <w:snapToGrid w:val="0"/>
          <w:color w:val="000000"/>
          <w:kern w:val="22"/>
          <w:szCs w:val="22"/>
          <w:lang w:val="fr-FR"/>
        </w:rPr>
        <w:t xml:space="preserve">s </w:t>
      </w:r>
      <w:r w:rsidRPr="00C42BD9">
        <w:rPr>
          <w:snapToGrid w:val="0"/>
          <w:color w:val="000000"/>
          <w:kern w:val="22"/>
          <w:szCs w:val="22"/>
          <w:lang w:val="fr-FR"/>
        </w:rPr>
        <w:t>les langues officielles des Na</w:t>
      </w:r>
      <w:r w:rsidR="006055D1">
        <w:rPr>
          <w:snapToGrid w:val="0"/>
          <w:color w:val="000000"/>
          <w:kern w:val="22"/>
          <w:szCs w:val="22"/>
          <w:lang w:val="fr-FR"/>
        </w:rPr>
        <w:t>tions Unies et, dans la mesure du</w:t>
      </w:r>
      <w:r w:rsidRPr="00C42BD9">
        <w:rPr>
          <w:snapToGrid w:val="0"/>
          <w:color w:val="000000"/>
          <w:kern w:val="22"/>
          <w:szCs w:val="22"/>
          <w:lang w:val="fr-FR"/>
        </w:rPr>
        <w:t xml:space="preserve"> pos</w:t>
      </w:r>
      <w:r w:rsidR="006055D1">
        <w:rPr>
          <w:snapToGrid w:val="0"/>
          <w:color w:val="000000"/>
          <w:kern w:val="22"/>
          <w:szCs w:val="22"/>
          <w:lang w:val="fr-FR"/>
        </w:rPr>
        <w:t>sible, dans des langues locales ;</w:t>
      </w:r>
    </w:p>
    <w:p w14:paraId="3D1F57DB" w14:textId="01EDAC3E" w:rsidR="006D275E" w:rsidRPr="00C42BD9" w:rsidRDefault="006D275E" w:rsidP="006D275E">
      <w:pPr>
        <w:suppressLineNumbers/>
        <w:tabs>
          <w:tab w:val="left" w:pos="1440"/>
        </w:tabs>
        <w:suppressAutoHyphens/>
        <w:kinsoku w:val="0"/>
        <w:overflowPunct w:val="0"/>
        <w:autoSpaceDE w:val="0"/>
        <w:autoSpaceDN w:val="0"/>
        <w:snapToGrid w:val="0"/>
        <w:spacing w:after="120"/>
        <w:ind w:firstLine="720"/>
        <w:rPr>
          <w:snapToGrid w:val="0"/>
          <w:color w:val="000000"/>
          <w:kern w:val="22"/>
          <w:szCs w:val="22"/>
          <w:lang w:val="fr-FR"/>
        </w:rPr>
      </w:pPr>
      <w:r w:rsidRPr="00C42BD9">
        <w:rPr>
          <w:snapToGrid w:val="0"/>
          <w:color w:val="000000"/>
          <w:kern w:val="22"/>
          <w:szCs w:val="22"/>
          <w:lang w:val="fr-FR"/>
        </w:rPr>
        <w:t>f)</w:t>
      </w:r>
      <w:r w:rsidRPr="00C42BD9">
        <w:rPr>
          <w:snapToGrid w:val="0"/>
          <w:color w:val="000000"/>
          <w:kern w:val="22"/>
          <w:szCs w:val="22"/>
          <w:lang w:val="fr-FR"/>
        </w:rPr>
        <w:tab/>
        <w:t xml:space="preserve">De collaborer et d’organiser des débats, y compris par le biais du </w:t>
      </w:r>
      <w:r w:rsidRPr="00C42BD9">
        <w:rPr>
          <w:kern w:val="22"/>
          <w:szCs w:val="22"/>
          <w:lang w:val="fr-FR"/>
        </w:rPr>
        <w:t>Réseau de laboratoires pour la détection et l’identification des organismes vivants modifiés</w:t>
      </w:r>
      <w:r w:rsidRPr="00C42BD9">
        <w:rPr>
          <w:rStyle w:val="FootnoteReference"/>
          <w:snapToGrid w:val="0"/>
          <w:color w:val="000000"/>
          <w:kern w:val="22"/>
          <w:szCs w:val="22"/>
          <w:lang w:val="fr-FR"/>
        </w:rPr>
        <w:footnoteReference w:id="6"/>
      </w:r>
      <w:r w:rsidRPr="00C42BD9">
        <w:rPr>
          <w:kern w:val="22"/>
          <w:szCs w:val="22"/>
          <w:lang w:val="fr-FR"/>
        </w:rPr>
        <w:t>, afin de partager des données d’expérience sur la détection, l’identification et la surveillance des organismes, composants et produits issus de la biologie de synthèse, et de continuer à inviter des laboratoires, y compris des laboratoires d</w:t>
      </w:r>
      <w:r w:rsidR="006379A4">
        <w:rPr>
          <w:kern w:val="22"/>
          <w:szCs w:val="22"/>
          <w:lang w:val="fr-FR"/>
        </w:rPr>
        <w:t>’analyse, à participer à</w:t>
      </w:r>
      <w:r w:rsidR="006055D1">
        <w:rPr>
          <w:kern w:val="22"/>
          <w:szCs w:val="22"/>
          <w:lang w:val="fr-FR"/>
        </w:rPr>
        <w:t xml:space="preserve"> ce réseau ;</w:t>
      </w:r>
    </w:p>
    <w:p w14:paraId="767A51C9" w14:textId="21C26490" w:rsidR="006D275E" w:rsidRPr="00C42BD9" w:rsidRDefault="006D275E" w:rsidP="006D275E">
      <w:pPr>
        <w:suppressLineNumbers/>
        <w:tabs>
          <w:tab w:val="left" w:pos="1440"/>
        </w:tabs>
        <w:suppressAutoHyphens/>
        <w:kinsoku w:val="0"/>
        <w:overflowPunct w:val="0"/>
        <w:autoSpaceDE w:val="0"/>
        <w:autoSpaceDN w:val="0"/>
        <w:snapToGrid w:val="0"/>
        <w:spacing w:after="240"/>
        <w:ind w:firstLine="720"/>
        <w:rPr>
          <w:snapToGrid w:val="0"/>
          <w:color w:val="000000"/>
          <w:kern w:val="22"/>
          <w:szCs w:val="22"/>
          <w:lang w:val="fr-FR"/>
        </w:rPr>
      </w:pPr>
      <w:r w:rsidRPr="00C42BD9">
        <w:rPr>
          <w:snapToGrid w:val="0"/>
          <w:color w:val="000000"/>
          <w:kern w:val="22"/>
          <w:szCs w:val="22"/>
          <w:lang w:val="fr-FR"/>
        </w:rPr>
        <w:t>g)</w:t>
      </w:r>
      <w:r w:rsidRPr="00C42BD9">
        <w:rPr>
          <w:snapToGrid w:val="0"/>
          <w:color w:val="000000"/>
          <w:kern w:val="22"/>
          <w:szCs w:val="22"/>
          <w:lang w:val="fr-FR"/>
        </w:rPr>
        <w:tab/>
        <w:t>D’assurer la participation pleine et effective des peuples autochtones et des communautés locales aux d</w:t>
      </w:r>
      <w:r w:rsidR="00FF7E2E" w:rsidRPr="00C42BD9">
        <w:rPr>
          <w:snapToGrid w:val="0"/>
          <w:color w:val="000000"/>
          <w:kern w:val="22"/>
          <w:szCs w:val="22"/>
          <w:lang w:val="fr-FR"/>
        </w:rPr>
        <w:t>ébats</w:t>
      </w:r>
      <w:r w:rsidRPr="00C42BD9">
        <w:rPr>
          <w:snapToGrid w:val="0"/>
          <w:color w:val="000000"/>
          <w:kern w:val="22"/>
          <w:szCs w:val="22"/>
          <w:lang w:val="fr-FR"/>
        </w:rPr>
        <w:t xml:space="preserve"> </w:t>
      </w:r>
      <w:r w:rsidR="00527E65" w:rsidRPr="00C42BD9">
        <w:rPr>
          <w:snapToGrid w:val="0"/>
          <w:color w:val="000000"/>
          <w:kern w:val="22"/>
          <w:szCs w:val="22"/>
          <w:lang w:val="fr-FR"/>
        </w:rPr>
        <w:t xml:space="preserve">et aux travaux menés sur </w:t>
      </w:r>
      <w:r w:rsidRPr="00C42BD9">
        <w:rPr>
          <w:snapToGrid w:val="0"/>
          <w:color w:val="000000"/>
          <w:kern w:val="22"/>
          <w:szCs w:val="22"/>
          <w:lang w:val="fr-FR"/>
        </w:rPr>
        <w:t>la biologie de synthèse</w:t>
      </w:r>
      <w:r w:rsidR="00527E65" w:rsidRPr="00C42BD9">
        <w:rPr>
          <w:snapToGrid w:val="0"/>
          <w:color w:val="000000"/>
          <w:kern w:val="22"/>
          <w:szCs w:val="22"/>
          <w:lang w:val="fr-FR"/>
        </w:rPr>
        <w:t xml:space="preserve"> au titre de la Convention</w:t>
      </w:r>
      <w:r w:rsidR="006379A4">
        <w:rPr>
          <w:snapToGrid w:val="0"/>
          <w:color w:val="000000"/>
          <w:kern w:val="22"/>
          <w:szCs w:val="22"/>
          <w:lang w:val="fr-FR"/>
        </w:rPr>
        <w:t xml:space="preserve">, conformément à </w:t>
      </w:r>
      <w:r w:rsidR="00FF7E2E" w:rsidRPr="00C42BD9">
        <w:rPr>
          <w:snapToGrid w:val="0"/>
          <w:color w:val="000000"/>
          <w:kern w:val="22"/>
          <w:szCs w:val="22"/>
          <w:lang w:val="fr-FR"/>
        </w:rPr>
        <w:t>la décision X/40;</w:t>
      </w:r>
    </w:p>
    <w:p w14:paraId="4DA07512" w14:textId="77777777" w:rsidR="006D275E" w:rsidRPr="00C42BD9" w:rsidRDefault="006D275E" w:rsidP="006D275E">
      <w:pPr>
        <w:suppressLineNumbers/>
        <w:suppressAutoHyphens/>
        <w:kinsoku w:val="0"/>
        <w:overflowPunct w:val="0"/>
        <w:autoSpaceDE w:val="0"/>
        <w:autoSpaceDN w:val="0"/>
        <w:snapToGrid w:val="0"/>
        <w:spacing w:before="120" w:after="120"/>
        <w:ind w:firstLine="720"/>
        <w:rPr>
          <w:snapToGrid w:val="0"/>
          <w:kern w:val="22"/>
          <w:szCs w:val="22"/>
          <w:lang w:val="fr-FR"/>
        </w:rPr>
      </w:pPr>
      <w:r w:rsidRPr="00C42BD9">
        <w:rPr>
          <w:snapToGrid w:val="0"/>
          <w:kern w:val="22"/>
          <w:szCs w:val="22"/>
          <w:lang w:val="fr-FR"/>
        </w:rPr>
        <w:t>18.</w:t>
      </w:r>
      <w:r w:rsidRPr="00C42BD9">
        <w:rPr>
          <w:snapToGrid w:val="0"/>
          <w:kern w:val="22"/>
          <w:szCs w:val="22"/>
          <w:lang w:val="fr-FR"/>
        </w:rPr>
        <w:tab/>
      </w:r>
      <w:r w:rsidRPr="00C42BD9">
        <w:rPr>
          <w:i/>
          <w:snapToGrid w:val="0"/>
          <w:kern w:val="22"/>
          <w:szCs w:val="22"/>
          <w:lang w:val="fr-FR"/>
        </w:rPr>
        <w:t>Prie</w:t>
      </w:r>
      <w:r w:rsidRPr="00C42BD9">
        <w:rPr>
          <w:snapToGrid w:val="0"/>
          <w:kern w:val="22"/>
          <w:szCs w:val="22"/>
          <w:lang w:val="fr-FR"/>
        </w:rPr>
        <w:t xml:space="preserve"> </w:t>
      </w:r>
      <w:r w:rsidRPr="00C42BD9">
        <w:rPr>
          <w:bCs/>
          <w:iCs/>
          <w:snapToGrid w:val="0"/>
          <w:kern w:val="22"/>
          <w:szCs w:val="22"/>
          <w:lang w:val="fr-FR"/>
        </w:rPr>
        <w:t>l’Organe subsidiaire chargé de fournir des avis scientifiques, techniques et technologiques :</w:t>
      </w:r>
    </w:p>
    <w:p w14:paraId="1FB8007E" w14:textId="77777777" w:rsidR="006D275E" w:rsidRPr="00C42BD9" w:rsidRDefault="006D275E" w:rsidP="006D275E">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C42BD9">
        <w:rPr>
          <w:snapToGrid w:val="0"/>
          <w:kern w:val="22"/>
          <w:szCs w:val="22"/>
          <w:lang w:val="fr-FR"/>
        </w:rPr>
        <w:lastRenderedPageBreak/>
        <w:t>a)</w:t>
      </w:r>
      <w:r w:rsidRPr="00C42BD9">
        <w:rPr>
          <w:snapToGrid w:val="0"/>
          <w:kern w:val="22"/>
          <w:szCs w:val="22"/>
          <w:lang w:val="fr-FR"/>
        </w:rPr>
        <w:tab/>
        <w:t xml:space="preserve">D’examiner les travaux du </w:t>
      </w:r>
      <w:r w:rsidRPr="00C42BD9">
        <w:rPr>
          <w:snapToGrid w:val="0"/>
          <w:color w:val="000000"/>
          <w:kern w:val="22"/>
          <w:szCs w:val="22"/>
          <w:lang w:val="fr-FR"/>
        </w:rPr>
        <w:t>Forum en ligne à composition non limitée sur la biologie de synthèse et du</w:t>
      </w:r>
      <w:r w:rsidRPr="00C42BD9">
        <w:rPr>
          <w:snapToGrid w:val="0"/>
          <w:kern w:val="22"/>
          <w:szCs w:val="22"/>
          <w:lang w:val="fr-FR"/>
        </w:rPr>
        <w:t xml:space="preserve"> </w:t>
      </w:r>
      <w:r w:rsidRPr="00C42BD9">
        <w:rPr>
          <w:snapToGrid w:val="0"/>
          <w:color w:val="000000"/>
          <w:kern w:val="22"/>
          <w:szCs w:val="22"/>
          <w:lang w:val="fr-FR"/>
        </w:rPr>
        <w:t>Groupe spécial d’experts techniques sur la biologie de synthèse;</w:t>
      </w:r>
    </w:p>
    <w:p w14:paraId="70F7AA27" w14:textId="6F719413" w:rsidR="006D275E" w:rsidRPr="00C42BD9" w:rsidRDefault="006D275E" w:rsidP="006D275E">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C42BD9">
        <w:rPr>
          <w:snapToGrid w:val="0"/>
          <w:kern w:val="22"/>
          <w:szCs w:val="22"/>
          <w:lang w:val="fr-FR"/>
        </w:rPr>
        <w:t>b)</w:t>
      </w:r>
      <w:r w:rsidRPr="00C42BD9">
        <w:rPr>
          <w:snapToGrid w:val="0"/>
          <w:kern w:val="22"/>
          <w:szCs w:val="22"/>
          <w:lang w:val="fr-FR"/>
        </w:rPr>
        <w:tab/>
        <w:t>De prendre note de l’analyse préliminaire effec</w:t>
      </w:r>
      <w:r w:rsidR="00527E65" w:rsidRPr="00C42BD9">
        <w:rPr>
          <w:snapToGrid w:val="0"/>
          <w:kern w:val="22"/>
          <w:szCs w:val="22"/>
          <w:lang w:val="fr-FR"/>
        </w:rPr>
        <w:t>tuée par la Secrétaire exécutive</w:t>
      </w:r>
      <w:r w:rsidRPr="00C42BD9">
        <w:rPr>
          <w:rStyle w:val="FootnoteReference"/>
          <w:snapToGrid w:val="0"/>
          <w:kern w:val="22"/>
          <w:szCs w:val="22"/>
          <w:lang w:val="fr-FR"/>
        </w:rPr>
        <w:footnoteReference w:id="7"/>
      </w:r>
      <w:r w:rsidRPr="00C42BD9">
        <w:rPr>
          <w:snapToGrid w:val="0"/>
          <w:kern w:val="22"/>
          <w:szCs w:val="22"/>
          <w:lang w:val="fr-FR"/>
        </w:rPr>
        <w:t xml:space="preserve"> et d’envisager des analyses et avis plus poussés fournis par le Groupe </w:t>
      </w:r>
      <w:r w:rsidRPr="00C42BD9">
        <w:rPr>
          <w:snapToGrid w:val="0"/>
          <w:color w:val="000000"/>
          <w:kern w:val="22"/>
          <w:szCs w:val="22"/>
          <w:lang w:val="fr-FR"/>
        </w:rPr>
        <w:t>spécial d’experts techniques sur la biologie de synthèse concernant</w:t>
      </w:r>
      <w:r w:rsidR="006379A4">
        <w:rPr>
          <w:snapToGrid w:val="0"/>
          <w:kern w:val="22"/>
          <w:szCs w:val="22"/>
          <w:lang w:val="fr-FR"/>
        </w:rPr>
        <w:t xml:space="preserve"> le rapport</w:t>
      </w:r>
      <w:r w:rsidRPr="00C42BD9">
        <w:rPr>
          <w:snapToGrid w:val="0"/>
          <w:kern w:val="22"/>
          <w:szCs w:val="22"/>
          <w:lang w:val="fr-FR"/>
        </w:rPr>
        <w:t xml:space="preserve"> entre la biologie de synthèse et les critères énoncés au paragraphe 12 de la décision IX/29, afin de contribuer au parachèvement de l’analyse demandée au paragraphe 2 de la décision XII/24;</w:t>
      </w:r>
    </w:p>
    <w:p w14:paraId="684785D6" w14:textId="77777777" w:rsidR="006D275E" w:rsidRPr="00C42BD9" w:rsidRDefault="006D275E" w:rsidP="00EE0208">
      <w:pPr>
        <w:suppressLineNumbers/>
        <w:suppressAutoHyphens/>
        <w:kinsoku w:val="0"/>
        <w:overflowPunct w:val="0"/>
        <w:autoSpaceDE w:val="0"/>
        <w:autoSpaceDN w:val="0"/>
        <w:adjustRightInd w:val="0"/>
        <w:snapToGrid w:val="0"/>
        <w:spacing w:before="120" w:after="240"/>
        <w:ind w:firstLine="720"/>
        <w:rPr>
          <w:i/>
          <w:kern w:val="22"/>
          <w:szCs w:val="22"/>
          <w:lang w:val="fr-FR"/>
        </w:rPr>
      </w:pPr>
      <w:r w:rsidRPr="00C42BD9">
        <w:rPr>
          <w:snapToGrid w:val="0"/>
          <w:kern w:val="22"/>
          <w:szCs w:val="22"/>
          <w:lang w:val="fr-FR"/>
        </w:rPr>
        <w:t>c)</w:t>
      </w:r>
      <w:r w:rsidRPr="00C42BD9">
        <w:rPr>
          <w:snapToGrid w:val="0"/>
          <w:kern w:val="22"/>
          <w:szCs w:val="22"/>
          <w:lang w:val="fr-FR"/>
        </w:rPr>
        <w:tab/>
        <w:t>De transmettre une recommandation à la Conférence des Parties à sa quinzième réunion.</w:t>
      </w:r>
    </w:p>
    <w:p w14:paraId="1AE663B2" w14:textId="77777777" w:rsidR="006D275E" w:rsidRPr="00C42BD9" w:rsidRDefault="006D275E" w:rsidP="006D275E">
      <w:pPr>
        <w:suppressLineNumbers/>
        <w:suppressAutoHyphens/>
        <w:kinsoku w:val="0"/>
        <w:overflowPunct w:val="0"/>
        <w:autoSpaceDE w:val="0"/>
        <w:autoSpaceDN w:val="0"/>
        <w:spacing w:before="240" w:after="120"/>
        <w:ind w:left="284" w:right="249"/>
        <w:jc w:val="center"/>
        <w:rPr>
          <w:i/>
          <w:snapToGrid w:val="0"/>
          <w:color w:val="000000"/>
          <w:kern w:val="22"/>
          <w:szCs w:val="22"/>
          <w:lang w:val="fr-FR"/>
        </w:rPr>
      </w:pPr>
      <w:r w:rsidRPr="00C42BD9">
        <w:rPr>
          <w:i/>
          <w:snapToGrid w:val="0"/>
          <w:color w:val="000000"/>
          <w:kern w:val="22"/>
          <w:szCs w:val="22"/>
          <w:lang w:val="fr-FR"/>
        </w:rPr>
        <w:t>Annexe</w:t>
      </w:r>
    </w:p>
    <w:p w14:paraId="138B6E4C" w14:textId="77777777" w:rsidR="006D275E" w:rsidRPr="00C42BD9" w:rsidRDefault="006D275E" w:rsidP="006D275E">
      <w:pPr>
        <w:suppressLineNumbers/>
        <w:suppressAutoHyphens/>
        <w:kinsoku w:val="0"/>
        <w:overflowPunct w:val="0"/>
        <w:autoSpaceDE w:val="0"/>
        <w:autoSpaceDN w:val="0"/>
        <w:spacing w:before="120" w:after="240"/>
        <w:ind w:left="284" w:right="248"/>
        <w:jc w:val="center"/>
        <w:rPr>
          <w:b/>
          <w:snapToGrid w:val="0"/>
          <w:color w:val="000000"/>
          <w:kern w:val="22"/>
          <w:szCs w:val="22"/>
          <w:lang w:val="fr-FR"/>
        </w:rPr>
      </w:pPr>
      <w:r w:rsidRPr="00C42BD9">
        <w:rPr>
          <w:b/>
          <w:snapToGrid w:val="0"/>
          <w:color w:val="000000"/>
          <w:kern w:val="22"/>
          <w:szCs w:val="22"/>
          <w:lang w:val="fr-FR"/>
        </w:rPr>
        <w:t>MANDAT DU GROUPE SPÉCIAL D’EXPERTS TECHNIQUES SUR LA BIOLOGIE DE SYNTHÈSE</w:t>
      </w:r>
    </w:p>
    <w:p w14:paraId="671309C9" w14:textId="77777777" w:rsidR="006D275E" w:rsidRPr="00C42BD9" w:rsidRDefault="006D275E" w:rsidP="006D275E">
      <w:pPr>
        <w:suppressLineNumbers/>
        <w:suppressAutoHyphens/>
        <w:kinsoku w:val="0"/>
        <w:overflowPunct w:val="0"/>
        <w:autoSpaceDE w:val="0"/>
        <w:autoSpaceDN w:val="0"/>
        <w:spacing w:before="120" w:after="120"/>
        <w:jc w:val="left"/>
        <w:rPr>
          <w:snapToGrid w:val="0"/>
          <w:color w:val="000000"/>
          <w:kern w:val="22"/>
          <w:szCs w:val="22"/>
          <w:lang w:val="fr-FR"/>
        </w:rPr>
      </w:pPr>
      <w:r w:rsidRPr="00C42BD9">
        <w:rPr>
          <w:snapToGrid w:val="0"/>
          <w:color w:val="000000"/>
          <w:kern w:val="22"/>
          <w:szCs w:val="22"/>
          <w:lang w:val="fr-FR"/>
        </w:rPr>
        <w:t>Le Groupe spécial d’experts techniques sur la biologie de synthèse est chargé de :</w:t>
      </w:r>
    </w:p>
    <w:p w14:paraId="606B5C5A" w14:textId="6FE265F0" w:rsidR="006D275E" w:rsidRPr="00C42BD9" w:rsidRDefault="006D275E" w:rsidP="006D275E">
      <w:pPr>
        <w:suppressLineNumbers/>
        <w:suppressAutoHyphens/>
        <w:kinsoku w:val="0"/>
        <w:overflowPunct w:val="0"/>
        <w:autoSpaceDE w:val="0"/>
        <w:autoSpaceDN w:val="0"/>
        <w:adjustRightInd w:val="0"/>
        <w:snapToGrid w:val="0"/>
        <w:spacing w:before="120" w:after="120"/>
        <w:ind w:firstLine="709"/>
        <w:rPr>
          <w:snapToGrid w:val="0"/>
          <w:color w:val="000000"/>
          <w:kern w:val="22"/>
          <w:szCs w:val="22"/>
          <w:lang w:val="fr-FR"/>
        </w:rPr>
      </w:pPr>
      <w:r w:rsidRPr="00C42BD9">
        <w:rPr>
          <w:snapToGrid w:val="0"/>
          <w:color w:val="000000"/>
          <w:kern w:val="22"/>
          <w:szCs w:val="22"/>
          <w:lang w:val="fr-FR"/>
        </w:rPr>
        <w:t>a)</w:t>
      </w:r>
      <w:r w:rsidRPr="00C42BD9">
        <w:rPr>
          <w:snapToGrid w:val="0"/>
          <w:color w:val="000000"/>
          <w:kern w:val="22"/>
          <w:szCs w:val="22"/>
          <w:lang w:val="fr-FR"/>
        </w:rPr>
        <w:tab/>
      </w:r>
      <w:r w:rsidR="00527E65" w:rsidRPr="00C42BD9">
        <w:rPr>
          <w:snapToGrid w:val="0"/>
          <w:color w:val="000000"/>
          <w:kern w:val="22"/>
          <w:szCs w:val="22"/>
          <w:lang w:val="fr-FR"/>
        </w:rPr>
        <w:t>Fournir des</w:t>
      </w:r>
      <w:r w:rsidR="00EB0F8C" w:rsidRPr="00C42BD9">
        <w:rPr>
          <w:snapToGrid w:val="0"/>
          <w:color w:val="000000"/>
          <w:kern w:val="22"/>
          <w:szCs w:val="22"/>
          <w:lang w:val="fr-FR"/>
        </w:rPr>
        <w:t xml:space="preserve"> </w:t>
      </w:r>
      <w:r w:rsidR="006379A4">
        <w:rPr>
          <w:snapToGrid w:val="0"/>
          <w:kern w:val="22"/>
          <w:szCs w:val="22"/>
          <w:lang w:val="fr-FR"/>
        </w:rPr>
        <w:t>avis sur le rapport</w:t>
      </w:r>
      <w:r w:rsidRPr="00C42BD9">
        <w:rPr>
          <w:snapToGrid w:val="0"/>
          <w:kern w:val="22"/>
          <w:szCs w:val="22"/>
          <w:lang w:val="fr-FR"/>
        </w:rPr>
        <w:t xml:space="preserve"> entre la biologie de synthèse et les critères énoncés au paragraphe 12 de la décision IX/29, afin de contribuer au parachèvement de l’analyse demandée au paragraphe 2 de la décision XII/24, sur la base de l’analyse préliminaire effectuée par la Secrétaire exécutive dans le document SBSTTA/22/INF/17;</w:t>
      </w:r>
    </w:p>
    <w:p w14:paraId="11C2DDF6" w14:textId="47195C3C" w:rsidR="006D275E" w:rsidRPr="00C42BD9" w:rsidRDefault="00EB0F8C" w:rsidP="006D275E">
      <w:pPr>
        <w:suppressLineNumbers/>
        <w:suppressAutoHyphens/>
        <w:kinsoku w:val="0"/>
        <w:overflowPunct w:val="0"/>
        <w:autoSpaceDE w:val="0"/>
        <w:autoSpaceDN w:val="0"/>
        <w:adjustRightInd w:val="0"/>
        <w:snapToGrid w:val="0"/>
        <w:spacing w:before="120" w:after="120"/>
        <w:ind w:firstLine="709"/>
        <w:rPr>
          <w:snapToGrid w:val="0"/>
          <w:color w:val="000000"/>
          <w:kern w:val="22"/>
          <w:szCs w:val="22"/>
          <w:lang w:val="fr-FR"/>
        </w:rPr>
      </w:pPr>
      <w:r w:rsidRPr="00C42BD9">
        <w:rPr>
          <w:snapToGrid w:val="0"/>
          <w:color w:val="000000"/>
          <w:kern w:val="22"/>
          <w:szCs w:val="22"/>
          <w:lang w:val="fr-FR"/>
        </w:rPr>
        <w:t>b)</w:t>
      </w:r>
      <w:r w:rsidRPr="00C42BD9">
        <w:rPr>
          <w:snapToGrid w:val="0"/>
          <w:color w:val="000000"/>
          <w:kern w:val="22"/>
          <w:szCs w:val="22"/>
          <w:lang w:val="fr-FR"/>
        </w:rPr>
        <w:tab/>
        <w:t>Faire l’i</w:t>
      </w:r>
      <w:r w:rsidR="006D275E" w:rsidRPr="00C42BD9">
        <w:rPr>
          <w:snapToGrid w:val="0"/>
          <w:color w:val="000000"/>
          <w:kern w:val="22"/>
          <w:szCs w:val="22"/>
          <w:lang w:val="fr-FR"/>
        </w:rPr>
        <w:t xml:space="preserve">nventaire des nouvelles avancées </w:t>
      </w:r>
      <w:r w:rsidR="00FF7E2E" w:rsidRPr="00C42BD9">
        <w:rPr>
          <w:snapToGrid w:val="0"/>
          <w:color w:val="000000"/>
          <w:kern w:val="22"/>
          <w:szCs w:val="22"/>
          <w:lang w:val="fr-FR"/>
        </w:rPr>
        <w:t>technologiq</w:t>
      </w:r>
      <w:r w:rsidR="00527E65" w:rsidRPr="00C42BD9">
        <w:rPr>
          <w:snapToGrid w:val="0"/>
          <w:color w:val="000000"/>
          <w:kern w:val="22"/>
          <w:szCs w:val="22"/>
          <w:lang w:val="fr-FR"/>
        </w:rPr>
        <w:t>ues dans le domaine de la</w:t>
      </w:r>
      <w:r w:rsidR="006D275E" w:rsidRPr="00C42BD9">
        <w:rPr>
          <w:snapToGrid w:val="0"/>
          <w:color w:val="000000"/>
          <w:kern w:val="22"/>
          <w:szCs w:val="22"/>
          <w:lang w:val="fr-FR"/>
        </w:rPr>
        <w:t xml:space="preserve"> biologie de synthèse depuis la dernière réunion du Groupe spécial d’experts techniques,</w:t>
      </w:r>
      <w:r w:rsidR="00FF7E2E" w:rsidRPr="00C42BD9">
        <w:rPr>
          <w:szCs w:val="22"/>
          <w:lang w:val="fr-FR"/>
        </w:rPr>
        <w:t xml:space="preserve"> y compris l’examen, entre autres, des applications concrètes </w:t>
      </w:r>
      <w:r w:rsidR="006379A4">
        <w:rPr>
          <w:snapToGrid w:val="0"/>
          <w:color w:val="000000"/>
          <w:kern w:val="22"/>
          <w:szCs w:val="22"/>
          <w:lang w:val="fr-FR"/>
        </w:rPr>
        <w:t xml:space="preserve">de techniques de réécriture </w:t>
      </w:r>
      <w:r w:rsidR="006D275E" w:rsidRPr="00C42BD9">
        <w:rPr>
          <w:snapToGrid w:val="0"/>
          <w:color w:val="000000"/>
          <w:kern w:val="22"/>
          <w:szCs w:val="22"/>
          <w:lang w:val="fr-FR"/>
        </w:rPr>
        <w:t>génomique</w:t>
      </w:r>
      <w:r w:rsidR="00FF7E2E" w:rsidRPr="00C42BD9">
        <w:rPr>
          <w:snapToGrid w:val="0"/>
          <w:color w:val="000000"/>
          <w:kern w:val="22"/>
          <w:szCs w:val="22"/>
          <w:lang w:val="fr-FR"/>
        </w:rPr>
        <w:t xml:space="preserve"> lorsqu’elles concernent la biologie de synthèse, en vue</w:t>
      </w:r>
      <w:r w:rsidR="006D275E" w:rsidRPr="00C42BD9">
        <w:rPr>
          <w:snapToGrid w:val="0"/>
          <w:color w:val="000000"/>
          <w:kern w:val="22"/>
          <w:szCs w:val="22"/>
          <w:lang w:val="fr-FR"/>
        </w:rPr>
        <w:t xml:space="preserve"> d’appuyer un processus d’analyse prospective </w:t>
      </w:r>
      <w:r w:rsidR="00FF7E2E" w:rsidRPr="00C42BD9">
        <w:rPr>
          <w:snapToGrid w:val="0"/>
          <w:color w:val="000000"/>
          <w:kern w:val="22"/>
          <w:szCs w:val="22"/>
          <w:lang w:val="fr-FR"/>
        </w:rPr>
        <w:t xml:space="preserve">large et </w:t>
      </w:r>
      <w:r w:rsidR="00A463CF">
        <w:rPr>
          <w:snapToGrid w:val="0"/>
          <w:color w:val="000000"/>
          <w:kern w:val="22"/>
          <w:szCs w:val="22"/>
          <w:lang w:val="fr-FR"/>
        </w:rPr>
        <w:t>périodique ;</w:t>
      </w:r>
    </w:p>
    <w:p w14:paraId="7BC9E41B" w14:textId="126A74F0" w:rsidR="006D275E" w:rsidRPr="00C42BD9" w:rsidRDefault="006D275E" w:rsidP="006D275E">
      <w:pPr>
        <w:suppressLineNumbers/>
        <w:suppressAutoHyphens/>
        <w:kinsoku w:val="0"/>
        <w:overflowPunct w:val="0"/>
        <w:autoSpaceDE w:val="0"/>
        <w:autoSpaceDN w:val="0"/>
        <w:adjustRightInd w:val="0"/>
        <w:snapToGrid w:val="0"/>
        <w:spacing w:before="120" w:after="120"/>
        <w:ind w:firstLine="709"/>
        <w:rPr>
          <w:iCs/>
          <w:snapToGrid w:val="0"/>
          <w:spacing w:val="-1"/>
          <w:kern w:val="22"/>
          <w:szCs w:val="22"/>
          <w:lang w:val="fr-FR"/>
        </w:rPr>
      </w:pPr>
      <w:r w:rsidRPr="00C42BD9">
        <w:rPr>
          <w:iCs/>
          <w:snapToGrid w:val="0"/>
          <w:spacing w:val="-1"/>
          <w:kern w:val="22"/>
          <w:szCs w:val="22"/>
          <w:lang w:val="fr-FR"/>
        </w:rPr>
        <w:t>c)</w:t>
      </w:r>
      <w:r w:rsidRPr="00C42BD9">
        <w:rPr>
          <w:iCs/>
          <w:snapToGrid w:val="0"/>
          <w:spacing w:val="-1"/>
          <w:kern w:val="22"/>
          <w:szCs w:val="22"/>
          <w:lang w:val="fr-FR"/>
        </w:rPr>
        <w:tab/>
      </w:r>
      <w:r w:rsidRPr="00C42BD9">
        <w:rPr>
          <w:snapToGrid w:val="0"/>
          <w:color w:val="000000"/>
          <w:kern w:val="22"/>
          <w:szCs w:val="22"/>
          <w:lang w:val="fr-FR"/>
        </w:rPr>
        <w:t xml:space="preserve">Effectuer une analyse de l’état actuel des connaissances, en analysant les </w:t>
      </w:r>
      <w:r w:rsidRPr="00C42BD9">
        <w:rPr>
          <w:snapToGrid w:val="0"/>
          <w:kern w:val="22"/>
          <w:szCs w:val="22"/>
          <w:lang w:val="fr-FR"/>
        </w:rPr>
        <w:t xml:space="preserve">informations disponibles, y compris, entre autres, les publications à comité de lecture, concernant les impacts </w:t>
      </w:r>
      <w:r w:rsidRPr="00C42BD9">
        <w:rPr>
          <w:iCs/>
          <w:snapToGrid w:val="0"/>
          <w:kern w:val="22"/>
          <w:szCs w:val="22"/>
          <w:lang w:val="fr-FR"/>
        </w:rPr>
        <w:t>positifs et négatifs potentiels sur l’environnement, en tenant compte de la santé humaine et des impacts culturels et socioéconomiques, en ce qui concerne notamment la valeur de la diversité biologique pour les peuples autochtones et les communautés locales, des applications actuelles ou prochaines de la biologie de synthèse, notamment les applications qui utili</w:t>
      </w:r>
      <w:r w:rsidR="00A463CF">
        <w:rPr>
          <w:iCs/>
          <w:snapToGrid w:val="0"/>
          <w:kern w:val="22"/>
          <w:szCs w:val="22"/>
          <w:lang w:val="fr-FR"/>
        </w:rPr>
        <w:t>sent des organismes ayant subi un</w:t>
      </w:r>
      <w:r w:rsidRPr="00C42BD9">
        <w:rPr>
          <w:iCs/>
          <w:snapToGrid w:val="0"/>
          <w:kern w:val="22"/>
          <w:szCs w:val="22"/>
          <w:lang w:val="fr-FR"/>
        </w:rPr>
        <w:t xml:space="preserve"> forçage génétique, en tenant compte des caractéristiques et des espèces qui pourraient potentiellement être disséminées et de la dynamique de leur dissémination, ainsi que de la nécessité d’éviter les doubles emplois avec les travaux sur l’évaluation des risques menés au titre du Protocole de Cartagena sur la préventio</w:t>
      </w:r>
      <w:r w:rsidR="00A463CF">
        <w:rPr>
          <w:iCs/>
          <w:snapToGrid w:val="0"/>
          <w:kern w:val="22"/>
          <w:szCs w:val="22"/>
          <w:lang w:val="fr-FR"/>
        </w:rPr>
        <w:t>n des risques biotechnologiques ;</w:t>
      </w:r>
    </w:p>
    <w:p w14:paraId="0B40D36D" w14:textId="7A66792C" w:rsidR="006D275E" w:rsidRPr="00C42BD9" w:rsidRDefault="006D275E" w:rsidP="006D275E">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rPr>
      </w:pPr>
      <w:r w:rsidRPr="00C42BD9">
        <w:rPr>
          <w:iCs/>
          <w:snapToGrid w:val="0"/>
          <w:kern w:val="22"/>
          <w:szCs w:val="22"/>
          <w:lang w:val="fr-FR"/>
        </w:rPr>
        <w:t>d)</w:t>
      </w:r>
      <w:r w:rsidRPr="00C42BD9">
        <w:rPr>
          <w:iCs/>
          <w:snapToGrid w:val="0"/>
          <w:kern w:val="22"/>
          <w:szCs w:val="22"/>
          <w:lang w:val="fr-FR"/>
        </w:rPr>
        <w:tab/>
        <w:t>Examiner s’il existe</w:t>
      </w:r>
      <w:r w:rsidR="00A463CF">
        <w:rPr>
          <w:iCs/>
          <w:snapToGrid w:val="0"/>
          <w:kern w:val="22"/>
          <w:szCs w:val="22"/>
          <w:lang w:val="fr-FR"/>
        </w:rPr>
        <w:t xml:space="preserve"> jusqu’à présent des organismes créés </w:t>
      </w:r>
      <w:r w:rsidRPr="00C42BD9">
        <w:rPr>
          <w:iCs/>
          <w:snapToGrid w:val="0"/>
          <w:kern w:val="22"/>
          <w:szCs w:val="22"/>
          <w:lang w:val="fr-FR"/>
        </w:rPr>
        <w:t>par des avancées dans le dom</w:t>
      </w:r>
      <w:r w:rsidR="00A463CF">
        <w:rPr>
          <w:iCs/>
          <w:snapToGrid w:val="0"/>
          <w:kern w:val="22"/>
          <w:szCs w:val="22"/>
          <w:lang w:val="fr-FR"/>
        </w:rPr>
        <w:t>aine de la biologie de synthèse</w:t>
      </w:r>
      <w:r w:rsidRPr="00C42BD9">
        <w:rPr>
          <w:iCs/>
          <w:snapToGrid w:val="0"/>
          <w:kern w:val="22"/>
          <w:szCs w:val="22"/>
          <w:lang w:val="fr-FR"/>
        </w:rPr>
        <w:t xml:space="preserve"> qui n’entrent pas dans la définition du terme « organisme vivant modifié » au</w:t>
      </w:r>
      <w:r w:rsidR="00A463CF">
        <w:rPr>
          <w:iCs/>
          <w:snapToGrid w:val="0"/>
          <w:kern w:val="22"/>
          <w:szCs w:val="22"/>
          <w:lang w:val="fr-FR"/>
        </w:rPr>
        <w:t xml:space="preserve"> sens du Protocole de Cartagena ;</w:t>
      </w:r>
    </w:p>
    <w:p w14:paraId="50FBBA90" w14:textId="0D7EC3C5" w:rsidR="006D275E" w:rsidRPr="00C42BD9" w:rsidRDefault="006D275E" w:rsidP="006D275E">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rPr>
      </w:pPr>
      <w:r w:rsidRPr="00C42BD9">
        <w:rPr>
          <w:iCs/>
          <w:snapToGrid w:val="0"/>
          <w:kern w:val="22"/>
          <w:szCs w:val="22"/>
          <w:lang w:val="fr-FR"/>
        </w:rPr>
        <w:t>e)</w:t>
      </w:r>
      <w:r w:rsidRPr="00C42BD9">
        <w:rPr>
          <w:iCs/>
          <w:snapToGrid w:val="0"/>
          <w:kern w:val="22"/>
          <w:szCs w:val="22"/>
          <w:lang w:val="fr-FR"/>
        </w:rPr>
        <w:tab/>
        <w:t xml:space="preserve">Établir un rapport prospectif sur les applications de la biologie de synthèse qui sont aux premiers stades de recherche et développement, au regard des trois objectifs de la Convention, en compilant et en analysant les informations, y compris, entre autres, les </w:t>
      </w:r>
      <w:r w:rsidRPr="00C42BD9">
        <w:rPr>
          <w:snapToGrid w:val="0"/>
          <w:kern w:val="22"/>
          <w:szCs w:val="22"/>
          <w:lang w:val="fr-FR"/>
        </w:rPr>
        <w:t>publications à comité de lecture</w:t>
      </w:r>
      <w:r w:rsidR="00A463CF">
        <w:rPr>
          <w:snapToGrid w:val="0"/>
          <w:kern w:val="22"/>
          <w:szCs w:val="22"/>
          <w:lang w:val="fr-FR"/>
        </w:rPr>
        <w:t> </w:t>
      </w:r>
      <w:r w:rsidR="00A463CF">
        <w:rPr>
          <w:iCs/>
          <w:snapToGrid w:val="0"/>
          <w:kern w:val="22"/>
          <w:szCs w:val="22"/>
          <w:lang w:val="fr-FR"/>
        </w:rPr>
        <w:t>;</w:t>
      </w:r>
    </w:p>
    <w:p w14:paraId="64310877" w14:textId="08816F50" w:rsidR="006D275E" w:rsidRPr="00C42BD9" w:rsidRDefault="006D275E" w:rsidP="006D275E">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rPr>
      </w:pPr>
      <w:r w:rsidRPr="00C42BD9">
        <w:rPr>
          <w:iCs/>
          <w:snapToGrid w:val="0"/>
          <w:kern w:val="22"/>
          <w:szCs w:val="22"/>
          <w:lang w:val="fr-FR"/>
        </w:rPr>
        <w:t xml:space="preserve">f)            Recommander des moyens d'analyser, de suivre et d'évaluer régulièrement les évolutions mentionnées au </w:t>
      </w:r>
      <w:r w:rsidR="00FF7E2E" w:rsidRPr="00C42BD9">
        <w:rPr>
          <w:iCs/>
          <w:snapToGrid w:val="0"/>
          <w:kern w:val="22"/>
          <w:szCs w:val="22"/>
          <w:lang w:val="fr-FR"/>
        </w:rPr>
        <w:t>paragraphe 3 de la décision 14</w:t>
      </w:r>
      <w:r w:rsidR="00EE0208">
        <w:rPr>
          <w:iCs/>
          <w:snapToGrid w:val="0"/>
          <w:kern w:val="22"/>
          <w:szCs w:val="22"/>
          <w:lang w:val="fr-FR"/>
        </w:rPr>
        <w:t>/19</w:t>
      </w:r>
      <w:r w:rsidRPr="00C42BD9">
        <w:rPr>
          <w:iCs/>
          <w:snapToGrid w:val="0"/>
          <w:kern w:val="22"/>
          <w:szCs w:val="22"/>
          <w:lang w:val="fr-FR"/>
        </w:rPr>
        <w:t xml:space="preserve"> ;</w:t>
      </w:r>
    </w:p>
    <w:p w14:paraId="481EBB7C" w14:textId="2C0028F8" w:rsidR="006D275E" w:rsidRPr="00C42BD9" w:rsidRDefault="006D275E" w:rsidP="006D275E">
      <w:pPr>
        <w:ind w:firstLine="709"/>
        <w:rPr>
          <w:bCs/>
          <w:iCs/>
          <w:kern w:val="22"/>
          <w:szCs w:val="22"/>
          <w:lang w:val="fr-FR"/>
        </w:rPr>
      </w:pPr>
      <w:r w:rsidRPr="00C42BD9">
        <w:rPr>
          <w:color w:val="000000"/>
          <w:kern w:val="22"/>
          <w:szCs w:val="22"/>
          <w:lang w:val="fr-FR"/>
        </w:rPr>
        <w:t>g)</w:t>
      </w:r>
      <w:r w:rsidRPr="00C42BD9">
        <w:rPr>
          <w:color w:val="000000"/>
          <w:kern w:val="22"/>
          <w:szCs w:val="22"/>
          <w:lang w:val="fr-FR"/>
        </w:rPr>
        <w:tab/>
      </w:r>
      <w:r w:rsidRPr="00C42BD9">
        <w:rPr>
          <w:iCs/>
          <w:kern w:val="22"/>
          <w:szCs w:val="22"/>
          <w:lang w:val="fr-FR"/>
        </w:rPr>
        <w:t>Établir un rapport s</w:t>
      </w:r>
      <w:r w:rsidR="00EE0208">
        <w:rPr>
          <w:iCs/>
          <w:kern w:val="22"/>
          <w:szCs w:val="22"/>
          <w:lang w:val="fr-FR"/>
        </w:rPr>
        <w:t>ur les résultats de ses travaux</w:t>
      </w:r>
      <w:r w:rsidRPr="00C42BD9">
        <w:rPr>
          <w:iCs/>
          <w:kern w:val="22"/>
          <w:szCs w:val="22"/>
          <w:lang w:val="fr-FR"/>
        </w:rPr>
        <w:t xml:space="preserve"> aux fins d’examen par </w:t>
      </w:r>
      <w:r w:rsidRPr="00C42BD9">
        <w:rPr>
          <w:bCs/>
          <w:iCs/>
          <w:kern w:val="22"/>
          <w:szCs w:val="22"/>
          <w:lang w:val="fr-FR"/>
        </w:rPr>
        <w:t>l’Organe subsidiaire chargé de fournir des avis scientifiques, techniques et technologiques à une réunion qui se tiendra avant la quinzième réunion de la Conférence des Parties.</w:t>
      </w:r>
    </w:p>
    <w:p w14:paraId="5E0B605B" w14:textId="77777777" w:rsidR="006D275E" w:rsidRPr="00C42BD9" w:rsidRDefault="006D275E" w:rsidP="006D275E">
      <w:pPr>
        <w:ind w:firstLine="709"/>
        <w:rPr>
          <w:bCs/>
          <w:iCs/>
          <w:kern w:val="22"/>
          <w:szCs w:val="22"/>
          <w:lang w:val="fr-FR"/>
        </w:rPr>
      </w:pPr>
    </w:p>
    <w:p w14:paraId="2FD00827" w14:textId="08D16BBB" w:rsidR="00B3369F" w:rsidRPr="00C42BD9" w:rsidRDefault="00B31690" w:rsidP="00527E65">
      <w:pPr>
        <w:jc w:val="center"/>
        <w:rPr>
          <w:kern w:val="22"/>
          <w:szCs w:val="22"/>
          <w:lang w:val="fr-FR"/>
        </w:rPr>
      </w:pPr>
      <w:r w:rsidRPr="00C42BD9">
        <w:rPr>
          <w:kern w:val="22"/>
          <w:szCs w:val="22"/>
          <w:lang w:val="fr-FR"/>
        </w:rPr>
        <w:t>______</w:t>
      </w:r>
      <w:r w:rsidR="00F9047E" w:rsidRPr="00C42BD9">
        <w:rPr>
          <w:kern w:val="22"/>
          <w:szCs w:val="22"/>
          <w:lang w:val="fr-FR"/>
        </w:rPr>
        <w:t>____</w:t>
      </w:r>
    </w:p>
    <w:sectPr w:rsidR="00B3369F" w:rsidRPr="00C42BD9" w:rsidSect="007B078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A010E" w14:textId="77777777" w:rsidR="00BA6461" w:rsidRDefault="00BA6461" w:rsidP="00CF1848">
      <w:r>
        <w:separator/>
      </w:r>
    </w:p>
  </w:endnote>
  <w:endnote w:type="continuationSeparator" w:id="0">
    <w:p w14:paraId="0881015D" w14:textId="77777777" w:rsidR="00BA6461" w:rsidRDefault="00BA646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9B121" w14:textId="77777777" w:rsidR="00BA6461" w:rsidRDefault="00BA6461" w:rsidP="00CF1848">
      <w:r>
        <w:separator/>
      </w:r>
    </w:p>
  </w:footnote>
  <w:footnote w:type="continuationSeparator" w:id="0">
    <w:p w14:paraId="6CFF72F4" w14:textId="77777777" w:rsidR="00BA6461" w:rsidRDefault="00BA6461" w:rsidP="00CF1848">
      <w:r>
        <w:continuationSeparator/>
      </w:r>
    </w:p>
  </w:footnote>
  <w:footnote w:id="1">
    <w:p w14:paraId="757C7ADE" w14:textId="36D4D501" w:rsidR="006D275E" w:rsidRPr="008E6A48" w:rsidRDefault="006D275E" w:rsidP="006D275E">
      <w:pPr>
        <w:pStyle w:val="FootnoteText"/>
        <w:kinsoku w:val="0"/>
        <w:overflowPunct w:val="0"/>
        <w:autoSpaceDE w:val="0"/>
        <w:autoSpaceDN w:val="0"/>
        <w:ind w:firstLine="0"/>
        <w:jc w:val="left"/>
        <w:rPr>
          <w:snapToGrid w:val="0"/>
          <w:kern w:val="18"/>
          <w:szCs w:val="18"/>
          <w:lang w:val="fr-CA"/>
        </w:rPr>
      </w:pPr>
      <w:r w:rsidRPr="008E6A48">
        <w:rPr>
          <w:rStyle w:val="FootnoteReference"/>
          <w:rFonts w:eastAsiaTheme="majorEastAsia"/>
          <w:snapToGrid w:val="0"/>
          <w:kern w:val="18"/>
          <w:szCs w:val="18"/>
          <w:lang w:val="fr-CA"/>
        </w:rPr>
        <w:footnoteRef/>
      </w:r>
      <w:r w:rsidR="00C42BD9">
        <w:rPr>
          <w:snapToGrid w:val="0"/>
          <w:kern w:val="18"/>
          <w:szCs w:val="18"/>
          <w:lang w:val="fr-CA"/>
        </w:rPr>
        <w:t xml:space="preserve"> Annexe du</w:t>
      </w:r>
      <w:r w:rsidRPr="008E6A48">
        <w:rPr>
          <w:snapToGrid w:val="0"/>
          <w:kern w:val="18"/>
          <w:szCs w:val="18"/>
          <w:lang w:val="fr-CA"/>
        </w:rPr>
        <w:t xml:space="preserve"> document CBD/SBSTTA/22/4.</w:t>
      </w:r>
    </w:p>
  </w:footnote>
  <w:footnote w:id="2">
    <w:p w14:paraId="293C40E6" w14:textId="77777777" w:rsidR="003148D0" w:rsidRPr="00E0239C" w:rsidRDefault="003148D0" w:rsidP="003148D0">
      <w:pPr>
        <w:pStyle w:val="FootnoteText"/>
        <w:kinsoku w:val="0"/>
        <w:overflowPunct w:val="0"/>
        <w:autoSpaceDE w:val="0"/>
        <w:autoSpaceDN w:val="0"/>
        <w:adjustRightInd w:val="0"/>
        <w:snapToGrid w:val="0"/>
        <w:ind w:firstLine="0"/>
        <w:jc w:val="left"/>
        <w:rPr>
          <w:szCs w:val="18"/>
          <w:lang w:val="fr-FR"/>
        </w:rPr>
      </w:pPr>
      <w:r w:rsidRPr="00604685">
        <w:rPr>
          <w:rStyle w:val="FootnoteReference"/>
          <w:szCs w:val="18"/>
        </w:rPr>
        <w:footnoteRef/>
      </w:r>
      <w:r w:rsidRPr="00E0239C">
        <w:rPr>
          <w:szCs w:val="18"/>
          <w:lang w:val="fr-FR"/>
        </w:rPr>
        <w:t xml:space="preserve"> </w:t>
      </w:r>
      <w:r>
        <w:rPr>
          <w:szCs w:val="18"/>
          <w:lang w:val="fr-FR"/>
        </w:rPr>
        <w:t>L’</w:t>
      </w:r>
      <w:r>
        <w:rPr>
          <w:kern w:val="22"/>
          <w:szCs w:val="22"/>
          <w:lang w:val="fr-CA" w:bidi="fr-FR"/>
        </w:rPr>
        <w:t>Organe subsidiaire chargé de fournir des avis scientifiques, techniques et technologiques</w:t>
      </w:r>
      <w:r w:rsidRPr="00E0239C">
        <w:rPr>
          <w:snapToGrid w:val="0"/>
          <w:kern w:val="22"/>
          <w:szCs w:val="18"/>
          <w:lang w:val="fr-FR"/>
        </w:rPr>
        <w:t xml:space="preserve"> a recommandé que la Conférence des Parties siégeant en tant que réunion des Parties au Protocole de Cartagena sur la prévention des risques biotechnologiques (recomma</w:t>
      </w:r>
      <w:r>
        <w:rPr>
          <w:snapToGrid w:val="0"/>
          <w:kern w:val="22"/>
          <w:szCs w:val="18"/>
          <w:lang w:val="fr-FR"/>
        </w:rPr>
        <w:t>ndation 22/2</w:t>
      </w:r>
      <w:r w:rsidRPr="00E0239C">
        <w:rPr>
          <w:snapToGrid w:val="0"/>
          <w:kern w:val="22"/>
          <w:szCs w:val="18"/>
          <w:lang w:val="fr-FR"/>
        </w:rPr>
        <w:t xml:space="preserve">) </w:t>
      </w:r>
      <w:r>
        <w:rPr>
          <w:snapToGrid w:val="0"/>
          <w:kern w:val="22"/>
          <w:szCs w:val="18"/>
          <w:lang w:val="fr-FR"/>
        </w:rPr>
        <w:t>examine la nécessité d’avoir des orientations spécifiques sur l’évaluation des risques présentés par les organismes génétiquement modifiés ayant subi un forçage génétique à sa dixième réunion</w:t>
      </w:r>
      <w:r w:rsidRPr="00E0239C">
        <w:rPr>
          <w:snapToGrid w:val="0"/>
          <w:kern w:val="22"/>
          <w:szCs w:val="18"/>
          <w:lang w:val="fr-FR"/>
        </w:rPr>
        <w:t>.</w:t>
      </w:r>
    </w:p>
  </w:footnote>
  <w:footnote w:id="3">
    <w:p w14:paraId="326A85A9" w14:textId="30748D26" w:rsidR="003148D0" w:rsidRPr="008901FB" w:rsidRDefault="003148D0" w:rsidP="003148D0">
      <w:pPr>
        <w:pStyle w:val="FootnoteText"/>
        <w:kinsoku w:val="0"/>
        <w:overflowPunct w:val="0"/>
        <w:autoSpaceDE w:val="0"/>
        <w:autoSpaceDN w:val="0"/>
        <w:adjustRightInd w:val="0"/>
        <w:snapToGrid w:val="0"/>
        <w:ind w:firstLine="0"/>
        <w:jc w:val="left"/>
        <w:rPr>
          <w:szCs w:val="18"/>
          <w:lang w:val="fr-FR"/>
        </w:rPr>
      </w:pPr>
      <w:r w:rsidRPr="00604685">
        <w:rPr>
          <w:rStyle w:val="FootnoteReference"/>
          <w:szCs w:val="18"/>
        </w:rPr>
        <w:footnoteRef/>
      </w:r>
      <w:r w:rsidRPr="008901FB">
        <w:rPr>
          <w:szCs w:val="18"/>
          <w:lang w:val="fr-FR"/>
        </w:rPr>
        <w:t xml:space="preserve"> </w:t>
      </w:r>
      <w:r w:rsidRPr="00F0045D">
        <w:rPr>
          <w:szCs w:val="18"/>
          <w:lang w:val="fr-FR"/>
        </w:rPr>
        <w:t>https://www.cbd.int/meetings/SYNBIOAHTEG-2017-01</w:t>
      </w:r>
      <w:r w:rsidRPr="008901FB">
        <w:rPr>
          <w:szCs w:val="18"/>
          <w:lang w:val="fr-FR"/>
        </w:rPr>
        <w:t>.</w:t>
      </w:r>
    </w:p>
  </w:footnote>
  <w:footnote w:id="4">
    <w:p w14:paraId="13A0117D" w14:textId="7D006AF9" w:rsidR="00FF7E2E" w:rsidRPr="00FF7E2E" w:rsidRDefault="00FF7E2E" w:rsidP="00FF7E2E">
      <w:pPr>
        <w:pStyle w:val="FootnoteText"/>
        <w:ind w:firstLine="0"/>
        <w:jc w:val="left"/>
        <w:rPr>
          <w:kern w:val="18"/>
          <w:szCs w:val="18"/>
          <w:lang w:val="fr-FR"/>
        </w:rPr>
      </w:pPr>
      <w:r w:rsidRPr="00E74038">
        <w:rPr>
          <w:rStyle w:val="FootnoteReference"/>
          <w:kern w:val="18"/>
          <w:sz w:val="18"/>
          <w:szCs w:val="18"/>
        </w:rPr>
        <w:footnoteRef/>
      </w:r>
      <w:r w:rsidRPr="00FF7E2E">
        <w:rPr>
          <w:kern w:val="18"/>
          <w:szCs w:val="18"/>
          <w:lang w:val="fr-FR"/>
        </w:rPr>
        <w:t xml:space="preserve"> Voir la décision XIII/17.</w:t>
      </w:r>
    </w:p>
  </w:footnote>
  <w:footnote w:id="5">
    <w:p w14:paraId="4382817F" w14:textId="77777777" w:rsidR="006D275E" w:rsidRPr="006D275E" w:rsidRDefault="006D275E" w:rsidP="006D275E">
      <w:pPr>
        <w:pStyle w:val="FootnoteText"/>
        <w:ind w:firstLine="0"/>
        <w:rPr>
          <w:lang w:val="fr-FR"/>
        </w:rPr>
      </w:pPr>
      <w:r>
        <w:rPr>
          <w:rStyle w:val="FootnoteReference"/>
        </w:rPr>
        <w:footnoteRef/>
      </w:r>
      <w:r w:rsidRPr="006D275E">
        <w:rPr>
          <w:lang w:val="fr-FR"/>
        </w:rPr>
        <w:t xml:space="preserve"> Décision XIII/18.</w:t>
      </w:r>
    </w:p>
  </w:footnote>
  <w:footnote w:id="6">
    <w:p w14:paraId="6BDA07DA" w14:textId="07BE75EE" w:rsidR="006D275E" w:rsidRPr="008901FB" w:rsidRDefault="006D275E" w:rsidP="006D275E">
      <w:pPr>
        <w:pStyle w:val="FootnoteText"/>
        <w:kinsoku w:val="0"/>
        <w:overflowPunct w:val="0"/>
        <w:autoSpaceDE w:val="0"/>
        <w:autoSpaceDN w:val="0"/>
        <w:adjustRightInd w:val="0"/>
        <w:snapToGrid w:val="0"/>
        <w:ind w:firstLine="0"/>
        <w:jc w:val="left"/>
        <w:rPr>
          <w:szCs w:val="18"/>
          <w:lang w:val="fr-FR"/>
        </w:rPr>
      </w:pPr>
      <w:r w:rsidRPr="00604685">
        <w:rPr>
          <w:rStyle w:val="FootnoteReference"/>
          <w:szCs w:val="18"/>
        </w:rPr>
        <w:footnoteRef/>
      </w:r>
      <w:r w:rsidRPr="008901FB">
        <w:rPr>
          <w:szCs w:val="18"/>
          <w:lang w:val="fr-FR"/>
        </w:rPr>
        <w:t xml:space="preserve"> </w:t>
      </w:r>
      <w:r w:rsidRPr="00EE0208">
        <w:rPr>
          <w:szCs w:val="18"/>
          <w:lang w:val="fr-FR"/>
        </w:rPr>
        <w:t>http://bch.cbd.int/onlineconferences/portal_detection/lab_network.shtml</w:t>
      </w:r>
      <w:r w:rsidRPr="008901FB">
        <w:rPr>
          <w:szCs w:val="18"/>
          <w:lang w:val="fr-FR"/>
        </w:rPr>
        <w:t>.</w:t>
      </w:r>
    </w:p>
  </w:footnote>
  <w:footnote w:id="7">
    <w:p w14:paraId="266C1462" w14:textId="77777777" w:rsidR="006D275E" w:rsidRPr="00604685" w:rsidRDefault="006D275E" w:rsidP="006D275E">
      <w:pPr>
        <w:pStyle w:val="FootnoteText"/>
        <w:ind w:firstLine="0"/>
      </w:pPr>
      <w:r w:rsidRPr="00DD30BC">
        <w:rPr>
          <w:rStyle w:val="FootnoteReference"/>
          <w:szCs w:val="18"/>
        </w:rPr>
        <w:footnoteRef/>
      </w:r>
      <w:r>
        <w:t xml:space="preserve"> </w:t>
      </w:r>
      <w:r w:rsidRPr="006D275E">
        <w:rPr>
          <w:lang w:val="en-AU"/>
        </w:rPr>
        <w:t>SBSTTA/22/INF/17.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2706C076" w:rsidR="00534681" w:rsidRPr="00E74038" w:rsidRDefault="00F05FA0" w:rsidP="00E74038">
        <w:pPr>
          <w:pStyle w:val="Header"/>
          <w:tabs>
            <w:tab w:val="clear" w:pos="4320"/>
            <w:tab w:val="clear" w:pos="8640"/>
          </w:tabs>
          <w:jc w:val="left"/>
          <w:rPr>
            <w:noProof/>
            <w:kern w:val="22"/>
          </w:rPr>
        </w:pPr>
        <w:r>
          <w:rPr>
            <w:noProof/>
            <w:kern w:val="22"/>
          </w:rPr>
          <w:t>CBD/COP/DEC/14/19</w:t>
        </w:r>
      </w:p>
    </w:sdtContent>
  </w:sdt>
  <w:p w14:paraId="2FD00833" w14:textId="25D447D2" w:rsidR="00534681" w:rsidRPr="00E74038" w:rsidRDefault="00534681" w:rsidP="00E74038">
    <w:pPr>
      <w:pStyle w:val="Header"/>
      <w:tabs>
        <w:tab w:val="clear" w:pos="4320"/>
        <w:tab w:val="clear" w:pos="8640"/>
      </w:tabs>
      <w:jc w:val="left"/>
      <w:rPr>
        <w:noProof/>
        <w:kern w:val="22"/>
      </w:rPr>
    </w:pPr>
    <w:r w:rsidRPr="00E74038">
      <w:rPr>
        <w:noProof/>
        <w:kern w:val="22"/>
      </w:rPr>
      <w:t xml:space="preserve">Page </w:t>
    </w:r>
    <w:r w:rsidRPr="00E74038">
      <w:rPr>
        <w:noProof/>
        <w:kern w:val="22"/>
      </w:rPr>
      <w:fldChar w:fldCharType="begin"/>
    </w:r>
    <w:r w:rsidRPr="00E74038">
      <w:rPr>
        <w:noProof/>
        <w:kern w:val="22"/>
      </w:rPr>
      <w:instrText xml:space="preserve"> PAGE   \* MERGEFORMAT </w:instrText>
    </w:r>
    <w:r w:rsidRPr="00E74038">
      <w:rPr>
        <w:noProof/>
        <w:kern w:val="22"/>
      </w:rPr>
      <w:fldChar w:fldCharType="separate"/>
    </w:r>
    <w:r w:rsidR="00EE0208">
      <w:rPr>
        <w:noProof/>
        <w:kern w:val="22"/>
      </w:rPr>
      <w:t>4</w:t>
    </w:r>
    <w:r w:rsidRPr="00E74038">
      <w:rPr>
        <w:noProof/>
        <w:kern w:val="22"/>
      </w:rPr>
      <w:fldChar w:fldCharType="end"/>
    </w:r>
  </w:p>
  <w:p w14:paraId="2FD00834" w14:textId="77777777" w:rsidR="00534681" w:rsidRPr="00E74038" w:rsidRDefault="00534681" w:rsidP="00E74038">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59E21DB2" w:rsidR="009505C9" w:rsidRPr="00E74038" w:rsidRDefault="00F05FA0" w:rsidP="00E74038">
        <w:pPr>
          <w:pStyle w:val="Header"/>
          <w:tabs>
            <w:tab w:val="clear" w:pos="4320"/>
            <w:tab w:val="clear" w:pos="8640"/>
          </w:tabs>
          <w:jc w:val="right"/>
          <w:rPr>
            <w:noProof/>
            <w:kern w:val="22"/>
          </w:rPr>
        </w:pPr>
        <w:r>
          <w:rPr>
            <w:noProof/>
            <w:kern w:val="22"/>
          </w:rPr>
          <w:t>CBD/COP/DEC/14/19</w:t>
        </w:r>
      </w:p>
    </w:sdtContent>
  </w:sdt>
  <w:p w14:paraId="2FD00836" w14:textId="281DA1C1" w:rsidR="009505C9" w:rsidRPr="00E74038" w:rsidRDefault="009505C9" w:rsidP="00E74038">
    <w:pPr>
      <w:pStyle w:val="Header"/>
      <w:tabs>
        <w:tab w:val="clear" w:pos="4320"/>
        <w:tab w:val="clear" w:pos="8640"/>
      </w:tabs>
      <w:jc w:val="right"/>
      <w:rPr>
        <w:noProof/>
        <w:kern w:val="22"/>
      </w:rPr>
    </w:pPr>
    <w:r w:rsidRPr="00E74038">
      <w:rPr>
        <w:noProof/>
        <w:kern w:val="22"/>
      </w:rPr>
      <w:t xml:space="preserve">Page </w:t>
    </w:r>
    <w:r w:rsidRPr="00E74038">
      <w:rPr>
        <w:noProof/>
        <w:kern w:val="22"/>
      </w:rPr>
      <w:fldChar w:fldCharType="begin"/>
    </w:r>
    <w:r w:rsidRPr="00E74038">
      <w:rPr>
        <w:noProof/>
        <w:kern w:val="22"/>
      </w:rPr>
      <w:instrText xml:space="preserve"> PAGE   \* MERGEFORMAT </w:instrText>
    </w:r>
    <w:r w:rsidRPr="00E74038">
      <w:rPr>
        <w:noProof/>
        <w:kern w:val="22"/>
      </w:rPr>
      <w:fldChar w:fldCharType="separate"/>
    </w:r>
    <w:r w:rsidR="00EE0208">
      <w:rPr>
        <w:noProof/>
        <w:kern w:val="22"/>
      </w:rPr>
      <w:t>3</w:t>
    </w:r>
    <w:r w:rsidRPr="00E74038">
      <w:rPr>
        <w:noProof/>
        <w:kern w:val="22"/>
      </w:rPr>
      <w:fldChar w:fldCharType="end"/>
    </w:r>
  </w:p>
  <w:p w14:paraId="2FD00837" w14:textId="77777777" w:rsidR="009505C9" w:rsidRPr="00E74038" w:rsidRDefault="009505C9" w:rsidP="00E74038">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fr-FR"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fr-CA" w:vendorID="64" w:dllVersion="6" w:nlCheck="1" w:checkStyle="1"/>
  <w:activeWritingStyle w:appName="MSWord" w:lang="en-AU" w:vendorID="64" w:dllVersion="6" w:nlCheck="1" w:checkStyle="1"/>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1640A"/>
    <w:rsid w:val="000556DA"/>
    <w:rsid w:val="000C6A9E"/>
    <w:rsid w:val="000E673A"/>
    <w:rsid w:val="000F4914"/>
    <w:rsid w:val="000F74F5"/>
    <w:rsid w:val="00105372"/>
    <w:rsid w:val="00131E7A"/>
    <w:rsid w:val="00172AF6"/>
    <w:rsid w:val="00176CEE"/>
    <w:rsid w:val="00186DD8"/>
    <w:rsid w:val="001D2EFD"/>
    <w:rsid w:val="001E3558"/>
    <w:rsid w:val="0021432F"/>
    <w:rsid w:val="002629E2"/>
    <w:rsid w:val="00273079"/>
    <w:rsid w:val="003148D0"/>
    <w:rsid w:val="00367C4D"/>
    <w:rsid w:val="00372F74"/>
    <w:rsid w:val="00374B06"/>
    <w:rsid w:val="00396ABB"/>
    <w:rsid w:val="003D6DF7"/>
    <w:rsid w:val="003F7224"/>
    <w:rsid w:val="00427D21"/>
    <w:rsid w:val="004644C2"/>
    <w:rsid w:val="00467F9C"/>
    <w:rsid w:val="004B3582"/>
    <w:rsid w:val="004F5E8F"/>
    <w:rsid w:val="00527E65"/>
    <w:rsid w:val="00534681"/>
    <w:rsid w:val="00543C77"/>
    <w:rsid w:val="005A20A4"/>
    <w:rsid w:val="006055D1"/>
    <w:rsid w:val="006122BA"/>
    <w:rsid w:val="006379A4"/>
    <w:rsid w:val="006407E5"/>
    <w:rsid w:val="006532DE"/>
    <w:rsid w:val="0068672C"/>
    <w:rsid w:val="00697C09"/>
    <w:rsid w:val="006A09CA"/>
    <w:rsid w:val="006B2290"/>
    <w:rsid w:val="006D275E"/>
    <w:rsid w:val="00700A7B"/>
    <w:rsid w:val="00717D88"/>
    <w:rsid w:val="007716D6"/>
    <w:rsid w:val="007942D3"/>
    <w:rsid w:val="007B078D"/>
    <w:rsid w:val="007B6C09"/>
    <w:rsid w:val="007E09DA"/>
    <w:rsid w:val="00802C03"/>
    <w:rsid w:val="00812F33"/>
    <w:rsid w:val="008178B6"/>
    <w:rsid w:val="0084014E"/>
    <w:rsid w:val="008442A9"/>
    <w:rsid w:val="00865B74"/>
    <w:rsid w:val="00874603"/>
    <w:rsid w:val="008C0668"/>
    <w:rsid w:val="00930BA1"/>
    <w:rsid w:val="0093169E"/>
    <w:rsid w:val="009505C9"/>
    <w:rsid w:val="00970898"/>
    <w:rsid w:val="0098082D"/>
    <w:rsid w:val="009A4C35"/>
    <w:rsid w:val="009A783B"/>
    <w:rsid w:val="00A140A2"/>
    <w:rsid w:val="00A463CF"/>
    <w:rsid w:val="00A83749"/>
    <w:rsid w:val="00AC3393"/>
    <w:rsid w:val="00B24D72"/>
    <w:rsid w:val="00B31690"/>
    <w:rsid w:val="00B3369F"/>
    <w:rsid w:val="00BA6461"/>
    <w:rsid w:val="00BB272D"/>
    <w:rsid w:val="00BC1293"/>
    <w:rsid w:val="00C42BD9"/>
    <w:rsid w:val="00C443BD"/>
    <w:rsid w:val="00C9161D"/>
    <w:rsid w:val="00CF1848"/>
    <w:rsid w:val="00D12044"/>
    <w:rsid w:val="00D43762"/>
    <w:rsid w:val="00D76A18"/>
    <w:rsid w:val="00DD118C"/>
    <w:rsid w:val="00DE4FC1"/>
    <w:rsid w:val="00E15238"/>
    <w:rsid w:val="00E5758D"/>
    <w:rsid w:val="00E66235"/>
    <w:rsid w:val="00E74038"/>
    <w:rsid w:val="00E74C7A"/>
    <w:rsid w:val="00E75964"/>
    <w:rsid w:val="00E83C24"/>
    <w:rsid w:val="00E9318D"/>
    <w:rsid w:val="00EB0F8C"/>
    <w:rsid w:val="00ED72FA"/>
    <w:rsid w:val="00EE0208"/>
    <w:rsid w:val="00F0045D"/>
    <w:rsid w:val="00F05FA0"/>
    <w:rsid w:val="00F6586C"/>
    <w:rsid w:val="00F9047E"/>
    <w:rsid w:val="00F94774"/>
    <w:rsid w:val="00FC53DB"/>
    <w:rsid w:val="00FF7E2E"/>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D00811"/>
  <w15:docId w15:val="{FD7CCE6A-6C85-4170-81F4-8FF0E5A7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31690"/>
    <w:pPr>
      <w:spacing w:after="160" w:line="240" w:lineRule="exac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D3C777C863B4BC39C28FC7B92DCBFD2"/>
        <w:category>
          <w:name w:val="General"/>
          <w:gallery w:val="placeholder"/>
        </w:category>
        <w:types>
          <w:type w:val="bbPlcHdr"/>
        </w:types>
        <w:behaviors>
          <w:behavior w:val="content"/>
        </w:behaviors>
        <w:guid w:val="{BF904F14-2E75-4361-98A3-CB77D520A397}"/>
      </w:docPartPr>
      <w:docPartBody>
        <w:p w:rsidR="00090A4B" w:rsidRDefault="00B14604" w:rsidP="00B14604">
          <w:pPr>
            <w:pStyle w:val="0D3C777C863B4BC39C28FC7B92DCBFD2"/>
          </w:pPr>
          <w:r w:rsidRPr="004C6EA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44180"/>
    <w:rsid w:val="00090A4B"/>
    <w:rsid w:val="00500A2B"/>
    <w:rsid w:val="00541C9A"/>
    <w:rsid w:val="0058288D"/>
    <w:rsid w:val="00614525"/>
    <w:rsid w:val="006801B3"/>
    <w:rsid w:val="00810A55"/>
    <w:rsid w:val="00875653"/>
    <w:rsid w:val="008C6619"/>
    <w:rsid w:val="008D420E"/>
    <w:rsid w:val="0098642F"/>
    <w:rsid w:val="00B14604"/>
    <w:rsid w:val="00EB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4604"/>
    <w:rPr>
      <w:color w:val="808080"/>
    </w:rPr>
  </w:style>
  <w:style w:type="paragraph" w:customStyle="1" w:styleId="0D3C777C863B4BC39C28FC7B92DCBFD2">
    <w:name w:val="0D3C777C863B4BC39C28FC7B92DCBFD2"/>
    <w:rsid w:val="00B14604"/>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90E31F-6D5D-4E3A-83C7-5465FD32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14/19.	Biologie de synthèse</vt:lpstr>
    </vt:vector>
  </TitlesOfParts>
  <Company>SCBD</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14/19.	Biologie de synthèse</dc:title>
  <dc:subject>CBD/COP/DEC/14/19</dc:subject>
  <dc:creator>COP 14</dc:creator>
  <cp:keywords>Synthetic biology, Convention on Biological Diversity</cp:keywords>
  <cp:lastModifiedBy>Tatiana Zavarzina</cp:lastModifiedBy>
  <cp:revision>5</cp:revision>
  <dcterms:created xsi:type="dcterms:W3CDTF">2019-02-08T17:55:00Z</dcterms:created>
  <dcterms:modified xsi:type="dcterms:W3CDTF">2019-02-13T15:51:00Z</dcterms:modified>
  <cp:contentStatus>GÉNÉRALE</cp:contentStatus>
</cp:coreProperties>
</file>