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4920" w:rsidRPr="00CB3B2A" w14:paraId="1E59E311" w14:textId="77777777" w:rsidTr="00A77CED">
        <w:trPr>
          <w:trHeight w:val="709"/>
        </w:trPr>
        <w:tc>
          <w:tcPr>
            <w:tcW w:w="976" w:type="dxa"/>
            <w:tcBorders>
              <w:bottom w:val="single" w:sz="12" w:space="0" w:color="auto"/>
            </w:tcBorders>
          </w:tcPr>
          <w:p w14:paraId="404ABD9F" w14:textId="77777777" w:rsidR="00184920" w:rsidRPr="00CB3B2A" w:rsidRDefault="00184920" w:rsidP="00A77CED">
            <w:pPr>
              <w:rPr>
                <w:lang w:val="fr-FR"/>
              </w:rPr>
            </w:pPr>
            <w:r w:rsidRPr="00CB3B2A">
              <w:rPr>
                <w:noProof/>
                <w:lang w:eastAsia="en-GB"/>
              </w:rPr>
              <w:drawing>
                <wp:inline distT="0" distB="0" distL="0" distR="0" wp14:anchorId="1354179E" wp14:editId="1C1AD30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E594AC4" w14:textId="77777777" w:rsidR="00184920" w:rsidRPr="00CB3B2A" w:rsidRDefault="00184920" w:rsidP="00A77CED">
            <w:pPr>
              <w:rPr>
                <w:lang w:val="fr-FR"/>
              </w:rPr>
            </w:pPr>
            <w:r w:rsidRPr="00CB3B2A">
              <w:rPr>
                <w:noProof/>
                <w:lang w:eastAsia="en-GB"/>
              </w:rPr>
              <w:drawing>
                <wp:inline distT="0" distB="0" distL="0" distR="0" wp14:anchorId="4C1E8A16" wp14:editId="4AA43FF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295F80E" w14:textId="77777777" w:rsidR="00184920" w:rsidRPr="00CB3B2A" w:rsidRDefault="00184920" w:rsidP="00A77CED">
            <w:pPr>
              <w:jc w:val="right"/>
              <w:rPr>
                <w:rFonts w:ascii="Arial" w:hAnsi="Arial" w:cs="Arial"/>
                <w:b/>
                <w:sz w:val="32"/>
                <w:szCs w:val="32"/>
                <w:lang w:val="fr-FR"/>
              </w:rPr>
            </w:pPr>
            <w:r w:rsidRPr="00CB3B2A">
              <w:rPr>
                <w:rFonts w:ascii="Arial" w:hAnsi="Arial" w:cs="Arial"/>
                <w:b/>
                <w:sz w:val="32"/>
                <w:szCs w:val="32"/>
                <w:lang w:val="fr-FR"/>
              </w:rPr>
              <w:t>CBD</w:t>
            </w:r>
          </w:p>
        </w:tc>
      </w:tr>
      <w:tr w:rsidR="00184920" w:rsidRPr="00CB3B2A" w14:paraId="040372B4" w14:textId="77777777" w:rsidTr="00A77CED">
        <w:tc>
          <w:tcPr>
            <w:tcW w:w="6117" w:type="dxa"/>
            <w:gridSpan w:val="2"/>
            <w:tcBorders>
              <w:top w:val="single" w:sz="12" w:space="0" w:color="auto"/>
              <w:bottom w:val="single" w:sz="36" w:space="0" w:color="auto"/>
            </w:tcBorders>
            <w:vAlign w:val="center"/>
          </w:tcPr>
          <w:p w14:paraId="7968BC91" w14:textId="39C80C25" w:rsidR="00184920" w:rsidRPr="00CB3B2A" w:rsidRDefault="00AD470A" w:rsidP="00A77CED">
            <w:pPr>
              <w:rPr>
                <w:lang w:val="fr-FR"/>
              </w:rPr>
            </w:pPr>
            <w:r w:rsidRPr="00CB3B2A">
              <w:rPr>
                <w:noProof/>
                <w:szCs w:val="22"/>
                <w:lang w:eastAsia="en-GB"/>
              </w:rPr>
              <w:drawing>
                <wp:inline distT="0" distB="0" distL="0" distR="0" wp14:anchorId="4A86C434" wp14:editId="2F21D3C9">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2170C20" w14:textId="77777777" w:rsidR="00184920" w:rsidRPr="00CB3B2A" w:rsidRDefault="00184920" w:rsidP="00A77CED">
            <w:pPr>
              <w:ind w:left="1215"/>
              <w:rPr>
                <w:noProof/>
                <w:szCs w:val="22"/>
                <w:lang w:val="fr-FR"/>
              </w:rPr>
            </w:pPr>
            <w:r w:rsidRPr="00CB3B2A">
              <w:rPr>
                <w:noProof/>
                <w:szCs w:val="22"/>
                <w:lang w:val="fr-FR"/>
              </w:rPr>
              <w:t>Distr.</w:t>
            </w:r>
          </w:p>
          <w:p w14:paraId="0938EE70" w14:textId="18CD197B" w:rsidR="00184920" w:rsidRPr="00CB3B2A" w:rsidRDefault="0046610E" w:rsidP="00A77CED">
            <w:pPr>
              <w:ind w:left="1215"/>
              <w:rPr>
                <w:szCs w:val="22"/>
                <w:lang w:val="fr-FR"/>
              </w:rPr>
            </w:pPr>
            <w:sdt>
              <w:sdtPr>
                <w:rPr>
                  <w:caps/>
                  <w:szCs w:val="22"/>
                  <w:lang w:val="fr-FR"/>
                </w:rPr>
                <w:alias w:val="Status"/>
                <w:tag w:val=""/>
                <w:id w:val="307985777"/>
                <w:placeholder>
                  <w:docPart w:val="BCB355EF9CF743C0AE1AFC4836C61F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9356DA" w:rsidRPr="00CB3B2A">
                  <w:rPr>
                    <w:caps/>
                    <w:szCs w:val="22"/>
                    <w:lang w:val="fr-FR"/>
                  </w:rPr>
                  <w:t>GÉNÉRALE</w:t>
                </w:r>
              </w:sdtContent>
            </w:sdt>
          </w:p>
          <w:p w14:paraId="681FE4C0" w14:textId="77777777" w:rsidR="00184920" w:rsidRPr="00CB3B2A" w:rsidRDefault="00184920" w:rsidP="00A77CED">
            <w:pPr>
              <w:ind w:left="1215"/>
              <w:rPr>
                <w:szCs w:val="22"/>
                <w:lang w:val="fr-FR"/>
              </w:rPr>
            </w:pPr>
          </w:p>
          <w:p w14:paraId="2A977E15" w14:textId="0D966536" w:rsidR="00184920" w:rsidRPr="00CB3B2A" w:rsidRDefault="0046610E" w:rsidP="00A77CED">
            <w:pPr>
              <w:ind w:left="1215"/>
              <w:rPr>
                <w:szCs w:val="22"/>
                <w:lang w:val="fr-FR"/>
              </w:rPr>
            </w:pPr>
            <w:sdt>
              <w:sdtPr>
                <w:rPr>
                  <w:lang w:val="fr-FR"/>
                </w:rPr>
                <w:alias w:val="Subject"/>
                <w:tag w:val=""/>
                <w:id w:val="2137136483"/>
                <w:placeholder>
                  <w:docPart w:val="54D15A36CFE642988B8A783F69646092"/>
                </w:placeholder>
                <w:dataBinding w:prefixMappings="xmlns:ns0='http://purl.org/dc/elements/1.1/' xmlns:ns1='http://schemas.openxmlformats.org/package/2006/metadata/core-properties' " w:xpath="/ns1:coreProperties[1]/ns0:subject[1]" w:storeItemID="{6C3C8BC8-F283-45AE-878A-BAB7291924A1}"/>
                <w:text/>
              </w:sdtPr>
              <w:sdtEndPr/>
              <w:sdtContent>
                <w:r w:rsidR="009356DA" w:rsidRPr="00CB3B2A">
                  <w:rPr>
                    <w:lang w:val="fr-FR"/>
                  </w:rPr>
                  <w:t>CBD/COP/DEC/14/20</w:t>
                </w:r>
              </w:sdtContent>
            </w:sdt>
          </w:p>
          <w:p w14:paraId="10CCA76D" w14:textId="4BFDCB2A" w:rsidR="00184920" w:rsidRPr="00CB3B2A" w:rsidRDefault="009356DA" w:rsidP="00A77CED">
            <w:pPr>
              <w:ind w:left="1215"/>
              <w:rPr>
                <w:szCs w:val="22"/>
                <w:lang w:val="fr-FR"/>
              </w:rPr>
            </w:pPr>
            <w:r w:rsidRPr="00CB3B2A">
              <w:rPr>
                <w:szCs w:val="22"/>
                <w:lang w:val="fr-FR"/>
              </w:rPr>
              <w:t>30</w:t>
            </w:r>
            <w:r w:rsidR="00184920" w:rsidRPr="00CB3B2A">
              <w:rPr>
                <w:szCs w:val="22"/>
                <w:lang w:val="fr-FR"/>
              </w:rPr>
              <w:t xml:space="preserve"> </w:t>
            </w:r>
            <w:r w:rsidR="00967A49" w:rsidRPr="00CB3B2A">
              <w:rPr>
                <w:szCs w:val="22"/>
                <w:lang w:val="fr-FR"/>
              </w:rPr>
              <w:t>novembre</w:t>
            </w:r>
            <w:r w:rsidR="00184920" w:rsidRPr="00CB3B2A">
              <w:rPr>
                <w:szCs w:val="22"/>
                <w:lang w:val="fr-FR"/>
              </w:rPr>
              <w:t xml:space="preserve"> 2018</w:t>
            </w:r>
          </w:p>
          <w:p w14:paraId="163FB221" w14:textId="77777777" w:rsidR="00184920" w:rsidRPr="00CB3B2A" w:rsidRDefault="00184920" w:rsidP="00A77CED">
            <w:pPr>
              <w:ind w:left="1215"/>
              <w:rPr>
                <w:szCs w:val="22"/>
                <w:lang w:val="fr-FR"/>
              </w:rPr>
            </w:pPr>
          </w:p>
          <w:p w14:paraId="26A33F37" w14:textId="51DA253B" w:rsidR="00967A49" w:rsidRPr="00CB3B2A" w:rsidRDefault="00967A49" w:rsidP="00132AC7">
            <w:pPr>
              <w:ind w:left="1215"/>
              <w:rPr>
                <w:lang w:val="fr-FR"/>
              </w:rPr>
            </w:pPr>
            <w:r w:rsidRPr="00CB3B2A">
              <w:rPr>
                <w:lang w:val="fr-FR"/>
              </w:rPr>
              <w:t>FRANÇAIS</w:t>
            </w:r>
          </w:p>
          <w:p w14:paraId="5BD135A2" w14:textId="433F3831" w:rsidR="00184920" w:rsidRPr="00CB3B2A" w:rsidRDefault="00967A49" w:rsidP="00967A49">
            <w:pPr>
              <w:ind w:left="1215"/>
              <w:rPr>
                <w:szCs w:val="22"/>
                <w:lang w:val="fr-FR"/>
              </w:rPr>
            </w:pPr>
            <w:r w:rsidRPr="00CB3B2A">
              <w:rPr>
                <w:lang w:val="fr-FR"/>
              </w:rPr>
              <w:t>ORIGINAL : ANGLAIS</w:t>
            </w:r>
          </w:p>
        </w:tc>
      </w:tr>
    </w:tbl>
    <w:p w14:paraId="6A76A34D" w14:textId="77777777" w:rsidR="009915D9" w:rsidRPr="00CB3B2A" w:rsidRDefault="009915D9" w:rsidP="009915D9">
      <w:pPr>
        <w:pStyle w:val="NoSpacing"/>
        <w:ind w:left="142" w:right="4682" w:hanging="142"/>
        <w:rPr>
          <w:rFonts w:ascii="Times New Roman" w:hAnsi="Times New Roman"/>
          <w:lang w:val="fr-FR"/>
        </w:rPr>
      </w:pPr>
      <w:r w:rsidRPr="00CB3B2A">
        <w:rPr>
          <w:rFonts w:ascii="Times New Roman" w:hAnsi="Times New Roman"/>
          <w:lang w:val="fr-FR"/>
        </w:rPr>
        <w:t>CONFÉRENCE DES PARTIES À LA CONVENTION SUR LA DIVERSITÉ BIOLOGIQUE</w:t>
      </w:r>
    </w:p>
    <w:p w14:paraId="6463B94E" w14:textId="77777777" w:rsidR="009915D9" w:rsidRPr="00CB3B2A" w:rsidRDefault="009915D9" w:rsidP="009915D9">
      <w:pPr>
        <w:pStyle w:val="NoSpacing"/>
        <w:rPr>
          <w:rFonts w:ascii="Times New Roman" w:hAnsi="Times New Roman"/>
          <w:lang w:val="fr-FR"/>
        </w:rPr>
      </w:pPr>
      <w:r w:rsidRPr="00CB3B2A">
        <w:rPr>
          <w:rFonts w:ascii="Times New Roman" w:hAnsi="Times New Roman"/>
          <w:lang w:val="fr-FR"/>
        </w:rPr>
        <w:t>Quatorzième réunion</w:t>
      </w:r>
      <w:bookmarkStart w:id="0" w:name="_GoBack"/>
      <w:bookmarkEnd w:id="0"/>
    </w:p>
    <w:p w14:paraId="60C8DA99" w14:textId="329BFE22" w:rsidR="009915D9" w:rsidRPr="00CB3B2A" w:rsidRDefault="009356DA" w:rsidP="009915D9">
      <w:pPr>
        <w:pStyle w:val="NoSpacing"/>
        <w:ind w:left="142" w:right="4682" w:hanging="142"/>
        <w:rPr>
          <w:rFonts w:ascii="Times New Roman" w:hAnsi="Times New Roman"/>
          <w:lang w:val="fr-FR"/>
        </w:rPr>
      </w:pPr>
      <w:r w:rsidRPr="00CB3B2A">
        <w:rPr>
          <w:rFonts w:ascii="Times New Roman" w:hAnsi="Times New Roman"/>
          <w:noProof/>
          <w:lang w:val="fr-FR"/>
        </w:rPr>
        <w:t xml:space="preserve">Charm </w:t>
      </w:r>
      <w:r w:rsidRPr="00CB3B2A">
        <w:rPr>
          <w:rFonts w:ascii="Times New Roman" w:hAnsi="Times New Roman"/>
          <w:lang w:val="fr-FR"/>
        </w:rPr>
        <w:t>el-Cheikh, É</w:t>
      </w:r>
      <w:r w:rsidR="009915D9" w:rsidRPr="00CB3B2A">
        <w:rPr>
          <w:rFonts w:ascii="Times New Roman" w:hAnsi="Times New Roman"/>
          <w:lang w:val="fr-FR"/>
        </w:rPr>
        <w:t>gypte, 17-29 novembre 2018</w:t>
      </w:r>
    </w:p>
    <w:p w14:paraId="147703B0" w14:textId="77777777" w:rsidR="009915D9" w:rsidRPr="00CB3B2A" w:rsidRDefault="009915D9" w:rsidP="009915D9">
      <w:pPr>
        <w:rPr>
          <w:lang w:val="fr-FR"/>
        </w:rPr>
      </w:pPr>
      <w:r w:rsidRPr="00CB3B2A">
        <w:rPr>
          <w:lang w:val="fr-FR"/>
        </w:rPr>
        <w:t>Point 18 de l’ordre du jour</w:t>
      </w:r>
    </w:p>
    <w:p w14:paraId="65BE5DA0" w14:textId="44CC6F07" w:rsidR="009356DA" w:rsidRPr="00CB3B2A" w:rsidRDefault="009356DA" w:rsidP="009356DA">
      <w:pPr>
        <w:suppressLineNumbers/>
        <w:suppressAutoHyphens/>
        <w:spacing w:before="120" w:after="120"/>
        <w:jc w:val="center"/>
        <w:rPr>
          <w:rFonts w:ascii="Times New Roman Bold" w:hAnsi="Times New Roman Bold"/>
          <w:caps/>
          <w:kern w:val="22"/>
          <w:szCs w:val="22"/>
          <w:lang w:val="fr-FR"/>
        </w:rPr>
      </w:pPr>
      <w:r w:rsidRPr="00CB3B2A">
        <w:rPr>
          <w:rFonts w:ascii="Times New Roman Bold" w:hAnsi="Times New Roman Bold"/>
          <w:b/>
          <w:caps/>
          <w:kern w:val="22"/>
          <w:szCs w:val="22"/>
          <w:lang w:val="fr-FR"/>
        </w:rPr>
        <w:t>D</w:t>
      </w:r>
      <w:r w:rsidRPr="00CB3B2A">
        <w:rPr>
          <w:rFonts w:ascii="Times New Roman Bold" w:hAnsi="Times New Roman Bold" w:cs="Times New Roman Bold"/>
          <w:b/>
          <w:caps/>
          <w:kern w:val="22"/>
          <w:szCs w:val="22"/>
          <w:lang w:val="fr-FR"/>
        </w:rPr>
        <w:t>É</w:t>
      </w:r>
      <w:r w:rsidRPr="00CB3B2A">
        <w:rPr>
          <w:rFonts w:ascii="Times New Roman Bold" w:hAnsi="Times New Roman Bold"/>
          <w:b/>
          <w:caps/>
          <w:kern w:val="22"/>
          <w:szCs w:val="22"/>
          <w:lang w:val="fr-FR"/>
        </w:rPr>
        <w:t>cision adopt</w:t>
      </w:r>
      <w:r w:rsidRPr="00CB3B2A">
        <w:rPr>
          <w:rFonts w:ascii="Times New Roman Bold" w:hAnsi="Times New Roman Bold" w:cs="Times New Roman Bold"/>
          <w:b/>
          <w:caps/>
          <w:kern w:val="22"/>
          <w:szCs w:val="22"/>
          <w:lang w:val="fr-FR"/>
        </w:rPr>
        <w:t>É</w:t>
      </w:r>
      <w:r w:rsidRPr="00CB3B2A">
        <w:rPr>
          <w:rFonts w:ascii="Times New Roman Bold" w:hAnsi="Times New Roman Bold"/>
          <w:b/>
          <w:caps/>
          <w:kern w:val="22"/>
          <w:szCs w:val="22"/>
          <w:lang w:val="fr-FR"/>
        </w:rPr>
        <w:t>e par la conf</w:t>
      </w:r>
      <w:r w:rsidRPr="00CB3B2A">
        <w:rPr>
          <w:rFonts w:ascii="Times New Roman Bold" w:hAnsi="Times New Roman Bold" w:cs="Times New Roman Bold"/>
          <w:b/>
          <w:caps/>
          <w:kern w:val="22"/>
          <w:szCs w:val="22"/>
          <w:lang w:val="fr-FR"/>
        </w:rPr>
        <w:t>É</w:t>
      </w:r>
      <w:r w:rsidRPr="00CB3B2A">
        <w:rPr>
          <w:rFonts w:ascii="Times New Roman Bold" w:hAnsi="Times New Roman Bold"/>
          <w:b/>
          <w:caps/>
          <w:kern w:val="22"/>
          <w:szCs w:val="22"/>
          <w:lang w:val="fr-FR"/>
        </w:rPr>
        <w:t xml:space="preserve">rence des parties </w:t>
      </w:r>
      <w:r w:rsidRPr="00CB3B2A">
        <w:rPr>
          <w:rFonts w:ascii="Times New Roman Bold" w:hAnsi="Times New Roman Bold" w:cs="Times New Roman Bold"/>
          <w:b/>
          <w:caps/>
          <w:kern w:val="22"/>
          <w:szCs w:val="22"/>
          <w:lang w:val="fr-FR"/>
        </w:rPr>
        <w:t>À</w:t>
      </w:r>
      <w:r w:rsidRPr="00CB3B2A">
        <w:rPr>
          <w:rFonts w:ascii="Times New Roman Bold" w:hAnsi="Times New Roman Bold"/>
          <w:b/>
          <w:caps/>
          <w:kern w:val="22"/>
          <w:szCs w:val="22"/>
          <w:lang w:val="fr-FR"/>
        </w:rPr>
        <w:t xml:space="preserve"> la convention sur la diversit</w:t>
      </w:r>
      <w:r w:rsidRPr="00CB3B2A">
        <w:rPr>
          <w:rFonts w:ascii="Times New Roman Bold" w:hAnsi="Times New Roman Bold" w:cs="Times New Roman Bold"/>
          <w:b/>
          <w:caps/>
          <w:kern w:val="22"/>
          <w:szCs w:val="22"/>
          <w:lang w:val="fr-FR"/>
        </w:rPr>
        <w:t>É</w:t>
      </w:r>
      <w:r w:rsidRPr="00CB3B2A">
        <w:rPr>
          <w:rFonts w:ascii="Times New Roman Bold" w:hAnsi="Times New Roman Bold"/>
          <w:b/>
          <w:caps/>
          <w:kern w:val="22"/>
          <w:szCs w:val="22"/>
          <w:lang w:val="fr-FR"/>
        </w:rPr>
        <w:t xml:space="preserve"> biologique</w:t>
      </w:r>
    </w:p>
    <w:p w14:paraId="257124C9" w14:textId="20118466" w:rsidR="009356DA" w:rsidRPr="00CB3B2A" w:rsidRDefault="0046610E" w:rsidP="009356DA">
      <w:pPr>
        <w:spacing w:before="120" w:after="120"/>
        <w:jc w:val="center"/>
        <w:rPr>
          <w:lang w:val="fr-FR"/>
        </w:rPr>
      </w:pPr>
      <w:sdt>
        <w:sdtPr>
          <w:rPr>
            <w:rStyle w:val="Heading2Char"/>
            <w:kern w:val="22"/>
            <w:lang w:val="fr-FR"/>
          </w:rPr>
          <w:alias w:val="Title"/>
          <w:tag w:val=""/>
          <w:id w:val="772832786"/>
          <w:placeholder>
            <w:docPart w:val="FB5C35E08C0C497B9A3F71D7EB0877B5"/>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9356DA" w:rsidRPr="00CB3B2A">
            <w:rPr>
              <w:rStyle w:val="Heading2Char"/>
              <w:kern w:val="22"/>
              <w:lang w:val="fr-FR"/>
            </w:rPr>
            <w:t>14/20.</w:t>
          </w:r>
          <w:r w:rsidR="009356DA" w:rsidRPr="00CB3B2A">
            <w:rPr>
              <w:rStyle w:val="Heading2Char"/>
              <w:kern w:val="22"/>
              <w:lang w:val="fr-FR"/>
            </w:rPr>
            <w:tab/>
            <w:t>Information de séquençage numérique sur les ressources génétiques</w:t>
          </w:r>
        </w:sdtContent>
      </w:sdt>
    </w:p>
    <w:p w14:paraId="4363A57F" w14:textId="77777777" w:rsidR="009915D9" w:rsidRPr="00CB3B2A" w:rsidRDefault="009915D9" w:rsidP="009915D9">
      <w:pPr>
        <w:suppressLineNumbers/>
        <w:suppressAutoHyphens/>
        <w:kinsoku w:val="0"/>
        <w:overflowPunct w:val="0"/>
        <w:autoSpaceDE w:val="0"/>
        <w:autoSpaceDN w:val="0"/>
        <w:adjustRightInd w:val="0"/>
        <w:snapToGrid w:val="0"/>
        <w:spacing w:before="120" w:after="120"/>
        <w:ind w:firstLine="709"/>
        <w:rPr>
          <w:i/>
          <w:kern w:val="22"/>
          <w:lang w:val="fr-FR"/>
        </w:rPr>
      </w:pPr>
      <w:r w:rsidRPr="00CB3B2A">
        <w:rPr>
          <w:i/>
          <w:lang w:val="fr-FR"/>
        </w:rPr>
        <w:t>La Conférence des Parties,</w:t>
      </w:r>
    </w:p>
    <w:p w14:paraId="60D0DC0A" w14:textId="77777777" w:rsidR="009915D9" w:rsidRPr="00CB3B2A" w:rsidRDefault="009915D9" w:rsidP="009915D9">
      <w:pPr>
        <w:suppressLineNumbers/>
        <w:suppressAutoHyphens/>
        <w:kinsoku w:val="0"/>
        <w:overflowPunct w:val="0"/>
        <w:autoSpaceDE w:val="0"/>
        <w:autoSpaceDN w:val="0"/>
        <w:adjustRightInd w:val="0"/>
        <w:snapToGrid w:val="0"/>
        <w:spacing w:before="120" w:after="120"/>
        <w:ind w:firstLine="709"/>
        <w:rPr>
          <w:kern w:val="22"/>
          <w:lang w:val="fr-FR"/>
        </w:rPr>
      </w:pPr>
      <w:r w:rsidRPr="00CB3B2A">
        <w:rPr>
          <w:i/>
          <w:lang w:val="fr-FR"/>
        </w:rPr>
        <w:t>Gardant à l’esprit</w:t>
      </w:r>
      <w:r w:rsidRPr="00CB3B2A">
        <w:rPr>
          <w:iCs/>
          <w:lang w:val="fr-FR"/>
        </w:rPr>
        <w:t xml:space="preserve"> les trois objectifs de la </w:t>
      </w:r>
      <w:r w:rsidRPr="00CB3B2A">
        <w:rPr>
          <w:lang w:val="fr-FR"/>
        </w:rPr>
        <w:t>Convention</w:t>
      </w:r>
      <w:r w:rsidRPr="00CB3B2A">
        <w:rPr>
          <w:kern w:val="22"/>
          <w:lang w:val="fr-FR"/>
        </w:rPr>
        <w:t>,</w:t>
      </w:r>
    </w:p>
    <w:p w14:paraId="479662D8" w14:textId="77777777" w:rsidR="009915D9" w:rsidRPr="00CB3B2A" w:rsidRDefault="009915D9" w:rsidP="009915D9">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sidRPr="00CB3B2A">
        <w:rPr>
          <w:i/>
          <w:lang w:val="fr-FR"/>
        </w:rPr>
        <w:t>Rappelant</w:t>
      </w:r>
      <w:r w:rsidRPr="00CB3B2A">
        <w:rPr>
          <w:iCs/>
          <w:lang w:val="fr-FR"/>
        </w:rPr>
        <w:t xml:space="preserve"> les </w:t>
      </w:r>
      <w:r w:rsidRPr="00CB3B2A">
        <w:rPr>
          <w:lang w:val="fr-FR"/>
        </w:rPr>
        <w:t>articles 12, 15, 16, 17 et 18 de la Convention</w:t>
      </w:r>
      <w:r w:rsidRPr="00CB3B2A">
        <w:rPr>
          <w:kern w:val="22"/>
          <w:szCs w:val="22"/>
          <w:lang w:val="fr-FR"/>
        </w:rPr>
        <w:t>,</w:t>
      </w:r>
    </w:p>
    <w:p w14:paraId="6F5AD1EE" w14:textId="176B6371" w:rsidR="009915D9" w:rsidRPr="00CB3B2A" w:rsidRDefault="009915D9" w:rsidP="009915D9">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sidRPr="00CB3B2A">
        <w:rPr>
          <w:i/>
          <w:kern w:val="22"/>
          <w:szCs w:val="22"/>
          <w:lang w:val="fr-FR"/>
        </w:rPr>
        <w:t xml:space="preserve">Consciente </w:t>
      </w:r>
      <w:r w:rsidRPr="00CB3B2A">
        <w:rPr>
          <w:kern w:val="22"/>
          <w:szCs w:val="22"/>
          <w:lang w:val="fr-FR"/>
        </w:rPr>
        <w:t>de la produc</w:t>
      </w:r>
      <w:r w:rsidR="009356DA" w:rsidRPr="00CB3B2A">
        <w:rPr>
          <w:kern w:val="22"/>
          <w:szCs w:val="22"/>
          <w:lang w:val="fr-FR"/>
        </w:rPr>
        <w:t>tion et utilisation croissantes</w:t>
      </w:r>
      <w:r w:rsidRPr="00CB3B2A">
        <w:rPr>
          <w:kern w:val="22"/>
          <w:szCs w:val="22"/>
          <w:lang w:val="fr-FR"/>
        </w:rPr>
        <w:t xml:space="preserve"> de l’information de séquençage numérique sur les ressources génétiques, de sa publication dans les bases de données publiques et privées, et des avancées en analytique de données,</w:t>
      </w:r>
    </w:p>
    <w:p w14:paraId="0A349305" w14:textId="3128DAEF" w:rsidR="009915D9" w:rsidRPr="00CB3B2A" w:rsidRDefault="009356DA" w:rsidP="009915D9">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B3B2A">
        <w:rPr>
          <w:i/>
          <w:kern w:val="22"/>
          <w:szCs w:val="22"/>
          <w:lang w:val="fr-FR"/>
        </w:rPr>
        <w:t>Notant</w:t>
      </w:r>
      <w:r w:rsidR="009915D9" w:rsidRPr="00CB3B2A">
        <w:rPr>
          <w:i/>
          <w:kern w:val="22"/>
          <w:szCs w:val="22"/>
          <w:lang w:val="fr-FR"/>
        </w:rPr>
        <w:t xml:space="preserve"> </w:t>
      </w:r>
      <w:r w:rsidR="009915D9" w:rsidRPr="00CB3B2A">
        <w:rPr>
          <w:kern w:val="22"/>
          <w:szCs w:val="22"/>
          <w:lang w:val="fr-FR"/>
        </w:rPr>
        <w:t xml:space="preserve">que l’expression « information de séquençage numérique » n’est peut-être pas l’expression la plus appropriée et qu’elle sert de substitut provisoire jusqu’à l’adoption d’une nouvelle expression, </w:t>
      </w:r>
    </w:p>
    <w:p w14:paraId="1DF8EE86" w14:textId="0BAAB5BC" w:rsidR="009915D9" w:rsidRPr="00CB3B2A" w:rsidRDefault="009915D9" w:rsidP="009915D9">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sidRPr="00CB3B2A">
        <w:rPr>
          <w:i/>
          <w:kern w:val="22"/>
          <w:szCs w:val="22"/>
          <w:lang w:val="fr-FR"/>
        </w:rPr>
        <w:t xml:space="preserve">Reconnaissant </w:t>
      </w:r>
      <w:r w:rsidRPr="00CB3B2A">
        <w:rPr>
          <w:kern w:val="22"/>
          <w:szCs w:val="22"/>
          <w:lang w:val="fr-FR"/>
        </w:rPr>
        <w:t>l’importance des nouvelles technologies po</w:t>
      </w:r>
      <w:r w:rsidR="009356DA" w:rsidRPr="00CB3B2A">
        <w:rPr>
          <w:kern w:val="22"/>
          <w:szCs w:val="22"/>
          <w:lang w:val="fr-FR"/>
        </w:rPr>
        <w:t xml:space="preserve">ur l’utilisation actuelle et future </w:t>
      </w:r>
      <w:r w:rsidRPr="00CB3B2A">
        <w:rPr>
          <w:kern w:val="22"/>
          <w:szCs w:val="22"/>
          <w:lang w:val="fr-FR"/>
        </w:rPr>
        <w:t>des ressou</w:t>
      </w:r>
      <w:r w:rsidR="009356DA" w:rsidRPr="00CB3B2A">
        <w:rPr>
          <w:kern w:val="22"/>
          <w:szCs w:val="22"/>
          <w:lang w:val="fr-FR"/>
        </w:rPr>
        <w:t>rces génétiques, et notant</w:t>
      </w:r>
      <w:r w:rsidRPr="00CB3B2A">
        <w:rPr>
          <w:kern w:val="22"/>
          <w:szCs w:val="22"/>
          <w:lang w:val="fr-FR"/>
        </w:rPr>
        <w:t xml:space="preserve"> que le média dans lequel l’information est stockée et partagée est en évolution constante,</w:t>
      </w:r>
    </w:p>
    <w:p w14:paraId="71E35DFF" w14:textId="68051BC5" w:rsidR="009915D9" w:rsidRPr="00CB3B2A" w:rsidRDefault="009915D9" w:rsidP="009915D9">
      <w:pPr>
        <w:pStyle w:val="ListParagraph"/>
        <w:suppressLineNumbers/>
        <w:suppressAutoHyphens/>
        <w:kinsoku w:val="0"/>
        <w:overflowPunct w:val="0"/>
        <w:autoSpaceDE w:val="0"/>
        <w:autoSpaceDN w:val="0"/>
        <w:adjustRightInd w:val="0"/>
        <w:snapToGrid w:val="0"/>
        <w:spacing w:before="120" w:after="120"/>
        <w:ind w:left="0" w:firstLine="720"/>
        <w:contextualSpacing w:val="0"/>
        <w:rPr>
          <w:i/>
          <w:kern w:val="22"/>
          <w:szCs w:val="22"/>
          <w:lang w:val="fr-FR"/>
        </w:rPr>
      </w:pPr>
      <w:r w:rsidRPr="00CB3B2A">
        <w:rPr>
          <w:i/>
          <w:lang w:val="fr-FR"/>
        </w:rPr>
        <w:t xml:space="preserve">Tenant compte </w:t>
      </w:r>
      <w:r w:rsidRPr="00CB3B2A">
        <w:rPr>
          <w:lang w:val="fr-FR"/>
        </w:rPr>
        <w:t>du fait que le cadre mondial de la diversité biologique pour l’après-2020 fournira des orientations sur la direction stratégique à long terme pour la Vision 2050 pour la biodiversité,</w:t>
      </w:r>
    </w:p>
    <w:p w14:paraId="3A99FF3E" w14:textId="65B33A7C" w:rsidR="009915D9" w:rsidRPr="00CB3B2A" w:rsidRDefault="009915D9" w:rsidP="009915D9">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fr-FR"/>
        </w:rPr>
      </w:pPr>
      <w:r w:rsidRPr="00CB3B2A">
        <w:rPr>
          <w:i/>
          <w:kern w:val="22"/>
          <w:szCs w:val="22"/>
          <w:lang w:val="fr-FR"/>
        </w:rPr>
        <w:t xml:space="preserve">Prenant note </w:t>
      </w:r>
      <w:r w:rsidRPr="00CB3B2A">
        <w:rPr>
          <w:kern w:val="22"/>
          <w:szCs w:val="22"/>
          <w:lang w:val="fr-FR"/>
        </w:rPr>
        <w:t>des échanges pertinents sur l’information de séquençage numérique su</w:t>
      </w:r>
      <w:r w:rsidR="00CB3B2A">
        <w:rPr>
          <w:kern w:val="22"/>
          <w:szCs w:val="22"/>
          <w:lang w:val="fr-FR"/>
        </w:rPr>
        <w:t>r les ressources génétiques et l</w:t>
      </w:r>
      <w:r w:rsidRPr="00CB3B2A">
        <w:rPr>
          <w:kern w:val="22"/>
          <w:szCs w:val="22"/>
          <w:lang w:val="fr-FR"/>
        </w:rPr>
        <w:t xml:space="preserve">es questions apparentées dans les autres organes et instruments des Nations Unies tels que l’Organisation des Nations Unies pour l’alimentation et l’agriculture, le Traité international sur les ressources </w:t>
      </w:r>
      <w:r w:rsidRPr="00CB3B2A">
        <w:rPr>
          <w:noProof/>
          <w:kern w:val="22"/>
          <w:szCs w:val="22"/>
          <w:lang w:val="fr-FR"/>
        </w:rPr>
        <w:t>phytogénétiques</w:t>
      </w:r>
      <w:r w:rsidRPr="00CB3B2A">
        <w:rPr>
          <w:kern w:val="22"/>
          <w:szCs w:val="22"/>
          <w:lang w:val="fr-FR"/>
        </w:rPr>
        <w:t xml:space="preserve"> pour l’alimentation et l’agriculture, l’Organisation mondiale de la santé, l’Organisation internationale de la propriété intellectuelle et l’Assemblée générale des Nations Unies,</w:t>
      </w:r>
    </w:p>
    <w:p w14:paraId="40E1ADE3" w14:textId="0228AE41"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B3B2A">
        <w:rPr>
          <w:kern w:val="22"/>
          <w:szCs w:val="22"/>
          <w:lang w:val="fr-FR"/>
        </w:rPr>
        <w:t>1.</w:t>
      </w:r>
      <w:r w:rsidRPr="00CB3B2A">
        <w:rPr>
          <w:kern w:val="22"/>
          <w:szCs w:val="22"/>
          <w:lang w:val="fr-FR"/>
        </w:rPr>
        <w:tab/>
      </w:r>
      <w:r w:rsidRPr="00CB3B2A">
        <w:rPr>
          <w:i/>
          <w:lang w:val="fr-FR"/>
        </w:rPr>
        <w:t xml:space="preserve">Reconnaît </w:t>
      </w:r>
      <w:r w:rsidRPr="00CB3B2A">
        <w:rPr>
          <w:iCs/>
          <w:lang w:val="fr-FR"/>
        </w:rPr>
        <w:t xml:space="preserve">l’importance de l’information de séquençage numérique sur les ressources génétiques pour </w:t>
      </w:r>
      <w:r w:rsidRPr="00CB3B2A">
        <w:rPr>
          <w:lang w:val="fr-FR"/>
        </w:rPr>
        <w:t>les trois objectifs de la Convention</w:t>
      </w:r>
      <w:r w:rsidR="00CB3B2A">
        <w:rPr>
          <w:lang w:val="fr-FR"/>
        </w:rPr>
        <w:t>, qui sont complémentaires</w:t>
      </w:r>
      <w:r w:rsidRPr="00CB3B2A">
        <w:rPr>
          <w:lang w:val="fr-FR"/>
        </w:rPr>
        <w:t>, bien que d’autres travaux soient nécessaires pour apporter des éclaircissements conceptuels sur</w:t>
      </w:r>
      <w:r w:rsidRPr="00CB3B2A">
        <w:rPr>
          <w:iCs/>
          <w:lang w:val="fr-FR"/>
        </w:rPr>
        <w:t xml:space="preserve"> l’information de séquençage numérique sur les ressources génétiques</w:t>
      </w:r>
      <w:r w:rsidR="00CB3B2A">
        <w:rPr>
          <w:iCs/>
          <w:lang w:val="fr-FR"/>
        </w:rPr>
        <w:t> </w:t>
      </w:r>
      <w:r w:rsidR="00CB3B2A">
        <w:rPr>
          <w:kern w:val="22"/>
          <w:szCs w:val="22"/>
          <w:lang w:val="fr-FR"/>
        </w:rPr>
        <w:t>;</w:t>
      </w:r>
      <w:r w:rsidRPr="00CB3B2A">
        <w:rPr>
          <w:kern w:val="22"/>
          <w:szCs w:val="22"/>
          <w:lang w:val="fr-FR"/>
        </w:rPr>
        <w:t xml:space="preserve"> </w:t>
      </w:r>
    </w:p>
    <w:p w14:paraId="2CD8B86E" w14:textId="63905BAD"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i/>
          <w:kern w:val="22"/>
          <w:szCs w:val="22"/>
          <w:lang w:val="fr-FR"/>
        </w:rPr>
      </w:pPr>
      <w:r w:rsidRPr="00CB3B2A">
        <w:rPr>
          <w:kern w:val="22"/>
          <w:szCs w:val="22"/>
          <w:lang w:val="fr-FR"/>
        </w:rPr>
        <w:t>2.</w:t>
      </w:r>
      <w:r w:rsidRPr="00CB3B2A">
        <w:rPr>
          <w:kern w:val="22"/>
          <w:szCs w:val="22"/>
          <w:lang w:val="fr-FR"/>
        </w:rPr>
        <w:tab/>
      </w:r>
      <w:r w:rsidRPr="00CB3B2A">
        <w:rPr>
          <w:i/>
          <w:kern w:val="22"/>
          <w:szCs w:val="22"/>
          <w:lang w:val="fr-FR"/>
        </w:rPr>
        <w:t>Reconnaît</w:t>
      </w:r>
      <w:r w:rsidR="00CB3B2A">
        <w:rPr>
          <w:kern w:val="22"/>
          <w:szCs w:val="22"/>
          <w:lang w:val="fr-FR"/>
        </w:rPr>
        <w:t xml:space="preserve"> que l’</w:t>
      </w:r>
      <w:r w:rsidRPr="00CB3B2A">
        <w:rPr>
          <w:kern w:val="22"/>
          <w:szCs w:val="22"/>
          <w:lang w:val="fr-FR"/>
        </w:rPr>
        <w:t xml:space="preserve">accès à l’information de séquençage numérique sur les ressources génétiques et son utilisation contribuent à la recherche scientifique, ainsi qu’à d’autres activités non commerciales et commerciales dans des domaines comme la diversité biologique, la sécurité alimentaire et humaine, </w:t>
      </w:r>
      <w:r w:rsidR="00CB3B2A">
        <w:rPr>
          <w:kern w:val="22"/>
          <w:szCs w:val="22"/>
          <w:lang w:val="fr-FR"/>
        </w:rPr>
        <w:t>et la santé animale et végétale ;</w:t>
      </w:r>
      <w:r w:rsidRPr="00CB3B2A">
        <w:rPr>
          <w:kern w:val="22"/>
          <w:szCs w:val="22"/>
          <w:lang w:val="fr-FR"/>
        </w:rPr>
        <w:t xml:space="preserve"> </w:t>
      </w:r>
    </w:p>
    <w:p w14:paraId="11281B12" w14:textId="5C2835E6"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B3B2A">
        <w:rPr>
          <w:kern w:val="22"/>
          <w:szCs w:val="22"/>
          <w:lang w:val="fr-FR"/>
        </w:rPr>
        <w:t>3.</w:t>
      </w:r>
      <w:r w:rsidRPr="00CB3B2A">
        <w:rPr>
          <w:kern w:val="22"/>
          <w:szCs w:val="22"/>
          <w:lang w:val="fr-FR"/>
        </w:rPr>
        <w:tab/>
      </w:r>
      <w:r w:rsidRPr="00CB3B2A">
        <w:rPr>
          <w:i/>
          <w:kern w:val="22"/>
          <w:szCs w:val="22"/>
          <w:lang w:val="fr-FR"/>
        </w:rPr>
        <w:t>Reconnaît</w:t>
      </w:r>
      <w:r w:rsidRPr="00CB3B2A">
        <w:rPr>
          <w:kern w:val="22"/>
          <w:szCs w:val="22"/>
          <w:lang w:val="fr-FR"/>
        </w:rPr>
        <w:t xml:space="preserve"> </w:t>
      </w:r>
      <w:r w:rsidRPr="00CB3B2A">
        <w:rPr>
          <w:i/>
          <w:kern w:val="22"/>
          <w:szCs w:val="22"/>
          <w:lang w:val="fr-FR"/>
        </w:rPr>
        <w:t>également</w:t>
      </w:r>
      <w:r w:rsidRPr="00CB3B2A">
        <w:rPr>
          <w:kern w:val="22"/>
          <w:szCs w:val="22"/>
          <w:lang w:val="fr-FR"/>
        </w:rPr>
        <w:t xml:space="preserve"> </w:t>
      </w:r>
      <w:r w:rsidRPr="00CB3B2A">
        <w:rPr>
          <w:iCs/>
          <w:lang w:val="fr-FR"/>
        </w:rPr>
        <w:t>que des capacités supplémentaires pour avoir accès, utiliser, produire et analyser l’information de séquençage numérique sur les ressources génétiques sont requises dans de nombreux pays</w:t>
      </w:r>
      <w:r w:rsidRPr="00CB3B2A">
        <w:rPr>
          <w:kern w:val="22"/>
          <w:szCs w:val="22"/>
          <w:lang w:val="fr-FR"/>
        </w:rPr>
        <w:t xml:space="preserve">, et </w:t>
      </w:r>
      <w:r w:rsidRPr="00CB3B2A">
        <w:rPr>
          <w:i/>
          <w:kern w:val="22"/>
          <w:szCs w:val="22"/>
          <w:lang w:val="fr-FR"/>
        </w:rPr>
        <w:t>encourage</w:t>
      </w:r>
      <w:r w:rsidRPr="00CB3B2A">
        <w:rPr>
          <w:kern w:val="22"/>
          <w:szCs w:val="22"/>
          <w:lang w:val="fr-FR"/>
        </w:rPr>
        <w:t xml:space="preserve"> les Parties, les autres gouvernements et les organisations compétentes à </w:t>
      </w:r>
      <w:r w:rsidRPr="00CB3B2A">
        <w:rPr>
          <w:kern w:val="22"/>
          <w:szCs w:val="22"/>
          <w:lang w:val="fr-FR"/>
        </w:rPr>
        <w:lastRenderedPageBreak/>
        <w:t>soutenir le renforcement des capacités et le transfert de technologie, selon qu’il convient, afin de faciliter l’accès, l’utilisation, la production et l’analyse de l’information de séquençage numérique sur les ressources génétiques pour la conservation et l’utilisation durable de la diversité biologi</w:t>
      </w:r>
      <w:r w:rsidR="00CB3B2A">
        <w:rPr>
          <w:kern w:val="22"/>
          <w:szCs w:val="22"/>
          <w:lang w:val="fr-FR"/>
        </w:rPr>
        <w:t>que et le partage des avantages ;</w:t>
      </w:r>
      <w:r w:rsidRPr="00CB3B2A">
        <w:rPr>
          <w:kern w:val="22"/>
          <w:szCs w:val="22"/>
          <w:lang w:val="fr-FR"/>
        </w:rPr>
        <w:t xml:space="preserve"> </w:t>
      </w:r>
    </w:p>
    <w:p w14:paraId="4AA3437A" w14:textId="7B240947"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kern w:val="22"/>
          <w:szCs w:val="22"/>
          <w:lang w:val="fr-FR"/>
        </w:rPr>
        <w:t>4.</w:t>
      </w:r>
      <w:r w:rsidRPr="00CB3B2A">
        <w:rPr>
          <w:kern w:val="22"/>
          <w:szCs w:val="22"/>
          <w:lang w:val="fr-FR"/>
        </w:rPr>
        <w:tab/>
      </w:r>
      <w:r w:rsidR="00CB3B2A">
        <w:rPr>
          <w:i/>
          <w:lang w:val="fr-FR"/>
        </w:rPr>
        <w:t>N</w:t>
      </w:r>
      <w:r w:rsidRPr="00CB3B2A">
        <w:rPr>
          <w:i/>
          <w:lang w:val="fr-FR"/>
        </w:rPr>
        <w:t xml:space="preserve">ote </w:t>
      </w:r>
      <w:r w:rsidRPr="00CB3B2A">
        <w:rPr>
          <w:lang w:val="fr-FR"/>
        </w:rPr>
        <w:t>que la production de l’information de séquençage numérique sur les ressources génétique</w:t>
      </w:r>
      <w:r w:rsidR="00CB3B2A">
        <w:rPr>
          <w:lang w:val="fr-FR"/>
        </w:rPr>
        <w:t>s exige la plupart du temps l’</w:t>
      </w:r>
      <w:r w:rsidRPr="00CB3B2A">
        <w:rPr>
          <w:lang w:val="fr-FR"/>
        </w:rPr>
        <w:t xml:space="preserve">accès à une ressource génétique, même s’il n’est pas possible dans certains cas de relier l’information de séquençage numérique à la ressources génétique à partir de laquelle elle a </w:t>
      </w:r>
      <w:r w:rsidR="00CB3B2A">
        <w:rPr>
          <w:lang w:val="fr-FR"/>
        </w:rPr>
        <w:t>été produite ;</w:t>
      </w:r>
      <w:r w:rsidRPr="00CB3B2A">
        <w:rPr>
          <w:lang w:val="fr-FR"/>
        </w:rPr>
        <w:t xml:space="preserve"> </w:t>
      </w:r>
    </w:p>
    <w:p w14:paraId="332EF5EA" w14:textId="48DE50B8"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B3B2A">
        <w:rPr>
          <w:kern w:val="22"/>
          <w:szCs w:val="22"/>
          <w:lang w:val="fr-FR"/>
        </w:rPr>
        <w:t>5.</w:t>
      </w:r>
      <w:r w:rsidRPr="00CB3B2A">
        <w:rPr>
          <w:kern w:val="22"/>
          <w:szCs w:val="22"/>
          <w:lang w:val="fr-FR"/>
        </w:rPr>
        <w:tab/>
      </w:r>
      <w:r w:rsidR="00047452">
        <w:rPr>
          <w:i/>
          <w:kern w:val="22"/>
          <w:szCs w:val="22"/>
          <w:lang w:val="fr-FR"/>
        </w:rPr>
        <w:t>N</w:t>
      </w:r>
      <w:r w:rsidRPr="00CB3B2A">
        <w:rPr>
          <w:i/>
          <w:kern w:val="22"/>
          <w:szCs w:val="22"/>
          <w:lang w:val="fr-FR"/>
        </w:rPr>
        <w:t>ote</w:t>
      </w:r>
      <w:r w:rsidR="00047452">
        <w:rPr>
          <w:i/>
          <w:kern w:val="22"/>
          <w:szCs w:val="22"/>
          <w:lang w:val="fr-FR"/>
        </w:rPr>
        <w:t xml:space="preserve"> également</w:t>
      </w:r>
      <w:r w:rsidRPr="00CB3B2A">
        <w:rPr>
          <w:kern w:val="22"/>
          <w:szCs w:val="22"/>
          <w:lang w:val="fr-FR"/>
        </w:rPr>
        <w:t xml:space="preserve"> que certaines Parties ont adopté des mesures nationales, au titre de leurs cadres nationaux sur l’accès et le partage des avantages, afin de réglementer l’accès à l’information de séquençage numérique sur les ressources</w:t>
      </w:r>
      <w:r w:rsidR="00047452">
        <w:rPr>
          <w:kern w:val="22"/>
          <w:szCs w:val="22"/>
          <w:lang w:val="fr-FR"/>
        </w:rPr>
        <w:t xml:space="preserve"> génétiques et son utilisation ;</w:t>
      </w:r>
    </w:p>
    <w:p w14:paraId="2B9CDBF7" w14:textId="7AA83A6B"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B3B2A">
        <w:rPr>
          <w:kern w:val="22"/>
          <w:szCs w:val="22"/>
          <w:lang w:val="fr-FR"/>
        </w:rPr>
        <w:t>6.</w:t>
      </w:r>
      <w:r w:rsidRPr="00CB3B2A">
        <w:rPr>
          <w:kern w:val="22"/>
          <w:szCs w:val="22"/>
          <w:lang w:val="fr-FR"/>
        </w:rPr>
        <w:tab/>
      </w:r>
      <w:r w:rsidR="0055068D" w:rsidRPr="00047452">
        <w:rPr>
          <w:i/>
          <w:kern w:val="22"/>
          <w:szCs w:val="22"/>
          <w:lang w:val="fr-FR"/>
        </w:rPr>
        <w:t>Note</w:t>
      </w:r>
      <w:r w:rsidR="00047452" w:rsidRPr="00047452">
        <w:rPr>
          <w:i/>
          <w:kern w:val="22"/>
          <w:szCs w:val="22"/>
          <w:lang w:val="fr-FR"/>
        </w:rPr>
        <w:t xml:space="preserve"> en outre</w:t>
      </w:r>
      <w:r w:rsidR="0055068D" w:rsidRPr="00CB3B2A">
        <w:rPr>
          <w:kern w:val="22"/>
          <w:szCs w:val="22"/>
          <w:lang w:val="fr-FR"/>
        </w:rPr>
        <w:t xml:space="preserve"> qu'en raison des divergences de vues entre les Parties concernant le partage des avantages découlant de l'utilisation d'informations sur les séquences numériques concernant les ressources génétiques, les Parties s'engagent à s'employer à résoudre ces divergences par le biais du processus établi dans la présente décision, en vue de renforcer la réalisation du troisième objectif de la Convention et </w:t>
      </w:r>
      <w:r w:rsidR="00047452">
        <w:rPr>
          <w:kern w:val="22"/>
          <w:szCs w:val="22"/>
          <w:lang w:val="fr-FR"/>
        </w:rPr>
        <w:t>du paragraphe 7 de l'article 15, sans préjudice des circonstances auxquelles s’applique cet article ;</w:t>
      </w:r>
    </w:p>
    <w:p w14:paraId="1D27F3DB" w14:textId="4C6EA68C"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B3B2A">
        <w:rPr>
          <w:kern w:val="22"/>
          <w:szCs w:val="22"/>
          <w:lang w:val="fr-FR"/>
        </w:rPr>
        <w:t>7.</w:t>
      </w:r>
      <w:r w:rsidRPr="00CB3B2A">
        <w:rPr>
          <w:kern w:val="22"/>
          <w:szCs w:val="22"/>
          <w:lang w:val="fr-FR"/>
        </w:rPr>
        <w:tab/>
      </w:r>
      <w:r w:rsidR="00104717">
        <w:rPr>
          <w:i/>
          <w:kern w:val="22"/>
          <w:szCs w:val="22"/>
          <w:lang w:val="fr-FR"/>
        </w:rPr>
        <w:t>Constate</w:t>
      </w:r>
      <w:r w:rsidRPr="00CB3B2A">
        <w:rPr>
          <w:kern w:val="22"/>
          <w:szCs w:val="22"/>
          <w:lang w:val="fr-FR"/>
        </w:rPr>
        <w:t xml:space="preserve"> que lorsque l’accès aux ressources génétiques a été obtenu aux fins de leur utilisation, les conditions convenues d’un commun accord peuvent couvrir les avantages découlant des utilisations commerciales et/ou non commerciales de l’information de séquençage numérique sur les ressources génétiques, conformément aux</w:t>
      </w:r>
      <w:r w:rsidR="00104717">
        <w:rPr>
          <w:kern w:val="22"/>
          <w:szCs w:val="22"/>
          <w:lang w:val="fr-FR"/>
        </w:rPr>
        <w:t xml:space="preserve"> mesures nationales applicables ;</w:t>
      </w:r>
    </w:p>
    <w:p w14:paraId="20C2CFA2" w14:textId="0014D02F"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kern w:val="22"/>
          <w:szCs w:val="22"/>
          <w:lang w:val="fr-FR"/>
        </w:rPr>
        <w:t>8.</w:t>
      </w:r>
      <w:r w:rsidRPr="00CB3B2A">
        <w:rPr>
          <w:kern w:val="22"/>
          <w:szCs w:val="22"/>
          <w:lang w:val="fr-FR"/>
        </w:rPr>
        <w:tab/>
      </w:r>
      <w:r w:rsidRPr="00CB3B2A">
        <w:rPr>
          <w:i/>
          <w:lang w:val="fr-FR"/>
        </w:rPr>
        <w:t xml:space="preserve">Décide </w:t>
      </w:r>
      <w:r w:rsidRPr="00CB3B2A">
        <w:rPr>
          <w:lang w:val="fr-FR"/>
        </w:rPr>
        <w:t>d’établir un processus fondé sur la science et les politiques générales pour l’information de séquençage numérique sur les ressources génétiques, tel qu’énoncé aux paragraphes 9 à 12 ci-dessous;</w:t>
      </w:r>
    </w:p>
    <w:p w14:paraId="6CA440BB" w14:textId="77777777"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9.</w:t>
      </w:r>
      <w:r w:rsidRPr="00CB3B2A">
        <w:rPr>
          <w:lang w:val="fr-FR"/>
        </w:rPr>
        <w:tab/>
      </w:r>
      <w:r w:rsidRPr="00CB3B2A">
        <w:rPr>
          <w:i/>
          <w:lang w:val="fr-FR"/>
        </w:rPr>
        <w:t xml:space="preserve">Invite </w:t>
      </w:r>
      <w:r w:rsidRPr="00CB3B2A">
        <w:rPr>
          <w:lang w:val="fr-FR"/>
        </w:rPr>
        <w:t>les Parties, les autres gouvernements, les peuples autochtones et les communautés locales, les parties prenantes et organisations concernées à communiquer leurs points de vue et des informations :</w:t>
      </w:r>
    </w:p>
    <w:p w14:paraId="74543FB0" w14:textId="0B052E36"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a)</w:t>
      </w:r>
      <w:r w:rsidRPr="00CB3B2A">
        <w:rPr>
          <w:lang w:val="fr-FR"/>
        </w:rPr>
        <w:tab/>
        <w:t xml:space="preserve"> Pour préciser le concept, y compris la terminologie pertinente et le champ d’application, de l’information de séquençage numérique des ressources génétiques, et indiquer si les mesures nationales sur l’accès et le partage des avantages tiennent compte de l’information de séquençage numérique sur les ressources génétiques</w:t>
      </w:r>
      <w:r w:rsidR="00104717">
        <w:rPr>
          <w:lang w:val="fr-FR"/>
        </w:rPr>
        <w:t xml:space="preserve"> et, le cas échéant, de quelle façon ;</w:t>
      </w:r>
    </w:p>
    <w:p w14:paraId="5F1C4995" w14:textId="5D0F1C0C"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b)</w:t>
      </w:r>
      <w:r w:rsidRPr="00CB3B2A">
        <w:rPr>
          <w:lang w:val="fr-FR"/>
        </w:rPr>
        <w:tab/>
        <w:t xml:space="preserve">Sur des arrangements concernant le partage des avantages découlant des utilisations </w:t>
      </w:r>
      <w:r w:rsidR="00104717">
        <w:rPr>
          <w:lang w:val="fr-FR"/>
        </w:rPr>
        <w:t>c</w:t>
      </w:r>
      <w:r w:rsidRPr="00CB3B2A">
        <w:rPr>
          <w:lang w:val="fr-FR"/>
        </w:rPr>
        <w:t xml:space="preserve">ommerciales et non commerciales de l’information de séquençage numérique des ressources </w:t>
      </w:r>
      <w:r w:rsidR="00104717">
        <w:rPr>
          <w:lang w:val="fr-FR"/>
        </w:rPr>
        <w:t>génétiques ;</w:t>
      </w:r>
    </w:p>
    <w:p w14:paraId="5B3FC2B4" w14:textId="27BBA4E7"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10.</w:t>
      </w:r>
      <w:r w:rsidRPr="00CB3B2A">
        <w:rPr>
          <w:lang w:val="fr-FR"/>
        </w:rPr>
        <w:tab/>
      </w:r>
      <w:r w:rsidRPr="00CB3B2A">
        <w:rPr>
          <w:i/>
          <w:lang w:val="fr-FR"/>
        </w:rPr>
        <w:t xml:space="preserve">Invite </w:t>
      </w:r>
      <w:r w:rsidRPr="00CB3B2A">
        <w:rPr>
          <w:lang w:val="fr-FR"/>
        </w:rPr>
        <w:t>les Parties, les autres gouvernements et les peuples autochtones et les communautés locales à transmettre des informations sur leurs besoins de renforcement des capacités en matière d’accès, d’utilisation, de production et d’analyse de l’information de séquençage numérique sur les ressources génétiques, en particulier en ce qui a trait aux t</w:t>
      </w:r>
      <w:r w:rsidR="00104717">
        <w:rPr>
          <w:lang w:val="fr-FR"/>
        </w:rPr>
        <w:t>rois objectifs de la Convention ;</w:t>
      </w:r>
      <w:r w:rsidRPr="00CB3B2A">
        <w:rPr>
          <w:lang w:val="fr-FR"/>
        </w:rPr>
        <w:t xml:space="preserve"> </w:t>
      </w:r>
    </w:p>
    <w:p w14:paraId="381D4A9C" w14:textId="0A018D09"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 xml:space="preserve">11. </w:t>
      </w:r>
      <w:r w:rsidRPr="00CB3B2A">
        <w:rPr>
          <w:lang w:val="fr-FR"/>
        </w:rPr>
        <w:tab/>
      </w:r>
      <w:r w:rsidRPr="00CB3B2A">
        <w:rPr>
          <w:i/>
          <w:iCs/>
          <w:kern w:val="22"/>
          <w:lang w:val="fr-FR"/>
        </w:rPr>
        <w:t>Décide</w:t>
      </w:r>
      <w:r w:rsidRPr="00CB3B2A">
        <w:rPr>
          <w:kern w:val="22"/>
          <w:lang w:val="fr-FR"/>
        </w:rPr>
        <w:t xml:space="preserve"> de créer un Groupe spécial d’experts techniques élargi</w:t>
      </w:r>
      <w:r w:rsidRPr="00CB3B2A">
        <w:rPr>
          <w:rStyle w:val="FootnoteReference"/>
          <w:lang w:val="fr-FR"/>
        </w:rPr>
        <w:footnoteReference w:id="1"/>
      </w:r>
      <w:r w:rsidRPr="00CB3B2A">
        <w:rPr>
          <w:lang w:val="fr-FR"/>
        </w:rPr>
        <w:t xml:space="preserve">, auquel participent les peuples autochtones et les communautés locales, and </w:t>
      </w:r>
      <w:r w:rsidRPr="00CB3B2A">
        <w:rPr>
          <w:i/>
          <w:lang w:val="fr-FR"/>
        </w:rPr>
        <w:t>prie</w:t>
      </w:r>
      <w:r w:rsidRPr="00CB3B2A">
        <w:rPr>
          <w:iCs/>
          <w:lang w:val="fr-FR"/>
        </w:rPr>
        <w:t xml:space="preserve"> la Secrétaire exécutive, dans la limite des </w:t>
      </w:r>
      <w:r w:rsidRPr="00CB3B2A">
        <w:rPr>
          <w:lang w:val="fr-FR"/>
        </w:rPr>
        <w:t>ressources</w:t>
      </w:r>
      <w:r w:rsidR="00104717">
        <w:rPr>
          <w:lang w:val="fr-FR"/>
        </w:rPr>
        <w:t xml:space="preserve"> disponibles</w:t>
      </w:r>
      <w:r w:rsidRPr="00CB3B2A">
        <w:rPr>
          <w:lang w:val="fr-FR"/>
        </w:rPr>
        <w:t xml:space="preserve"> :</w:t>
      </w:r>
    </w:p>
    <w:p w14:paraId="56C406A1" w14:textId="0B9D6A50"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a)</w:t>
      </w:r>
      <w:r w:rsidRPr="00CB3B2A">
        <w:rPr>
          <w:lang w:val="fr-FR"/>
        </w:rPr>
        <w:tab/>
        <w:t xml:space="preserve">De compiler et de résumer les points de </w:t>
      </w:r>
      <w:r w:rsidR="00104717">
        <w:rPr>
          <w:lang w:val="fr-FR"/>
        </w:rPr>
        <w:t>vue et les informations communiqués</w:t>
      </w:r>
      <w:r w:rsidRPr="00CB3B2A">
        <w:rPr>
          <w:lang w:val="fr-FR"/>
        </w:rPr>
        <w:t xml:space="preserve"> au titre des paragraphes 9 et 10 ci-dessus;</w:t>
      </w:r>
      <w:r w:rsidR="00A314D4" w:rsidRPr="00CB3B2A">
        <w:rPr>
          <w:lang w:val="fr-FR"/>
        </w:rPr>
        <w:t xml:space="preserve"> </w:t>
      </w:r>
    </w:p>
    <w:p w14:paraId="393F4507" w14:textId="08384570"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lastRenderedPageBreak/>
        <w:t xml:space="preserve">b) </w:t>
      </w:r>
      <w:r w:rsidRPr="00CB3B2A">
        <w:rPr>
          <w:lang w:val="fr-FR"/>
        </w:rPr>
        <w:tab/>
        <w:t>De commander une étude exploratoire fondée sur la science et évaluée par des pairs sur le concept et le champ d’application de l’information de séquençage numérique sur les ressources génétiques et la façon dont l’information de séquençage numérique sur les ressources génétiques est déjà utilisée en prenant</w:t>
      </w:r>
      <w:r w:rsidR="00A3275C">
        <w:rPr>
          <w:lang w:val="fr-FR"/>
        </w:rPr>
        <w:t xml:space="preserve"> appui sur l’étude exploratoire existante</w:t>
      </w:r>
      <w:r w:rsidRPr="00CB3B2A">
        <w:rPr>
          <w:rStyle w:val="FootnoteReference"/>
          <w:lang w:val="fr-FR"/>
        </w:rPr>
        <w:footnoteReference w:id="2"/>
      </w:r>
      <w:r w:rsidRPr="00CB3B2A">
        <w:rPr>
          <w:lang w:val="fr-FR"/>
        </w:rPr>
        <w:t>;</w:t>
      </w:r>
    </w:p>
    <w:p w14:paraId="4B47DEA8" w14:textId="39835DB0"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 xml:space="preserve">c) </w:t>
      </w:r>
      <w:r w:rsidRPr="00CB3B2A">
        <w:rPr>
          <w:lang w:val="fr-FR"/>
        </w:rPr>
        <w:tab/>
        <w:t xml:space="preserve">De commander une étude </w:t>
      </w:r>
      <w:r w:rsidRPr="00CB3B2A">
        <w:rPr>
          <w:kern w:val="22"/>
          <w:lang w:val="fr-FR"/>
        </w:rPr>
        <w:t xml:space="preserve">évaluée par des pairs </w:t>
      </w:r>
      <w:r w:rsidRPr="00CB3B2A">
        <w:rPr>
          <w:lang w:val="fr-FR"/>
        </w:rPr>
        <w:t>sur l’évolution en cours dan</w:t>
      </w:r>
      <w:r w:rsidR="00A3275C">
        <w:rPr>
          <w:lang w:val="fr-FR"/>
        </w:rPr>
        <w:t>s le domaine de la traçabilité de l’information numérique</w:t>
      </w:r>
      <w:r w:rsidRPr="00CB3B2A">
        <w:rPr>
          <w:lang w:val="fr-FR"/>
        </w:rPr>
        <w:t>, notamment la façon dont la traçabilité est prise en compte dans les bases de d</w:t>
      </w:r>
      <w:r w:rsidR="00740A1A">
        <w:rPr>
          <w:lang w:val="fr-FR"/>
        </w:rPr>
        <w:t xml:space="preserve">onnées, et comment </w:t>
      </w:r>
      <w:r w:rsidRPr="00CB3B2A">
        <w:rPr>
          <w:lang w:val="fr-FR"/>
        </w:rPr>
        <w:t>celle</w:t>
      </w:r>
      <w:r w:rsidR="00740A1A">
        <w:rPr>
          <w:lang w:val="fr-FR"/>
        </w:rPr>
        <w:t>s-ci pourraient</w:t>
      </w:r>
      <w:r w:rsidRPr="00CB3B2A">
        <w:rPr>
          <w:lang w:val="fr-FR"/>
        </w:rPr>
        <w:t xml:space="preserve"> éclairer les discussions relatives à l’information de séquençage numérique sur les ressources génétiques</w:t>
      </w:r>
      <w:r w:rsidR="0055068D" w:rsidRPr="00CB3B2A">
        <w:rPr>
          <w:lang w:val="fr-FR"/>
        </w:rPr>
        <w:t xml:space="preserve"> </w:t>
      </w:r>
      <w:r w:rsidRPr="00CB3B2A">
        <w:rPr>
          <w:lang w:val="fr-FR"/>
        </w:rPr>
        <w:t>;</w:t>
      </w:r>
    </w:p>
    <w:p w14:paraId="1F35A6F4" w14:textId="34350296"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lang w:val="fr-FR"/>
        </w:rPr>
      </w:pPr>
      <w:r w:rsidRPr="00CB3B2A">
        <w:rPr>
          <w:lang w:val="fr-FR"/>
        </w:rPr>
        <w:t>d)</w:t>
      </w:r>
      <w:r w:rsidRPr="00CB3B2A">
        <w:rPr>
          <w:lang w:val="fr-FR"/>
        </w:rPr>
        <w:tab/>
        <w:t xml:space="preserve">De commander une étude évaluée par des pairs sur les bases de données publiques </w:t>
      </w:r>
      <w:r w:rsidR="00740A1A">
        <w:rPr>
          <w:lang w:val="fr-FR"/>
        </w:rPr>
        <w:t>et, dans la mesure du possible,</w:t>
      </w:r>
      <w:r w:rsidRPr="00CB3B2A">
        <w:rPr>
          <w:lang w:val="fr-FR"/>
        </w:rPr>
        <w:t xml:space="preserve"> les bases de données privées sur l’information de séquençage numérique sur les ressources génétiques, y compris les conditions auxquelles l’accès est accordé ou réglementé, le champ d’application biologique et la taille des bases de données, le nombre d’accès et leur origine, les politiques de gouvernance, et les fournisseurs et utilisateurs de l’information de séquençage numérique sur les ressources génétiques et </w:t>
      </w:r>
      <w:r w:rsidRPr="00CB3B2A">
        <w:rPr>
          <w:i/>
          <w:lang w:val="fr-FR"/>
        </w:rPr>
        <w:t>encourage</w:t>
      </w:r>
      <w:r w:rsidRPr="00CB3B2A">
        <w:rPr>
          <w:lang w:val="fr-FR"/>
        </w:rPr>
        <w:t xml:space="preserve"> les propriétaires de bases de données privées à fournir l’information nécessaire ; </w:t>
      </w:r>
    </w:p>
    <w:p w14:paraId="6852A2E6" w14:textId="64B1B8EC"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i/>
          <w:lang w:val="fr-FR"/>
        </w:rPr>
      </w:pPr>
      <w:r w:rsidRPr="00CB3B2A">
        <w:rPr>
          <w:lang w:val="fr-FR"/>
        </w:rPr>
        <w:t xml:space="preserve">e) </w:t>
      </w:r>
      <w:r w:rsidRPr="00CB3B2A">
        <w:rPr>
          <w:lang w:val="fr-FR"/>
        </w:rPr>
        <w:tab/>
        <w:t>De commander une étude évaluée par des pairs sur la façon dont les mesures nationales traitent du partage des avantages découlant de l’utilisation de l’information de séquençage numérique sur les ressources génétiques à des fins commerciales et non commerciales et abordent l’utilisation de l’information de séquençage numérique sur les ressources génétiques pour la recherche et le développement, en tenant compte des communications r</w:t>
      </w:r>
      <w:r w:rsidR="00740A1A">
        <w:rPr>
          <w:lang w:val="fr-FR"/>
        </w:rPr>
        <w:t>eçues au titre du paragraphe 9 ;</w:t>
      </w:r>
      <w:r w:rsidRPr="00CB3B2A">
        <w:rPr>
          <w:lang w:val="fr-FR"/>
        </w:rPr>
        <w:t xml:space="preserve">  </w:t>
      </w:r>
    </w:p>
    <w:p w14:paraId="45403D9A" w14:textId="77777777" w:rsidR="009915D9" w:rsidRPr="00CB3B2A" w:rsidRDefault="009915D9" w:rsidP="009915D9">
      <w:pPr>
        <w:suppressLineNumbers/>
        <w:suppressAutoHyphens/>
        <w:kinsoku w:val="0"/>
        <w:overflowPunct w:val="0"/>
        <w:autoSpaceDE w:val="0"/>
        <w:autoSpaceDN w:val="0"/>
        <w:adjustRightInd w:val="0"/>
        <w:snapToGrid w:val="0"/>
        <w:spacing w:before="120" w:after="120"/>
        <w:ind w:firstLine="720"/>
        <w:rPr>
          <w:kern w:val="22"/>
          <w:lang w:val="fr-FR"/>
        </w:rPr>
      </w:pPr>
      <w:r w:rsidRPr="00CB3B2A">
        <w:rPr>
          <w:lang w:val="fr-FR"/>
        </w:rPr>
        <w:t xml:space="preserve">f) </w:t>
      </w:r>
      <w:r w:rsidRPr="00CB3B2A">
        <w:rPr>
          <w:lang w:val="fr-FR"/>
        </w:rPr>
        <w:tab/>
      </w:r>
      <w:r w:rsidRPr="00CB3B2A">
        <w:rPr>
          <w:kern w:val="22"/>
          <w:lang w:val="fr-FR"/>
        </w:rPr>
        <w:t xml:space="preserve">De convoquer une réunion du groupe spécial d’experts techniques élargi afin de : </w:t>
      </w:r>
    </w:p>
    <w:p w14:paraId="4C8813F0" w14:textId="5B83A6BA" w:rsidR="009915D9" w:rsidRPr="00CB3B2A" w:rsidRDefault="009915D9" w:rsidP="009915D9">
      <w:pPr>
        <w:suppressLineNumbers/>
        <w:suppressAutoHyphens/>
        <w:kinsoku w:val="0"/>
        <w:overflowPunct w:val="0"/>
        <w:autoSpaceDE w:val="0"/>
        <w:autoSpaceDN w:val="0"/>
        <w:adjustRightInd w:val="0"/>
        <w:snapToGrid w:val="0"/>
        <w:spacing w:before="120" w:after="120"/>
        <w:ind w:left="1980" w:hanging="540"/>
        <w:rPr>
          <w:kern w:val="22"/>
          <w:lang w:val="fr-FR"/>
        </w:rPr>
      </w:pPr>
      <w:r w:rsidRPr="00CB3B2A">
        <w:rPr>
          <w:kern w:val="22"/>
          <w:lang w:val="fr-FR"/>
        </w:rPr>
        <w:t xml:space="preserve">i) </w:t>
      </w:r>
      <w:r w:rsidRPr="00CB3B2A">
        <w:rPr>
          <w:kern w:val="22"/>
          <w:lang w:val="fr-FR"/>
        </w:rPr>
        <w:tab/>
        <w:t>E</w:t>
      </w:r>
      <w:r w:rsidRPr="00CB3B2A">
        <w:rPr>
          <w:kern w:val="22"/>
          <w:szCs w:val="22"/>
          <w:lang w:val="fr-FR"/>
        </w:rPr>
        <w:t>xaminer la compilation et le résumé des points de vue et de l’information, ainsi que les études évaluées par des pairs dont il est question ci-dessus</w:t>
      </w:r>
      <w:r w:rsidR="00740A1A">
        <w:rPr>
          <w:kern w:val="22"/>
          <w:szCs w:val="22"/>
          <w:lang w:val="fr-FR"/>
        </w:rPr>
        <w:t> </w:t>
      </w:r>
      <w:r w:rsidR="00740A1A">
        <w:rPr>
          <w:kern w:val="22"/>
          <w:lang w:val="fr-FR"/>
        </w:rPr>
        <w:t>;</w:t>
      </w:r>
      <w:r w:rsidRPr="00CB3B2A">
        <w:rPr>
          <w:kern w:val="22"/>
          <w:lang w:val="fr-FR"/>
        </w:rPr>
        <w:t xml:space="preserve"> </w:t>
      </w:r>
    </w:p>
    <w:p w14:paraId="1B71B39C" w14:textId="3217FCFC" w:rsidR="009915D9" w:rsidRPr="00CB3B2A" w:rsidRDefault="009915D9" w:rsidP="009915D9">
      <w:pPr>
        <w:suppressLineNumbers/>
        <w:suppressAutoHyphens/>
        <w:kinsoku w:val="0"/>
        <w:overflowPunct w:val="0"/>
        <w:autoSpaceDE w:val="0"/>
        <w:autoSpaceDN w:val="0"/>
        <w:adjustRightInd w:val="0"/>
        <w:snapToGrid w:val="0"/>
        <w:spacing w:before="120" w:after="120"/>
        <w:ind w:left="1980" w:hanging="540"/>
        <w:rPr>
          <w:kern w:val="22"/>
          <w:lang w:val="fr-FR"/>
        </w:rPr>
      </w:pPr>
      <w:r w:rsidRPr="00CB3B2A">
        <w:rPr>
          <w:kern w:val="22"/>
          <w:lang w:val="fr-FR"/>
        </w:rPr>
        <w:t xml:space="preserve">ii) </w:t>
      </w:r>
      <w:r w:rsidRPr="00CB3B2A">
        <w:rPr>
          <w:kern w:val="22"/>
          <w:lang w:val="fr-FR"/>
        </w:rPr>
        <w:tab/>
        <w:t>Élaborer différents choix d’expressions opérationnelles et leurs implications, afin d’éclaircir le concept de l’information de séquençage numérique sur les ressources génétiques, en tenant compte en particulier de l’étude dont il est question au paragraphe 11 b)</w:t>
      </w:r>
      <w:r w:rsidR="00740A1A">
        <w:rPr>
          <w:kern w:val="22"/>
          <w:lang w:val="fr-FR"/>
        </w:rPr>
        <w:t xml:space="preserve"> ci-dessus ;</w:t>
      </w:r>
      <w:r w:rsidRPr="00CB3B2A">
        <w:rPr>
          <w:kern w:val="22"/>
          <w:lang w:val="fr-FR"/>
        </w:rPr>
        <w:t xml:space="preserve"> </w:t>
      </w:r>
    </w:p>
    <w:p w14:paraId="74041DD8" w14:textId="527CD31B" w:rsidR="009915D9" w:rsidRPr="00CB3B2A" w:rsidRDefault="009915D9" w:rsidP="009915D9">
      <w:pPr>
        <w:suppressLineNumbers/>
        <w:suppressAutoHyphens/>
        <w:kinsoku w:val="0"/>
        <w:overflowPunct w:val="0"/>
        <w:autoSpaceDE w:val="0"/>
        <w:autoSpaceDN w:val="0"/>
        <w:adjustRightInd w:val="0"/>
        <w:snapToGrid w:val="0"/>
        <w:spacing w:before="120" w:after="120"/>
        <w:ind w:left="1980" w:hanging="540"/>
        <w:rPr>
          <w:kern w:val="22"/>
          <w:lang w:val="fr-FR"/>
        </w:rPr>
      </w:pPr>
      <w:r w:rsidRPr="00CB3B2A">
        <w:rPr>
          <w:kern w:val="22"/>
          <w:lang w:val="fr-FR"/>
        </w:rPr>
        <w:t xml:space="preserve">iii) </w:t>
      </w:r>
      <w:r w:rsidRPr="00CB3B2A">
        <w:rPr>
          <w:kern w:val="22"/>
          <w:lang w:val="fr-FR"/>
        </w:rPr>
        <w:tab/>
        <w:t>Cerner les principaux secteurs pou</w:t>
      </w:r>
      <w:r w:rsidR="00740A1A">
        <w:rPr>
          <w:kern w:val="22"/>
          <w:lang w:val="fr-FR"/>
        </w:rPr>
        <w:t>r le renforcement des capacités ;</w:t>
      </w:r>
    </w:p>
    <w:p w14:paraId="6E8A7A61" w14:textId="39C95542" w:rsidR="009915D9" w:rsidRPr="00CB3B2A" w:rsidRDefault="009915D9" w:rsidP="0055068D">
      <w:pPr>
        <w:suppressLineNumbers/>
        <w:suppressAutoHyphens/>
        <w:kinsoku w:val="0"/>
        <w:overflowPunct w:val="0"/>
        <w:autoSpaceDE w:val="0"/>
        <w:autoSpaceDN w:val="0"/>
        <w:adjustRightInd w:val="0"/>
        <w:snapToGrid w:val="0"/>
        <w:spacing w:before="120" w:after="120"/>
        <w:ind w:left="1980" w:hanging="540"/>
        <w:rPr>
          <w:kern w:val="22"/>
          <w:lang w:val="fr-FR"/>
        </w:rPr>
      </w:pPr>
      <w:r w:rsidRPr="00CB3B2A">
        <w:rPr>
          <w:kern w:val="22"/>
          <w:lang w:val="fr-FR"/>
        </w:rPr>
        <w:t xml:space="preserve">iv) </w:t>
      </w:r>
      <w:r w:rsidR="00740A1A">
        <w:rPr>
          <w:kern w:val="22"/>
          <w:lang w:val="fr-FR"/>
        </w:rPr>
        <w:tab/>
        <w:t>Présenter ses</w:t>
      </w:r>
      <w:r w:rsidRPr="00CB3B2A">
        <w:rPr>
          <w:kern w:val="22"/>
          <w:lang w:val="fr-FR"/>
        </w:rPr>
        <w:t xml:space="preserve"> résultats pour examen à une réunion du</w:t>
      </w:r>
      <w:r w:rsidR="00740A1A">
        <w:rPr>
          <w:kern w:val="22"/>
          <w:lang w:val="fr-FR"/>
        </w:rPr>
        <w:t xml:space="preserve"> groupe de travail à composition non limit</w:t>
      </w:r>
      <w:r w:rsidR="00830D94">
        <w:rPr>
          <w:kern w:val="22"/>
          <w:lang w:val="fr-FR"/>
        </w:rPr>
        <w:t xml:space="preserve">ée constitué en application de la décision 14/34 </w:t>
      </w:r>
      <w:r w:rsidRPr="00CB3B2A">
        <w:rPr>
          <w:kern w:val="22"/>
          <w:lang w:val="fr-FR"/>
        </w:rPr>
        <w:t>qui aura lieu avant la quinzième réuni</w:t>
      </w:r>
      <w:r w:rsidR="00830D94">
        <w:rPr>
          <w:kern w:val="22"/>
          <w:lang w:val="fr-FR"/>
        </w:rPr>
        <w:t>on de la Conférence des Parties ;</w:t>
      </w:r>
      <w:r w:rsidRPr="00CB3B2A">
        <w:rPr>
          <w:kern w:val="22"/>
          <w:lang w:val="fr-FR"/>
        </w:rPr>
        <w:t xml:space="preserve"> </w:t>
      </w:r>
    </w:p>
    <w:p w14:paraId="5185DFEF" w14:textId="4EADEE22" w:rsidR="009915D9" w:rsidRPr="00CB3B2A" w:rsidRDefault="00237340" w:rsidP="009915D9">
      <w:pPr>
        <w:suppressLineNumbers/>
        <w:suppressAutoHyphens/>
        <w:kinsoku w:val="0"/>
        <w:overflowPunct w:val="0"/>
        <w:autoSpaceDE w:val="0"/>
        <w:autoSpaceDN w:val="0"/>
        <w:adjustRightInd w:val="0"/>
        <w:snapToGrid w:val="0"/>
        <w:spacing w:before="120" w:after="120"/>
        <w:rPr>
          <w:lang w:val="fr-FR"/>
        </w:rPr>
      </w:pPr>
      <w:r>
        <w:rPr>
          <w:kern w:val="22"/>
          <w:lang w:val="fr-FR"/>
        </w:rPr>
        <w:t>12.</w:t>
      </w:r>
      <w:r w:rsidR="009915D9" w:rsidRPr="00CB3B2A">
        <w:rPr>
          <w:kern w:val="22"/>
          <w:lang w:val="fr-FR"/>
        </w:rPr>
        <w:tab/>
      </w:r>
      <w:r w:rsidR="009915D9" w:rsidRPr="00CB3B2A">
        <w:rPr>
          <w:i/>
          <w:lang w:val="fr-FR"/>
        </w:rPr>
        <w:t>Prie</w:t>
      </w:r>
      <w:r w:rsidR="0055068D" w:rsidRPr="00CB3B2A">
        <w:rPr>
          <w:lang w:val="fr-FR"/>
        </w:rPr>
        <w:t xml:space="preserve"> </w:t>
      </w:r>
      <w:r w:rsidR="009915D9" w:rsidRPr="00CB3B2A">
        <w:rPr>
          <w:lang w:val="fr-FR"/>
        </w:rPr>
        <w:t>le groupe de travail à composition non limitée constitué au titre de la décision 14/</w:t>
      </w:r>
      <w:r w:rsidR="00830D94">
        <w:rPr>
          <w:lang w:val="fr-FR"/>
        </w:rPr>
        <w:t>34</w:t>
      </w:r>
      <w:r w:rsidR="009915D9" w:rsidRPr="00CB3B2A">
        <w:rPr>
          <w:rStyle w:val="FootnoteReference"/>
          <w:lang w:val="fr-FR"/>
        </w:rPr>
        <w:footnoteReference w:id="3"/>
      </w:r>
      <w:r w:rsidR="009915D9" w:rsidRPr="00CB3B2A">
        <w:rPr>
          <w:lang w:val="fr-FR"/>
        </w:rPr>
        <w:t xml:space="preserve"> de la Conférence des Parties</w:t>
      </w:r>
      <w:r w:rsidR="0055068D" w:rsidRPr="00CB3B2A">
        <w:rPr>
          <w:lang w:val="fr-FR"/>
        </w:rPr>
        <w:t xml:space="preserve"> </w:t>
      </w:r>
      <w:r w:rsidR="009915D9" w:rsidRPr="00CB3B2A">
        <w:rPr>
          <w:lang w:val="fr-FR"/>
        </w:rPr>
        <w:t xml:space="preserve">d’examiner </w:t>
      </w:r>
      <w:r w:rsidR="00830D94">
        <w:rPr>
          <w:lang w:val="fr-FR"/>
        </w:rPr>
        <w:t>les résultats de la réunion du g</w:t>
      </w:r>
      <w:r w:rsidR="009915D9" w:rsidRPr="00CB3B2A">
        <w:rPr>
          <w:lang w:val="fr-FR"/>
        </w:rPr>
        <w:t>roupe spécial d’experts techniques élargi et de formuler des recommandations à la quinzième réunion de la Conférence des Parties sur la façon d’aborder l’information de séquençage numérique sur les ressources génétiques dans le</w:t>
      </w:r>
      <w:r w:rsidR="00830D94">
        <w:rPr>
          <w:lang w:val="fr-FR"/>
        </w:rPr>
        <w:t xml:space="preserve"> contexte du cadre mondial de la biodiversité</w:t>
      </w:r>
      <w:r w:rsidR="00785E60" w:rsidRPr="00CB3B2A">
        <w:rPr>
          <w:lang w:val="fr-FR"/>
        </w:rPr>
        <w:t xml:space="preserve"> pour l’après-2020</w:t>
      </w:r>
      <w:r w:rsidR="009915D9" w:rsidRPr="00CB3B2A">
        <w:rPr>
          <w:lang w:val="fr-FR"/>
        </w:rPr>
        <w:t>.</w:t>
      </w:r>
    </w:p>
    <w:p w14:paraId="48C9E55B" w14:textId="26641CFF" w:rsidR="00785E60" w:rsidRPr="00CB3B2A" w:rsidRDefault="00785E60" w:rsidP="009915D9">
      <w:pPr>
        <w:suppressLineNumbers/>
        <w:suppressAutoHyphens/>
        <w:kinsoku w:val="0"/>
        <w:overflowPunct w:val="0"/>
        <w:autoSpaceDE w:val="0"/>
        <w:autoSpaceDN w:val="0"/>
        <w:adjustRightInd w:val="0"/>
        <w:snapToGrid w:val="0"/>
        <w:spacing w:before="120" w:after="120"/>
        <w:rPr>
          <w:kern w:val="22"/>
          <w:szCs w:val="22"/>
          <w:lang w:val="fr-FR"/>
        </w:rPr>
      </w:pPr>
      <w:r w:rsidRPr="00CB3B2A">
        <w:rPr>
          <w:lang w:val="fr-FR"/>
        </w:rPr>
        <w:t>13.</w:t>
      </w:r>
      <w:r w:rsidR="00830D94">
        <w:rPr>
          <w:lang w:val="fr-FR"/>
        </w:rPr>
        <w:tab/>
      </w:r>
      <w:r w:rsidRPr="00830D94">
        <w:rPr>
          <w:i/>
          <w:lang w:val="fr-FR"/>
        </w:rPr>
        <w:t>Prie</w:t>
      </w:r>
      <w:r w:rsidRPr="00CB3B2A">
        <w:rPr>
          <w:lang w:val="fr-FR"/>
        </w:rPr>
        <w:t xml:space="preserve"> la Secrétaire exécutive de coopérer avec d'autres organisations intergouvernementales pour les informer du processus défini ci-dessus et de tenir compte des travaux, approches et résultats que ces organisations produisent dans le domaine en question.</w:t>
      </w:r>
    </w:p>
    <w:p w14:paraId="1122E25F" w14:textId="77777777" w:rsidR="00427D21" w:rsidRPr="00CB3B2A" w:rsidRDefault="00427D21" w:rsidP="00405146">
      <w:pPr>
        <w:pStyle w:val="Para1"/>
        <w:numPr>
          <w:ilvl w:val="0"/>
          <w:numId w:val="0"/>
        </w:numPr>
        <w:rPr>
          <w:lang w:val="fr-FR"/>
        </w:rPr>
      </w:pPr>
    </w:p>
    <w:p w14:paraId="02531827" w14:textId="7A2D0B67" w:rsidR="00C9161D" w:rsidRPr="00CB3B2A" w:rsidRDefault="00245EF1" w:rsidP="00C9161D">
      <w:pPr>
        <w:jc w:val="center"/>
        <w:rPr>
          <w:lang w:val="fr-FR"/>
        </w:rPr>
      </w:pPr>
      <w:r w:rsidRPr="00CB3B2A">
        <w:rPr>
          <w:lang w:val="fr-FR"/>
        </w:rPr>
        <w:t>__________</w:t>
      </w:r>
    </w:p>
    <w:p w14:paraId="48D24824" w14:textId="346D1816" w:rsidR="00B3369F" w:rsidRPr="00CB3B2A" w:rsidRDefault="00B3369F" w:rsidP="00C9161D">
      <w:pPr>
        <w:rPr>
          <w:lang w:val="fr-FR"/>
        </w:rPr>
      </w:pPr>
    </w:p>
    <w:sectPr w:rsidR="00B3369F" w:rsidRPr="00CB3B2A"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65399" w14:textId="77777777" w:rsidR="0046610E" w:rsidRDefault="0046610E" w:rsidP="00CF1848">
      <w:r>
        <w:separator/>
      </w:r>
    </w:p>
  </w:endnote>
  <w:endnote w:type="continuationSeparator" w:id="0">
    <w:p w14:paraId="665F4A3F" w14:textId="77777777" w:rsidR="0046610E" w:rsidRDefault="0046610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65668" w14:textId="77777777" w:rsidR="0046610E" w:rsidRDefault="0046610E" w:rsidP="00CF1848">
      <w:r>
        <w:separator/>
      </w:r>
    </w:p>
  </w:footnote>
  <w:footnote w:type="continuationSeparator" w:id="0">
    <w:p w14:paraId="0857BFAD" w14:textId="77777777" w:rsidR="0046610E" w:rsidRDefault="0046610E" w:rsidP="00CF1848">
      <w:r>
        <w:continuationSeparator/>
      </w:r>
    </w:p>
  </w:footnote>
  <w:footnote w:id="1">
    <w:p w14:paraId="17ECC80A" w14:textId="4A3FBB4E" w:rsidR="009915D9" w:rsidRPr="00510716" w:rsidRDefault="009915D9" w:rsidP="009915D9">
      <w:pPr>
        <w:pStyle w:val="FootnoteText"/>
        <w:ind w:firstLine="0"/>
        <w:rPr>
          <w:lang w:val="fr-CA"/>
        </w:rPr>
      </w:pPr>
      <w:r>
        <w:rPr>
          <w:rStyle w:val="FootnoteReference"/>
        </w:rPr>
        <w:footnoteRef/>
      </w:r>
      <w:r w:rsidRPr="00510716">
        <w:rPr>
          <w:lang w:val="fr-CA"/>
        </w:rPr>
        <w:t xml:space="preserve"> </w:t>
      </w:r>
      <w:r w:rsidRPr="002B69DE">
        <w:rPr>
          <w:lang w:val="fr-FR"/>
        </w:rPr>
        <w:t>Le groupe</w:t>
      </w:r>
      <w:r>
        <w:rPr>
          <w:lang w:val="fr-FR"/>
        </w:rPr>
        <w:t xml:space="preserve"> spécial d’experts t</w:t>
      </w:r>
      <w:r w:rsidR="00104717">
        <w:rPr>
          <w:lang w:val="fr-FR"/>
        </w:rPr>
        <w:t>echniques sera convoqué conformément au</w:t>
      </w:r>
      <w:r>
        <w:rPr>
          <w:lang w:val="fr-FR"/>
        </w:rPr>
        <w:t xml:space="preserve"> mode de fonctionnement de l’Organe subsidiaire chargé de fournir des avis scientifiques, techniques et technologiques, mais comptera cinq experts nommés par chacune des cinq régions</w:t>
      </w:r>
      <w:r w:rsidRPr="00510716">
        <w:rPr>
          <w:lang w:val="fr-CA"/>
        </w:rPr>
        <w:t xml:space="preserve">.  </w:t>
      </w:r>
    </w:p>
  </w:footnote>
  <w:footnote w:id="2">
    <w:p w14:paraId="71C2F6E7" w14:textId="5F7A7D40" w:rsidR="009915D9" w:rsidRPr="0091194B" w:rsidRDefault="009915D9" w:rsidP="009915D9">
      <w:pPr>
        <w:pStyle w:val="FootnoteText"/>
        <w:ind w:firstLine="0"/>
        <w:rPr>
          <w:lang w:val="fr-CA"/>
        </w:rPr>
      </w:pPr>
      <w:r>
        <w:rPr>
          <w:rStyle w:val="FootnoteReference"/>
        </w:rPr>
        <w:footnoteRef/>
      </w:r>
      <w:r w:rsidRPr="0091194B">
        <w:rPr>
          <w:lang w:val="fr-CA"/>
        </w:rPr>
        <w:t xml:space="preserve"> </w:t>
      </w:r>
      <w:r w:rsidR="00740A1A">
        <w:rPr>
          <w:kern w:val="22"/>
          <w:lang w:val="fr-CA"/>
        </w:rPr>
        <w:t>Étude exploratoire</w:t>
      </w:r>
      <w:r w:rsidRPr="0091194B">
        <w:rPr>
          <w:kern w:val="22"/>
          <w:lang w:val="fr-CA"/>
        </w:rPr>
        <w:t xml:space="preserve"> sur l’information de séquençage numérique sur les ressources génétiques</w:t>
      </w:r>
      <w:r w:rsidRPr="0091194B">
        <w:rPr>
          <w:lang w:val="fr-CA"/>
        </w:rPr>
        <w:t xml:space="preserve"> dans le contexte de la Convention s</w:t>
      </w:r>
      <w:r w:rsidR="00740A1A">
        <w:rPr>
          <w:lang w:val="fr-CA"/>
        </w:rPr>
        <w:t>ur la diversité biologique et du</w:t>
      </w:r>
      <w:r w:rsidRPr="0091194B">
        <w:rPr>
          <w:lang w:val="fr-CA"/>
        </w:rPr>
        <w:t xml:space="preserve"> Protocole de Nagoya </w:t>
      </w:r>
      <w:r w:rsidR="00740A1A">
        <w:rPr>
          <w:lang w:val="fr-CA"/>
        </w:rPr>
        <w:t>(</w:t>
      </w:r>
      <w:r w:rsidRPr="0091194B">
        <w:rPr>
          <w:lang w:val="fr-CA"/>
        </w:rPr>
        <w:t>CBD/DSI/AHTEG/2018/1/3</w:t>
      </w:r>
      <w:r w:rsidR="00740A1A">
        <w:rPr>
          <w:lang w:val="fr-CA"/>
        </w:rPr>
        <w:t>)</w:t>
      </w:r>
      <w:r w:rsidRPr="0091194B">
        <w:rPr>
          <w:lang w:val="fr-CA"/>
        </w:rPr>
        <w:t>.</w:t>
      </w:r>
    </w:p>
  </w:footnote>
  <w:footnote w:id="3">
    <w:p w14:paraId="5F8702DD" w14:textId="77777777" w:rsidR="009915D9" w:rsidRPr="00F22F0A" w:rsidRDefault="009915D9" w:rsidP="009915D9">
      <w:pPr>
        <w:pStyle w:val="FootnoteText"/>
        <w:ind w:firstLine="0"/>
        <w:rPr>
          <w:lang w:val="fr-FR"/>
        </w:rPr>
      </w:pPr>
      <w:r>
        <w:rPr>
          <w:rStyle w:val="FootnoteReference"/>
        </w:rPr>
        <w:footnoteRef/>
      </w:r>
      <w:r w:rsidRPr="00F22F0A">
        <w:rPr>
          <w:lang w:val="fr-FR"/>
        </w:rPr>
        <w:t xml:space="preserve"> </w:t>
      </w:r>
      <w:r>
        <w:rPr>
          <w:lang w:val="fr-FR"/>
        </w:rPr>
        <w:t>Décision sur la préparation du cadre mondial de la biodiversité pour l’après-2020 (point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1927E8F" w:rsidR="00396FC0" w:rsidRPr="008A0EB0" w:rsidRDefault="009356DA" w:rsidP="00534681">
        <w:pPr>
          <w:pStyle w:val="Header"/>
          <w:rPr>
            <w:lang w:val="fr-FR"/>
          </w:rPr>
        </w:pPr>
        <w:r>
          <w:t>CBD/COP/DEC/14/20</w:t>
        </w:r>
      </w:p>
    </w:sdtContent>
  </w:sdt>
  <w:p w14:paraId="57597240" w14:textId="29CD4F1E" w:rsidR="00396FC0" w:rsidRPr="00000614" w:rsidRDefault="00396FC0"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132AC7">
      <w:rPr>
        <w:noProof/>
        <w:lang w:val="fr-FR"/>
      </w:rPr>
      <w:t>2</w:t>
    </w:r>
    <w:r>
      <w:rPr>
        <w:noProof/>
      </w:rPr>
      <w:fldChar w:fldCharType="end"/>
    </w:r>
  </w:p>
  <w:p w14:paraId="1D80EB20" w14:textId="77777777" w:rsidR="00396FC0" w:rsidRPr="00000614" w:rsidRDefault="00396FC0">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17328D36" w:rsidR="00396FC0" w:rsidRPr="008A0EB0" w:rsidRDefault="009356DA" w:rsidP="009505C9">
        <w:pPr>
          <w:pStyle w:val="Header"/>
          <w:jc w:val="right"/>
          <w:rPr>
            <w:lang w:val="fr-FR"/>
          </w:rPr>
        </w:pPr>
        <w:r>
          <w:t>CBD/COP/DEC/14/20</w:t>
        </w:r>
      </w:p>
    </w:sdtContent>
  </w:sdt>
  <w:p w14:paraId="7E9B8683" w14:textId="0D46140F" w:rsidR="00396FC0" w:rsidRPr="00000614" w:rsidRDefault="00396FC0"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37340">
      <w:rPr>
        <w:noProof/>
        <w:lang w:val="fr-FR"/>
      </w:rPr>
      <w:t>3</w:t>
    </w:r>
    <w:r>
      <w:rPr>
        <w:noProof/>
      </w:rPr>
      <w:fldChar w:fldCharType="end"/>
    </w:r>
  </w:p>
  <w:p w14:paraId="2F845650" w14:textId="77777777" w:rsidR="00396FC0" w:rsidRPr="00000614" w:rsidRDefault="00396FC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4C69"/>
    <w:rsid w:val="00022714"/>
    <w:rsid w:val="00047452"/>
    <w:rsid w:val="000700C3"/>
    <w:rsid w:val="000B44D1"/>
    <w:rsid w:val="000D7659"/>
    <w:rsid w:val="000E673A"/>
    <w:rsid w:val="000F74F5"/>
    <w:rsid w:val="00104717"/>
    <w:rsid w:val="00105372"/>
    <w:rsid w:val="00122E4E"/>
    <w:rsid w:val="00123776"/>
    <w:rsid w:val="001240F1"/>
    <w:rsid w:val="00131E7A"/>
    <w:rsid w:val="00132AC7"/>
    <w:rsid w:val="00172AF6"/>
    <w:rsid w:val="00176CEE"/>
    <w:rsid w:val="00184920"/>
    <w:rsid w:val="001D0C14"/>
    <w:rsid w:val="001D70B8"/>
    <w:rsid w:val="001E0D91"/>
    <w:rsid w:val="001E58D3"/>
    <w:rsid w:val="00233BD0"/>
    <w:rsid w:val="00237340"/>
    <w:rsid w:val="00245EF1"/>
    <w:rsid w:val="002532E9"/>
    <w:rsid w:val="002947D2"/>
    <w:rsid w:val="002C2E7B"/>
    <w:rsid w:val="002F5662"/>
    <w:rsid w:val="003406C7"/>
    <w:rsid w:val="00372F74"/>
    <w:rsid w:val="00381E80"/>
    <w:rsid w:val="00396FC0"/>
    <w:rsid w:val="003D2BBE"/>
    <w:rsid w:val="003F7224"/>
    <w:rsid w:val="00405146"/>
    <w:rsid w:val="0042412C"/>
    <w:rsid w:val="00427D21"/>
    <w:rsid w:val="004644C2"/>
    <w:rsid w:val="0046610E"/>
    <w:rsid w:val="00467F9C"/>
    <w:rsid w:val="004C569A"/>
    <w:rsid w:val="0052417C"/>
    <w:rsid w:val="00534681"/>
    <w:rsid w:val="0055068D"/>
    <w:rsid w:val="0058630C"/>
    <w:rsid w:val="00586B41"/>
    <w:rsid w:val="005941B5"/>
    <w:rsid w:val="00606224"/>
    <w:rsid w:val="006122BA"/>
    <w:rsid w:val="0061445E"/>
    <w:rsid w:val="00673A7F"/>
    <w:rsid w:val="00676DE7"/>
    <w:rsid w:val="006B2290"/>
    <w:rsid w:val="006F46F0"/>
    <w:rsid w:val="00717D88"/>
    <w:rsid w:val="00740A1A"/>
    <w:rsid w:val="007646B4"/>
    <w:rsid w:val="007668FC"/>
    <w:rsid w:val="00785E60"/>
    <w:rsid w:val="007873FA"/>
    <w:rsid w:val="007942D3"/>
    <w:rsid w:val="007B6C09"/>
    <w:rsid w:val="007E09DA"/>
    <w:rsid w:val="008178B6"/>
    <w:rsid w:val="00830D94"/>
    <w:rsid w:val="00832B5A"/>
    <w:rsid w:val="00865B74"/>
    <w:rsid w:val="008A0EB0"/>
    <w:rsid w:val="008A2E82"/>
    <w:rsid w:val="008B2036"/>
    <w:rsid w:val="00911993"/>
    <w:rsid w:val="00930BA1"/>
    <w:rsid w:val="0093169E"/>
    <w:rsid w:val="009356DA"/>
    <w:rsid w:val="009505C9"/>
    <w:rsid w:val="00967A49"/>
    <w:rsid w:val="009915D9"/>
    <w:rsid w:val="009A1D44"/>
    <w:rsid w:val="009C200D"/>
    <w:rsid w:val="009C3124"/>
    <w:rsid w:val="009D38EE"/>
    <w:rsid w:val="00A1084C"/>
    <w:rsid w:val="00A314D4"/>
    <w:rsid w:val="00A3275C"/>
    <w:rsid w:val="00A729B0"/>
    <w:rsid w:val="00A77CED"/>
    <w:rsid w:val="00A91DFD"/>
    <w:rsid w:val="00AD470A"/>
    <w:rsid w:val="00AE0857"/>
    <w:rsid w:val="00B05C87"/>
    <w:rsid w:val="00B3369F"/>
    <w:rsid w:val="00B81CAD"/>
    <w:rsid w:val="00B83BBC"/>
    <w:rsid w:val="00C77E65"/>
    <w:rsid w:val="00C9161D"/>
    <w:rsid w:val="00CB3B2A"/>
    <w:rsid w:val="00CF1848"/>
    <w:rsid w:val="00D12044"/>
    <w:rsid w:val="00D23F40"/>
    <w:rsid w:val="00D60DEC"/>
    <w:rsid w:val="00D76A18"/>
    <w:rsid w:val="00D76EC5"/>
    <w:rsid w:val="00D873D1"/>
    <w:rsid w:val="00D87F8B"/>
    <w:rsid w:val="00D9629A"/>
    <w:rsid w:val="00DB20C0"/>
    <w:rsid w:val="00DC7E83"/>
    <w:rsid w:val="00DD118C"/>
    <w:rsid w:val="00DE44FF"/>
    <w:rsid w:val="00DE49A4"/>
    <w:rsid w:val="00DF794D"/>
    <w:rsid w:val="00E2129B"/>
    <w:rsid w:val="00E2415C"/>
    <w:rsid w:val="00E555BC"/>
    <w:rsid w:val="00E5696B"/>
    <w:rsid w:val="00E66235"/>
    <w:rsid w:val="00E83C24"/>
    <w:rsid w:val="00E9318D"/>
    <w:rsid w:val="00ED7095"/>
    <w:rsid w:val="00F14FC4"/>
    <w:rsid w:val="00F27F59"/>
    <w:rsid w:val="00F46CFC"/>
    <w:rsid w:val="00F94774"/>
    <w:rsid w:val="00FC53DB"/>
    <w:rsid w:val="00FD1B81"/>
    <w:rsid w:val="00FD7992"/>
    <w:rsid w:val="00FF396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ListParagraphChar">
    <w:name w:val="List Paragraph Char"/>
    <w:link w:val="ListParagraph"/>
    <w:uiPriority w:val="34"/>
    <w:locked/>
    <w:rsid w:val="001E0D91"/>
    <w:rPr>
      <w:rFonts w:ascii="Times New Roman" w:eastAsia="Times New Roman" w:hAnsi="Times New Roman" w:cs="Times New Roman"/>
      <w:sz w:val="22"/>
      <w:lang w:val="en-GB"/>
    </w:rPr>
  </w:style>
  <w:style w:type="table" w:customStyle="1" w:styleId="TableGrid1">
    <w:name w:val="Table Grid1"/>
    <w:basedOn w:val="TableNormal"/>
    <w:next w:val="TableGrid"/>
    <w:uiPriority w:val="59"/>
    <w:rsid w:val="0018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915D9"/>
    <w:pPr>
      <w:spacing w:after="160" w:line="240" w:lineRule="exact"/>
      <w:jc w:val="left"/>
    </w:pPr>
    <w:rPr>
      <w:rFonts w:asciiTheme="minorHAnsi" w:eastAsiaTheme="minorEastAsia" w:hAnsiTheme="minorHAnsi" w:cstheme="minorBidi"/>
      <w:vertAlign w:val="superscript"/>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ListParagraphChar">
    <w:name w:val="List Paragraph Char"/>
    <w:link w:val="ListParagraph"/>
    <w:uiPriority w:val="34"/>
    <w:locked/>
    <w:rsid w:val="001E0D91"/>
    <w:rPr>
      <w:rFonts w:ascii="Times New Roman" w:eastAsia="Times New Roman" w:hAnsi="Times New Roman" w:cs="Times New Roman"/>
      <w:sz w:val="22"/>
      <w:lang w:val="en-GB"/>
    </w:rPr>
  </w:style>
  <w:style w:type="table" w:customStyle="1" w:styleId="TableGrid1">
    <w:name w:val="Table Grid1"/>
    <w:basedOn w:val="TableNormal"/>
    <w:next w:val="TableGrid"/>
    <w:uiPriority w:val="59"/>
    <w:rsid w:val="0018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915D9"/>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BCB355EF9CF743C0AE1AFC4836C61FDD"/>
        <w:category>
          <w:name w:val="General"/>
          <w:gallery w:val="placeholder"/>
        </w:category>
        <w:types>
          <w:type w:val="bbPlcHdr"/>
        </w:types>
        <w:behaviors>
          <w:behavior w:val="content"/>
        </w:behaviors>
        <w:guid w:val="{46FA7D5A-1B8A-4560-87E5-24BE76C9572B}"/>
      </w:docPartPr>
      <w:docPartBody>
        <w:p w:rsidR="0034024C" w:rsidRDefault="008265FC" w:rsidP="008265FC">
          <w:pPr>
            <w:pStyle w:val="BCB355EF9CF743C0AE1AFC4836C61FDD"/>
          </w:pPr>
          <w:r w:rsidRPr="007E02EB">
            <w:rPr>
              <w:rStyle w:val="PlaceholderText"/>
            </w:rPr>
            <w:t>[Status]</w:t>
          </w:r>
        </w:p>
      </w:docPartBody>
    </w:docPart>
    <w:docPart>
      <w:docPartPr>
        <w:name w:val="54D15A36CFE642988B8A783F69646092"/>
        <w:category>
          <w:name w:val="General"/>
          <w:gallery w:val="placeholder"/>
        </w:category>
        <w:types>
          <w:type w:val="bbPlcHdr"/>
        </w:types>
        <w:behaviors>
          <w:behavior w:val="content"/>
        </w:behaviors>
        <w:guid w:val="{238783C9-B8D6-47E2-BDBB-8FAA22DC4DF8}"/>
      </w:docPartPr>
      <w:docPartBody>
        <w:p w:rsidR="0034024C" w:rsidRDefault="008265FC" w:rsidP="008265FC">
          <w:pPr>
            <w:pStyle w:val="54D15A36CFE642988B8A783F69646092"/>
          </w:pPr>
          <w:r w:rsidRPr="007E02EB">
            <w:rPr>
              <w:rStyle w:val="PlaceholderText"/>
            </w:rPr>
            <w:t>[Subject]</w:t>
          </w:r>
        </w:p>
      </w:docPartBody>
    </w:docPart>
    <w:docPart>
      <w:docPartPr>
        <w:name w:val="FB5C35E08C0C497B9A3F71D7EB0877B5"/>
        <w:category>
          <w:name w:val="General"/>
          <w:gallery w:val="placeholder"/>
        </w:category>
        <w:types>
          <w:type w:val="bbPlcHdr"/>
        </w:types>
        <w:behaviors>
          <w:behavior w:val="content"/>
        </w:behaviors>
        <w:guid w:val="{83DF3224-ED44-4574-B118-0C48E0C7CB4C}"/>
      </w:docPartPr>
      <w:docPartBody>
        <w:p w:rsidR="00F5151A" w:rsidRDefault="00DF4E04" w:rsidP="00DF4E04">
          <w:pPr>
            <w:pStyle w:val="FB5C35E08C0C497B9A3F71D7EB0877B5"/>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4360E"/>
    <w:rsid w:val="00100AA9"/>
    <w:rsid w:val="001913C4"/>
    <w:rsid w:val="00261E9A"/>
    <w:rsid w:val="0034024C"/>
    <w:rsid w:val="00420CA7"/>
    <w:rsid w:val="0049086C"/>
    <w:rsid w:val="00500A2B"/>
    <w:rsid w:val="00540DD2"/>
    <w:rsid w:val="00566156"/>
    <w:rsid w:val="0058288D"/>
    <w:rsid w:val="006801B3"/>
    <w:rsid w:val="00720F63"/>
    <w:rsid w:val="007F1B76"/>
    <w:rsid w:val="00810A55"/>
    <w:rsid w:val="008265FC"/>
    <w:rsid w:val="008C6619"/>
    <w:rsid w:val="008D420E"/>
    <w:rsid w:val="0098642F"/>
    <w:rsid w:val="00CE6602"/>
    <w:rsid w:val="00DF4E04"/>
    <w:rsid w:val="00ED41EB"/>
    <w:rsid w:val="00F22040"/>
    <w:rsid w:val="00F51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E04"/>
    <w:rPr>
      <w:color w:val="808080"/>
    </w:rPr>
  </w:style>
  <w:style w:type="paragraph" w:customStyle="1" w:styleId="C444DEE40D7C456B82AF1A09CD132ABF">
    <w:name w:val="C444DEE40D7C456B82AF1A09CD132ABF"/>
    <w:rsid w:val="00CE6602"/>
    <w:pPr>
      <w:spacing w:after="160" w:line="259" w:lineRule="auto"/>
    </w:pPr>
  </w:style>
  <w:style w:type="paragraph" w:customStyle="1" w:styleId="BCB355EF9CF743C0AE1AFC4836C61FDD">
    <w:name w:val="BCB355EF9CF743C0AE1AFC4836C61FDD"/>
    <w:rsid w:val="008265FC"/>
    <w:pPr>
      <w:spacing w:after="160" w:line="259" w:lineRule="auto"/>
    </w:pPr>
    <w:rPr>
      <w:lang w:val="en-CA" w:eastAsia="en-CA"/>
    </w:rPr>
  </w:style>
  <w:style w:type="paragraph" w:customStyle="1" w:styleId="54D15A36CFE642988B8A783F69646092">
    <w:name w:val="54D15A36CFE642988B8A783F69646092"/>
    <w:rsid w:val="008265FC"/>
    <w:pPr>
      <w:spacing w:after="160" w:line="259" w:lineRule="auto"/>
    </w:pPr>
    <w:rPr>
      <w:lang w:val="en-CA" w:eastAsia="en-CA"/>
    </w:rPr>
  </w:style>
  <w:style w:type="paragraph" w:customStyle="1" w:styleId="1647EBE77CCA0141BC8F71FCCB0BA814">
    <w:name w:val="1647EBE77CCA0141BC8F71FCCB0BA814"/>
    <w:rsid w:val="00ED41EB"/>
    <w:pPr>
      <w:spacing w:after="0" w:line="240" w:lineRule="auto"/>
    </w:pPr>
    <w:rPr>
      <w:sz w:val="24"/>
      <w:szCs w:val="24"/>
      <w:lang w:val="fr-FR" w:eastAsia="zh-CN"/>
    </w:rPr>
  </w:style>
  <w:style w:type="paragraph" w:customStyle="1" w:styleId="4D61588E5373E04AA4E6A91655BB1E2A">
    <w:name w:val="4D61588E5373E04AA4E6A91655BB1E2A"/>
    <w:rsid w:val="00ED41EB"/>
    <w:pPr>
      <w:spacing w:after="0" w:line="240" w:lineRule="auto"/>
    </w:pPr>
    <w:rPr>
      <w:sz w:val="24"/>
      <w:szCs w:val="24"/>
      <w:lang w:val="fr-FR" w:eastAsia="zh-CN"/>
    </w:rPr>
  </w:style>
  <w:style w:type="paragraph" w:customStyle="1" w:styleId="FB5C35E08C0C497B9A3F71D7EB0877B5">
    <w:name w:val="FB5C35E08C0C497B9A3F71D7EB0877B5"/>
    <w:rsid w:val="00DF4E04"/>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E04"/>
    <w:rPr>
      <w:color w:val="808080"/>
    </w:rPr>
  </w:style>
  <w:style w:type="paragraph" w:customStyle="1" w:styleId="C444DEE40D7C456B82AF1A09CD132ABF">
    <w:name w:val="C444DEE40D7C456B82AF1A09CD132ABF"/>
    <w:rsid w:val="00CE6602"/>
    <w:pPr>
      <w:spacing w:after="160" w:line="259" w:lineRule="auto"/>
    </w:pPr>
  </w:style>
  <w:style w:type="paragraph" w:customStyle="1" w:styleId="BCB355EF9CF743C0AE1AFC4836C61FDD">
    <w:name w:val="BCB355EF9CF743C0AE1AFC4836C61FDD"/>
    <w:rsid w:val="008265FC"/>
    <w:pPr>
      <w:spacing w:after="160" w:line="259" w:lineRule="auto"/>
    </w:pPr>
    <w:rPr>
      <w:lang w:val="en-CA" w:eastAsia="en-CA"/>
    </w:rPr>
  </w:style>
  <w:style w:type="paragraph" w:customStyle="1" w:styleId="54D15A36CFE642988B8A783F69646092">
    <w:name w:val="54D15A36CFE642988B8A783F69646092"/>
    <w:rsid w:val="008265FC"/>
    <w:pPr>
      <w:spacing w:after="160" w:line="259" w:lineRule="auto"/>
    </w:pPr>
    <w:rPr>
      <w:lang w:val="en-CA" w:eastAsia="en-CA"/>
    </w:rPr>
  </w:style>
  <w:style w:type="paragraph" w:customStyle="1" w:styleId="1647EBE77CCA0141BC8F71FCCB0BA814">
    <w:name w:val="1647EBE77CCA0141BC8F71FCCB0BA814"/>
    <w:rsid w:val="00ED41EB"/>
    <w:pPr>
      <w:spacing w:after="0" w:line="240" w:lineRule="auto"/>
    </w:pPr>
    <w:rPr>
      <w:sz w:val="24"/>
      <w:szCs w:val="24"/>
      <w:lang w:val="fr-FR" w:eastAsia="zh-CN"/>
    </w:rPr>
  </w:style>
  <w:style w:type="paragraph" w:customStyle="1" w:styleId="4D61588E5373E04AA4E6A91655BB1E2A">
    <w:name w:val="4D61588E5373E04AA4E6A91655BB1E2A"/>
    <w:rsid w:val="00ED41EB"/>
    <w:pPr>
      <w:spacing w:after="0" w:line="240" w:lineRule="auto"/>
    </w:pPr>
    <w:rPr>
      <w:sz w:val="24"/>
      <w:szCs w:val="24"/>
      <w:lang w:val="fr-FR" w:eastAsia="zh-CN"/>
    </w:rPr>
  </w:style>
  <w:style w:type="paragraph" w:customStyle="1" w:styleId="FB5C35E08C0C497B9A3F71D7EB0877B5">
    <w:name w:val="FB5C35E08C0C497B9A3F71D7EB0877B5"/>
    <w:rsid w:val="00DF4E0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7CC960-36E8-4962-9CCA-8F8727FE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1460</Words>
  <Characters>8324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14/20.	Information de séquençage numérique sur les ressources génétiques</vt:lpstr>
      <vt:lpstr>DIGITAL SEQUENCE INFORMATION ON GENETIC RESOURCES</vt:lpstr>
    </vt:vector>
  </TitlesOfParts>
  <Company>SCBD</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	Information de séquençage numérique sur les ressources génétiques</dc:title>
  <dc:subject>CBD/COP/DEC/14/20</dc:subject>
  <dc:creator>SCBD</dc:creator>
  <cp:lastModifiedBy>--</cp:lastModifiedBy>
  <cp:revision>6</cp:revision>
  <cp:lastPrinted>2018-11-28T23:54:00Z</cp:lastPrinted>
  <dcterms:created xsi:type="dcterms:W3CDTF">2019-01-16T08:51:00Z</dcterms:created>
  <dcterms:modified xsi:type="dcterms:W3CDTF">2019-01-16T12:16:00Z</dcterms:modified>
  <cp:contentStatus>GÉNÉRALE</cp:contentStatus>
</cp:coreProperties>
</file>