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A81C15" w:rsidTr="00282303">
        <w:trPr>
          <w:trHeight w:val="709"/>
        </w:trPr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81C15" w:rsidRDefault="00A81C15" w:rsidP="00282303">
            <w:r>
              <w:rPr>
                <w:noProof/>
                <w:lang w:eastAsia="en-GB"/>
              </w:rPr>
              <w:drawing>
                <wp:inline distT="0" distB="0" distL="0" distR="0" wp14:anchorId="246F5CB3" wp14:editId="5F441425">
                  <wp:extent cx="476250" cy="400050"/>
                  <wp:effectExtent l="0" t="0" r="0" b="0"/>
                  <wp:docPr id="2" name="Image 2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81C15" w:rsidRDefault="00A81C15" w:rsidP="00282303">
            <w:r>
              <w:rPr>
                <w:noProof/>
                <w:lang w:eastAsia="en-GB"/>
              </w:rPr>
              <w:drawing>
                <wp:inline distT="0" distB="0" distL="0" distR="0" wp14:anchorId="51C5B678" wp14:editId="28F5EA12">
                  <wp:extent cx="342900" cy="400050"/>
                  <wp:effectExtent l="0" t="0" r="0" b="0"/>
                  <wp:docPr id="5" name="Image 5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81C15" w:rsidRDefault="00A81C15" w:rsidP="0028230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A81C15" w:rsidTr="00282303">
        <w:tc>
          <w:tcPr>
            <w:tcW w:w="6117" w:type="dxa"/>
            <w:gridSpan w:val="2"/>
            <w:tcBorders>
              <w:top w:val="single" w:sz="12" w:space="0" w:color="auto"/>
              <w:left w:val="nil"/>
              <w:bottom w:val="single" w:sz="36" w:space="0" w:color="auto"/>
              <w:right w:val="nil"/>
            </w:tcBorders>
            <w:vAlign w:val="center"/>
            <w:hideMark/>
          </w:tcPr>
          <w:p w:rsidR="00A81C15" w:rsidRDefault="00A81C15" w:rsidP="00282303">
            <w:r>
              <w:rPr>
                <w:noProof/>
                <w:szCs w:val="22"/>
                <w:lang w:eastAsia="en-GB"/>
              </w:rPr>
              <w:drawing>
                <wp:inline distT="0" distB="0" distL="0" distR="0" wp14:anchorId="7D216B29" wp14:editId="0618EDB2">
                  <wp:extent cx="2886075" cy="1194494"/>
                  <wp:effectExtent l="0" t="0" r="0" b="5715"/>
                  <wp:docPr id="1" name="Image 1" descr="Descripción: 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Descripción: 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121" cy="120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left w:val="nil"/>
              <w:bottom w:val="single" w:sz="36" w:space="0" w:color="auto"/>
              <w:right w:val="nil"/>
            </w:tcBorders>
          </w:tcPr>
          <w:p w:rsidR="00A81C15" w:rsidRPr="003A2ED9" w:rsidRDefault="00A81C15" w:rsidP="00282303">
            <w:pPr>
              <w:ind w:left="1215"/>
              <w:rPr>
                <w:noProof/>
                <w:sz w:val="22"/>
                <w:szCs w:val="22"/>
                <w:lang w:val="fr-FR"/>
              </w:rPr>
            </w:pPr>
            <w:r w:rsidRPr="003A2ED9">
              <w:rPr>
                <w:noProof/>
                <w:sz w:val="22"/>
                <w:szCs w:val="22"/>
                <w:lang w:val="fr-FR"/>
              </w:rPr>
              <w:t>Distr.</w:t>
            </w:r>
          </w:p>
          <w:p w:rsidR="00A81C15" w:rsidRPr="003A2ED9" w:rsidRDefault="008C41E9" w:rsidP="00282303">
            <w:pPr>
              <w:ind w:left="1215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alias w:val="Status"/>
                <w:id w:val="307985777"/>
                <w:placeholder>
                  <w:docPart w:val="D6FB5581817340538717753B900B56BE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972DDF" w:rsidRPr="003A2ED9">
                  <w:rPr>
                    <w:sz w:val="22"/>
                    <w:szCs w:val="22"/>
                    <w:lang w:val="fr-FR"/>
                  </w:rPr>
                  <w:t>GÉNÉRALE</w:t>
                </w:r>
              </w:sdtContent>
            </w:sdt>
          </w:p>
          <w:p w:rsidR="00A81C15" w:rsidRPr="003A2ED9" w:rsidRDefault="00A81C15" w:rsidP="00282303">
            <w:pPr>
              <w:ind w:left="1215"/>
              <w:rPr>
                <w:sz w:val="22"/>
                <w:szCs w:val="22"/>
                <w:lang w:val="fr-FR"/>
              </w:rPr>
            </w:pPr>
          </w:p>
          <w:p w:rsidR="00A81C15" w:rsidRPr="003A2ED9" w:rsidRDefault="008C41E9" w:rsidP="00282303">
            <w:pPr>
              <w:ind w:left="1215"/>
              <w:rPr>
                <w:sz w:val="22"/>
                <w:szCs w:val="22"/>
                <w:lang w:val="fr-FR"/>
              </w:rPr>
            </w:pPr>
            <w:sdt>
              <w:sdtPr>
                <w:rPr>
                  <w:color w:val="000000" w:themeColor="text1"/>
                  <w:kern w:val="22"/>
                  <w:sz w:val="22"/>
                  <w:szCs w:val="22"/>
                  <w:lang w:val="fr-FR"/>
                </w:rPr>
                <w:alias w:val="Subject"/>
                <w:id w:val="2137136483"/>
                <w:placeholder>
                  <w:docPart w:val="78B5D40053E643999869C31A055AB84F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972DDF" w:rsidRPr="003A2ED9">
                  <w:rPr>
                    <w:color w:val="000000" w:themeColor="text1"/>
                    <w:kern w:val="22"/>
                    <w:sz w:val="22"/>
                    <w:szCs w:val="22"/>
                    <w:lang w:val="fr-FR"/>
                  </w:rPr>
                  <w:t>CBD/COP/DEC/14/21</w:t>
                </w:r>
              </w:sdtContent>
            </w:sdt>
            <w:r w:rsidR="00A81C15" w:rsidRPr="003A2ED9">
              <w:rPr>
                <w:sz w:val="22"/>
                <w:szCs w:val="22"/>
                <w:lang w:val="fr-FR"/>
              </w:rPr>
              <w:t xml:space="preserve"> </w:t>
            </w:r>
          </w:p>
          <w:p w:rsidR="00A81C15" w:rsidRPr="003A2ED9" w:rsidRDefault="00972DDF" w:rsidP="00282303">
            <w:pPr>
              <w:ind w:left="1215"/>
              <w:rPr>
                <w:sz w:val="22"/>
                <w:szCs w:val="22"/>
                <w:lang w:val="fr-FR"/>
              </w:rPr>
            </w:pPr>
            <w:r w:rsidRPr="003A2ED9">
              <w:rPr>
                <w:sz w:val="22"/>
                <w:szCs w:val="22"/>
                <w:lang w:val="fr-FR"/>
              </w:rPr>
              <w:t>30</w:t>
            </w:r>
            <w:r w:rsidR="00A81C15" w:rsidRPr="003A2ED9">
              <w:rPr>
                <w:sz w:val="22"/>
                <w:szCs w:val="22"/>
                <w:lang w:val="fr-FR"/>
              </w:rPr>
              <w:t xml:space="preserve"> novembre 2018</w:t>
            </w:r>
          </w:p>
          <w:p w:rsidR="00A81C15" w:rsidRPr="003A2ED9" w:rsidRDefault="00A81C15" w:rsidP="00282303">
            <w:pPr>
              <w:ind w:left="1215"/>
              <w:rPr>
                <w:sz w:val="22"/>
                <w:szCs w:val="22"/>
                <w:lang w:val="fr-FR"/>
              </w:rPr>
            </w:pPr>
          </w:p>
          <w:p w:rsidR="00A81C15" w:rsidRPr="003A2ED9" w:rsidRDefault="00A81C15" w:rsidP="00282303">
            <w:pPr>
              <w:ind w:left="1215"/>
              <w:rPr>
                <w:sz w:val="22"/>
                <w:szCs w:val="22"/>
                <w:lang w:val="fr-FR"/>
              </w:rPr>
            </w:pPr>
            <w:r w:rsidRPr="003A2ED9">
              <w:rPr>
                <w:sz w:val="22"/>
                <w:szCs w:val="22"/>
                <w:lang w:val="fr-FR"/>
              </w:rPr>
              <w:t>FRANÇAIS</w:t>
            </w:r>
          </w:p>
          <w:p w:rsidR="00A81C15" w:rsidRPr="003A2ED9" w:rsidRDefault="00A81C15" w:rsidP="00282303">
            <w:pPr>
              <w:ind w:left="1215"/>
              <w:rPr>
                <w:sz w:val="22"/>
                <w:szCs w:val="22"/>
                <w:lang w:val="fr-FR"/>
              </w:rPr>
            </w:pPr>
            <w:r w:rsidRPr="003A2ED9">
              <w:rPr>
                <w:sz w:val="22"/>
                <w:szCs w:val="22"/>
                <w:lang w:val="fr-FR"/>
              </w:rPr>
              <w:t>ORIGINAL</w:t>
            </w:r>
            <w:r w:rsidR="003A2ED9" w:rsidRPr="003A2ED9">
              <w:rPr>
                <w:sz w:val="22"/>
                <w:szCs w:val="22"/>
                <w:lang w:val="fr-FR"/>
              </w:rPr>
              <w:t> :</w:t>
            </w:r>
            <w:r w:rsidRPr="003A2ED9">
              <w:rPr>
                <w:sz w:val="22"/>
                <w:szCs w:val="22"/>
                <w:lang w:val="fr-FR"/>
              </w:rPr>
              <w:t xml:space="preserve"> ANGLAIS</w:t>
            </w:r>
          </w:p>
          <w:p w:rsidR="00A81C15" w:rsidRDefault="00A81C15" w:rsidP="00282303"/>
        </w:tc>
      </w:tr>
    </w:tbl>
    <w:p w:rsidR="00A81C15" w:rsidRPr="00D0072F" w:rsidRDefault="00A81C15" w:rsidP="00A81C15">
      <w:pPr>
        <w:pStyle w:val="NoSpacing"/>
        <w:ind w:left="142" w:right="4682" w:hanging="14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CONFÉRENCE DES PARTIES À</w:t>
      </w:r>
      <w:r w:rsidRPr="00D0072F">
        <w:rPr>
          <w:rFonts w:ascii="Times New Roman" w:hAnsi="Times New Roman"/>
          <w:lang w:val="fr-FR"/>
        </w:rPr>
        <w:t xml:space="preserve"> LA CONVENTION SUR LA D</w:t>
      </w:r>
      <w:r>
        <w:rPr>
          <w:rFonts w:ascii="Times New Roman" w:hAnsi="Times New Roman"/>
          <w:lang w:val="fr-FR"/>
        </w:rPr>
        <w:t>IVERSITÉ</w:t>
      </w:r>
      <w:r w:rsidRPr="00D0072F">
        <w:rPr>
          <w:rFonts w:ascii="Times New Roman" w:hAnsi="Times New Roman"/>
          <w:lang w:val="fr-FR"/>
        </w:rPr>
        <w:t xml:space="preserve"> BIOLOGIQUE</w:t>
      </w:r>
    </w:p>
    <w:p w:rsidR="00A81C15" w:rsidRPr="00D0072F" w:rsidRDefault="00A81C15" w:rsidP="00A81C15">
      <w:pPr>
        <w:pStyle w:val="NoSpacing"/>
        <w:rPr>
          <w:rFonts w:ascii="Times New Roman" w:hAnsi="Times New Roman"/>
          <w:lang w:val="fr-FR"/>
        </w:rPr>
      </w:pPr>
      <w:r w:rsidRPr="00D0072F">
        <w:rPr>
          <w:rFonts w:ascii="Times New Roman" w:hAnsi="Times New Roman"/>
          <w:lang w:val="fr-FR"/>
        </w:rPr>
        <w:t>Quatorzième réunion</w:t>
      </w:r>
    </w:p>
    <w:p w:rsidR="00A81C15" w:rsidRPr="00D0072F" w:rsidRDefault="00972DDF" w:rsidP="00A81C15">
      <w:pPr>
        <w:pStyle w:val="NoSpacing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  <w:lang w:val="fr-FR"/>
        </w:rPr>
        <w:t>Charm e</w:t>
      </w:r>
      <w:r>
        <w:rPr>
          <w:rFonts w:ascii="Times New Roman" w:hAnsi="Times New Roman"/>
          <w:lang w:val="fr-FR"/>
        </w:rPr>
        <w:t>l-Cheikh, É</w:t>
      </w:r>
      <w:r w:rsidR="00A81C15" w:rsidRPr="00D0072F">
        <w:rPr>
          <w:rFonts w:ascii="Times New Roman" w:hAnsi="Times New Roman"/>
          <w:lang w:val="fr-FR"/>
        </w:rPr>
        <w:t>gypte, 17-29 novembre 2018</w:t>
      </w:r>
    </w:p>
    <w:p w:rsidR="00A81C15" w:rsidRDefault="00A81C15" w:rsidP="00A81C15">
      <w:pPr>
        <w:spacing w:after="360"/>
        <w:rPr>
          <w:lang w:val="fr-FR"/>
        </w:rPr>
      </w:pPr>
      <w:r w:rsidRPr="00B852D1">
        <w:rPr>
          <w:lang w:val="fr-FR"/>
        </w:rPr>
        <w:t>Point 28 de l’ordre du jour</w:t>
      </w:r>
    </w:p>
    <w:p w:rsidR="00972DDF" w:rsidRPr="00972DDF" w:rsidRDefault="00972DDF" w:rsidP="00972DDF">
      <w:pPr>
        <w:suppressLineNumbers/>
        <w:suppressAutoHyphens/>
        <w:spacing w:before="240" w:after="120"/>
        <w:jc w:val="center"/>
        <w:rPr>
          <w:rFonts w:ascii="Times New Roman Bold" w:hAnsi="Times New Roman Bold"/>
          <w:caps/>
          <w:kern w:val="22"/>
          <w:szCs w:val="22"/>
          <w:lang w:val="fr-FR"/>
        </w:rPr>
      </w:pPr>
      <w:r w:rsidRPr="00972DDF">
        <w:rPr>
          <w:rFonts w:ascii="Times New Roman Bold" w:hAnsi="Times New Roman Bold"/>
          <w:b/>
          <w:caps/>
          <w:kern w:val="22"/>
          <w:szCs w:val="22"/>
          <w:lang w:val="fr-FR"/>
        </w:rPr>
        <w:t>D</w:t>
      </w:r>
      <w:r w:rsidRPr="00972DDF">
        <w:rPr>
          <w:rFonts w:ascii="Times New Roman Bold" w:hAnsi="Times New Roman Bold" w:cs="Times New Roman Bold"/>
          <w:b/>
          <w:caps/>
          <w:kern w:val="22"/>
          <w:szCs w:val="22"/>
          <w:lang w:val="fr-FR"/>
        </w:rPr>
        <w:t>É</w:t>
      </w:r>
      <w:r w:rsidRPr="00972DDF">
        <w:rPr>
          <w:rFonts w:ascii="Times New Roman Bold" w:hAnsi="Times New Roman Bold"/>
          <w:b/>
          <w:caps/>
          <w:kern w:val="22"/>
          <w:szCs w:val="22"/>
          <w:lang w:val="fr-FR"/>
        </w:rPr>
        <w:t>cision adopt</w:t>
      </w:r>
      <w:r w:rsidRPr="00972DDF">
        <w:rPr>
          <w:rFonts w:ascii="Times New Roman Bold" w:hAnsi="Times New Roman Bold" w:cs="Times New Roman Bold"/>
          <w:b/>
          <w:caps/>
          <w:kern w:val="22"/>
          <w:szCs w:val="22"/>
          <w:lang w:val="fr-FR"/>
        </w:rPr>
        <w:t>É</w:t>
      </w:r>
      <w:r w:rsidRPr="00972DDF">
        <w:rPr>
          <w:rFonts w:ascii="Times New Roman Bold" w:hAnsi="Times New Roman Bold"/>
          <w:b/>
          <w:caps/>
          <w:kern w:val="22"/>
          <w:szCs w:val="22"/>
          <w:lang w:val="fr-FR"/>
        </w:rPr>
        <w:t>e par la conf</w:t>
      </w:r>
      <w:r w:rsidRPr="00972DDF">
        <w:rPr>
          <w:rFonts w:ascii="Times New Roman Bold" w:hAnsi="Times New Roman Bold" w:cs="Times New Roman Bold"/>
          <w:b/>
          <w:caps/>
          <w:kern w:val="22"/>
          <w:szCs w:val="22"/>
          <w:lang w:val="fr-FR"/>
        </w:rPr>
        <w:t>É</w:t>
      </w:r>
      <w:r w:rsidRPr="00972DDF">
        <w:rPr>
          <w:rFonts w:ascii="Times New Roman Bold" w:hAnsi="Times New Roman Bold"/>
          <w:b/>
          <w:caps/>
          <w:kern w:val="22"/>
          <w:szCs w:val="22"/>
          <w:lang w:val="fr-FR"/>
        </w:rPr>
        <w:t xml:space="preserve">rence des parties </w:t>
      </w:r>
      <w:r w:rsidRPr="00972DDF">
        <w:rPr>
          <w:rFonts w:ascii="Times New Roman Bold" w:hAnsi="Times New Roman Bold" w:cs="Times New Roman Bold"/>
          <w:b/>
          <w:caps/>
          <w:kern w:val="22"/>
          <w:szCs w:val="22"/>
          <w:lang w:val="fr-FR"/>
        </w:rPr>
        <w:t>À</w:t>
      </w:r>
      <w:r w:rsidRPr="00972DDF">
        <w:rPr>
          <w:rFonts w:ascii="Times New Roman Bold" w:hAnsi="Times New Roman Bold"/>
          <w:b/>
          <w:caps/>
          <w:kern w:val="22"/>
          <w:szCs w:val="22"/>
          <w:lang w:val="fr-FR"/>
        </w:rPr>
        <w:t xml:space="preserve"> la convention sur la diversit</w:t>
      </w:r>
      <w:r w:rsidRPr="00972DDF">
        <w:rPr>
          <w:rFonts w:ascii="Times New Roman Bold" w:hAnsi="Times New Roman Bold" w:cs="Times New Roman Bold"/>
          <w:b/>
          <w:caps/>
          <w:kern w:val="22"/>
          <w:szCs w:val="22"/>
          <w:lang w:val="fr-FR"/>
        </w:rPr>
        <w:t>É</w:t>
      </w:r>
      <w:r w:rsidRPr="00972DDF">
        <w:rPr>
          <w:rFonts w:ascii="Times New Roman Bold" w:hAnsi="Times New Roman Bold"/>
          <w:b/>
          <w:caps/>
          <w:kern w:val="22"/>
          <w:szCs w:val="22"/>
          <w:lang w:val="fr-FR"/>
        </w:rPr>
        <w:t xml:space="preserve"> biologique</w:t>
      </w:r>
    </w:p>
    <w:p w:rsidR="00972DDF" w:rsidRPr="00972DDF" w:rsidRDefault="00972DDF" w:rsidP="00972DDF">
      <w:pPr>
        <w:spacing w:before="120" w:after="120"/>
        <w:jc w:val="center"/>
        <w:rPr>
          <w:lang w:val="fr-FR"/>
        </w:rPr>
      </w:pPr>
      <w:sdt>
        <w:sdtPr>
          <w:rPr>
            <w:rStyle w:val="Heading2Char"/>
            <w:lang w:val="fr-FR"/>
          </w:rPr>
          <w:alias w:val="Title"/>
          <w:tag w:val=""/>
          <w:id w:val="772832786"/>
          <w:placeholder>
            <w:docPart w:val="96666681C00E4C8181A8B2303076F2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972DDF">
            <w:rPr>
              <w:rStyle w:val="Heading2Char"/>
              <w:lang w:val="fr-FR"/>
            </w:rPr>
            <w:t>14/21.</w:t>
          </w:r>
          <w:r w:rsidRPr="00972DDF">
            <w:rPr>
              <w:rStyle w:val="Heading2Char"/>
              <w:lang w:val="fr-FR"/>
            </w:rPr>
            <w:tab/>
            <w:t xml:space="preserve">Responsabilité et </w:t>
          </w:r>
          <w:r>
            <w:rPr>
              <w:rStyle w:val="Heading2Char"/>
              <w:lang w:val="fr-FR"/>
            </w:rPr>
            <w:t>ré</w:t>
          </w:r>
          <w:r w:rsidRPr="00972DDF">
            <w:rPr>
              <w:rStyle w:val="Heading2Char"/>
              <w:lang w:val="fr-FR"/>
            </w:rPr>
            <w:t>paration (paragraphe 2 de l’article 14)</w:t>
          </w:r>
        </w:sdtContent>
      </w:sdt>
    </w:p>
    <w:p w:rsidR="0029462C" w:rsidRPr="00DE5F2C" w:rsidRDefault="00B852D1" w:rsidP="00972DDF">
      <w:pPr>
        <w:spacing w:before="240" w:after="120"/>
        <w:ind w:firstLine="720"/>
        <w:rPr>
          <w:lang w:val="fr-FR"/>
        </w:rPr>
      </w:pPr>
      <w:r w:rsidRPr="00DE5F2C">
        <w:rPr>
          <w:i/>
          <w:snapToGrid w:val="0"/>
          <w:szCs w:val="18"/>
          <w:lang w:val="fr-FR"/>
        </w:rPr>
        <w:t xml:space="preserve">La Conférence des </w:t>
      </w:r>
      <w:r w:rsidR="0029462C" w:rsidRPr="00DE5F2C">
        <w:rPr>
          <w:i/>
          <w:snapToGrid w:val="0"/>
          <w:szCs w:val="18"/>
          <w:lang w:val="fr-FR"/>
        </w:rPr>
        <w:t>Parties,</w:t>
      </w:r>
    </w:p>
    <w:p w:rsidR="0029462C" w:rsidRPr="00DE5F2C" w:rsidRDefault="00B852D1" w:rsidP="0029462C">
      <w:pPr>
        <w:spacing w:before="120" w:after="120"/>
        <w:ind w:firstLine="720"/>
        <w:rPr>
          <w:lang w:val="fr-FR"/>
        </w:rPr>
      </w:pPr>
      <w:r w:rsidRPr="00DE5F2C">
        <w:rPr>
          <w:i/>
          <w:lang w:val="fr-FR"/>
        </w:rPr>
        <w:t>Rappelant</w:t>
      </w:r>
      <w:r w:rsidRPr="00DE5F2C">
        <w:rPr>
          <w:lang w:val="fr-FR"/>
        </w:rPr>
        <w:t xml:space="preserve"> la dé</w:t>
      </w:r>
      <w:r w:rsidR="0029462C" w:rsidRPr="00DE5F2C">
        <w:rPr>
          <w:lang w:val="fr-FR"/>
        </w:rPr>
        <w:t>cision XII/14,</w:t>
      </w:r>
    </w:p>
    <w:p w:rsidR="0029462C" w:rsidRPr="00DE5F2C" w:rsidRDefault="00B852D1" w:rsidP="0029462C">
      <w:pPr>
        <w:spacing w:before="120" w:after="120"/>
        <w:ind w:firstLine="720"/>
        <w:rPr>
          <w:lang w:val="fr-FR"/>
        </w:rPr>
      </w:pPr>
      <w:r w:rsidRPr="00DE5F2C">
        <w:rPr>
          <w:i/>
          <w:lang w:val="fr-FR"/>
        </w:rPr>
        <w:t xml:space="preserve">Prenant </w:t>
      </w:r>
      <w:r w:rsidR="0029462C" w:rsidRPr="00DE5F2C">
        <w:rPr>
          <w:i/>
          <w:lang w:val="fr-FR"/>
        </w:rPr>
        <w:t>note</w:t>
      </w:r>
      <w:r w:rsidRPr="00DE5F2C">
        <w:rPr>
          <w:lang w:val="fr-FR"/>
        </w:rPr>
        <w:t xml:space="preserve"> des </w:t>
      </w:r>
      <w:r w:rsidR="0029462C" w:rsidRPr="00DE5F2C">
        <w:rPr>
          <w:lang w:val="fr-FR"/>
        </w:rPr>
        <w:t>information</w:t>
      </w:r>
      <w:r w:rsidRPr="00DE5F2C">
        <w:rPr>
          <w:lang w:val="fr-FR"/>
        </w:rPr>
        <w:t>s que la Secrétaire exécutive a mises à di</w:t>
      </w:r>
      <w:r w:rsidR="00171F7E" w:rsidRPr="00DE5F2C">
        <w:rPr>
          <w:lang w:val="fr-FR"/>
        </w:rPr>
        <w:t xml:space="preserve">sposition concernant les récents </w:t>
      </w:r>
      <w:r w:rsidRPr="00DE5F2C">
        <w:rPr>
          <w:lang w:val="fr-FR"/>
        </w:rPr>
        <w:t>développements sur la responsabilité et la réparation en cas de dommage causé à l’</w:t>
      </w:r>
      <w:r w:rsidR="0029462C" w:rsidRPr="00DE5F2C">
        <w:rPr>
          <w:lang w:val="fr-FR"/>
        </w:rPr>
        <w:t>environ</w:t>
      </w:r>
      <w:r w:rsidRPr="00DE5F2C">
        <w:rPr>
          <w:lang w:val="fr-FR"/>
        </w:rPr>
        <w:t>nement en géné</w:t>
      </w:r>
      <w:r w:rsidR="0029462C" w:rsidRPr="00DE5F2C">
        <w:rPr>
          <w:lang w:val="fr-FR"/>
        </w:rPr>
        <w:t xml:space="preserve">ral </w:t>
      </w:r>
      <w:r w:rsidRPr="00DE5F2C">
        <w:rPr>
          <w:lang w:val="fr-FR"/>
        </w:rPr>
        <w:t>et à la diversité biologique en particulier</w:t>
      </w:r>
      <w:r w:rsidR="0029462C" w:rsidRPr="00DE5F2C">
        <w:rPr>
          <w:rStyle w:val="FootnoteReference"/>
          <w:lang w:val="fr-FR"/>
        </w:rPr>
        <w:footnoteReference w:id="1"/>
      </w:r>
      <w:r w:rsidRPr="00DE5F2C">
        <w:rPr>
          <w:lang w:val="fr-FR"/>
        </w:rPr>
        <w:t>,</w:t>
      </w:r>
    </w:p>
    <w:p w:rsidR="0029462C" w:rsidRPr="00DE5F2C" w:rsidRDefault="00DE5ABF" w:rsidP="00484352">
      <w:pPr>
        <w:pStyle w:val="Body"/>
        <w:numPr>
          <w:ilvl w:val="0"/>
          <w:numId w:val="1"/>
        </w:numPr>
        <w:pBdr>
          <w:right w:val="nil"/>
        </w:pBdr>
        <w:tabs>
          <w:tab w:val="left" w:pos="720"/>
        </w:tabs>
        <w:spacing w:before="120" w:after="120"/>
        <w:ind w:left="0" w:firstLine="709"/>
        <w:rPr>
          <w:kern w:val="22"/>
          <w:lang w:val="fr-FR"/>
        </w:rPr>
      </w:pPr>
      <w:r w:rsidRPr="00DE5F2C">
        <w:rPr>
          <w:i/>
          <w:kern w:val="22"/>
          <w:lang w:val="fr-FR"/>
        </w:rPr>
        <w:t>Se félicite</w:t>
      </w:r>
      <w:r w:rsidRPr="00DE5F2C">
        <w:rPr>
          <w:kern w:val="22"/>
          <w:lang w:val="fr-FR"/>
        </w:rPr>
        <w:t xml:space="preserve"> </w:t>
      </w:r>
      <w:r w:rsidR="00171F7E" w:rsidRPr="00DE5F2C">
        <w:rPr>
          <w:kern w:val="22"/>
          <w:lang w:val="fr-FR"/>
        </w:rPr>
        <w:t xml:space="preserve">de </w:t>
      </w:r>
      <w:r w:rsidRPr="00DE5F2C">
        <w:rPr>
          <w:kern w:val="22"/>
          <w:lang w:val="fr-FR"/>
        </w:rPr>
        <w:t>l’entrée en vigueur du Protocole additionnel de Nagoya – Kuala Lumpur sur la responsabilité et la réparation</w:t>
      </w:r>
      <w:r w:rsidR="00DE5F2C">
        <w:rPr>
          <w:kern w:val="22"/>
          <w:lang w:val="fr-FR"/>
        </w:rPr>
        <w:t> ;</w:t>
      </w:r>
    </w:p>
    <w:p w:rsidR="00A81C15" w:rsidRPr="00DE5F2C" w:rsidRDefault="0029462C" w:rsidP="00484352">
      <w:pPr>
        <w:pStyle w:val="Body"/>
        <w:numPr>
          <w:ilvl w:val="0"/>
          <w:numId w:val="1"/>
        </w:numPr>
        <w:pBdr>
          <w:right w:val="nil"/>
        </w:pBdr>
        <w:tabs>
          <w:tab w:val="left" w:pos="720"/>
        </w:tabs>
        <w:spacing w:before="120" w:after="120"/>
        <w:ind w:left="0" w:firstLine="709"/>
        <w:rPr>
          <w:kern w:val="22"/>
          <w:lang w:val="fr-FR"/>
        </w:rPr>
      </w:pPr>
      <w:r w:rsidRPr="00DE5F2C">
        <w:rPr>
          <w:i/>
          <w:lang w:val="fr-FR"/>
        </w:rPr>
        <w:t>Invite</w:t>
      </w:r>
      <w:r w:rsidRPr="00DE5F2C">
        <w:rPr>
          <w:lang w:val="fr-FR"/>
        </w:rPr>
        <w:t xml:space="preserve"> </w:t>
      </w:r>
      <w:r w:rsidR="00DE5ABF" w:rsidRPr="00DE5F2C">
        <w:rPr>
          <w:lang w:val="fr-FR"/>
        </w:rPr>
        <w:t>les</w:t>
      </w:r>
      <w:r w:rsidR="00171F7E" w:rsidRPr="00DE5F2C">
        <w:rPr>
          <w:lang w:val="fr-FR"/>
        </w:rPr>
        <w:t xml:space="preserve"> Parties à continuer d’aborde</w:t>
      </w:r>
      <w:r w:rsidR="00DE5ABF" w:rsidRPr="00DE5F2C">
        <w:rPr>
          <w:lang w:val="fr-FR"/>
        </w:rPr>
        <w:t>r la question de la responsabilité et la réparation</w:t>
      </w:r>
      <w:r w:rsidR="00A81C15" w:rsidRPr="00DE5F2C">
        <w:rPr>
          <w:lang w:val="fr-FR"/>
        </w:rPr>
        <w:t>, dans le cadre d</w:t>
      </w:r>
      <w:r w:rsidR="009C2E59" w:rsidRPr="00DE5F2C">
        <w:rPr>
          <w:lang w:val="fr-FR"/>
        </w:rPr>
        <w:t>u paragraphe 2 de l'article 14</w:t>
      </w:r>
      <w:r w:rsidR="00A81C15" w:rsidRPr="00DE5F2C">
        <w:rPr>
          <w:lang w:val="fr-FR"/>
        </w:rPr>
        <w:t xml:space="preserve">, y compris la restauration et l’indemnisation </w:t>
      </w:r>
      <w:r w:rsidR="00DE5F2C">
        <w:rPr>
          <w:lang w:val="fr-FR"/>
        </w:rPr>
        <w:t>pour</w:t>
      </w:r>
      <w:r w:rsidR="00DE5ABF" w:rsidRPr="00DE5F2C">
        <w:rPr>
          <w:lang w:val="fr-FR"/>
        </w:rPr>
        <w:t xml:space="preserve"> </w:t>
      </w:r>
      <w:r w:rsidR="00DE5F2C">
        <w:rPr>
          <w:lang w:val="fr-FR"/>
        </w:rPr>
        <w:t>dommage causé à la diversité biologique</w:t>
      </w:r>
      <w:r w:rsidR="00DE5ABF" w:rsidRPr="00DE5F2C">
        <w:rPr>
          <w:lang w:val="fr-FR"/>
        </w:rPr>
        <w:t xml:space="preserve"> au moyen, selon qu’il convient, d</w:t>
      </w:r>
      <w:r w:rsidR="00DE5F2C">
        <w:rPr>
          <w:lang w:val="fr-FR"/>
        </w:rPr>
        <w:t>e politiques nationales, de</w:t>
      </w:r>
      <w:r w:rsidR="00171F7E" w:rsidRPr="00DE5F2C">
        <w:rPr>
          <w:lang w:val="fr-FR"/>
        </w:rPr>
        <w:t xml:space="preserve"> législation</w:t>
      </w:r>
      <w:r w:rsidR="00DE5ABF" w:rsidRPr="00DE5F2C">
        <w:rPr>
          <w:lang w:val="fr-FR"/>
        </w:rPr>
        <w:t>, de</w:t>
      </w:r>
      <w:bookmarkStart w:id="0" w:name="_GoBack"/>
      <w:bookmarkEnd w:id="0"/>
      <w:r w:rsidR="00DE5ABF" w:rsidRPr="00DE5F2C">
        <w:rPr>
          <w:lang w:val="fr-FR"/>
        </w:rPr>
        <w:t xml:space="preserve"> stratégies et plans d’action nationaux pour la diversité biologique</w:t>
      </w:r>
      <w:r w:rsidR="00DE5F2C">
        <w:rPr>
          <w:lang w:val="fr-FR"/>
        </w:rPr>
        <w:t> ;</w:t>
      </w:r>
    </w:p>
    <w:p w:rsidR="0029462C" w:rsidRPr="00DE5F2C" w:rsidRDefault="00A81C15" w:rsidP="00484352">
      <w:pPr>
        <w:pStyle w:val="Body"/>
        <w:numPr>
          <w:ilvl w:val="0"/>
          <w:numId w:val="1"/>
        </w:numPr>
        <w:pBdr>
          <w:right w:val="nil"/>
        </w:pBdr>
        <w:tabs>
          <w:tab w:val="left" w:pos="720"/>
        </w:tabs>
        <w:spacing w:before="120" w:after="120"/>
        <w:ind w:left="0" w:firstLine="709"/>
        <w:rPr>
          <w:i/>
          <w:lang w:val="fr-FR"/>
        </w:rPr>
      </w:pPr>
      <w:r w:rsidRPr="00DE5F2C">
        <w:rPr>
          <w:i/>
          <w:lang w:val="fr-FR"/>
        </w:rPr>
        <w:t xml:space="preserve">Invite </w:t>
      </w:r>
      <w:r w:rsidRPr="00DE5F2C">
        <w:rPr>
          <w:lang w:val="fr-FR"/>
        </w:rPr>
        <w:t xml:space="preserve">les Parties et les autres gouvernements à communiquer à la Secrétaire exécutive des informations sur l'expérience qu'ils ont acquise dans l'application des décisions de la Conférence des Parties à la Convention relatives au paragraphe 2 de l'article 14, et </w:t>
      </w:r>
      <w:r w:rsidRPr="00DE5F2C">
        <w:rPr>
          <w:i/>
          <w:lang w:val="fr-FR"/>
        </w:rPr>
        <w:t>prie</w:t>
      </w:r>
      <w:r w:rsidRPr="00DE5F2C">
        <w:rPr>
          <w:lang w:val="fr-FR"/>
        </w:rPr>
        <w:t xml:space="preserve"> la Secrétaire exécutive de regrouper ces informations, ainsi que des informations sur tout fait nouveau, et de les</w:t>
      </w:r>
      <w:r w:rsidR="003A2ED9">
        <w:rPr>
          <w:lang w:val="fr-FR"/>
        </w:rPr>
        <w:t xml:space="preserve"> mettre à la disposition de la Conférence des Parties</w:t>
      </w:r>
      <w:r w:rsidRPr="00DE5F2C">
        <w:rPr>
          <w:lang w:val="fr-FR"/>
        </w:rPr>
        <w:t xml:space="preserve"> pour ex</w:t>
      </w:r>
      <w:r w:rsidR="003A2ED9">
        <w:rPr>
          <w:lang w:val="fr-FR"/>
        </w:rPr>
        <w:t>amen</w:t>
      </w:r>
      <w:r w:rsidRPr="00DE5F2C">
        <w:rPr>
          <w:i/>
          <w:lang w:val="fr-FR"/>
        </w:rPr>
        <w:t xml:space="preserve"> </w:t>
      </w:r>
      <w:r w:rsidR="00DE5ABF" w:rsidRPr="00DE5F2C">
        <w:rPr>
          <w:lang w:val="fr-FR"/>
        </w:rPr>
        <w:t>à sa seizième réunion</w:t>
      </w:r>
      <w:r w:rsidR="0029462C" w:rsidRPr="00DE5F2C">
        <w:rPr>
          <w:lang w:val="fr-FR"/>
        </w:rPr>
        <w:t>.</w:t>
      </w:r>
    </w:p>
    <w:p w:rsidR="00B27676" w:rsidRPr="00DE5F2C" w:rsidRDefault="0029462C" w:rsidP="0029462C">
      <w:pPr>
        <w:spacing w:before="120" w:after="120"/>
        <w:ind w:firstLine="720"/>
        <w:jc w:val="center"/>
        <w:rPr>
          <w:lang w:val="fr-FR"/>
        </w:rPr>
      </w:pPr>
      <w:r w:rsidRPr="00DE5F2C">
        <w:rPr>
          <w:lang w:val="fr-FR"/>
        </w:rPr>
        <w:t>__________</w:t>
      </w:r>
    </w:p>
    <w:sectPr w:rsidR="00B27676" w:rsidRPr="00DE5F2C" w:rsidSect="009C200D">
      <w:headerReference w:type="even" r:id="rId11"/>
      <w:headerReference w:type="default" r:id="rId12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E9" w:rsidRDefault="008C41E9" w:rsidP="0029462C">
      <w:r>
        <w:separator/>
      </w:r>
    </w:p>
  </w:endnote>
  <w:endnote w:type="continuationSeparator" w:id="0">
    <w:p w:rsidR="008C41E9" w:rsidRDefault="008C41E9" w:rsidP="0029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E9" w:rsidRDefault="008C41E9" w:rsidP="0029462C">
      <w:r>
        <w:separator/>
      </w:r>
    </w:p>
  </w:footnote>
  <w:footnote w:type="continuationSeparator" w:id="0">
    <w:p w:rsidR="008C41E9" w:rsidRDefault="008C41E9" w:rsidP="0029462C">
      <w:r>
        <w:continuationSeparator/>
      </w:r>
    </w:p>
  </w:footnote>
  <w:footnote w:id="1">
    <w:p w:rsidR="0029462C" w:rsidRPr="00854C5D" w:rsidRDefault="0029462C" w:rsidP="00DE5ABF">
      <w:pPr>
        <w:pStyle w:val="FootnoteText"/>
        <w:ind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CBD/COP/14/10.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n-CA"/>
      </w:rPr>
      <w:alias w:val="Subject"/>
      <w:tag w:val=""/>
      <w:id w:val="-1885015078"/>
      <w:placeholder>
        <w:docPart w:val="E508BD948F3047DCA55A8C3A53E8ABF5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Pr="00854C5D" w:rsidRDefault="00972DDF" w:rsidP="00534681">
        <w:pPr>
          <w:pStyle w:val="Header"/>
          <w:rPr>
            <w:lang w:val="en-CA"/>
          </w:rPr>
        </w:pPr>
        <w:r>
          <w:t>CBD/COP/DEC/14/21</w:t>
        </w:r>
      </w:p>
    </w:sdtContent>
  </w:sdt>
  <w:p w:rsidR="00534681" w:rsidRPr="00000614" w:rsidRDefault="00AC2FD6" w:rsidP="00534681">
    <w:pPr>
      <w:pStyle w:val="Header"/>
      <w:rPr>
        <w:lang w:val="fr-FR"/>
      </w:rPr>
    </w:pPr>
    <w:r w:rsidRPr="00000614">
      <w:rPr>
        <w:lang w:val="fr-FR"/>
      </w:rPr>
      <w:t xml:space="preserve">Page </w:t>
    </w:r>
    <w:r>
      <w:fldChar w:fldCharType="begin"/>
    </w:r>
    <w:r w:rsidRPr="00000614">
      <w:rPr>
        <w:lang w:val="fr-FR"/>
      </w:rPr>
      <w:instrText xml:space="preserve"> PAGE   \* MERGEFORMAT </w:instrText>
    </w:r>
    <w:r>
      <w:fldChar w:fldCharType="separate"/>
    </w:r>
    <w:r w:rsidRPr="00000614">
      <w:rPr>
        <w:noProof/>
        <w:lang w:val="fr-FR"/>
      </w:rPr>
      <w:t>2</w:t>
    </w:r>
    <w:r>
      <w:rPr>
        <w:noProof/>
      </w:rPr>
      <w:fldChar w:fldCharType="end"/>
    </w:r>
  </w:p>
  <w:p w:rsidR="00534681" w:rsidRPr="00000614" w:rsidRDefault="008C41E9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n-CA"/>
      </w:rPr>
      <w:alias w:val="Subject"/>
      <w:tag w:val="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854C5D" w:rsidRDefault="00972DDF" w:rsidP="009505C9">
        <w:pPr>
          <w:pStyle w:val="Header"/>
          <w:jc w:val="right"/>
          <w:rPr>
            <w:lang w:val="en-CA"/>
          </w:rPr>
        </w:pPr>
        <w:r>
          <w:t>CBD/COP/DEC/14/21</w:t>
        </w:r>
      </w:p>
    </w:sdtContent>
  </w:sdt>
  <w:p w:rsidR="009505C9" w:rsidRPr="00000614" w:rsidRDefault="00AC2FD6" w:rsidP="009505C9">
    <w:pPr>
      <w:pStyle w:val="Header"/>
      <w:jc w:val="right"/>
      <w:rPr>
        <w:lang w:val="fr-FR"/>
      </w:rPr>
    </w:pPr>
    <w:r w:rsidRPr="00000614">
      <w:rPr>
        <w:lang w:val="fr-FR"/>
      </w:rPr>
      <w:t xml:space="preserve">Page </w:t>
    </w:r>
    <w:r>
      <w:fldChar w:fldCharType="begin"/>
    </w:r>
    <w:r w:rsidRPr="00000614">
      <w:rPr>
        <w:lang w:val="fr-FR"/>
      </w:rPr>
      <w:instrText xml:space="preserve"> PAGE   \* MERGEFORMAT </w:instrText>
    </w:r>
    <w:r>
      <w:fldChar w:fldCharType="separate"/>
    </w:r>
    <w:r w:rsidRPr="00000614">
      <w:rPr>
        <w:noProof/>
        <w:lang w:val="fr-FR"/>
      </w:rPr>
      <w:t>1</w:t>
    </w:r>
    <w:r>
      <w:rPr>
        <w:noProof/>
      </w:rPr>
      <w:fldChar w:fldCharType="end"/>
    </w:r>
  </w:p>
  <w:p w:rsidR="009505C9" w:rsidRPr="00000614" w:rsidRDefault="008C41E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552"/>
    <w:multiLevelType w:val="hybridMultilevel"/>
    <w:tmpl w:val="A502C028"/>
    <w:lvl w:ilvl="0" w:tplc="4FB2D634">
      <w:start w:val="1"/>
      <w:numFmt w:val="decimal"/>
      <w:lvlText w:val="%1."/>
      <w:lvlJc w:val="left"/>
      <w:pPr>
        <w:ind w:left="1414" w:hanging="705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2C"/>
    <w:rsid w:val="00132D7D"/>
    <w:rsid w:val="00171F7E"/>
    <w:rsid w:val="00190B1E"/>
    <w:rsid w:val="001D33AA"/>
    <w:rsid w:val="0029462C"/>
    <w:rsid w:val="003A2ED9"/>
    <w:rsid w:val="00484352"/>
    <w:rsid w:val="004E0954"/>
    <w:rsid w:val="008A0158"/>
    <w:rsid w:val="008C41E9"/>
    <w:rsid w:val="00972DDF"/>
    <w:rsid w:val="009C2E59"/>
    <w:rsid w:val="00A0158D"/>
    <w:rsid w:val="00A81C15"/>
    <w:rsid w:val="00AA7CBC"/>
    <w:rsid w:val="00AC2FD6"/>
    <w:rsid w:val="00B27676"/>
    <w:rsid w:val="00B852D1"/>
    <w:rsid w:val="00D0072F"/>
    <w:rsid w:val="00DE5ABF"/>
    <w:rsid w:val="00D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2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9462C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462C"/>
    <w:rPr>
      <w:rFonts w:ascii="Times New Roman" w:eastAsia="Times New Roman" w:hAnsi="Times New Roman" w:cs="Times New Roman"/>
      <w:b/>
      <w:bCs/>
      <w:iCs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9462C"/>
    <w:rPr>
      <w:color w:val="808080"/>
    </w:rPr>
  </w:style>
  <w:style w:type="paragraph" w:styleId="Header">
    <w:name w:val="header"/>
    <w:basedOn w:val="Normal"/>
    <w:link w:val="HeaderChar"/>
    <w:rsid w:val="00294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462C"/>
    <w:rPr>
      <w:rFonts w:ascii="Times New Roman" w:eastAsia="Times New Roman" w:hAnsi="Times New Roman" w:cs="Times New Roman"/>
      <w:szCs w:val="24"/>
      <w:lang w:val="en-GB"/>
    </w:rPr>
  </w:style>
  <w:style w:type="character" w:styleId="FootnoteReference">
    <w:name w:val="footnote reference"/>
    <w:semiHidden/>
    <w:rsid w:val="0029462C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29462C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9462C"/>
    <w:rPr>
      <w:rFonts w:ascii="Times New Roman" w:eastAsia="Times New Roman" w:hAnsi="Times New Roman" w:cs="Times New Roman"/>
      <w:sz w:val="18"/>
      <w:szCs w:val="24"/>
      <w:lang w:val="en-GB"/>
    </w:rPr>
  </w:style>
  <w:style w:type="paragraph" w:styleId="NoSpacing">
    <w:name w:val="No Spacing"/>
    <w:link w:val="NoSpacingChar"/>
    <w:uiPriority w:val="1"/>
    <w:qFormat/>
    <w:rsid w:val="0029462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9462C"/>
    <w:rPr>
      <w:rFonts w:ascii="Calibri" w:eastAsia="Calibri" w:hAnsi="Calibri" w:cs="Times New Roman"/>
      <w:lang w:val="en-US"/>
    </w:rPr>
  </w:style>
  <w:style w:type="paragraph" w:customStyle="1" w:styleId="Body">
    <w:name w:val="Body"/>
    <w:rsid w:val="00DE5A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val="en-CA" w:eastAsia="en-CA"/>
    </w:rPr>
  </w:style>
  <w:style w:type="table" w:styleId="TableGrid">
    <w:name w:val="Table Grid"/>
    <w:basedOn w:val="TableNormal"/>
    <w:uiPriority w:val="59"/>
    <w:rsid w:val="00A81C15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B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2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9462C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462C"/>
    <w:rPr>
      <w:rFonts w:ascii="Times New Roman" w:eastAsia="Times New Roman" w:hAnsi="Times New Roman" w:cs="Times New Roman"/>
      <w:b/>
      <w:bCs/>
      <w:iCs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9462C"/>
    <w:rPr>
      <w:color w:val="808080"/>
    </w:rPr>
  </w:style>
  <w:style w:type="paragraph" w:styleId="Header">
    <w:name w:val="header"/>
    <w:basedOn w:val="Normal"/>
    <w:link w:val="HeaderChar"/>
    <w:rsid w:val="00294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462C"/>
    <w:rPr>
      <w:rFonts w:ascii="Times New Roman" w:eastAsia="Times New Roman" w:hAnsi="Times New Roman" w:cs="Times New Roman"/>
      <w:szCs w:val="24"/>
      <w:lang w:val="en-GB"/>
    </w:rPr>
  </w:style>
  <w:style w:type="character" w:styleId="FootnoteReference">
    <w:name w:val="footnote reference"/>
    <w:semiHidden/>
    <w:rsid w:val="0029462C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29462C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9462C"/>
    <w:rPr>
      <w:rFonts w:ascii="Times New Roman" w:eastAsia="Times New Roman" w:hAnsi="Times New Roman" w:cs="Times New Roman"/>
      <w:sz w:val="18"/>
      <w:szCs w:val="24"/>
      <w:lang w:val="en-GB"/>
    </w:rPr>
  </w:style>
  <w:style w:type="paragraph" w:styleId="NoSpacing">
    <w:name w:val="No Spacing"/>
    <w:link w:val="NoSpacingChar"/>
    <w:uiPriority w:val="1"/>
    <w:qFormat/>
    <w:rsid w:val="0029462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9462C"/>
    <w:rPr>
      <w:rFonts w:ascii="Calibri" w:eastAsia="Calibri" w:hAnsi="Calibri" w:cs="Times New Roman"/>
      <w:lang w:val="en-US"/>
    </w:rPr>
  </w:style>
  <w:style w:type="paragraph" w:customStyle="1" w:styleId="Body">
    <w:name w:val="Body"/>
    <w:rsid w:val="00DE5A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val="en-CA" w:eastAsia="en-CA"/>
    </w:rPr>
  </w:style>
  <w:style w:type="table" w:styleId="TableGrid">
    <w:name w:val="Table Grid"/>
    <w:basedOn w:val="TableNormal"/>
    <w:uiPriority w:val="59"/>
    <w:rsid w:val="00A81C15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B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08BD948F3047DCA55A8C3A53E8A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D0ED-9EAA-410A-900A-C9E663E31FA2}"/>
      </w:docPartPr>
      <w:docPartBody>
        <w:p w:rsidR="00405FFE" w:rsidRDefault="00B429D3" w:rsidP="00B429D3">
          <w:pPr>
            <w:pStyle w:val="E508BD948F3047DCA55A8C3A53E8ABF5"/>
          </w:pPr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D6FB5581817340538717753B900B5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E050D-7B46-4EF6-8832-7DA1721AD942}"/>
      </w:docPartPr>
      <w:docPartBody>
        <w:p w:rsidR="00D243D0" w:rsidRDefault="00405FFE" w:rsidP="00405FFE">
          <w:pPr>
            <w:pStyle w:val="D6FB5581817340538717753B900B56BE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78B5D40053E643999869C31A055AB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4F51D-711C-4B9A-8483-42A9CEB28289}"/>
      </w:docPartPr>
      <w:docPartBody>
        <w:p w:rsidR="00D243D0" w:rsidRDefault="00405FFE" w:rsidP="00405FFE">
          <w:pPr>
            <w:pStyle w:val="78B5D40053E643999869C31A055AB84F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96666681C00E4C8181A8B2303076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4568-F068-401D-97EE-40CD83FC6CA5}"/>
      </w:docPartPr>
      <w:docPartBody>
        <w:p w:rsidR="00000000" w:rsidRDefault="00D243D0" w:rsidP="00D243D0">
          <w:pPr>
            <w:pStyle w:val="96666681C00E4C8181A8B2303076F2D4"/>
          </w:pPr>
          <w:r w:rsidRPr="007E02E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D3"/>
    <w:rsid w:val="000F7633"/>
    <w:rsid w:val="00405FFE"/>
    <w:rsid w:val="00AF7ABF"/>
    <w:rsid w:val="00B429D3"/>
    <w:rsid w:val="00D243D0"/>
    <w:rsid w:val="00E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3D0"/>
  </w:style>
  <w:style w:type="paragraph" w:customStyle="1" w:styleId="3881B69CBABF4B4D954F2C11554A75CD">
    <w:name w:val="3881B69CBABF4B4D954F2C11554A75CD"/>
    <w:rsid w:val="00B429D3"/>
  </w:style>
  <w:style w:type="paragraph" w:customStyle="1" w:styleId="E508BD948F3047DCA55A8C3A53E8ABF5">
    <w:name w:val="E508BD948F3047DCA55A8C3A53E8ABF5"/>
    <w:rsid w:val="00B429D3"/>
  </w:style>
  <w:style w:type="paragraph" w:customStyle="1" w:styleId="D6FB5581817340538717753B900B56BE">
    <w:name w:val="D6FB5581817340538717753B900B56BE"/>
    <w:rsid w:val="00405FFE"/>
  </w:style>
  <w:style w:type="paragraph" w:customStyle="1" w:styleId="78B5D40053E643999869C31A055AB84F">
    <w:name w:val="78B5D40053E643999869C31A055AB84F"/>
    <w:rsid w:val="00405FFE"/>
  </w:style>
  <w:style w:type="paragraph" w:customStyle="1" w:styleId="96666681C00E4C8181A8B2303076F2D4">
    <w:name w:val="96666681C00E4C8181A8B2303076F2D4"/>
    <w:rsid w:val="00D243D0"/>
    <w:pPr>
      <w:spacing w:after="200" w:line="276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3D0"/>
  </w:style>
  <w:style w:type="paragraph" w:customStyle="1" w:styleId="3881B69CBABF4B4D954F2C11554A75CD">
    <w:name w:val="3881B69CBABF4B4D954F2C11554A75CD"/>
    <w:rsid w:val="00B429D3"/>
  </w:style>
  <w:style w:type="paragraph" w:customStyle="1" w:styleId="E508BD948F3047DCA55A8C3A53E8ABF5">
    <w:name w:val="E508BD948F3047DCA55A8C3A53E8ABF5"/>
    <w:rsid w:val="00B429D3"/>
  </w:style>
  <w:style w:type="paragraph" w:customStyle="1" w:styleId="D6FB5581817340538717753B900B56BE">
    <w:name w:val="D6FB5581817340538717753B900B56BE"/>
    <w:rsid w:val="00405FFE"/>
  </w:style>
  <w:style w:type="paragraph" w:customStyle="1" w:styleId="78B5D40053E643999869C31A055AB84F">
    <w:name w:val="78B5D40053E643999869C31A055AB84F"/>
    <w:rsid w:val="00405FFE"/>
  </w:style>
  <w:style w:type="paragraph" w:customStyle="1" w:styleId="96666681C00E4C8181A8B2303076F2D4">
    <w:name w:val="96666681C00E4C8181A8B2303076F2D4"/>
    <w:rsid w:val="00D243D0"/>
    <w:pPr>
      <w:spacing w:after="200" w:line="276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14/21.	Responsabilité et réparation (paragraphe 2 de l’article 14)</dc:title>
  <dc:subject>CBD/COP/DEC/14/21</dc:subject>
  <dc:creator>Finn Kinley</dc:creator>
  <cp:lastModifiedBy>--</cp:lastModifiedBy>
  <cp:revision>7</cp:revision>
  <dcterms:created xsi:type="dcterms:W3CDTF">2019-01-16T12:17:00Z</dcterms:created>
  <dcterms:modified xsi:type="dcterms:W3CDTF">2019-01-16T12:41:00Z</dcterms:modified>
  <cp:contentStatus>GÉNÉRALE</cp:contentStatus>
</cp:coreProperties>
</file>