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5245AE" w14:paraId="6DC28E4D" w14:textId="77777777" w:rsidTr="00CC6E45">
        <w:trPr>
          <w:trHeight w:val="709"/>
        </w:trPr>
        <w:tc>
          <w:tcPr>
            <w:tcW w:w="976" w:type="dxa"/>
            <w:tcBorders>
              <w:bottom w:val="single" w:sz="12" w:space="0" w:color="auto"/>
            </w:tcBorders>
          </w:tcPr>
          <w:p w14:paraId="3D83C081" w14:textId="77777777" w:rsidR="005245AE" w:rsidRDefault="005245AE" w:rsidP="00CC6E45">
            <w:r>
              <w:rPr>
                <w:noProof/>
                <w:lang w:val="en-US"/>
              </w:rPr>
              <w:drawing>
                <wp:inline distT="0" distB="0" distL="0" distR="0" wp14:anchorId="6FDF0FC5" wp14:editId="5B6CDFBE">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027CDB73" w14:textId="77777777" w:rsidR="005245AE" w:rsidRDefault="005245AE" w:rsidP="00CC6E45">
            <w:r>
              <w:rPr>
                <w:noProof/>
                <w:lang w:val="en-US"/>
              </w:rPr>
              <w:drawing>
                <wp:inline distT="0" distB="0" distL="0" distR="0" wp14:anchorId="7AD05A81" wp14:editId="262D08F1">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0AFB824E" w14:textId="77777777" w:rsidR="005245AE" w:rsidRPr="00C9161D" w:rsidRDefault="005245AE" w:rsidP="00CC6E45">
            <w:pPr>
              <w:jc w:val="right"/>
              <w:rPr>
                <w:rFonts w:ascii="Arial" w:hAnsi="Arial" w:cs="Arial"/>
                <w:b/>
                <w:sz w:val="32"/>
                <w:szCs w:val="32"/>
              </w:rPr>
            </w:pPr>
            <w:r w:rsidRPr="00C9161D">
              <w:rPr>
                <w:rFonts w:ascii="Arial" w:hAnsi="Arial" w:cs="Arial"/>
                <w:b/>
                <w:sz w:val="32"/>
                <w:szCs w:val="32"/>
              </w:rPr>
              <w:t>CBD</w:t>
            </w:r>
          </w:p>
        </w:tc>
      </w:tr>
      <w:tr w:rsidR="005245AE" w14:paraId="21EF2EB1" w14:textId="77777777" w:rsidTr="00CC6E45">
        <w:tc>
          <w:tcPr>
            <w:tcW w:w="6117" w:type="dxa"/>
            <w:gridSpan w:val="2"/>
            <w:tcBorders>
              <w:top w:val="single" w:sz="12" w:space="0" w:color="auto"/>
              <w:bottom w:val="single" w:sz="36" w:space="0" w:color="auto"/>
            </w:tcBorders>
            <w:vAlign w:val="center"/>
          </w:tcPr>
          <w:p w14:paraId="5BDA17FF" w14:textId="77777777" w:rsidR="005245AE" w:rsidRDefault="005245AE" w:rsidP="00CC6E45">
            <w:r>
              <w:rPr>
                <w:noProof/>
                <w:lang w:val="en-US"/>
              </w:rPr>
              <w:drawing>
                <wp:inline distT="0" distB="0" distL="0" distR="0" wp14:anchorId="28BCC59E" wp14:editId="6CF5FD7C">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58D78241" w14:textId="77777777" w:rsidR="005245AE" w:rsidRPr="00C9161D" w:rsidRDefault="005245AE" w:rsidP="00CC6E45">
            <w:pPr>
              <w:ind w:left="1215"/>
              <w:rPr>
                <w:szCs w:val="22"/>
              </w:rPr>
            </w:pPr>
            <w:r w:rsidRPr="00C9161D">
              <w:rPr>
                <w:szCs w:val="22"/>
              </w:rPr>
              <w:t>Distr.</w:t>
            </w:r>
          </w:p>
          <w:p w14:paraId="5EACD1AD" w14:textId="16EE144B" w:rsidR="005245AE" w:rsidRPr="00C9161D" w:rsidRDefault="001E0970" w:rsidP="00CC6E45">
            <w:pPr>
              <w:ind w:left="1215"/>
              <w:rPr>
                <w:szCs w:val="22"/>
              </w:rPr>
            </w:pPr>
            <w:sdt>
              <w:sdtPr>
                <w:rPr>
                  <w:caps/>
                  <w:szCs w:val="22"/>
                </w:rPr>
                <w:alias w:val="Status"/>
                <w:tag w:val=""/>
                <w:id w:val="307985777"/>
                <w:placeholder>
                  <w:docPart w:val="86BF7B7BD08544C4AE5448FC67876A34"/>
                </w:placeholder>
                <w:dataBinding w:prefixMappings="xmlns:ns0='http://purl.org/dc/elements/1.1/' xmlns:ns1='http://schemas.openxmlformats.org/package/2006/metadata/core-properties' " w:xpath="/ns1:coreProperties[1]/ns1:contentStatus[1]" w:storeItemID="{6C3C8BC8-F283-45AE-878A-BAB7291924A1}"/>
                <w:text/>
              </w:sdtPr>
              <w:sdtEndPr/>
              <w:sdtContent>
                <w:r w:rsidR="0018454D">
                  <w:rPr>
                    <w:caps/>
                    <w:szCs w:val="22"/>
                  </w:rPr>
                  <w:t>GENERAL</w:t>
                </w:r>
              </w:sdtContent>
            </w:sdt>
          </w:p>
          <w:p w14:paraId="26F4C06D" w14:textId="77777777" w:rsidR="005245AE" w:rsidRPr="00C9161D" w:rsidRDefault="005245AE" w:rsidP="00CC6E45">
            <w:pPr>
              <w:ind w:left="1215"/>
              <w:rPr>
                <w:szCs w:val="22"/>
              </w:rPr>
            </w:pPr>
          </w:p>
          <w:p w14:paraId="1686E2A0" w14:textId="5A746783" w:rsidR="005245AE" w:rsidRPr="00C9161D" w:rsidRDefault="001E0970" w:rsidP="00CC6E45">
            <w:pPr>
              <w:ind w:left="1215"/>
              <w:rPr>
                <w:szCs w:val="22"/>
              </w:rPr>
            </w:pPr>
            <w:sdt>
              <w:sdtPr>
                <w:rPr>
                  <w:lang w:val="en-US"/>
                </w:rPr>
                <w:alias w:val="Subject"/>
                <w:tag w:val=""/>
                <w:id w:val="2137136483"/>
                <w:placeholder>
                  <w:docPart w:val="1C7216CA2FC7411CB83CD37C44C82B4C"/>
                </w:placeholder>
                <w:dataBinding w:prefixMappings="xmlns:ns0='http://purl.org/dc/elements/1.1/' xmlns:ns1='http://schemas.openxmlformats.org/package/2006/metadata/core-properties' " w:xpath="/ns1:coreProperties[1]/ns0:subject[1]" w:storeItemID="{6C3C8BC8-F283-45AE-878A-BAB7291924A1}"/>
                <w:text/>
              </w:sdtPr>
              <w:sdtEndPr/>
              <w:sdtContent>
                <w:r w:rsidR="0018454D">
                  <w:rPr>
                    <w:lang w:val="en-US"/>
                  </w:rPr>
                  <w:t>CBD/COP/DEC/14/25</w:t>
                </w:r>
              </w:sdtContent>
            </w:sdt>
          </w:p>
          <w:p w14:paraId="4FB0E379" w14:textId="650A3817" w:rsidR="005245AE" w:rsidRPr="00C9161D" w:rsidRDefault="003379A1" w:rsidP="00CC6E45">
            <w:pPr>
              <w:ind w:left="1215"/>
              <w:rPr>
                <w:szCs w:val="22"/>
              </w:rPr>
            </w:pPr>
            <w:r>
              <w:rPr>
                <w:szCs w:val="22"/>
                <w:lang w:val="en-US"/>
              </w:rPr>
              <w:t xml:space="preserve">30 </w:t>
            </w:r>
            <w:r w:rsidR="005245AE">
              <w:rPr>
                <w:szCs w:val="22"/>
                <w:lang w:val="en-US"/>
              </w:rPr>
              <w:t>November 2018</w:t>
            </w:r>
          </w:p>
          <w:p w14:paraId="50138082" w14:textId="77777777" w:rsidR="005245AE" w:rsidRPr="00C9161D" w:rsidRDefault="005245AE" w:rsidP="00CC6E45">
            <w:pPr>
              <w:ind w:left="1215"/>
              <w:rPr>
                <w:szCs w:val="22"/>
              </w:rPr>
            </w:pPr>
          </w:p>
          <w:p w14:paraId="1735D61E" w14:textId="77777777" w:rsidR="005245AE" w:rsidRPr="00C9161D" w:rsidRDefault="005245AE" w:rsidP="00CC6E45">
            <w:pPr>
              <w:ind w:left="1215"/>
              <w:rPr>
                <w:szCs w:val="22"/>
              </w:rPr>
            </w:pPr>
            <w:r>
              <w:rPr>
                <w:szCs w:val="22"/>
              </w:rPr>
              <w:t xml:space="preserve">ORIGINAL: </w:t>
            </w:r>
            <w:r w:rsidRPr="00C9161D">
              <w:rPr>
                <w:szCs w:val="22"/>
              </w:rPr>
              <w:t>ENGLISH</w:t>
            </w:r>
          </w:p>
          <w:p w14:paraId="0763FD0A" w14:textId="77777777" w:rsidR="005245AE" w:rsidRDefault="005245AE" w:rsidP="00CC6E45"/>
        </w:tc>
      </w:tr>
    </w:tbl>
    <w:p w14:paraId="1DC2F3CC" w14:textId="77777777" w:rsidR="0061445E" w:rsidRPr="000C104E" w:rsidRDefault="0061445E" w:rsidP="0061445E">
      <w:pPr>
        <w:pStyle w:val="NoSpacing"/>
        <w:ind w:left="142" w:right="4682" w:hanging="142"/>
        <w:rPr>
          <w:rFonts w:ascii="Times New Roman" w:hAnsi="Times New Roman"/>
          <w:kern w:val="22"/>
          <w:lang w:val="en-GB"/>
        </w:rPr>
      </w:pPr>
      <w:r w:rsidRPr="000C104E">
        <w:rPr>
          <w:rFonts w:ascii="Times New Roman" w:hAnsi="Times New Roman"/>
          <w:kern w:val="22"/>
          <w:lang w:val="en-GB"/>
        </w:rPr>
        <w:t>CONFERENCE OF THE PARTIES TO THE CONVENTION ON BIOLOGICAL DIVERSITY</w:t>
      </w:r>
    </w:p>
    <w:p w14:paraId="5B0F9F9E" w14:textId="77777777" w:rsidR="0061445E" w:rsidRPr="000C104E" w:rsidRDefault="0061445E" w:rsidP="0061445E">
      <w:pPr>
        <w:pStyle w:val="NoSpacing"/>
        <w:rPr>
          <w:rFonts w:ascii="Times New Roman" w:hAnsi="Times New Roman"/>
          <w:kern w:val="22"/>
          <w:lang w:val="en-GB"/>
        </w:rPr>
      </w:pPr>
      <w:r w:rsidRPr="000C104E">
        <w:rPr>
          <w:rFonts w:ascii="Times New Roman" w:hAnsi="Times New Roman"/>
          <w:kern w:val="22"/>
          <w:lang w:val="en-GB"/>
        </w:rPr>
        <w:t>Fourteenth meeting</w:t>
      </w:r>
    </w:p>
    <w:p w14:paraId="016B4752" w14:textId="26BCAC0D" w:rsidR="0061445E" w:rsidRPr="000C104E" w:rsidRDefault="0061445E" w:rsidP="0061445E">
      <w:pPr>
        <w:pStyle w:val="NoSpacing"/>
        <w:rPr>
          <w:rFonts w:ascii="Times New Roman" w:hAnsi="Times New Roman"/>
          <w:kern w:val="22"/>
          <w:lang w:val="en-GB"/>
        </w:rPr>
      </w:pPr>
      <w:r w:rsidRPr="000C104E">
        <w:rPr>
          <w:rFonts w:ascii="Times New Roman" w:hAnsi="Times New Roman"/>
          <w:kern w:val="22"/>
          <w:lang w:val="en-GB"/>
        </w:rPr>
        <w:t xml:space="preserve">Sharm </w:t>
      </w:r>
      <w:r w:rsidR="00617807" w:rsidRPr="000C104E">
        <w:rPr>
          <w:rFonts w:ascii="Times New Roman" w:hAnsi="Times New Roman"/>
          <w:kern w:val="22"/>
          <w:lang w:val="en-GB"/>
        </w:rPr>
        <w:t>E</w:t>
      </w:r>
      <w:r w:rsidRPr="000C104E">
        <w:rPr>
          <w:rFonts w:ascii="Times New Roman" w:hAnsi="Times New Roman"/>
          <w:kern w:val="22"/>
          <w:lang w:val="en-GB"/>
        </w:rPr>
        <w:t>l-Sheikh, Egypt, 17-29 November 2018</w:t>
      </w:r>
    </w:p>
    <w:p w14:paraId="0B9BBCE1" w14:textId="02862544" w:rsidR="00C9161D" w:rsidRPr="000C104E" w:rsidRDefault="00F267C2" w:rsidP="00C9161D">
      <w:pPr>
        <w:rPr>
          <w:kern w:val="22"/>
          <w:szCs w:val="22"/>
        </w:rPr>
      </w:pPr>
      <w:r w:rsidRPr="000C104E">
        <w:rPr>
          <w:kern w:val="22"/>
          <w:szCs w:val="22"/>
        </w:rPr>
        <w:t>Agenda item 1</w:t>
      </w:r>
      <w:r w:rsidR="0017389D" w:rsidRPr="000C104E">
        <w:rPr>
          <w:kern w:val="22"/>
          <w:szCs w:val="22"/>
        </w:rPr>
        <w:t>1</w:t>
      </w:r>
    </w:p>
    <w:p w14:paraId="70A9BE08" w14:textId="0E226223" w:rsidR="00C9161D" w:rsidRPr="006C7B5C" w:rsidRDefault="00DF14AA" w:rsidP="000C104E">
      <w:pPr>
        <w:spacing w:before="240" w:after="120"/>
        <w:jc w:val="center"/>
        <w:rPr>
          <w:rFonts w:ascii="Times New Roman Bold" w:hAnsi="Times New Roman Bold"/>
          <w:b/>
          <w:caps/>
          <w:kern w:val="22"/>
          <w:szCs w:val="22"/>
        </w:rPr>
      </w:pPr>
      <w:bookmarkStart w:id="0" w:name="_Hlk531788339"/>
      <w:r w:rsidRPr="004655B7">
        <w:rPr>
          <w:rFonts w:ascii="Times New Roman Bold" w:hAnsi="Times New Roman Bold"/>
          <w:b/>
          <w:caps/>
          <w:kern w:val="2"/>
          <w:szCs w:val="22"/>
        </w:rPr>
        <w:t>Decision adopted by the Conference of the Parties to the Convention on Biological Diversity</w:t>
      </w:r>
      <w:bookmarkStart w:id="1" w:name="_GoBack"/>
      <w:bookmarkEnd w:id="0"/>
      <w:bookmarkEnd w:id="1"/>
    </w:p>
    <w:p w14:paraId="2FF200C4" w14:textId="2F9845A8" w:rsidR="0018454D" w:rsidRPr="0018454D" w:rsidRDefault="001E0970" w:rsidP="004655B7">
      <w:pPr>
        <w:pStyle w:val="recommendationheader"/>
      </w:pPr>
      <w:r>
        <w:fldChar w:fldCharType="begin"/>
      </w:r>
      <w:r>
        <w:instrText xml:space="preserve"> TITLE  \* FirstCap  \* MERGEFORMAT </w:instrText>
      </w:r>
      <w:r>
        <w:fldChar w:fldCharType="separate"/>
      </w:r>
      <w:r w:rsidR="006C696A">
        <w:t>14/25.</w:t>
      </w:r>
      <w:r w:rsidR="006C696A">
        <w:tab/>
        <w:t>Knowledge management under the Convention and its Protocols</w:t>
      </w:r>
      <w:r>
        <w:fldChar w:fldCharType="end"/>
      </w:r>
    </w:p>
    <w:p w14:paraId="4F84E1F6" w14:textId="77777777" w:rsidR="00F267C2" w:rsidRPr="004C7DBF" w:rsidRDefault="00F267C2" w:rsidP="004655B7">
      <w:pPr>
        <w:keepNext/>
        <w:suppressLineNumbers/>
        <w:suppressAutoHyphens/>
        <w:kinsoku w:val="0"/>
        <w:overflowPunct w:val="0"/>
        <w:autoSpaceDE w:val="0"/>
        <w:autoSpaceDN w:val="0"/>
        <w:adjustRightInd w:val="0"/>
        <w:snapToGrid w:val="0"/>
        <w:spacing w:before="120" w:after="120" w:line="228" w:lineRule="auto"/>
        <w:ind w:firstLine="720"/>
        <w:rPr>
          <w:i/>
          <w:kern w:val="22"/>
          <w:szCs w:val="22"/>
        </w:rPr>
      </w:pPr>
      <w:r w:rsidRPr="004C7DBF">
        <w:rPr>
          <w:i/>
          <w:kern w:val="22"/>
          <w:szCs w:val="22"/>
        </w:rPr>
        <w:t>The Conference of the Parties,</w:t>
      </w:r>
    </w:p>
    <w:p w14:paraId="1627B25F" w14:textId="45E229F1" w:rsidR="00664450" w:rsidRPr="004C7DBF" w:rsidRDefault="00664450" w:rsidP="004655B7">
      <w:pPr>
        <w:pStyle w:val="Para1"/>
        <w:numPr>
          <w:ilvl w:val="0"/>
          <w:numId w:val="0"/>
        </w:numPr>
        <w:suppressLineNumbers/>
        <w:suppressAutoHyphens/>
        <w:spacing w:line="228" w:lineRule="auto"/>
        <w:ind w:firstLine="709"/>
        <w:rPr>
          <w:i/>
          <w:snapToGrid/>
          <w:kern w:val="22"/>
          <w:szCs w:val="22"/>
        </w:rPr>
      </w:pPr>
      <w:r w:rsidRPr="004C7DBF">
        <w:rPr>
          <w:i/>
          <w:snapToGrid/>
          <w:kern w:val="22"/>
          <w:szCs w:val="22"/>
        </w:rPr>
        <w:t xml:space="preserve">Recalling </w:t>
      </w:r>
      <w:r w:rsidRPr="004C7DBF">
        <w:rPr>
          <w:kern w:val="22"/>
          <w:szCs w:val="22"/>
        </w:rPr>
        <w:t>decisions XIII/23,</w:t>
      </w:r>
      <w:r w:rsidRPr="004C7DBF">
        <w:rPr>
          <w:rFonts w:eastAsia="Malgun Gothic"/>
          <w:kern w:val="22"/>
          <w:szCs w:val="22"/>
        </w:rPr>
        <w:t xml:space="preserve"> </w:t>
      </w:r>
      <w:r w:rsidR="0081569C" w:rsidRPr="004C7DBF">
        <w:rPr>
          <w:rFonts w:eastAsia="Malgun Gothic"/>
          <w:kern w:val="22"/>
          <w:szCs w:val="22"/>
        </w:rPr>
        <w:t xml:space="preserve">XIII/31, </w:t>
      </w:r>
      <w:r w:rsidRPr="004C7DBF">
        <w:rPr>
          <w:rFonts w:eastAsia="Malgun Gothic"/>
          <w:kern w:val="22"/>
          <w:szCs w:val="22"/>
        </w:rPr>
        <w:t>XII/2 B</w:t>
      </w:r>
      <w:r w:rsidR="0081569C" w:rsidRPr="004C7DBF">
        <w:rPr>
          <w:rFonts w:eastAsia="Malgun Gothic"/>
          <w:kern w:val="22"/>
          <w:szCs w:val="22"/>
        </w:rPr>
        <w:t>, XI/24</w:t>
      </w:r>
      <w:r w:rsidRPr="004C7DBF">
        <w:rPr>
          <w:rFonts w:eastAsia="Malgun Gothic"/>
          <w:kern w:val="22"/>
          <w:szCs w:val="22"/>
        </w:rPr>
        <w:t xml:space="preserve"> and X/15,</w:t>
      </w:r>
    </w:p>
    <w:p w14:paraId="0C83C476" w14:textId="30846128" w:rsidR="00F267C2" w:rsidRPr="004C7DBF" w:rsidRDefault="00F267C2" w:rsidP="004655B7">
      <w:pPr>
        <w:pStyle w:val="Para1"/>
        <w:numPr>
          <w:ilvl w:val="0"/>
          <w:numId w:val="0"/>
        </w:numPr>
        <w:suppressLineNumbers/>
        <w:suppressAutoHyphens/>
        <w:kinsoku w:val="0"/>
        <w:overflowPunct w:val="0"/>
        <w:autoSpaceDE w:val="0"/>
        <w:autoSpaceDN w:val="0"/>
        <w:adjustRightInd w:val="0"/>
        <w:snapToGrid w:val="0"/>
        <w:spacing w:line="228" w:lineRule="auto"/>
        <w:ind w:firstLine="720"/>
        <w:rPr>
          <w:snapToGrid/>
          <w:kern w:val="22"/>
          <w:szCs w:val="22"/>
        </w:rPr>
      </w:pPr>
      <w:r w:rsidRPr="004C7DBF">
        <w:rPr>
          <w:i/>
          <w:iCs/>
          <w:snapToGrid/>
          <w:kern w:val="22"/>
          <w:szCs w:val="22"/>
        </w:rPr>
        <w:t xml:space="preserve">Noting </w:t>
      </w:r>
      <w:r w:rsidRPr="004C7DBF">
        <w:rPr>
          <w:iCs/>
          <w:snapToGrid/>
          <w:kern w:val="22"/>
          <w:szCs w:val="22"/>
        </w:rPr>
        <w:t xml:space="preserve">the progress made with the implementation of the web strategy for the Convention and its Protocols and the development of national clearing-house mechanisms, including the roll-out of the </w:t>
      </w:r>
      <w:proofErr w:type="spellStart"/>
      <w:r w:rsidRPr="004C7DBF">
        <w:rPr>
          <w:iCs/>
          <w:snapToGrid/>
          <w:kern w:val="22"/>
          <w:szCs w:val="22"/>
        </w:rPr>
        <w:t>Bioland</w:t>
      </w:r>
      <w:proofErr w:type="spellEnd"/>
      <w:r w:rsidRPr="004C7DBF">
        <w:rPr>
          <w:iCs/>
          <w:snapToGrid/>
          <w:kern w:val="22"/>
          <w:szCs w:val="22"/>
        </w:rPr>
        <w:t xml:space="preserve"> tool by the Executive Secretary to assist Parties in the establishment or improvement of their national clearing</w:t>
      </w:r>
      <w:r w:rsidRPr="004C7DBF">
        <w:rPr>
          <w:iCs/>
          <w:snapToGrid/>
          <w:kern w:val="22"/>
          <w:szCs w:val="22"/>
        </w:rPr>
        <w:noBreakHyphen/>
        <w:t>house mechanisms</w:t>
      </w:r>
      <w:r w:rsidRPr="004C7DBF">
        <w:rPr>
          <w:snapToGrid/>
          <w:kern w:val="22"/>
          <w:szCs w:val="22"/>
        </w:rPr>
        <w:t>,</w:t>
      </w:r>
      <w:r w:rsidRPr="004C7DBF">
        <w:rPr>
          <w:rStyle w:val="FootnoteReference"/>
          <w:snapToGrid/>
          <w:kern w:val="22"/>
          <w:szCs w:val="22"/>
        </w:rPr>
        <w:footnoteReference w:id="1"/>
      </w:r>
    </w:p>
    <w:p w14:paraId="1B4CF6A3" w14:textId="38011534" w:rsidR="00664450" w:rsidRPr="004C7DBF" w:rsidRDefault="00664450" w:rsidP="004655B7">
      <w:pPr>
        <w:pStyle w:val="Para1"/>
        <w:numPr>
          <w:ilvl w:val="0"/>
          <w:numId w:val="0"/>
        </w:numPr>
        <w:suppressLineNumbers/>
        <w:suppressAutoHyphens/>
        <w:spacing w:line="228" w:lineRule="auto"/>
        <w:ind w:firstLine="709"/>
        <w:rPr>
          <w:rFonts w:eastAsia="Malgun Gothic"/>
          <w:kern w:val="22"/>
          <w:szCs w:val="22"/>
        </w:rPr>
      </w:pPr>
      <w:r w:rsidRPr="004C7DBF">
        <w:rPr>
          <w:i/>
          <w:snapToGrid/>
          <w:kern w:val="22"/>
          <w:szCs w:val="22"/>
        </w:rPr>
        <w:t>Recognizing</w:t>
      </w:r>
      <w:r w:rsidRPr="004C7DBF">
        <w:rPr>
          <w:snapToGrid/>
          <w:kern w:val="22"/>
          <w:szCs w:val="22"/>
        </w:rPr>
        <w:t xml:space="preserve"> the need to collect, organize and share biodiversity knowledge and experience</w:t>
      </w:r>
      <w:r w:rsidR="002B4F7B" w:rsidRPr="004C7DBF">
        <w:rPr>
          <w:snapToGrid/>
          <w:kern w:val="22"/>
          <w:szCs w:val="22"/>
        </w:rPr>
        <w:t>, including traditional knowledge,</w:t>
      </w:r>
      <w:r w:rsidRPr="004C7DBF">
        <w:rPr>
          <w:snapToGrid/>
          <w:kern w:val="22"/>
          <w:szCs w:val="22"/>
        </w:rPr>
        <w:t xml:space="preserve"> to </w:t>
      </w:r>
      <w:r w:rsidRPr="004C7DBF">
        <w:rPr>
          <w:rFonts w:eastAsia="Malgun Gothic"/>
          <w:kern w:val="22"/>
          <w:szCs w:val="22"/>
        </w:rPr>
        <w:t>facilitate and support enhanced implementation of the Convention and its Protocols,</w:t>
      </w:r>
    </w:p>
    <w:p w14:paraId="1C972AC2" w14:textId="05848E4E" w:rsidR="0081569C" w:rsidRPr="004C7DBF" w:rsidRDefault="0081569C" w:rsidP="004655B7">
      <w:pPr>
        <w:pStyle w:val="Para1"/>
        <w:numPr>
          <w:ilvl w:val="0"/>
          <w:numId w:val="0"/>
        </w:numPr>
        <w:suppressLineNumbers/>
        <w:suppressAutoHyphens/>
        <w:spacing w:line="228" w:lineRule="auto"/>
        <w:ind w:firstLine="709"/>
        <w:rPr>
          <w:snapToGrid/>
          <w:kern w:val="22"/>
          <w:szCs w:val="22"/>
        </w:rPr>
      </w:pPr>
      <w:r w:rsidRPr="004C7DBF">
        <w:rPr>
          <w:i/>
          <w:snapToGrid/>
          <w:kern w:val="22"/>
          <w:szCs w:val="22"/>
        </w:rPr>
        <w:t>Recognizing</w:t>
      </w:r>
      <w:r w:rsidRPr="004C7DBF">
        <w:rPr>
          <w:snapToGrid/>
          <w:kern w:val="22"/>
          <w:szCs w:val="22"/>
        </w:rPr>
        <w:t xml:space="preserve"> the need for</w:t>
      </w:r>
      <w:r w:rsidR="006B2759" w:rsidRPr="004C7DBF">
        <w:rPr>
          <w:snapToGrid/>
          <w:kern w:val="22"/>
          <w:szCs w:val="22"/>
        </w:rPr>
        <w:t xml:space="preserve"> </w:t>
      </w:r>
      <w:r w:rsidRPr="004C7DBF">
        <w:rPr>
          <w:snapToGrid/>
          <w:kern w:val="22"/>
          <w:szCs w:val="22"/>
        </w:rPr>
        <w:t xml:space="preserve">open access data and open source tools </w:t>
      </w:r>
      <w:r w:rsidR="00F372C8" w:rsidRPr="004C7DBF">
        <w:rPr>
          <w:snapToGrid/>
          <w:kern w:val="22"/>
          <w:szCs w:val="22"/>
        </w:rPr>
        <w:t xml:space="preserve">which are a requirement for any </w:t>
      </w:r>
      <w:r w:rsidRPr="004C7DBF">
        <w:rPr>
          <w:snapToGrid/>
          <w:kern w:val="22"/>
          <w:szCs w:val="22"/>
        </w:rPr>
        <w:t>effective knowledge management, especially in developing countries</w:t>
      </w:r>
      <w:r w:rsidR="00C47599" w:rsidRPr="004C7DBF">
        <w:rPr>
          <w:snapToGrid/>
          <w:kern w:val="22"/>
          <w:szCs w:val="22"/>
        </w:rPr>
        <w:t>,</w:t>
      </w:r>
    </w:p>
    <w:p w14:paraId="61901871" w14:textId="7FB57109" w:rsidR="00664450" w:rsidRPr="004655B7" w:rsidRDefault="00664450" w:rsidP="004655B7">
      <w:pPr>
        <w:suppressLineNumbers/>
        <w:suppressAutoHyphens/>
        <w:spacing w:before="120" w:after="120" w:line="228" w:lineRule="auto"/>
        <w:ind w:firstLine="709"/>
        <w:rPr>
          <w:iCs/>
          <w:spacing w:val="-1"/>
          <w:kern w:val="22"/>
          <w:szCs w:val="22"/>
        </w:rPr>
      </w:pPr>
      <w:r w:rsidRPr="004655B7">
        <w:rPr>
          <w:i/>
          <w:spacing w:val="-1"/>
          <w:kern w:val="22"/>
          <w:szCs w:val="22"/>
        </w:rPr>
        <w:t>Emphasizing</w:t>
      </w:r>
      <w:r w:rsidRPr="004655B7">
        <w:rPr>
          <w:spacing w:val="-1"/>
          <w:kern w:val="22"/>
          <w:szCs w:val="22"/>
        </w:rPr>
        <w:t xml:space="preserve"> the need </w:t>
      </w:r>
      <w:r w:rsidRPr="004655B7">
        <w:rPr>
          <w:rFonts w:eastAsia="Malgun Gothic"/>
          <w:spacing w:val="-1"/>
          <w:kern w:val="22"/>
          <w:szCs w:val="22"/>
        </w:rPr>
        <w:t xml:space="preserve">to strengthen coherence and integration between the </w:t>
      </w:r>
      <w:r w:rsidRPr="004655B7">
        <w:rPr>
          <w:iCs/>
          <w:spacing w:val="-1"/>
          <w:kern w:val="22"/>
          <w:szCs w:val="22"/>
        </w:rPr>
        <w:t>clearing-house mechanism of the Convention, the Biosafety Clearing-House and the Access and Benefit-sharing Clearing-House,</w:t>
      </w:r>
    </w:p>
    <w:p w14:paraId="562BF568" w14:textId="3DE87DC6" w:rsidR="00664450" w:rsidRPr="004C7DBF" w:rsidRDefault="00D925EE" w:rsidP="004655B7">
      <w:pPr>
        <w:pStyle w:val="ListParagraph"/>
        <w:numPr>
          <w:ilvl w:val="0"/>
          <w:numId w:val="22"/>
        </w:numPr>
        <w:suppressLineNumbers/>
        <w:suppressAutoHyphens/>
        <w:spacing w:before="120" w:after="120" w:line="228" w:lineRule="auto"/>
        <w:ind w:left="0" w:firstLine="709"/>
        <w:contextualSpacing w:val="0"/>
        <w:rPr>
          <w:kern w:val="22"/>
          <w:szCs w:val="22"/>
        </w:rPr>
      </w:pPr>
      <w:r w:rsidRPr="004C7DBF">
        <w:rPr>
          <w:i/>
          <w:kern w:val="22"/>
          <w:szCs w:val="22"/>
        </w:rPr>
        <w:t>Endorses</w:t>
      </w:r>
      <w:r w:rsidRPr="004C7DBF">
        <w:rPr>
          <w:kern w:val="22"/>
          <w:szCs w:val="22"/>
        </w:rPr>
        <w:t xml:space="preserve"> </w:t>
      </w:r>
      <w:r w:rsidR="00664450" w:rsidRPr="004C7DBF">
        <w:rPr>
          <w:kern w:val="22"/>
          <w:szCs w:val="22"/>
        </w:rPr>
        <w:t>the joint modalities of operation for the clearing-house mechanism of the Convention, the Biosafety</w:t>
      </w:r>
      <w:r w:rsidR="00664450" w:rsidRPr="004C7DBF">
        <w:rPr>
          <w:iCs/>
          <w:kern w:val="22"/>
          <w:szCs w:val="22"/>
        </w:rPr>
        <w:t xml:space="preserve"> Clearing-House and the Access and Benefit-sharing Clearing-House prepared by the Executive Secretary with input from the </w:t>
      </w:r>
      <w:r w:rsidR="00CE199F" w:rsidRPr="004C7DBF">
        <w:rPr>
          <w:iCs/>
          <w:kern w:val="22"/>
          <w:szCs w:val="22"/>
        </w:rPr>
        <w:t>i</w:t>
      </w:r>
      <w:r w:rsidR="00664450" w:rsidRPr="004C7DBF">
        <w:rPr>
          <w:iCs/>
          <w:kern w:val="22"/>
          <w:szCs w:val="22"/>
        </w:rPr>
        <w:t xml:space="preserve">nformal </w:t>
      </w:r>
      <w:r w:rsidR="00CE199F" w:rsidRPr="004C7DBF">
        <w:rPr>
          <w:iCs/>
          <w:kern w:val="22"/>
          <w:szCs w:val="22"/>
        </w:rPr>
        <w:t>a</w:t>
      </w:r>
      <w:r w:rsidR="00664450" w:rsidRPr="004C7DBF">
        <w:rPr>
          <w:iCs/>
          <w:kern w:val="22"/>
          <w:szCs w:val="22"/>
        </w:rPr>
        <w:t xml:space="preserve">dvisory </w:t>
      </w:r>
      <w:r w:rsidR="00CE199F" w:rsidRPr="004C7DBF">
        <w:rPr>
          <w:iCs/>
          <w:kern w:val="22"/>
          <w:szCs w:val="22"/>
        </w:rPr>
        <w:t>c</w:t>
      </w:r>
      <w:r w:rsidR="00664450" w:rsidRPr="004C7DBF">
        <w:rPr>
          <w:iCs/>
          <w:kern w:val="22"/>
          <w:szCs w:val="22"/>
        </w:rPr>
        <w:t>ommittees, as contained in annex</w:t>
      </w:r>
      <w:r w:rsidR="00DC3ED3" w:rsidRPr="004C7DBF">
        <w:rPr>
          <w:iCs/>
          <w:kern w:val="22"/>
          <w:szCs w:val="22"/>
        </w:rPr>
        <w:t> </w:t>
      </w:r>
      <w:r w:rsidR="00664450" w:rsidRPr="004C7DBF">
        <w:rPr>
          <w:iCs/>
          <w:kern w:val="22"/>
          <w:szCs w:val="22"/>
        </w:rPr>
        <w:t>I to the present decision</w:t>
      </w:r>
      <w:r w:rsidR="0081569C" w:rsidRPr="004C7DBF">
        <w:rPr>
          <w:iCs/>
          <w:kern w:val="22"/>
          <w:szCs w:val="22"/>
        </w:rPr>
        <w:t>;</w:t>
      </w:r>
    </w:p>
    <w:p w14:paraId="06CF0F39" w14:textId="219E6F99" w:rsidR="000E04FC" w:rsidRPr="004C7DBF" w:rsidRDefault="00F267C2" w:rsidP="004655B7">
      <w:pPr>
        <w:pStyle w:val="Para1"/>
        <w:numPr>
          <w:ilvl w:val="0"/>
          <w:numId w:val="22"/>
        </w:numPr>
        <w:suppressLineNumbers/>
        <w:suppressAutoHyphens/>
        <w:kinsoku w:val="0"/>
        <w:overflowPunct w:val="0"/>
        <w:autoSpaceDE w:val="0"/>
        <w:autoSpaceDN w:val="0"/>
        <w:adjustRightInd w:val="0"/>
        <w:snapToGrid w:val="0"/>
        <w:spacing w:line="228" w:lineRule="auto"/>
        <w:ind w:left="0" w:firstLine="709"/>
        <w:rPr>
          <w:snapToGrid/>
          <w:kern w:val="22"/>
          <w:szCs w:val="22"/>
        </w:rPr>
      </w:pPr>
      <w:r w:rsidRPr="004C7DBF">
        <w:rPr>
          <w:i/>
          <w:snapToGrid/>
          <w:kern w:val="22"/>
          <w:szCs w:val="22"/>
        </w:rPr>
        <w:t>Invites</w:t>
      </w:r>
      <w:r w:rsidRPr="004C7DBF">
        <w:rPr>
          <w:snapToGrid/>
          <w:kern w:val="22"/>
          <w:szCs w:val="22"/>
        </w:rPr>
        <w:t xml:space="preserve"> Parties and other Governments that do not have national clearing-house mechanisms and</w:t>
      </w:r>
      <w:r w:rsidR="000676F2" w:rsidRPr="004C7DBF">
        <w:rPr>
          <w:snapToGrid/>
          <w:kern w:val="22"/>
          <w:szCs w:val="22"/>
        </w:rPr>
        <w:t xml:space="preserve"> </w:t>
      </w:r>
      <w:r w:rsidRPr="004C7DBF">
        <w:rPr>
          <w:snapToGrid/>
          <w:kern w:val="22"/>
          <w:szCs w:val="22"/>
        </w:rPr>
        <w:t xml:space="preserve">those wishing to redesign existing ones to use the </w:t>
      </w:r>
      <w:proofErr w:type="spellStart"/>
      <w:r w:rsidRPr="004C7DBF">
        <w:rPr>
          <w:snapToGrid/>
          <w:kern w:val="22"/>
          <w:szCs w:val="22"/>
        </w:rPr>
        <w:t>Bioland</w:t>
      </w:r>
      <w:proofErr w:type="spellEnd"/>
      <w:r w:rsidRPr="004C7DBF">
        <w:rPr>
          <w:snapToGrid/>
          <w:kern w:val="22"/>
          <w:szCs w:val="22"/>
        </w:rPr>
        <w:t xml:space="preserve"> tool developed by the Executive Secretary;</w:t>
      </w:r>
    </w:p>
    <w:p w14:paraId="4D9F2DBD" w14:textId="198B0F1A" w:rsidR="00F267C2" w:rsidRPr="004C7DBF" w:rsidRDefault="00F267C2" w:rsidP="004655B7">
      <w:pPr>
        <w:pStyle w:val="Para1"/>
        <w:numPr>
          <w:ilvl w:val="0"/>
          <w:numId w:val="22"/>
        </w:numPr>
        <w:suppressLineNumbers/>
        <w:suppressAutoHyphens/>
        <w:kinsoku w:val="0"/>
        <w:overflowPunct w:val="0"/>
        <w:autoSpaceDE w:val="0"/>
        <w:autoSpaceDN w:val="0"/>
        <w:adjustRightInd w:val="0"/>
        <w:snapToGrid w:val="0"/>
        <w:spacing w:line="228" w:lineRule="auto"/>
        <w:ind w:left="0" w:firstLine="709"/>
        <w:rPr>
          <w:snapToGrid/>
          <w:kern w:val="22"/>
          <w:szCs w:val="22"/>
        </w:rPr>
      </w:pPr>
      <w:r w:rsidRPr="004C7DBF">
        <w:rPr>
          <w:i/>
          <w:snapToGrid/>
          <w:kern w:val="22"/>
          <w:szCs w:val="22"/>
        </w:rPr>
        <w:t>Invites</w:t>
      </w:r>
      <w:r w:rsidRPr="004C7DBF">
        <w:rPr>
          <w:snapToGrid/>
          <w:kern w:val="22"/>
          <w:szCs w:val="22"/>
        </w:rPr>
        <w:t xml:space="preserve"> Parties, other Governments and relevant organizations, as appropriate, to continue providing the necessary financial, technical and human resources to support the further development of national clearing-house mechanisms, or migration of existing national clearing-house mechanism websites to the </w:t>
      </w:r>
      <w:proofErr w:type="spellStart"/>
      <w:r w:rsidRPr="004C7DBF">
        <w:rPr>
          <w:snapToGrid/>
          <w:kern w:val="22"/>
          <w:szCs w:val="22"/>
        </w:rPr>
        <w:t>Bioland</w:t>
      </w:r>
      <w:proofErr w:type="spellEnd"/>
      <w:r w:rsidRPr="004C7DBF">
        <w:rPr>
          <w:snapToGrid/>
          <w:kern w:val="22"/>
          <w:szCs w:val="22"/>
        </w:rPr>
        <w:t xml:space="preserve"> tool;</w:t>
      </w:r>
    </w:p>
    <w:p w14:paraId="6EAA79E2" w14:textId="606F4251" w:rsidR="00F267C2" w:rsidRPr="004C7DBF" w:rsidRDefault="00F267C2" w:rsidP="004655B7">
      <w:pPr>
        <w:pStyle w:val="Para1"/>
        <w:numPr>
          <w:ilvl w:val="0"/>
          <w:numId w:val="22"/>
        </w:numPr>
        <w:suppressLineNumbers/>
        <w:suppressAutoHyphens/>
        <w:kinsoku w:val="0"/>
        <w:overflowPunct w:val="0"/>
        <w:autoSpaceDE w:val="0"/>
        <w:autoSpaceDN w:val="0"/>
        <w:adjustRightInd w:val="0"/>
        <w:snapToGrid w:val="0"/>
        <w:spacing w:line="228" w:lineRule="auto"/>
        <w:ind w:left="0" w:firstLine="709"/>
        <w:rPr>
          <w:snapToGrid/>
          <w:kern w:val="22"/>
          <w:szCs w:val="22"/>
        </w:rPr>
      </w:pPr>
      <w:r w:rsidRPr="004C7DBF">
        <w:rPr>
          <w:i/>
          <w:snapToGrid/>
          <w:kern w:val="22"/>
          <w:szCs w:val="22"/>
        </w:rPr>
        <w:t xml:space="preserve">Requests </w:t>
      </w:r>
      <w:r w:rsidRPr="004C7DBF">
        <w:rPr>
          <w:snapToGrid/>
          <w:kern w:val="22"/>
          <w:szCs w:val="22"/>
        </w:rPr>
        <w:t>the Executive Secretary, subject to the availability of resources:</w:t>
      </w:r>
    </w:p>
    <w:p w14:paraId="58A13A23" w14:textId="70890F70" w:rsidR="002B4F7B" w:rsidRPr="004C7DBF" w:rsidRDefault="00777435" w:rsidP="004655B7">
      <w:pPr>
        <w:suppressLineNumbers/>
        <w:suppressAutoHyphens/>
        <w:kinsoku w:val="0"/>
        <w:overflowPunct w:val="0"/>
        <w:autoSpaceDE w:val="0"/>
        <w:autoSpaceDN w:val="0"/>
        <w:adjustRightInd w:val="0"/>
        <w:snapToGrid w:val="0"/>
        <w:spacing w:after="120" w:line="228" w:lineRule="auto"/>
        <w:ind w:firstLine="720"/>
        <w:rPr>
          <w:kern w:val="22"/>
          <w:szCs w:val="22"/>
        </w:rPr>
      </w:pPr>
      <w:r w:rsidRPr="004C7DBF">
        <w:rPr>
          <w:kern w:val="22"/>
          <w:szCs w:val="22"/>
        </w:rPr>
        <w:lastRenderedPageBreak/>
        <w:t>(a)</w:t>
      </w:r>
      <w:r w:rsidRPr="004C7DBF">
        <w:rPr>
          <w:kern w:val="22"/>
          <w:szCs w:val="22"/>
        </w:rPr>
        <w:tab/>
      </w:r>
      <w:r w:rsidR="002B4F7B" w:rsidRPr="004C7DBF">
        <w:rPr>
          <w:kern w:val="22"/>
          <w:szCs w:val="22"/>
        </w:rPr>
        <w:t>To continue to implement the work programme for the clearing-house mechanism in support of the Strategic Plan for Biodiversity 2011-2020</w:t>
      </w:r>
      <w:r w:rsidR="009E0CBB" w:rsidRPr="004C7DBF">
        <w:rPr>
          <w:rStyle w:val="FootnoteReference"/>
          <w:kern w:val="22"/>
          <w:szCs w:val="22"/>
        </w:rPr>
        <w:footnoteReference w:id="2"/>
      </w:r>
      <w:r w:rsidR="002B4F7B" w:rsidRPr="004C7DBF">
        <w:rPr>
          <w:kern w:val="22"/>
          <w:szCs w:val="22"/>
        </w:rPr>
        <w:t xml:space="preserve"> and the 2030 Agenda for Sustainable Development</w:t>
      </w:r>
      <w:r w:rsidR="009E0CBB" w:rsidRPr="004C7DBF">
        <w:rPr>
          <w:rStyle w:val="FootnoteReference"/>
          <w:kern w:val="22"/>
          <w:szCs w:val="22"/>
        </w:rPr>
        <w:footnoteReference w:id="3"/>
      </w:r>
      <w:r w:rsidR="002B4F7B" w:rsidRPr="004C7DBF">
        <w:rPr>
          <w:kern w:val="22"/>
          <w:szCs w:val="22"/>
        </w:rPr>
        <w:t xml:space="preserve"> with the guidance of the Informal Advisory Committee to the Clearing-House Mechanism;</w:t>
      </w:r>
    </w:p>
    <w:p w14:paraId="1D12C538" w14:textId="2E7E159B" w:rsidR="00F267C2" w:rsidRPr="004C7DBF" w:rsidRDefault="00777435" w:rsidP="004655B7">
      <w:pPr>
        <w:suppressLineNumbers/>
        <w:suppressAutoHyphens/>
        <w:kinsoku w:val="0"/>
        <w:overflowPunct w:val="0"/>
        <w:autoSpaceDE w:val="0"/>
        <w:autoSpaceDN w:val="0"/>
        <w:adjustRightInd w:val="0"/>
        <w:snapToGrid w:val="0"/>
        <w:spacing w:after="120" w:line="228" w:lineRule="auto"/>
        <w:ind w:firstLine="720"/>
        <w:rPr>
          <w:kern w:val="22"/>
          <w:szCs w:val="22"/>
        </w:rPr>
      </w:pPr>
      <w:r w:rsidRPr="004C7DBF">
        <w:rPr>
          <w:kern w:val="22"/>
          <w:szCs w:val="22"/>
        </w:rPr>
        <w:t>(b)</w:t>
      </w:r>
      <w:r w:rsidRPr="004C7DBF">
        <w:rPr>
          <w:kern w:val="22"/>
          <w:szCs w:val="22"/>
        </w:rPr>
        <w:tab/>
      </w:r>
      <w:r w:rsidR="00F267C2" w:rsidRPr="004C7DBF">
        <w:rPr>
          <w:kern w:val="22"/>
          <w:szCs w:val="22"/>
        </w:rPr>
        <w:t>To continue to support the efforts of Parties to establish, sustain, and further develop their national clearing-house mechanisms, including through:</w:t>
      </w:r>
    </w:p>
    <w:p w14:paraId="7424C165" w14:textId="77777777" w:rsidR="00F267C2" w:rsidRPr="004C7DBF" w:rsidRDefault="00F267C2" w:rsidP="004655B7">
      <w:pPr>
        <w:suppressLineNumbers/>
        <w:suppressAutoHyphens/>
        <w:kinsoku w:val="0"/>
        <w:overflowPunct w:val="0"/>
        <w:autoSpaceDE w:val="0"/>
        <w:autoSpaceDN w:val="0"/>
        <w:adjustRightInd w:val="0"/>
        <w:snapToGrid w:val="0"/>
        <w:spacing w:after="120" w:line="228" w:lineRule="auto"/>
        <w:ind w:left="1440" w:hanging="720"/>
        <w:rPr>
          <w:kern w:val="22"/>
          <w:szCs w:val="22"/>
        </w:rPr>
      </w:pPr>
      <w:r w:rsidRPr="004C7DBF">
        <w:rPr>
          <w:kern w:val="22"/>
          <w:szCs w:val="22"/>
        </w:rPr>
        <w:t>(</w:t>
      </w:r>
      <w:proofErr w:type="spellStart"/>
      <w:r w:rsidRPr="004C7DBF">
        <w:rPr>
          <w:kern w:val="22"/>
          <w:szCs w:val="22"/>
        </w:rPr>
        <w:t>i</w:t>
      </w:r>
      <w:proofErr w:type="spellEnd"/>
      <w:r w:rsidRPr="004C7DBF">
        <w:rPr>
          <w:kern w:val="22"/>
          <w:szCs w:val="22"/>
        </w:rPr>
        <w:t>)</w:t>
      </w:r>
      <w:r w:rsidRPr="004C7DBF">
        <w:rPr>
          <w:kern w:val="22"/>
          <w:szCs w:val="22"/>
        </w:rPr>
        <w:tab/>
        <w:t xml:space="preserve">Ongoing development and promotion of the </w:t>
      </w:r>
      <w:proofErr w:type="spellStart"/>
      <w:r w:rsidRPr="004C7DBF">
        <w:rPr>
          <w:kern w:val="22"/>
          <w:szCs w:val="22"/>
        </w:rPr>
        <w:t>Bioland</w:t>
      </w:r>
      <w:proofErr w:type="spellEnd"/>
      <w:r w:rsidRPr="004C7DBF">
        <w:rPr>
          <w:kern w:val="22"/>
          <w:szCs w:val="22"/>
        </w:rPr>
        <w:t xml:space="preserve"> tool;</w:t>
      </w:r>
    </w:p>
    <w:p w14:paraId="0BE6A61B" w14:textId="55223931" w:rsidR="00936F43" w:rsidRPr="004655B7" w:rsidRDefault="00F267C2" w:rsidP="004655B7">
      <w:pPr>
        <w:suppressLineNumbers/>
        <w:suppressAutoHyphens/>
        <w:kinsoku w:val="0"/>
        <w:overflowPunct w:val="0"/>
        <w:autoSpaceDE w:val="0"/>
        <w:autoSpaceDN w:val="0"/>
        <w:adjustRightInd w:val="0"/>
        <w:snapToGrid w:val="0"/>
        <w:spacing w:after="120" w:line="228" w:lineRule="auto"/>
        <w:ind w:left="1440" w:hanging="720"/>
        <w:rPr>
          <w:kern w:val="22"/>
          <w:szCs w:val="22"/>
        </w:rPr>
      </w:pPr>
      <w:r w:rsidRPr="004655B7">
        <w:rPr>
          <w:kern w:val="22"/>
          <w:szCs w:val="22"/>
        </w:rPr>
        <w:t>(ii)</w:t>
      </w:r>
      <w:r w:rsidRPr="004655B7">
        <w:rPr>
          <w:kern w:val="22"/>
          <w:szCs w:val="22"/>
        </w:rPr>
        <w:tab/>
        <w:t>Facilitating and organizing training, in collaboration with Parties and relevant organizations, to assist Parties in developing their national clearing-house mechanisms;</w:t>
      </w:r>
    </w:p>
    <w:p w14:paraId="7AE9D9C1" w14:textId="1CF8F03C" w:rsidR="00C272D6" w:rsidRPr="004C7DBF" w:rsidRDefault="00C272D6" w:rsidP="004655B7">
      <w:pPr>
        <w:spacing w:before="120" w:after="120" w:line="228" w:lineRule="auto"/>
        <w:ind w:firstLine="720"/>
        <w:rPr>
          <w:kern w:val="22"/>
          <w:szCs w:val="22"/>
        </w:rPr>
      </w:pPr>
      <w:r w:rsidRPr="004C7DBF">
        <w:rPr>
          <w:kern w:val="22"/>
          <w:szCs w:val="22"/>
        </w:rPr>
        <w:t>(c)</w:t>
      </w:r>
      <w:r w:rsidRPr="004C7DBF">
        <w:rPr>
          <w:kern w:val="22"/>
          <w:szCs w:val="22"/>
        </w:rPr>
        <w:tab/>
        <w:t>To update and further implement the web strategy for the Convention and its Protocols with priority actions to be taken before 2020 based on decisions emanating from the fourteenth meeting of the Conference of the Parties, the third meeting of the Parties to the Nagoya Protocol on Access and Benefit-sharing and the ninth meeting of the Parties to the Cartagena Protocol on Biosafety;</w:t>
      </w:r>
    </w:p>
    <w:p w14:paraId="75AB19F3" w14:textId="4319A9A5" w:rsidR="00F267C2" w:rsidRPr="004C7DBF" w:rsidRDefault="00F267C2" w:rsidP="004655B7">
      <w:pPr>
        <w:suppressLineNumbers/>
        <w:suppressAutoHyphens/>
        <w:kinsoku w:val="0"/>
        <w:overflowPunct w:val="0"/>
        <w:autoSpaceDE w:val="0"/>
        <w:autoSpaceDN w:val="0"/>
        <w:adjustRightInd w:val="0"/>
        <w:snapToGrid w:val="0"/>
        <w:spacing w:before="120" w:after="120" w:line="228" w:lineRule="auto"/>
        <w:ind w:firstLine="720"/>
        <w:rPr>
          <w:kern w:val="22"/>
          <w:szCs w:val="22"/>
        </w:rPr>
      </w:pPr>
      <w:r w:rsidRPr="004C7DBF">
        <w:rPr>
          <w:kern w:val="22"/>
          <w:szCs w:val="22"/>
        </w:rPr>
        <w:t>(</w:t>
      </w:r>
      <w:r w:rsidR="00C272D6" w:rsidRPr="004C7DBF">
        <w:rPr>
          <w:kern w:val="22"/>
          <w:szCs w:val="22"/>
        </w:rPr>
        <w:t>d</w:t>
      </w:r>
      <w:r w:rsidRPr="004C7DBF">
        <w:rPr>
          <w:kern w:val="22"/>
          <w:szCs w:val="22"/>
        </w:rPr>
        <w:t>)</w:t>
      </w:r>
      <w:r w:rsidRPr="004C7DBF">
        <w:rPr>
          <w:kern w:val="22"/>
          <w:szCs w:val="22"/>
        </w:rPr>
        <w:tab/>
        <w:t xml:space="preserve">To contribute to the development and testing of the Data and Reporting Tool, in collaboration with the </w:t>
      </w:r>
      <w:proofErr w:type="spellStart"/>
      <w:r w:rsidRPr="004C7DBF">
        <w:rPr>
          <w:kern w:val="22"/>
          <w:szCs w:val="22"/>
        </w:rPr>
        <w:t>InforMEA</w:t>
      </w:r>
      <w:proofErr w:type="spellEnd"/>
      <w:r w:rsidRPr="004C7DBF">
        <w:rPr>
          <w:kern w:val="22"/>
          <w:szCs w:val="22"/>
        </w:rPr>
        <w:t xml:space="preserve"> Initiative, with a view to learning from Parties’ experiences in delivering their sixth national reports to the Convention on Biological Diversity, and facilitating its use </w:t>
      </w:r>
      <w:r w:rsidR="00936F43" w:rsidRPr="004C7DBF">
        <w:rPr>
          <w:kern w:val="22"/>
          <w:szCs w:val="22"/>
        </w:rPr>
        <w:t xml:space="preserve">in </w:t>
      </w:r>
      <w:r w:rsidRPr="004C7DBF">
        <w:rPr>
          <w:kern w:val="22"/>
          <w:szCs w:val="22"/>
        </w:rPr>
        <w:t>reporting processes across the biodiversity-related conventions, as appropriate;</w:t>
      </w:r>
    </w:p>
    <w:p w14:paraId="0DA55A14" w14:textId="3101D28C" w:rsidR="0001678F" w:rsidRPr="004C7DBF" w:rsidRDefault="005170DA" w:rsidP="004655B7">
      <w:pPr>
        <w:suppressLineNumbers/>
        <w:suppressAutoHyphens/>
        <w:kinsoku w:val="0"/>
        <w:overflowPunct w:val="0"/>
        <w:autoSpaceDE w:val="0"/>
        <w:autoSpaceDN w:val="0"/>
        <w:adjustRightInd w:val="0"/>
        <w:snapToGrid w:val="0"/>
        <w:spacing w:before="120" w:after="120" w:line="228" w:lineRule="auto"/>
        <w:ind w:firstLine="709"/>
        <w:rPr>
          <w:kern w:val="22"/>
          <w:szCs w:val="22"/>
        </w:rPr>
      </w:pPr>
      <w:r w:rsidRPr="004C7DBF">
        <w:rPr>
          <w:kern w:val="22"/>
          <w:szCs w:val="22"/>
        </w:rPr>
        <w:t>(</w:t>
      </w:r>
      <w:r w:rsidR="00936F43" w:rsidRPr="004C7DBF">
        <w:rPr>
          <w:kern w:val="22"/>
          <w:szCs w:val="22"/>
        </w:rPr>
        <w:t>e</w:t>
      </w:r>
      <w:r w:rsidRPr="004C7DBF">
        <w:rPr>
          <w:kern w:val="22"/>
          <w:szCs w:val="22"/>
        </w:rPr>
        <w:t>)</w:t>
      </w:r>
      <w:r w:rsidRPr="004C7DBF">
        <w:rPr>
          <w:kern w:val="22"/>
          <w:szCs w:val="22"/>
        </w:rPr>
        <w:tab/>
      </w:r>
      <w:r w:rsidR="000E04FC" w:rsidRPr="004C7DBF">
        <w:rPr>
          <w:kern w:val="22"/>
          <w:szCs w:val="22"/>
        </w:rPr>
        <w:t>To identify, publicize and promote communities of practice, knowledge networks and collaborative dialogue platforms relevant to the implementation of the Convention and its Protocols</w:t>
      </w:r>
      <w:r w:rsidR="00C47599" w:rsidRPr="004C7DBF">
        <w:rPr>
          <w:kern w:val="22"/>
          <w:szCs w:val="22"/>
        </w:rPr>
        <w:t>;</w:t>
      </w:r>
    </w:p>
    <w:p w14:paraId="6F075464" w14:textId="282A7762" w:rsidR="00936F43" w:rsidRPr="004C7DBF" w:rsidRDefault="00936F43" w:rsidP="004655B7">
      <w:pPr>
        <w:suppressLineNumbers/>
        <w:suppressAutoHyphens/>
        <w:kinsoku w:val="0"/>
        <w:overflowPunct w:val="0"/>
        <w:autoSpaceDE w:val="0"/>
        <w:autoSpaceDN w:val="0"/>
        <w:adjustRightInd w:val="0"/>
        <w:snapToGrid w:val="0"/>
        <w:spacing w:after="120" w:line="228" w:lineRule="auto"/>
        <w:ind w:firstLine="720"/>
        <w:rPr>
          <w:kern w:val="22"/>
          <w:szCs w:val="22"/>
        </w:rPr>
      </w:pPr>
      <w:r w:rsidRPr="004C7DBF">
        <w:rPr>
          <w:kern w:val="22"/>
          <w:szCs w:val="22"/>
        </w:rPr>
        <w:t>(f)</w:t>
      </w:r>
      <w:r w:rsidRPr="004C7DBF">
        <w:rPr>
          <w:kern w:val="22"/>
          <w:szCs w:val="22"/>
        </w:rPr>
        <w:tab/>
        <w:t xml:space="preserve">To develop, in consultation with the informal advisory committees to the clearing-house mechanism, the Biosafety Clearing-House and the Access and Benefit Sharing Clearing-House, a knowledge management component as a part of the preparatory process for the post-2020 global biodiversity framework to, inter alia, guide future developments of the </w:t>
      </w:r>
      <w:r w:rsidR="00F61883" w:rsidRPr="004C7DBF">
        <w:rPr>
          <w:kern w:val="22"/>
          <w:szCs w:val="22"/>
        </w:rPr>
        <w:t>c</w:t>
      </w:r>
      <w:r w:rsidRPr="004C7DBF">
        <w:rPr>
          <w:kern w:val="22"/>
          <w:szCs w:val="22"/>
        </w:rPr>
        <w:t>learing</w:t>
      </w:r>
      <w:r w:rsidR="00F61883" w:rsidRPr="004C7DBF">
        <w:rPr>
          <w:kern w:val="22"/>
          <w:szCs w:val="22"/>
        </w:rPr>
        <w:t>-h</w:t>
      </w:r>
      <w:r w:rsidRPr="004C7DBF">
        <w:rPr>
          <w:kern w:val="22"/>
          <w:szCs w:val="22"/>
        </w:rPr>
        <w:t xml:space="preserve">ouse </w:t>
      </w:r>
      <w:r w:rsidR="00F61883" w:rsidRPr="004C7DBF">
        <w:rPr>
          <w:kern w:val="22"/>
          <w:szCs w:val="22"/>
        </w:rPr>
        <w:t>m</w:t>
      </w:r>
      <w:r w:rsidRPr="004C7DBF">
        <w:rPr>
          <w:kern w:val="22"/>
          <w:szCs w:val="22"/>
        </w:rPr>
        <w:t>echanism, the Access and Benefit-Sharing Clearing</w:t>
      </w:r>
      <w:r w:rsidR="00F61883" w:rsidRPr="004C7DBF">
        <w:rPr>
          <w:kern w:val="22"/>
          <w:szCs w:val="22"/>
        </w:rPr>
        <w:t>-</w:t>
      </w:r>
      <w:r w:rsidRPr="004C7DBF">
        <w:rPr>
          <w:kern w:val="22"/>
          <w:szCs w:val="22"/>
        </w:rPr>
        <w:t>House and the Biosafety Clearing</w:t>
      </w:r>
      <w:r w:rsidR="00F61883" w:rsidRPr="004C7DBF">
        <w:rPr>
          <w:kern w:val="22"/>
          <w:szCs w:val="22"/>
        </w:rPr>
        <w:t>-</w:t>
      </w:r>
      <w:r w:rsidRPr="004C7DBF">
        <w:rPr>
          <w:kern w:val="22"/>
          <w:szCs w:val="22"/>
        </w:rPr>
        <w:t>House;</w:t>
      </w:r>
    </w:p>
    <w:p w14:paraId="52F549DA" w14:textId="3912B866" w:rsidR="00936F43" w:rsidRPr="004C7DBF" w:rsidRDefault="00936F43" w:rsidP="004655B7">
      <w:pPr>
        <w:spacing w:before="120" w:after="120" w:line="228" w:lineRule="auto"/>
        <w:ind w:firstLine="720"/>
        <w:rPr>
          <w:kern w:val="22"/>
          <w:szCs w:val="22"/>
        </w:rPr>
      </w:pPr>
      <w:r w:rsidRPr="004C7DBF">
        <w:rPr>
          <w:kern w:val="22"/>
          <w:szCs w:val="22"/>
        </w:rPr>
        <w:t>(g)</w:t>
      </w:r>
      <w:r w:rsidR="00F61883" w:rsidRPr="004C7DBF">
        <w:rPr>
          <w:kern w:val="22"/>
          <w:szCs w:val="22"/>
        </w:rPr>
        <w:tab/>
      </w:r>
      <w:r w:rsidRPr="004C7DBF">
        <w:rPr>
          <w:kern w:val="22"/>
          <w:szCs w:val="22"/>
        </w:rPr>
        <w:t xml:space="preserve">To use the experience gained from relevant knowledge management initiatives, such as </w:t>
      </w:r>
      <w:proofErr w:type="spellStart"/>
      <w:r w:rsidRPr="004C7DBF">
        <w:rPr>
          <w:kern w:val="22"/>
          <w:szCs w:val="22"/>
        </w:rPr>
        <w:t>InforMEA</w:t>
      </w:r>
      <w:proofErr w:type="spellEnd"/>
      <w:r w:rsidRPr="004C7DBF">
        <w:rPr>
          <w:kern w:val="22"/>
          <w:szCs w:val="22"/>
        </w:rPr>
        <w:t xml:space="preserve">, </w:t>
      </w:r>
      <w:r w:rsidR="005567DE" w:rsidRPr="004C7DBF">
        <w:rPr>
          <w:kern w:val="22"/>
          <w:szCs w:val="22"/>
        </w:rPr>
        <w:t xml:space="preserve">the </w:t>
      </w:r>
      <w:r w:rsidRPr="004C7DBF">
        <w:rPr>
          <w:kern w:val="22"/>
          <w:szCs w:val="22"/>
        </w:rPr>
        <w:t xml:space="preserve">Data and Reporting Tool, </w:t>
      </w:r>
      <w:r w:rsidR="005567DE" w:rsidRPr="004C7DBF">
        <w:rPr>
          <w:kern w:val="22"/>
          <w:szCs w:val="22"/>
        </w:rPr>
        <w:t xml:space="preserve">the </w:t>
      </w:r>
      <w:r w:rsidRPr="004C7DBF">
        <w:rPr>
          <w:kern w:val="22"/>
          <w:szCs w:val="22"/>
        </w:rPr>
        <w:t xml:space="preserve">Global Biodiversity Information Facility, </w:t>
      </w:r>
      <w:r w:rsidR="005567DE" w:rsidRPr="004C7DBF">
        <w:rPr>
          <w:kern w:val="22"/>
          <w:szCs w:val="22"/>
        </w:rPr>
        <w:t xml:space="preserve">the </w:t>
      </w:r>
      <w:r w:rsidRPr="004C7DBF">
        <w:rPr>
          <w:kern w:val="22"/>
          <w:szCs w:val="22"/>
        </w:rPr>
        <w:t>Digital Observatory for Protected Areas and the Knowledge Hub of the United Nations Convention to Combat Desertification</w:t>
      </w:r>
      <w:r w:rsidR="005567DE" w:rsidRPr="004C7DBF">
        <w:rPr>
          <w:kern w:val="22"/>
          <w:szCs w:val="22"/>
        </w:rPr>
        <w:t>,</w:t>
      </w:r>
      <w:r w:rsidRPr="004C7DBF">
        <w:rPr>
          <w:kern w:val="22"/>
          <w:szCs w:val="22"/>
        </w:rPr>
        <w:t xml:space="preserve"> to inform the elaboration of the knowledge management component referred to above;</w:t>
      </w:r>
    </w:p>
    <w:p w14:paraId="631FEC36" w14:textId="6D409450" w:rsidR="00D925EE" w:rsidRPr="004C7DBF" w:rsidRDefault="00D925EE" w:rsidP="004655B7">
      <w:pPr>
        <w:spacing w:before="120" w:after="120" w:line="228" w:lineRule="auto"/>
        <w:ind w:firstLine="720"/>
        <w:rPr>
          <w:kern w:val="22"/>
          <w:szCs w:val="22"/>
        </w:rPr>
      </w:pPr>
      <w:r w:rsidRPr="004C7DBF">
        <w:rPr>
          <w:kern w:val="22"/>
          <w:szCs w:val="22"/>
        </w:rPr>
        <w:t>(</w:t>
      </w:r>
      <w:r w:rsidR="00AA19EB" w:rsidRPr="004C7DBF">
        <w:rPr>
          <w:kern w:val="22"/>
          <w:szCs w:val="22"/>
        </w:rPr>
        <w:t>h</w:t>
      </w:r>
      <w:r w:rsidRPr="004C7DBF">
        <w:rPr>
          <w:kern w:val="22"/>
          <w:szCs w:val="22"/>
        </w:rPr>
        <w:t>)</w:t>
      </w:r>
      <w:r w:rsidRPr="004C7DBF">
        <w:rPr>
          <w:kern w:val="22"/>
          <w:szCs w:val="22"/>
        </w:rPr>
        <w:tab/>
        <w:t>To systematically capture the lessons learn</w:t>
      </w:r>
      <w:r w:rsidR="00D332B7" w:rsidRPr="004C7DBF">
        <w:rPr>
          <w:kern w:val="22"/>
          <w:szCs w:val="22"/>
        </w:rPr>
        <w:t>ed</w:t>
      </w:r>
      <w:r w:rsidRPr="004C7DBF">
        <w:rPr>
          <w:kern w:val="22"/>
          <w:szCs w:val="22"/>
        </w:rPr>
        <w:t xml:space="preserve"> and best practices from the information provided by Parties, other Governments, international and other organi</w:t>
      </w:r>
      <w:r w:rsidR="00D332B7" w:rsidRPr="004C7DBF">
        <w:rPr>
          <w:kern w:val="22"/>
          <w:szCs w:val="22"/>
        </w:rPr>
        <w:t>z</w:t>
      </w:r>
      <w:r w:rsidRPr="004C7DBF">
        <w:rPr>
          <w:kern w:val="22"/>
          <w:szCs w:val="22"/>
        </w:rPr>
        <w:t xml:space="preserve">ations, </w:t>
      </w:r>
      <w:r w:rsidR="00D332B7" w:rsidRPr="004C7DBF">
        <w:rPr>
          <w:kern w:val="22"/>
          <w:szCs w:val="22"/>
        </w:rPr>
        <w:t xml:space="preserve">and </w:t>
      </w:r>
      <w:r w:rsidRPr="004C7DBF">
        <w:rPr>
          <w:kern w:val="22"/>
          <w:szCs w:val="22"/>
        </w:rPr>
        <w:t xml:space="preserve">indigenous peoples and local communities </w:t>
      </w:r>
      <w:r w:rsidR="00C06C2D" w:rsidRPr="004C7DBF">
        <w:rPr>
          <w:kern w:val="22"/>
          <w:szCs w:val="22"/>
        </w:rPr>
        <w:t xml:space="preserve">using </w:t>
      </w:r>
      <w:r w:rsidRPr="004C7DBF">
        <w:rPr>
          <w:kern w:val="22"/>
          <w:szCs w:val="22"/>
        </w:rPr>
        <w:t>a standardi</w:t>
      </w:r>
      <w:r w:rsidR="00D332B7" w:rsidRPr="004C7DBF">
        <w:rPr>
          <w:kern w:val="22"/>
          <w:szCs w:val="22"/>
        </w:rPr>
        <w:t>z</w:t>
      </w:r>
      <w:r w:rsidRPr="004C7DBF">
        <w:rPr>
          <w:kern w:val="22"/>
          <w:szCs w:val="22"/>
        </w:rPr>
        <w:t xml:space="preserve">ed format </w:t>
      </w:r>
      <w:r w:rsidR="00C06C2D" w:rsidRPr="004C7DBF">
        <w:rPr>
          <w:kern w:val="22"/>
          <w:szCs w:val="22"/>
        </w:rPr>
        <w:t xml:space="preserve">as </w:t>
      </w:r>
      <w:r w:rsidR="00B96604" w:rsidRPr="004C7DBF">
        <w:rPr>
          <w:kern w:val="22"/>
          <w:szCs w:val="22"/>
        </w:rPr>
        <w:t xml:space="preserve">a </w:t>
      </w:r>
      <w:r w:rsidR="00C06C2D" w:rsidRPr="004C7DBF">
        <w:rPr>
          <w:kern w:val="22"/>
          <w:szCs w:val="22"/>
        </w:rPr>
        <w:t>part of</w:t>
      </w:r>
      <w:r w:rsidR="00D867D9" w:rsidRPr="004C7DBF">
        <w:rPr>
          <w:kern w:val="22"/>
          <w:szCs w:val="22"/>
        </w:rPr>
        <w:t xml:space="preserve"> the</w:t>
      </w:r>
      <w:r w:rsidRPr="004C7DBF">
        <w:rPr>
          <w:kern w:val="22"/>
          <w:szCs w:val="22"/>
        </w:rPr>
        <w:t xml:space="preserve"> knowledge management component</w:t>
      </w:r>
      <w:r w:rsidR="00FC22AB" w:rsidRPr="004C7DBF">
        <w:rPr>
          <w:kern w:val="22"/>
          <w:szCs w:val="22"/>
        </w:rPr>
        <w:t xml:space="preserve"> referred to above</w:t>
      </w:r>
      <w:r w:rsidRPr="004C7DBF">
        <w:rPr>
          <w:kern w:val="22"/>
          <w:szCs w:val="22"/>
        </w:rPr>
        <w:t>;</w:t>
      </w:r>
    </w:p>
    <w:p w14:paraId="21A9128F" w14:textId="11CA30DD" w:rsidR="00C272D6" w:rsidRPr="004655B7" w:rsidRDefault="00C272D6" w:rsidP="004655B7">
      <w:pPr>
        <w:suppressLineNumbers/>
        <w:suppressAutoHyphens/>
        <w:kinsoku w:val="0"/>
        <w:overflowPunct w:val="0"/>
        <w:autoSpaceDE w:val="0"/>
        <w:autoSpaceDN w:val="0"/>
        <w:adjustRightInd w:val="0"/>
        <w:snapToGrid w:val="0"/>
        <w:spacing w:before="120" w:after="120" w:line="228" w:lineRule="auto"/>
        <w:ind w:firstLine="720"/>
        <w:rPr>
          <w:spacing w:val="-3"/>
          <w:kern w:val="22"/>
          <w:szCs w:val="22"/>
        </w:rPr>
      </w:pPr>
      <w:r w:rsidRPr="004655B7">
        <w:rPr>
          <w:spacing w:val="-3"/>
          <w:kern w:val="22"/>
          <w:szCs w:val="22"/>
        </w:rPr>
        <w:t>(</w:t>
      </w:r>
      <w:proofErr w:type="spellStart"/>
      <w:r w:rsidR="00AA19EB" w:rsidRPr="004655B7">
        <w:rPr>
          <w:spacing w:val="-3"/>
          <w:kern w:val="22"/>
          <w:szCs w:val="22"/>
        </w:rPr>
        <w:t>i</w:t>
      </w:r>
      <w:proofErr w:type="spellEnd"/>
      <w:r w:rsidRPr="004655B7">
        <w:rPr>
          <w:spacing w:val="-3"/>
          <w:kern w:val="22"/>
          <w:szCs w:val="22"/>
        </w:rPr>
        <w:t>)</w:t>
      </w:r>
      <w:r w:rsidRPr="004655B7">
        <w:rPr>
          <w:spacing w:val="-3"/>
          <w:kern w:val="22"/>
          <w:szCs w:val="22"/>
        </w:rPr>
        <w:tab/>
        <w:t xml:space="preserve">To submit a progress report on the above activities, including progress on the use of the </w:t>
      </w:r>
      <w:proofErr w:type="spellStart"/>
      <w:r w:rsidRPr="004655B7">
        <w:rPr>
          <w:spacing w:val="-3"/>
          <w:kern w:val="22"/>
          <w:szCs w:val="22"/>
        </w:rPr>
        <w:t>Bioland</w:t>
      </w:r>
      <w:proofErr w:type="spellEnd"/>
      <w:r w:rsidRPr="004655B7">
        <w:rPr>
          <w:spacing w:val="-3"/>
          <w:kern w:val="22"/>
          <w:szCs w:val="22"/>
        </w:rPr>
        <w:t xml:space="preserve"> tool and its effectiveness, to the Subsidiary Body on Implementation for consideration at its third meeting</w:t>
      </w:r>
      <w:r w:rsidR="00C47599" w:rsidRPr="004655B7">
        <w:rPr>
          <w:spacing w:val="-3"/>
          <w:kern w:val="22"/>
          <w:szCs w:val="22"/>
        </w:rPr>
        <w:t>.</w:t>
      </w:r>
    </w:p>
    <w:p w14:paraId="5DB5C984" w14:textId="77777777" w:rsidR="0001678F" w:rsidRPr="004C7DBF" w:rsidRDefault="0001678F" w:rsidP="004655B7">
      <w:pPr>
        <w:keepNext/>
        <w:suppressLineNumbers/>
        <w:suppressAutoHyphens/>
        <w:spacing w:before="120" w:after="120" w:line="228" w:lineRule="auto"/>
        <w:jc w:val="center"/>
        <w:rPr>
          <w:i/>
          <w:kern w:val="22"/>
          <w:szCs w:val="22"/>
        </w:rPr>
      </w:pPr>
      <w:r w:rsidRPr="004C7DBF">
        <w:rPr>
          <w:i/>
          <w:kern w:val="22"/>
          <w:szCs w:val="22"/>
        </w:rPr>
        <w:t>Annex</w:t>
      </w:r>
    </w:p>
    <w:p w14:paraId="2200BC60" w14:textId="77777777" w:rsidR="0001678F" w:rsidRPr="004C7DBF" w:rsidRDefault="0001678F" w:rsidP="004655B7">
      <w:pPr>
        <w:keepNext/>
        <w:suppressLineNumbers/>
        <w:suppressAutoHyphens/>
        <w:spacing w:before="120" w:after="120" w:line="228" w:lineRule="auto"/>
        <w:jc w:val="center"/>
        <w:rPr>
          <w:b/>
          <w:bCs/>
          <w:caps/>
          <w:kern w:val="22"/>
          <w:szCs w:val="22"/>
        </w:rPr>
      </w:pPr>
      <w:r w:rsidRPr="004C7DBF">
        <w:rPr>
          <w:b/>
          <w:bCs/>
          <w:caps/>
          <w:kern w:val="22"/>
          <w:szCs w:val="22"/>
        </w:rPr>
        <w:t>Joint modalities of operation for the central clearing-house mechanism, the Biosafety Clearing-House and the Access and Benefit</w:t>
      </w:r>
      <w:r w:rsidRPr="004C7DBF">
        <w:rPr>
          <w:b/>
          <w:bCs/>
          <w:caps/>
          <w:kern w:val="22"/>
          <w:szCs w:val="22"/>
        </w:rPr>
        <w:noBreakHyphen/>
        <w:t>sharing Clearing-House</w:t>
      </w:r>
    </w:p>
    <w:p w14:paraId="1147662D" w14:textId="77777777" w:rsidR="0001678F" w:rsidRPr="004C7DBF" w:rsidRDefault="0001678F" w:rsidP="004655B7">
      <w:pPr>
        <w:keepNext/>
        <w:suppressLineNumbers/>
        <w:tabs>
          <w:tab w:val="left" w:pos="360"/>
        </w:tabs>
        <w:suppressAutoHyphens/>
        <w:spacing w:before="120" w:after="120" w:line="228" w:lineRule="auto"/>
        <w:jc w:val="center"/>
        <w:rPr>
          <w:b/>
          <w:kern w:val="22"/>
          <w:szCs w:val="22"/>
        </w:rPr>
      </w:pPr>
      <w:r w:rsidRPr="004C7DBF">
        <w:rPr>
          <w:b/>
          <w:kern w:val="22"/>
          <w:szCs w:val="22"/>
        </w:rPr>
        <w:t>A.</w:t>
      </w:r>
      <w:r w:rsidRPr="004C7DBF">
        <w:rPr>
          <w:b/>
          <w:kern w:val="22"/>
          <w:szCs w:val="22"/>
        </w:rPr>
        <w:tab/>
        <w:t>Development and administration by the Secretariat</w:t>
      </w:r>
    </w:p>
    <w:p w14:paraId="7B2781C5" w14:textId="77777777" w:rsidR="0001678F" w:rsidRPr="004C7DBF" w:rsidRDefault="0001678F" w:rsidP="004655B7">
      <w:pPr>
        <w:pStyle w:val="Para1"/>
        <w:numPr>
          <w:ilvl w:val="0"/>
          <w:numId w:val="0"/>
        </w:numPr>
        <w:suppressLineNumbers/>
        <w:tabs>
          <w:tab w:val="left" w:pos="720"/>
        </w:tabs>
        <w:suppressAutoHyphens/>
        <w:spacing w:line="228" w:lineRule="auto"/>
        <w:rPr>
          <w:kern w:val="22"/>
          <w:szCs w:val="22"/>
        </w:rPr>
      </w:pPr>
      <w:r w:rsidRPr="004C7DBF">
        <w:rPr>
          <w:color w:val="000000"/>
          <w:kern w:val="22"/>
          <w:szCs w:val="22"/>
        </w:rPr>
        <w:t>1.</w:t>
      </w:r>
      <w:r w:rsidRPr="004C7DBF">
        <w:rPr>
          <w:color w:val="000000"/>
          <w:kern w:val="22"/>
          <w:szCs w:val="22"/>
        </w:rPr>
        <w:tab/>
      </w:r>
      <w:r w:rsidRPr="004C7DBF">
        <w:rPr>
          <w:kern w:val="22"/>
          <w:szCs w:val="22"/>
        </w:rPr>
        <w:t>The Secretariat shall continue to develop and administer the central clearing-house mechanism, the Biosafety Clearing-House, and the Access and Benefit-sharing</w:t>
      </w:r>
      <w:r w:rsidRPr="004C7DBF" w:rsidDel="00334AA5">
        <w:rPr>
          <w:kern w:val="22"/>
          <w:szCs w:val="22"/>
        </w:rPr>
        <w:t xml:space="preserve"> </w:t>
      </w:r>
      <w:r w:rsidRPr="004C7DBF">
        <w:rPr>
          <w:kern w:val="22"/>
          <w:szCs w:val="22"/>
        </w:rPr>
        <w:t xml:space="preserve">Clearing-House (hereinafter “clearing-houses”) in accordance with the relevant mandates and decisions under the Convention and its Protocols, ensuring </w:t>
      </w:r>
      <w:r w:rsidRPr="004C7DBF">
        <w:rPr>
          <w:rFonts w:eastAsia="MS Mincho"/>
          <w:bCs/>
          <w:kern w:val="22"/>
          <w:szCs w:val="22"/>
        </w:rPr>
        <w:t xml:space="preserve">to the extent possible, that common approaches are taken in the development and administration of the clearing-houses, while preserving the specific functionalities unique to each clearing-house, </w:t>
      </w:r>
      <w:r w:rsidRPr="004C7DBF">
        <w:rPr>
          <w:kern w:val="22"/>
          <w:szCs w:val="22"/>
        </w:rPr>
        <w:t>and on the basis of the guiding principles and core specifications described herein.</w:t>
      </w:r>
    </w:p>
    <w:p w14:paraId="35AA4FF6" w14:textId="77777777" w:rsidR="0001678F" w:rsidRPr="004C7DBF" w:rsidRDefault="0001678F" w:rsidP="004655B7">
      <w:pPr>
        <w:pStyle w:val="Para1"/>
        <w:keepNext/>
        <w:numPr>
          <w:ilvl w:val="0"/>
          <w:numId w:val="0"/>
        </w:numPr>
        <w:suppressLineNumbers/>
        <w:tabs>
          <w:tab w:val="left" w:pos="720"/>
        </w:tabs>
        <w:suppressAutoHyphens/>
        <w:spacing w:line="228" w:lineRule="auto"/>
        <w:rPr>
          <w:kern w:val="22"/>
          <w:szCs w:val="22"/>
        </w:rPr>
      </w:pPr>
      <w:r w:rsidRPr="004C7DBF">
        <w:rPr>
          <w:color w:val="000000"/>
          <w:kern w:val="22"/>
          <w:szCs w:val="22"/>
        </w:rPr>
        <w:t>2.</w:t>
      </w:r>
      <w:r w:rsidRPr="004C7DBF">
        <w:rPr>
          <w:color w:val="000000"/>
          <w:kern w:val="22"/>
          <w:szCs w:val="22"/>
        </w:rPr>
        <w:tab/>
      </w:r>
      <w:r w:rsidRPr="004C7DBF">
        <w:rPr>
          <w:kern w:val="22"/>
          <w:szCs w:val="22"/>
        </w:rPr>
        <w:t>The clearing-houses shall be developed and administered in a manner consistent with the following characteristics:</w:t>
      </w:r>
    </w:p>
    <w:p w14:paraId="61CA71B3" w14:textId="77777777" w:rsidR="0001678F" w:rsidRPr="004C7DBF" w:rsidRDefault="0001678F" w:rsidP="004655B7">
      <w:pPr>
        <w:suppressLineNumbers/>
        <w:tabs>
          <w:tab w:val="left" w:pos="1152"/>
        </w:tabs>
        <w:suppressAutoHyphens/>
        <w:spacing w:before="120" w:after="120" w:line="228" w:lineRule="auto"/>
        <w:ind w:firstLine="720"/>
        <w:rPr>
          <w:rFonts w:eastAsia="MS Mincho"/>
          <w:bCs/>
          <w:kern w:val="22"/>
          <w:szCs w:val="22"/>
        </w:rPr>
      </w:pPr>
      <w:r w:rsidRPr="004C7DBF">
        <w:rPr>
          <w:rFonts w:eastAsia="MS Mincho"/>
          <w:bCs/>
          <w:kern w:val="22"/>
          <w:szCs w:val="22"/>
        </w:rPr>
        <w:t>(a)</w:t>
      </w:r>
      <w:r w:rsidRPr="004C7DBF">
        <w:rPr>
          <w:rFonts w:eastAsia="MS Mincho"/>
          <w:bCs/>
          <w:kern w:val="22"/>
          <w:szCs w:val="22"/>
        </w:rPr>
        <w:tab/>
        <w:t>Guided by the principles of inclusiveness, transparency, open access, and open to all Governments, indigenous peoples and local communities and relevant stakeholders;</w:t>
      </w:r>
    </w:p>
    <w:p w14:paraId="2E78B7FF" w14:textId="77777777" w:rsidR="0001678F" w:rsidRPr="004C7DBF" w:rsidRDefault="0001678F" w:rsidP="004655B7">
      <w:pPr>
        <w:suppressLineNumbers/>
        <w:tabs>
          <w:tab w:val="left" w:pos="1152"/>
        </w:tabs>
        <w:suppressAutoHyphens/>
        <w:spacing w:before="120" w:after="120" w:line="228" w:lineRule="auto"/>
        <w:ind w:firstLine="720"/>
        <w:rPr>
          <w:rFonts w:eastAsia="MS Mincho"/>
          <w:bCs/>
          <w:kern w:val="22"/>
          <w:szCs w:val="22"/>
        </w:rPr>
      </w:pPr>
      <w:r w:rsidRPr="004C7DBF">
        <w:rPr>
          <w:rFonts w:eastAsia="MS Mincho"/>
          <w:bCs/>
          <w:kern w:val="22"/>
          <w:szCs w:val="22"/>
        </w:rPr>
        <w:t>(b)</w:t>
      </w:r>
      <w:r w:rsidRPr="004C7DBF">
        <w:rPr>
          <w:rFonts w:eastAsia="MS Mincho"/>
          <w:bCs/>
          <w:kern w:val="22"/>
          <w:szCs w:val="22"/>
        </w:rPr>
        <w:tab/>
        <w:t xml:space="preserve">Developed </w:t>
      </w:r>
      <w:proofErr w:type="gramStart"/>
      <w:r w:rsidRPr="004C7DBF">
        <w:rPr>
          <w:rFonts w:eastAsia="MS Mincho"/>
          <w:bCs/>
          <w:kern w:val="22"/>
          <w:szCs w:val="22"/>
        </w:rPr>
        <w:t>on the basis of</w:t>
      </w:r>
      <w:proofErr w:type="gramEnd"/>
      <w:r w:rsidRPr="004C7DBF">
        <w:rPr>
          <w:rFonts w:eastAsia="MS Mincho"/>
          <w:bCs/>
          <w:kern w:val="22"/>
          <w:szCs w:val="22"/>
        </w:rPr>
        <w:t xml:space="preserve"> clear and identified demand, experience gained, and available resources, avoiding duplication of systems;</w:t>
      </w:r>
    </w:p>
    <w:p w14:paraId="68376E8D" w14:textId="77777777" w:rsidR="0001678F" w:rsidRPr="004C7DBF" w:rsidRDefault="0001678F" w:rsidP="004655B7">
      <w:pPr>
        <w:suppressLineNumbers/>
        <w:tabs>
          <w:tab w:val="left" w:pos="1152"/>
        </w:tabs>
        <w:suppressAutoHyphens/>
        <w:spacing w:before="120" w:after="120" w:line="228" w:lineRule="auto"/>
        <w:ind w:firstLine="720"/>
        <w:rPr>
          <w:rFonts w:eastAsia="MS Mincho"/>
          <w:bCs/>
          <w:kern w:val="22"/>
          <w:szCs w:val="22"/>
        </w:rPr>
      </w:pPr>
      <w:r w:rsidRPr="004C7DBF">
        <w:rPr>
          <w:rFonts w:eastAsia="MS Mincho"/>
          <w:bCs/>
          <w:kern w:val="22"/>
          <w:szCs w:val="22"/>
        </w:rPr>
        <w:t>(c)</w:t>
      </w:r>
      <w:r w:rsidRPr="004C7DBF">
        <w:rPr>
          <w:rFonts w:eastAsia="MS Mincho"/>
          <w:bCs/>
          <w:kern w:val="22"/>
          <w:szCs w:val="22"/>
        </w:rPr>
        <w:tab/>
        <w:t>Ensuring that the user experience is predictable and coherent across the clearing-houses;</w:t>
      </w:r>
    </w:p>
    <w:p w14:paraId="31990AEA" w14:textId="77777777" w:rsidR="0001678F" w:rsidRPr="004C7DBF" w:rsidRDefault="0001678F" w:rsidP="004655B7">
      <w:pPr>
        <w:suppressLineNumbers/>
        <w:tabs>
          <w:tab w:val="left" w:pos="1152"/>
        </w:tabs>
        <w:suppressAutoHyphens/>
        <w:spacing w:before="120" w:after="120" w:line="228" w:lineRule="auto"/>
        <w:ind w:firstLine="720"/>
        <w:rPr>
          <w:rFonts w:eastAsia="MS Mincho"/>
          <w:bCs/>
          <w:kern w:val="22"/>
          <w:szCs w:val="22"/>
        </w:rPr>
      </w:pPr>
      <w:r w:rsidRPr="004C7DBF">
        <w:rPr>
          <w:rFonts w:eastAsia="MS Mincho"/>
          <w:bCs/>
          <w:kern w:val="22"/>
          <w:szCs w:val="22"/>
        </w:rPr>
        <w:t>(d)</w:t>
      </w:r>
      <w:r w:rsidRPr="004C7DBF">
        <w:rPr>
          <w:rFonts w:eastAsia="MS Mincho"/>
          <w:bCs/>
          <w:kern w:val="22"/>
          <w:szCs w:val="22"/>
        </w:rPr>
        <w:tab/>
        <w:t>Ensuring that the visual design and functionality is intuitive, user-friendly and consistent across the clearing-houses;</w:t>
      </w:r>
    </w:p>
    <w:p w14:paraId="574477DE" w14:textId="77777777" w:rsidR="0001678F" w:rsidRPr="004C7DBF" w:rsidRDefault="0001678F" w:rsidP="004655B7">
      <w:pPr>
        <w:suppressLineNumbers/>
        <w:tabs>
          <w:tab w:val="left" w:pos="1152"/>
        </w:tabs>
        <w:suppressAutoHyphens/>
        <w:spacing w:before="120" w:after="120" w:line="228" w:lineRule="auto"/>
        <w:ind w:firstLine="720"/>
        <w:rPr>
          <w:rFonts w:eastAsia="MS Mincho"/>
          <w:bCs/>
          <w:kern w:val="22"/>
          <w:szCs w:val="22"/>
        </w:rPr>
      </w:pPr>
      <w:r w:rsidRPr="004C7DBF">
        <w:rPr>
          <w:rFonts w:eastAsia="MS Mincho"/>
          <w:bCs/>
          <w:kern w:val="22"/>
          <w:szCs w:val="22"/>
        </w:rPr>
        <w:t>(e)</w:t>
      </w:r>
      <w:r w:rsidRPr="004C7DBF">
        <w:rPr>
          <w:rFonts w:eastAsia="MS Mincho"/>
          <w:bCs/>
          <w:kern w:val="22"/>
          <w:szCs w:val="22"/>
        </w:rPr>
        <w:tab/>
        <w:t>Ensuring, to the extent possible, the timely provision of on-demand technical assistance for using the clearing-houses.</w:t>
      </w:r>
    </w:p>
    <w:p w14:paraId="78B756B6" w14:textId="77777777" w:rsidR="0001678F" w:rsidRPr="004C7DBF" w:rsidRDefault="0001678F" w:rsidP="004655B7">
      <w:pPr>
        <w:pStyle w:val="Para1"/>
        <w:keepNext/>
        <w:numPr>
          <w:ilvl w:val="0"/>
          <w:numId w:val="0"/>
        </w:numPr>
        <w:suppressLineNumbers/>
        <w:tabs>
          <w:tab w:val="left" w:pos="720"/>
        </w:tabs>
        <w:suppressAutoHyphens/>
        <w:spacing w:line="228" w:lineRule="auto"/>
        <w:rPr>
          <w:kern w:val="22"/>
          <w:szCs w:val="22"/>
        </w:rPr>
      </w:pPr>
      <w:r w:rsidRPr="004C7DBF">
        <w:rPr>
          <w:color w:val="000000"/>
          <w:kern w:val="22"/>
          <w:szCs w:val="22"/>
        </w:rPr>
        <w:t>3.</w:t>
      </w:r>
      <w:r w:rsidRPr="004C7DBF">
        <w:rPr>
          <w:color w:val="000000"/>
          <w:kern w:val="22"/>
          <w:szCs w:val="22"/>
        </w:rPr>
        <w:tab/>
      </w:r>
      <w:r w:rsidRPr="004C7DBF">
        <w:rPr>
          <w:kern w:val="22"/>
          <w:szCs w:val="22"/>
        </w:rPr>
        <w:t>The clearing-houses shall meet the following core specifications:</w:t>
      </w:r>
    </w:p>
    <w:p w14:paraId="2C8686DE" w14:textId="77777777" w:rsidR="0001678F" w:rsidRPr="004C7DBF" w:rsidRDefault="0001678F" w:rsidP="004655B7">
      <w:pPr>
        <w:suppressLineNumbers/>
        <w:tabs>
          <w:tab w:val="left" w:pos="1152"/>
        </w:tabs>
        <w:suppressAutoHyphens/>
        <w:spacing w:before="120" w:after="120" w:line="228" w:lineRule="auto"/>
        <w:ind w:firstLine="720"/>
        <w:rPr>
          <w:rFonts w:eastAsia="MS Mincho"/>
          <w:bCs/>
          <w:kern w:val="22"/>
          <w:szCs w:val="22"/>
        </w:rPr>
      </w:pPr>
      <w:r w:rsidRPr="004C7DBF">
        <w:rPr>
          <w:rFonts w:eastAsia="MS Mincho"/>
          <w:bCs/>
          <w:kern w:val="22"/>
          <w:szCs w:val="22"/>
        </w:rPr>
        <w:t>(a)</w:t>
      </w:r>
      <w:r w:rsidRPr="004C7DBF">
        <w:rPr>
          <w:rFonts w:eastAsia="MS Mincho"/>
          <w:bCs/>
          <w:kern w:val="22"/>
          <w:szCs w:val="22"/>
        </w:rPr>
        <w:tab/>
        <w:t>Access and navigation through a publicly available web portal operational in the six official languages of the United Nations;</w:t>
      </w:r>
    </w:p>
    <w:p w14:paraId="3FF0CB24" w14:textId="77777777" w:rsidR="0001678F" w:rsidRPr="004C7DBF" w:rsidRDefault="0001678F" w:rsidP="004655B7">
      <w:pPr>
        <w:suppressLineNumbers/>
        <w:tabs>
          <w:tab w:val="left" w:pos="1152"/>
        </w:tabs>
        <w:suppressAutoHyphens/>
        <w:spacing w:before="120" w:after="120" w:line="228" w:lineRule="auto"/>
        <w:ind w:firstLine="720"/>
        <w:rPr>
          <w:rFonts w:eastAsia="MS Mincho"/>
          <w:bCs/>
          <w:kern w:val="22"/>
          <w:szCs w:val="22"/>
        </w:rPr>
      </w:pPr>
      <w:r w:rsidRPr="004C7DBF">
        <w:rPr>
          <w:rFonts w:eastAsia="MS Mincho"/>
          <w:bCs/>
          <w:kern w:val="22"/>
          <w:szCs w:val="22"/>
        </w:rPr>
        <w:t>(b)</w:t>
      </w:r>
      <w:r w:rsidRPr="004C7DBF">
        <w:rPr>
          <w:rFonts w:eastAsia="MS Mincho"/>
          <w:bCs/>
          <w:kern w:val="22"/>
          <w:szCs w:val="22"/>
        </w:rPr>
        <w:tab/>
        <w:t>A secure central database acting as the repository of available information;</w:t>
      </w:r>
    </w:p>
    <w:p w14:paraId="13ADEB6A" w14:textId="77777777" w:rsidR="0001678F" w:rsidRPr="004C7DBF" w:rsidRDefault="0001678F" w:rsidP="004655B7">
      <w:pPr>
        <w:suppressLineNumbers/>
        <w:tabs>
          <w:tab w:val="left" w:pos="1152"/>
        </w:tabs>
        <w:suppressAutoHyphens/>
        <w:spacing w:before="120" w:after="120" w:line="228" w:lineRule="auto"/>
        <w:ind w:firstLine="720"/>
        <w:rPr>
          <w:rFonts w:eastAsia="MS Mincho"/>
          <w:bCs/>
          <w:kern w:val="22"/>
          <w:szCs w:val="22"/>
        </w:rPr>
      </w:pPr>
      <w:r w:rsidRPr="004C7DBF">
        <w:rPr>
          <w:rFonts w:eastAsia="MS Mincho"/>
          <w:bCs/>
          <w:kern w:val="22"/>
          <w:szCs w:val="22"/>
        </w:rPr>
        <w:t>(c)</w:t>
      </w:r>
      <w:r w:rsidRPr="004C7DBF">
        <w:rPr>
          <w:rFonts w:eastAsia="MS Mincho"/>
          <w:bCs/>
          <w:kern w:val="22"/>
          <w:szCs w:val="22"/>
        </w:rPr>
        <w:tab/>
        <w:t>A secure submission mechanism, through a single sign-on, allowing users to publish information in a structured manner through common formats and metadata and a controlled vocabulary, while distinguishing between mandatory and optional information;</w:t>
      </w:r>
    </w:p>
    <w:p w14:paraId="122CF1FD" w14:textId="77777777" w:rsidR="0001678F" w:rsidRPr="004C7DBF" w:rsidRDefault="0001678F" w:rsidP="004655B7">
      <w:pPr>
        <w:suppressLineNumbers/>
        <w:tabs>
          <w:tab w:val="left" w:pos="1152"/>
        </w:tabs>
        <w:suppressAutoHyphens/>
        <w:spacing w:before="120" w:after="120" w:line="228" w:lineRule="auto"/>
        <w:ind w:firstLine="720"/>
        <w:rPr>
          <w:rFonts w:eastAsia="MS Mincho"/>
          <w:bCs/>
          <w:kern w:val="22"/>
          <w:szCs w:val="22"/>
        </w:rPr>
      </w:pPr>
      <w:r w:rsidRPr="004C7DBF">
        <w:rPr>
          <w:rFonts w:eastAsia="MS Mincho"/>
          <w:bCs/>
          <w:kern w:val="22"/>
          <w:szCs w:val="22"/>
        </w:rPr>
        <w:t>(d)</w:t>
      </w:r>
      <w:r w:rsidRPr="004C7DBF">
        <w:rPr>
          <w:rFonts w:eastAsia="MS Mincho"/>
          <w:bCs/>
          <w:kern w:val="22"/>
          <w:szCs w:val="22"/>
        </w:rPr>
        <w:tab/>
        <w:t>A publicly available search mechanism allowing the search and retrieval of the content through metadata and controlled vocabularies across all clearing-houses;</w:t>
      </w:r>
    </w:p>
    <w:p w14:paraId="614C3E64" w14:textId="77777777" w:rsidR="0001678F" w:rsidRPr="004C7DBF" w:rsidRDefault="0001678F" w:rsidP="004655B7">
      <w:pPr>
        <w:suppressLineNumbers/>
        <w:tabs>
          <w:tab w:val="left" w:pos="1152"/>
        </w:tabs>
        <w:suppressAutoHyphens/>
        <w:spacing w:before="120" w:after="120" w:line="228" w:lineRule="auto"/>
        <w:ind w:firstLine="720"/>
        <w:rPr>
          <w:rFonts w:eastAsia="MS Mincho"/>
          <w:bCs/>
          <w:kern w:val="22"/>
          <w:szCs w:val="22"/>
        </w:rPr>
      </w:pPr>
      <w:r w:rsidRPr="004C7DBF">
        <w:rPr>
          <w:rFonts w:eastAsia="MS Mincho"/>
          <w:bCs/>
          <w:kern w:val="22"/>
          <w:szCs w:val="22"/>
        </w:rPr>
        <w:t>(e)</w:t>
      </w:r>
      <w:r w:rsidRPr="004C7DBF">
        <w:rPr>
          <w:rFonts w:eastAsia="MS Mincho"/>
          <w:bCs/>
          <w:kern w:val="22"/>
          <w:szCs w:val="22"/>
        </w:rPr>
        <w:tab/>
        <w:t>Unique identifiers to search and retrieve information, where applicable;</w:t>
      </w:r>
    </w:p>
    <w:p w14:paraId="4502671B" w14:textId="77777777" w:rsidR="0001678F" w:rsidRPr="004C7DBF" w:rsidRDefault="0001678F" w:rsidP="004655B7">
      <w:pPr>
        <w:suppressLineNumbers/>
        <w:tabs>
          <w:tab w:val="left" w:pos="1152"/>
        </w:tabs>
        <w:suppressAutoHyphens/>
        <w:spacing w:before="120" w:after="120" w:line="228" w:lineRule="auto"/>
        <w:ind w:firstLine="720"/>
        <w:rPr>
          <w:rFonts w:eastAsia="MS Mincho"/>
          <w:bCs/>
          <w:kern w:val="22"/>
          <w:szCs w:val="22"/>
        </w:rPr>
      </w:pPr>
      <w:r w:rsidRPr="004C7DBF">
        <w:rPr>
          <w:rFonts w:eastAsia="MS Mincho"/>
          <w:bCs/>
          <w:kern w:val="22"/>
          <w:szCs w:val="22"/>
        </w:rPr>
        <w:t>(f)</w:t>
      </w:r>
      <w:r w:rsidRPr="004C7DBF">
        <w:rPr>
          <w:rFonts w:eastAsia="MS Mincho"/>
          <w:bCs/>
          <w:kern w:val="22"/>
          <w:szCs w:val="22"/>
        </w:rPr>
        <w:tab/>
        <w:t>A secure update mechanism allowing users with the appropriate role to amend or update information;</w:t>
      </w:r>
    </w:p>
    <w:p w14:paraId="083A5C6A" w14:textId="77777777" w:rsidR="0001678F" w:rsidRPr="004C7DBF" w:rsidRDefault="0001678F" w:rsidP="004655B7">
      <w:pPr>
        <w:suppressLineNumbers/>
        <w:tabs>
          <w:tab w:val="left" w:pos="1152"/>
        </w:tabs>
        <w:suppressAutoHyphens/>
        <w:spacing w:before="120" w:after="120" w:line="228" w:lineRule="auto"/>
        <w:ind w:firstLine="720"/>
        <w:rPr>
          <w:rFonts w:eastAsia="MS Mincho"/>
          <w:bCs/>
          <w:kern w:val="22"/>
          <w:szCs w:val="22"/>
        </w:rPr>
      </w:pPr>
      <w:r w:rsidRPr="004C7DBF">
        <w:rPr>
          <w:rFonts w:eastAsia="MS Mincho"/>
          <w:bCs/>
          <w:kern w:val="22"/>
          <w:szCs w:val="22"/>
        </w:rPr>
        <w:t>(g)</w:t>
      </w:r>
      <w:r w:rsidRPr="004C7DBF">
        <w:rPr>
          <w:rFonts w:eastAsia="MS Mincho"/>
          <w:bCs/>
          <w:kern w:val="22"/>
          <w:szCs w:val="22"/>
        </w:rPr>
        <w:tab/>
        <w:t>A design that clearly identifies who has made the information available;</w:t>
      </w:r>
    </w:p>
    <w:p w14:paraId="41F80DAC" w14:textId="77777777" w:rsidR="0001678F" w:rsidRPr="004C7DBF" w:rsidRDefault="0001678F" w:rsidP="004655B7">
      <w:pPr>
        <w:suppressLineNumbers/>
        <w:tabs>
          <w:tab w:val="left" w:pos="1152"/>
        </w:tabs>
        <w:suppressAutoHyphens/>
        <w:spacing w:before="120" w:after="120" w:line="228" w:lineRule="auto"/>
        <w:ind w:firstLine="720"/>
        <w:rPr>
          <w:rFonts w:eastAsia="MS Mincho"/>
          <w:bCs/>
          <w:kern w:val="22"/>
          <w:szCs w:val="22"/>
        </w:rPr>
      </w:pPr>
      <w:r w:rsidRPr="004C7DBF">
        <w:rPr>
          <w:rFonts w:eastAsia="MS Mincho"/>
          <w:bCs/>
          <w:kern w:val="22"/>
          <w:szCs w:val="22"/>
        </w:rPr>
        <w:t>(h)</w:t>
      </w:r>
      <w:r w:rsidRPr="004C7DBF">
        <w:rPr>
          <w:rFonts w:eastAsia="MS Mincho"/>
          <w:bCs/>
          <w:kern w:val="22"/>
          <w:szCs w:val="22"/>
        </w:rPr>
        <w:tab/>
        <w:t>An interoperability mechanism to facilitate the exchange of information with external databases and systems, as appropriate;</w:t>
      </w:r>
    </w:p>
    <w:p w14:paraId="64315E0B" w14:textId="77777777" w:rsidR="0001678F" w:rsidRPr="004C7DBF" w:rsidRDefault="0001678F" w:rsidP="004655B7">
      <w:pPr>
        <w:suppressLineNumbers/>
        <w:tabs>
          <w:tab w:val="left" w:pos="1152"/>
        </w:tabs>
        <w:suppressAutoHyphens/>
        <w:spacing w:before="120" w:after="120" w:line="228" w:lineRule="auto"/>
        <w:ind w:firstLine="720"/>
        <w:rPr>
          <w:rFonts w:eastAsia="MS Mincho"/>
          <w:bCs/>
          <w:kern w:val="22"/>
          <w:szCs w:val="22"/>
        </w:rPr>
      </w:pPr>
      <w:r w:rsidRPr="004C7DBF">
        <w:rPr>
          <w:rFonts w:eastAsia="MS Mincho"/>
          <w:bCs/>
          <w:kern w:val="22"/>
          <w:szCs w:val="22"/>
        </w:rPr>
        <w:t>(</w:t>
      </w:r>
      <w:proofErr w:type="spellStart"/>
      <w:r w:rsidRPr="004C7DBF">
        <w:rPr>
          <w:rFonts w:eastAsia="MS Mincho"/>
          <w:bCs/>
          <w:kern w:val="22"/>
          <w:szCs w:val="22"/>
        </w:rPr>
        <w:t>i</w:t>
      </w:r>
      <w:proofErr w:type="spellEnd"/>
      <w:r w:rsidRPr="004C7DBF">
        <w:rPr>
          <w:rFonts w:eastAsia="MS Mincho"/>
          <w:bCs/>
          <w:kern w:val="22"/>
          <w:szCs w:val="22"/>
        </w:rPr>
        <w:t>)</w:t>
      </w:r>
      <w:r w:rsidRPr="004C7DBF">
        <w:rPr>
          <w:rFonts w:eastAsia="MS Mincho"/>
          <w:bCs/>
          <w:kern w:val="22"/>
          <w:szCs w:val="22"/>
        </w:rPr>
        <w:tab/>
        <w:t>An offline mechanism for registering information and facilitating offline access to available information, upon request and</w:t>
      </w:r>
      <w:proofErr w:type="gramStart"/>
      <w:r w:rsidRPr="004C7DBF">
        <w:rPr>
          <w:rFonts w:eastAsia="MS Mincho"/>
          <w:bCs/>
          <w:kern w:val="22"/>
          <w:szCs w:val="22"/>
        </w:rPr>
        <w:t>, in particular, for</w:t>
      </w:r>
      <w:proofErr w:type="gramEnd"/>
      <w:r w:rsidRPr="004C7DBF">
        <w:rPr>
          <w:rFonts w:eastAsia="MS Mincho"/>
          <w:bCs/>
          <w:kern w:val="22"/>
          <w:szCs w:val="22"/>
        </w:rPr>
        <w:t xml:space="preserve"> users with limited Internet access.</w:t>
      </w:r>
    </w:p>
    <w:p w14:paraId="56C70527" w14:textId="77777777" w:rsidR="0001678F" w:rsidRPr="004C7DBF" w:rsidRDefault="0001678F" w:rsidP="004655B7">
      <w:pPr>
        <w:keepNext/>
        <w:suppressLineNumbers/>
        <w:tabs>
          <w:tab w:val="left" w:pos="360"/>
        </w:tabs>
        <w:suppressAutoHyphens/>
        <w:spacing w:before="120" w:after="120" w:line="228" w:lineRule="auto"/>
        <w:jc w:val="center"/>
        <w:rPr>
          <w:b/>
          <w:kern w:val="22"/>
          <w:szCs w:val="22"/>
        </w:rPr>
      </w:pPr>
      <w:r w:rsidRPr="004C7DBF">
        <w:rPr>
          <w:b/>
          <w:kern w:val="22"/>
          <w:szCs w:val="22"/>
        </w:rPr>
        <w:t>B.</w:t>
      </w:r>
      <w:r w:rsidRPr="004C7DBF">
        <w:rPr>
          <w:b/>
          <w:kern w:val="22"/>
          <w:szCs w:val="22"/>
        </w:rPr>
        <w:tab/>
        <w:t>Role of users with respect to the sharing of information</w:t>
      </w:r>
    </w:p>
    <w:p w14:paraId="2C1D8EFF" w14:textId="77777777" w:rsidR="0001678F" w:rsidRPr="004C7DBF" w:rsidRDefault="0001678F" w:rsidP="004655B7">
      <w:pPr>
        <w:pStyle w:val="Para1"/>
        <w:keepNext/>
        <w:numPr>
          <w:ilvl w:val="0"/>
          <w:numId w:val="0"/>
        </w:numPr>
        <w:suppressLineNumbers/>
        <w:tabs>
          <w:tab w:val="left" w:pos="720"/>
        </w:tabs>
        <w:suppressAutoHyphens/>
        <w:spacing w:line="228" w:lineRule="auto"/>
        <w:rPr>
          <w:kern w:val="22"/>
          <w:szCs w:val="22"/>
        </w:rPr>
      </w:pPr>
      <w:r w:rsidRPr="004C7DBF">
        <w:rPr>
          <w:color w:val="000000"/>
          <w:kern w:val="22"/>
          <w:szCs w:val="22"/>
        </w:rPr>
        <w:t>4.</w:t>
      </w:r>
      <w:r w:rsidRPr="004C7DBF">
        <w:rPr>
          <w:color w:val="000000"/>
          <w:kern w:val="22"/>
          <w:szCs w:val="22"/>
        </w:rPr>
        <w:tab/>
      </w:r>
      <w:r w:rsidRPr="004C7DBF">
        <w:rPr>
          <w:kern w:val="22"/>
          <w:szCs w:val="22"/>
        </w:rPr>
        <w:t>When sharing information through any of the clearing-houses, users shall:</w:t>
      </w:r>
    </w:p>
    <w:p w14:paraId="0503A0B6" w14:textId="77777777" w:rsidR="0001678F" w:rsidRPr="004655B7" w:rsidRDefault="0001678F" w:rsidP="004655B7">
      <w:pPr>
        <w:suppressLineNumbers/>
        <w:tabs>
          <w:tab w:val="left" w:pos="1152"/>
        </w:tabs>
        <w:suppressAutoHyphens/>
        <w:spacing w:before="120" w:after="120" w:line="228" w:lineRule="auto"/>
        <w:ind w:firstLine="720"/>
        <w:rPr>
          <w:rFonts w:eastAsia="MS Mincho"/>
          <w:bCs/>
          <w:spacing w:val="-1"/>
          <w:kern w:val="22"/>
          <w:szCs w:val="22"/>
        </w:rPr>
      </w:pPr>
      <w:r w:rsidRPr="004655B7">
        <w:rPr>
          <w:rFonts w:eastAsia="MS Mincho"/>
          <w:bCs/>
          <w:spacing w:val="-1"/>
          <w:kern w:val="22"/>
          <w:szCs w:val="22"/>
        </w:rPr>
        <w:t>(a)</w:t>
      </w:r>
      <w:r w:rsidRPr="004655B7">
        <w:rPr>
          <w:rFonts w:eastAsia="MS Mincho"/>
          <w:bCs/>
          <w:spacing w:val="-1"/>
          <w:kern w:val="22"/>
          <w:szCs w:val="22"/>
        </w:rPr>
        <w:tab/>
        <w:t>Follow the procedures for publication established for each clearing-house or type of information;</w:t>
      </w:r>
    </w:p>
    <w:p w14:paraId="773911F2" w14:textId="77777777" w:rsidR="0001678F" w:rsidRPr="004C7DBF" w:rsidRDefault="0001678F" w:rsidP="004655B7">
      <w:pPr>
        <w:suppressLineNumbers/>
        <w:tabs>
          <w:tab w:val="left" w:pos="1152"/>
        </w:tabs>
        <w:suppressAutoHyphens/>
        <w:spacing w:before="120" w:after="120" w:line="228" w:lineRule="auto"/>
        <w:ind w:firstLine="720"/>
        <w:rPr>
          <w:rFonts w:eastAsia="MS Mincho"/>
          <w:bCs/>
          <w:kern w:val="22"/>
          <w:szCs w:val="22"/>
        </w:rPr>
      </w:pPr>
      <w:r w:rsidRPr="004C7DBF">
        <w:rPr>
          <w:rFonts w:eastAsia="MS Mincho"/>
          <w:bCs/>
          <w:kern w:val="22"/>
          <w:szCs w:val="22"/>
        </w:rPr>
        <w:t>(b)</w:t>
      </w:r>
      <w:r w:rsidRPr="004C7DBF">
        <w:rPr>
          <w:rFonts w:eastAsia="MS Mincho"/>
          <w:bCs/>
          <w:kern w:val="22"/>
          <w:szCs w:val="22"/>
        </w:rPr>
        <w:tab/>
        <w:t>Take responsibility to ensure that the information made available is accurate, complete, relevant and up-to-date;</w:t>
      </w:r>
    </w:p>
    <w:p w14:paraId="63727B14" w14:textId="77777777" w:rsidR="0001678F" w:rsidRPr="004655B7" w:rsidRDefault="0001678F" w:rsidP="004655B7">
      <w:pPr>
        <w:suppressLineNumbers/>
        <w:tabs>
          <w:tab w:val="left" w:pos="1152"/>
        </w:tabs>
        <w:suppressAutoHyphens/>
        <w:spacing w:before="120" w:after="120" w:line="228" w:lineRule="auto"/>
        <w:ind w:firstLine="720"/>
        <w:rPr>
          <w:rFonts w:eastAsia="MS Mincho"/>
          <w:bCs/>
          <w:spacing w:val="-8"/>
          <w:kern w:val="22"/>
          <w:szCs w:val="22"/>
        </w:rPr>
      </w:pPr>
      <w:r w:rsidRPr="004655B7">
        <w:rPr>
          <w:rFonts w:eastAsia="MS Mincho"/>
          <w:bCs/>
          <w:spacing w:val="-8"/>
          <w:kern w:val="22"/>
          <w:szCs w:val="22"/>
        </w:rPr>
        <w:t>(c)</w:t>
      </w:r>
      <w:r w:rsidRPr="004655B7">
        <w:rPr>
          <w:rFonts w:eastAsia="MS Mincho"/>
          <w:bCs/>
          <w:spacing w:val="-8"/>
          <w:kern w:val="22"/>
          <w:szCs w:val="22"/>
        </w:rPr>
        <w:tab/>
        <w:t>Not include confidential data, since all information published in the clearing-houses is publicly available;</w:t>
      </w:r>
    </w:p>
    <w:p w14:paraId="39E8AC5F" w14:textId="77777777" w:rsidR="0001678F" w:rsidRPr="004C7DBF" w:rsidRDefault="0001678F" w:rsidP="004655B7">
      <w:pPr>
        <w:suppressLineNumbers/>
        <w:tabs>
          <w:tab w:val="left" w:pos="1152"/>
        </w:tabs>
        <w:suppressAutoHyphens/>
        <w:spacing w:before="120" w:after="120" w:line="228" w:lineRule="auto"/>
        <w:ind w:firstLine="720"/>
        <w:rPr>
          <w:rFonts w:eastAsia="MS Mincho"/>
          <w:bCs/>
          <w:kern w:val="22"/>
          <w:szCs w:val="22"/>
        </w:rPr>
      </w:pPr>
      <w:r w:rsidRPr="004C7DBF">
        <w:rPr>
          <w:rFonts w:eastAsia="MS Mincho"/>
          <w:bCs/>
          <w:kern w:val="22"/>
          <w:szCs w:val="22"/>
        </w:rPr>
        <w:t>(d)</w:t>
      </w:r>
      <w:r w:rsidRPr="004C7DBF">
        <w:rPr>
          <w:rFonts w:eastAsia="MS Mincho"/>
          <w:bCs/>
          <w:kern w:val="22"/>
          <w:szCs w:val="22"/>
        </w:rPr>
        <w:tab/>
        <w:t>Not infringe on any intellectual property rights associated with the information published;</w:t>
      </w:r>
    </w:p>
    <w:p w14:paraId="2E2986E3" w14:textId="77777777" w:rsidR="0001678F" w:rsidRPr="004655B7" w:rsidRDefault="0001678F" w:rsidP="004655B7">
      <w:pPr>
        <w:suppressLineNumbers/>
        <w:tabs>
          <w:tab w:val="left" w:pos="1152"/>
        </w:tabs>
        <w:suppressAutoHyphens/>
        <w:spacing w:before="120" w:after="120" w:line="228" w:lineRule="auto"/>
        <w:ind w:firstLine="720"/>
        <w:rPr>
          <w:rFonts w:eastAsia="MS Mincho"/>
          <w:bCs/>
          <w:spacing w:val="-3"/>
          <w:kern w:val="22"/>
          <w:szCs w:val="22"/>
        </w:rPr>
      </w:pPr>
      <w:r w:rsidRPr="004655B7">
        <w:rPr>
          <w:rFonts w:eastAsia="MS Mincho"/>
          <w:bCs/>
          <w:spacing w:val="-3"/>
          <w:kern w:val="22"/>
          <w:szCs w:val="22"/>
        </w:rPr>
        <w:t>(e)</w:t>
      </w:r>
      <w:r w:rsidRPr="004655B7">
        <w:rPr>
          <w:rFonts w:eastAsia="MS Mincho"/>
          <w:bCs/>
          <w:spacing w:val="-3"/>
          <w:kern w:val="22"/>
          <w:szCs w:val="22"/>
        </w:rPr>
        <w:tab/>
        <w:t>Provide metadata which describes the primary data (such as the elements describing the content of a legislative measure chosen from a controlled vocabulary) in an official language of the United Nations, while recognizing that the primary data (for example, a legislative measure), may be submitted in the original language;</w:t>
      </w:r>
    </w:p>
    <w:p w14:paraId="0A288C28" w14:textId="77777777" w:rsidR="0001678F" w:rsidRPr="004C7DBF" w:rsidRDefault="0001678F" w:rsidP="004655B7">
      <w:pPr>
        <w:suppressLineNumbers/>
        <w:tabs>
          <w:tab w:val="left" w:pos="1152"/>
        </w:tabs>
        <w:suppressAutoHyphens/>
        <w:spacing w:before="120" w:after="120" w:line="228" w:lineRule="auto"/>
        <w:ind w:firstLine="720"/>
        <w:rPr>
          <w:rFonts w:eastAsia="MS Mincho"/>
          <w:bCs/>
          <w:kern w:val="22"/>
          <w:szCs w:val="22"/>
        </w:rPr>
      </w:pPr>
      <w:r w:rsidRPr="004C7DBF">
        <w:rPr>
          <w:rFonts w:eastAsia="MS Mincho"/>
          <w:bCs/>
          <w:kern w:val="22"/>
          <w:szCs w:val="22"/>
        </w:rPr>
        <w:t>(f)</w:t>
      </w:r>
      <w:r w:rsidRPr="004C7DBF">
        <w:rPr>
          <w:rFonts w:eastAsia="MS Mincho"/>
          <w:bCs/>
          <w:kern w:val="22"/>
          <w:szCs w:val="22"/>
        </w:rPr>
        <w:tab/>
        <w:t>Endeavour to provide a courtesy translation into one of the official languages of the United Nations of the primary data submitted.</w:t>
      </w:r>
    </w:p>
    <w:p w14:paraId="630F2556" w14:textId="25CA49F8" w:rsidR="00F267C2" w:rsidRPr="004C7DBF" w:rsidRDefault="0001678F" w:rsidP="004655B7">
      <w:pPr>
        <w:suppressLineNumbers/>
        <w:suppressAutoHyphens/>
        <w:spacing w:before="120" w:after="120" w:line="228" w:lineRule="auto"/>
        <w:jc w:val="center"/>
        <w:rPr>
          <w:kern w:val="22"/>
          <w:szCs w:val="22"/>
        </w:rPr>
      </w:pPr>
      <w:r w:rsidRPr="004C7DBF">
        <w:rPr>
          <w:kern w:val="22"/>
          <w:szCs w:val="22"/>
        </w:rPr>
        <w:t>__________</w:t>
      </w:r>
    </w:p>
    <w:sectPr w:rsidR="00F267C2" w:rsidRPr="004C7DBF" w:rsidSect="009C200D">
      <w:headerReference w:type="even" r:id="rId12"/>
      <w:headerReference w:type="default" r:id="rId13"/>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BA87B" w14:textId="77777777" w:rsidR="00837F01" w:rsidRDefault="00837F01" w:rsidP="00CF1848">
      <w:r>
        <w:separator/>
      </w:r>
    </w:p>
  </w:endnote>
  <w:endnote w:type="continuationSeparator" w:id="0">
    <w:p w14:paraId="3F545CE4" w14:textId="77777777" w:rsidR="00837F01" w:rsidRDefault="00837F01"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altName w:val="Helvetica"/>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F3BDD" w14:textId="77777777" w:rsidR="00837F01" w:rsidRDefault="00837F01" w:rsidP="00CF1848">
      <w:r>
        <w:separator/>
      </w:r>
    </w:p>
  </w:footnote>
  <w:footnote w:type="continuationSeparator" w:id="0">
    <w:p w14:paraId="37F0EB37" w14:textId="77777777" w:rsidR="00837F01" w:rsidRDefault="00837F01" w:rsidP="00CF1848">
      <w:r>
        <w:continuationSeparator/>
      </w:r>
    </w:p>
  </w:footnote>
  <w:footnote w:id="1">
    <w:p w14:paraId="2CF94C10" w14:textId="45438185" w:rsidR="00936F43" w:rsidRPr="009E0CBB" w:rsidRDefault="00936F43" w:rsidP="000C104E">
      <w:pPr>
        <w:pStyle w:val="FootnoteText"/>
        <w:suppressLineNumbers/>
        <w:suppressAutoHyphens/>
        <w:kinsoku w:val="0"/>
        <w:overflowPunct w:val="0"/>
        <w:autoSpaceDE w:val="0"/>
        <w:autoSpaceDN w:val="0"/>
        <w:ind w:firstLine="0"/>
        <w:jc w:val="left"/>
        <w:rPr>
          <w:kern w:val="18"/>
          <w:szCs w:val="18"/>
        </w:rPr>
      </w:pPr>
      <w:r w:rsidRPr="003069A1">
        <w:rPr>
          <w:rStyle w:val="FootnoteReference"/>
          <w:kern w:val="18"/>
          <w:sz w:val="18"/>
          <w:szCs w:val="18"/>
        </w:rPr>
        <w:footnoteRef/>
      </w:r>
      <w:r w:rsidRPr="009E0CBB">
        <w:rPr>
          <w:kern w:val="18"/>
          <w:szCs w:val="18"/>
        </w:rPr>
        <w:t xml:space="preserve"> See CBD/COP/14/INF/4 and CBD/SBI/2/9</w:t>
      </w:r>
      <w:r w:rsidR="00AA0731" w:rsidRPr="009E0CBB">
        <w:rPr>
          <w:kern w:val="18"/>
          <w:szCs w:val="18"/>
        </w:rPr>
        <w:t>.</w:t>
      </w:r>
    </w:p>
  </w:footnote>
  <w:footnote w:id="2">
    <w:p w14:paraId="5B8E610B" w14:textId="105CDEE4" w:rsidR="009E0CBB" w:rsidRPr="000C104E" w:rsidRDefault="009E0CBB" w:rsidP="000C104E">
      <w:pPr>
        <w:pStyle w:val="FootnoteText"/>
        <w:suppressLineNumbers/>
        <w:suppressAutoHyphens/>
        <w:ind w:firstLine="0"/>
        <w:jc w:val="left"/>
        <w:rPr>
          <w:kern w:val="18"/>
          <w:szCs w:val="18"/>
        </w:rPr>
      </w:pPr>
      <w:r w:rsidRPr="000C104E">
        <w:rPr>
          <w:rStyle w:val="FootnoteReference"/>
          <w:kern w:val="18"/>
          <w:sz w:val="18"/>
          <w:szCs w:val="18"/>
        </w:rPr>
        <w:footnoteRef/>
      </w:r>
      <w:r w:rsidRPr="000C104E">
        <w:rPr>
          <w:kern w:val="18"/>
          <w:szCs w:val="18"/>
        </w:rPr>
        <w:t xml:space="preserve"> Decision X/2, annex.</w:t>
      </w:r>
    </w:p>
  </w:footnote>
  <w:footnote w:id="3">
    <w:p w14:paraId="7979464D" w14:textId="0EA044E1" w:rsidR="009E0CBB" w:rsidRPr="000C104E" w:rsidRDefault="009E0CBB" w:rsidP="000C104E">
      <w:pPr>
        <w:pStyle w:val="FootnoteText"/>
        <w:suppressLineNumbers/>
        <w:suppressAutoHyphens/>
        <w:ind w:firstLine="0"/>
        <w:jc w:val="left"/>
        <w:rPr>
          <w:kern w:val="18"/>
          <w:szCs w:val="18"/>
        </w:rPr>
      </w:pPr>
      <w:r w:rsidRPr="000C104E">
        <w:rPr>
          <w:rStyle w:val="FootnoteReference"/>
          <w:kern w:val="18"/>
          <w:sz w:val="18"/>
          <w:szCs w:val="18"/>
        </w:rPr>
        <w:footnoteRef/>
      </w:r>
      <w:r w:rsidRPr="000C104E">
        <w:rPr>
          <w:kern w:val="18"/>
          <w:szCs w:val="18"/>
        </w:rPr>
        <w:t xml:space="preserve"> See General Assembly resolution 70/1 of 25 September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2147F03" w14:textId="1B2DF511" w:rsidR="00936F43" w:rsidRPr="000C104E" w:rsidRDefault="0018454D" w:rsidP="000C104E">
        <w:pPr>
          <w:pStyle w:val="Header"/>
          <w:tabs>
            <w:tab w:val="clear" w:pos="4320"/>
            <w:tab w:val="clear" w:pos="8640"/>
          </w:tabs>
          <w:jc w:val="left"/>
          <w:rPr>
            <w:noProof/>
            <w:kern w:val="22"/>
          </w:rPr>
        </w:pPr>
        <w:r>
          <w:rPr>
            <w:noProof/>
            <w:kern w:val="22"/>
          </w:rPr>
          <w:t>CBD/COP/DEC/14/25</w:t>
        </w:r>
      </w:p>
    </w:sdtContent>
  </w:sdt>
  <w:p w14:paraId="57597240" w14:textId="2F42EFF0" w:rsidR="00936F43" w:rsidRPr="000C104E" w:rsidRDefault="00936F43" w:rsidP="000C104E">
    <w:pPr>
      <w:pStyle w:val="Header"/>
      <w:tabs>
        <w:tab w:val="clear" w:pos="4320"/>
        <w:tab w:val="clear" w:pos="8640"/>
      </w:tabs>
      <w:jc w:val="left"/>
      <w:rPr>
        <w:noProof/>
        <w:kern w:val="22"/>
      </w:rPr>
    </w:pPr>
    <w:r w:rsidRPr="000C104E">
      <w:rPr>
        <w:noProof/>
        <w:kern w:val="22"/>
      </w:rPr>
      <w:t xml:space="preserve">Page </w:t>
    </w:r>
    <w:r w:rsidRPr="000C104E">
      <w:rPr>
        <w:noProof/>
        <w:kern w:val="22"/>
      </w:rPr>
      <w:fldChar w:fldCharType="begin"/>
    </w:r>
    <w:r w:rsidRPr="000C104E">
      <w:rPr>
        <w:noProof/>
        <w:kern w:val="22"/>
      </w:rPr>
      <w:instrText xml:space="preserve"> PAGE   \* MERGEFORMAT </w:instrText>
    </w:r>
    <w:r w:rsidRPr="000C104E">
      <w:rPr>
        <w:noProof/>
        <w:kern w:val="22"/>
      </w:rPr>
      <w:fldChar w:fldCharType="separate"/>
    </w:r>
    <w:r w:rsidR="006B2759">
      <w:rPr>
        <w:noProof/>
        <w:kern w:val="22"/>
      </w:rPr>
      <w:t>4</w:t>
    </w:r>
    <w:r w:rsidRPr="000C104E">
      <w:rPr>
        <w:noProof/>
        <w:kern w:val="22"/>
      </w:rPr>
      <w:fldChar w:fldCharType="end"/>
    </w:r>
  </w:p>
  <w:p w14:paraId="1D80EB20" w14:textId="77777777" w:rsidR="00936F43" w:rsidRPr="000C104E" w:rsidRDefault="00936F43" w:rsidP="000C104E">
    <w:pPr>
      <w:pStyle w:val="Header"/>
      <w:tabs>
        <w:tab w:val="clear" w:pos="4320"/>
        <w:tab w:val="clear" w:pos="8640"/>
      </w:tabs>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39C61189" w14:textId="4D1F4260" w:rsidR="00936F43" w:rsidRPr="000C104E" w:rsidRDefault="0018454D" w:rsidP="000C104E">
        <w:pPr>
          <w:pStyle w:val="Header"/>
          <w:tabs>
            <w:tab w:val="clear" w:pos="4320"/>
            <w:tab w:val="clear" w:pos="8640"/>
          </w:tabs>
          <w:jc w:val="right"/>
          <w:rPr>
            <w:noProof/>
            <w:kern w:val="22"/>
          </w:rPr>
        </w:pPr>
        <w:r>
          <w:rPr>
            <w:noProof/>
            <w:kern w:val="22"/>
          </w:rPr>
          <w:t>CBD/COP/DEC/14/25</w:t>
        </w:r>
      </w:p>
    </w:sdtContent>
  </w:sdt>
  <w:p w14:paraId="7E9B8683" w14:textId="2E273C1B" w:rsidR="00936F43" w:rsidRPr="000C104E" w:rsidRDefault="00936F43" w:rsidP="000C104E">
    <w:pPr>
      <w:pStyle w:val="Header"/>
      <w:tabs>
        <w:tab w:val="clear" w:pos="4320"/>
        <w:tab w:val="clear" w:pos="8640"/>
      </w:tabs>
      <w:jc w:val="right"/>
      <w:rPr>
        <w:noProof/>
        <w:kern w:val="22"/>
      </w:rPr>
    </w:pPr>
    <w:r w:rsidRPr="000C104E">
      <w:rPr>
        <w:noProof/>
        <w:kern w:val="22"/>
      </w:rPr>
      <w:t xml:space="preserve">Page </w:t>
    </w:r>
    <w:r w:rsidRPr="000C104E">
      <w:rPr>
        <w:noProof/>
        <w:kern w:val="22"/>
      </w:rPr>
      <w:fldChar w:fldCharType="begin"/>
    </w:r>
    <w:r w:rsidRPr="000C104E">
      <w:rPr>
        <w:noProof/>
        <w:kern w:val="22"/>
      </w:rPr>
      <w:instrText xml:space="preserve"> PAGE   \* MERGEFORMAT </w:instrText>
    </w:r>
    <w:r w:rsidRPr="000C104E">
      <w:rPr>
        <w:noProof/>
        <w:kern w:val="22"/>
      </w:rPr>
      <w:fldChar w:fldCharType="separate"/>
    </w:r>
    <w:r w:rsidR="006B2759">
      <w:rPr>
        <w:noProof/>
        <w:kern w:val="22"/>
      </w:rPr>
      <w:t>3</w:t>
    </w:r>
    <w:r w:rsidRPr="000C104E">
      <w:rPr>
        <w:noProof/>
        <w:kern w:val="22"/>
      </w:rPr>
      <w:fldChar w:fldCharType="end"/>
    </w:r>
  </w:p>
  <w:p w14:paraId="2F845650" w14:textId="77777777" w:rsidR="00936F43" w:rsidRPr="000C104E" w:rsidRDefault="00936F43" w:rsidP="000C104E">
    <w:pPr>
      <w:pStyle w:val="Header"/>
      <w:tabs>
        <w:tab w:val="clear" w:pos="4320"/>
        <w:tab w:val="clear" w:pos="8640"/>
      </w:tabs>
      <w:jc w:val="right"/>
      <w:rPr>
        <w:noProof/>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C71E5"/>
    <w:multiLevelType w:val="hybridMultilevel"/>
    <w:tmpl w:val="C6F2D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93DF1"/>
    <w:multiLevelType w:val="hybridMultilevel"/>
    <w:tmpl w:val="F6BE5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9C0127"/>
    <w:multiLevelType w:val="hybridMultilevel"/>
    <w:tmpl w:val="55041694"/>
    <w:lvl w:ilvl="0" w:tplc="FD18213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17E1F8E"/>
    <w:multiLevelType w:val="hybridMultilevel"/>
    <w:tmpl w:val="58CE61A6"/>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7231257"/>
    <w:multiLevelType w:val="hybridMultilevel"/>
    <w:tmpl w:val="A6409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9A51AB"/>
    <w:multiLevelType w:val="hybridMultilevel"/>
    <w:tmpl w:val="8F3C8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B537A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1434A3"/>
    <w:multiLevelType w:val="hybridMultilevel"/>
    <w:tmpl w:val="3FCE4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D06FEB"/>
    <w:multiLevelType w:val="hybridMultilevel"/>
    <w:tmpl w:val="914EF66C"/>
    <w:lvl w:ilvl="0" w:tplc="04090001">
      <w:start w:val="1"/>
      <w:numFmt w:val="bullet"/>
      <w:lvlText w:val=""/>
      <w:lvlJc w:val="left"/>
      <w:pPr>
        <w:ind w:left="720" w:hanging="360"/>
      </w:pPr>
      <w:rPr>
        <w:rFonts w:ascii="Symbol" w:hAnsi="Symbol" w:hint="default"/>
      </w:rPr>
    </w:lvl>
    <w:lvl w:ilvl="1" w:tplc="6A92E88E">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8"/>
  </w:num>
  <w:num w:numId="4">
    <w:abstractNumId w:val="10"/>
  </w:num>
  <w:num w:numId="5">
    <w:abstractNumId w:val="9"/>
  </w:num>
  <w:num w:numId="6">
    <w:abstractNumId w:val="0"/>
  </w:num>
  <w:num w:numId="7">
    <w:abstractNumId w:val="5"/>
  </w:num>
  <w:num w:numId="8">
    <w:abstractNumId w:val="8"/>
    <w:lvlOverride w:ilvl="0">
      <w:startOverride w:val="1"/>
    </w:lvlOverride>
  </w:num>
  <w:num w:numId="9">
    <w:abstractNumId w:val="15"/>
  </w:num>
  <w:num w:numId="10">
    <w:abstractNumId w:val="8"/>
    <w:lvlOverride w:ilvl="0">
      <w:startOverride w:val="1"/>
    </w:lvlOverride>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13"/>
  </w:num>
  <w:num w:numId="15">
    <w:abstractNumId w:val="12"/>
  </w:num>
  <w:num w:numId="16">
    <w:abstractNumId w:val="1"/>
  </w:num>
  <w:num w:numId="17">
    <w:abstractNumId w:val="17"/>
  </w:num>
  <w:num w:numId="18">
    <w:abstractNumId w:val="20"/>
  </w:num>
  <w:num w:numId="19">
    <w:abstractNumId w:val="6"/>
  </w:num>
  <w:num w:numId="20">
    <w:abstractNumId w:val="19"/>
  </w:num>
  <w:num w:numId="21">
    <w:abstractNumId w:val="3"/>
  </w:num>
  <w:num w:numId="22">
    <w:abstractNumId w:val="2"/>
  </w:num>
  <w:num w:numId="23">
    <w:abstractNumId w:val="18"/>
  </w:num>
  <w:num w:numId="24">
    <w:abstractNumId w:val="14"/>
  </w:num>
  <w:num w:numId="25">
    <w:abstractNumId w:val="11"/>
  </w:num>
  <w:num w:numId="26">
    <w:abstractNumId w:val="16"/>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en-CA" w:vendorID="64" w:dllVersion="0" w:nlCheck="1" w:checkStyle="0"/>
  <w:proofState w:spelling="clean" w:grammar="clean"/>
  <w:defaultTabStop w:val="720"/>
  <w:evenAndOddHeaders/>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614"/>
    <w:rsid w:val="000068B4"/>
    <w:rsid w:val="0001678F"/>
    <w:rsid w:val="000609A7"/>
    <w:rsid w:val="00064C90"/>
    <w:rsid w:val="000676F2"/>
    <w:rsid w:val="000A0609"/>
    <w:rsid w:val="000C104E"/>
    <w:rsid w:val="000E04FC"/>
    <w:rsid w:val="000E673A"/>
    <w:rsid w:val="000F235B"/>
    <w:rsid w:val="000F32B4"/>
    <w:rsid w:val="000F74F5"/>
    <w:rsid w:val="00105372"/>
    <w:rsid w:val="00115D25"/>
    <w:rsid w:val="00131E7A"/>
    <w:rsid w:val="00132A5D"/>
    <w:rsid w:val="00133244"/>
    <w:rsid w:val="00161FF2"/>
    <w:rsid w:val="00164F8A"/>
    <w:rsid w:val="00172AF6"/>
    <w:rsid w:val="0017389D"/>
    <w:rsid w:val="00176CEE"/>
    <w:rsid w:val="0018178C"/>
    <w:rsid w:val="0018454D"/>
    <w:rsid w:val="001C2379"/>
    <w:rsid w:val="001D56D7"/>
    <w:rsid w:val="001E0970"/>
    <w:rsid w:val="00281425"/>
    <w:rsid w:val="002833B5"/>
    <w:rsid w:val="002B4F7B"/>
    <w:rsid w:val="002E30C7"/>
    <w:rsid w:val="003069A1"/>
    <w:rsid w:val="003379A1"/>
    <w:rsid w:val="0035338C"/>
    <w:rsid w:val="00372F74"/>
    <w:rsid w:val="003B5256"/>
    <w:rsid w:val="003F7224"/>
    <w:rsid w:val="00405146"/>
    <w:rsid w:val="0042412C"/>
    <w:rsid w:val="00427D21"/>
    <w:rsid w:val="004644C2"/>
    <w:rsid w:val="004655B7"/>
    <w:rsid w:val="00467F9C"/>
    <w:rsid w:val="00480EB7"/>
    <w:rsid w:val="0048599F"/>
    <w:rsid w:val="004B5202"/>
    <w:rsid w:val="004C2B9D"/>
    <w:rsid w:val="004C7DBF"/>
    <w:rsid w:val="004D33C4"/>
    <w:rsid w:val="004F01F8"/>
    <w:rsid w:val="004F6ACA"/>
    <w:rsid w:val="005170DA"/>
    <w:rsid w:val="00523002"/>
    <w:rsid w:val="005245AE"/>
    <w:rsid w:val="00534681"/>
    <w:rsid w:val="00541EA0"/>
    <w:rsid w:val="005567DE"/>
    <w:rsid w:val="005F5070"/>
    <w:rsid w:val="006122BA"/>
    <w:rsid w:val="00612B96"/>
    <w:rsid w:val="0061445E"/>
    <w:rsid w:val="00616759"/>
    <w:rsid w:val="00617807"/>
    <w:rsid w:val="006637E2"/>
    <w:rsid w:val="00664450"/>
    <w:rsid w:val="00696F19"/>
    <w:rsid w:val="006A7FFD"/>
    <w:rsid w:val="006B2290"/>
    <w:rsid w:val="006B2759"/>
    <w:rsid w:val="006C696A"/>
    <w:rsid w:val="006C7B5C"/>
    <w:rsid w:val="006E40AB"/>
    <w:rsid w:val="00717D88"/>
    <w:rsid w:val="00720F22"/>
    <w:rsid w:val="00722767"/>
    <w:rsid w:val="00747BF7"/>
    <w:rsid w:val="00775207"/>
    <w:rsid w:val="00777435"/>
    <w:rsid w:val="007942D3"/>
    <w:rsid w:val="007B6C09"/>
    <w:rsid w:val="007D2C48"/>
    <w:rsid w:val="007E09DA"/>
    <w:rsid w:val="007E3715"/>
    <w:rsid w:val="007F0CAF"/>
    <w:rsid w:val="00814331"/>
    <w:rsid w:val="0081569C"/>
    <w:rsid w:val="008178B6"/>
    <w:rsid w:val="00830BC6"/>
    <w:rsid w:val="00837F01"/>
    <w:rsid w:val="00865B74"/>
    <w:rsid w:val="00885068"/>
    <w:rsid w:val="008B25D9"/>
    <w:rsid w:val="008C3F22"/>
    <w:rsid w:val="00930BA1"/>
    <w:rsid w:val="0093169E"/>
    <w:rsid w:val="00936F43"/>
    <w:rsid w:val="0094462C"/>
    <w:rsid w:val="009505C9"/>
    <w:rsid w:val="0095265B"/>
    <w:rsid w:val="0097729C"/>
    <w:rsid w:val="00982F4A"/>
    <w:rsid w:val="009C0DC1"/>
    <w:rsid w:val="009C200D"/>
    <w:rsid w:val="009E0CBB"/>
    <w:rsid w:val="00A53F93"/>
    <w:rsid w:val="00AA0731"/>
    <w:rsid w:val="00AA19EB"/>
    <w:rsid w:val="00AE32A6"/>
    <w:rsid w:val="00AE7F6E"/>
    <w:rsid w:val="00B01F4B"/>
    <w:rsid w:val="00B3369F"/>
    <w:rsid w:val="00B96604"/>
    <w:rsid w:val="00BA1E9A"/>
    <w:rsid w:val="00BB2211"/>
    <w:rsid w:val="00BD1407"/>
    <w:rsid w:val="00BD4FF2"/>
    <w:rsid w:val="00C06C2D"/>
    <w:rsid w:val="00C23870"/>
    <w:rsid w:val="00C24159"/>
    <w:rsid w:val="00C272D6"/>
    <w:rsid w:val="00C47599"/>
    <w:rsid w:val="00C9161D"/>
    <w:rsid w:val="00CE199F"/>
    <w:rsid w:val="00CF1848"/>
    <w:rsid w:val="00CF5767"/>
    <w:rsid w:val="00D0568F"/>
    <w:rsid w:val="00D12044"/>
    <w:rsid w:val="00D279EC"/>
    <w:rsid w:val="00D332B7"/>
    <w:rsid w:val="00D57901"/>
    <w:rsid w:val="00D76A18"/>
    <w:rsid w:val="00D867D9"/>
    <w:rsid w:val="00D925EE"/>
    <w:rsid w:val="00D93980"/>
    <w:rsid w:val="00D9403F"/>
    <w:rsid w:val="00DA7B16"/>
    <w:rsid w:val="00DC3ED3"/>
    <w:rsid w:val="00DC5510"/>
    <w:rsid w:val="00DC7A96"/>
    <w:rsid w:val="00DD118C"/>
    <w:rsid w:val="00DF14AA"/>
    <w:rsid w:val="00E07BEA"/>
    <w:rsid w:val="00E1791F"/>
    <w:rsid w:val="00E25CC6"/>
    <w:rsid w:val="00E66235"/>
    <w:rsid w:val="00E77076"/>
    <w:rsid w:val="00E83C24"/>
    <w:rsid w:val="00E9318D"/>
    <w:rsid w:val="00EA3986"/>
    <w:rsid w:val="00F11CF8"/>
    <w:rsid w:val="00F1434B"/>
    <w:rsid w:val="00F262F6"/>
    <w:rsid w:val="00F267C2"/>
    <w:rsid w:val="00F372C8"/>
    <w:rsid w:val="00F61883"/>
    <w:rsid w:val="00F852D7"/>
    <w:rsid w:val="00F94774"/>
    <w:rsid w:val="00FC22AB"/>
    <w:rsid w:val="00FC53DB"/>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559608F0"/>
  <w15:docId w15:val="{BCC973DD-A341-41A4-A350-9EED3E6F4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F267C2"/>
    <w:pPr>
      <w:spacing w:after="160" w:line="240" w:lineRule="exact"/>
    </w:pPr>
    <w:rPr>
      <w:rFonts w:asciiTheme="minorHAnsi" w:eastAsiaTheme="minorEastAsia" w:hAnsiTheme="minorHAnsi" w:cstheme="minorBidi"/>
      <w:vertAlign w:val="superscript"/>
      <w:lang w:val="fr-CA"/>
    </w:rPr>
  </w:style>
  <w:style w:type="character" w:customStyle="1" w:styleId="StyleFootnoteReferencenumberFootnoteReferenceSuperscript-EF">
    <w:name w:val="Style Footnote ReferencenumberFootnote Reference Superscript-E F..."/>
    <w:rsid w:val="00F267C2"/>
    <w:rPr>
      <w:kern w:val="22"/>
      <w:sz w:val="18"/>
      <w:u w:val="none"/>
      <w:vertAlign w:val="superscript"/>
    </w:rPr>
  </w:style>
  <w:style w:type="character" w:customStyle="1" w:styleId="ListParagraphChar">
    <w:name w:val="List Paragraph Char"/>
    <w:basedOn w:val="DefaultParagraphFont"/>
    <w:link w:val="ListParagraph"/>
    <w:uiPriority w:val="34"/>
    <w:qFormat/>
    <w:locked/>
    <w:rsid w:val="000E04FC"/>
    <w:rPr>
      <w:rFonts w:ascii="Times New Roman" w:eastAsia="Times New Roman" w:hAnsi="Times New Roman" w:cs="Times New Roman"/>
      <w:sz w:val="22"/>
      <w:lang w:val="en-GB"/>
    </w:rPr>
  </w:style>
  <w:style w:type="paragraph" w:styleId="CommentSubject">
    <w:name w:val="annotation subject"/>
    <w:basedOn w:val="CommentText"/>
    <w:next w:val="CommentText"/>
    <w:link w:val="CommentSubjectChar"/>
    <w:uiPriority w:val="99"/>
    <w:semiHidden/>
    <w:unhideWhenUsed/>
    <w:rsid w:val="00664450"/>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664450"/>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8745845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86BF7B7BD08544C4AE5448FC67876A34"/>
        <w:category>
          <w:name w:val="General"/>
          <w:gallery w:val="placeholder"/>
        </w:category>
        <w:types>
          <w:type w:val="bbPlcHdr"/>
        </w:types>
        <w:behaviors>
          <w:behavior w:val="content"/>
        </w:behaviors>
        <w:guid w:val="{09526BF6-00E1-4AB3-AB78-BEAAFDBCFC6E}"/>
      </w:docPartPr>
      <w:docPartBody>
        <w:p w:rsidR="008E355A" w:rsidRDefault="00F128EB" w:rsidP="00F128EB">
          <w:pPr>
            <w:pStyle w:val="86BF7B7BD08544C4AE5448FC67876A34"/>
          </w:pPr>
          <w:r w:rsidRPr="007E02EB">
            <w:rPr>
              <w:rStyle w:val="PlaceholderText"/>
            </w:rPr>
            <w:t>[Status]</w:t>
          </w:r>
        </w:p>
      </w:docPartBody>
    </w:docPart>
    <w:docPart>
      <w:docPartPr>
        <w:name w:val="1C7216CA2FC7411CB83CD37C44C82B4C"/>
        <w:category>
          <w:name w:val="General"/>
          <w:gallery w:val="placeholder"/>
        </w:category>
        <w:types>
          <w:type w:val="bbPlcHdr"/>
        </w:types>
        <w:behaviors>
          <w:behavior w:val="content"/>
        </w:behaviors>
        <w:guid w:val="{C78544D8-A40D-427B-B6C9-ED8EC8DFF62F}"/>
      </w:docPartPr>
      <w:docPartBody>
        <w:p w:rsidR="008E355A" w:rsidRDefault="00F128EB" w:rsidP="00F128EB">
          <w:pPr>
            <w:pStyle w:val="1C7216CA2FC7411CB83CD37C44C82B4C"/>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altName w:val="Helvetica"/>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76A8A"/>
    <w:rsid w:val="00261E9A"/>
    <w:rsid w:val="004B1B91"/>
    <w:rsid w:val="00500A2B"/>
    <w:rsid w:val="0058288D"/>
    <w:rsid w:val="0060174C"/>
    <w:rsid w:val="0063245B"/>
    <w:rsid w:val="006801B3"/>
    <w:rsid w:val="00720F63"/>
    <w:rsid w:val="007F1B76"/>
    <w:rsid w:val="00810A55"/>
    <w:rsid w:val="008C6619"/>
    <w:rsid w:val="008D420E"/>
    <w:rsid w:val="008E355A"/>
    <w:rsid w:val="0098642F"/>
    <w:rsid w:val="00A44126"/>
    <w:rsid w:val="00BB3F71"/>
    <w:rsid w:val="00CE6602"/>
    <w:rsid w:val="00F128EB"/>
    <w:rsid w:val="00FB0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76A8A"/>
    <w:rPr>
      <w:color w:val="808080"/>
    </w:rPr>
  </w:style>
  <w:style w:type="paragraph" w:customStyle="1" w:styleId="C444DEE40D7C456B82AF1A09CD132ABF">
    <w:name w:val="C444DEE40D7C456B82AF1A09CD132ABF"/>
    <w:rsid w:val="00CE6602"/>
    <w:pPr>
      <w:spacing w:after="160" w:line="259" w:lineRule="auto"/>
    </w:pPr>
  </w:style>
  <w:style w:type="paragraph" w:customStyle="1" w:styleId="86BF7B7BD08544C4AE5448FC67876A34">
    <w:name w:val="86BF7B7BD08544C4AE5448FC67876A34"/>
    <w:rsid w:val="00F128EB"/>
    <w:pPr>
      <w:spacing w:after="160" w:line="259" w:lineRule="auto"/>
    </w:pPr>
  </w:style>
  <w:style w:type="paragraph" w:customStyle="1" w:styleId="1C7216CA2FC7411CB83CD37C44C82B4C">
    <w:name w:val="1C7216CA2FC7411CB83CD37C44C82B4C"/>
    <w:rsid w:val="00F128EB"/>
    <w:pPr>
      <w:spacing w:after="160" w:line="259" w:lineRule="auto"/>
    </w:pPr>
  </w:style>
  <w:style w:type="paragraph" w:customStyle="1" w:styleId="7E3265F82E184F41A678CC88A1D0E700">
    <w:name w:val="7E3265F82E184F41A678CC88A1D0E700"/>
    <w:rsid w:val="00FB0667"/>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18C119-79BB-4329-ACD9-AF180CC8B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1371</Words>
  <Characters>7818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Decision adopted by the Conference of the Parties to the Convention on Biological Diversit</vt:lpstr>
    </vt:vector>
  </TitlesOfParts>
  <Company>SCBD</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14/25.	Knowledge management under the Convention and its Protocols</dc:title>
  <dc:subject>CBD/COP/DEC/14/25</dc:subject>
  <dc:creator>COP 14</dc:creator>
  <cp:keywords>Knowledge management and communication, decision adopted by the Conference of the Parties</cp:keywords>
  <dc:description>Conference of the Parties, Convention on Biological Diversity, knowledge management and communication</dc:description>
  <cp:lastModifiedBy>Orestes Plasencia</cp:lastModifiedBy>
  <cp:revision>4</cp:revision>
  <dcterms:created xsi:type="dcterms:W3CDTF">2018-12-05T21:25:00Z</dcterms:created>
  <dcterms:modified xsi:type="dcterms:W3CDTF">2018-12-05T21:27:00Z</dcterms:modified>
  <cp:contentStatus>GENERAL</cp:contentStatus>
</cp:coreProperties>
</file>