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aconcuadrcula"/>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5141"/>
        <w:gridCol w:w="4090"/>
      </w:tblGrid>
      <w:tr w:rsidR="005245AE" w:rsidRPr="003F58C5" w:rsidTr="00CC6E45">
        <w:trPr>
          <w:trHeight w:val="709"/>
        </w:trPr>
        <w:tc>
          <w:tcPr>
            <w:tcW w:w="976" w:type="dxa"/>
            <w:tcBorders>
              <w:bottom w:val="single" w:sz="12" w:space="0" w:color="auto"/>
            </w:tcBorders>
          </w:tcPr>
          <w:p w:rsidR="005245AE" w:rsidRPr="003F58C5" w:rsidRDefault="005245AE" w:rsidP="00CC6E45">
            <w:pPr>
              <w:rPr>
                <w:lang w:val="es-ES_tradnl"/>
              </w:rPr>
            </w:pPr>
            <w:r w:rsidRPr="003F58C5">
              <w:rPr>
                <w:noProof/>
                <w:lang w:val="es-ES_tradnl"/>
              </w:rPr>
              <w:drawing>
                <wp:inline distT="0" distB="0" distL="0" distR="0" wp14:anchorId="6FDF0FC5" wp14:editId="5B6CDFBE">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tcPr>
          <w:p w:rsidR="005245AE" w:rsidRPr="003F58C5" w:rsidRDefault="005245AE" w:rsidP="00CC6E45">
            <w:pPr>
              <w:rPr>
                <w:lang w:val="es-ES_tradnl"/>
              </w:rPr>
            </w:pPr>
            <w:r w:rsidRPr="003F58C5">
              <w:rPr>
                <w:noProof/>
                <w:lang w:val="es-ES_tradnl"/>
              </w:rPr>
              <w:drawing>
                <wp:inline distT="0" distB="0" distL="0" distR="0" wp14:anchorId="7AD05A81" wp14:editId="262D08F1">
                  <wp:extent cx="343700" cy="403200"/>
                  <wp:effectExtent l="0" t="0" r="12065" b="3810"/>
                  <wp:docPr id="3" name="Picture 3" descr="Macintosh HD:Users:bilodeau:Desktop:logos:template 2017:unep-ol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bilodeau:Desktop:logos:template 2017:unep-old.em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3700" cy="403200"/>
                          </a:xfrm>
                          <a:prstGeom prst="rect">
                            <a:avLst/>
                          </a:prstGeom>
                          <a:noFill/>
                          <a:ln>
                            <a:noFill/>
                          </a:ln>
                        </pic:spPr>
                      </pic:pic>
                    </a:graphicData>
                  </a:graphic>
                </wp:inline>
              </w:drawing>
            </w:r>
          </w:p>
        </w:tc>
        <w:tc>
          <w:tcPr>
            <w:tcW w:w="4090" w:type="dxa"/>
            <w:tcBorders>
              <w:bottom w:val="single" w:sz="12" w:space="0" w:color="auto"/>
            </w:tcBorders>
          </w:tcPr>
          <w:p w:rsidR="005245AE" w:rsidRPr="003F58C5" w:rsidRDefault="005245AE" w:rsidP="00CC6E45">
            <w:pPr>
              <w:jc w:val="right"/>
              <w:rPr>
                <w:rFonts w:ascii="Arial" w:hAnsi="Arial" w:cs="Arial"/>
                <w:b/>
                <w:sz w:val="32"/>
                <w:szCs w:val="32"/>
                <w:lang w:val="es-ES_tradnl"/>
              </w:rPr>
            </w:pPr>
            <w:r w:rsidRPr="003F58C5">
              <w:rPr>
                <w:rFonts w:ascii="Arial" w:hAnsi="Arial"/>
                <w:b/>
                <w:sz w:val="32"/>
                <w:szCs w:val="32"/>
                <w:lang w:val="es-ES_tradnl"/>
              </w:rPr>
              <w:t>CBD</w:t>
            </w:r>
          </w:p>
        </w:tc>
      </w:tr>
      <w:tr w:rsidR="005245AE" w:rsidRPr="003F58C5" w:rsidTr="00CC6E45">
        <w:tc>
          <w:tcPr>
            <w:tcW w:w="6117" w:type="dxa"/>
            <w:gridSpan w:val="2"/>
            <w:tcBorders>
              <w:top w:val="single" w:sz="12" w:space="0" w:color="auto"/>
              <w:bottom w:val="single" w:sz="36" w:space="0" w:color="auto"/>
            </w:tcBorders>
            <w:vAlign w:val="center"/>
          </w:tcPr>
          <w:p w:rsidR="005245AE" w:rsidRPr="003F58C5" w:rsidRDefault="003F58C5" w:rsidP="00CC6E45">
            <w:pPr>
              <w:rPr>
                <w:lang w:val="es-ES_tradnl"/>
              </w:rPr>
            </w:pPr>
            <w:r w:rsidRPr="003F58C5">
              <w:rPr>
                <w:noProof/>
                <w:lang w:val="es-ES_tradnl"/>
              </w:rPr>
              <w:drawing>
                <wp:inline distT="0" distB="0" distL="0" distR="0">
                  <wp:extent cx="2905125" cy="1076325"/>
                  <wp:effectExtent l="0" t="0" r="9525"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05125" cy="1076325"/>
                          </a:xfrm>
                          <a:prstGeom prst="rect">
                            <a:avLst/>
                          </a:prstGeom>
                          <a:noFill/>
                          <a:ln>
                            <a:noFill/>
                          </a:ln>
                        </pic:spPr>
                      </pic:pic>
                    </a:graphicData>
                  </a:graphic>
                </wp:inline>
              </w:drawing>
            </w:r>
          </w:p>
        </w:tc>
        <w:tc>
          <w:tcPr>
            <w:tcW w:w="4090" w:type="dxa"/>
            <w:tcBorders>
              <w:top w:val="single" w:sz="12" w:space="0" w:color="auto"/>
              <w:bottom w:val="single" w:sz="36" w:space="0" w:color="auto"/>
            </w:tcBorders>
          </w:tcPr>
          <w:p w:rsidR="005245AE" w:rsidRPr="003F58C5" w:rsidRDefault="005245AE" w:rsidP="00CC6E45">
            <w:pPr>
              <w:ind w:left="1215"/>
              <w:rPr>
                <w:szCs w:val="22"/>
                <w:lang w:val="es-ES_tradnl"/>
              </w:rPr>
            </w:pPr>
            <w:r w:rsidRPr="003F58C5">
              <w:rPr>
                <w:lang w:val="es-ES_tradnl"/>
              </w:rPr>
              <w:t>Distr.</w:t>
            </w:r>
          </w:p>
          <w:p w:rsidR="005245AE" w:rsidRPr="003F58C5" w:rsidRDefault="00D86CB5" w:rsidP="00CC6E45">
            <w:pPr>
              <w:ind w:left="1215"/>
              <w:rPr>
                <w:szCs w:val="22"/>
                <w:lang w:val="es-ES_tradnl"/>
              </w:rPr>
            </w:pPr>
            <w:sdt>
              <w:sdtPr>
                <w:rPr>
                  <w:caps/>
                  <w:szCs w:val="22"/>
                  <w:lang w:val="es-ES_tradnl"/>
                </w:rPr>
                <w:alias w:val="Status"/>
                <w:tag w:val=""/>
                <w:id w:val="307985777"/>
                <w:placeholder>
                  <w:docPart w:val="86BF7B7BD08544C4AE5448FC67876A34"/>
                </w:placeholder>
                <w:dataBinding w:prefixMappings="xmlns:ns0='http://purl.org/dc/elements/1.1/' xmlns:ns1='http://schemas.openxmlformats.org/package/2006/metadata/core-properties' " w:xpath="/ns1:coreProperties[1]/ns1:contentStatus[1]" w:storeItemID="{6C3C8BC8-F283-45AE-878A-BAB7291924A1}"/>
                <w:text/>
              </w:sdtPr>
              <w:sdtEndPr/>
              <w:sdtContent>
                <w:r w:rsidR="0018454D" w:rsidRPr="003F58C5">
                  <w:rPr>
                    <w:caps/>
                    <w:szCs w:val="22"/>
                    <w:lang w:val="es-ES_tradnl"/>
                  </w:rPr>
                  <w:t>GENERAL</w:t>
                </w:r>
              </w:sdtContent>
            </w:sdt>
          </w:p>
          <w:p w:rsidR="005245AE" w:rsidRPr="003F58C5" w:rsidRDefault="005245AE" w:rsidP="00CC6E45">
            <w:pPr>
              <w:ind w:left="1215"/>
              <w:rPr>
                <w:szCs w:val="22"/>
                <w:lang w:val="es-ES_tradnl"/>
              </w:rPr>
            </w:pPr>
          </w:p>
          <w:p w:rsidR="005245AE" w:rsidRPr="003F58C5" w:rsidRDefault="00D86CB5" w:rsidP="00CC6E45">
            <w:pPr>
              <w:ind w:left="1215"/>
              <w:rPr>
                <w:szCs w:val="22"/>
                <w:lang w:val="es-ES_tradnl"/>
              </w:rPr>
            </w:pPr>
            <w:sdt>
              <w:sdtPr>
                <w:rPr>
                  <w:lang w:val="es-ES_tradnl"/>
                </w:rPr>
                <w:alias w:val="Subject"/>
                <w:tag w:val=""/>
                <w:id w:val="2137136483"/>
                <w:placeholder>
                  <w:docPart w:val="1C7216CA2FC7411CB83CD37C44C82B4C"/>
                </w:placeholder>
                <w:dataBinding w:prefixMappings="xmlns:ns0='http://purl.org/dc/elements/1.1/' xmlns:ns1='http://schemas.openxmlformats.org/package/2006/metadata/core-properties' " w:xpath="/ns1:coreProperties[1]/ns0:subject[1]" w:storeItemID="{6C3C8BC8-F283-45AE-878A-BAB7291924A1}"/>
                <w:text/>
              </w:sdtPr>
              <w:sdtEndPr/>
              <w:sdtContent>
                <w:r w:rsidR="0018454D" w:rsidRPr="003F58C5">
                  <w:rPr>
                    <w:lang w:val="es-ES_tradnl"/>
                  </w:rPr>
                  <w:t>CBD/COP/DEC/14/25</w:t>
                </w:r>
              </w:sdtContent>
            </w:sdt>
          </w:p>
          <w:p w:rsidR="005245AE" w:rsidRPr="003F58C5" w:rsidRDefault="003379A1" w:rsidP="00CC6E45">
            <w:pPr>
              <w:ind w:left="1215"/>
              <w:rPr>
                <w:szCs w:val="22"/>
                <w:lang w:val="es-ES_tradnl"/>
              </w:rPr>
            </w:pPr>
            <w:r w:rsidRPr="003F58C5">
              <w:rPr>
                <w:lang w:val="es-ES_tradnl"/>
              </w:rPr>
              <w:t>30 de noviembre de 2018</w:t>
            </w:r>
          </w:p>
          <w:p w:rsidR="005245AE" w:rsidRPr="003F58C5" w:rsidRDefault="005245AE" w:rsidP="00CC6E45">
            <w:pPr>
              <w:ind w:left="1215"/>
              <w:rPr>
                <w:szCs w:val="22"/>
                <w:lang w:val="es-ES_tradnl"/>
              </w:rPr>
            </w:pPr>
          </w:p>
          <w:p w:rsidR="003F58C5" w:rsidRPr="003F58C5" w:rsidRDefault="005245AE" w:rsidP="00CC6E45">
            <w:pPr>
              <w:ind w:left="1215"/>
              <w:rPr>
                <w:lang w:val="es-ES_tradnl"/>
              </w:rPr>
            </w:pPr>
            <w:r w:rsidRPr="003F58C5">
              <w:rPr>
                <w:lang w:val="es-ES_tradnl"/>
              </w:rPr>
              <w:t>ESPAÑOL</w:t>
            </w:r>
          </w:p>
          <w:p w:rsidR="005245AE" w:rsidRPr="003F58C5" w:rsidRDefault="005245AE" w:rsidP="00CC6E45">
            <w:pPr>
              <w:ind w:left="1215"/>
              <w:rPr>
                <w:szCs w:val="22"/>
                <w:lang w:val="es-ES_tradnl"/>
              </w:rPr>
            </w:pPr>
            <w:r w:rsidRPr="003F58C5">
              <w:rPr>
                <w:lang w:val="es-ES_tradnl"/>
              </w:rPr>
              <w:t>ORIGINAL:</w:t>
            </w:r>
            <w:r w:rsidR="003F58C5" w:rsidRPr="003F58C5">
              <w:rPr>
                <w:lang w:val="es-ES_tradnl"/>
              </w:rPr>
              <w:t xml:space="preserve"> </w:t>
            </w:r>
            <w:r w:rsidRPr="003F58C5">
              <w:rPr>
                <w:lang w:val="es-ES_tradnl"/>
              </w:rPr>
              <w:t>INGLÉS</w:t>
            </w:r>
          </w:p>
          <w:p w:rsidR="005245AE" w:rsidRPr="003F58C5" w:rsidRDefault="005245AE" w:rsidP="00CC6E45">
            <w:pPr>
              <w:rPr>
                <w:lang w:val="es-ES_tradnl"/>
              </w:rPr>
            </w:pPr>
          </w:p>
        </w:tc>
      </w:tr>
    </w:tbl>
    <w:p w:rsidR="0061445E" w:rsidRPr="003F58C5" w:rsidRDefault="0061445E" w:rsidP="0061445E">
      <w:pPr>
        <w:pStyle w:val="Sinespaciado"/>
        <w:ind w:left="142" w:right="4682" w:hanging="142"/>
        <w:rPr>
          <w:rFonts w:ascii="Times New Roman" w:hAnsi="Times New Roman"/>
          <w:kern w:val="22"/>
          <w:lang w:val="es-ES_tradnl"/>
        </w:rPr>
      </w:pPr>
      <w:r w:rsidRPr="003F58C5">
        <w:rPr>
          <w:rFonts w:ascii="Times New Roman" w:hAnsi="Times New Roman"/>
          <w:lang w:val="es-ES_tradnl"/>
        </w:rPr>
        <w:t>CONFERENCIA DE LAS PARTES EN EL CONVENIO SOBRE LA DIVERSIDAD BIOLÓGICA</w:t>
      </w:r>
    </w:p>
    <w:p w:rsidR="0061445E" w:rsidRPr="003F58C5" w:rsidRDefault="0061445E" w:rsidP="0061445E">
      <w:pPr>
        <w:pStyle w:val="Sinespaciado"/>
        <w:rPr>
          <w:rFonts w:ascii="Times New Roman" w:hAnsi="Times New Roman"/>
          <w:kern w:val="22"/>
          <w:lang w:val="es-ES_tradnl"/>
        </w:rPr>
      </w:pPr>
      <w:r w:rsidRPr="003F58C5">
        <w:rPr>
          <w:rFonts w:ascii="Times New Roman" w:hAnsi="Times New Roman"/>
          <w:lang w:val="es-ES_tradnl"/>
        </w:rPr>
        <w:t>Decimocuarta reunión</w:t>
      </w:r>
    </w:p>
    <w:p w:rsidR="0061445E" w:rsidRPr="003F58C5" w:rsidRDefault="0061445E" w:rsidP="0061445E">
      <w:pPr>
        <w:pStyle w:val="Sinespaciado"/>
        <w:rPr>
          <w:rFonts w:ascii="Times New Roman" w:hAnsi="Times New Roman"/>
          <w:kern w:val="22"/>
          <w:lang w:val="es-ES_tradnl"/>
        </w:rPr>
      </w:pPr>
      <w:r w:rsidRPr="003F58C5">
        <w:rPr>
          <w:rFonts w:ascii="Times New Roman" w:hAnsi="Times New Roman"/>
          <w:lang w:val="es-ES_tradnl"/>
        </w:rPr>
        <w:t>Sharm el-Sheikh (Egipto), 17 a 29 de noviembre de 2018</w:t>
      </w:r>
    </w:p>
    <w:p w:rsidR="00C9161D" w:rsidRPr="003F58C5" w:rsidRDefault="00F267C2" w:rsidP="00C9161D">
      <w:pPr>
        <w:rPr>
          <w:kern w:val="22"/>
          <w:szCs w:val="22"/>
          <w:lang w:val="es-ES_tradnl"/>
        </w:rPr>
      </w:pPr>
      <w:r w:rsidRPr="003F58C5">
        <w:rPr>
          <w:lang w:val="es-ES_tradnl"/>
        </w:rPr>
        <w:t>Tema</w:t>
      </w:r>
      <w:r w:rsidR="003F58C5">
        <w:rPr>
          <w:lang w:val="es-ES_tradnl"/>
        </w:rPr>
        <w:t> </w:t>
      </w:r>
      <w:r w:rsidRPr="003F58C5">
        <w:rPr>
          <w:lang w:val="es-ES_tradnl"/>
        </w:rPr>
        <w:t>11 del programa</w:t>
      </w:r>
    </w:p>
    <w:p w:rsidR="00C9161D" w:rsidRPr="003F58C5" w:rsidRDefault="00DF14AA" w:rsidP="000C104E">
      <w:pPr>
        <w:spacing w:before="240" w:after="120"/>
        <w:jc w:val="center"/>
        <w:rPr>
          <w:rFonts w:ascii="Times New Roman Bold" w:hAnsi="Times New Roman Bold"/>
          <w:b/>
          <w:caps/>
          <w:kern w:val="22"/>
          <w:szCs w:val="22"/>
          <w:lang w:val="es-ES_tradnl"/>
        </w:rPr>
      </w:pPr>
      <w:bookmarkStart w:id="0" w:name="_Hlk531788339"/>
      <w:r w:rsidRPr="003F58C5">
        <w:rPr>
          <w:rFonts w:ascii="Times New Roman Bold" w:hAnsi="Times New Roman Bold"/>
          <w:b/>
          <w:caps/>
          <w:szCs w:val="22"/>
          <w:lang w:val="es-ES_tradnl"/>
        </w:rPr>
        <w:t>Decisión adoptada por la Conferencia de las Partes en el Convenio sobre la Diversidad Biológica</w:t>
      </w:r>
      <w:bookmarkEnd w:id="0"/>
    </w:p>
    <w:p w:rsidR="0018454D" w:rsidRPr="003F58C5" w:rsidRDefault="0086268D" w:rsidP="004655B7">
      <w:pPr>
        <w:pStyle w:val="recommendationheader"/>
        <w:rPr>
          <w:lang w:val="es-ES_tradnl"/>
        </w:rPr>
      </w:pPr>
      <w:r w:rsidRPr="003F58C5">
        <w:rPr>
          <w:lang w:val="es-ES_tradnl"/>
        </w:rPr>
        <w:fldChar w:fldCharType="begin"/>
      </w:r>
      <w:r w:rsidRPr="003F58C5">
        <w:rPr>
          <w:lang w:val="es-ES_tradnl"/>
        </w:rPr>
        <w:instrText xml:space="preserve"> TITLE  \* FirstCap  \* MERGEFORMAT </w:instrText>
      </w:r>
      <w:r w:rsidRPr="003F58C5">
        <w:rPr>
          <w:lang w:val="es-ES_tradnl"/>
        </w:rPr>
        <w:fldChar w:fldCharType="separate"/>
      </w:r>
      <w:r w:rsidR="00AD7322" w:rsidRPr="003F58C5">
        <w:rPr>
          <w:lang w:val="es-ES_tradnl"/>
        </w:rPr>
        <w:t>14/25.</w:t>
      </w:r>
      <w:r w:rsidR="00AD7322" w:rsidRPr="003F58C5">
        <w:rPr>
          <w:lang w:val="es-ES_tradnl"/>
        </w:rPr>
        <w:tab/>
      </w:r>
      <w:sdt>
        <w:sdtPr>
          <w:rPr>
            <w:rFonts w:ascii="Times New Roman Bold" w:hAnsi="Times New Roman Bold"/>
            <w:kern w:val="22"/>
            <w:szCs w:val="22"/>
            <w:lang w:val="es-ES_tradnl"/>
          </w:rPr>
          <w:alias w:val="Title"/>
          <w:tag w:val=""/>
          <w:id w:val="772832786"/>
          <w:placeholder>
            <w:docPart w:val="3D14A1746008461CA986F6879E0A416F"/>
          </w:placeholder>
          <w:dataBinding w:prefixMappings="xmlns:ns0='http://purl.org/dc/elements/1.1/' xmlns:ns1='http://schemas.openxmlformats.org/package/2006/metadata/core-properties' " w:xpath="/ns1:coreProperties[1]/ns0:title[1]" w:storeItemID="{6C3C8BC8-F283-45AE-878A-BAB7291924A1}"/>
          <w:text/>
        </w:sdtPr>
        <w:sdtEndPr/>
        <w:sdtContent>
          <w:r w:rsidR="003F58C5" w:rsidRPr="003F58C5">
            <w:rPr>
              <w:rFonts w:ascii="Times New Roman Bold" w:hAnsi="Times New Roman Bold"/>
              <w:kern w:val="22"/>
              <w:szCs w:val="22"/>
              <w:lang w:val="es-ES_tradnl"/>
            </w:rPr>
            <w:t>Gestión de los conocimientos en el marco del Convenio y los Protocolos</w:t>
          </w:r>
        </w:sdtContent>
      </w:sdt>
      <w:r w:rsidR="003F58C5" w:rsidRPr="003F58C5">
        <w:rPr>
          <w:lang w:val="es-ES_tradnl"/>
        </w:rPr>
        <w:t xml:space="preserve"> </w:t>
      </w:r>
      <w:r w:rsidRPr="003F58C5">
        <w:rPr>
          <w:lang w:val="es-ES_tradnl"/>
        </w:rPr>
        <w:fldChar w:fldCharType="end"/>
      </w:r>
    </w:p>
    <w:p w:rsidR="00F267C2" w:rsidRPr="003F58C5" w:rsidRDefault="00F267C2" w:rsidP="004655B7">
      <w:pPr>
        <w:keepNext/>
        <w:suppressLineNumbers/>
        <w:suppressAutoHyphens/>
        <w:kinsoku w:val="0"/>
        <w:overflowPunct w:val="0"/>
        <w:autoSpaceDE w:val="0"/>
        <w:autoSpaceDN w:val="0"/>
        <w:adjustRightInd w:val="0"/>
        <w:snapToGrid w:val="0"/>
        <w:spacing w:before="120" w:after="120" w:line="228" w:lineRule="auto"/>
        <w:ind w:firstLine="720"/>
        <w:rPr>
          <w:i/>
          <w:kern w:val="22"/>
          <w:szCs w:val="22"/>
          <w:lang w:val="es-ES_tradnl"/>
        </w:rPr>
      </w:pPr>
      <w:r w:rsidRPr="003F58C5">
        <w:rPr>
          <w:i/>
          <w:szCs w:val="22"/>
          <w:lang w:val="es-ES_tradnl"/>
        </w:rPr>
        <w:t>La Conferencia de las Partes,</w:t>
      </w:r>
    </w:p>
    <w:p w:rsidR="00664450" w:rsidRPr="003F58C5" w:rsidRDefault="00664450" w:rsidP="004655B7">
      <w:pPr>
        <w:pStyle w:val="Para1"/>
        <w:numPr>
          <w:ilvl w:val="0"/>
          <w:numId w:val="0"/>
        </w:numPr>
        <w:suppressLineNumbers/>
        <w:suppressAutoHyphens/>
        <w:spacing w:line="228" w:lineRule="auto"/>
        <w:ind w:firstLine="709"/>
        <w:rPr>
          <w:i/>
          <w:snapToGrid/>
          <w:kern w:val="22"/>
          <w:szCs w:val="22"/>
          <w:lang w:val="es-ES_tradnl"/>
        </w:rPr>
      </w:pPr>
      <w:r w:rsidRPr="003F58C5">
        <w:rPr>
          <w:i/>
          <w:snapToGrid/>
          <w:szCs w:val="22"/>
          <w:lang w:val="es-ES_tradnl"/>
        </w:rPr>
        <w:t>Recordando las decisiones </w:t>
      </w:r>
      <w:r w:rsidRPr="003F58C5">
        <w:rPr>
          <w:lang w:val="es-ES_tradnl"/>
        </w:rPr>
        <w:t>XIII/23, XIII/31, XII/2 B, XI/24 y X/15,</w:t>
      </w:r>
    </w:p>
    <w:p w:rsidR="00F267C2" w:rsidRPr="003F58C5" w:rsidRDefault="00F267C2" w:rsidP="004655B7">
      <w:pPr>
        <w:pStyle w:val="Para1"/>
        <w:numPr>
          <w:ilvl w:val="0"/>
          <w:numId w:val="0"/>
        </w:numPr>
        <w:suppressLineNumbers/>
        <w:suppressAutoHyphens/>
        <w:kinsoku w:val="0"/>
        <w:overflowPunct w:val="0"/>
        <w:autoSpaceDE w:val="0"/>
        <w:autoSpaceDN w:val="0"/>
        <w:adjustRightInd w:val="0"/>
        <w:snapToGrid w:val="0"/>
        <w:spacing w:line="228" w:lineRule="auto"/>
        <w:ind w:firstLine="720"/>
        <w:rPr>
          <w:snapToGrid/>
          <w:kern w:val="22"/>
          <w:szCs w:val="22"/>
          <w:lang w:val="es-ES_tradnl"/>
        </w:rPr>
      </w:pPr>
      <w:r w:rsidRPr="003F58C5">
        <w:rPr>
          <w:i/>
          <w:snapToGrid/>
          <w:szCs w:val="22"/>
          <w:lang w:val="es-ES_tradnl"/>
        </w:rPr>
        <w:t>Observando</w:t>
      </w:r>
      <w:r w:rsidRPr="003F58C5">
        <w:rPr>
          <w:snapToGrid/>
          <w:szCs w:val="22"/>
          <w:lang w:val="es-ES_tradnl"/>
        </w:rPr>
        <w:t xml:space="preserve"> los progresos realizados en la puesta en práctica de la Estrategia Web del Convenio y sus Protocolos y el desarrollo de mecanismos de facilitación nacionales, incluida la puesta en funcionamiento de la herramienta Bioland por la Secretaria Ejecutiva para ayudar a las Partes a establecer o mejorar sus mecanismos de facilitación nacionales</w:t>
      </w:r>
      <w:r w:rsidRPr="003F58C5">
        <w:rPr>
          <w:rStyle w:val="Refdenotaalpie"/>
          <w:snapToGrid/>
          <w:kern w:val="22"/>
          <w:szCs w:val="22"/>
          <w:lang w:val="es-ES_tradnl"/>
        </w:rPr>
        <w:footnoteReference w:id="1"/>
      </w:r>
      <w:r w:rsidRPr="003F58C5">
        <w:rPr>
          <w:snapToGrid/>
          <w:szCs w:val="22"/>
          <w:lang w:val="es-ES_tradnl"/>
        </w:rPr>
        <w:t>,</w:t>
      </w:r>
    </w:p>
    <w:p w:rsidR="00664450" w:rsidRPr="003F58C5" w:rsidRDefault="00664450" w:rsidP="004655B7">
      <w:pPr>
        <w:pStyle w:val="Para1"/>
        <w:numPr>
          <w:ilvl w:val="0"/>
          <w:numId w:val="0"/>
        </w:numPr>
        <w:suppressLineNumbers/>
        <w:suppressAutoHyphens/>
        <w:spacing w:line="228" w:lineRule="auto"/>
        <w:ind w:firstLine="709"/>
        <w:rPr>
          <w:rFonts w:eastAsia="Malgun Gothic"/>
          <w:kern w:val="22"/>
          <w:szCs w:val="22"/>
          <w:lang w:val="es-ES_tradnl"/>
        </w:rPr>
      </w:pPr>
      <w:r w:rsidRPr="003F58C5">
        <w:rPr>
          <w:i/>
          <w:lang w:val="es-ES_tradnl"/>
        </w:rPr>
        <w:t>Reconociendo</w:t>
      </w:r>
      <w:r w:rsidRPr="003F58C5">
        <w:rPr>
          <w:snapToGrid/>
          <w:szCs w:val="22"/>
          <w:lang w:val="es-ES_tradnl"/>
        </w:rPr>
        <w:t xml:space="preserve"> la necesidad de recopilar, organizar e intercambiar conocimientos y experiencias sobre la diversidad biológica, incluidos conocimientos tradicionales, para facilitar y apoyar una mayor aplicación del Convenio y sus Protocolos</w:t>
      </w:r>
      <w:r w:rsidRPr="003F58C5">
        <w:rPr>
          <w:lang w:val="es-ES_tradnl"/>
        </w:rPr>
        <w:t>,</w:t>
      </w:r>
    </w:p>
    <w:p w:rsidR="0081569C" w:rsidRPr="003F58C5" w:rsidRDefault="0081569C" w:rsidP="004655B7">
      <w:pPr>
        <w:pStyle w:val="Para1"/>
        <w:numPr>
          <w:ilvl w:val="0"/>
          <w:numId w:val="0"/>
        </w:numPr>
        <w:suppressLineNumbers/>
        <w:suppressAutoHyphens/>
        <w:spacing w:line="228" w:lineRule="auto"/>
        <w:ind w:firstLine="709"/>
        <w:rPr>
          <w:snapToGrid/>
          <w:kern w:val="22"/>
          <w:szCs w:val="22"/>
          <w:lang w:val="es-ES_tradnl"/>
        </w:rPr>
      </w:pPr>
      <w:r w:rsidRPr="003F58C5">
        <w:rPr>
          <w:i/>
          <w:snapToGrid/>
          <w:szCs w:val="22"/>
          <w:lang w:val="es-ES_tradnl"/>
        </w:rPr>
        <w:t>Reconociendo</w:t>
      </w:r>
      <w:r w:rsidRPr="003F58C5">
        <w:rPr>
          <w:snapToGrid/>
          <w:szCs w:val="22"/>
          <w:lang w:val="es-ES_tradnl"/>
        </w:rPr>
        <w:t xml:space="preserve"> que se requieren datos de acceso abierto y herramientas de código abierto, que constituyen un requisito para una gestión eficaz de los conocimientos, especialmente en los países en desarrollo,</w:t>
      </w:r>
    </w:p>
    <w:p w:rsidR="00664450" w:rsidRPr="003F58C5" w:rsidRDefault="00664450" w:rsidP="004655B7">
      <w:pPr>
        <w:suppressLineNumbers/>
        <w:suppressAutoHyphens/>
        <w:spacing w:before="120" w:after="120" w:line="228" w:lineRule="auto"/>
        <w:ind w:firstLine="709"/>
        <w:rPr>
          <w:iCs/>
          <w:spacing w:val="-1"/>
          <w:kern w:val="22"/>
          <w:szCs w:val="22"/>
          <w:lang w:val="es-ES_tradnl"/>
        </w:rPr>
      </w:pPr>
      <w:r w:rsidRPr="003F58C5">
        <w:rPr>
          <w:i/>
          <w:lang w:val="es-ES_tradnl"/>
        </w:rPr>
        <w:t>Poniendo de relieve</w:t>
      </w:r>
      <w:r w:rsidRPr="003F58C5">
        <w:rPr>
          <w:lang w:val="es-ES_tradnl"/>
        </w:rPr>
        <w:t xml:space="preserve"> la necesidad de fortalecer la coherencia e integración entre el mecanismo de facilitación del Convenio, el Centro de Intercambio de Información sobre Seguridad de la Biotecnología y el Centro de Intercambio de Información sobre Acceso y Participación en los Beneficios,</w:t>
      </w:r>
    </w:p>
    <w:p w:rsidR="00664450" w:rsidRPr="003F58C5" w:rsidRDefault="00D925EE" w:rsidP="004655B7">
      <w:pPr>
        <w:pStyle w:val="Prrafodelista"/>
        <w:numPr>
          <w:ilvl w:val="0"/>
          <w:numId w:val="22"/>
        </w:numPr>
        <w:suppressLineNumbers/>
        <w:suppressAutoHyphens/>
        <w:spacing w:before="120" w:after="120" w:line="228" w:lineRule="auto"/>
        <w:ind w:left="0" w:firstLine="709"/>
        <w:contextualSpacing w:val="0"/>
        <w:rPr>
          <w:kern w:val="22"/>
          <w:szCs w:val="22"/>
          <w:lang w:val="es-ES_tradnl"/>
        </w:rPr>
      </w:pPr>
      <w:r w:rsidRPr="003F58C5">
        <w:rPr>
          <w:i/>
          <w:lang w:val="es-ES_tradnl"/>
        </w:rPr>
        <w:t>Hace suyas</w:t>
      </w:r>
      <w:r w:rsidRPr="003F58C5">
        <w:rPr>
          <w:lang w:val="es-ES_tradnl"/>
        </w:rPr>
        <w:t xml:space="preserve"> las modalidades conjuntas de funcionamiento para el mecanismo de facilitación del Convenio, el Centro de Intercambio de Información sobre Seguridad de la Biotecnología y el Centro de Intercambio de Información sobre Acceso y Participación en los Beneficios, preparadas por la Secretaria Ejecutiva con las aportaciones de los comités asesores oficiosos, que figuran en el anexo I de la presente decisión;</w:t>
      </w:r>
    </w:p>
    <w:p w:rsidR="000E04FC" w:rsidRPr="003F58C5" w:rsidRDefault="00F267C2" w:rsidP="004655B7">
      <w:pPr>
        <w:pStyle w:val="Para1"/>
        <w:numPr>
          <w:ilvl w:val="0"/>
          <w:numId w:val="22"/>
        </w:numPr>
        <w:suppressLineNumbers/>
        <w:suppressAutoHyphens/>
        <w:kinsoku w:val="0"/>
        <w:overflowPunct w:val="0"/>
        <w:autoSpaceDE w:val="0"/>
        <w:autoSpaceDN w:val="0"/>
        <w:adjustRightInd w:val="0"/>
        <w:snapToGrid w:val="0"/>
        <w:spacing w:line="228" w:lineRule="auto"/>
        <w:ind w:left="0" w:firstLine="709"/>
        <w:rPr>
          <w:snapToGrid/>
          <w:kern w:val="22"/>
          <w:szCs w:val="22"/>
          <w:lang w:val="es-ES_tradnl"/>
        </w:rPr>
      </w:pPr>
      <w:r w:rsidRPr="003F58C5">
        <w:rPr>
          <w:i/>
          <w:snapToGrid/>
          <w:szCs w:val="22"/>
          <w:lang w:val="es-ES_tradnl"/>
        </w:rPr>
        <w:t>Invita</w:t>
      </w:r>
      <w:r w:rsidRPr="003F58C5">
        <w:rPr>
          <w:snapToGrid/>
          <w:szCs w:val="22"/>
          <w:lang w:val="es-ES_tradnl"/>
        </w:rPr>
        <w:t xml:space="preserve"> a las Partes y otros Gobiernos que no tengan mecanismos de facilitación nacionales, así como a aquellos que deseen rediseñar los mecanismos existentes, a utilizar la herramienta Bioland desarrollada por la Secretaria Ejecutiva;</w:t>
      </w:r>
    </w:p>
    <w:p w:rsidR="00F267C2" w:rsidRPr="003F58C5" w:rsidRDefault="00F267C2" w:rsidP="004655B7">
      <w:pPr>
        <w:pStyle w:val="Para1"/>
        <w:numPr>
          <w:ilvl w:val="0"/>
          <w:numId w:val="22"/>
        </w:numPr>
        <w:suppressLineNumbers/>
        <w:suppressAutoHyphens/>
        <w:kinsoku w:val="0"/>
        <w:overflowPunct w:val="0"/>
        <w:autoSpaceDE w:val="0"/>
        <w:autoSpaceDN w:val="0"/>
        <w:adjustRightInd w:val="0"/>
        <w:snapToGrid w:val="0"/>
        <w:spacing w:line="228" w:lineRule="auto"/>
        <w:ind w:left="0" w:firstLine="709"/>
        <w:rPr>
          <w:snapToGrid/>
          <w:kern w:val="22"/>
          <w:szCs w:val="22"/>
          <w:lang w:val="es-ES_tradnl"/>
        </w:rPr>
      </w:pPr>
      <w:r w:rsidRPr="003F58C5">
        <w:rPr>
          <w:i/>
          <w:snapToGrid/>
          <w:szCs w:val="22"/>
          <w:lang w:val="es-ES_tradnl"/>
        </w:rPr>
        <w:t>Invita</w:t>
      </w:r>
      <w:r w:rsidRPr="003F58C5">
        <w:rPr>
          <w:snapToGrid/>
          <w:szCs w:val="22"/>
          <w:lang w:val="es-ES_tradnl"/>
        </w:rPr>
        <w:t xml:space="preserve"> a las Partes, otros Gobiernos y organizaciones pertinentes, según proceda, a continuar proporcionando los recursos financieros, técnicos y humanos necesarios a fin de brindar apoyo destinado a seguir desarrollando mecanismos de facilitación nacionales, o para la migración de los sitios web de los mecanismos de facilitación nacionales existentes a la herramienta Bioland;</w:t>
      </w:r>
    </w:p>
    <w:p w:rsidR="00F267C2" w:rsidRPr="003F58C5" w:rsidRDefault="00F267C2" w:rsidP="004655B7">
      <w:pPr>
        <w:pStyle w:val="Para1"/>
        <w:numPr>
          <w:ilvl w:val="0"/>
          <w:numId w:val="22"/>
        </w:numPr>
        <w:suppressLineNumbers/>
        <w:suppressAutoHyphens/>
        <w:kinsoku w:val="0"/>
        <w:overflowPunct w:val="0"/>
        <w:autoSpaceDE w:val="0"/>
        <w:autoSpaceDN w:val="0"/>
        <w:adjustRightInd w:val="0"/>
        <w:snapToGrid w:val="0"/>
        <w:spacing w:line="228" w:lineRule="auto"/>
        <w:ind w:left="0" w:firstLine="709"/>
        <w:rPr>
          <w:snapToGrid/>
          <w:kern w:val="22"/>
          <w:szCs w:val="22"/>
          <w:lang w:val="es-ES_tradnl"/>
        </w:rPr>
      </w:pPr>
      <w:r w:rsidRPr="003F58C5">
        <w:rPr>
          <w:i/>
          <w:snapToGrid/>
          <w:szCs w:val="22"/>
          <w:lang w:val="es-ES_tradnl"/>
        </w:rPr>
        <w:lastRenderedPageBreak/>
        <w:t>Pide</w:t>
      </w:r>
      <w:r w:rsidRPr="003F58C5">
        <w:rPr>
          <w:snapToGrid/>
          <w:szCs w:val="22"/>
          <w:lang w:val="es-ES_tradnl"/>
        </w:rPr>
        <w:t xml:space="preserve"> a la Secretaria Ejecutiva que, con sujeción a la disponibilidad de recursos:</w:t>
      </w:r>
    </w:p>
    <w:p w:rsidR="002B4F7B" w:rsidRPr="003F58C5" w:rsidRDefault="00777435" w:rsidP="004655B7">
      <w:pPr>
        <w:suppressLineNumbers/>
        <w:suppressAutoHyphens/>
        <w:kinsoku w:val="0"/>
        <w:overflowPunct w:val="0"/>
        <w:autoSpaceDE w:val="0"/>
        <w:autoSpaceDN w:val="0"/>
        <w:adjustRightInd w:val="0"/>
        <w:snapToGrid w:val="0"/>
        <w:spacing w:after="120" w:line="228" w:lineRule="auto"/>
        <w:ind w:firstLine="720"/>
        <w:rPr>
          <w:kern w:val="22"/>
          <w:szCs w:val="22"/>
          <w:lang w:val="es-ES_tradnl"/>
        </w:rPr>
      </w:pPr>
      <w:r w:rsidRPr="003F58C5">
        <w:rPr>
          <w:lang w:val="es-ES_tradnl"/>
        </w:rPr>
        <w:t>a)</w:t>
      </w:r>
      <w:r w:rsidRPr="003F58C5">
        <w:rPr>
          <w:lang w:val="es-ES_tradnl"/>
        </w:rPr>
        <w:tab/>
        <w:t>Continúe implementando el programa de trabajo para el mecanismo de facilitación en apoyo al Plan Estratégico para la Diversidad Biológica 2011-2020</w:t>
      </w:r>
      <w:r w:rsidR="009E0CBB" w:rsidRPr="003F58C5">
        <w:rPr>
          <w:rStyle w:val="Refdenotaalpie"/>
          <w:kern w:val="22"/>
          <w:szCs w:val="22"/>
          <w:lang w:val="es-ES_tradnl"/>
        </w:rPr>
        <w:footnoteReference w:id="2"/>
      </w:r>
      <w:r w:rsidRPr="003F58C5">
        <w:rPr>
          <w:lang w:val="es-ES_tradnl"/>
        </w:rPr>
        <w:t xml:space="preserve"> y la Agenda 2030 para el Desarrollo Sostenible</w:t>
      </w:r>
      <w:r w:rsidR="009E0CBB" w:rsidRPr="003F58C5">
        <w:rPr>
          <w:rStyle w:val="Refdenotaalpie"/>
          <w:kern w:val="22"/>
          <w:szCs w:val="22"/>
          <w:lang w:val="es-ES_tradnl"/>
        </w:rPr>
        <w:footnoteReference w:id="3"/>
      </w:r>
      <w:r w:rsidRPr="003F58C5">
        <w:rPr>
          <w:lang w:val="es-ES_tradnl"/>
        </w:rPr>
        <w:t xml:space="preserve"> con la orientación del Comité Asesor Oficioso para el Mecanismo de Facilitación;</w:t>
      </w:r>
    </w:p>
    <w:p w:rsidR="00F267C2" w:rsidRPr="003F58C5" w:rsidRDefault="00777435" w:rsidP="004655B7">
      <w:pPr>
        <w:suppressLineNumbers/>
        <w:suppressAutoHyphens/>
        <w:kinsoku w:val="0"/>
        <w:overflowPunct w:val="0"/>
        <w:autoSpaceDE w:val="0"/>
        <w:autoSpaceDN w:val="0"/>
        <w:adjustRightInd w:val="0"/>
        <w:snapToGrid w:val="0"/>
        <w:spacing w:after="120" w:line="228" w:lineRule="auto"/>
        <w:ind w:firstLine="720"/>
        <w:rPr>
          <w:kern w:val="22"/>
          <w:szCs w:val="22"/>
          <w:lang w:val="es-ES_tradnl"/>
        </w:rPr>
      </w:pPr>
      <w:r w:rsidRPr="003F58C5">
        <w:rPr>
          <w:lang w:val="es-ES_tradnl"/>
        </w:rPr>
        <w:t>b)</w:t>
      </w:r>
      <w:r w:rsidRPr="003F58C5">
        <w:rPr>
          <w:lang w:val="es-ES_tradnl"/>
        </w:rPr>
        <w:tab/>
        <w:t>Continúe apoyando los esfuerzos de las Partes para establecer, mantener y seguir desarrollando sus mecanismos de facilitación nacionales, entre otras cosas, mediante lo siguiente:</w:t>
      </w:r>
    </w:p>
    <w:p w:rsidR="00F267C2" w:rsidRPr="003F58C5" w:rsidRDefault="00F267C2" w:rsidP="004655B7">
      <w:pPr>
        <w:suppressLineNumbers/>
        <w:suppressAutoHyphens/>
        <w:kinsoku w:val="0"/>
        <w:overflowPunct w:val="0"/>
        <w:autoSpaceDE w:val="0"/>
        <w:autoSpaceDN w:val="0"/>
        <w:adjustRightInd w:val="0"/>
        <w:snapToGrid w:val="0"/>
        <w:spacing w:after="120" w:line="228" w:lineRule="auto"/>
        <w:ind w:left="1440" w:hanging="720"/>
        <w:rPr>
          <w:kern w:val="22"/>
          <w:szCs w:val="22"/>
          <w:lang w:val="es-ES_tradnl"/>
        </w:rPr>
      </w:pPr>
      <w:r w:rsidRPr="003F58C5">
        <w:rPr>
          <w:lang w:val="es-ES_tradnl"/>
        </w:rPr>
        <w:t>i)</w:t>
      </w:r>
      <w:r w:rsidRPr="003F58C5">
        <w:rPr>
          <w:lang w:val="es-ES_tradnl"/>
        </w:rPr>
        <w:tab/>
        <w:t>El desarrollo y la promoción continuos de la herramienta Bioland;</w:t>
      </w:r>
    </w:p>
    <w:p w:rsidR="00936F43" w:rsidRPr="003F58C5" w:rsidRDefault="00F267C2" w:rsidP="004655B7">
      <w:pPr>
        <w:suppressLineNumbers/>
        <w:suppressAutoHyphens/>
        <w:kinsoku w:val="0"/>
        <w:overflowPunct w:val="0"/>
        <w:autoSpaceDE w:val="0"/>
        <w:autoSpaceDN w:val="0"/>
        <w:adjustRightInd w:val="0"/>
        <w:snapToGrid w:val="0"/>
        <w:spacing w:after="120" w:line="228" w:lineRule="auto"/>
        <w:ind w:left="1440" w:hanging="720"/>
        <w:rPr>
          <w:kern w:val="22"/>
          <w:szCs w:val="22"/>
          <w:lang w:val="es-ES_tradnl"/>
        </w:rPr>
      </w:pPr>
      <w:r w:rsidRPr="003F58C5">
        <w:rPr>
          <w:lang w:val="es-ES_tradnl"/>
        </w:rPr>
        <w:t>ii)</w:t>
      </w:r>
      <w:r w:rsidRPr="003F58C5">
        <w:rPr>
          <w:lang w:val="es-ES_tradnl"/>
        </w:rPr>
        <w:tab/>
        <w:t>La facilitación y organización de capacitación, en colaboración con las Partes y organizaciones pertinentes, para ayudar a las Partes a desarrollar sus mecanismos de facilitación nacionales;</w:t>
      </w:r>
    </w:p>
    <w:p w:rsidR="00C272D6" w:rsidRPr="003F58C5" w:rsidRDefault="00C272D6" w:rsidP="004655B7">
      <w:pPr>
        <w:spacing w:before="120" w:after="120" w:line="228" w:lineRule="auto"/>
        <w:ind w:firstLine="720"/>
        <w:rPr>
          <w:kern w:val="22"/>
          <w:szCs w:val="22"/>
          <w:lang w:val="es-ES_tradnl"/>
        </w:rPr>
      </w:pPr>
      <w:r w:rsidRPr="003F58C5">
        <w:rPr>
          <w:lang w:val="es-ES_tradnl"/>
        </w:rPr>
        <w:t>c)</w:t>
      </w:r>
      <w:r w:rsidRPr="003F58C5">
        <w:rPr>
          <w:lang w:val="es-ES_tradnl"/>
        </w:rPr>
        <w:tab/>
        <w:t>Actualice y continúe implementando la Estrategia Web del Convenio y sus Protocolos con las medidas prioritarias que se adopten antes de 2020 basándose en las decisiones que se adopten en la 14ª reunión de la Conferencia de las Partes, la 3ª reunión de las Partes en el Protocolo de Nagoya sobre Acceso y Participación en los Beneficios y la 9ª reunión de las Partes en el Protocolo de Cartagena sobre Seguridad de la Biotecnología;</w:t>
      </w:r>
    </w:p>
    <w:p w:rsidR="00F267C2" w:rsidRPr="003F58C5" w:rsidRDefault="00F267C2" w:rsidP="004655B7">
      <w:pPr>
        <w:suppressLineNumbers/>
        <w:suppressAutoHyphens/>
        <w:kinsoku w:val="0"/>
        <w:overflowPunct w:val="0"/>
        <w:autoSpaceDE w:val="0"/>
        <w:autoSpaceDN w:val="0"/>
        <w:adjustRightInd w:val="0"/>
        <w:snapToGrid w:val="0"/>
        <w:spacing w:before="120" w:after="120" w:line="228" w:lineRule="auto"/>
        <w:ind w:firstLine="720"/>
        <w:rPr>
          <w:kern w:val="22"/>
          <w:szCs w:val="22"/>
          <w:lang w:val="es-ES_tradnl"/>
        </w:rPr>
      </w:pPr>
      <w:r w:rsidRPr="003F58C5">
        <w:rPr>
          <w:lang w:val="es-ES_tradnl"/>
        </w:rPr>
        <w:t>b)</w:t>
      </w:r>
      <w:r w:rsidRPr="003F58C5">
        <w:rPr>
          <w:lang w:val="es-ES_tradnl"/>
        </w:rPr>
        <w:tab/>
        <w:t>Contribuya a desarrollar y probar la Herramienta de Datos y Presentación de Informes, en colaboración con la Iniciativa InforMEA, con miras a aprender de la experiencia de las Partes en la presentación de sus sextos informes nacionales al Convenio sobre la Diversidad Biológica y facilitar su uso para otros procesos de presentación de informes de los distintos convenios relacionados con la diversidad biológica, según proceda;</w:t>
      </w:r>
    </w:p>
    <w:p w:rsidR="0001678F" w:rsidRPr="003F58C5" w:rsidRDefault="005170DA" w:rsidP="004655B7">
      <w:pPr>
        <w:suppressLineNumbers/>
        <w:suppressAutoHyphens/>
        <w:kinsoku w:val="0"/>
        <w:overflowPunct w:val="0"/>
        <w:autoSpaceDE w:val="0"/>
        <w:autoSpaceDN w:val="0"/>
        <w:adjustRightInd w:val="0"/>
        <w:snapToGrid w:val="0"/>
        <w:spacing w:before="120" w:after="120" w:line="228" w:lineRule="auto"/>
        <w:ind w:firstLine="709"/>
        <w:rPr>
          <w:kern w:val="22"/>
          <w:szCs w:val="22"/>
          <w:lang w:val="es-ES_tradnl"/>
        </w:rPr>
      </w:pPr>
      <w:r w:rsidRPr="003F58C5">
        <w:rPr>
          <w:lang w:val="es-ES_tradnl"/>
        </w:rPr>
        <w:t>e)</w:t>
      </w:r>
      <w:r w:rsidRPr="003F58C5">
        <w:rPr>
          <w:lang w:val="es-ES_tradnl"/>
        </w:rPr>
        <w:tab/>
        <w:t>Identifique, dé a conocer y promueva las comunidades de práctica, redes de conocimientos y plataformas de diálogo colaborativo pertinentes para la aplicación del Convenio y sus Protocolos;</w:t>
      </w:r>
    </w:p>
    <w:p w:rsidR="00936F43" w:rsidRPr="003F58C5" w:rsidRDefault="00936F43" w:rsidP="004655B7">
      <w:pPr>
        <w:suppressLineNumbers/>
        <w:suppressAutoHyphens/>
        <w:kinsoku w:val="0"/>
        <w:overflowPunct w:val="0"/>
        <w:autoSpaceDE w:val="0"/>
        <w:autoSpaceDN w:val="0"/>
        <w:adjustRightInd w:val="0"/>
        <w:snapToGrid w:val="0"/>
        <w:spacing w:after="120" w:line="228" w:lineRule="auto"/>
        <w:ind w:firstLine="720"/>
        <w:rPr>
          <w:kern w:val="22"/>
          <w:szCs w:val="22"/>
          <w:lang w:val="es-ES_tradnl"/>
        </w:rPr>
      </w:pPr>
      <w:r w:rsidRPr="003F58C5">
        <w:rPr>
          <w:lang w:val="es-ES_tradnl"/>
        </w:rPr>
        <w:t>f)</w:t>
      </w:r>
      <w:r w:rsidRPr="003F58C5">
        <w:rPr>
          <w:lang w:val="es-ES_tradnl"/>
        </w:rPr>
        <w:tab/>
        <w:t xml:space="preserve">Elabore, en consulta con los comités asesores oficiosos para el mecanismo de facilitación, el Centro de Intercambio de Información sobre Seguridad de la Biotecnología y el Centro de Intercambio de Información sobre Acceso y Participación en los Beneficios, un componente de </w:t>
      </w:r>
      <w:r w:rsidR="003F58C5" w:rsidRPr="003F58C5">
        <w:rPr>
          <w:lang w:val="es-ES_tradnl"/>
        </w:rPr>
        <w:t>gestión de los conoci</w:t>
      </w:r>
      <w:r w:rsidRPr="003F58C5">
        <w:rPr>
          <w:lang w:val="es-ES_tradnl"/>
        </w:rPr>
        <w:t xml:space="preserve">mientos como parte del proceso de preparación para el marco mundial </w:t>
      </w:r>
      <w:r w:rsidR="00C26656">
        <w:rPr>
          <w:lang w:val="es-ES_tradnl"/>
        </w:rPr>
        <w:t>de</w:t>
      </w:r>
      <w:bookmarkStart w:id="1" w:name="_GoBack"/>
      <w:bookmarkEnd w:id="1"/>
      <w:r w:rsidRPr="003F58C5">
        <w:rPr>
          <w:lang w:val="es-ES_tradnl"/>
        </w:rPr>
        <w:t xml:space="preserve"> la diversidad biológica posterior a 2020 para, entre otras cosas, guiar el desarrollo futuro del mecanismo de facilitación, el Centro de Intercambio de Información sobre Acceso y Participación en los Beneficios y el Centro de Intercambio de Información sobre Seguridad de la Biotecnología;</w:t>
      </w:r>
    </w:p>
    <w:p w:rsidR="00936F43" w:rsidRPr="003F58C5" w:rsidRDefault="00936F43" w:rsidP="004655B7">
      <w:pPr>
        <w:spacing w:before="120" w:after="120" w:line="228" w:lineRule="auto"/>
        <w:ind w:firstLine="720"/>
        <w:rPr>
          <w:kern w:val="22"/>
          <w:szCs w:val="22"/>
          <w:lang w:val="es-ES_tradnl"/>
        </w:rPr>
      </w:pPr>
      <w:r w:rsidRPr="003F58C5">
        <w:rPr>
          <w:lang w:val="es-ES_tradnl"/>
        </w:rPr>
        <w:t>g)</w:t>
      </w:r>
      <w:r w:rsidRPr="003F58C5">
        <w:rPr>
          <w:lang w:val="es-ES_tradnl"/>
        </w:rPr>
        <w:tab/>
        <w:t xml:space="preserve">Utilice la experiencia adquirida en las iniciativas pertinentes de </w:t>
      </w:r>
      <w:r w:rsidR="003F58C5" w:rsidRPr="003F58C5">
        <w:rPr>
          <w:lang w:val="es-ES_tradnl"/>
        </w:rPr>
        <w:t>gestión de los conoci</w:t>
      </w:r>
      <w:r w:rsidRPr="003F58C5">
        <w:rPr>
          <w:lang w:val="es-ES_tradnl"/>
        </w:rPr>
        <w:t xml:space="preserve">mientos, tales como InforMEA, la Herramienta de Datos y Presentación de Informes, la Infraestructura Mundial de Información sobre Biodiversidad, el Observatorio Digital para las Áreas Protegidas y el Centro de Conocimientos de la Convención de las Naciones Unidas de Lucha contra la Desertificación, para que sirva de base para la elaboración del componente de </w:t>
      </w:r>
      <w:r w:rsidR="003F58C5" w:rsidRPr="003F58C5">
        <w:rPr>
          <w:lang w:val="es-ES_tradnl"/>
        </w:rPr>
        <w:t>gestión de los conoci</w:t>
      </w:r>
      <w:r w:rsidRPr="003F58C5">
        <w:rPr>
          <w:lang w:val="es-ES_tradnl"/>
        </w:rPr>
        <w:t>mientos al que se hace referencia anteriormente;</w:t>
      </w:r>
    </w:p>
    <w:p w:rsidR="00D925EE" w:rsidRPr="003F58C5" w:rsidRDefault="00D925EE" w:rsidP="004655B7">
      <w:pPr>
        <w:spacing w:before="120" w:after="120" w:line="228" w:lineRule="auto"/>
        <w:ind w:firstLine="720"/>
        <w:rPr>
          <w:kern w:val="22"/>
          <w:szCs w:val="22"/>
          <w:lang w:val="es-ES_tradnl"/>
        </w:rPr>
      </w:pPr>
      <w:r w:rsidRPr="003F58C5">
        <w:rPr>
          <w:lang w:val="es-ES_tradnl"/>
        </w:rPr>
        <w:t>h)</w:t>
      </w:r>
      <w:r w:rsidRPr="003F58C5">
        <w:rPr>
          <w:lang w:val="es-ES_tradnl"/>
        </w:rPr>
        <w:tab/>
        <w:t xml:space="preserve">Plasme sistemáticamente las lecciones aprendidas y mejores prácticas de la información proporcionada por las Partes, otros Gobiernos, organizaciones internacionales y de otra índole, y los pueblos indígenas y las comunidades locales, utilizando un formato normalizado como parte del componente de </w:t>
      </w:r>
      <w:r w:rsidR="003F58C5" w:rsidRPr="003F58C5">
        <w:rPr>
          <w:lang w:val="es-ES_tradnl"/>
        </w:rPr>
        <w:t>gestión de los conoci</w:t>
      </w:r>
      <w:r w:rsidRPr="003F58C5">
        <w:rPr>
          <w:lang w:val="es-ES_tradnl"/>
        </w:rPr>
        <w:t>mientos al que se hace referencia anteriormente;</w:t>
      </w:r>
    </w:p>
    <w:p w:rsidR="00C272D6" w:rsidRPr="003F58C5" w:rsidRDefault="00C272D6" w:rsidP="004655B7">
      <w:pPr>
        <w:suppressLineNumbers/>
        <w:suppressAutoHyphens/>
        <w:kinsoku w:val="0"/>
        <w:overflowPunct w:val="0"/>
        <w:autoSpaceDE w:val="0"/>
        <w:autoSpaceDN w:val="0"/>
        <w:adjustRightInd w:val="0"/>
        <w:snapToGrid w:val="0"/>
        <w:spacing w:before="120" w:after="120" w:line="228" w:lineRule="auto"/>
        <w:ind w:firstLine="720"/>
        <w:rPr>
          <w:spacing w:val="-3"/>
          <w:kern w:val="22"/>
          <w:szCs w:val="22"/>
          <w:lang w:val="es-ES_tradnl"/>
        </w:rPr>
      </w:pPr>
      <w:r w:rsidRPr="003F58C5">
        <w:rPr>
          <w:lang w:val="es-ES_tradnl"/>
        </w:rPr>
        <w:t>i)</w:t>
      </w:r>
      <w:r w:rsidRPr="003F58C5">
        <w:rPr>
          <w:lang w:val="es-ES_tradnl"/>
        </w:rPr>
        <w:tab/>
        <w:t>Presente un informe sobre los progresos realizados en las actividades señaladas, incluidos los progresos en el uso de la herramienta Bioland y su eficacia, para que sea examinado por el Órgano Subsidiario sobre la Aplicación en su tercera reunión.</w:t>
      </w:r>
    </w:p>
    <w:p w:rsidR="0001678F" w:rsidRPr="003F58C5" w:rsidRDefault="0001678F" w:rsidP="003F58C5">
      <w:pPr>
        <w:keepNext/>
        <w:keepLines/>
        <w:suppressLineNumbers/>
        <w:suppressAutoHyphens/>
        <w:spacing w:before="120" w:after="120" w:line="228" w:lineRule="auto"/>
        <w:jc w:val="center"/>
        <w:rPr>
          <w:i/>
          <w:kern w:val="22"/>
          <w:szCs w:val="22"/>
          <w:lang w:val="es-ES_tradnl"/>
        </w:rPr>
      </w:pPr>
      <w:r w:rsidRPr="003F58C5">
        <w:rPr>
          <w:i/>
          <w:szCs w:val="22"/>
          <w:lang w:val="es-ES_tradnl"/>
        </w:rPr>
        <w:lastRenderedPageBreak/>
        <w:t>Anexo</w:t>
      </w:r>
    </w:p>
    <w:p w:rsidR="0001678F" w:rsidRPr="003F58C5" w:rsidRDefault="0001678F" w:rsidP="003F58C5">
      <w:pPr>
        <w:keepNext/>
        <w:keepLines/>
        <w:suppressLineNumbers/>
        <w:suppressAutoHyphens/>
        <w:spacing w:before="120" w:after="120" w:line="228" w:lineRule="auto"/>
        <w:jc w:val="center"/>
        <w:rPr>
          <w:b/>
          <w:bCs/>
          <w:caps/>
          <w:kern w:val="22"/>
          <w:szCs w:val="22"/>
          <w:lang w:val="es-ES_tradnl"/>
        </w:rPr>
      </w:pPr>
      <w:r w:rsidRPr="003F58C5">
        <w:rPr>
          <w:b/>
          <w:bCs/>
          <w:caps/>
          <w:szCs w:val="22"/>
          <w:lang w:val="es-ES_tradnl"/>
        </w:rPr>
        <w:t>MODALIDADES CONJUNTAS DE FUNCIONAMIENTO PARA EL MECANISMO CENTRAL DE FACILITACIÓN, EL CENTRO DE INTERCAMBIO DE INFORMACIÓN SOBRE SEGURIDAD DE LA BIOTECNOLOGÍA Y EL CENTRO DE INTERCAMBIO DE INFORMACIÓN SOBRE ACCESO Y PARTICIPACIÓN EN LOS BENEFICIOS</w:t>
      </w:r>
    </w:p>
    <w:p w:rsidR="0001678F" w:rsidRPr="003F58C5" w:rsidRDefault="0001678F" w:rsidP="004655B7">
      <w:pPr>
        <w:keepNext/>
        <w:suppressLineNumbers/>
        <w:tabs>
          <w:tab w:val="left" w:pos="360"/>
        </w:tabs>
        <w:suppressAutoHyphens/>
        <w:spacing w:before="120" w:after="120" w:line="228" w:lineRule="auto"/>
        <w:jc w:val="center"/>
        <w:rPr>
          <w:b/>
          <w:kern w:val="22"/>
          <w:szCs w:val="22"/>
          <w:lang w:val="es-ES_tradnl"/>
        </w:rPr>
      </w:pPr>
      <w:r w:rsidRPr="003F58C5">
        <w:rPr>
          <w:b/>
          <w:szCs w:val="22"/>
          <w:lang w:val="es-ES_tradnl"/>
        </w:rPr>
        <w:t>A.</w:t>
      </w:r>
      <w:r w:rsidRPr="003F58C5">
        <w:rPr>
          <w:b/>
          <w:szCs w:val="22"/>
          <w:lang w:val="es-ES_tradnl"/>
        </w:rPr>
        <w:tab/>
        <w:t>Desarrollo y administración por parte de la Secretaría</w:t>
      </w:r>
    </w:p>
    <w:p w:rsidR="0001678F" w:rsidRPr="003F58C5" w:rsidRDefault="0001678F" w:rsidP="004655B7">
      <w:pPr>
        <w:pStyle w:val="Para1"/>
        <w:numPr>
          <w:ilvl w:val="0"/>
          <w:numId w:val="0"/>
        </w:numPr>
        <w:suppressLineNumbers/>
        <w:tabs>
          <w:tab w:val="left" w:pos="720"/>
        </w:tabs>
        <w:suppressAutoHyphens/>
        <w:spacing w:line="228" w:lineRule="auto"/>
        <w:rPr>
          <w:kern w:val="22"/>
          <w:szCs w:val="22"/>
          <w:lang w:val="es-ES_tradnl"/>
        </w:rPr>
      </w:pPr>
      <w:r w:rsidRPr="003F58C5">
        <w:rPr>
          <w:color w:val="000000"/>
          <w:szCs w:val="22"/>
          <w:lang w:val="es-ES_tradnl"/>
        </w:rPr>
        <w:t>1.</w:t>
      </w:r>
      <w:r w:rsidRPr="003F58C5">
        <w:rPr>
          <w:color w:val="000000"/>
          <w:szCs w:val="22"/>
          <w:lang w:val="es-ES_tradnl"/>
        </w:rPr>
        <w:tab/>
      </w:r>
      <w:r w:rsidRPr="003F58C5">
        <w:rPr>
          <w:lang w:val="es-ES_tradnl"/>
        </w:rPr>
        <w:t>La Secretaría continuará desarrollando y administrando el mecanismo central de facilitación, el Centro de Intercambio de Información sobre Seguridad de la Biotecnología y el Centro de Intercambio de Información sobre Acceso y Participación en los Beneficios (en adelante, los “centros de intercambio de información”) con arreglo a los mandatos y decisiones pertinentes de conformidad con el Convenio y sus Protocolos, asegurando, en la medida de lo posible, que se adopten enfoques comunes en el desarrollo y administración de los centros de intercambio de información, aunque preservando las funcionalidades específicas propias de cada centro, y con base en los principios rectores y especificaciones básicas descritas en el presente documento.</w:t>
      </w:r>
    </w:p>
    <w:p w:rsidR="0001678F" w:rsidRPr="003F58C5" w:rsidRDefault="0001678F" w:rsidP="004655B7">
      <w:pPr>
        <w:pStyle w:val="Para1"/>
        <w:keepNext/>
        <w:numPr>
          <w:ilvl w:val="0"/>
          <w:numId w:val="0"/>
        </w:numPr>
        <w:suppressLineNumbers/>
        <w:tabs>
          <w:tab w:val="left" w:pos="720"/>
        </w:tabs>
        <w:suppressAutoHyphens/>
        <w:spacing w:line="228" w:lineRule="auto"/>
        <w:rPr>
          <w:kern w:val="22"/>
          <w:szCs w:val="22"/>
          <w:lang w:val="es-ES_tradnl"/>
        </w:rPr>
      </w:pPr>
      <w:r w:rsidRPr="003F58C5">
        <w:rPr>
          <w:color w:val="000000"/>
          <w:szCs w:val="22"/>
          <w:lang w:val="es-ES_tradnl"/>
        </w:rPr>
        <w:t>2.</w:t>
      </w:r>
      <w:r w:rsidRPr="003F58C5">
        <w:rPr>
          <w:color w:val="000000"/>
          <w:szCs w:val="22"/>
          <w:lang w:val="es-ES_tradnl"/>
        </w:rPr>
        <w:tab/>
      </w:r>
      <w:r w:rsidRPr="003F58C5">
        <w:rPr>
          <w:lang w:val="es-ES_tradnl"/>
        </w:rPr>
        <w:t>Los centros de intercambio de información se desarrollarán y administrarán de manera coherente y tendrán las siguientes características:</w:t>
      </w:r>
    </w:p>
    <w:p w:rsidR="0001678F" w:rsidRPr="003F58C5" w:rsidRDefault="0001678F" w:rsidP="004655B7">
      <w:pPr>
        <w:suppressLineNumbers/>
        <w:tabs>
          <w:tab w:val="left" w:pos="1152"/>
        </w:tabs>
        <w:suppressAutoHyphens/>
        <w:spacing w:before="120" w:after="120" w:line="228" w:lineRule="auto"/>
        <w:ind w:firstLine="720"/>
        <w:rPr>
          <w:rFonts w:eastAsia="MS Mincho"/>
          <w:bCs/>
          <w:kern w:val="22"/>
          <w:szCs w:val="22"/>
          <w:lang w:val="es-ES_tradnl"/>
        </w:rPr>
      </w:pPr>
      <w:r w:rsidRPr="003F58C5">
        <w:rPr>
          <w:lang w:val="es-ES_tradnl"/>
        </w:rPr>
        <w:t>a)</w:t>
      </w:r>
      <w:r w:rsidRPr="003F58C5">
        <w:rPr>
          <w:lang w:val="es-ES_tradnl"/>
        </w:rPr>
        <w:tab/>
        <w:t>Estarán orientados por los principios de inclusión, transparencia y acceso sin restricciones y estarán abiertos a todos los Gobiernos, los pueblos indígenas y las comunidades locales y los interesados directos pertinentes;</w:t>
      </w:r>
    </w:p>
    <w:p w:rsidR="0001678F" w:rsidRPr="003F58C5" w:rsidRDefault="0001678F" w:rsidP="004655B7">
      <w:pPr>
        <w:suppressLineNumbers/>
        <w:tabs>
          <w:tab w:val="left" w:pos="1152"/>
        </w:tabs>
        <w:suppressAutoHyphens/>
        <w:spacing w:before="120" w:after="120" w:line="228" w:lineRule="auto"/>
        <w:ind w:firstLine="720"/>
        <w:rPr>
          <w:rFonts w:eastAsia="MS Mincho"/>
          <w:bCs/>
          <w:kern w:val="22"/>
          <w:szCs w:val="22"/>
          <w:lang w:val="es-ES_tradnl"/>
        </w:rPr>
      </w:pPr>
      <w:r w:rsidRPr="003F58C5">
        <w:rPr>
          <w:lang w:val="es-ES_tradnl"/>
        </w:rPr>
        <w:t>b)</w:t>
      </w:r>
      <w:r w:rsidRPr="003F58C5">
        <w:rPr>
          <w:lang w:val="es-ES_tradnl"/>
        </w:rPr>
        <w:tab/>
        <w:t>Se desarrollarán sobre la base de una demanda clara e identificada, la experiencia adquirida y los recursos disponibles, y evitando la duplicación de sistemas;</w:t>
      </w:r>
    </w:p>
    <w:p w:rsidR="0001678F" w:rsidRPr="003F58C5" w:rsidRDefault="0001678F" w:rsidP="004655B7">
      <w:pPr>
        <w:suppressLineNumbers/>
        <w:tabs>
          <w:tab w:val="left" w:pos="1152"/>
        </w:tabs>
        <w:suppressAutoHyphens/>
        <w:spacing w:before="120" w:after="120" w:line="228" w:lineRule="auto"/>
        <w:ind w:firstLine="720"/>
        <w:rPr>
          <w:rFonts w:eastAsia="MS Mincho"/>
          <w:bCs/>
          <w:kern w:val="22"/>
          <w:szCs w:val="22"/>
          <w:lang w:val="es-ES_tradnl"/>
        </w:rPr>
      </w:pPr>
      <w:r w:rsidRPr="003F58C5">
        <w:rPr>
          <w:lang w:val="es-ES_tradnl"/>
        </w:rPr>
        <w:t>c)</w:t>
      </w:r>
      <w:r w:rsidRPr="003F58C5">
        <w:rPr>
          <w:lang w:val="es-ES_tradnl"/>
        </w:rPr>
        <w:tab/>
        <w:t>Garantizarán que la experiencia del usuario sea predecible y coherente en todos los centros de intercambio de información;</w:t>
      </w:r>
    </w:p>
    <w:p w:rsidR="0001678F" w:rsidRPr="003F58C5" w:rsidRDefault="0001678F" w:rsidP="004655B7">
      <w:pPr>
        <w:suppressLineNumbers/>
        <w:tabs>
          <w:tab w:val="left" w:pos="1152"/>
        </w:tabs>
        <w:suppressAutoHyphens/>
        <w:spacing w:before="120" w:after="120" w:line="228" w:lineRule="auto"/>
        <w:ind w:firstLine="720"/>
        <w:rPr>
          <w:rFonts w:eastAsia="MS Mincho"/>
          <w:bCs/>
          <w:kern w:val="22"/>
          <w:szCs w:val="22"/>
          <w:lang w:val="es-ES_tradnl"/>
        </w:rPr>
      </w:pPr>
      <w:r w:rsidRPr="003F58C5">
        <w:rPr>
          <w:lang w:val="es-ES_tradnl"/>
        </w:rPr>
        <w:t>d)</w:t>
      </w:r>
      <w:r w:rsidRPr="003F58C5">
        <w:rPr>
          <w:lang w:val="es-ES_tradnl"/>
        </w:rPr>
        <w:tab/>
        <w:t>Garantizarán que el diseño visual y la funcionalidad sean intuitivos, fáciles de usar y coherentes en todos los centros de intercambio de información;</w:t>
      </w:r>
    </w:p>
    <w:p w:rsidR="0001678F" w:rsidRPr="003F58C5" w:rsidRDefault="0001678F" w:rsidP="004655B7">
      <w:pPr>
        <w:suppressLineNumbers/>
        <w:tabs>
          <w:tab w:val="left" w:pos="1152"/>
        </w:tabs>
        <w:suppressAutoHyphens/>
        <w:spacing w:before="120" w:after="120" w:line="228" w:lineRule="auto"/>
        <w:ind w:firstLine="720"/>
        <w:rPr>
          <w:rFonts w:eastAsia="MS Mincho"/>
          <w:bCs/>
          <w:kern w:val="22"/>
          <w:szCs w:val="22"/>
          <w:lang w:val="es-ES_tradnl"/>
        </w:rPr>
      </w:pPr>
      <w:r w:rsidRPr="003F58C5">
        <w:rPr>
          <w:lang w:val="es-ES_tradnl"/>
        </w:rPr>
        <w:t>e)</w:t>
      </w:r>
      <w:r w:rsidRPr="003F58C5">
        <w:rPr>
          <w:lang w:val="es-ES_tradnl"/>
        </w:rPr>
        <w:tab/>
        <w:t>Garantizarán, en la medida de lo posible, la prestación oportuna de asistencia técnica a pedido para el uso de los centros de intercambio de información.</w:t>
      </w:r>
    </w:p>
    <w:p w:rsidR="0001678F" w:rsidRPr="003F58C5" w:rsidRDefault="0001678F" w:rsidP="004655B7">
      <w:pPr>
        <w:pStyle w:val="Para1"/>
        <w:keepNext/>
        <w:numPr>
          <w:ilvl w:val="0"/>
          <w:numId w:val="0"/>
        </w:numPr>
        <w:suppressLineNumbers/>
        <w:tabs>
          <w:tab w:val="left" w:pos="720"/>
        </w:tabs>
        <w:suppressAutoHyphens/>
        <w:spacing w:line="228" w:lineRule="auto"/>
        <w:rPr>
          <w:kern w:val="22"/>
          <w:szCs w:val="22"/>
          <w:lang w:val="es-ES_tradnl"/>
        </w:rPr>
      </w:pPr>
      <w:r w:rsidRPr="003F58C5">
        <w:rPr>
          <w:color w:val="000000"/>
          <w:szCs w:val="22"/>
          <w:lang w:val="es-ES_tradnl"/>
        </w:rPr>
        <w:t>3.</w:t>
      </w:r>
      <w:r w:rsidRPr="003F58C5">
        <w:rPr>
          <w:color w:val="000000"/>
          <w:szCs w:val="22"/>
          <w:lang w:val="es-ES_tradnl"/>
        </w:rPr>
        <w:tab/>
      </w:r>
      <w:r w:rsidRPr="003F58C5">
        <w:rPr>
          <w:lang w:val="es-ES_tradnl"/>
        </w:rPr>
        <w:t>Los centros de intercambio de información cumplirán las siguientes especificaciones básicas:</w:t>
      </w:r>
    </w:p>
    <w:p w:rsidR="0001678F" w:rsidRPr="003F58C5" w:rsidRDefault="0001678F" w:rsidP="004655B7">
      <w:pPr>
        <w:suppressLineNumbers/>
        <w:tabs>
          <w:tab w:val="left" w:pos="1152"/>
        </w:tabs>
        <w:suppressAutoHyphens/>
        <w:spacing w:before="120" w:after="120" w:line="228" w:lineRule="auto"/>
        <w:ind w:firstLine="720"/>
        <w:rPr>
          <w:rFonts w:eastAsia="MS Mincho"/>
          <w:bCs/>
          <w:kern w:val="22"/>
          <w:szCs w:val="22"/>
          <w:lang w:val="es-ES_tradnl"/>
        </w:rPr>
      </w:pPr>
      <w:r w:rsidRPr="003F58C5">
        <w:rPr>
          <w:lang w:val="es-ES_tradnl"/>
        </w:rPr>
        <w:t>a)</w:t>
      </w:r>
      <w:r w:rsidRPr="003F58C5">
        <w:rPr>
          <w:lang w:val="es-ES_tradnl"/>
        </w:rPr>
        <w:tab/>
        <w:t>Acceso y navegación por medio de un portal web de acceso público, disponible en los seis idiomas oficiales de las Naciones Unidas;</w:t>
      </w:r>
    </w:p>
    <w:p w:rsidR="0001678F" w:rsidRPr="003F58C5" w:rsidRDefault="0001678F" w:rsidP="004655B7">
      <w:pPr>
        <w:suppressLineNumbers/>
        <w:tabs>
          <w:tab w:val="left" w:pos="1152"/>
        </w:tabs>
        <w:suppressAutoHyphens/>
        <w:spacing w:before="120" w:after="120" w:line="228" w:lineRule="auto"/>
        <w:ind w:firstLine="720"/>
        <w:rPr>
          <w:rFonts w:eastAsia="MS Mincho"/>
          <w:bCs/>
          <w:kern w:val="22"/>
          <w:szCs w:val="22"/>
          <w:lang w:val="es-ES_tradnl"/>
        </w:rPr>
      </w:pPr>
      <w:r w:rsidRPr="003F58C5">
        <w:rPr>
          <w:lang w:val="es-ES_tradnl"/>
        </w:rPr>
        <w:t>b)</w:t>
      </w:r>
      <w:r w:rsidRPr="003F58C5">
        <w:rPr>
          <w:lang w:val="es-ES_tradnl"/>
        </w:rPr>
        <w:tab/>
        <w:t>Una base de datos central segura que funcione como repositorio de la información disponible;</w:t>
      </w:r>
    </w:p>
    <w:p w:rsidR="0001678F" w:rsidRPr="003F58C5" w:rsidRDefault="0001678F" w:rsidP="004655B7">
      <w:pPr>
        <w:suppressLineNumbers/>
        <w:tabs>
          <w:tab w:val="left" w:pos="1152"/>
        </w:tabs>
        <w:suppressAutoHyphens/>
        <w:spacing w:before="120" w:after="120" w:line="228" w:lineRule="auto"/>
        <w:ind w:firstLine="720"/>
        <w:rPr>
          <w:rFonts w:eastAsia="MS Mincho"/>
          <w:bCs/>
          <w:kern w:val="22"/>
          <w:szCs w:val="22"/>
          <w:lang w:val="es-ES_tradnl"/>
        </w:rPr>
      </w:pPr>
      <w:r w:rsidRPr="003F58C5">
        <w:rPr>
          <w:lang w:val="es-ES_tradnl"/>
        </w:rPr>
        <w:t>c)</w:t>
      </w:r>
      <w:r w:rsidRPr="003F58C5">
        <w:rPr>
          <w:lang w:val="es-ES_tradnl"/>
        </w:rPr>
        <w:tab/>
        <w:t>Un mecanismo seguro de presentación de información, con un inicio de sesión único, que permita a los usuarios publicar información de manera estructurada por medio de formatos comunes, metadatos y un vocabulario controlado, y que distinga al mismo tiempo entre información obligatoria y opcional;</w:t>
      </w:r>
    </w:p>
    <w:p w:rsidR="0001678F" w:rsidRPr="003F58C5" w:rsidRDefault="0001678F" w:rsidP="004655B7">
      <w:pPr>
        <w:suppressLineNumbers/>
        <w:tabs>
          <w:tab w:val="left" w:pos="1152"/>
        </w:tabs>
        <w:suppressAutoHyphens/>
        <w:spacing w:before="120" w:after="120" w:line="228" w:lineRule="auto"/>
        <w:ind w:firstLine="720"/>
        <w:rPr>
          <w:rFonts w:eastAsia="MS Mincho"/>
          <w:bCs/>
          <w:kern w:val="22"/>
          <w:szCs w:val="22"/>
          <w:lang w:val="es-ES_tradnl"/>
        </w:rPr>
      </w:pPr>
      <w:r w:rsidRPr="003F58C5">
        <w:rPr>
          <w:lang w:val="es-ES_tradnl"/>
        </w:rPr>
        <w:t>d)</w:t>
      </w:r>
      <w:r w:rsidRPr="003F58C5">
        <w:rPr>
          <w:lang w:val="es-ES_tradnl"/>
        </w:rPr>
        <w:tab/>
        <w:t>Un mecanismo de búsqueda de acceso público que permita la búsqueda y recuperación del contenido por medio de metadatos y vocabularios controlados en todos los centros de intercambio de información;</w:t>
      </w:r>
    </w:p>
    <w:p w:rsidR="0001678F" w:rsidRPr="003F58C5" w:rsidRDefault="0001678F" w:rsidP="004655B7">
      <w:pPr>
        <w:suppressLineNumbers/>
        <w:tabs>
          <w:tab w:val="left" w:pos="1152"/>
        </w:tabs>
        <w:suppressAutoHyphens/>
        <w:spacing w:before="120" w:after="120" w:line="228" w:lineRule="auto"/>
        <w:ind w:firstLine="720"/>
        <w:rPr>
          <w:rFonts w:eastAsia="MS Mincho"/>
          <w:bCs/>
          <w:kern w:val="22"/>
          <w:szCs w:val="22"/>
          <w:lang w:val="es-ES_tradnl"/>
        </w:rPr>
      </w:pPr>
      <w:r w:rsidRPr="003F58C5">
        <w:rPr>
          <w:lang w:val="es-ES_tradnl"/>
        </w:rPr>
        <w:t>e)</w:t>
      </w:r>
      <w:r w:rsidRPr="003F58C5">
        <w:rPr>
          <w:lang w:val="es-ES_tradnl"/>
        </w:rPr>
        <w:tab/>
        <w:t>Identificadores únicos para buscar y recuperar información, cuando corresponda;</w:t>
      </w:r>
    </w:p>
    <w:p w:rsidR="0001678F" w:rsidRPr="003F58C5" w:rsidRDefault="0001678F" w:rsidP="004655B7">
      <w:pPr>
        <w:suppressLineNumbers/>
        <w:tabs>
          <w:tab w:val="left" w:pos="1152"/>
        </w:tabs>
        <w:suppressAutoHyphens/>
        <w:spacing w:before="120" w:after="120" w:line="228" w:lineRule="auto"/>
        <w:ind w:firstLine="720"/>
        <w:rPr>
          <w:rFonts w:eastAsia="MS Mincho"/>
          <w:bCs/>
          <w:kern w:val="22"/>
          <w:szCs w:val="22"/>
          <w:lang w:val="es-ES_tradnl"/>
        </w:rPr>
      </w:pPr>
      <w:r w:rsidRPr="003F58C5">
        <w:rPr>
          <w:lang w:val="es-ES_tradnl"/>
        </w:rPr>
        <w:t>f)</w:t>
      </w:r>
      <w:r w:rsidRPr="003F58C5">
        <w:rPr>
          <w:lang w:val="es-ES_tradnl"/>
        </w:rPr>
        <w:tab/>
        <w:t>Un mecanismo seguro de actualización que permita a los usuarios que cumplan la función adecuada modificar o actualizar información;</w:t>
      </w:r>
    </w:p>
    <w:p w:rsidR="0001678F" w:rsidRPr="003F58C5" w:rsidRDefault="0001678F" w:rsidP="004655B7">
      <w:pPr>
        <w:suppressLineNumbers/>
        <w:tabs>
          <w:tab w:val="left" w:pos="1152"/>
        </w:tabs>
        <w:suppressAutoHyphens/>
        <w:spacing w:before="120" w:after="120" w:line="228" w:lineRule="auto"/>
        <w:ind w:firstLine="720"/>
        <w:rPr>
          <w:rFonts w:eastAsia="MS Mincho"/>
          <w:bCs/>
          <w:kern w:val="22"/>
          <w:szCs w:val="22"/>
          <w:lang w:val="es-ES_tradnl"/>
        </w:rPr>
      </w:pPr>
      <w:r w:rsidRPr="003F58C5">
        <w:rPr>
          <w:lang w:val="es-ES_tradnl"/>
        </w:rPr>
        <w:t>g)</w:t>
      </w:r>
      <w:r w:rsidRPr="003F58C5">
        <w:rPr>
          <w:lang w:val="es-ES_tradnl"/>
        </w:rPr>
        <w:tab/>
        <w:t>Un diseño que identifique claramente quién publicó la información;</w:t>
      </w:r>
    </w:p>
    <w:p w:rsidR="0001678F" w:rsidRPr="003F58C5" w:rsidRDefault="0001678F" w:rsidP="004655B7">
      <w:pPr>
        <w:suppressLineNumbers/>
        <w:tabs>
          <w:tab w:val="left" w:pos="1152"/>
        </w:tabs>
        <w:suppressAutoHyphens/>
        <w:spacing w:before="120" w:after="120" w:line="228" w:lineRule="auto"/>
        <w:ind w:firstLine="720"/>
        <w:rPr>
          <w:rFonts w:eastAsia="MS Mincho"/>
          <w:bCs/>
          <w:kern w:val="22"/>
          <w:szCs w:val="22"/>
          <w:lang w:val="es-ES_tradnl"/>
        </w:rPr>
      </w:pPr>
      <w:r w:rsidRPr="003F58C5">
        <w:rPr>
          <w:lang w:val="es-ES_tradnl"/>
        </w:rPr>
        <w:t>h)</w:t>
      </w:r>
      <w:r w:rsidRPr="003F58C5">
        <w:rPr>
          <w:lang w:val="es-ES_tradnl"/>
        </w:rPr>
        <w:tab/>
        <w:t>Un mecanismo de interoperabilidad para facilitar el intercambio de información con bases de datos y sistemas externos, según corresponda;</w:t>
      </w:r>
    </w:p>
    <w:p w:rsidR="0001678F" w:rsidRPr="003F58C5" w:rsidRDefault="0001678F" w:rsidP="004655B7">
      <w:pPr>
        <w:suppressLineNumbers/>
        <w:tabs>
          <w:tab w:val="left" w:pos="1152"/>
        </w:tabs>
        <w:suppressAutoHyphens/>
        <w:spacing w:before="120" w:after="120" w:line="228" w:lineRule="auto"/>
        <w:ind w:firstLine="720"/>
        <w:rPr>
          <w:rFonts w:eastAsia="MS Mincho"/>
          <w:bCs/>
          <w:kern w:val="22"/>
          <w:szCs w:val="22"/>
          <w:lang w:val="es-ES_tradnl"/>
        </w:rPr>
      </w:pPr>
      <w:r w:rsidRPr="003F58C5">
        <w:rPr>
          <w:lang w:val="es-ES_tradnl"/>
        </w:rPr>
        <w:lastRenderedPageBreak/>
        <w:t>i)</w:t>
      </w:r>
      <w:r w:rsidRPr="003F58C5">
        <w:rPr>
          <w:lang w:val="es-ES_tradnl"/>
        </w:rPr>
        <w:tab/>
        <w:t>Un mecanismo fuera de línea para registrar información, así como para facilitar el acceso fuera de línea a la información disponible a pedido y, en particular, para los usuarios con acceso limitado a Internet.</w:t>
      </w:r>
    </w:p>
    <w:p w:rsidR="0001678F" w:rsidRPr="003F58C5" w:rsidRDefault="0001678F" w:rsidP="004655B7">
      <w:pPr>
        <w:keepNext/>
        <w:suppressLineNumbers/>
        <w:tabs>
          <w:tab w:val="left" w:pos="360"/>
        </w:tabs>
        <w:suppressAutoHyphens/>
        <w:spacing w:before="120" w:after="120" w:line="228" w:lineRule="auto"/>
        <w:jc w:val="center"/>
        <w:rPr>
          <w:b/>
          <w:kern w:val="22"/>
          <w:szCs w:val="22"/>
          <w:lang w:val="es-ES_tradnl"/>
        </w:rPr>
      </w:pPr>
      <w:r w:rsidRPr="003F58C5">
        <w:rPr>
          <w:b/>
          <w:szCs w:val="22"/>
          <w:lang w:val="es-ES_tradnl"/>
        </w:rPr>
        <w:t>B.</w:t>
      </w:r>
      <w:r w:rsidRPr="003F58C5">
        <w:rPr>
          <w:b/>
          <w:szCs w:val="22"/>
          <w:lang w:val="es-ES_tradnl"/>
        </w:rPr>
        <w:tab/>
        <w:t>Función de los usuarios con respecto al intercambio de información</w:t>
      </w:r>
    </w:p>
    <w:p w:rsidR="0001678F" w:rsidRPr="003F58C5" w:rsidRDefault="0001678F" w:rsidP="004655B7">
      <w:pPr>
        <w:pStyle w:val="Para1"/>
        <w:keepNext/>
        <w:numPr>
          <w:ilvl w:val="0"/>
          <w:numId w:val="0"/>
        </w:numPr>
        <w:suppressLineNumbers/>
        <w:tabs>
          <w:tab w:val="left" w:pos="720"/>
        </w:tabs>
        <w:suppressAutoHyphens/>
        <w:spacing w:line="228" w:lineRule="auto"/>
        <w:rPr>
          <w:kern w:val="22"/>
          <w:szCs w:val="22"/>
          <w:lang w:val="es-ES_tradnl"/>
        </w:rPr>
      </w:pPr>
      <w:r w:rsidRPr="003F58C5">
        <w:rPr>
          <w:color w:val="000000"/>
          <w:szCs w:val="22"/>
          <w:lang w:val="es-ES_tradnl"/>
        </w:rPr>
        <w:t>4.</w:t>
      </w:r>
      <w:r w:rsidRPr="003F58C5">
        <w:rPr>
          <w:color w:val="000000"/>
          <w:szCs w:val="22"/>
          <w:lang w:val="es-ES_tradnl"/>
        </w:rPr>
        <w:tab/>
      </w:r>
      <w:r w:rsidRPr="003F58C5">
        <w:rPr>
          <w:lang w:val="es-ES_tradnl"/>
        </w:rPr>
        <w:t>Al intercambiar información por medio de cualquiera de los centros de intercambio de información, los usuarios deberán:</w:t>
      </w:r>
    </w:p>
    <w:p w:rsidR="0001678F" w:rsidRPr="003F58C5" w:rsidRDefault="0001678F" w:rsidP="004655B7">
      <w:pPr>
        <w:suppressLineNumbers/>
        <w:tabs>
          <w:tab w:val="left" w:pos="1152"/>
        </w:tabs>
        <w:suppressAutoHyphens/>
        <w:spacing w:before="120" w:after="120" w:line="228" w:lineRule="auto"/>
        <w:ind w:firstLine="720"/>
        <w:rPr>
          <w:rFonts w:eastAsia="MS Mincho"/>
          <w:bCs/>
          <w:spacing w:val="-1"/>
          <w:kern w:val="22"/>
          <w:szCs w:val="22"/>
          <w:lang w:val="es-ES_tradnl"/>
        </w:rPr>
      </w:pPr>
      <w:r w:rsidRPr="003F58C5">
        <w:rPr>
          <w:lang w:val="es-ES_tradnl"/>
        </w:rPr>
        <w:t>a)</w:t>
      </w:r>
      <w:r w:rsidRPr="003F58C5">
        <w:rPr>
          <w:lang w:val="es-ES_tradnl"/>
        </w:rPr>
        <w:tab/>
        <w:t>Seguir los procedimientos de publicación establecidos para cada centro de intercambio de información o tipo de información;</w:t>
      </w:r>
    </w:p>
    <w:p w:rsidR="0001678F" w:rsidRPr="003F58C5" w:rsidRDefault="0001678F" w:rsidP="004655B7">
      <w:pPr>
        <w:suppressLineNumbers/>
        <w:tabs>
          <w:tab w:val="left" w:pos="1152"/>
        </w:tabs>
        <w:suppressAutoHyphens/>
        <w:spacing w:before="120" w:after="120" w:line="228" w:lineRule="auto"/>
        <w:ind w:firstLine="720"/>
        <w:rPr>
          <w:rFonts w:eastAsia="MS Mincho"/>
          <w:bCs/>
          <w:kern w:val="22"/>
          <w:szCs w:val="22"/>
          <w:lang w:val="es-ES_tradnl"/>
        </w:rPr>
      </w:pPr>
      <w:r w:rsidRPr="003F58C5">
        <w:rPr>
          <w:lang w:val="es-ES_tradnl"/>
        </w:rPr>
        <w:t>b)</w:t>
      </w:r>
      <w:r w:rsidRPr="003F58C5">
        <w:rPr>
          <w:lang w:val="es-ES_tradnl"/>
        </w:rPr>
        <w:tab/>
        <w:t>Hacerse responsables de garantizar que la información que se publique sea precisa, completa, y pertinente y esté actualizada;</w:t>
      </w:r>
    </w:p>
    <w:p w:rsidR="0001678F" w:rsidRPr="003F58C5" w:rsidRDefault="0001678F" w:rsidP="004655B7">
      <w:pPr>
        <w:suppressLineNumbers/>
        <w:tabs>
          <w:tab w:val="left" w:pos="1152"/>
        </w:tabs>
        <w:suppressAutoHyphens/>
        <w:spacing w:before="120" w:after="120" w:line="228" w:lineRule="auto"/>
        <w:ind w:firstLine="720"/>
        <w:rPr>
          <w:rFonts w:eastAsia="MS Mincho"/>
          <w:bCs/>
          <w:spacing w:val="-8"/>
          <w:kern w:val="22"/>
          <w:szCs w:val="22"/>
          <w:lang w:val="es-ES_tradnl"/>
        </w:rPr>
      </w:pPr>
      <w:r w:rsidRPr="003F58C5">
        <w:rPr>
          <w:lang w:val="es-ES_tradnl"/>
        </w:rPr>
        <w:t>c)</w:t>
      </w:r>
      <w:r w:rsidRPr="003F58C5">
        <w:rPr>
          <w:lang w:val="es-ES_tradnl"/>
        </w:rPr>
        <w:tab/>
        <w:t>No incluir datos confidenciales, ya que toda la información que se publica en los centros de intercambio de información es de acceso público;</w:t>
      </w:r>
    </w:p>
    <w:p w:rsidR="0001678F" w:rsidRPr="003F58C5" w:rsidRDefault="0001678F" w:rsidP="004655B7">
      <w:pPr>
        <w:suppressLineNumbers/>
        <w:tabs>
          <w:tab w:val="left" w:pos="1152"/>
        </w:tabs>
        <w:suppressAutoHyphens/>
        <w:spacing w:before="120" w:after="120" w:line="228" w:lineRule="auto"/>
        <w:ind w:firstLine="720"/>
        <w:rPr>
          <w:rFonts w:eastAsia="MS Mincho"/>
          <w:bCs/>
          <w:kern w:val="22"/>
          <w:szCs w:val="22"/>
          <w:lang w:val="es-ES_tradnl"/>
        </w:rPr>
      </w:pPr>
      <w:r w:rsidRPr="003F58C5">
        <w:rPr>
          <w:lang w:val="es-ES_tradnl"/>
        </w:rPr>
        <w:t>d)</w:t>
      </w:r>
      <w:r w:rsidRPr="003F58C5">
        <w:rPr>
          <w:lang w:val="es-ES_tradnl"/>
        </w:rPr>
        <w:tab/>
        <w:t>No infringir ningún derecho de propiedad intelectual asociado con la información publicada;</w:t>
      </w:r>
    </w:p>
    <w:p w:rsidR="0001678F" w:rsidRPr="003F58C5" w:rsidRDefault="0001678F" w:rsidP="004655B7">
      <w:pPr>
        <w:suppressLineNumbers/>
        <w:tabs>
          <w:tab w:val="left" w:pos="1152"/>
        </w:tabs>
        <w:suppressAutoHyphens/>
        <w:spacing w:before="120" w:after="120" w:line="228" w:lineRule="auto"/>
        <w:ind w:firstLine="720"/>
        <w:rPr>
          <w:rFonts w:eastAsia="MS Mincho"/>
          <w:bCs/>
          <w:spacing w:val="-3"/>
          <w:kern w:val="22"/>
          <w:szCs w:val="22"/>
          <w:lang w:val="es-ES_tradnl"/>
        </w:rPr>
      </w:pPr>
      <w:r w:rsidRPr="003F58C5">
        <w:rPr>
          <w:lang w:val="es-ES_tradnl"/>
        </w:rPr>
        <w:t>e)</w:t>
      </w:r>
      <w:r w:rsidRPr="003F58C5">
        <w:rPr>
          <w:lang w:val="es-ES_tradnl"/>
        </w:rPr>
        <w:tab/>
        <w:t>Proporcionar metadatos que describan los datos principales (como los elementos que describen el contenido de una medida legislativa seleccionados de un vocabulario controlado) en un idioma oficial de las Naciones Unidas, si bien los datos principales (por ejemplo, una medida legislativa) pueden presentarse en el idioma original;</w:t>
      </w:r>
    </w:p>
    <w:p w:rsidR="0001678F" w:rsidRPr="003F58C5" w:rsidRDefault="0001678F" w:rsidP="004655B7">
      <w:pPr>
        <w:suppressLineNumbers/>
        <w:tabs>
          <w:tab w:val="left" w:pos="1152"/>
        </w:tabs>
        <w:suppressAutoHyphens/>
        <w:spacing w:before="120" w:after="120" w:line="228" w:lineRule="auto"/>
        <w:ind w:firstLine="720"/>
        <w:rPr>
          <w:rFonts w:eastAsia="MS Mincho"/>
          <w:bCs/>
          <w:kern w:val="22"/>
          <w:szCs w:val="22"/>
          <w:lang w:val="es-ES_tradnl"/>
        </w:rPr>
      </w:pPr>
      <w:r w:rsidRPr="003F58C5">
        <w:rPr>
          <w:lang w:val="es-ES_tradnl"/>
        </w:rPr>
        <w:t>f)</w:t>
      </w:r>
      <w:r w:rsidRPr="003F58C5">
        <w:rPr>
          <w:lang w:val="es-ES_tradnl"/>
        </w:rPr>
        <w:tab/>
        <w:t>Esforzarse por proporcionar una traducción de cortesía a uno de los idiomas oficiales de las Naciones Unidas de los datos principales presentados.</w:t>
      </w:r>
    </w:p>
    <w:p w:rsidR="00F267C2" w:rsidRPr="003F58C5" w:rsidRDefault="0001678F" w:rsidP="004655B7">
      <w:pPr>
        <w:suppressLineNumbers/>
        <w:suppressAutoHyphens/>
        <w:spacing w:before="120" w:after="120" w:line="228" w:lineRule="auto"/>
        <w:jc w:val="center"/>
        <w:rPr>
          <w:kern w:val="22"/>
          <w:szCs w:val="22"/>
          <w:lang w:val="es-ES_tradnl"/>
        </w:rPr>
      </w:pPr>
      <w:r w:rsidRPr="003F58C5">
        <w:rPr>
          <w:lang w:val="es-ES_tradnl"/>
        </w:rPr>
        <w:t>__________</w:t>
      </w:r>
    </w:p>
    <w:sectPr w:rsidR="00F267C2" w:rsidRPr="003F58C5" w:rsidSect="009C200D">
      <w:headerReference w:type="even" r:id="rId12"/>
      <w:headerReference w:type="default" r:id="rId13"/>
      <w:pgSz w:w="12240" w:h="15840"/>
      <w:pgMar w:top="567" w:right="1389" w:bottom="1134" w:left="138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86CB5" w:rsidRDefault="00D86CB5" w:rsidP="00CF1848">
      <w:r>
        <w:separator/>
      </w:r>
    </w:p>
  </w:endnote>
  <w:endnote w:type="continuationSeparator" w:id="0">
    <w:p w:rsidR="00D86CB5" w:rsidRDefault="00D86CB5" w:rsidP="00CF1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86CB5" w:rsidRDefault="00D86CB5" w:rsidP="00CF1848">
      <w:r>
        <w:separator/>
      </w:r>
    </w:p>
  </w:footnote>
  <w:footnote w:type="continuationSeparator" w:id="0">
    <w:p w:rsidR="00D86CB5" w:rsidRDefault="00D86CB5" w:rsidP="00CF1848">
      <w:r>
        <w:continuationSeparator/>
      </w:r>
    </w:p>
  </w:footnote>
  <w:footnote w:id="1">
    <w:p w:rsidR="00936F43" w:rsidRPr="009E0CBB" w:rsidRDefault="00936F43" w:rsidP="000C104E">
      <w:pPr>
        <w:pStyle w:val="Textonotapie"/>
        <w:suppressLineNumbers/>
        <w:suppressAutoHyphens/>
        <w:kinsoku w:val="0"/>
        <w:overflowPunct w:val="0"/>
        <w:autoSpaceDE w:val="0"/>
        <w:autoSpaceDN w:val="0"/>
        <w:ind w:firstLine="0"/>
        <w:jc w:val="left"/>
        <w:rPr>
          <w:kern w:val="18"/>
          <w:szCs w:val="18"/>
        </w:rPr>
      </w:pPr>
      <w:r>
        <w:rPr>
          <w:rStyle w:val="Refdenotaalpie"/>
          <w:kern w:val="18"/>
          <w:sz w:val="18"/>
          <w:szCs w:val="18"/>
        </w:rPr>
        <w:footnoteRef/>
      </w:r>
      <w:r>
        <w:t xml:space="preserve"> Véanse CBD/COP/14/INF/4 y CBD/SBI/2/9.</w:t>
      </w:r>
    </w:p>
  </w:footnote>
  <w:footnote w:id="2">
    <w:p w:rsidR="009E0CBB" w:rsidRPr="000C104E" w:rsidRDefault="009E0CBB" w:rsidP="000C104E">
      <w:pPr>
        <w:pStyle w:val="Textonotapie"/>
        <w:suppressLineNumbers/>
        <w:suppressAutoHyphens/>
        <w:ind w:firstLine="0"/>
        <w:jc w:val="left"/>
        <w:rPr>
          <w:kern w:val="18"/>
          <w:szCs w:val="18"/>
        </w:rPr>
      </w:pPr>
      <w:r>
        <w:rPr>
          <w:rStyle w:val="Refdenotaalpie"/>
          <w:kern w:val="18"/>
          <w:sz w:val="18"/>
          <w:szCs w:val="18"/>
        </w:rPr>
        <w:footnoteRef/>
      </w:r>
      <w:r>
        <w:t xml:space="preserve"> Decisión X/2, anexo.</w:t>
      </w:r>
    </w:p>
  </w:footnote>
  <w:footnote w:id="3">
    <w:p w:rsidR="009E0CBB" w:rsidRPr="000C104E" w:rsidRDefault="009E0CBB" w:rsidP="000C104E">
      <w:pPr>
        <w:pStyle w:val="Textonotapie"/>
        <w:suppressLineNumbers/>
        <w:suppressAutoHyphens/>
        <w:ind w:firstLine="0"/>
        <w:jc w:val="left"/>
        <w:rPr>
          <w:kern w:val="18"/>
          <w:szCs w:val="18"/>
        </w:rPr>
      </w:pPr>
      <w:r>
        <w:rPr>
          <w:rStyle w:val="Refdenotaalpie"/>
          <w:kern w:val="18"/>
          <w:sz w:val="18"/>
          <w:szCs w:val="18"/>
        </w:rPr>
        <w:footnoteRef/>
      </w:r>
      <w:r>
        <w:t xml:space="preserve"> Véase la resolución 70/1 de la Asamblea General de 25 de setiembre de 2015.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noProof/>
        <w:kern w:val="22"/>
      </w:rPr>
      <w:alias w:val="Subject"/>
      <w:tag w:val=""/>
      <w:id w:val="-1885015078"/>
      <w:placeholder>
        <w:docPart w:val="B91F815427754D9BA6571111AFF15602"/>
      </w:placeholder>
      <w:dataBinding w:prefixMappings="xmlns:ns0='http://purl.org/dc/elements/1.1/' xmlns:ns1='http://schemas.openxmlformats.org/package/2006/metadata/core-properties' " w:xpath="/ns1:coreProperties[1]/ns0:subject[1]" w:storeItemID="{6C3C8BC8-F283-45AE-878A-BAB7291924A1}"/>
      <w:text/>
    </w:sdtPr>
    <w:sdtEndPr/>
    <w:sdtContent>
      <w:p w:rsidR="00936F43" w:rsidRPr="000C104E" w:rsidRDefault="0018454D" w:rsidP="000C104E">
        <w:pPr>
          <w:pStyle w:val="Encabezado"/>
          <w:tabs>
            <w:tab w:val="clear" w:pos="4320"/>
            <w:tab w:val="clear" w:pos="8640"/>
          </w:tabs>
          <w:jc w:val="left"/>
          <w:rPr>
            <w:noProof/>
            <w:kern w:val="22"/>
          </w:rPr>
        </w:pPr>
        <w:r>
          <w:rPr>
            <w:noProof/>
            <w:kern w:val="22"/>
          </w:rPr>
          <w:t>CBD/COP/DEC/14/25</w:t>
        </w:r>
      </w:p>
    </w:sdtContent>
  </w:sdt>
  <w:p w:rsidR="00936F43" w:rsidRPr="000C104E" w:rsidRDefault="00936F43" w:rsidP="000C104E">
    <w:pPr>
      <w:pStyle w:val="Encabezado"/>
      <w:tabs>
        <w:tab w:val="clear" w:pos="4320"/>
        <w:tab w:val="clear" w:pos="8640"/>
      </w:tabs>
      <w:jc w:val="left"/>
      <w:rPr>
        <w:noProof/>
        <w:kern w:val="22"/>
      </w:rPr>
    </w:pPr>
    <w:r>
      <w:t xml:space="preserve">Página </w:t>
    </w:r>
    <w:r w:rsidRPr="000C104E">
      <w:fldChar w:fldCharType="begin"/>
    </w:r>
    <w:r w:rsidRPr="000C104E">
      <w:instrText xml:space="preserve"> PAGE   \* MERGEFORMAT </w:instrText>
    </w:r>
    <w:r w:rsidRPr="000C104E">
      <w:fldChar w:fldCharType="separate"/>
    </w:r>
    <w:r w:rsidR="006B2759">
      <w:t>4</w:t>
    </w:r>
    <w:r w:rsidRPr="000C104E">
      <w:fldChar w:fldCharType="end"/>
    </w:r>
  </w:p>
  <w:p w:rsidR="00936F43" w:rsidRPr="000C104E" w:rsidRDefault="00936F43" w:rsidP="000C104E">
    <w:pPr>
      <w:pStyle w:val="Encabezado"/>
      <w:tabs>
        <w:tab w:val="clear" w:pos="4320"/>
        <w:tab w:val="clear" w:pos="8640"/>
      </w:tabs>
      <w:jc w:val="left"/>
      <w:rPr>
        <w:noProof/>
        <w:kern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noProof/>
        <w:kern w:val="22"/>
      </w:rPr>
      <w:alias w:val="Subject"/>
      <w:tag w:val=""/>
      <w:id w:val="851227268"/>
      <w:placeholder>
        <w:docPart w:val="9E64A1B551BC4D48B19DB33F17A999C0"/>
      </w:placeholder>
      <w:dataBinding w:prefixMappings="xmlns:ns0='http://purl.org/dc/elements/1.1/' xmlns:ns1='http://schemas.openxmlformats.org/package/2006/metadata/core-properties' " w:xpath="/ns1:coreProperties[1]/ns0:subject[1]" w:storeItemID="{6C3C8BC8-F283-45AE-878A-BAB7291924A1}"/>
      <w:text/>
    </w:sdtPr>
    <w:sdtEndPr/>
    <w:sdtContent>
      <w:p w:rsidR="00936F43" w:rsidRPr="000C104E" w:rsidRDefault="0018454D" w:rsidP="000C104E">
        <w:pPr>
          <w:pStyle w:val="Encabezado"/>
          <w:tabs>
            <w:tab w:val="clear" w:pos="4320"/>
            <w:tab w:val="clear" w:pos="8640"/>
          </w:tabs>
          <w:jc w:val="right"/>
          <w:rPr>
            <w:noProof/>
            <w:kern w:val="22"/>
          </w:rPr>
        </w:pPr>
        <w:r>
          <w:rPr>
            <w:noProof/>
            <w:kern w:val="22"/>
          </w:rPr>
          <w:t>CBD/COP/DEC/14/25</w:t>
        </w:r>
      </w:p>
    </w:sdtContent>
  </w:sdt>
  <w:p w:rsidR="00936F43" w:rsidRPr="000C104E" w:rsidRDefault="00936F43" w:rsidP="000C104E">
    <w:pPr>
      <w:pStyle w:val="Encabezado"/>
      <w:tabs>
        <w:tab w:val="clear" w:pos="4320"/>
        <w:tab w:val="clear" w:pos="8640"/>
      </w:tabs>
      <w:jc w:val="right"/>
      <w:rPr>
        <w:noProof/>
        <w:kern w:val="22"/>
      </w:rPr>
    </w:pPr>
    <w:r>
      <w:t xml:space="preserve">Página </w:t>
    </w:r>
    <w:r w:rsidRPr="000C104E">
      <w:fldChar w:fldCharType="begin"/>
    </w:r>
    <w:r w:rsidRPr="000C104E">
      <w:instrText xml:space="preserve"> PAGE   \* MERGEFORMAT </w:instrText>
    </w:r>
    <w:r w:rsidRPr="000C104E">
      <w:fldChar w:fldCharType="separate"/>
    </w:r>
    <w:r w:rsidR="006B2759">
      <w:t>3</w:t>
    </w:r>
    <w:r w:rsidRPr="000C104E">
      <w:fldChar w:fldCharType="end"/>
    </w:r>
  </w:p>
  <w:p w:rsidR="00936F43" w:rsidRPr="000C104E" w:rsidRDefault="00936F43" w:rsidP="000C104E">
    <w:pPr>
      <w:pStyle w:val="Encabezado"/>
      <w:tabs>
        <w:tab w:val="clear" w:pos="4320"/>
        <w:tab w:val="clear" w:pos="8640"/>
      </w:tabs>
      <w:jc w:val="right"/>
      <w:rPr>
        <w:noProof/>
        <w:kern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0C71E5"/>
    <w:multiLevelType w:val="hybridMultilevel"/>
    <w:tmpl w:val="C6F2DD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F93DF1"/>
    <w:multiLevelType w:val="hybridMultilevel"/>
    <w:tmpl w:val="F6BE5B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9C0127"/>
    <w:multiLevelType w:val="hybridMultilevel"/>
    <w:tmpl w:val="55041694"/>
    <w:lvl w:ilvl="0" w:tplc="FD182136">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217E1F8E"/>
    <w:multiLevelType w:val="hybridMultilevel"/>
    <w:tmpl w:val="58CE61A6"/>
    <w:lvl w:ilvl="0" w:tplc="0409000F">
      <w:start w:val="1"/>
      <w:numFmt w:val="decimal"/>
      <w:lvlText w:val="%1."/>
      <w:lvlJc w:val="left"/>
      <w:pPr>
        <w:ind w:left="1211" w:hanging="360"/>
      </w:p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7"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Ttulo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8"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57231257"/>
    <w:multiLevelType w:val="hybridMultilevel"/>
    <w:tmpl w:val="A64095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09A51AB"/>
    <w:multiLevelType w:val="hybridMultilevel"/>
    <w:tmpl w:val="8F3C89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FB537A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61434A3"/>
    <w:multiLevelType w:val="hybridMultilevel"/>
    <w:tmpl w:val="3FCE4B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9D06FEB"/>
    <w:multiLevelType w:val="hybridMultilevel"/>
    <w:tmpl w:val="914EF66C"/>
    <w:lvl w:ilvl="0" w:tplc="04090001">
      <w:start w:val="1"/>
      <w:numFmt w:val="bullet"/>
      <w:lvlText w:val=""/>
      <w:lvlJc w:val="left"/>
      <w:pPr>
        <w:ind w:left="720" w:hanging="360"/>
      </w:pPr>
      <w:rPr>
        <w:rFonts w:ascii="Symbol" w:hAnsi="Symbol" w:hint="default"/>
      </w:rPr>
    </w:lvl>
    <w:lvl w:ilvl="1" w:tplc="6A92E88E">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0"/>
  </w:num>
  <w:num w:numId="5">
    <w:abstractNumId w:val="9"/>
  </w:num>
  <w:num w:numId="6">
    <w:abstractNumId w:val="0"/>
  </w:num>
  <w:num w:numId="7">
    <w:abstractNumId w:val="5"/>
  </w:num>
  <w:num w:numId="8">
    <w:abstractNumId w:val="8"/>
    <w:lvlOverride w:ilvl="0">
      <w:startOverride w:val="1"/>
    </w:lvlOverride>
  </w:num>
  <w:num w:numId="9">
    <w:abstractNumId w:val="15"/>
  </w:num>
  <w:num w:numId="10">
    <w:abstractNumId w:val="8"/>
    <w:lvlOverride w:ilvl="0">
      <w:startOverride w:val="1"/>
    </w:lvlOverride>
  </w:num>
  <w:num w:numId="11">
    <w:abstractNumId w:val="8"/>
    <w:lvlOverride w:ilvl="0">
      <w:startOverride w:val="1"/>
    </w:lvlOverride>
  </w:num>
  <w:num w:numId="12">
    <w:abstractNumId w:val="8"/>
    <w:lvlOverride w:ilvl="0">
      <w:startOverride w:val="1"/>
    </w:lvlOverride>
  </w:num>
  <w:num w:numId="13">
    <w:abstractNumId w:val="8"/>
    <w:lvlOverride w:ilvl="0">
      <w:startOverride w:val="1"/>
    </w:lvlOverride>
  </w:num>
  <w:num w:numId="14">
    <w:abstractNumId w:val="13"/>
  </w:num>
  <w:num w:numId="15">
    <w:abstractNumId w:val="12"/>
  </w:num>
  <w:num w:numId="16">
    <w:abstractNumId w:val="1"/>
  </w:num>
  <w:num w:numId="17">
    <w:abstractNumId w:val="17"/>
  </w:num>
  <w:num w:numId="18">
    <w:abstractNumId w:val="20"/>
  </w:num>
  <w:num w:numId="19">
    <w:abstractNumId w:val="6"/>
  </w:num>
  <w:num w:numId="20">
    <w:abstractNumId w:val="19"/>
  </w:num>
  <w:num w:numId="21">
    <w:abstractNumId w:val="3"/>
  </w:num>
  <w:num w:numId="22">
    <w:abstractNumId w:val="2"/>
  </w:num>
  <w:num w:numId="23">
    <w:abstractNumId w:val="18"/>
  </w:num>
  <w:num w:numId="24">
    <w:abstractNumId w:val="14"/>
  </w:num>
  <w:num w:numId="25">
    <w:abstractNumId w:val="11"/>
  </w:num>
  <w:num w:numId="26">
    <w:abstractNumId w:val="16"/>
  </w:num>
  <w:num w:numId="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6" w:nlCheck="1" w:checkStyle="1"/>
  <w:activeWritingStyle w:appName="MSWord" w:lang="en-CA" w:vendorID="64" w:dllVersion="6" w:nlCheck="1" w:checkStyle="1"/>
  <w:activeWritingStyle w:appName="MSWord" w:lang="en-US" w:vendorID="64" w:dllVersion="0" w:nlCheck="1" w:checkStyle="0"/>
  <w:activeWritingStyle w:appName="MSWord" w:lang="en-CA" w:vendorID="64" w:dllVersion="0" w:nlCheck="1" w:checkStyle="0"/>
  <w:activeWritingStyle w:appName="MSWord" w:lang="es-ES" w:vendorID="64" w:dllVersion="0" w:nlCheck="1" w:checkStyle="0"/>
  <w:activeWritingStyle w:appName="MSWord" w:lang="es-ES_tradnl" w:vendorID="64" w:dllVersion="0" w:nlCheck="1" w:checkStyle="0"/>
  <w:proofState w:grammar="clean"/>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61D"/>
    <w:rsid w:val="00000614"/>
    <w:rsid w:val="000068B4"/>
    <w:rsid w:val="0001678F"/>
    <w:rsid w:val="000609A7"/>
    <w:rsid w:val="00064C90"/>
    <w:rsid w:val="000676F2"/>
    <w:rsid w:val="000A0609"/>
    <w:rsid w:val="000C104E"/>
    <w:rsid w:val="000E04FC"/>
    <w:rsid w:val="000E673A"/>
    <w:rsid w:val="000F235B"/>
    <w:rsid w:val="000F32B4"/>
    <w:rsid w:val="000F74F5"/>
    <w:rsid w:val="00105372"/>
    <w:rsid w:val="00115D25"/>
    <w:rsid w:val="00131E7A"/>
    <w:rsid w:val="00132A5D"/>
    <w:rsid w:val="00133244"/>
    <w:rsid w:val="00161FF2"/>
    <w:rsid w:val="00164F8A"/>
    <w:rsid w:val="00172AF6"/>
    <w:rsid w:val="0017389D"/>
    <w:rsid w:val="00176CEE"/>
    <w:rsid w:val="0018178C"/>
    <w:rsid w:val="0018454D"/>
    <w:rsid w:val="001C2379"/>
    <w:rsid w:val="001D56D7"/>
    <w:rsid w:val="001E0970"/>
    <w:rsid w:val="001E0E11"/>
    <w:rsid w:val="00281425"/>
    <w:rsid w:val="002833B5"/>
    <w:rsid w:val="002B4F7B"/>
    <w:rsid w:val="002E30C7"/>
    <w:rsid w:val="003069A1"/>
    <w:rsid w:val="003379A1"/>
    <w:rsid w:val="0035338C"/>
    <w:rsid w:val="00372F74"/>
    <w:rsid w:val="003B5256"/>
    <w:rsid w:val="003F58C5"/>
    <w:rsid w:val="003F7224"/>
    <w:rsid w:val="00405146"/>
    <w:rsid w:val="0042412C"/>
    <w:rsid w:val="00427D21"/>
    <w:rsid w:val="004644C2"/>
    <w:rsid w:val="004655B7"/>
    <w:rsid w:val="00467F9C"/>
    <w:rsid w:val="00480EB7"/>
    <w:rsid w:val="0048599F"/>
    <w:rsid w:val="004B5202"/>
    <w:rsid w:val="004C2B9D"/>
    <w:rsid w:val="004C7DBF"/>
    <w:rsid w:val="004D33C4"/>
    <w:rsid w:val="004F01F8"/>
    <w:rsid w:val="004F6ACA"/>
    <w:rsid w:val="005170DA"/>
    <w:rsid w:val="00523002"/>
    <w:rsid w:val="005245AE"/>
    <w:rsid w:val="00534681"/>
    <w:rsid w:val="00541EA0"/>
    <w:rsid w:val="005567DE"/>
    <w:rsid w:val="005F5070"/>
    <w:rsid w:val="006122BA"/>
    <w:rsid w:val="00612B96"/>
    <w:rsid w:val="0061445E"/>
    <w:rsid w:val="00616759"/>
    <w:rsid w:val="00617807"/>
    <w:rsid w:val="006637E2"/>
    <w:rsid w:val="00664450"/>
    <w:rsid w:val="00696F19"/>
    <w:rsid w:val="006A7FFD"/>
    <w:rsid w:val="006B2290"/>
    <w:rsid w:val="006B2759"/>
    <w:rsid w:val="006C696A"/>
    <w:rsid w:val="006C7B5C"/>
    <w:rsid w:val="006E40AB"/>
    <w:rsid w:val="00717D88"/>
    <w:rsid w:val="00720F22"/>
    <w:rsid w:val="00722767"/>
    <w:rsid w:val="00747BF7"/>
    <w:rsid w:val="00755A65"/>
    <w:rsid w:val="00775207"/>
    <w:rsid w:val="00777435"/>
    <w:rsid w:val="007942D3"/>
    <w:rsid w:val="007B6C09"/>
    <w:rsid w:val="007D2C48"/>
    <w:rsid w:val="007E09DA"/>
    <w:rsid w:val="007E3715"/>
    <w:rsid w:val="007F0CAF"/>
    <w:rsid w:val="00814331"/>
    <w:rsid w:val="0081569C"/>
    <w:rsid w:val="008178B6"/>
    <w:rsid w:val="00830BC6"/>
    <w:rsid w:val="00837F01"/>
    <w:rsid w:val="0086268D"/>
    <w:rsid w:val="00865B74"/>
    <w:rsid w:val="00885068"/>
    <w:rsid w:val="008B25D9"/>
    <w:rsid w:val="008C3F22"/>
    <w:rsid w:val="00930BA1"/>
    <w:rsid w:val="0093169E"/>
    <w:rsid w:val="00936F43"/>
    <w:rsid w:val="0094462C"/>
    <w:rsid w:val="009505C9"/>
    <w:rsid w:val="0095265B"/>
    <w:rsid w:val="0097729C"/>
    <w:rsid w:val="00982F4A"/>
    <w:rsid w:val="009C0DC1"/>
    <w:rsid w:val="009C200D"/>
    <w:rsid w:val="009E0CBB"/>
    <w:rsid w:val="009F36E6"/>
    <w:rsid w:val="00A53F93"/>
    <w:rsid w:val="00AA0731"/>
    <w:rsid w:val="00AA19EB"/>
    <w:rsid w:val="00AD7322"/>
    <w:rsid w:val="00AE32A6"/>
    <w:rsid w:val="00AE7F6E"/>
    <w:rsid w:val="00B01F4B"/>
    <w:rsid w:val="00B20F14"/>
    <w:rsid w:val="00B3369F"/>
    <w:rsid w:val="00B96604"/>
    <w:rsid w:val="00BA1E9A"/>
    <w:rsid w:val="00BB2211"/>
    <w:rsid w:val="00BD1407"/>
    <w:rsid w:val="00BD4FF2"/>
    <w:rsid w:val="00C06C2D"/>
    <w:rsid w:val="00C23870"/>
    <w:rsid w:val="00C24159"/>
    <w:rsid w:val="00C26656"/>
    <w:rsid w:val="00C272D6"/>
    <w:rsid w:val="00C47599"/>
    <w:rsid w:val="00C9161D"/>
    <w:rsid w:val="00CE199F"/>
    <w:rsid w:val="00CF1848"/>
    <w:rsid w:val="00CF5767"/>
    <w:rsid w:val="00D0568F"/>
    <w:rsid w:val="00D12044"/>
    <w:rsid w:val="00D279EC"/>
    <w:rsid w:val="00D332B7"/>
    <w:rsid w:val="00D57901"/>
    <w:rsid w:val="00D76A18"/>
    <w:rsid w:val="00D867D9"/>
    <w:rsid w:val="00D86CB5"/>
    <w:rsid w:val="00D925EE"/>
    <w:rsid w:val="00D93980"/>
    <w:rsid w:val="00D9403F"/>
    <w:rsid w:val="00DA7B16"/>
    <w:rsid w:val="00DC3ED3"/>
    <w:rsid w:val="00DC5510"/>
    <w:rsid w:val="00DC7A96"/>
    <w:rsid w:val="00DD118C"/>
    <w:rsid w:val="00DF14AA"/>
    <w:rsid w:val="00E07BEA"/>
    <w:rsid w:val="00E1791F"/>
    <w:rsid w:val="00E25CC6"/>
    <w:rsid w:val="00E66235"/>
    <w:rsid w:val="00E77076"/>
    <w:rsid w:val="00E83C24"/>
    <w:rsid w:val="00E9318D"/>
    <w:rsid w:val="00EA3986"/>
    <w:rsid w:val="00F11CF8"/>
    <w:rsid w:val="00F1434B"/>
    <w:rsid w:val="00F262F6"/>
    <w:rsid w:val="00F267C2"/>
    <w:rsid w:val="00F372C8"/>
    <w:rsid w:val="00F61883"/>
    <w:rsid w:val="00F852D7"/>
    <w:rsid w:val="00F94774"/>
    <w:rsid w:val="00FC22AB"/>
    <w:rsid w:val="00FC53DB"/>
  </w:rsids>
  <m:mathPr>
    <m:mathFont m:val="Cambria Math"/>
    <m:brkBin m:val="before"/>
    <m:brkBinSub m:val="--"/>
    <m:smallFrac m:val="0"/>
    <m:dispDef/>
    <m:lMargin m:val="0"/>
    <m:rMargin m:val="0"/>
    <m:defJc m:val="centerGroup"/>
    <m:wrapIndent m:val="1440"/>
    <m:intLim m:val="subSup"/>
    <m:naryLim m:val="undOvr"/>
  </m:mathPr>
  <w:themeFontLang w:val="fr-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4468E99"/>
  <w15:docId w15:val="{BCC973DD-A341-41A4-A350-9EED3E6F4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s-E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E09DA"/>
    <w:pPr>
      <w:jc w:val="both"/>
    </w:pPr>
    <w:rPr>
      <w:rFonts w:ascii="Times New Roman" w:eastAsia="Times New Roman" w:hAnsi="Times New Roman" w:cs="Times New Roman"/>
      <w:sz w:val="22"/>
    </w:rPr>
  </w:style>
  <w:style w:type="paragraph" w:styleId="Ttulo1">
    <w:name w:val="heading 1"/>
    <w:basedOn w:val="Normal"/>
    <w:next w:val="Ttulo2"/>
    <w:link w:val="Ttulo1Car"/>
    <w:qFormat/>
    <w:rsid w:val="007E09DA"/>
    <w:pPr>
      <w:keepNext/>
      <w:tabs>
        <w:tab w:val="left" w:pos="720"/>
      </w:tabs>
      <w:spacing w:before="240" w:after="120"/>
      <w:jc w:val="center"/>
      <w:outlineLvl w:val="0"/>
    </w:pPr>
    <w:rPr>
      <w:b/>
      <w:caps/>
    </w:rPr>
  </w:style>
  <w:style w:type="paragraph" w:styleId="Ttulo2">
    <w:name w:val="heading 2"/>
    <w:basedOn w:val="Normal"/>
    <w:next w:val="Normal"/>
    <w:link w:val="Ttulo2Car"/>
    <w:qFormat/>
    <w:rsid w:val="006122BA"/>
    <w:pPr>
      <w:keepNext/>
      <w:tabs>
        <w:tab w:val="left" w:pos="720"/>
      </w:tabs>
      <w:spacing w:before="120" w:after="120"/>
      <w:jc w:val="center"/>
      <w:outlineLvl w:val="1"/>
    </w:pPr>
    <w:rPr>
      <w:b/>
      <w:bCs/>
      <w:iCs/>
    </w:rPr>
  </w:style>
  <w:style w:type="paragraph" w:styleId="Ttulo3">
    <w:name w:val="heading 3"/>
    <w:basedOn w:val="Normal"/>
    <w:next w:val="Normal"/>
    <w:link w:val="Ttulo3Car"/>
    <w:qFormat/>
    <w:rsid w:val="007E09DA"/>
    <w:pPr>
      <w:keepNext/>
      <w:tabs>
        <w:tab w:val="left" w:pos="567"/>
      </w:tabs>
      <w:spacing w:before="120" w:after="120"/>
      <w:jc w:val="center"/>
      <w:outlineLvl w:val="2"/>
    </w:pPr>
    <w:rPr>
      <w:i/>
      <w:iCs/>
    </w:rPr>
  </w:style>
  <w:style w:type="paragraph" w:styleId="Ttulo4">
    <w:name w:val="heading 4"/>
    <w:basedOn w:val="Normal"/>
    <w:link w:val="Ttulo4Car"/>
    <w:qFormat/>
    <w:rsid w:val="007E09DA"/>
    <w:pPr>
      <w:keepNext/>
      <w:spacing w:before="120" w:after="120"/>
      <w:outlineLvl w:val="3"/>
    </w:pPr>
    <w:rPr>
      <w:rFonts w:ascii="Times New Roman Bold" w:eastAsia="Arial Unicode MS" w:hAnsi="Times New Roman Bold" w:cs="Arial"/>
      <w:b/>
      <w:bCs/>
      <w:i/>
    </w:rPr>
  </w:style>
  <w:style w:type="paragraph" w:styleId="Ttulo5">
    <w:name w:val="heading 5"/>
    <w:basedOn w:val="Normal"/>
    <w:next w:val="Normal"/>
    <w:link w:val="Ttulo5Car"/>
    <w:qFormat/>
    <w:rsid w:val="007E09DA"/>
    <w:pPr>
      <w:keepNext/>
      <w:numPr>
        <w:ilvl w:val="4"/>
        <w:numId w:val="1"/>
      </w:numPr>
      <w:spacing w:before="120" w:after="120"/>
      <w:jc w:val="left"/>
      <w:outlineLvl w:val="4"/>
    </w:pPr>
    <w:rPr>
      <w:bCs/>
      <w:i/>
      <w:szCs w:val="26"/>
    </w:rPr>
  </w:style>
  <w:style w:type="paragraph" w:styleId="Ttulo6">
    <w:name w:val="heading 6"/>
    <w:basedOn w:val="Normal"/>
    <w:next w:val="Normal"/>
    <w:link w:val="Ttulo6Car"/>
    <w:qFormat/>
    <w:rsid w:val="007E09DA"/>
    <w:pPr>
      <w:keepNext/>
      <w:spacing w:after="240" w:line="240" w:lineRule="exact"/>
      <w:ind w:left="720"/>
      <w:outlineLvl w:val="5"/>
    </w:pPr>
    <w:rPr>
      <w:u w:val="single"/>
    </w:rPr>
  </w:style>
  <w:style w:type="paragraph" w:styleId="Ttulo7">
    <w:name w:val="heading 7"/>
    <w:basedOn w:val="Normal"/>
    <w:next w:val="Normal"/>
    <w:link w:val="Ttulo7Car"/>
    <w:rsid w:val="007E09DA"/>
    <w:pPr>
      <w:keepNext/>
      <w:jc w:val="right"/>
      <w:outlineLvl w:val="6"/>
    </w:pPr>
    <w:rPr>
      <w:rFonts w:ascii="Univers" w:hAnsi="Univers"/>
      <w:b/>
      <w:sz w:val="28"/>
    </w:rPr>
  </w:style>
  <w:style w:type="paragraph" w:styleId="Ttulo8">
    <w:name w:val="heading 8"/>
    <w:basedOn w:val="Normal"/>
    <w:next w:val="Normal"/>
    <w:link w:val="Ttulo8Car"/>
    <w:qFormat/>
    <w:rsid w:val="007E09DA"/>
    <w:pPr>
      <w:keepNext/>
      <w:jc w:val="right"/>
      <w:outlineLvl w:val="7"/>
    </w:pPr>
    <w:rPr>
      <w:rFonts w:ascii="Univers" w:hAnsi="Univers"/>
      <w:b/>
      <w:sz w:val="32"/>
    </w:rPr>
  </w:style>
  <w:style w:type="paragraph" w:styleId="Ttulo9">
    <w:name w:val="heading 9"/>
    <w:basedOn w:val="Normal"/>
    <w:next w:val="Normal"/>
    <w:link w:val="Ttulo9Car"/>
    <w:rsid w:val="007E09DA"/>
    <w:pPr>
      <w:keepNext/>
      <w:spacing w:before="100" w:beforeAutospacing="1" w:after="120"/>
      <w:outlineLvl w:val="8"/>
    </w:pPr>
    <w:rPr>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C9161D"/>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C9161D"/>
    <w:rPr>
      <w:rFonts w:ascii="Lucida Grande" w:hAnsi="Lucida Grande" w:cs="Lucida Grande"/>
      <w:sz w:val="18"/>
      <w:szCs w:val="18"/>
      <w:lang w:val="es-ES"/>
    </w:rPr>
  </w:style>
  <w:style w:type="character" w:styleId="Textodelmarcadordeposicin">
    <w:name w:val="Placeholder Text"/>
    <w:basedOn w:val="Fuentedeprrafopredeter"/>
    <w:uiPriority w:val="99"/>
    <w:semiHidden/>
    <w:rsid w:val="00105372"/>
    <w:rPr>
      <w:color w:val="808080"/>
    </w:rPr>
  </w:style>
  <w:style w:type="paragraph" w:styleId="Encabezado">
    <w:name w:val="header"/>
    <w:basedOn w:val="Normal"/>
    <w:link w:val="EncabezadoCar"/>
    <w:rsid w:val="007E09DA"/>
    <w:pPr>
      <w:tabs>
        <w:tab w:val="center" w:pos="4320"/>
        <w:tab w:val="right" w:pos="8640"/>
      </w:tabs>
    </w:pPr>
  </w:style>
  <w:style w:type="character" w:customStyle="1" w:styleId="EncabezadoCar">
    <w:name w:val="Encabezado Car"/>
    <w:basedOn w:val="Fuentedeprrafopredeter"/>
    <w:link w:val="Encabezado"/>
    <w:rsid w:val="00CF1848"/>
    <w:rPr>
      <w:rFonts w:ascii="Times New Roman" w:eastAsia="Times New Roman" w:hAnsi="Times New Roman" w:cs="Times New Roman"/>
      <w:sz w:val="22"/>
      <w:lang w:val="es-ES"/>
    </w:rPr>
  </w:style>
  <w:style w:type="paragraph" w:styleId="Piedepgina">
    <w:name w:val="footer"/>
    <w:basedOn w:val="Normal"/>
    <w:link w:val="PiedepginaCar"/>
    <w:rsid w:val="007E09DA"/>
    <w:pPr>
      <w:tabs>
        <w:tab w:val="center" w:pos="4320"/>
        <w:tab w:val="right" w:pos="8640"/>
      </w:tabs>
      <w:ind w:firstLine="720"/>
      <w:jc w:val="right"/>
    </w:pPr>
  </w:style>
  <w:style w:type="character" w:customStyle="1" w:styleId="PiedepginaCar">
    <w:name w:val="Pie de página Car"/>
    <w:basedOn w:val="Fuentedeprrafopredeter"/>
    <w:link w:val="Piedepgina"/>
    <w:rsid w:val="00CF1848"/>
    <w:rPr>
      <w:rFonts w:ascii="Times New Roman" w:eastAsia="Times New Roman" w:hAnsi="Times New Roman" w:cs="Times New Roman"/>
      <w:sz w:val="22"/>
      <w:lang w:val="es-ES"/>
    </w:rPr>
  </w:style>
  <w:style w:type="paragraph" w:customStyle="1" w:styleId="meetingname">
    <w:name w:val="meeting name"/>
    <w:basedOn w:val="Normal"/>
    <w:qFormat/>
    <w:rsid w:val="00534681"/>
    <w:pPr>
      <w:ind w:left="142" w:right="4218" w:hanging="142"/>
    </w:pPr>
    <w:rPr>
      <w:caps/>
      <w:szCs w:val="22"/>
    </w:rPr>
  </w:style>
  <w:style w:type="paragraph" w:styleId="Ttulo">
    <w:name w:val="Title"/>
    <w:basedOn w:val="Normal"/>
    <w:next w:val="Normal"/>
    <w:link w:val="TtuloC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7E09DA"/>
    <w:rPr>
      <w:rFonts w:asciiTheme="majorHAnsi" w:eastAsiaTheme="majorEastAsia" w:hAnsiTheme="majorHAnsi" w:cstheme="majorBidi"/>
      <w:color w:val="17365D" w:themeColor="text2" w:themeShade="BF"/>
      <w:spacing w:val="5"/>
      <w:kern w:val="28"/>
      <w:sz w:val="52"/>
      <w:szCs w:val="52"/>
      <w:lang w:val="es-ES"/>
    </w:rPr>
  </w:style>
  <w:style w:type="paragraph" w:styleId="Subttulo">
    <w:name w:val="Subtitle"/>
    <w:basedOn w:val="Normal"/>
    <w:next w:val="Normal"/>
    <w:link w:val="SubttuloC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tuloCar">
    <w:name w:val="Subtítulo Car"/>
    <w:basedOn w:val="Fuentedeprrafopredeter"/>
    <w:link w:val="Subttulo"/>
    <w:uiPriority w:val="11"/>
    <w:rsid w:val="007E09DA"/>
    <w:rPr>
      <w:rFonts w:asciiTheme="majorHAnsi" w:eastAsiaTheme="majorEastAsia" w:hAnsiTheme="majorHAnsi" w:cstheme="majorBidi"/>
      <w:i/>
      <w:iCs/>
      <w:color w:val="4F81BD" w:themeColor="accent1"/>
      <w:spacing w:val="15"/>
      <w:lang w:val="es-ES"/>
    </w:rPr>
  </w:style>
  <w:style w:type="character" w:customStyle="1" w:styleId="Ttulo1Car">
    <w:name w:val="Título 1 Car"/>
    <w:basedOn w:val="Fuentedeprrafopredeter"/>
    <w:link w:val="Ttulo1"/>
    <w:rsid w:val="007E09DA"/>
    <w:rPr>
      <w:rFonts w:ascii="Times New Roman" w:eastAsia="Times New Roman" w:hAnsi="Times New Roman" w:cs="Times New Roman"/>
      <w:b/>
      <w:caps/>
      <w:sz w:val="22"/>
      <w:lang w:val="es-ES"/>
    </w:rPr>
  </w:style>
  <w:style w:type="paragraph" w:styleId="Textoindependiente">
    <w:name w:val="Body Text"/>
    <w:basedOn w:val="Normal"/>
    <w:link w:val="TextoindependienteCar"/>
    <w:rsid w:val="007E09DA"/>
    <w:pPr>
      <w:spacing w:before="120" w:after="120"/>
      <w:ind w:firstLine="720"/>
    </w:pPr>
    <w:rPr>
      <w:iCs/>
    </w:rPr>
  </w:style>
  <w:style w:type="character" w:customStyle="1" w:styleId="TextoindependienteCar">
    <w:name w:val="Texto independiente Car"/>
    <w:basedOn w:val="Fuentedeprrafopredeter"/>
    <w:link w:val="Textoindependiente"/>
    <w:rsid w:val="007E09DA"/>
    <w:rPr>
      <w:rFonts w:ascii="Times New Roman" w:eastAsia="Times New Roman" w:hAnsi="Times New Roman" w:cs="Times New Roman"/>
      <w:iCs/>
      <w:sz w:val="22"/>
      <w:lang w:val="es-ES"/>
    </w:rPr>
  </w:style>
  <w:style w:type="paragraph" w:styleId="Sangradetextonormal">
    <w:name w:val="Body Text Indent"/>
    <w:basedOn w:val="Normal"/>
    <w:link w:val="SangradetextonormalCar"/>
    <w:rsid w:val="007E09DA"/>
    <w:pPr>
      <w:spacing w:before="120" w:after="120"/>
      <w:ind w:left="1440" w:hanging="720"/>
      <w:jc w:val="left"/>
    </w:pPr>
  </w:style>
  <w:style w:type="character" w:customStyle="1" w:styleId="SangradetextonormalCar">
    <w:name w:val="Sangría de texto normal Car"/>
    <w:basedOn w:val="Fuentedeprrafopredeter"/>
    <w:link w:val="Sangradetextonormal"/>
    <w:rsid w:val="007E09DA"/>
    <w:rPr>
      <w:rFonts w:ascii="Times New Roman" w:eastAsia="Times New Roman" w:hAnsi="Times New Roman" w:cs="Times New Roman"/>
      <w:sz w:val="22"/>
      <w:lang w:val="es-ES"/>
    </w:rPr>
  </w:style>
  <w:style w:type="character" w:styleId="Refdecomentario">
    <w:name w:val="annotation reference"/>
    <w:semiHidden/>
    <w:rsid w:val="007E09DA"/>
    <w:rPr>
      <w:sz w:val="16"/>
    </w:rPr>
  </w:style>
  <w:style w:type="paragraph" w:styleId="Textocomentario">
    <w:name w:val="annotation text"/>
    <w:basedOn w:val="Normal"/>
    <w:link w:val="TextocomentarioCar"/>
    <w:semiHidden/>
    <w:rsid w:val="007E09DA"/>
    <w:pPr>
      <w:spacing w:after="120" w:line="240" w:lineRule="exact"/>
    </w:pPr>
  </w:style>
  <w:style w:type="character" w:customStyle="1" w:styleId="TextocomentarioCar">
    <w:name w:val="Texto comentario Car"/>
    <w:basedOn w:val="Fuentedeprrafopredeter"/>
    <w:link w:val="Textocomentario"/>
    <w:semiHidden/>
    <w:rsid w:val="007E09DA"/>
    <w:rPr>
      <w:rFonts w:ascii="Times New Roman" w:eastAsia="Times New Roman" w:hAnsi="Times New Roman" w:cs="Times New Roman"/>
      <w:sz w:val="22"/>
      <w:lang w:val="es-ES"/>
    </w:rPr>
  </w:style>
  <w:style w:type="paragraph" w:customStyle="1" w:styleId="Cornernotation">
    <w:name w:val="Corner notation"/>
    <w:basedOn w:val="Normal"/>
    <w:rsid w:val="007E09DA"/>
    <w:pPr>
      <w:ind w:left="170" w:right="3119" w:hanging="170"/>
      <w:jc w:val="left"/>
    </w:pPr>
  </w:style>
  <w:style w:type="character" w:styleId="Refdenotaalfinal">
    <w:name w:val="endnote reference"/>
    <w:semiHidden/>
    <w:rsid w:val="007E09DA"/>
    <w:rPr>
      <w:vertAlign w:val="superscript"/>
    </w:rPr>
  </w:style>
  <w:style w:type="paragraph" w:styleId="Textonotaalfinal">
    <w:name w:val="endnote text"/>
    <w:basedOn w:val="Normal"/>
    <w:link w:val="TextonotaalfinalCar"/>
    <w:semiHidden/>
    <w:rsid w:val="007E09DA"/>
    <w:pPr>
      <w:widowControl w:val="0"/>
      <w:tabs>
        <w:tab w:val="left" w:pos="-720"/>
      </w:tabs>
      <w:suppressAutoHyphens/>
    </w:pPr>
    <w:rPr>
      <w:rFonts w:ascii="Courier New" w:hAnsi="Courier New"/>
    </w:rPr>
  </w:style>
  <w:style w:type="character" w:customStyle="1" w:styleId="TextonotaalfinalCar">
    <w:name w:val="Texto nota al final Car"/>
    <w:basedOn w:val="Fuentedeprrafopredeter"/>
    <w:link w:val="Textonotaalfinal"/>
    <w:semiHidden/>
    <w:rsid w:val="007E09DA"/>
    <w:rPr>
      <w:rFonts w:ascii="Courier New" w:eastAsia="Times New Roman" w:hAnsi="Courier New" w:cs="Times New Roman"/>
      <w:sz w:val="22"/>
      <w:lang w:val="es-ES"/>
    </w:rPr>
  </w:style>
  <w:style w:type="character" w:styleId="Hipervnculovisitado">
    <w:name w:val="FollowedHyperlink"/>
    <w:rsid w:val="007E09DA"/>
    <w:rPr>
      <w:color w:val="800080"/>
      <w:u w:val="single"/>
    </w:rPr>
  </w:style>
  <w:style w:type="character" w:styleId="Refdenotaalpie">
    <w:name w:val="footnote reference"/>
    <w:aliases w:val="number,Footnote Reference Superscript,-E Fußnotenzeichen,(Diplomarbeit FZ),(Diplomarbeit FZ)1,(Diplomarbeit FZ)2,(Diplomarbeit FZ)3,(Diplomarbeit FZ)4,(Diplomarbeit FZ)5,(Diplomarbeit FZ)6,(Diplomarbeit FZ)7,(Diplomarbeit FZ)8"/>
    <w:link w:val="BVIfnrChar"/>
    <w:uiPriority w:val="99"/>
    <w:qFormat/>
    <w:rsid w:val="00427D21"/>
    <w:rPr>
      <w:sz w:val="22"/>
      <w:u w:val="none"/>
      <w:vertAlign w:val="superscript"/>
    </w:rPr>
  </w:style>
  <w:style w:type="paragraph" w:styleId="Textonotapie">
    <w:name w:val="footnote text"/>
    <w:aliases w:val="fn,Geneva 9,Font: Geneva 9,Boston 10,f,ft,Fotnotstext Char,ft Char,single space,footnote text,FOOTNOTES,ADB,single space1,footnote text1,FOOTNOTES1,fn1,ADB1,single space2,footnote text2,FOOTNOTES2,fn2,ADB2,single space3,footnote text3,fn3"/>
    <w:basedOn w:val="Normal"/>
    <w:link w:val="TextonotapieCar"/>
    <w:uiPriority w:val="99"/>
    <w:qFormat/>
    <w:rsid w:val="007E09DA"/>
    <w:pPr>
      <w:keepLines/>
      <w:spacing w:after="60"/>
      <w:ind w:firstLine="720"/>
    </w:pPr>
    <w:rPr>
      <w:sz w:val="18"/>
    </w:rPr>
  </w:style>
  <w:style w:type="character" w:customStyle="1" w:styleId="TextonotapieCar">
    <w:name w:val="Texto nota pie Car"/>
    <w:aliases w:val="fn Car,Geneva 9 Car,Font: Geneva 9 Car,Boston 10 Car,f Car,ft Car,Fotnotstext Char Car,ft Char Car,single space Car,footnote text Car,FOOTNOTES Car,ADB Car,single space1 Car,footnote text1 Car,FOOTNOTES1 Car,fn1 Car,ADB1 Car,fn2 Car"/>
    <w:basedOn w:val="Fuentedeprrafopredeter"/>
    <w:link w:val="Textonotapie"/>
    <w:uiPriority w:val="99"/>
    <w:rsid w:val="007E09DA"/>
    <w:rPr>
      <w:rFonts w:ascii="Times New Roman" w:eastAsia="Times New Roman" w:hAnsi="Times New Roman" w:cs="Times New Roman"/>
      <w:sz w:val="18"/>
      <w:lang w:val="es-ES"/>
    </w:rPr>
  </w:style>
  <w:style w:type="paragraph" w:customStyle="1" w:styleId="HEADING">
    <w:name w:val="HEADING"/>
    <w:basedOn w:val="Normal"/>
    <w:rsid w:val="007E09DA"/>
    <w:pPr>
      <w:keepNext/>
      <w:spacing w:before="240" w:after="120"/>
      <w:jc w:val="center"/>
    </w:pPr>
    <w:rPr>
      <w:b/>
      <w:bCs/>
      <w:caps/>
    </w:rPr>
  </w:style>
  <w:style w:type="character" w:customStyle="1" w:styleId="Ttulo2Car">
    <w:name w:val="Título 2 Car"/>
    <w:basedOn w:val="Fuentedeprrafopredeter"/>
    <w:link w:val="Ttulo2"/>
    <w:rsid w:val="006122BA"/>
    <w:rPr>
      <w:rFonts w:ascii="Times New Roman" w:eastAsia="Times New Roman" w:hAnsi="Times New Roman" w:cs="Times New Roman"/>
      <w:b/>
      <w:bCs/>
      <w:iCs/>
      <w:sz w:val="22"/>
      <w:lang w:val="es-ES"/>
    </w:rPr>
  </w:style>
  <w:style w:type="paragraph" w:customStyle="1" w:styleId="HEADINGNOTFORTOC">
    <w:name w:val="HEADING (NOT FOR TOC)"/>
    <w:basedOn w:val="Ttulo1"/>
    <w:next w:val="Ttulo2"/>
    <w:rsid w:val="007E09DA"/>
  </w:style>
  <w:style w:type="paragraph" w:customStyle="1" w:styleId="Heading1longmultiline">
    <w:name w:val="Heading 1 (long multiline)"/>
    <w:basedOn w:val="Ttulo1"/>
    <w:rsid w:val="007E09DA"/>
    <w:pPr>
      <w:ind w:left="1843" w:hanging="1134"/>
      <w:jc w:val="left"/>
    </w:pPr>
  </w:style>
  <w:style w:type="paragraph" w:customStyle="1" w:styleId="Heading1multiline">
    <w:name w:val="Heading 1 (multiline)"/>
    <w:basedOn w:val="Ttulo1"/>
    <w:rsid w:val="007E09DA"/>
    <w:pPr>
      <w:ind w:left="1843" w:right="996" w:hanging="567"/>
      <w:jc w:val="left"/>
    </w:pPr>
  </w:style>
  <w:style w:type="paragraph" w:customStyle="1" w:styleId="Heading2multiline">
    <w:name w:val="Heading 2 (multiline)"/>
    <w:basedOn w:val="Ttulo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Ttulo3Car">
    <w:name w:val="Título 3 Car"/>
    <w:basedOn w:val="Fuentedeprrafopredeter"/>
    <w:link w:val="Ttulo3"/>
    <w:rsid w:val="007E09DA"/>
    <w:rPr>
      <w:rFonts w:ascii="Times New Roman" w:eastAsia="Times New Roman" w:hAnsi="Times New Roman" w:cs="Times New Roman"/>
      <w:i/>
      <w:iCs/>
      <w:sz w:val="22"/>
      <w:lang w:val="es-ES"/>
    </w:rPr>
  </w:style>
  <w:style w:type="paragraph" w:customStyle="1" w:styleId="heading2notforTOC">
    <w:name w:val="heading 2 not for TOC"/>
    <w:basedOn w:val="Ttulo3"/>
    <w:rsid w:val="007E09DA"/>
  </w:style>
  <w:style w:type="paragraph" w:customStyle="1" w:styleId="Heading3multiline">
    <w:name w:val="Heading 3 (multiline)"/>
    <w:basedOn w:val="Ttulo3"/>
    <w:next w:val="Normal"/>
    <w:rsid w:val="007E09DA"/>
    <w:pPr>
      <w:ind w:left="1418" w:hanging="425"/>
      <w:jc w:val="left"/>
    </w:pPr>
  </w:style>
  <w:style w:type="character" w:customStyle="1" w:styleId="Ttulo4Car">
    <w:name w:val="Título 4 Car"/>
    <w:basedOn w:val="Fuentedeprrafopredeter"/>
    <w:link w:val="Ttulo4"/>
    <w:rsid w:val="007E09DA"/>
    <w:rPr>
      <w:rFonts w:ascii="Times New Roman Bold" w:eastAsia="Arial Unicode MS" w:hAnsi="Times New Roman Bold" w:cs="Arial"/>
      <w:b/>
      <w:bCs/>
      <w:i/>
      <w:sz w:val="22"/>
      <w:lang w:val="es-ES"/>
    </w:rPr>
  </w:style>
  <w:style w:type="paragraph" w:customStyle="1" w:styleId="Heading4indent">
    <w:name w:val="Heading 4 indent"/>
    <w:basedOn w:val="Ttulo4"/>
    <w:rsid w:val="007E09DA"/>
    <w:pPr>
      <w:ind w:left="720"/>
      <w:outlineLvl w:val="9"/>
    </w:pPr>
    <w:rPr>
      <w:rFonts w:ascii="Times New Roman" w:hAnsi="Times New Roman"/>
    </w:rPr>
  </w:style>
  <w:style w:type="character" w:customStyle="1" w:styleId="Ttulo5Car">
    <w:name w:val="Título 5 Car"/>
    <w:basedOn w:val="Fuentedeprrafopredeter"/>
    <w:link w:val="Ttulo5"/>
    <w:rsid w:val="007E09DA"/>
    <w:rPr>
      <w:rFonts w:ascii="Times New Roman" w:eastAsia="Times New Roman" w:hAnsi="Times New Roman" w:cs="Times New Roman"/>
      <w:bCs/>
      <w:i/>
      <w:sz w:val="22"/>
      <w:szCs w:val="26"/>
      <w:lang w:val="es-ES"/>
    </w:rPr>
  </w:style>
  <w:style w:type="character" w:customStyle="1" w:styleId="Ttulo6Car">
    <w:name w:val="Título 6 Car"/>
    <w:basedOn w:val="Fuentedeprrafopredeter"/>
    <w:link w:val="Ttulo6"/>
    <w:rsid w:val="007E09DA"/>
    <w:rPr>
      <w:rFonts w:ascii="Times New Roman" w:eastAsia="Times New Roman" w:hAnsi="Times New Roman" w:cs="Times New Roman"/>
      <w:sz w:val="22"/>
      <w:u w:val="single"/>
      <w:lang w:val="es-ES"/>
    </w:rPr>
  </w:style>
  <w:style w:type="character" w:customStyle="1" w:styleId="Ttulo7Car">
    <w:name w:val="Título 7 Car"/>
    <w:basedOn w:val="Fuentedeprrafopredeter"/>
    <w:link w:val="Ttulo7"/>
    <w:rsid w:val="007E09DA"/>
    <w:rPr>
      <w:rFonts w:ascii="Univers" w:eastAsia="Times New Roman" w:hAnsi="Univers" w:cs="Times New Roman"/>
      <w:b/>
      <w:sz w:val="28"/>
      <w:lang w:val="es-ES"/>
    </w:rPr>
  </w:style>
  <w:style w:type="character" w:customStyle="1" w:styleId="Ttulo8Car">
    <w:name w:val="Título 8 Car"/>
    <w:basedOn w:val="Fuentedeprrafopredeter"/>
    <w:link w:val="Ttulo8"/>
    <w:rsid w:val="007E09DA"/>
    <w:rPr>
      <w:rFonts w:ascii="Univers" w:eastAsia="Times New Roman" w:hAnsi="Univers" w:cs="Times New Roman"/>
      <w:b/>
      <w:sz w:val="32"/>
      <w:lang w:val="es-ES"/>
    </w:rPr>
  </w:style>
  <w:style w:type="character" w:customStyle="1" w:styleId="Ttulo9Car">
    <w:name w:val="Título 9 Car"/>
    <w:basedOn w:val="Fuentedeprrafopredeter"/>
    <w:link w:val="Ttulo9"/>
    <w:rsid w:val="007E09DA"/>
    <w:rPr>
      <w:rFonts w:ascii="Times New Roman" w:eastAsia="Times New Roman" w:hAnsi="Times New Roman" w:cs="Times New Roman"/>
      <w:i/>
      <w:iCs/>
      <w:sz w:val="22"/>
      <w:lang w:val="es-ES"/>
    </w:rPr>
  </w:style>
  <w:style w:type="character" w:styleId="Nmerodepgina">
    <w:name w:val="page number"/>
    <w:rsid w:val="007E09DA"/>
    <w:rPr>
      <w:rFonts w:ascii="Times New Roman" w:hAnsi="Times New Roman"/>
      <w:sz w:val="22"/>
    </w:rPr>
  </w:style>
  <w:style w:type="paragraph" w:customStyle="1" w:styleId="Para1">
    <w:name w:val="Para1"/>
    <w:basedOn w:val="Normal"/>
    <w:link w:val="Para1Char"/>
    <w:rsid w:val="00427D21"/>
    <w:pPr>
      <w:numPr>
        <w:numId w:val="4"/>
      </w:numPr>
      <w:tabs>
        <w:tab w:val="clear" w:pos="360"/>
      </w:tabs>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Ttulo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Ttulo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Ttulo2"/>
    <w:qFormat/>
    <w:rsid w:val="0093169E"/>
    <w:pPr>
      <w:jc w:val="left"/>
      <w:outlineLvl w:val="9"/>
    </w:pPr>
    <w:rPr>
      <w:i/>
    </w:rPr>
  </w:style>
  <w:style w:type="paragraph" w:styleId="Encabezadodelista">
    <w:name w:val="toa heading"/>
    <w:basedOn w:val="Normal"/>
    <w:next w:val="Normal"/>
    <w:semiHidden/>
    <w:rsid w:val="007E09DA"/>
    <w:pPr>
      <w:spacing w:before="120"/>
    </w:pPr>
    <w:rPr>
      <w:rFonts w:cs="Arial"/>
      <w:b/>
      <w:bCs/>
      <w:sz w:val="24"/>
    </w:rPr>
  </w:style>
  <w:style w:type="paragraph" w:styleId="TDC1">
    <w:name w:val="toc 1"/>
    <w:basedOn w:val="Normal"/>
    <w:next w:val="Normal"/>
    <w:autoRedefine/>
    <w:semiHidden/>
    <w:rsid w:val="007E09DA"/>
    <w:pPr>
      <w:ind w:left="720" w:hanging="720"/>
    </w:pPr>
    <w:rPr>
      <w:caps/>
    </w:rPr>
  </w:style>
  <w:style w:type="paragraph" w:styleId="TDC2">
    <w:name w:val="toc 2"/>
    <w:basedOn w:val="Normal"/>
    <w:next w:val="Normal"/>
    <w:autoRedefine/>
    <w:semiHidden/>
    <w:rsid w:val="007E09DA"/>
    <w:pPr>
      <w:tabs>
        <w:tab w:val="right" w:leader="dot" w:pos="9356"/>
      </w:tabs>
      <w:ind w:left="1440" w:hanging="720"/>
    </w:pPr>
    <w:rPr>
      <w:noProof/>
      <w:szCs w:val="22"/>
    </w:rPr>
  </w:style>
  <w:style w:type="paragraph" w:styleId="TDC3">
    <w:name w:val="toc 3"/>
    <w:basedOn w:val="Normal"/>
    <w:next w:val="Normal"/>
    <w:autoRedefine/>
    <w:semiHidden/>
    <w:rsid w:val="007E09DA"/>
    <w:pPr>
      <w:ind w:left="2160" w:hanging="720"/>
    </w:pPr>
  </w:style>
  <w:style w:type="paragraph" w:styleId="TDC4">
    <w:name w:val="toc 4"/>
    <w:basedOn w:val="Normal"/>
    <w:next w:val="Normal"/>
    <w:autoRedefine/>
    <w:semiHidden/>
    <w:rsid w:val="007E09DA"/>
    <w:pPr>
      <w:spacing w:before="120" w:after="120"/>
      <w:ind w:left="660"/>
      <w:jc w:val="left"/>
    </w:pPr>
  </w:style>
  <w:style w:type="paragraph" w:styleId="TDC5">
    <w:name w:val="toc 5"/>
    <w:basedOn w:val="Normal"/>
    <w:next w:val="Normal"/>
    <w:autoRedefine/>
    <w:semiHidden/>
    <w:rsid w:val="007E09DA"/>
    <w:pPr>
      <w:spacing w:before="120" w:after="120"/>
      <w:ind w:left="880"/>
      <w:jc w:val="left"/>
    </w:pPr>
  </w:style>
  <w:style w:type="paragraph" w:styleId="TDC6">
    <w:name w:val="toc 6"/>
    <w:basedOn w:val="Normal"/>
    <w:next w:val="Normal"/>
    <w:autoRedefine/>
    <w:semiHidden/>
    <w:rsid w:val="007E09DA"/>
    <w:pPr>
      <w:spacing w:before="120" w:after="120"/>
      <w:ind w:left="1100"/>
      <w:jc w:val="left"/>
    </w:pPr>
  </w:style>
  <w:style w:type="paragraph" w:styleId="TDC7">
    <w:name w:val="toc 7"/>
    <w:basedOn w:val="Normal"/>
    <w:next w:val="Normal"/>
    <w:autoRedefine/>
    <w:semiHidden/>
    <w:rsid w:val="007E09DA"/>
    <w:pPr>
      <w:spacing w:before="120" w:after="120"/>
      <w:ind w:left="1320"/>
      <w:jc w:val="left"/>
    </w:pPr>
  </w:style>
  <w:style w:type="paragraph" w:styleId="TDC8">
    <w:name w:val="toc 8"/>
    <w:basedOn w:val="Normal"/>
    <w:next w:val="Normal"/>
    <w:autoRedefine/>
    <w:semiHidden/>
    <w:rsid w:val="007E09DA"/>
    <w:pPr>
      <w:spacing w:before="120" w:after="120"/>
      <w:ind w:left="1540"/>
      <w:jc w:val="left"/>
    </w:pPr>
  </w:style>
  <w:style w:type="paragraph" w:styleId="TDC9">
    <w:name w:val="toc 9"/>
    <w:basedOn w:val="Normal"/>
    <w:next w:val="Normal"/>
    <w:autoRedefine/>
    <w:semiHidden/>
    <w:rsid w:val="007E09DA"/>
    <w:pPr>
      <w:spacing w:before="120" w:after="120"/>
      <w:ind w:left="1760"/>
      <w:jc w:val="left"/>
    </w:pPr>
  </w:style>
  <w:style w:type="character" w:styleId="Hipervnculo">
    <w:name w:val="Hyperlink"/>
    <w:rsid w:val="00172AF6"/>
    <w:rPr>
      <w:color w:val="0000FF"/>
      <w:sz w:val="18"/>
      <w:u w:val="single"/>
    </w:rPr>
  </w:style>
  <w:style w:type="character" w:customStyle="1" w:styleId="Para1Char">
    <w:name w:val="Para1 Char"/>
    <w:link w:val="Para1"/>
    <w:locked/>
    <w:rsid w:val="00427D21"/>
    <w:rPr>
      <w:rFonts w:ascii="Times New Roman" w:eastAsia="Times New Roman" w:hAnsi="Times New Roman" w:cs="Times New Roman"/>
      <w:snapToGrid w:val="0"/>
      <w:sz w:val="22"/>
      <w:szCs w:val="18"/>
      <w:lang w:val="es-ES"/>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Prrafodelista">
    <w:name w:val="List Paragraph"/>
    <w:basedOn w:val="Normal"/>
    <w:link w:val="PrrafodelistaCar"/>
    <w:uiPriority w:val="34"/>
    <w:qFormat/>
    <w:rsid w:val="0093169E"/>
    <w:pPr>
      <w:ind w:left="720"/>
      <w:contextualSpacing/>
    </w:pPr>
  </w:style>
  <w:style w:type="paragraph" w:styleId="Descripcin">
    <w:name w:val="caption"/>
    <w:basedOn w:val="Normal"/>
    <w:next w:val="Normal"/>
    <w:uiPriority w:val="35"/>
    <w:unhideWhenUsed/>
    <w:qFormat/>
    <w:rsid w:val="00D12044"/>
    <w:pPr>
      <w:keepNext/>
      <w:keepLines/>
      <w:spacing w:after="200"/>
    </w:pPr>
    <w:rPr>
      <w:b/>
      <w:iCs/>
      <w:szCs w:val="18"/>
    </w:rPr>
  </w:style>
  <w:style w:type="paragraph" w:styleId="Sinespaciado">
    <w:name w:val="No Spacing"/>
    <w:link w:val="SinespaciadoCar"/>
    <w:uiPriority w:val="1"/>
    <w:qFormat/>
    <w:rsid w:val="0061445E"/>
    <w:rPr>
      <w:rFonts w:ascii="Calibri" w:eastAsia="Calibri" w:hAnsi="Calibri" w:cs="Times New Roman"/>
      <w:sz w:val="22"/>
      <w:szCs w:val="22"/>
    </w:rPr>
  </w:style>
  <w:style w:type="character" w:customStyle="1" w:styleId="SinespaciadoCar">
    <w:name w:val="Sin espaciado Car"/>
    <w:basedOn w:val="Fuentedeprrafopredeter"/>
    <w:link w:val="Sinespaciado"/>
    <w:uiPriority w:val="1"/>
    <w:rsid w:val="0061445E"/>
    <w:rPr>
      <w:rFonts w:ascii="Calibri" w:eastAsia="Calibri" w:hAnsi="Calibri" w:cs="Times New Roman"/>
      <w:sz w:val="22"/>
      <w:szCs w:val="22"/>
      <w:lang w:val="es-ES"/>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Refdenotaalpie"/>
    <w:uiPriority w:val="99"/>
    <w:rsid w:val="00F267C2"/>
    <w:pPr>
      <w:spacing w:after="160" w:line="240" w:lineRule="exact"/>
    </w:pPr>
    <w:rPr>
      <w:rFonts w:asciiTheme="minorHAnsi" w:eastAsiaTheme="minorEastAsia" w:hAnsiTheme="minorHAnsi" w:cstheme="minorBidi"/>
      <w:vertAlign w:val="superscript"/>
    </w:rPr>
  </w:style>
  <w:style w:type="character" w:customStyle="1" w:styleId="StyleFootnoteReferencenumberFootnoteReferenceSuperscript-EF">
    <w:name w:val="Style Footnote ReferencenumberFootnote Reference Superscript-E F..."/>
    <w:rsid w:val="00F267C2"/>
    <w:rPr>
      <w:kern w:val="22"/>
      <w:sz w:val="18"/>
      <w:u w:val="none"/>
      <w:vertAlign w:val="superscript"/>
    </w:rPr>
  </w:style>
  <w:style w:type="character" w:customStyle="1" w:styleId="PrrafodelistaCar">
    <w:name w:val="Párrafo de lista Car"/>
    <w:basedOn w:val="Fuentedeprrafopredeter"/>
    <w:link w:val="Prrafodelista"/>
    <w:uiPriority w:val="34"/>
    <w:qFormat/>
    <w:locked/>
    <w:rsid w:val="000E04FC"/>
    <w:rPr>
      <w:rFonts w:ascii="Times New Roman" w:eastAsia="Times New Roman" w:hAnsi="Times New Roman" w:cs="Times New Roman"/>
      <w:sz w:val="22"/>
      <w:lang w:val="es-ES"/>
    </w:rPr>
  </w:style>
  <w:style w:type="paragraph" w:styleId="Asuntodelcomentario">
    <w:name w:val="annotation subject"/>
    <w:basedOn w:val="Textocomentario"/>
    <w:next w:val="Textocomentario"/>
    <w:link w:val="AsuntodelcomentarioCar"/>
    <w:uiPriority w:val="99"/>
    <w:semiHidden/>
    <w:unhideWhenUsed/>
    <w:rsid w:val="00664450"/>
    <w:pPr>
      <w:spacing w:after="0" w:line="240" w:lineRule="auto"/>
    </w:pPr>
    <w:rPr>
      <w:b/>
      <w:bCs/>
      <w:sz w:val="20"/>
      <w:szCs w:val="20"/>
    </w:rPr>
  </w:style>
  <w:style w:type="character" w:customStyle="1" w:styleId="AsuntodelcomentarioCar">
    <w:name w:val="Asunto del comentario Car"/>
    <w:basedOn w:val="TextocomentarioCar"/>
    <w:link w:val="Asuntodelcomentario"/>
    <w:uiPriority w:val="99"/>
    <w:semiHidden/>
    <w:rsid w:val="00664450"/>
    <w:rPr>
      <w:rFonts w:ascii="Times New Roman" w:eastAsia="Times New Roman" w:hAnsi="Times New Roman" w:cs="Times New Roman"/>
      <w:b/>
      <w:bCs/>
      <w:sz w:val="20"/>
      <w:szCs w:val="2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3795427">
      <w:bodyDiv w:val="1"/>
      <w:marLeft w:val="0"/>
      <w:marRight w:val="0"/>
      <w:marTop w:val="0"/>
      <w:marBottom w:val="0"/>
      <w:divBdr>
        <w:top w:val="none" w:sz="0" w:space="0" w:color="auto"/>
        <w:left w:val="none" w:sz="0" w:space="0" w:color="auto"/>
        <w:bottom w:val="none" w:sz="0" w:space="0" w:color="auto"/>
        <w:right w:val="none" w:sz="0" w:space="0" w:color="auto"/>
      </w:divBdr>
    </w:div>
    <w:div w:id="87458458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image" Target="media/image2.emf"/><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91F815427754D9BA6571111AFF15602"/>
        <w:category>
          <w:name w:val="General"/>
          <w:gallery w:val="placeholder"/>
        </w:category>
        <w:types>
          <w:type w:val="bbPlcHdr"/>
        </w:types>
        <w:behaviors>
          <w:behavior w:val="content"/>
        </w:behaviors>
        <w:guid w:val="{A232002E-BE82-445E-9ECF-0BE8B784A5C1}"/>
      </w:docPartPr>
      <w:docPartBody>
        <w:p w:rsidR="0098642F" w:rsidRDefault="008C6619">
          <w:r w:rsidRPr="006D0F48">
            <w:rPr>
              <w:rStyle w:val="Textodelmarcadordeposicin"/>
            </w:rPr>
            <w:t>[Subject]</w:t>
          </w:r>
        </w:p>
      </w:docPartBody>
    </w:docPart>
    <w:docPart>
      <w:docPartPr>
        <w:name w:val="9E64A1B551BC4D48B19DB33F17A999C0"/>
        <w:category>
          <w:name w:val="General"/>
          <w:gallery w:val="placeholder"/>
        </w:category>
        <w:types>
          <w:type w:val="bbPlcHdr"/>
        </w:types>
        <w:behaviors>
          <w:behavior w:val="content"/>
        </w:behaviors>
        <w:guid w:val="{A97503CA-196A-4545-A30F-592581E2E56B}"/>
      </w:docPartPr>
      <w:docPartBody>
        <w:p w:rsidR="0098642F" w:rsidRDefault="008C6619">
          <w:r w:rsidRPr="006D0F48">
            <w:rPr>
              <w:rStyle w:val="Textodelmarcadordeposicin"/>
            </w:rPr>
            <w:t>[Subject]</w:t>
          </w:r>
        </w:p>
      </w:docPartBody>
    </w:docPart>
    <w:docPart>
      <w:docPartPr>
        <w:name w:val="86BF7B7BD08544C4AE5448FC67876A34"/>
        <w:category>
          <w:name w:val="General"/>
          <w:gallery w:val="placeholder"/>
        </w:category>
        <w:types>
          <w:type w:val="bbPlcHdr"/>
        </w:types>
        <w:behaviors>
          <w:behavior w:val="content"/>
        </w:behaviors>
        <w:guid w:val="{09526BF6-00E1-4AB3-AB78-BEAAFDBCFC6E}"/>
      </w:docPartPr>
      <w:docPartBody>
        <w:p w:rsidR="008E355A" w:rsidRDefault="00F128EB" w:rsidP="00F128EB">
          <w:pPr>
            <w:pStyle w:val="86BF7B7BD08544C4AE5448FC67876A34"/>
          </w:pPr>
          <w:r w:rsidRPr="007E02EB">
            <w:rPr>
              <w:rStyle w:val="Textodelmarcadordeposicin"/>
            </w:rPr>
            <w:t>[Status]</w:t>
          </w:r>
        </w:p>
      </w:docPartBody>
    </w:docPart>
    <w:docPart>
      <w:docPartPr>
        <w:name w:val="1C7216CA2FC7411CB83CD37C44C82B4C"/>
        <w:category>
          <w:name w:val="General"/>
          <w:gallery w:val="placeholder"/>
        </w:category>
        <w:types>
          <w:type w:val="bbPlcHdr"/>
        </w:types>
        <w:behaviors>
          <w:behavior w:val="content"/>
        </w:behaviors>
        <w:guid w:val="{C78544D8-A40D-427B-B6C9-ED8EC8DFF62F}"/>
      </w:docPartPr>
      <w:docPartBody>
        <w:p w:rsidR="008E355A" w:rsidRDefault="00F128EB" w:rsidP="00F128EB">
          <w:pPr>
            <w:pStyle w:val="1C7216CA2FC7411CB83CD37C44C82B4C"/>
          </w:pPr>
          <w:r w:rsidRPr="007E02EB">
            <w:rPr>
              <w:rStyle w:val="Textodelmarcadordeposicin"/>
            </w:rPr>
            <w:t>[Subject]</w:t>
          </w:r>
        </w:p>
      </w:docPartBody>
    </w:docPart>
    <w:docPart>
      <w:docPartPr>
        <w:name w:val="3D14A1746008461CA986F6879E0A416F"/>
        <w:category>
          <w:name w:val="General"/>
          <w:gallery w:val="placeholder"/>
        </w:category>
        <w:types>
          <w:type w:val="bbPlcHdr"/>
        </w:types>
        <w:behaviors>
          <w:behavior w:val="content"/>
        </w:behaviors>
        <w:guid w:val="{8E10E64F-731B-462D-B667-6D4B6B9B7BAC}"/>
      </w:docPartPr>
      <w:docPartBody>
        <w:p w:rsidR="000955AC" w:rsidRDefault="00533E32" w:rsidP="00533E32">
          <w:pPr>
            <w:pStyle w:val="3D14A1746008461CA986F6879E0A416F"/>
          </w:pPr>
          <w:r w:rsidRPr="007E02EB">
            <w:rPr>
              <w:rStyle w:val="Textodelmarcadordeposicin"/>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0A55"/>
    <w:rsid w:val="00076A8A"/>
    <w:rsid w:val="000955AC"/>
    <w:rsid w:val="00261E9A"/>
    <w:rsid w:val="004B1B91"/>
    <w:rsid w:val="00500A2B"/>
    <w:rsid w:val="00533E32"/>
    <w:rsid w:val="0055774F"/>
    <w:rsid w:val="0058288D"/>
    <w:rsid w:val="0060174C"/>
    <w:rsid w:val="0063245B"/>
    <w:rsid w:val="006801B3"/>
    <w:rsid w:val="00720F63"/>
    <w:rsid w:val="007F1B76"/>
    <w:rsid w:val="00810A55"/>
    <w:rsid w:val="008C6619"/>
    <w:rsid w:val="008D420E"/>
    <w:rsid w:val="008E355A"/>
    <w:rsid w:val="0098642F"/>
    <w:rsid w:val="00A44126"/>
    <w:rsid w:val="00BB3F71"/>
    <w:rsid w:val="00CE6602"/>
    <w:rsid w:val="00D34026"/>
    <w:rsid w:val="00DA4E3C"/>
    <w:rsid w:val="00E03A03"/>
    <w:rsid w:val="00F128EB"/>
    <w:rsid w:val="00FB06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rsid w:val="00533E32"/>
    <w:rPr>
      <w:color w:val="808080"/>
    </w:rPr>
  </w:style>
  <w:style w:type="paragraph" w:customStyle="1" w:styleId="C444DEE40D7C456B82AF1A09CD132ABF">
    <w:name w:val="C444DEE40D7C456B82AF1A09CD132ABF"/>
    <w:rsid w:val="00CE6602"/>
    <w:pPr>
      <w:spacing w:after="160" w:line="259" w:lineRule="auto"/>
    </w:pPr>
  </w:style>
  <w:style w:type="paragraph" w:customStyle="1" w:styleId="86BF7B7BD08544C4AE5448FC67876A34">
    <w:name w:val="86BF7B7BD08544C4AE5448FC67876A34"/>
    <w:rsid w:val="00F128EB"/>
    <w:pPr>
      <w:spacing w:after="160" w:line="259" w:lineRule="auto"/>
    </w:pPr>
  </w:style>
  <w:style w:type="paragraph" w:customStyle="1" w:styleId="1C7216CA2FC7411CB83CD37C44C82B4C">
    <w:name w:val="1C7216CA2FC7411CB83CD37C44C82B4C"/>
    <w:rsid w:val="00F128EB"/>
    <w:pPr>
      <w:spacing w:after="160" w:line="259" w:lineRule="auto"/>
    </w:pPr>
  </w:style>
  <w:style w:type="paragraph" w:customStyle="1" w:styleId="7E3265F82E184F41A678CC88A1D0E700">
    <w:name w:val="7E3265F82E184F41A678CC88A1D0E700"/>
    <w:rsid w:val="00FB0667"/>
    <w:pPr>
      <w:spacing w:after="160" w:line="259" w:lineRule="auto"/>
    </w:pPr>
    <w:rPr>
      <w:lang w:val="en-CA" w:eastAsia="en-CA"/>
    </w:rPr>
  </w:style>
  <w:style w:type="paragraph" w:customStyle="1" w:styleId="1F81C47D76B34DA38FE446B576E6BA7E">
    <w:name w:val="1F81C47D76B34DA38FE446B576E6BA7E"/>
    <w:rsid w:val="00533E32"/>
    <w:pPr>
      <w:spacing w:after="160" w:line="259" w:lineRule="auto"/>
    </w:pPr>
    <w:rPr>
      <w:lang w:val="es-ES" w:eastAsia="es-ES"/>
    </w:rPr>
  </w:style>
  <w:style w:type="paragraph" w:customStyle="1" w:styleId="3D14A1746008461CA986F6879E0A416F">
    <w:name w:val="3D14A1746008461CA986F6879E0A416F"/>
    <w:rsid w:val="00533E32"/>
    <w:pPr>
      <w:spacing w:after="160" w:line="259" w:lineRule="auto"/>
    </w:pPr>
    <w:rPr>
      <w:lang w:val="es-ES" w:eastAsia="es-E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2017-12-12T00:00:00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7051570-37B8-4524-BAAE-650082172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4</Pages>
  <Words>1700</Words>
  <Characters>9352</Characters>
  <Application>Microsoft Office Word</Application>
  <DocSecurity>0</DocSecurity>
  <Lines>77</Lines>
  <Paragraphs>22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Gestión de los conocimientos en el marco del Convenio y los Protocolos</vt:lpstr>
      <vt:lpstr>14/25.	Knowledge management under the Convention and its Protocols</vt:lpstr>
    </vt:vector>
  </TitlesOfParts>
  <Company>SCBD</Company>
  <LinksUpToDate>false</LinksUpToDate>
  <CharactersWithSpaces>11030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Gestión de los conocimientos en el marco del Convenio y los Protocolos</dc:title>
  <dc:subject>CBD/COP/DEC/14/25</dc:subject>
  <dc:creator>COP 14</dc:creator>
  <cp:keywords>Knowledge management and communication, decision adopted by the Conference of the Parties</cp:keywords>
  <dc:description>Conference of the Parties, Convention on Biological Diversity, knowledge management and communication</dc:description>
  <cp:lastModifiedBy>Maria Troitino</cp:lastModifiedBy>
  <cp:revision>4</cp:revision>
  <dcterms:created xsi:type="dcterms:W3CDTF">2019-01-21T18:32:00Z</dcterms:created>
  <dcterms:modified xsi:type="dcterms:W3CDTF">2019-02-19T19:20:00Z</dcterms:modified>
  <cp:contentStatus>GENERAL</cp:contentStatus>
</cp:coreProperties>
</file>