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245AE" w:rsidRPr="00A53CF5" w14:paraId="6DC28E4D" w14:textId="77777777" w:rsidTr="00CC6E45">
        <w:trPr>
          <w:trHeight w:val="709"/>
        </w:trPr>
        <w:tc>
          <w:tcPr>
            <w:tcW w:w="976" w:type="dxa"/>
            <w:tcBorders>
              <w:bottom w:val="single" w:sz="12" w:space="0" w:color="auto"/>
            </w:tcBorders>
          </w:tcPr>
          <w:p w14:paraId="3D83C081" w14:textId="77777777" w:rsidR="005245AE" w:rsidRPr="00A53CF5" w:rsidRDefault="005245AE" w:rsidP="00CC6E45">
            <w:pPr>
              <w:rPr>
                <w:lang w:val="fr-FR"/>
              </w:rPr>
            </w:pPr>
            <w:r w:rsidRPr="00A53CF5">
              <w:rPr>
                <w:noProof/>
                <w:lang w:eastAsia="en-GB"/>
              </w:rPr>
              <w:drawing>
                <wp:inline distT="0" distB="0" distL="0" distR="0" wp14:anchorId="6FDF0FC5" wp14:editId="5B6CDFB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27CDB73" w14:textId="77777777" w:rsidR="005245AE" w:rsidRPr="00A53CF5" w:rsidRDefault="005245AE" w:rsidP="00CC6E45">
            <w:pPr>
              <w:rPr>
                <w:lang w:val="fr-FR"/>
              </w:rPr>
            </w:pPr>
            <w:r w:rsidRPr="00A53CF5">
              <w:rPr>
                <w:noProof/>
                <w:lang w:eastAsia="en-GB"/>
              </w:rPr>
              <w:drawing>
                <wp:inline distT="0" distB="0" distL="0" distR="0" wp14:anchorId="7AD05A81" wp14:editId="262D08F1">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AFB824E" w14:textId="77777777" w:rsidR="005245AE" w:rsidRPr="00A53CF5" w:rsidRDefault="005245AE" w:rsidP="00CC6E45">
            <w:pPr>
              <w:jc w:val="right"/>
              <w:rPr>
                <w:rFonts w:ascii="Arial" w:hAnsi="Arial" w:cs="Arial"/>
                <w:b/>
                <w:sz w:val="32"/>
                <w:szCs w:val="32"/>
                <w:lang w:val="fr-FR"/>
              </w:rPr>
            </w:pPr>
            <w:r w:rsidRPr="00A53CF5">
              <w:rPr>
                <w:rFonts w:ascii="Arial" w:hAnsi="Arial" w:cs="Arial"/>
                <w:b/>
                <w:sz w:val="32"/>
                <w:szCs w:val="32"/>
                <w:lang w:val="fr-FR"/>
              </w:rPr>
              <w:t>CBD</w:t>
            </w:r>
          </w:p>
        </w:tc>
      </w:tr>
      <w:tr w:rsidR="005245AE" w:rsidRPr="00A53CF5" w14:paraId="21EF2EB1" w14:textId="77777777" w:rsidTr="00CC6E45">
        <w:tc>
          <w:tcPr>
            <w:tcW w:w="6117" w:type="dxa"/>
            <w:gridSpan w:val="2"/>
            <w:tcBorders>
              <w:top w:val="single" w:sz="12" w:space="0" w:color="auto"/>
              <w:bottom w:val="single" w:sz="36" w:space="0" w:color="auto"/>
            </w:tcBorders>
            <w:vAlign w:val="center"/>
          </w:tcPr>
          <w:p w14:paraId="5BDA17FF" w14:textId="20A0F3C8" w:rsidR="005245AE" w:rsidRPr="00A53CF5" w:rsidRDefault="000E38CA" w:rsidP="00CC6E45">
            <w:pPr>
              <w:rPr>
                <w:lang w:val="fr-FR"/>
              </w:rPr>
            </w:pPr>
            <w:r w:rsidRPr="00A53CF5">
              <w:rPr>
                <w:bCs/>
                <w:noProof/>
                <w:szCs w:val="22"/>
                <w:lang w:eastAsia="en-GB"/>
              </w:rPr>
              <w:drawing>
                <wp:inline distT="0" distB="0" distL="0" distR="0" wp14:anchorId="59B50437" wp14:editId="106F938A">
                  <wp:extent cx="2857500" cy="1076325"/>
                  <wp:effectExtent l="0" t="0" r="0" b="9525"/>
                  <wp:docPr id="7" name="Picture 7"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8D78241" w14:textId="77777777" w:rsidR="005245AE" w:rsidRPr="00A53CF5" w:rsidRDefault="005245AE" w:rsidP="00CC6E45">
            <w:pPr>
              <w:ind w:left="1215"/>
              <w:rPr>
                <w:noProof/>
                <w:szCs w:val="22"/>
                <w:lang w:val="fr-FR"/>
              </w:rPr>
            </w:pPr>
            <w:r w:rsidRPr="00A53CF5">
              <w:rPr>
                <w:noProof/>
                <w:szCs w:val="22"/>
                <w:lang w:val="fr-FR"/>
              </w:rPr>
              <w:t>Distr.</w:t>
            </w:r>
          </w:p>
          <w:p w14:paraId="5EACD1AD" w14:textId="094865C1" w:rsidR="005245AE" w:rsidRPr="00A53CF5" w:rsidRDefault="00517ECC" w:rsidP="00CC6E45">
            <w:pPr>
              <w:ind w:left="1215"/>
              <w:rPr>
                <w:szCs w:val="22"/>
                <w:lang w:val="fr-FR"/>
              </w:rPr>
            </w:pPr>
            <w:sdt>
              <w:sdtPr>
                <w:rPr>
                  <w:caps/>
                  <w:szCs w:val="22"/>
                  <w:lang w:val="fr-FR"/>
                </w:rPr>
                <w:alias w:val="Status"/>
                <w:tag w:val=""/>
                <w:id w:val="307985777"/>
                <w:placeholder>
                  <w:docPart w:val="86BF7B7BD08544C4AE5448FC67876A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2A2BF8" w:rsidRPr="00A53CF5">
                  <w:rPr>
                    <w:caps/>
                    <w:szCs w:val="22"/>
                    <w:lang w:val="fr-FR"/>
                  </w:rPr>
                  <w:t>GÉNÉRALE</w:t>
                </w:r>
              </w:sdtContent>
            </w:sdt>
          </w:p>
          <w:p w14:paraId="26F4C06D" w14:textId="77777777" w:rsidR="005245AE" w:rsidRPr="00A53CF5" w:rsidRDefault="005245AE" w:rsidP="00CC6E45">
            <w:pPr>
              <w:ind w:left="1215"/>
              <w:rPr>
                <w:szCs w:val="22"/>
                <w:lang w:val="fr-FR"/>
              </w:rPr>
            </w:pPr>
          </w:p>
          <w:p w14:paraId="1686E2A0" w14:textId="393AD51D" w:rsidR="005245AE" w:rsidRPr="00A53CF5" w:rsidRDefault="00517ECC" w:rsidP="00CC6E45">
            <w:pPr>
              <w:ind w:left="1215"/>
              <w:rPr>
                <w:szCs w:val="22"/>
                <w:lang w:val="fr-FR"/>
              </w:rPr>
            </w:pPr>
            <w:sdt>
              <w:sdtPr>
                <w:rPr>
                  <w:lang w:val="fr-FR"/>
                </w:rPr>
                <w:alias w:val="Subject"/>
                <w:tag w:val=""/>
                <w:id w:val="2137136483"/>
                <w:placeholder>
                  <w:docPart w:val="1C7216CA2FC7411CB83CD37C44C82B4C"/>
                </w:placeholder>
                <w:dataBinding w:prefixMappings="xmlns:ns0='http://purl.org/dc/elements/1.1/' xmlns:ns1='http://schemas.openxmlformats.org/package/2006/metadata/core-properties' " w:xpath="/ns1:coreProperties[1]/ns0:subject[1]" w:storeItemID="{6C3C8BC8-F283-45AE-878A-BAB7291924A1}"/>
                <w:text/>
              </w:sdtPr>
              <w:sdtEndPr/>
              <w:sdtContent>
                <w:r w:rsidR="002A2BF8" w:rsidRPr="00A53CF5">
                  <w:rPr>
                    <w:lang w:val="fr-FR"/>
                  </w:rPr>
                  <w:t>CBD/COP/DEC/14/25</w:t>
                </w:r>
              </w:sdtContent>
            </w:sdt>
          </w:p>
          <w:p w14:paraId="4FB0E379" w14:textId="5CE8B60F" w:rsidR="005245AE" w:rsidRPr="00A53CF5" w:rsidRDefault="002A2BF8" w:rsidP="00CC6E45">
            <w:pPr>
              <w:ind w:left="1215"/>
              <w:rPr>
                <w:szCs w:val="22"/>
                <w:lang w:val="fr-FR"/>
              </w:rPr>
            </w:pPr>
            <w:r w:rsidRPr="00A53CF5">
              <w:rPr>
                <w:szCs w:val="22"/>
                <w:lang w:val="fr-FR"/>
              </w:rPr>
              <w:t>30</w:t>
            </w:r>
            <w:r w:rsidR="005245AE" w:rsidRPr="00A53CF5">
              <w:rPr>
                <w:szCs w:val="22"/>
                <w:lang w:val="fr-FR"/>
              </w:rPr>
              <w:t xml:space="preserve"> </w:t>
            </w:r>
            <w:r w:rsidR="000E38CA" w:rsidRPr="00A53CF5">
              <w:rPr>
                <w:szCs w:val="22"/>
                <w:lang w:val="fr-FR"/>
              </w:rPr>
              <w:t>novembre</w:t>
            </w:r>
            <w:r w:rsidR="005245AE" w:rsidRPr="00A53CF5">
              <w:rPr>
                <w:szCs w:val="22"/>
                <w:lang w:val="fr-FR"/>
              </w:rPr>
              <w:t xml:space="preserve"> 2018</w:t>
            </w:r>
          </w:p>
          <w:p w14:paraId="50138082" w14:textId="77777777" w:rsidR="005245AE" w:rsidRPr="00A53CF5" w:rsidRDefault="005245AE" w:rsidP="00CC6E45">
            <w:pPr>
              <w:ind w:left="1215"/>
              <w:rPr>
                <w:szCs w:val="22"/>
                <w:lang w:val="fr-FR"/>
              </w:rPr>
            </w:pPr>
          </w:p>
          <w:p w14:paraId="7B8B1103" w14:textId="77777777" w:rsidR="000E38CA" w:rsidRPr="00A53CF5" w:rsidRDefault="000E38CA" w:rsidP="00CC6E45">
            <w:pPr>
              <w:ind w:left="1215"/>
              <w:rPr>
                <w:szCs w:val="22"/>
                <w:lang w:val="fr-FR"/>
              </w:rPr>
            </w:pPr>
            <w:r w:rsidRPr="00A53CF5">
              <w:rPr>
                <w:szCs w:val="22"/>
                <w:lang w:val="fr-FR"/>
              </w:rPr>
              <w:t>FRANÇAIS</w:t>
            </w:r>
          </w:p>
          <w:p w14:paraId="1735D61E" w14:textId="5E7CFEA1" w:rsidR="005245AE" w:rsidRPr="00A53CF5" w:rsidRDefault="005245AE" w:rsidP="00CC6E45">
            <w:pPr>
              <w:ind w:left="1215"/>
              <w:rPr>
                <w:szCs w:val="22"/>
                <w:lang w:val="fr-FR"/>
              </w:rPr>
            </w:pPr>
            <w:r w:rsidRPr="00A53CF5">
              <w:rPr>
                <w:szCs w:val="22"/>
                <w:lang w:val="fr-FR"/>
              </w:rPr>
              <w:t>ORIGINAL</w:t>
            </w:r>
            <w:r w:rsidR="000E38CA" w:rsidRPr="00A53CF5">
              <w:rPr>
                <w:szCs w:val="22"/>
                <w:lang w:val="fr-FR"/>
              </w:rPr>
              <w:t xml:space="preserve"> </w:t>
            </w:r>
            <w:r w:rsidRPr="00A53CF5">
              <w:rPr>
                <w:szCs w:val="22"/>
                <w:lang w:val="fr-FR"/>
              </w:rPr>
              <w:t xml:space="preserve">: </w:t>
            </w:r>
            <w:r w:rsidR="000E38CA" w:rsidRPr="00A53CF5">
              <w:rPr>
                <w:szCs w:val="22"/>
                <w:lang w:val="fr-FR"/>
              </w:rPr>
              <w:t>ANGLAIS</w:t>
            </w:r>
          </w:p>
          <w:p w14:paraId="0763FD0A" w14:textId="77777777" w:rsidR="005245AE" w:rsidRPr="00A53CF5" w:rsidRDefault="005245AE" w:rsidP="00CC6E45">
            <w:pPr>
              <w:rPr>
                <w:lang w:val="fr-FR"/>
              </w:rPr>
            </w:pPr>
          </w:p>
        </w:tc>
      </w:tr>
    </w:tbl>
    <w:p w14:paraId="4EEA5FB9" w14:textId="77777777" w:rsidR="000E38CA" w:rsidRPr="00A53CF5" w:rsidRDefault="000E38CA" w:rsidP="000E38CA">
      <w:pPr>
        <w:pStyle w:val="NoSpacing"/>
        <w:ind w:left="142" w:right="4682" w:hanging="142"/>
        <w:rPr>
          <w:rFonts w:ascii="Times New Roman" w:hAnsi="Times New Roman"/>
          <w:kern w:val="22"/>
          <w:lang w:val="fr-FR"/>
        </w:rPr>
      </w:pPr>
      <w:r w:rsidRPr="00A53CF5">
        <w:rPr>
          <w:rFonts w:ascii="Times New Roman" w:hAnsi="Times New Roman"/>
          <w:kern w:val="22"/>
          <w:lang w:val="fr-FR"/>
        </w:rPr>
        <w:t>CONFÉRENCE DES PARTIES À LA CONVENTION SUR LA DIVERSITÉ BIOLOGIQUE</w:t>
      </w:r>
    </w:p>
    <w:p w14:paraId="10672A21" w14:textId="77777777" w:rsidR="000E38CA" w:rsidRPr="00A53CF5" w:rsidRDefault="000E38CA" w:rsidP="000E38CA">
      <w:pPr>
        <w:pStyle w:val="NoSpacing"/>
        <w:rPr>
          <w:rFonts w:ascii="Times New Roman" w:hAnsi="Times New Roman"/>
          <w:kern w:val="22"/>
          <w:lang w:val="fr-FR"/>
        </w:rPr>
      </w:pPr>
      <w:r w:rsidRPr="00A53CF5">
        <w:rPr>
          <w:rFonts w:ascii="Times New Roman" w:hAnsi="Times New Roman"/>
          <w:kern w:val="22"/>
          <w:lang w:val="fr-FR"/>
        </w:rPr>
        <w:t>Quatorzième réunion</w:t>
      </w:r>
    </w:p>
    <w:p w14:paraId="60C7F95F" w14:textId="3DD0B33B" w:rsidR="000E38CA" w:rsidRPr="00A53CF5" w:rsidRDefault="002A2BF8" w:rsidP="000E38CA">
      <w:pPr>
        <w:pStyle w:val="NoSpacing"/>
        <w:rPr>
          <w:rFonts w:ascii="Times New Roman" w:hAnsi="Times New Roman"/>
          <w:kern w:val="22"/>
          <w:lang w:val="fr-FR"/>
        </w:rPr>
      </w:pPr>
      <w:r w:rsidRPr="00A53CF5">
        <w:rPr>
          <w:rFonts w:ascii="Times New Roman" w:hAnsi="Times New Roman"/>
          <w:noProof/>
          <w:kern w:val="22"/>
          <w:lang w:val="fr-FR"/>
        </w:rPr>
        <w:t>Charm e</w:t>
      </w:r>
      <w:r w:rsidRPr="00A53CF5">
        <w:rPr>
          <w:rFonts w:ascii="Times New Roman" w:hAnsi="Times New Roman"/>
          <w:kern w:val="22"/>
          <w:lang w:val="fr-FR"/>
        </w:rPr>
        <w:t>l-C</w:t>
      </w:r>
      <w:r w:rsidR="000E38CA" w:rsidRPr="00A53CF5">
        <w:rPr>
          <w:rFonts w:ascii="Times New Roman" w:hAnsi="Times New Roman"/>
          <w:kern w:val="22"/>
          <w:lang w:val="fr-FR"/>
        </w:rPr>
        <w:t>heikh, Égypte, 17-29 novembre 2018</w:t>
      </w:r>
    </w:p>
    <w:p w14:paraId="0B9BBCE1" w14:textId="563D9962" w:rsidR="00C9161D" w:rsidRPr="00A53CF5" w:rsidRDefault="000E38CA" w:rsidP="000E38CA">
      <w:pPr>
        <w:rPr>
          <w:kern w:val="22"/>
          <w:szCs w:val="22"/>
          <w:lang w:val="fr-FR"/>
        </w:rPr>
      </w:pPr>
      <w:r w:rsidRPr="00A53CF5">
        <w:rPr>
          <w:kern w:val="22"/>
          <w:szCs w:val="22"/>
          <w:lang w:val="fr-FR"/>
        </w:rPr>
        <w:t>Point 11 de l’ordre du jour</w:t>
      </w:r>
    </w:p>
    <w:p w14:paraId="0A78B893" w14:textId="607CB9C4" w:rsidR="002A2BF8" w:rsidRPr="00A53CF5" w:rsidRDefault="002A2BF8" w:rsidP="002A2BF8">
      <w:pPr>
        <w:spacing w:before="240" w:after="120"/>
        <w:jc w:val="center"/>
        <w:rPr>
          <w:b/>
          <w:kern w:val="22"/>
          <w:szCs w:val="22"/>
          <w:lang w:val="fr-FR"/>
        </w:rPr>
      </w:pPr>
      <w:r w:rsidRPr="00A53CF5">
        <w:rPr>
          <w:b/>
          <w:kern w:val="22"/>
          <w:szCs w:val="22"/>
          <w:lang w:val="fr-FR"/>
        </w:rPr>
        <w:t>DÉCISION ADOPTÉE PAR LA CONFÉRENCE DES PARTIES À LA CONVENTION SUR LA DIVERSITÉ BIOLOGIQUE</w:t>
      </w:r>
    </w:p>
    <w:p w14:paraId="70A9BE08" w14:textId="78BF40C1" w:rsidR="00C9161D" w:rsidRPr="00A53CF5" w:rsidRDefault="00517ECC" w:rsidP="000C104E">
      <w:pPr>
        <w:spacing w:before="240" w:after="120"/>
        <w:jc w:val="center"/>
        <w:rPr>
          <w:rFonts w:ascii="Times New Roman Bold" w:hAnsi="Times New Roman Bold"/>
          <w:b/>
          <w:caps/>
          <w:kern w:val="22"/>
          <w:szCs w:val="22"/>
          <w:lang w:val="fr-FR"/>
        </w:rPr>
      </w:pPr>
      <w:sdt>
        <w:sdtPr>
          <w:rPr>
            <w:rFonts w:ascii="Times New Roman Bold" w:hAnsi="Times New Roman Bold"/>
            <w:b/>
            <w:caps/>
            <w:kern w:val="22"/>
            <w:szCs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2A2BF8" w:rsidRPr="00A53CF5">
            <w:rPr>
              <w:rFonts w:ascii="Times New Roman Bold" w:hAnsi="Times New Roman Bold"/>
              <w:b/>
              <w:caps/>
              <w:kern w:val="22"/>
              <w:szCs w:val="22"/>
              <w:lang w:val="fr-FR"/>
            </w:rPr>
            <w:t>14/25.</w:t>
          </w:r>
          <w:r w:rsidR="002A2BF8" w:rsidRPr="00A53CF5">
            <w:rPr>
              <w:rFonts w:ascii="Times New Roman Bold" w:hAnsi="Times New Roman Bold"/>
              <w:b/>
              <w:caps/>
              <w:kern w:val="22"/>
              <w:szCs w:val="22"/>
              <w:lang w:val="fr-FR"/>
            </w:rPr>
            <w:tab/>
          </w:r>
          <w:r w:rsidR="002A2BF8" w:rsidRPr="00A53CF5">
            <w:rPr>
              <w:rFonts w:ascii="Times New Roman Bold" w:hAnsi="Times New Roman Bold"/>
              <w:b/>
              <w:kern w:val="22"/>
              <w:szCs w:val="22"/>
              <w:lang w:val="fr-FR"/>
            </w:rPr>
            <w:t>Gestion des connaissances dans le cadre de la Convention et de ses protocoles</w:t>
          </w:r>
        </w:sdtContent>
      </w:sdt>
    </w:p>
    <w:p w14:paraId="76CE61CA" w14:textId="77777777" w:rsidR="000E38CA" w:rsidRPr="00A53CF5" w:rsidRDefault="000E38CA" w:rsidP="002A2BF8">
      <w:pPr>
        <w:keepNext/>
        <w:suppressLineNumbers/>
        <w:suppressAutoHyphens/>
        <w:kinsoku w:val="0"/>
        <w:overflowPunct w:val="0"/>
        <w:autoSpaceDE w:val="0"/>
        <w:autoSpaceDN w:val="0"/>
        <w:adjustRightInd w:val="0"/>
        <w:snapToGrid w:val="0"/>
        <w:spacing w:before="120" w:after="120"/>
        <w:ind w:firstLine="720"/>
        <w:rPr>
          <w:i/>
          <w:kern w:val="22"/>
          <w:szCs w:val="22"/>
          <w:lang w:val="fr-FR"/>
        </w:rPr>
      </w:pPr>
      <w:r w:rsidRPr="00A53CF5">
        <w:rPr>
          <w:i/>
          <w:kern w:val="22"/>
          <w:szCs w:val="22"/>
          <w:lang w:val="fr-FR"/>
        </w:rPr>
        <w:t>La Conférence des Parties,</w:t>
      </w:r>
    </w:p>
    <w:p w14:paraId="668A6F67" w14:textId="77777777" w:rsidR="000E38CA" w:rsidRPr="00A53CF5" w:rsidRDefault="000E38CA" w:rsidP="000E38CA">
      <w:pPr>
        <w:pStyle w:val="Para1"/>
        <w:numPr>
          <w:ilvl w:val="0"/>
          <w:numId w:val="0"/>
        </w:numPr>
        <w:suppressLineNumbers/>
        <w:suppressAutoHyphens/>
        <w:ind w:firstLine="709"/>
        <w:rPr>
          <w:i/>
          <w:snapToGrid/>
          <w:kern w:val="22"/>
          <w:szCs w:val="22"/>
          <w:lang w:val="fr-FR"/>
        </w:rPr>
      </w:pPr>
      <w:r w:rsidRPr="00A53CF5">
        <w:rPr>
          <w:i/>
          <w:snapToGrid/>
          <w:kern w:val="22"/>
          <w:szCs w:val="22"/>
          <w:lang w:val="fr-FR"/>
        </w:rPr>
        <w:t xml:space="preserve">Rappelant </w:t>
      </w:r>
      <w:r w:rsidRPr="00A53CF5">
        <w:rPr>
          <w:kern w:val="22"/>
          <w:szCs w:val="22"/>
          <w:lang w:val="fr-FR"/>
        </w:rPr>
        <w:t>les décisions XIII/23,</w:t>
      </w:r>
      <w:r w:rsidRPr="00A53CF5">
        <w:rPr>
          <w:rFonts w:eastAsia="Malgun Gothic"/>
          <w:kern w:val="22"/>
          <w:szCs w:val="22"/>
          <w:lang w:val="fr-FR"/>
        </w:rPr>
        <w:t xml:space="preserve"> XIII/31, XII/2 B, XI/24 et X/15,</w:t>
      </w:r>
    </w:p>
    <w:p w14:paraId="67E0A758" w14:textId="51A653A8" w:rsidR="000E38CA" w:rsidRPr="00A53CF5" w:rsidRDefault="000E38CA" w:rsidP="000E38CA">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fr-FR"/>
        </w:rPr>
      </w:pPr>
      <w:r w:rsidRPr="00A53CF5">
        <w:rPr>
          <w:i/>
          <w:iCs/>
          <w:snapToGrid/>
          <w:kern w:val="22"/>
          <w:szCs w:val="22"/>
          <w:lang w:val="fr-FR"/>
        </w:rPr>
        <w:t xml:space="preserve">Prenant note </w:t>
      </w:r>
      <w:r w:rsidRPr="00A53CF5">
        <w:rPr>
          <w:iCs/>
          <w:snapToGrid/>
          <w:kern w:val="22"/>
          <w:szCs w:val="22"/>
          <w:lang w:val="fr-FR"/>
        </w:rPr>
        <w:t>des progrès accomplis dans la mise en œuvre de la stratégie Web pour la Convention et ses protocoles et</w:t>
      </w:r>
      <w:r w:rsidR="00A53CF5" w:rsidRPr="00A53CF5">
        <w:rPr>
          <w:iCs/>
          <w:snapToGrid/>
          <w:kern w:val="22"/>
          <w:szCs w:val="22"/>
          <w:lang w:val="fr-FR"/>
        </w:rPr>
        <w:t xml:space="preserve"> la mise en place </w:t>
      </w:r>
      <w:r w:rsidRPr="00A53CF5">
        <w:rPr>
          <w:iCs/>
          <w:snapToGrid/>
          <w:kern w:val="22"/>
          <w:szCs w:val="22"/>
          <w:lang w:val="fr-FR"/>
        </w:rPr>
        <w:t xml:space="preserve">de centres d'échange nationaux, notamment le déploiement de l'outil </w:t>
      </w:r>
      <w:proofErr w:type="spellStart"/>
      <w:r w:rsidRPr="00A53CF5">
        <w:rPr>
          <w:iCs/>
          <w:snapToGrid/>
          <w:kern w:val="22"/>
          <w:szCs w:val="22"/>
          <w:lang w:val="fr-FR"/>
        </w:rPr>
        <w:t>Bioland</w:t>
      </w:r>
      <w:proofErr w:type="spellEnd"/>
      <w:r w:rsidRPr="00A53CF5">
        <w:rPr>
          <w:iCs/>
          <w:snapToGrid/>
          <w:kern w:val="22"/>
          <w:szCs w:val="22"/>
          <w:lang w:val="fr-FR"/>
        </w:rPr>
        <w:t xml:space="preserve"> par la Secrétaire exécutive pour aider les Parties à créer ou</w:t>
      </w:r>
      <w:r w:rsidR="00A53CF5" w:rsidRPr="00A53CF5">
        <w:rPr>
          <w:iCs/>
          <w:snapToGrid/>
          <w:kern w:val="22"/>
          <w:szCs w:val="22"/>
          <w:lang w:val="fr-FR"/>
        </w:rPr>
        <w:t xml:space="preserve"> à améliorer leurs</w:t>
      </w:r>
      <w:r w:rsidRPr="00A53CF5">
        <w:rPr>
          <w:iCs/>
          <w:snapToGrid/>
          <w:kern w:val="22"/>
          <w:szCs w:val="22"/>
          <w:lang w:val="fr-FR"/>
        </w:rPr>
        <w:t xml:space="preserve"> centres d'échange nationaux</w:t>
      </w:r>
      <w:r w:rsidRPr="00A53CF5">
        <w:rPr>
          <w:rStyle w:val="FootnoteReference"/>
          <w:snapToGrid/>
          <w:kern w:val="22"/>
          <w:szCs w:val="22"/>
          <w:lang w:val="fr-FR"/>
        </w:rPr>
        <w:footnoteReference w:id="1"/>
      </w:r>
      <w:r w:rsidR="00A53CF5" w:rsidRPr="00A53CF5">
        <w:rPr>
          <w:iCs/>
          <w:snapToGrid/>
          <w:kern w:val="22"/>
          <w:szCs w:val="22"/>
          <w:lang w:val="fr-FR"/>
        </w:rPr>
        <w:t>,</w:t>
      </w:r>
    </w:p>
    <w:p w14:paraId="3080CE82" w14:textId="564373D7" w:rsidR="000E38CA" w:rsidRPr="00A53CF5" w:rsidRDefault="000E38CA" w:rsidP="000E38CA">
      <w:pPr>
        <w:pStyle w:val="Para1"/>
        <w:numPr>
          <w:ilvl w:val="0"/>
          <w:numId w:val="0"/>
        </w:numPr>
        <w:suppressLineNumbers/>
        <w:suppressAutoHyphens/>
        <w:ind w:firstLine="709"/>
        <w:rPr>
          <w:rFonts w:eastAsia="Malgun Gothic"/>
          <w:kern w:val="22"/>
          <w:szCs w:val="22"/>
          <w:lang w:val="fr-FR"/>
        </w:rPr>
      </w:pPr>
      <w:r w:rsidRPr="00A53CF5">
        <w:rPr>
          <w:i/>
          <w:snapToGrid/>
          <w:kern w:val="22"/>
          <w:szCs w:val="22"/>
          <w:lang w:val="fr-FR"/>
        </w:rPr>
        <w:t>Reconnaissant</w:t>
      </w:r>
      <w:r w:rsidRPr="00A53CF5">
        <w:rPr>
          <w:snapToGrid/>
          <w:kern w:val="22"/>
          <w:szCs w:val="22"/>
          <w:lang w:val="fr-FR"/>
        </w:rPr>
        <w:t xml:space="preserve"> la nécessité de recueillir, d'organiser et de partager les connaissances et les données d'expérience relatives à la diversité biologique pour faciliter et renforcer l'applicat</w:t>
      </w:r>
      <w:r w:rsidR="00A53CF5">
        <w:rPr>
          <w:snapToGrid/>
          <w:kern w:val="22"/>
          <w:szCs w:val="22"/>
          <w:lang w:val="fr-FR"/>
        </w:rPr>
        <w:t>ion de la Convention et de ses p</w:t>
      </w:r>
      <w:r w:rsidRPr="00A53CF5">
        <w:rPr>
          <w:snapToGrid/>
          <w:kern w:val="22"/>
          <w:szCs w:val="22"/>
          <w:lang w:val="fr-FR"/>
        </w:rPr>
        <w:t>rotocoles</w:t>
      </w:r>
      <w:r w:rsidRPr="00A53CF5">
        <w:rPr>
          <w:i/>
          <w:snapToGrid/>
          <w:kern w:val="22"/>
          <w:szCs w:val="22"/>
          <w:lang w:val="fr-FR"/>
        </w:rPr>
        <w:t>,</w:t>
      </w:r>
    </w:p>
    <w:p w14:paraId="587F2E83" w14:textId="77777777" w:rsidR="000E38CA" w:rsidRPr="00A53CF5" w:rsidRDefault="000E38CA" w:rsidP="000E38CA">
      <w:pPr>
        <w:pStyle w:val="Para1"/>
        <w:numPr>
          <w:ilvl w:val="0"/>
          <w:numId w:val="0"/>
        </w:numPr>
        <w:suppressLineNumbers/>
        <w:suppressAutoHyphens/>
        <w:ind w:firstLine="709"/>
        <w:rPr>
          <w:snapToGrid/>
          <w:kern w:val="22"/>
          <w:szCs w:val="22"/>
          <w:lang w:val="fr-FR"/>
        </w:rPr>
      </w:pPr>
      <w:r w:rsidRPr="00A53CF5">
        <w:rPr>
          <w:i/>
          <w:snapToGrid/>
          <w:kern w:val="22"/>
          <w:szCs w:val="22"/>
          <w:lang w:val="fr-FR"/>
        </w:rPr>
        <w:t>Reconnaissant</w:t>
      </w:r>
      <w:r w:rsidRPr="00A53CF5">
        <w:rPr>
          <w:snapToGrid/>
          <w:kern w:val="22"/>
          <w:szCs w:val="22"/>
          <w:lang w:val="fr-FR"/>
        </w:rPr>
        <w:t xml:space="preserve"> la nécessité de recourir à des données en accès libre et à des outils à code source libre qui </w:t>
      </w:r>
      <w:proofErr w:type="gramStart"/>
      <w:r w:rsidRPr="00A53CF5">
        <w:rPr>
          <w:snapToGrid/>
          <w:kern w:val="22"/>
          <w:szCs w:val="22"/>
          <w:lang w:val="fr-FR"/>
        </w:rPr>
        <w:t>sont</w:t>
      </w:r>
      <w:proofErr w:type="gramEnd"/>
      <w:r w:rsidRPr="00A53CF5">
        <w:rPr>
          <w:snapToGrid/>
          <w:kern w:val="22"/>
          <w:szCs w:val="22"/>
          <w:lang w:val="fr-FR"/>
        </w:rPr>
        <w:t xml:space="preserve"> une condition indispensable à une gestion efficace des connaissances, en particulier dans les pays en développement,</w:t>
      </w:r>
    </w:p>
    <w:p w14:paraId="222836E7" w14:textId="14E66156" w:rsidR="000E38CA" w:rsidRPr="00A53CF5" w:rsidRDefault="000E38CA" w:rsidP="000E38CA">
      <w:pPr>
        <w:suppressLineNumbers/>
        <w:suppressAutoHyphens/>
        <w:spacing w:before="120" w:after="120"/>
        <w:ind w:firstLine="709"/>
        <w:rPr>
          <w:iCs/>
          <w:kern w:val="22"/>
          <w:szCs w:val="22"/>
          <w:lang w:val="fr-FR"/>
        </w:rPr>
      </w:pPr>
      <w:r w:rsidRPr="00A53CF5">
        <w:rPr>
          <w:i/>
          <w:kern w:val="22"/>
          <w:szCs w:val="22"/>
          <w:lang w:val="fr-FR"/>
        </w:rPr>
        <w:t>Soulignant</w:t>
      </w:r>
      <w:r w:rsidRPr="00A53CF5">
        <w:rPr>
          <w:iCs/>
          <w:kern w:val="22"/>
          <w:szCs w:val="22"/>
          <w:lang w:val="fr-FR"/>
        </w:rPr>
        <w:t xml:space="preserve"> la nécessité de renforcer la cohéren</w:t>
      </w:r>
      <w:r w:rsidR="00A53CF5">
        <w:rPr>
          <w:iCs/>
          <w:kern w:val="22"/>
          <w:szCs w:val="22"/>
          <w:lang w:val="fr-FR"/>
        </w:rPr>
        <w:t>ce et la coordination entre le c</w:t>
      </w:r>
      <w:r w:rsidRPr="00A53CF5">
        <w:rPr>
          <w:iCs/>
          <w:kern w:val="22"/>
          <w:szCs w:val="22"/>
          <w:lang w:val="fr-FR"/>
        </w:rPr>
        <w:t xml:space="preserve">entre </w:t>
      </w:r>
      <w:r w:rsidR="00A53CF5">
        <w:rPr>
          <w:iCs/>
          <w:kern w:val="22"/>
          <w:szCs w:val="22"/>
          <w:lang w:val="fr-FR"/>
        </w:rPr>
        <w:t>d'échange de la Convention, le c</w:t>
      </w:r>
      <w:r w:rsidRPr="00A53CF5">
        <w:rPr>
          <w:iCs/>
          <w:kern w:val="22"/>
          <w:szCs w:val="22"/>
          <w:lang w:val="fr-FR"/>
        </w:rPr>
        <w:t>entre d'échange pour la prévention des r</w:t>
      </w:r>
      <w:r w:rsidR="00A53CF5">
        <w:rPr>
          <w:iCs/>
          <w:kern w:val="22"/>
          <w:szCs w:val="22"/>
          <w:lang w:val="fr-FR"/>
        </w:rPr>
        <w:t>isques biotechnologiques et le c</w:t>
      </w:r>
      <w:r w:rsidRPr="00A53CF5">
        <w:rPr>
          <w:iCs/>
          <w:kern w:val="22"/>
          <w:szCs w:val="22"/>
          <w:lang w:val="fr-FR"/>
        </w:rPr>
        <w:t>entre d'échange sur l'accès et le partage des avantages</w:t>
      </w:r>
      <w:r w:rsidRPr="00A53CF5">
        <w:rPr>
          <w:i/>
          <w:kern w:val="22"/>
          <w:szCs w:val="22"/>
          <w:lang w:val="fr-FR"/>
        </w:rPr>
        <w:t>,</w:t>
      </w:r>
    </w:p>
    <w:p w14:paraId="7BCEF130" w14:textId="6CA02669" w:rsidR="000E38CA" w:rsidRPr="00A53CF5" w:rsidRDefault="000E38CA" w:rsidP="000E38CA">
      <w:pPr>
        <w:pStyle w:val="ListParagraph"/>
        <w:numPr>
          <w:ilvl w:val="0"/>
          <w:numId w:val="22"/>
        </w:numPr>
        <w:suppressLineNumbers/>
        <w:suppressAutoHyphens/>
        <w:spacing w:before="120" w:after="120"/>
        <w:ind w:left="0" w:firstLine="709"/>
        <w:rPr>
          <w:kern w:val="22"/>
          <w:szCs w:val="22"/>
          <w:lang w:val="fr-FR"/>
        </w:rPr>
      </w:pPr>
      <w:r w:rsidRPr="00A53CF5">
        <w:rPr>
          <w:i/>
          <w:kern w:val="22"/>
          <w:szCs w:val="22"/>
          <w:lang w:val="fr-FR"/>
        </w:rPr>
        <w:t>Approuve</w:t>
      </w:r>
      <w:r w:rsidRPr="00A53CF5">
        <w:rPr>
          <w:kern w:val="22"/>
          <w:szCs w:val="22"/>
          <w:lang w:val="fr-FR"/>
        </w:rPr>
        <w:t xml:space="preserve"> </w:t>
      </w:r>
      <w:r w:rsidRPr="00A53CF5">
        <w:rPr>
          <w:iCs/>
          <w:kern w:val="22"/>
          <w:szCs w:val="22"/>
          <w:lang w:val="fr-FR"/>
        </w:rPr>
        <w:t xml:space="preserve">les modalités de fonctionnement conjointes du centre </w:t>
      </w:r>
      <w:r w:rsidR="00A53CF5">
        <w:rPr>
          <w:iCs/>
          <w:kern w:val="22"/>
          <w:szCs w:val="22"/>
          <w:lang w:val="fr-FR"/>
        </w:rPr>
        <w:t>d'échange de la Convention, du c</w:t>
      </w:r>
      <w:r w:rsidRPr="00A53CF5">
        <w:rPr>
          <w:iCs/>
          <w:kern w:val="22"/>
          <w:szCs w:val="22"/>
          <w:lang w:val="fr-FR"/>
        </w:rPr>
        <w:t xml:space="preserve">entre d'échange pour la prévention des risques biotechnologiques et du </w:t>
      </w:r>
      <w:r w:rsidR="00A53CF5">
        <w:rPr>
          <w:iCs/>
          <w:kern w:val="22"/>
          <w:szCs w:val="22"/>
          <w:lang w:val="fr-FR"/>
        </w:rPr>
        <w:t xml:space="preserve">centre </w:t>
      </w:r>
      <w:r w:rsidRPr="00A53CF5">
        <w:rPr>
          <w:iCs/>
          <w:kern w:val="22"/>
          <w:szCs w:val="22"/>
          <w:lang w:val="fr-FR"/>
        </w:rPr>
        <w:t>d'échange sur l'accès et le partage des avantages élaborées par la Secrétaire exécutive avec le concours</w:t>
      </w:r>
      <w:r w:rsidR="00A53CF5">
        <w:rPr>
          <w:iCs/>
          <w:kern w:val="22"/>
          <w:szCs w:val="22"/>
          <w:lang w:val="fr-FR"/>
        </w:rPr>
        <w:t xml:space="preserve"> des c</w:t>
      </w:r>
      <w:r w:rsidRPr="00A53CF5">
        <w:rPr>
          <w:iCs/>
          <w:kern w:val="22"/>
          <w:szCs w:val="22"/>
          <w:lang w:val="fr-FR"/>
        </w:rPr>
        <w:t>omités consultatifs informels, telles q</w:t>
      </w:r>
      <w:r w:rsidR="00A53CF5">
        <w:rPr>
          <w:iCs/>
          <w:kern w:val="22"/>
          <w:szCs w:val="22"/>
          <w:lang w:val="fr-FR"/>
        </w:rPr>
        <w:t>ue reproduites à l'annexe I de</w:t>
      </w:r>
      <w:r w:rsidRPr="00A53CF5">
        <w:rPr>
          <w:iCs/>
          <w:kern w:val="22"/>
          <w:szCs w:val="22"/>
          <w:lang w:val="fr-FR"/>
        </w:rPr>
        <w:t xml:space="preserve"> la présente décision </w:t>
      </w:r>
      <w:r w:rsidRPr="00A53CF5">
        <w:rPr>
          <w:kern w:val="22"/>
          <w:szCs w:val="22"/>
          <w:lang w:val="fr-FR"/>
        </w:rPr>
        <w:t>;</w:t>
      </w:r>
    </w:p>
    <w:p w14:paraId="4D07C442" w14:textId="77777777" w:rsidR="000E38CA" w:rsidRPr="00A53CF5" w:rsidRDefault="000E38CA" w:rsidP="000E38CA">
      <w:pPr>
        <w:pStyle w:val="Para1"/>
        <w:numPr>
          <w:ilvl w:val="0"/>
          <w:numId w:val="22"/>
        </w:numPr>
        <w:suppressLineNumbers/>
        <w:suppressAutoHyphens/>
        <w:kinsoku w:val="0"/>
        <w:overflowPunct w:val="0"/>
        <w:autoSpaceDE w:val="0"/>
        <w:autoSpaceDN w:val="0"/>
        <w:adjustRightInd w:val="0"/>
        <w:snapToGrid w:val="0"/>
        <w:ind w:left="0" w:firstLine="709"/>
        <w:rPr>
          <w:snapToGrid/>
          <w:kern w:val="22"/>
          <w:szCs w:val="22"/>
          <w:lang w:val="fr-FR"/>
        </w:rPr>
      </w:pPr>
      <w:r w:rsidRPr="00A53CF5">
        <w:rPr>
          <w:i/>
          <w:snapToGrid/>
          <w:kern w:val="22"/>
          <w:szCs w:val="22"/>
          <w:lang w:val="fr-FR"/>
        </w:rPr>
        <w:t>Invite</w:t>
      </w:r>
      <w:r w:rsidRPr="00A53CF5">
        <w:rPr>
          <w:snapToGrid/>
          <w:kern w:val="22"/>
          <w:szCs w:val="22"/>
          <w:lang w:val="fr-FR"/>
        </w:rPr>
        <w:t xml:space="preserve"> les Parties et les autres gouvernements ne disposant pas de centre d’échange ainsi que ceux qui souhaitent restructurer les centres d’échange existants à utiliser l'outil </w:t>
      </w:r>
      <w:proofErr w:type="spellStart"/>
      <w:r w:rsidRPr="00A53CF5">
        <w:rPr>
          <w:snapToGrid/>
          <w:kern w:val="22"/>
          <w:szCs w:val="22"/>
          <w:lang w:val="fr-FR"/>
        </w:rPr>
        <w:t>Bioland</w:t>
      </w:r>
      <w:proofErr w:type="spellEnd"/>
      <w:r w:rsidRPr="00A53CF5">
        <w:rPr>
          <w:snapToGrid/>
          <w:kern w:val="22"/>
          <w:szCs w:val="22"/>
          <w:lang w:val="fr-FR"/>
        </w:rPr>
        <w:t xml:space="preserve"> mis au point par la Secrétaire exécutive </w:t>
      </w:r>
      <w:r w:rsidRPr="00A53CF5">
        <w:rPr>
          <w:i/>
          <w:snapToGrid/>
          <w:kern w:val="22"/>
          <w:szCs w:val="22"/>
          <w:lang w:val="fr-FR"/>
        </w:rPr>
        <w:t>;</w:t>
      </w:r>
    </w:p>
    <w:p w14:paraId="3E0101B3" w14:textId="5AD83D7F" w:rsidR="000E38CA" w:rsidRPr="00A53CF5" w:rsidRDefault="000E38CA" w:rsidP="000E38CA">
      <w:pPr>
        <w:pStyle w:val="Para1"/>
        <w:numPr>
          <w:ilvl w:val="0"/>
          <w:numId w:val="22"/>
        </w:numPr>
        <w:suppressLineNumbers/>
        <w:suppressAutoHyphens/>
        <w:kinsoku w:val="0"/>
        <w:overflowPunct w:val="0"/>
        <w:autoSpaceDE w:val="0"/>
        <w:autoSpaceDN w:val="0"/>
        <w:adjustRightInd w:val="0"/>
        <w:snapToGrid w:val="0"/>
        <w:ind w:left="0" w:firstLine="709"/>
        <w:rPr>
          <w:snapToGrid/>
          <w:kern w:val="22"/>
          <w:szCs w:val="22"/>
          <w:lang w:val="fr-FR"/>
        </w:rPr>
      </w:pPr>
      <w:r w:rsidRPr="00A53CF5">
        <w:rPr>
          <w:i/>
          <w:snapToGrid/>
          <w:kern w:val="22"/>
          <w:szCs w:val="22"/>
          <w:lang w:val="fr-FR"/>
        </w:rPr>
        <w:t>Invite</w:t>
      </w:r>
      <w:r w:rsidRPr="00A53CF5">
        <w:rPr>
          <w:snapToGrid/>
          <w:kern w:val="22"/>
          <w:szCs w:val="22"/>
          <w:lang w:val="fr-FR"/>
        </w:rPr>
        <w:t xml:space="preserve"> les Parties, les autres gouvernements et les organisations compétentes, selon qu’il convient, à continuer de fournir les ressources financières, techniques et humaines nécessaires à la poursuite de</w:t>
      </w:r>
      <w:r w:rsidR="00A53CF5">
        <w:rPr>
          <w:snapToGrid/>
          <w:kern w:val="22"/>
          <w:szCs w:val="22"/>
          <w:lang w:val="fr-FR"/>
        </w:rPr>
        <w:t xml:space="preserve"> la mise en place </w:t>
      </w:r>
      <w:r w:rsidRPr="00A53CF5">
        <w:rPr>
          <w:snapToGrid/>
          <w:kern w:val="22"/>
          <w:szCs w:val="22"/>
          <w:lang w:val="fr-FR"/>
        </w:rPr>
        <w:t xml:space="preserve">de centres d'échange nationaux, ou au transfert des sites Web des centres d'échange nationaux existants vers l'outil </w:t>
      </w:r>
      <w:proofErr w:type="spellStart"/>
      <w:r w:rsidRPr="00A53CF5">
        <w:rPr>
          <w:snapToGrid/>
          <w:kern w:val="22"/>
          <w:szCs w:val="22"/>
          <w:lang w:val="fr-FR"/>
        </w:rPr>
        <w:t>Bioland</w:t>
      </w:r>
      <w:proofErr w:type="spellEnd"/>
      <w:r w:rsidRPr="00A53CF5">
        <w:rPr>
          <w:snapToGrid/>
          <w:kern w:val="22"/>
          <w:szCs w:val="22"/>
          <w:lang w:val="fr-FR"/>
        </w:rPr>
        <w:t> </w:t>
      </w:r>
      <w:r w:rsidRPr="00A53CF5">
        <w:rPr>
          <w:i/>
          <w:snapToGrid/>
          <w:kern w:val="22"/>
          <w:szCs w:val="22"/>
          <w:lang w:val="fr-FR"/>
        </w:rPr>
        <w:t>;</w:t>
      </w:r>
    </w:p>
    <w:p w14:paraId="47AB152E" w14:textId="77777777" w:rsidR="000E38CA" w:rsidRPr="00A53CF5" w:rsidRDefault="000E38CA" w:rsidP="000E38CA">
      <w:pPr>
        <w:pStyle w:val="Para1"/>
        <w:numPr>
          <w:ilvl w:val="0"/>
          <w:numId w:val="22"/>
        </w:numPr>
        <w:suppressLineNumbers/>
        <w:suppressAutoHyphens/>
        <w:kinsoku w:val="0"/>
        <w:overflowPunct w:val="0"/>
        <w:autoSpaceDE w:val="0"/>
        <w:autoSpaceDN w:val="0"/>
        <w:adjustRightInd w:val="0"/>
        <w:snapToGrid w:val="0"/>
        <w:ind w:left="0" w:firstLine="709"/>
        <w:rPr>
          <w:snapToGrid/>
          <w:kern w:val="22"/>
          <w:szCs w:val="22"/>
          <w:lang w:val="fr-FR"/>
        </w:rPr>
      </w:pPr>
      <w:r w:rsidRPr="00A53CF5">
        <w:rPr>
          <w:i/>
          <w:snapToGrid/>
          <w:kern w:val="22"/>
          <w:szCs w:val="22"/>
          <w:lang w:val="fr-FR"/>
        </w:rPr>
        <w:lastRenderedPageBreak/>
        <w:t>Prie</w:t>
      </w:r>
      <w:r w:rsidRPr="00A53CF5">
        <w:rPr>
          <w:snapToGrid/>
          <w:kern w:val="22"/>
          <w:szCs w:val="22"/>
          <w:lang w:val="fr-FR"/>
        </w:rPr>
        <w:t xml:space="preserve"> la Secrétaire exécutive, dans la limite des ressources disponibles, de :</w:t>
      </w:r>
    </w:p>
    <w:p w14:paraId="095867CC" w14:textId="07A15CE1" w:rsidR="000E38CA" w:rsidRPr="00A53CF5" w:rsidRDefault="000E38CA" w:rsidP="000E38CA">
      <w:pPr>
        <w:suppressLineNumbers/>
        <w:suppressAutoHyphens/>
        <w:kinsoku w:val="0"/>
        <w:overflowPunct w:val="0"/>
        <w:autoSpaceDE w:val="0"/>
        <w:autoSpaceDN w:val="0"/>
        <w:adjustRightInd w:val="0"/>
        <w:snapToGrid w:val="0"/>
        <w:spacing w:after="120"/>
        <w:ind w:firstLine="720"/>
        <w:rPr>
          <w:kern w:val="22"/>
          <w:szCs w:val="22"/>
          <w:lang w:val="fr-FR"/>
        </w:rPr>
      </w:pPr>
      <w:r w:rsidRPr="00A53CF5">
        <w:rPr>
          <w:kern w:val="22"/>
          <w:szCs w:val="22"/>
          <w:lang w:val="fr-FR"/>
        </w:rPr>
        <w:t>a)</w:t>
      </w:r>
      <w:r w:rsidRPr="00A53CF5">
        <w:rPr>
          <w:kern w:val="22"/>
          <w:szCs w:val="22"/>
          <w:lang w:val="fr-FR"/>
        </w:rPr>
        <w:tab/>
        <w:t>De poursuivre la mise en œu</w:t>
      </w:r>
      <w:r w:rsidR="0098417C">
        <w:rPr>
          <w:kern w:val="22"/>
          <w:szCs w:val="22"/>
          <w:lang w:val="fr-FR"/>
        </w:rPr>
        <w:t>vre du programme de travail du c</w:t>
      </w:r>
      <w:r w:rsidRPr="00A53CF5">
        <w:rPr>
          <w:kern w:val="22"/>
          <w:szCs w:val="22"/>
          <w:lang w:val="fr-FR"/>
        </w:rPr>
        <w:t>entre d'échange à l'appui du Plan stratégique 2011-2020 pour la diversité biologique</w:t>
      </w:r>
      <w:r w:rsidRPr="00A53CF5">
        <w:rPr>
          <w:rStyle w:val="FootnoteReference"/>
          <w:kern w:val="22"/>
          <w:szCs w:val="22"/>
          <w:lang w:val="fr-FR"/>
        </w:rPr>
        <w:footnoteReference w:id="2"/>
      </w:r>
      <w:r w:rsidRPr="00A53CF5">
        <w:rPr>
          <w:kern w:val="22"/>
          <w:szCs w:val="22"/>
          <w:lang w:val="fr-FR"/>
        </w:rPr>
        <w:t xml:space="preserve"> et du Programme de développement durable à l’horizon 2030</w:t>
      </w:r>
      <w:r w:rsidRPr="00A53CF5">
        <w:rPr>
          <w:rStyle w:val="FootnoteReference"/>
          <w:kern w:val="22"/>
          <w:szCs w:val="22"/>
          <w:lang w:val="fr-FR"/>
        </w:rPr>
        <w:footnoteReference w:id="3"/>
      </w:r>
      <w:r w:rsidR="0098417C">
        <w:rPr>
          <w:kern w:val="22"/>
          <w:szCs w:val="22"/>
          <w:lang w:val="fr-FR"/>
        </w:rPr>
        <w:t>, sous la direction du comité consultatif informel du c</w:t>
      </w:r>
      <w:r w:rsidRPr="00A53CF5">
        <w:rPr>
          <w:kern w:val="22"/>
          <w:szCs w:val="22"/>
          <w:lang w:val="fr-FR"/>
        </w:rPr>
        <w:t>entre d'échange ;</w:t>
      </w:r>
    </w:p>
    <w:p w14:paraId="1F92A7AC" w14:textId="77777777" w:rsidR="000E38CA" w:rsidRPr="00A53CF5" w:rsidRDefault="000E38CA" w:rsidP="000E38CA">
      <w:pPr>
        <w:suppressLineNumbers/>
        <w:suppressAutoHyphens/>
        <w:kinsoku w:val="0"/>
        <w:overflowPunct w:val="0"/>
        <w:autoSpaceDE w:val="0"/>
        <w:autoSpaceDN w:val="0"/>
        <w:adjustRightInd w:val="0"/>
        <w:snapToGrid w:val="0"/>
        <w:spacing w:after="120"/>
        <w:ind w:firstLine="720"/>
        <w:rPr>
          <w:kern w:val="22"/>
          <w:szCs w:val="22"/>
          <w:lang w:val="fr-FR"/>
        </w:rPr>
      </w:pPr>
      <w:r w:rsidRPr="00A53CF5">
        <w:rPr>
          <w:kern w:val="22"/>
          <w:szCs w:val="22"/>
          <w:lang w:val="fr-FR"/>
        </w:rPr>
        <w:t>b)</w:t>
      </w:r>
      <w:r w:rsidRPr="00A53CF5">
        <w:rPr>
          <w:kern w:val="22"/>
          <w:szCs w:val="22"/>
          <w:lang w:val="fr-FR"/>
        </w:rPr>
        <w:tab/>
        <w:t>De continuer à appuyer les efforts déployés par les Parties pour mettre en place, maintenir et développer davantage leurs centres d'échange nationaux, notamment :</w:t>
      </w:r>
    </w:p>
    <w:p w14:paraId="58372B8D" w14:textId="77777777" w:rsidR="000E38CA" w:rsidRPr="00A53CF5" w:rsidRDefault="000E38CA" w:rsidP="000E38CA">
      <w:pPr>
        <w:suppressLineNumbers/>
        <w:suppressAutoHyphens/>
        <w:kinsoku w:val="0"/>
        <w:overflowPunct w:val="0"/>
        <w:autoSpaceDE w:val="0"/>
        <w:autoSpaceDN w:val="0"/>
        <w:adjustRightInd w:val="0"/>
        <w:snapToGrid w:val="0"/>
        <w:spacing w:after="120"/>
        <w:ind w:left="1915" w:hanging="475"/>
        <w:rPr>
          <w:kern w:val="22"/>
          <w:szCs w:val="22"/>
          <w:lang w:val="fr-FR"/>
        </w:rPr>
      </w:pPr>
      <w:r w:rsidRPr="00A53CF5">
        <w:rPr>
          <w:kern w:val="22"/>
          <w:szCs w:val="22"/>
          <w:lang w:val="fr-FR"/>
        </w:rPr>
        <w:t>i)</w:t>
      </w:r>
      <w:r w:rsidRPr="00A53CF5">
        <w:rPr>
          <w:kern w:val="22"/>
          <w:szCs w:val="22"/>
          <w:lang w:val="fr-FR"/>
        </w:rPr>
        <w:tab/>
        <w:t xml:space="preserve">En continuant à développer et à promouvoir l'outil </w:t>
      </w:r>
      <w:proofErr w:type="spellStart"/>
      <w:r w:rsidRPr="00A53CF5">
        <w:rPr>
          <w:kern w:val="22"/>
          <w:szCs w:val="22"/>
          <w:lang w:val="fr-FR"/>
        </w:rPr>
        <w:t>Bioland</w:t>
      </w:r>
      <w:proofErr w:type="spellEnd"/>
      <w:r w:rsidRPr="00A53CF5">
        <w:rPr>
          <w:kern w:val="22"/>
          <w:szCs w:val="22"/>
          <w:lang w:val="fr-FR"/>
        </w:rPr>
        <w:t> ;</w:t>
      </w:r>
    </w:p>
    <w:p w14:paraId="578EB7A8" w14:textId="77777777" w:rsidR="000E38CA" w:rsidRPr="00A53CF5" w:rsidRDefault="000E38CA" w:rsidP="000E38CA">
      <w:pPr>
        <w:suppressLineNumbers/>
        <w:suppressAutoHyphens/>
        <w:kinsoku w:val="0"/>
        <w:overflowPunct w:val="0"/>
        <w:autoSpaceDE w:val="0"/>
        <w:autoSpaceDN w:val="0"/>
        <w:adjustRightInd w:val="0"/>
        <w:snapToGrid w:val="0"/>
        <w:spacing w:after="120"/>
        <w:ind w:left="1915" w:hanging="475"/>
        <w:rPr>
          <w:spacing w:val="-5"/>
          <w:kern w:val="22"/>
          <w:szCs w:val="22"/>
          <w:lang w:val="fr-FR"/>
        </w:rPr>
      </w:pPr>
      <w:r w:rsidRPr="00A53CF5">
        <w:rPr>
          <w:spacing w:val="-5"/>
          <w:kern w:val="22"/>
          <w:szCs w:val="22"/>
          <w:lang w:val="fr-FR"/>
        </w:rPr>
        <w:t>ii)</w:t>
      </w:r>
      <w:r w:rsidRPr="00A53CF5">
        <w:rPr>
          <w:spacing w:val="-5"/>
          <w:kern w:val="22"/>
          <w:szCs w:val="22"/>
          <w:lang w:val="fr-FR"/>
        </w:rPr>
        <w:tab/>
        <w:t>En facilitant et en organisant des formations en collaboration avec les Parties et les organisations compétentes, afin d’aider les Parties à mettre en place leurs mécanismes de centres d'échange nationaux ;</w:t>
      </w:r>
    </w:p>
    <w:p w14:paraId="19289667" w14:textId="1F85F277" w:rsidR="000E38CA" w:rsidRPr="00A53CF5" w:rsidRDefault="000E38CA" w:rsidP="000E38CA">
      <w:pPr>
        <w:spacing w:before="120" w:after="120"/>
        <w:ind w:firstLine="720"/>
        <w:rPr>
          <w:kern w:val="22"/>
          <w:szCs w:val="22"/>
          <w:lang w:val="fr-FR"/>
        </w:rPr>
      </w:pPr>
      <w:r w:rsidRPr="00A53CF5">
        <w:rPr>
          <w:lang w:val="fr-FR"/>
        </w:rPr>
        <w:t>c)</w:t>
      </w:r>
      <w:r w:rsidRPr="00A53CF5">
        <w:rPr>
          <w:kern w:val="22"/>
          <w:szCs w:val="22"/>
          <w:lang w:val="fr-FR"/>
        </w:rPr>
        <w:tab/>
        <w:t>D'actualiser et de poursuivre la mise en œuvre de la stratégie</w:t>
      </w:r>
      <w:r w:rsidR="0098417C">
        <w:rPr>
          <w:kern w:val="22"/>
          <w:szCs w:val="22"/>
          <w:lang w:val="fr-FR"/>
        </w:rPr>
        <w:t xml:space="preserve"> Web pour la Convention et ses p</w:t>
      </w:r>
      <w:r w:rsidRPr="00A53CF5">
        <w:rPr>
          <w:kern w:val="22"/>
          <w:szCs w:val="22"/>
          <w:lang w:val="fr-FR"/>
        </w:rPr>
        <w:t>rotocoles en définissant des mesures prioritaires à prendre avant 2020 sur la base des décisions émanant de la quatorzième réunion de la Conférence des Parties, de la troisième réunion des Parties au Protocole de Nagoya sur l'accès et le partage des avantages et de la neuvième réunion des Parties au Protocole de Cartagena sur la prévention des risques biotechnologiques ;</w:t>
      </w:r>
    </w:p>
    <w:p w14:paraId="451EB640" w14:textId="3C813FE3" w:rsidR="000E38CA" w:rsidRPr="00A53CF5" w:rsidRDefault="000E38CA" w:rsidP="000E38CA">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A53CF5">
        <w:rPr>
          <w:kern w:val="22"/>
          <w:szCs w:val="22"/>
          <w:lang w:val="fr-FR"/>
        </w:rPr>
        <w:t>d)</w:t>
      </w:r>
      <w:r w:rsidRPr="00A53CF5">
        <w:rPr>
          <w:kern w:val="22"/>
          <w:szCs w:val="22"/>
          <w:lang w:val="fr-FR"/>
        </w:rPr>
        <w:tab/>
        <w:t xml:space="preserve">De contribuer au développement et à l’essai de l’outil de collecte et de transmission des données, en collaboration avec l’initiative </w:t>
      </w:r>
      <w:proofErr w:type="spellStart"/>
      <w:r w:rsidRPr="00A53CF5">
        <w:rPr>
          <w:kern w:val="22"/>
          <w:szCs w:val="22"/>
          <w:lang w:val="fr-FR"/>
        </w:rPr>
        <w:t>InforMEA</w:t>
      </w:r>
      <w:proofErr w:type="spellEnd"/>
      <w:r w:rsidRPr="00A53CF5">
        <w:rPr>
          <w:kern w:val="22"/>
          <w:szCs w:val="22"/>
          <w:lang w:val="fr-FR"/>
        </w:rPr>
        <w:t>, en vue de tirer profit des expériences des Parties concernant la présentation des sixièmes rapports nationaux à la Convention sur la diversité biologique et de faciliter son utilisation pour l’établissement d’autres rapports a</w:t>
      </w:r>
      <w:r w:rsidR="0098417C">
        <w:rPr>
          <w:kern w:val="22"/>
          <w:szCs w:val="22"/>
          <w:lang w:val="fr-FR"/>
        </w:rPr>
        <w:t xml:space="preserve">u titre des autres conventions </w:t>
      </w:r>
      <w:r w:rsidRPr="00A53CF5">
        <w:rPr>
          <w:kern w:val="22"/>
          <w:szCs w:val="22"/>
          <w:lang w:val="fr-FR"/>
        </w:rPr>
        <w:t>relatives à la diversité biologique, selon qu’il convient ;</w:t>
      </w:r>
    </w:p>
    <w:p w14:paraId="46427E01" w14:textId="77777777" w:rsidR="000E38CA" w:rsidRPr="00A53CF5" w:rsidRDefault="000E38CA" w:rsidP="000E38CA">
      <w:pPr>
        <w:suppressLineNumbers/>
        <w:suppressAutoHyphens/>
        <w:kinsoku w:val="0"/>
        <w:overflowPunct w:val="0"/>
        <w:autoSpaceDE w:val="0"/>
        <w:autoSpaceDN w:val="0"/>
        <w:adjustRightInd w:val="0"/>
        <w:snapToGrid w:val="0"/>
        <w:spacing w:before="120" w:after="120"/>
        <w:ind w:firstLine="709"/>
        <w:rPr>
          <w:kern w:val="22"/>
          <w:szCs w:val="22"/>
          <w:lang w:val="fr-FR"/>
        </w:rPr>
      </w:pPr>
      <w:r w:rsidRPr="00A53CF5">
        <w:rPr>
          <w:kern w:val="22"/>
          <w:szCs w:val="22"/>
          <w:lang w:val="fr-FR"/>
        </w:rPr>
        <w:t>e)</w:t>
      </w:r>
      <w:r w:rsidRPr="00A53CF5">
        <w:rPr>
          <w:kern w:val="22"/>
          <w:szCs w:val="22"/>
          <w:lang w:val="fr-FR"/>
        </w:rPr>
        <w:tab/>
        <w:t>De recenser, de faire connaître et de promouvoir les communautés de pratique, les réseaux de connaissances et les plates-formes de dialogue collaboratif utiles pour l'application de la Convention et de ses Protocoles ;</w:t>
      </w:r>
    </w:p>
    <w:p w14:paraId="7FE8D483" w14:textId="7514EB8B" w:rsidR="000E38CA" w:rsidRPr="00A53CF5" w:rsidRDefault="000E38CA" w:rsidP="000E38CA">
      <w:pPr>
        <w:suppressLineNumbers/>
        <w:suppressAutoHyphens/>
        <w:kinsoku w:val="0"/>
        <w:overflowPunct w:val="0"/>
        <w:autoSpaceDE w:val="0"/>
        <w:autoSpaceDN w:val="0"/>
        <w:adjustRightInd w:val="0"/>
        <w:snapToGrid w:val="0"/>
        <w:spacing w:after="120"/>
        <w:ind w:firstLine="720"/>
        <w:rPr>
          <w:kern w:val="22"/>
          <w:szCs w:val="22"/>
          <w:lang w:val="fr-FR"/>
        </w:rPr>
      </w:pPr>
      <w:r w:rsidRPr="00A53CF5">
        <w:rPr>
          <w:kern w:val="22"/>
          <w:szCs w:val="22"/>
          <w:lang w:val="fr-FR"/>
        </w:rPr>
        <w:t>f)</w:t>
      </w:r>
      <w:r w:rsidRPr="00A53CF5">
        <w:rPr>
          <w:kern w:val="22"/>
          <w:szCs w:val="22"/>
          <w:lang w:val="fr-FR"/>
        </w:rPr>
        <w:tab/>
      </w:r>
      <w:r w:rsidRPr="00A53CF5">
        <w:rPr>
          <w:lang w:val="fr-FR"/>
        </w:rPr>
        <w:t>D'élaborer</w:t>
      </w:r>
      <w:r w:rsidRPr="00A53CF5">
        <w:rPr>
          <w:kern w:val="22"/>
          <w:szCs w:val="22"/>
          <w:lang w:val="fr-FR"/>
        </w:rPr>
        <w:t>, en consultation avec les comités consultatifs informe</w:t>
      </w:r>
      <w:r w:rsidR="005B6AB6">
        <w:rPr>
          <w:kern w:val="22"/>
          <w:szCs w:val="22"/>
          <w:lang w:val="fr-FR"/>
        </w:rPr>
        <w:t>ls du mécanisme d'échange, du</w:t>
      </w:r>
      <w:r w:rsidR="0098417C">
        <w:rPr>
          <w:kern w:val="22"/>
          <w:szCs w:val="22"/>
          <w:lang w:val="fr-FR"/>
        </w:rPr>
        <w:t xml:space="preserve"> c</w:t>
      </w:r>
      <w:r w:rsidRPr="00A53CF5">
        <w:rPr>
          <w:kern w:val="22"/>
          <w:szCs w:val="22"/>
          <w:lang w:val="fr-FR"/>
        </w:rPr>
        <w:t>entre d’échange pour la prévention des r</w:t>
      </w:r>
      <w:r w:rsidR="0098417C">
        <w:rPr>
          <w:kern w:val="22"/>
          <w:szCs w:val="22"/>
          <w:lang w:val="fr-FR"/>
        </w:rPr>
        <w:t>isques b</w:t>
      </w:r>
      <w:r w:rsidR="005B6AB6">
        <w:rPr>
          <w:kern w:val="22"/>
          <w:szCs w:val="22"/>
          <w:lang w:val="fr-FR"/>
        </w:rPr>
        <w:t>iotechnologiques et du</w:t>
      </w:r>
      <w:r w:rsidR="0098417C">
        <w:rPr>
          <w:kern w:val="22"/>
          <w:szCs w:val="22"/>
          <w:lang w:val="fr-FR"/>
        </w:rPr>
        <w:t xml:space="preserve"> c</w:t>
      </w:r>
      <w:r w:rsidRPr="00A53CF5">
        <w:rPr>
          <w:kern w:val="22"/>
          <w:szCs w:val="22"/>
          <w:lang w:val="fr-FR"/>
        </w:rPr>
        <w:t>entre d'échange sur l'accès et le partage des avantages, un outil de gestion des connaissances s'inscrivant dans le cadre du processus d'élaboration du cadre mondial de la biodiversité pour l'après-2020 pour, entre autres, guider les développe</w:t>
      </w:r>
      <w:r w:rsidR="005B6AB6">
        <w:rPr>
          <w:kern w:val="22"/>
          <w:szCs w:val="22"/>
          <w:lang w:val="fr-FR"/>
        </w:rPr>
        <w:t>ments futurs du mécanisme d’échange, du c</w:t>
      </w:r>
      <w:r w:rsidRPr="00A53CF5">
        <w:rPr>
          <w:kern w:val="22"/>
          <w:szCs w:val="22"/>
          <w:lang w:val="fr-FR"/>
        </w:rPr>
        <w:t xml:space="preserve">entre d'échange sur l'accès et </w:t>
      </w:r>
      <w:r w:rsidR="005B6AB6">
        <w:rPr>
          <w:kern w:val="22"/>
          <w:szCs w:val="22"/>
          <w:lang w:val="fr-FR"/>
        </w:rPr>
        <w:t>le partage des avantages et du c</w:t>
      </w:r>
      <w:r w:rsidRPr="00A53CF5">
        <w:rPr>
          <w:kern w:val="22"/>
          <w:szCs w:val="22"/>
          <w:lang w:val="fr-FR"/>
        </w:rPr>
        <w:t>entre d’échange pour la prévention des risques biotechnologiques ;</w:t>
      </w:r>
    </w:p>
    <w:p w14:paraId="222D91DD" w14:textId="4D7F6927" w:rsidR="000E38CA" w:rsidRPr="00A53CF5" w:rsidRDefault="000E38CA" w:rsidP="000E38CA">
      <w:pPr>
        <w:spacing w:before="120" w:after="120"/>
        <w:ind w:firstLine="720"/>
        <w:rPr>
          <w:kern w:val="22"/>
          <w:szCs w:val="22"/>
          <w:lang w:val="fr-FR"/>
        </w:rPr>
      </w:pPr>
      <w:r w:rsidRPr="00A53CF5">
        <w:rPr>
          <w:kern w:val="22"/>
          <w:szCs w:val="22"/>
          <w:lang w:val="fr-FR"/>
        </w:rPr>
        <w:t>g)</w:t>
      </w:r>
      <w:r w:rsidRPr="00A53CF5">
        <w:rPr>
          <w:kern w:val="22"/>
          <w:szCs w:val="22"/>
          <w:lang w:val="fr-FR"/>
        </w:rPr>
        <w:tab/>
        <w:t>De mettre à profit l'expérience acquise dans le cadre des initiatives pertinentes en matière de gestion des connaissances, telles qu'</w:t>
      </w:r>
      <w:proofErr w:type="spellStart"/>
      <w:r w:rsidRPr="00A53CF5">
        <w:rPr>
          <w:kern w:val="22"/>
          <w:szCs w:val="22"/>
          <w:lang w:val="fr-FR"/>
        </w:rPr>
        <w:t>InforMEA</w:t>
      </w:r>
      <w:proofErr w:type="spellEnd"/>
      <w:r w:rsidRPr="00A53CF5">
        <w:rPr>
          <w:kern w:val="22"/>
          <w:szCs w:val="22"/>
          <w:lang w:val="fr-FR"/>
        </w:rPr>
        <w:t>, l'outil de collecte et de transmission des données, le centre d'information mondial sur la biodiversité, l'observatoire numérique des aires protégées et le centre de connaissances de la Convention des Nations Unies sur la lutte contre la désertification, afin d'étayer l'élaboration de l</w:t>
      </w:r>
      <w:r w:rsidR="005B6AB6">
        <w:rPr>
          <w:kern w:val="22"/>
          <w:szCs w:val="22"/>
          <w:lang w:val="fr-FR"/>
        </w:rPr>
        <w:t>'outil de gestion des connaissances</w:t>
      </w:r>
      <w:r w:rsidRPr="00A53CF5">
        <w:rPr>
          <w:kern w:val="22"/>
          <w:szCs w:val="22"/>
          <w:lang w:val="fr-FR"/>
        </w:rPr>
        <w:t xml:space="preserve"> susmentionné ;</w:t>
      </w:r>
    </w:p>
    <w:p w14:paraId="494190E5" w14:textId="716488C1" w:rsidR="000E38CA" w:rsidRPr="00A53CF5" w:rsidRDefault="000E38CA" w:rsidP="000E38CA">
      <w:pPr>
        <w:spacing w:before="120" w:after="120"/>
        <w:ind w:firstLine="720"/>
        <w:rPr>
          <w:kern w:val="22"/>
          <w:szCs w:val="22"/>
          <w:lang w:val="fr-FR"/>
        </w:rPr>
      </w:pPr>
      <w:r w:rsidRPr="00A53CF5">
        <w:rPr>
          <w:kern w:val="22"/>
          <w:szCs w:val="22"/>
          <w:lang w:val="fr-FR"/>
        </w:rPr>
        <w:t>h)</w:t>
      </w:r>
      <w:r w:rsidRPr="00A53CF5">
        <w:rPr>
          <w:kern w:val="22"/>
          <w:szCs w:val="22"/>
          <w:lang w:val="fr-FR"/>
        </w:rPr>
        <w:tab/>
        <w:t>De dégager systématiquement les enseignements</w:t>
      </w:r>
      <w:r w:rsidR="00765641">
        <w:rPr>
          <w:kern w:val="22"/>
          <w:szCs w:val="22"/>
          <w:lang w:val="fr-FR"/>
        </w:rPr>
        <w:t xml:space="preserve"> tirés</w:t>
      </w:r>
      <w:r w:rsidRPr="00A53CF5">
        <w:rPr>
          <w:kern w:val="22"/>
          <w:szCs w:val="22"/>
          <w:lang w:val="fr-FR"/>
        </w:rPr>
        <w:t xml:space="preserve"> et les bonnes pratiques à partir des informations communiquées par les Parties, les autres gouvernements, les organisations internationales et autres, et les peuples autochtones et les communautés locales en s'appuyant sur un format standardisé s'inscrivant dans le cadre de l'outil de gestion des connaissances susmentionné ;</w:t>
      </w:r>
    </w:p>
    <w:p w14:paraId="73607136" w14:textId="3907BED4" w:rsidR="000E38CA" w:rsidRPr="00A53CF5" w:rsidRDefault="000E38CA" w:rsidP="000E38CA">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A53CF5">
        <w:rPr>
          <w:kern w:val="22"/>
          <w:szCs w:val="22"/>
          <w:lang w:val="fr-FR"/>
        </w:rPr>
        <w:t>i)</w:t>
      </w:r>
      <w:r w:rsidRPr="00A53CF5">
        <w:rPr>
          <w:kern w:val="22"/>
          <w:szCs w:val="22"/>
          <w:lang w:val="fr-FR"/>
        </w:rPr>
        <w:tab/>
        <w:t>De remettre à l’Organe subsidiaire chargé de l’a</w:t>
      </w:r>
      <w:r w:rsidR="00765641">
        <w:rPr>
          <w:kern w:val="22"/>
          <w:szCs w:val="22"/>
          <w:lang w:val="fr-FR"/>
        </w:rPr>
        <w:t>pplication un rapport sur l’état d’avancement des</w:t>
      </w:r>
      <w:r w:rsidRPr="00A53CF5">
        <w:rPr>
          <w:kern w:val="22"/>
          <w:szCs w:val="22"/>
          <w:lang w:val="fr-FR"/>
        </w:rPr>
        <w:t xml:space="preserve"> activités ci-dessus, notamment sur les progrès accomplis dans l’utilisation de l’outil </w:t>
      </w:r>
      <w:proofErr w:type="spellStart"/>
      <w:r w:rsidRPr="00A53CF5">
        <w:rPr>
          <w:kern w:val="22"/>
          <w:szCs w:val="22"/>
          <w:lang w:val="fr-FR"/>
        </w:rPr>
        <w:t>Bioland</w:t>
      </w:r>
      <w:proofErr w:type="spellEnd"/>
      <w:r w:rsidRPr="00A53CF5">
        <w:rPr>
          <w:kern w:val="22"/>
          <w:szCs w:val="22"/>
          <w:lang w:val="fr-FR"/>
        </w:rPr>
        <w:t xml:space="preserve"> et son efficacité, pour examen à sa troisième réunion.</w:t>
      </w:r>
    </w:p>
    <w:p w14:paraId="55E42485" w14:textId="77777777" w:rsidR="000E38CA" w:rsidRPr="00A53CF5" w:rsidRDefault="000E38CA" w:rsidP="000E38CA">
      <w:pPr>
        <w:rPr>
          <w:kern w:val="22"/>
          <w:szCs w:val="22"/>
          <w:lang w:val="fr-FR"/>
        </w:rPr>
      </w:pPr>
    </w:p>
    <w:p w14:paraId="2C59DE8E" w14:textId="77777777" w:rsidR="000E38CA" w:rsidRPr="00A53CF5" w:rsidRDefault="000E38CA" w:rsidP="000E38CA">
      <w:pPr>
        <w:keepNext/>
        <w:suppressLineNumbers/>
        <w:suppressAutoHyphens/>
        <w:spacing w:before="120" w:after="120"/>
        <w:jc w:val="center"/>
        <w:rPr>
          <w:i/>
          <w:kern w:val="22"/>
          <w:szCs w:val="22"/>
          <w:lang w:val="fr-FR"/>
        </w:rPr>
      </w:pPr>
      <w:r w:rsidRPr="00A53CF5">
        <w:rPr>
          <w:i/>
          <w:kern w:val="22"/>
          <w:szCs w:val="22"/>
          <w:lang w:val="fr-FR"/>
        </w:rPr>
        <w:lastRenderedPageBreak/>
        <w:t>Annexe</w:t>
      </w:r>
    </w:p>
    <w:p w14:paraId="0EBBB811" w14:textId="7305242B" w:rsidR="000E38CA" w:rsidRPr="00A53CF5" w:rsidRDefault="00765641" w:rsidP="000E38CA">
      <w:pPr>
        <w:keepNext/>
        <w:suppressLineNumbers/>
        <w:suppressAutoHyphens/>
        <w:spacing w:before="120" w:after="120"/>
        <w:jc w:val="center"/>
        <w:rPr>
          <w:b/>
          <w:bCs/>
          <w:caps/>
          <w:kern w:val="22"/>
          <w:szCs w:val="22"/>
          <w:lang w:val="fr-FR"/>
        </w:rPr>
      </w:pPr>
      <w:r>
        <w:rPr>
          <w:b/>
          <w:bCs/>
          <w:caps/>
          <w:kern w:val="22"/>
          <w:szCs w:val="22"/>
          <w:lang w:val="fr-FR"/>
        </w:rPr>
        <w:t>ModalitÉ</w:t>
      </w:r>
      <w:r w:rsidR="000E38CA" w:rsidRPr="00A53CF5">
        <w:rPr>
          <w:b/>
          <w:bCs/>
          <w:caps/>
          <w:kern w:val="22"/>
          <w:szCs w:val="22"/>
          <w:lang w:val="fr-FR"/>
        </w:rPr>
        <w:t>s de fonctio</w:t>
      </w:r>
      <w:r w:rsidR="00243016">
        <w:rPr>
          <w:b/>
          <w:bCs/>
          <w:caps/>
          <w:kern w:val="22"/>
          <w:szCs w:val="22"/>
          <w:lang w:val="fr-FR"/>
        </w:rPr>
        <w:t>nnement conjointes du mÉcanisme</w:t>
      </w:r>
      <w:r>
        <w:rPr>
          <w:b/>
          <w:bCs/>
          <w:caps/>
          <w:kern w:val="22"/>
          <w:szCs w:val="22"/>
          <w:lang w:val="fr-FR"/>
        </w:rPr>
        <w:t xml:space="preserve"> d'É</w:t>
      </w:r>
      <w:r w:rsidR="000E38CA" w:rsidRPr="00A53CF5">
        <w:rPr>
          <w:b/>
          <w:bCs/>
          <w:caps/>
          <w:kern w:val="22"/>
          <w:szCs w:val="22"/>
          <w:lang w:val="fr-FR"/>
        </w:rPr>
        <w:t>change</w:t>
      </w:r>
      <w:r w:rsidR="00243016">
        <w:rPr>
          <w:b/>
          <w:bCs/>
          <w:caps/>
          <w:kern w:val="22"/>
          <w:szCs w:val="22"/>
          <w:lang w:val="fr-FR"/>
        </w:rPr>
        <w:t xml:space="preserve"> central</w:t>
      </w:r>
      <w:r>
        <w:rPr>
          <w:b/>
          <w:bCs/>
          <w:caps/>
          <w:kern w:val="22"/>
          <w:szCs w:val="22"/>
          <w:lang w:val="fr-FR"/>
        </w:rPr>
        <w:t xml:space="preserve"> de la Convention, du Centre d'Échange pour la prÉ</w:t>
      </w:r>
      <w:r w:rsidR="000E38CA" w:rsidRPr="00A53CF5">
        <w:rPr>
          <w:b/>
          <w:bCs/>
          <w:caps/>
          <w:kern w:val="22"/>
          <w:szCs w:val="22"/>
          <w:lang w:val="fr-FR"/>
        </w:rPr>
        <w:t>vention des risques bi</w:t>
      </w:r>
      <w:r>
        <w:rPr>
          <w:b/>
          <w:bCs/>
          <w:caps/>
          <w:kern w:val="22"/>
          <w:szCs w:val="22"/>
          <w:lang w:val="fr-FR"/>
        </w:rPr>
        <w:t>otechnologi</w:t>
      </w:r>
      <w:r w:rsidR="00243016">
        <w:rPr>
          <w:b/>
          <w:bCs/>
          <w:caps/>
          <w:kern w:val="22"/>
          <w:szCs w:val="22"/>
          <w:lang w:val="fr-FR"/>
        </w:rPr>
        <w:t>ques et du Centre d'Échange sur</w:t>
      </w:r>
      <w:r>
        <w:rPr>
          <w:b/>
          <w:bCs/>
          <w:caps/>
          <w:kern w:val="22"/>
          <w:szCs w:val="22"/>
          <w:lang w:val="fr-FR"/>
        </w:rPr>
        <w:t xml:space="preserve"> l'accÈ</w:t>
      </w:r>
      <w:r w:rsidR="000E38CA" w:rsidRPr="00A53CF5">
        <w:rPr>
          <w:b/>
          <w:bCs/>
          <w:caps/>
          <w:kern w:val="22"/>
          <w:szCs w:val="22"/>
          <w:lang w:val="fr-FR"/>
        </w:rPr>
        <w:t>s et le partage des avantages</w:t>
      </w:r>
    </w:p>
    <w:p w14:paraId="52912CC8" w14:textId="1901BC82" w:rsidR="000E38CA" w:rsidRPr="00A53CF5" w:rsidRDefault="00765641" w:rsidP="000E38CA">
      <w:pPr>
        <w:keepNext/>
        <w:suppressLineNumbers/>
        <w:tabs>
          <w:tab w:val="left" w:pos="360"/>
        </w:tabs>
        <w:suppressAutoHyphens/>
        <w:spacing w:before="120" w:after="120"/>
        <w:jc w:val="center"/>
        <w:rPr>
          <w:b/>
          <w:kern w:val="22"/>
          <w:szCs w:val="22"/>
          <w:lang w:val="fr-FR"/>
        </w:rPr>
      </w:pPr>
      <w:r>
        <w:rPr>
          <w:b/>
          <w:kern w:val="22"/>
          <w:szCs w:val="22"/>
          <w:lang w:val="fr-FR"/>
        </w:rPr>
        <w:t>A.</w:t>
      </w:r>
      <w:r>
        <w:rPr>
          <w:b/>
          <w:kern w:val="22"/>
          <w:szCs w:val="22"/>
          <w:lang w:val="fr-FR"/>
        </w:rPr>
        <w:tab/>
        <w:t>Développement et administration</w:t>
      </w:r>
      <w:r w:rsidR="000E38CA" w:rsidRPr="00A53CF5">
        <w:rPr>
          <w:b/>
          <w:kern w:val="22"/>
          <w:szCs w:val="22"/>
          <w:lang w:val="fr-FR"/>
        </w:rPr>
        <w:t xml:space="preserve"> par le Secrétariat</w:t>
      </w:r>
    </w:p>
    <w:p w14:paraId="266FCEDF" w14:textId="1E2781A7" w:rsidR="000E38CA" w:rsidRPr="00A53CF5" w:rsidRDefault="000E38CA" w:rsidP="000E38CA">
      <w:pPr>
        <w:pStyle w:val="Para1"/>
        <w:numPr>
          <w:ilvl w:val="0"/>
          <w:numId w:val="0"/>
        </w:numPr>
        <w:suppressLineNumbers/>
        <w:tabs>
          <w:tab w:val="left" w:pos="720"/>
        </w:tabs>
        <w:suppressAutoHyphens/>
        <w:rPr>
          <w:kern w:val="22"/>
          <w:szCs w:val="22"/>
          <w:lang w:val="fr-FR"/>
        </w:rPr>
      </w:pPr>
      <w:r w:rsidRPr="00A53CF5">
        <w:rPr>
          <w:color w:val="000000"/>
          <w:kern w:val="22"/>
          <w:szCs w:val="22"/>
          <w:lang w:val="fr-FR"/>
        </w:rPr>
        <w:t>1.</w:t>
      </w:r>
      <w:r w:rsidRPr="00A53CF5">
        <w:rPr>
          <w:color w:val="000000"/>
          <w:kern w:val="22"/>
          <w:szCs w:val="22"/>
          <w:lang w:val="fr-FR"/>
        </w:rPr>
        <w:tab/>
      </w:r>
      <w:r w:rsidRPr="00A53CF5">
        <w:rPr>
          <w:kern w:val="22"/>
          <w:szCs w:val="22"/>
          <w:lang w:val="fr-FR"/>
        </w:rPr>
        <w:t xml:space="preserve">Le Secrétariat continue de </w:t>
      </w:r>
      <w:r w:rsidR="00765641">
        <w:rPr>
          <w:kern w:val="22"/>
          <w:szCs w:val="22"/>
          <w:lang w:val="fr-FR"/>
        </w:rPr>
        <w:t>développer et d'administrer le c</w:t>
      </w:r>
      <w:r w:rsidRPr="00A53CF5">
        <w:rPr>
          <w:kern w:val="22"/>
          <w:szCs w:val="22"/>
          <w:lang w:val="fr-FR"/>
        </w:rPr>
        <w:t xml:space="preserve">entre </w:t>
      </w:r>
      <w:r w:rsidR="00765641">
        <w:rPr>
          <w:kern w:val="22"/>
          <w:szCs w:val="22"/>
          <w:lang w:val="fr-FR"/>
        </w:rPr>
        <w:t>d'échange de la Convention, le c</w:t>
      </w:r>
      <w:r w:rsidRPr="00A53CF5">
        <w:rPr>
          <w:kern w:val="22"/>
          <w:szCs w:val="22"/>
          <w:lang w:val="fr-FR"/>
        </w:rPr>
        <w:t>entre d'échange pour la prévention des r</w:t>
      </w:r>
      <w:r w:rsidR="00765641">
        <w:rPr>
          <w:kern w:val="22"/>
          <w:szCs w:val="22"/>
          <w:lang w:val="fr-FR"/>
        </w:rPr>
        <w:t>isques biotechnologiques et le c</w:t>
      </w:r>
      <w:r w:rsidRPr="00A53CF5">
        <w:rPr>
          <w:kern w:val="22"/>
          <w:szCs w:val="22"/>
          <w:lang w:val="fr-FR"/>
        </w:rPr>
        <w:t xml:space="preserve">entre d'échange sur l'accès et le partage des avantages (ci-après « centres d'échange ») conformément aux mandats et décisions arrêtés dans le cadre de la Convention et de ses protocoles, en s'efforçant dans la mesure du possible d’adopter des stratégies </w:t>
      </w:r>
      <w:r w:rsidR="00765641">
        <w:rPr>
          <w:kern w:val="22"/>
          <w:szCs w:val="22"/>
          <w:lang w:val="fr-FR"/>
        </w:rPr>
        <w:t>communes relatives au développement</w:t>
      </w:r>
      <w:r w:rsidRPr="00A53CF5">
        <w:rPr>
          <w:kern w:val="22"/>
          <w:szCs w:val="22"/>
          <w:lang w:val="fr-FR"/>
        </w:rPr>
        <w:t xml:space="preserve"> et la gestion des centres tout en préservant leurs particularités, conformément aux principes directeurs et aux critères fondamentaux décrits ici.</w:t>
      </w:r>
    </w:p>
    <w:p w14:paraId="2A600F2A" w14:textId="6B9E74AC" w:rsidR="000E38CA" w:rsidRPr="00A53CF5" w:rsidRDefault="000E38CA" w:rsidP="000E38CA">
      <w:pPr>
        <w:pStyle w:val="Para1"/>
        <w:keepNext/>
        <w:numPr>
          <w:ilvl w:val="0"/>
          <w:numId w:val="0"/>
        </w:numPr>
        <w:suppressLineNumbers/>
        <w:tabs>
          <w:tab w:val="left" w:pos="720"/>
        </w:tabs>
        <w:suppressAutoHyphens/>
        <w:rPr>
          <w:kern w:val="22"/>
          <w:szCs w:val="22"/>
          <w:lang w:val="fr-FR"/>
        </w:rPr>
      </w:pPr>
      <w:r w:rsidRPr="00A53CF5">
        <w:rPr>
          <w:color w:val="000000"/>
          <w:kern w:val="22"/>
          <w:szCs w:val="22"/>
          <w:lang w:val="fr-FR"/>
        </w:rPr>
        <w:t>2.</w:t>
      </w:r>
      <w:r w:rsidRPr="00A53CF5">
        <w:rPr>
          <w:color w:val="000000"/>
          <w:kern w:val="22"/>
          <w:szCs w:val="22"/>
          <w:lang w:val="fr-FR"/>
        </w:rPr>
        <w:tab/>
      </w:r>
      <w:r w:rsidR="00243016">
        <w:rPr>
          <w:kern w:val="22"/>
          <w:szCs w:val="22"/>
          <w:lang w:val="fr-FR"/>
        </w:rPr>
        <w:t>Les centres d'échange sont développés et administrés de manière compatible avec les caractéristiques suivantes :</w:t>
      </w:r>
    </w:p>
    <w:p w14:paraId="4232830B" w14:textId="1AC5C16A" w:rsidR="000E38CA" w:rsidRPr="00A53CF5" w:rsidRDefault="00243016" w:rsidP="000E38CA">
      <w:pPr>
        <w:suppressLineNumbers/>
        <w:tabs>
          <w:tab w:val="left" w:pos="1152"/>
        </w:tabs>
        <w:suppressAutoHyphens/>
        <w:spacing w:before="120" w:after="120"/>
        <w:ind w:firstLine="720"/>
        <w:rPr>
          <w:rFonts w:eastAsia="MS Mincho"/>
          <w:bCs/>
          <w:kern w:val="22"/>
          <w:szCs w:val="22"/>
          <w:lang w:val="fr-FR"/>
        </w:rPr>
      </w:pPr>
      <w:r>
        <w:rPr>
          <w:rFonts w:eastAsia="MS Mincho"/>
          <w:bCs/>
          <w:kern w:val="22"/>
          <w:szCs w:val="22"/>
          <w:lang w:val="fr-FR"/>
        </w:rPr>
        <w:t>a)</w:t>
      </w:r>
      <w:r>
        <w:rPr>
          <w:rFonts w:eastAsia="MS Mincho"/>
          <w:bCs/>
          <w:kern w:val="22"/>
          <w:szCs w:val="22"/>
          <w:lang w:val="fr-FR"/>
        </w:rPr>
        <w:tab/>
        <w:t xml:space="preserve">Guidés par </w:t>
      </w:r>
      <w:r w:rsidR="000E38CA" w:rsidRPr="00A53CF5">
        <w:rPr>
          <w:rFonts w:eastAsia="MS Mincho"/>
          <w:bCs/>
          <w:kern w:val="22"/>
          <w:szCs w:val="22"/>
          <w:lang w:val="fr-FR"/>
        </w:rPr>
        <w:t>les principes de l'inclusion, de la transparence, du libre accès et de l'ouverture à tous les gouvernements, aux peuples autochtones, aux communautés locales et aux parties prenantes concernées ;</w:t>
      </w:r>
    </w:p>
    <w:p w14:paraId="26DA0D19" w14:textId="00BDE1B0" w:rsidR="000E38CA" w:rsidRPr="00A53CF5" w:rsidRDefault="00243016" w:rsidP="000E38CA">
      <w:pPr>
        <w:suppressLineNumbers/>
        <w:tabs>
          <w:tab w:val="left" w:pos="1152"/>
        </w:tabs>
        <w:suppressAutoHyphens/>
        <w:spacing w:before="120" w:after="120"/>
        <w:ind w:firstLine="720"/>
        <w:rPr>
          <w:rFonts w:eastAsia="MS Mincho"/>
          <w:bCs/>
          <w:kern w:val="22"/>
          <w:szCs w:val="22"/>
          <w:lang w:val="fr-FR"/>
        </w:rPr>
      </w:pPr>
      <w:r>
        <w:rPr>
          <w:rFonts w:eastAsia="MS Mincho"/>
          <w:bCs/>
          <w:kern w:val="22"/>
          <w:szCs w:val="22"/>
          <w:lang w:val="fr-FR"/>
        </w:rPr>
        <w:t>b)</w:t>
      </w:r>
      <w:r>
        <w:rPr>
          <w:rFonts w:eastAsia="MS Mincho"/>
          <w:bCs/>
          <w:kern w:val="22"/>
          <w:szCs w:val="22"/>
          <w:lang w:val="fr-FR"/>
        </w:rPr>
        <w:tab/>
      </w:r>
      <w:r w:rsidR="00417F7E">
        <w:rPr>
          <w:rFonts w:eastAsia="MS Mincho"/>
          <w:bCs/>
          <w:kern w:val="22"/>
          <w:szCs w:val="22"/>
          <w:lang w:val="fr-FR"/>
        </w:rPr>
        <w:t>Développés</w:t>
      </w:r>
      <w:r w:rsidR="000E38CA" w:rsidRPr="00A53CF5">
        <w:rPr>
          <w:rFonts w:eastAsia="MS Mincho"/>
          <w:bCs/>
          <w:kern w:val="22"/>
          <w:szCs w:val="22"/>
          <w:lang w:val="fr-FR"/>
        </w:rPr>
        <w:t xml:space="preserve"> en tenant compte de besoins clairs et identifiés, de l'expérience acquise et des ressources disponibles, en évitant les doubles emplois entre les systèmes ;</w:t>
      </w:r>
    </w:p>
    <w:p w14:paraId="1635323B" w14:textId="406A0169" w:rsidR="000E38CA" w:rsidRPr="00A53CF5" w:rsidRDefault="00417F7E" w:rsidP="000E38CA">
      <w:pPr>
        <w:suppressLineNumbers/>
        <w:tabs>
          <w:tab w:val="left" w:pos="1152"/>
        </w:tabs>
        <w:suppressAutoHyphens/>
        <w:spacing w:before="120" w:after="120"/>
        <w:ind w:firstLine="720"/>
        <w:rPr>
          <w:rFonts w:eastAsia="MS Mincho"/>
          <w:bCs/>
          <w:kern w:val="22"/>
          <w:szCs w:val="22"/>
          <w:lang w:val="fr-FR"/>
        </w:rPr>
      </w:pPr>
      <w:r>
        <w:rPr>
          <w:rFonts w:eastAsia="MS Mincho"/>
          <w:bCs/>
          <w:kern w:val="22"/>
          <w:szCs w:val="22"/>
          <w:lang w:val="fr-FR"/>
        </w:rPr>
        <w:t>c)</w:t>
      </w:r>
      <w:r>
        <w:rPr>
          <w:rFonts w:eastAsia="MS Mincho"/>
          <w:bCs/>
          <w:kern w:val="22"/>
          <w:szCs w:val="22"/>
          <w:lang w:val="fr-FR"/>
        </w:rPr>
        <w:tab/>
        <w:t>Assurant</w:t>
      </w:r>
      <w:r w:rsidR="000E38CA" w:rsidRPr="00A53CF5">
        <w:rPr>
          <w:rFonts w:eastAsia="MS Mincho"/>
          <w:bCs/>
          <w:kern w:val="22"/>
          <w:szCs w:val="22"/>
          <w:lang w:val="fr-FR"/>
        </w:rPr>
        <w:t xml:space="preserve"> la prévisibilité et la cohérence de l'expérience utilisateur dans l'ensemble des centres d'échange ;</w:t>
      </w:r>
    </w:p>
    <w:p w14:paraId="11D4B31D" w14:textId="1DEDC9A5" w:rsidR="000E38CA" w:rsidRPr="00A53CF5" w:rsidRDefault="00417F7E" w:rsidP="000E38CA">
      <w:pPr>
        <w:suppressLineNumbers/>
        <w:tabs>
          <w:tab w:val="left" w:pos="1152"/>
        </w:tabs>
        <w:suppressAutoHyphens/>
        <w:spacing w:before="120" w:after="120"/>
        <w:ind w:firstLine="720"/>
        <w:rPr>
          <w:rFonts w:eastAsia="MS Mincho"/>
          <w:bCs/>
          <w:kern w:val="22"/>
          <w:szCs w:val="22"/>
          <w:lang w:val="fr-FR"/>
        </w:rPr>
      </w:pPr>
      <w:r>
        <w:rPr>
          <w:rFonts w:eastAsia="MS Mincho"/>
          <w:bCs/>
          <w:kern w:val="22"/>
          <w:szCs w:val="22"/>
          <w:lang w:val="fr-FR"/>
        </w:rPr>
        <w:t>d)</w:t>
      </w:r>
      <w:r>
        <w:rPr>
          <w:rFonts w:eastAsia="MS Mincho"/>
          <w:bCs/>
          <w:kern w:val="22"/>
          <w:szCs w:val="22"/>
          <w:lang w:val="fr-FR"/>
        </w:rPr>
        <w:tab/>
        <w:t>Veillant</w:t>
      </w:r>
      <w:r w:rsidR="000E38CA" w:rsidRPr="00A53CF5">
        <w:rPr>
          <w:rFonts w:eastAsia="MS Mincho"/>
          <w:bCs/>
          <w:kern w:val="22"/>
          <w:szCs w:val="22"/>
          <w:lang w:val="fr-FR"/>
        </w:rPr>
        <w:t xml:space="preserve"> à ce que la conception visuelle et la fonctionnalité soient intuitives, conviviales et cohérentes dans tous les centres d'échange ;</w:t>
      </w:r>
    </w:p>
    <w:p w14:paraId="27E8236C" w14:textId="259A6755" w:rsidR="000E38CA" w:rsidRPr="00A53CF5" w:rsidRDefault="00417F7E" w:rsidP="000E38CA">
      <w:pPr>
        <w:suppressLineNumbers/>
        <w:tabs>
          <w:tab w:val="left" w:pos="1152"/>
        </w:tabs>
        <w:suppressAutoHyphens/>
        <w:spacing w:before="120" w:after="120"/>
        <w:ind w:firstLine="720"/>
        <w:rPr>
          <w:rFonts w:eastAsia="MS Mincho"/>
          <w:bCs/>
          <w:kern w:val="22"/>
          <w:szCs w:val="22"/>
          <w:lang w:val="fr-FR"/>
        </w:rPr>
      </w:pPr>
      <w:r>
        <w:rPr>
          <w:rFonts w:eastAsia="MS Mincho"/>
          <w:bCs/>
          <w:kern w:val="22"/>
          <w:szCs w:val="22"/>
          <w:lang w:val="fr-FR"/>
        </w:rPr>
        <w:t>e)</w:t>
      </w:r>
      <w:r>
        <w:rPr>
          <w:rFonts w:eastAsia="MS Mincho"/>
          <w:bCs/>
          <w:kern w:val="22"/>
          <w:szCs w:val="22"/>
          <w:lang w:val="fr-FR"/>
        </w:rPr>
        <w:tab/>
        <w:t>Assurant</w:t>
      </w:r>
      <w:r w:rsidR="000E38CA" w:rsidRPr="00A53CF5">
        <w:rPr>
          <w:rFonts w:eastAsia="MS Mincho"/>
          <w:bCs/>
          <w:kern w:val="22"/>
          <w:szCs w:val="22"/>
          <w:lang w:val="fr-FR"/>
        </w:rPr>
        <w:t xml:space="preserve">, dans la mesure du possible, </w:t>
      </w:r>
      <w:r>
        <w:rPr>
          <w:rFonts w:eastAsia="MS Mincho"/>
          <w:bCs/>
          <w:kern w:val="22"/>
          <w:szCs w:val="22"/>
          <w:lang w:val="fr-FR"/>
        </w:rPr>
        <w:t>la fourniture d’une assistance technique en temps utile une assistance technique sur demande pour</w:t>
      </w:r>
      <w:r w:rsidR="000E38CA" w:rsidRPr="00A53CF5">
        <w:rPr>
          <w:rFonts w:eastAsia="MS Mincho"/>
          <w:bCs/>
          <w:kern w:val="22"/>
          <w:szCs w:val="22"/>
          <w:lang w:val="fr-FR"/>
        </w:rPr>
        <w:t xml:space="preserve"> l'utilisation des centres d'échange.</w:t>
      </w:r>
    </w:p>
    <w:p w14:paraId="0FA3AF71" w14:textId="6E3AD904" w:rsidR="000E38CA" w:rsidRPr="00A53CF5" w:rsidRDefault="000E38CA" w:rsidP="000E38CA">
      <w:pPr>
        <w:pStyle w:val="Para1"/>
        <w:keepNext/>
        <w:numPr>
          <w:ilvl w:val="0"/>
          <w:numId w:val="0"/>
        </w:numPr>
        <w:suppressLineNumbers/>
        <w:tabs>
          <w:tab w:val="left" w:pos="720"/>
        </w:tabs>
        <w:suppressAutoHyphens/>
        <w:rPr>
          <w:kern w:val="22"/>
          <w:szCs w:val="22"/>
          <w:lang w:val="fr-FR"/>
        </w:rPr>
      </w:pPr>
      <w:r w:rsidRPr="00A53CF5">
        <w:rPr>
          <w:color w:val="000000"/>
          <w:kern w:val="22"/>
          <w:szCs w:val="22"/>
          <w:lang w:val="fr-FR"/>
        </w:rPr>
        <w:t>3.</w:t>
      </w:r>
      <w:r w:rsidRPr="00A53CF5">
        <w:rPr>
          <w:color w:val="000000"/>
          <w:kern w:val="22"/>
          <w:szCs w:val="22"/>
          <w:lang w:val="fr-FR"/>
        </w:rPr>
        <w:tab/>
      </w:r>
      <w:r w:rsidRPr="00A53CF5">
        <w:rPr>
          <w:kern w:val="22"/>
          <w:szCs w:val="22"/>
          <w:lang w:val="fr-FR"/>
        </w:rPr>
        <w:t>Les cent</w:t>
      </w:r>
      <w:r w:rsidR="00417F7E">
        <w:rPr>
          <w:kern w:val="22"/>
          <w:szCs w:val="22"/>
          <w:lang w:val="fr-FR"/>
        </w:rPr>
        <w:t>res d'échange satisfont</w:t>
      </w:r>
      <w:r w:rsidRPr="00A53CF5">
        <w:rPr>
          <w:kern w:val="22"/>
          <w:szCs w:val="22"/>
          <w:lang w:val="fr-FR"/>
        </w:rPr>
        <w:t xml:space="preserve"> aux spécifications de base suivantes :</w:t>
      </w:r>
    </w:p>
    <w:p w14:paraId="158E474A" w14:textId="77777777" w:rsidR="000E38CA" w:rsidRPr="00A53CF5" w:rsidRDefault="000E38CA" w:rsidP="000E38CA">
      <w:pPr>
        <w:suppressLineNumbers/>
        <w:tabs>
          <w:tab w:val="left" w:pos="1152"/>
        </w:tabs>
        <w:suppressAutoHyphens/>
        <w:spacing w:before="120" w:after="120"/>
        <w:ind w:firstLine="720"/>
        <w:rPr>
          <w:rFonts w:eastAsia="MS Mincho"/>
          <w:bCs/>
          <w:kern w:val="22"/>
          <w:szCs w:val="22"/>
          <w:lang w:val="fr-FR"/>
        </w:rPr>
      </w:pPr>
      <w:r w:rsidRPr="00A53CF5">
        <w:rPr>
          <w:rFonts w:eastAsia="MS Mincho"/>
          <w:bCs/>
          <w:kern w:val="22"/>
          <w:szCs w:val="22"/>
          <w:lang w:val="fr-FR"/>
        </w:rPr>
        <w:t>a)</w:t>
      </w:r>
      <w:r w:rsidRPr="00A53CF5">
        <w:rPr>
          <w:rFonts w:eastAsia="MS Mincho"/>
          <w:bCs/>
          <w:kern w:val="22"/>
          <w:szCs w:val="22"/>
          <w:lang w:val="fr-FR"/>
        </w:rPr>
        <w:tab/>
        <w:t>Possibilité d'accéder à un portail Web public dans les six langues officielles de l'Organisation des Nations Unies et d'y faire des recherches ;</w:t>
      </w:r>
    </w:p>
    <w:p w14:paraId="0E518F11" w14:textId="77777777" w:rsidR="000E38CA" w:rsidRPr="00A53CF5" w:rsidRDefault="000E38CA" w:rsidP="000E38CA">
      <w:pPr>
        <w:suppressLineNumbers/>
        <w:tabs>
          <w:tab w:val="left" w:pos="1152"/>
        </w:tabs>
        <w:suppressAutoHyphens/>
        <w:spacing w:before="120" w:after="120"/>
        <w:ind w:firstLine="720"/>
        <w:rPr>
          <w:rFonts w:eastAsia="MS Mincho"/>
          <w:bCs/>
          <w:kern w:val="22"/>
          <w:szCs w:val="22"/>
          <w:lang w:val="fr-FR"/>
        </w:rPr>
      </w:pPr>
      <w:r w:rsidRPr="00A53CF5">
        <w:rPr>
          <w:rFonts w:eastAsia="MS Mincho"/>
          <w:bCs/>
          <w:kern w:val="22"/>
          <w:szCs w:val="22"/>
          <w:lang w:val="fr-FR"/>
        </w:rPr>
        <w:t>b)</w:t>
      </w:r>
      <w:r w:rsidRPr="00A53CF5">
        <w:rPr>
          <w:rFonts w:eastAsia="MS Mincho"/>
          <w:bCs/>
          <w:kern w:val="22"/>
          <w:szCs w:val="22"/>
          <w:lang w:val="fr-FR"/>
        </w:rPr>
        <w:tab/>
        <w:t>Mise à disposition d'une base de données centrale sécurisée permettant de conserver les informations existantes ;</w:t>
      </w:r>
    </w:p>
    <w:p w14:paraId="69EA46F4" w14:textId="77777777" w:rsidR="000E38CA" w:rsidRPr="00A53CF5" w:rsidRDefault="000E38CA" w:rsidP="000E38CA">
      <w:pPr>
        <w:suppressLineNumbers/>
        <w:tabs>
          <w:tab w:val="left" w:pos="1152"/>
        </w:tabs>
        <w:suppressAutoHyphens/>
        <w:spacing w:before="120" w:after="120"/>
        <w:ind w:firstLine="720"/>
        <w:rPr>
          <w:rFonts w:eastAsia="MS Mincho"/>
          <w:bCs/>
          <w:kern w:val="22"/>
          <w:szCs w:val="22"/>
          <w:lang w:val="fr-FR"/>
        </w:rPr>
      </w:pPr>
      <w:r w:rsidRPr="00A53CF5">
        <w:rPr>
          <w:rFonts w:eastAsia="MS Mincho"/>
          <w:bCs/>
          <w:kern w:val="22"/>
          <w:szCs w:val="22"/>
          <w:lang w:val="fr-FR"/>
        </w:rPr>
        <w:t>c)</w:t>
      </w:r>
      <w:r w:rsidRPr="00A53CF5">
        <w:rPr>
          <w:rFonts w:eastAsia="MS Mincho"/>
          <w:bCs/>
          <w:kern w:val="22"/>
          <w:szCs w:val="22"/>
          <w:lang w:val="fr-FR"/>
        </w:rPr>
        <w:tab/>
        <w:t>Un mécanisme de communication sécurisé, au moyen d'une signature unique, permettant aux utilisateurs de publier les informations de manière structurée dans des formats et avec des métadonnées homogènes et une terminologie harmonisée, tout en distinguant les informations obligatoires et autres ;</w:t>
      </w:r>
    </w:p>
    <w:p w14:paraId="5BB0FF4B" w14:textId="61A886C0" w:rsidR="000E38CA" w:rsidRPr="00A53CF5" w:rsidRDefault="000E38CA" w:rsidP="000E38CA">
      <w:pPr>
        <w:suppressLineNumbers/>
        <w:tabs>
          <w:tab w:val="left" w:pos="1152"/>
        </w:tabs>
        <w:suppressAutoHyphens/>
        <w:spacing w:before="120" w:after="120"/>
        <w:ind w:firstLine="720"/>
        <w:rPr>
          <w:rFonts w:eastAsia="MS Mincho"/>
          <w:bCs/>
          <w:kern w:val="22"/>
          <w:szCs w:val="22"/>
          <w:lang w:val="fr-FR"/>
        </w:rPr>
      </w:pPr>
      <w:r w:rsidRPr="00A53CF5">
        <w:rPr>
          <w:rFonts w:eastAsia="MS Mincho"/>
          <w:bCs/>
          <w:kern w:val="22"/>
          <w:szCs w:val="22"/>
          <w:lang w:val="fr-FR"/>
        </w:rPr>
        <w:t>d)</w:t>
      </w:r>
      <w:r w:rsidRPr="00A53CF5">
        <w:rPr>
          <w:rFonts w:eastAsia="MS Mincho"/>
          <w:bCs/>
          <w:kern w:val="22"/>
          <w:szCs w:val="22"/>
          <w:lang w:val="fr-FR"/>
        </w:rPr>
        <w:tab/>
        <w:t>Un mécanisme de recherche accessible au public permettant de rechercher et d'extraire du contenu au moyen de métadonnées e</w:t>
      </w:r>
      <w:r w:rsidR="00B32DC7">
        <w:rPr>
          <w:rFonts w:eastAsia="MS Mincho"/>
          <w:bCs/>
          <w:kern w:val="22"/>
          <w:szCs w:val="22"/>
          <w:lang w:val="fr-FR"/>
        </w:rPr>
        <w:t xml:space="preserve">t de vocabulaires contrôlés </w:t>
      </w:r>
      <w:r w:rsidRPr="00A53CF5">
        <w:rPr>
          <w:rFonts w:eastAsia="MS Mincho"/>
          <w:bCs/>
          <w:kern w:val="22"/>
          <w:szCs w:val="22"/>
          <w:lang w:val="fr-FR"/>
        </w:rPr>
        <w:t>dans tous les centres d'échange ;</w:t>
      </w:r>
    </w:p>
    <w:p w14:paraId="303EB55E" w14:textId="77777777" w:rsidR="000E38CA" w:rsidRPr="00A53CF5" w:rsidRDefault="000E38CA" w:rsidP="000E38CA">
      <w:pPr>
        <w:suppressLineNumbers/>
        <w:tabs>
          <w:tab w:val="left" w:pos="1152"/>
        </w:tabs>
        <w:suppressAutoHyphens/>
        <w:spacing w:before="120" w:after="120"/>
        <w:ind w:firstLine="720"/>
        <w:rPr>
          <w:rFonts w:eastAsia="MS Mincho"/>
          <w:bCs/>
          <w:kern w:val="22"/>
          <w:szCs w:val="22"/>
          <w:lang w:val="fr-FR"/>
        </w:rPr>
      </w:pPr>
      <w:r w:rsidRPr="00A53CF5">
        <w:rPr>
          <w:rFonts w:eastAsia="MS Mincho"/>
          <w:bCs/>
          <w:kern w:val="22"/>
          <w:szCs w:val="22"/>
          <w:lang w:val="fr-FR"/>
        </w:rPr>
        <w:t>e)</w:t>
      </w:r>
      <w:r w:rsidRPr="00A53CF5">
        <w:rPr>
          <w:rFonts w:eastAsia="MS Mincho"/>
          <w:bCs/>
          <w:kern w:val="22"/>
          <w:szCs w:val="22"/>
          <w:lang w:val="fr-FR"/>
        </w:rPr>
        <w:tab/>
        <w:t>Des identifiants uniques pour la recherche et la récupération d'informations, le cas échéant ;</w:t>
      </w:r>
    </w:p>
    <w:p w14:paraId="70C097CF" w14:textId="77777777" w:rsidR="000E38CA" w:rsidRPr="00A53CF5" w:rsidRDefault="000E38CA" w:rsidP="000E38CA">
      <w:pPr>
        <w:suppressLineNumbers/>
        <w:tabs>
          <w:tab w:val="left" w:pos="1152"/>
        </w:tabs>
        <w:suppressAutoHyphens/>
        <w:spacing w:before="120" w:after="120"/>
        <w:ind w:firstLine="720"/>
        <w:rPr>
          <w:rFonts w:eastAsia="MS Mincho"/>
          <w:bCs/>
          <w:kern w:val="22"/>
          <w:szCs w:val="22"/>
          <w:lang w:val="fr-FR"/>
        </w:rPr>
      </w:pPr>
      <w:r w:rsidRPr="00A53CF5">
        <w:rPr>
          <w:rFonts w:eastAsia="MS Mincho"/>
          <w:bCs/>
          <w:kern w:val="22"/>
          <w:szCs w:val="22"/>
          <w:lang w:val="fr-FR"/>
        </w:rPr>
        <w:t>f)</w:t>
      </w:r>
      <w:r w:rsidRPr="00A53CF5">
        <w:rPr>
          <w:rFonts w:eastAsia="MS Mincho"/>
          <w:bCs/>
          <w:kern w:val="22"/>
          <w:szCs w:val="22"/>
          <w:lang w:val="fr-FR"/>
        </w:rPr>
        <w:tab/>
        <w:t>Un mécanisme de mise à jour sécurisé permettant aux utilisateurs habilités de modifier ou de mettre à jour les informations ;</w:t>
      </w:r>
    </w:p>
    <w:p w14:paraId="278CD70A" w14:textId="4DA77906" w:rsidR="000E38CA" w:rsidRPr="00A53CF5" w:rsidRDefault="000E38CA" w:rsidP="000E38CA">
      <w:pPr>
        <w:suppressLineNumbers/>
        <w:tabs>
          <w:tab w:val="left" w:pos="1152"/>
        </w:tabs>
        <w:suppressAutoHyphens/>
        <w:spacing w:before="120" w:after="120"/>
        <w:ind w:firstLine="720"/>
        <w:rPr>
          <w:rFonts w:eastAsia="MS Mincho"/>
          <w:bCs/>
          <w:kern w:val="22"/>
          <w:szCs w:val="22"/>
          <w:lang w:val="fr-FR"/>
        </w:rPr>
      </w:pPr>
      <w:r w:rsidRPr="00A53CF5">
        <w:rPr>
          <w:rFonts w:eastAsia="MS Mincho"/>
          <w:bCs/>
          <w:kern w:val="22"/>
          <w:szCs w:val="22"/>
          <w:lang w:val="fr-FR"/>
        </w:rPr>
        <w:t>g)</w:t>
      </w:r>
      <w:r w:rsidRPr="00A53CF5">
        <w:rPr>
          <w:rFonts w:eastAsia="MS Mincho"/>
          <w:bCs/>
          <w:kern w:val="22"/>
          <w:szCs w:val="22"/>
          <w:lang w:val="fr-FR"/>
        </w:rPr>
        <w:tab/>
        <w:t>Une conception permettant d'iden</w:t>
      </w:r>
      <w:r w:rsidR="002138A6">
        <w:rPr>
          <w:rFonts w:eastAsia="MS Mincho"/>
          <w:bCs/>
          <w:kern w:val="22"/>
          <w:szCs w:val="22"/>
          <w:lang w:val="fr-FR"/>
        </w:rPr>
        <w:t>tifier clairement qui a mis</w:t>
      </w:r>
      <w:r w:rsidRPr="00A53CF5">
        <w:rPr>
          <w:rFonts w:eastAsia="MS Mincho"/>
          <w:bCs/>
          <w:kern w:val="22"/>
          <w:szCs w:val="22"/>
          <w:lang w:val="fr-FR"/>
        </w:rPr>
        <w:t xml:space="preserve"> l'information</w:t>
      </w:r>
      <w:r w:rsidR="002138A6">
        <w:rPr>
          <w:rFonts w:eastAsia="MS Mincho"/>
          <w:bCs/>
          <w:kern w:val="22"/>
          <w:szCs w:val="22"/>
          <w:lang w:val="fr-FR"/>
        </w:rPr>
        <w:t xml:space="preserve"> à disposition</w:t>
      </w:r>
      <w:r w:rsidRPr="00A53CF5">
        <w:rPr>
          <w:rFonts w:eastAsia="MS Mincho"/>
          <w:bCs/>
          <w:kern w:val="22"/>
          <w:szCs w:val="22"/>
          <w:lang w:val="fr-FR"/>
        </w:rPr>
        <w:t> ;</w:t>
      </w:r>
    </w:p>
    <w:p w14:paraId="61225167" w14:textId="77777777" w:rsidR="000E38CA" w:rsidRPr="00A53CF5" w:rsidRDefault="000E38CA" w:rsidP="000E38CA">
      <w:pPr>
        <w:suppressLineNumbers/>
        <w:tabs>
          <w:tab w:val="left" w:pos="1152"/>
        </w:tabs>
        <w:suppressAutoHyphens/>
        <w:spacing w:before="120" w:after="120"/>
        <w:ind w:firstLine="720"/>
        <w:rPr>
          <w:rFonts w:eastAsia="MS Mincho"/>
          <w:bCs/>
          <w:kern w:val="22"/>
          <w:szCs w:val="22"/>
          <w:lang w:val="fr-FR"/>
        </w:rPr>
      </w:pPr>
      <w:r w:rsidRPr="00A53CF5">
        <w:rPr>
          <w:rFonts w:eastAsia="MS Mincho"/>
          <w:bCs/>
          <w:kern w:val="22"/>
          <w:szCs w:val="22"/>
          <w:lang w:val="fr-FR"/>
        </w:rPr>
        <w:t>h)</w:t>
      </w:r>
      <w:r w:rsidRPr="00A53CF5">
        <w:rPr>
          <w:rFonts w:eastAsia="MS Mincho"/>
          <w:bCs/>
          <w:kern w:val="22"/>
          <w:szCs w:val="22"/>
          <w:lang w:val="fr-FR"/>
        </w:rPr>
        <w:tab/>
        <w:t>Un mécanisme d'interopérabilité visant à faciliter l'échange d'informations avec les bases de données et les systèmes externes, le cas échéant ;</w:t>
      </w:r>
    </w:p>
    <w:p w14:paraId="7C99D426" w14:textId="77777777" w:rsidR="000E38CA" w:rsidRPr="00A53CF5" w:rsidRDefault="000E38CA" w:rsidP="000E38CA">
      <w:pPr>
        <w:suppressLineNumbers/>
        <w:tabs>
          <w:tab w:val="left" w:pos="1152"/>
        </w:tabs>
        <w:suppressAutoHyphens/>
        <w:spacing w:before="120" w:after="120"/>
        <w:ind w:firstLine="720"/>
        <w:rPr>
          <w:rFonts w:eastAsia="MS Mincho"/>
          <w:bCs/>
          <w:kern w:val="22"/>
          <w:szCs w:val="22"/>
          <w:lang w:val="fr-FR"/>
        </w:rPr>
      </w:pPr>
      <w:r w:rsidRPr="00A53CF5">
        <w:rPr>
          <w:rFonts w:eastAsia="MS Mincho"/>
          <w:bCs/>
          <w:kern w:val="22"/>
          <w:szCs w:val="22"/>
          <w:lang w:val="fr-FR"/>
        </w:rPr>
        <w:t>i)</w:t>
      </w:r>
      <w:r w:rsidRPr="00A53CF5">
        <w:rPr>
          <w:rFonts w:eastAsia="MS Mincho"/>
          <w:bCs/>
          <w:kern w:val="22"/>
          <w:szCs w:val="22"/>
          <w:lang w:val="fr-FR"/>
        </w:rPr>
        <w:tab/>
        <w:t>Un système permettant d'enregistrer les informations et d'y avoir accès hors ligne, sur demande, en particulier pour les utilisateurs ayant un accès limité à Internet.</w:t>
      </w:r>
    </w:p>
    <w:p w14:paraId="346CC00C" w14:textId="77777777" w:rsidR="000E38CA" w:rsidRPr="00A53CF5" w:rsidRDefault="000E38CA" w:rsidP="000E38CA">
      <w:pPr>
        <w:keepNext/>
        <w:suppressLineNumbers/>
        <w:tabs>
          <w:tab w:val="left" w:pos="360"/>
        </w:tabs>
        <w:suppressAutoHyphens/>
        <w:spacing w:before="120" w:after="120"/>
        <w:jc w:val="center"/>
        <w:rPr>
          <w:b/>
          <w:kern w:val="22"/>
          <w:szCs w:val="22"/>
          <w:lang w:val="fr-FR"/>
        </w:rPr>
      </w:pPr>
      <w:r w:rsidRPr="00A53CF5">
        <w:rPr>
          <w:b/>
          <w:kern w:val="22"/>
          <w:szCs w:val="22"/>
          <w:lang w:val="fr-FR"/>
        </w:rPr>
        <w:lastRenderedPageBreak/>
        <w:t>B.</w:t>
      </w:r>
      <w:r w:rsidRPr="00A53CF5">
        <w:rPr>
          <w:b/>
          <w:kern w:val="22"/>
          <w:szCs w:val="22"/>
          <w:lang w:val="fr-FR"/>
        </w:rPr>
        <w:tab/>
        <w:t>Rôle des utilisateurs dans le partage de l'information</w:t>
      </w:r>
    </w:p>
    <w:p w14:paraId="4B106B25" w14:textId="00A04071" w:rsidR="000E38CA" w:rsidRPr="00A53CF5" w:rsidRDefault="000E38CA" w:rsidP="000E38CA">
      <w:pPr>
        <w:pStyle w:val="Para1"/>
        <w:keepNext/>
        <w:numPr>
          <w:ilvl w:val="0"/>
          <w:numId w:val="0"/>
        </w:numPr>
        <w:suppressLineNumbers/>
        <w:tabs>
          <w:tab w:val="left" w:pos="720"/>
        </w:tabs>
        <w:suppressAutoHyphens/>
        <w:rPr>
          <w:kern w:val="22"/>
          <w:szCs w:val="22"/>
          <w:lang w:val="fr-FR"/>
        </w:rPr>
      </w:pPr>
      <w:r w:rsidRPr="00A53CF5">
        <w:rPr>
          <w:color w:val="000000"/>
          <w:kern w:val="22"/>
          <w:szCs w:val="22"/>
          <w:lang w:val="fr-FR"/>
        </w:rPr>
        <w:t>4.</w:t>
      </w:r>
      <w:r w:rsidRPr="00A53CF5">
        <w:rPr>
          <w:color w:val="000000"/>
          <w:kern w:val="22"/>
          <w:szCs w:val="22"/>
          <w:lang w:val="fr-FR"/>
        </w:rPr>
        <w:tab/>
      </w:r>
      <w:r w:rsidRPr="00A53CF5">
        <w:rPr>
          <w:kern w:val="22"/>
          <w:szCs w:val="22"/>
          <w:lang w:val="fr-FR"/>
        </w:rPr>
        <w:t>Lorsqu'ils partagent des informations par l'intermédiaire de l'un des centres d'é</w:t>
      </w:r>
      <w:r w:rsidR="00FE48E3">
        <w:rPr>
          <w:kern w:val="22"/>
          <w:szCs w:val="22"/>
          <w:lang w:val="fr-FR"/>
        </w:rPr>
        <w:t>change, les utilisateurs</w:t>
      </w:r>
      <w:r w:rsidRPr="00A53CF5">
        <w:rPr>
          <w:kern w:val="22"/>
          <w:szCs w:val="22"/>
          <w:lang w:val="fr-FR"/>
        </w:rPr>
        <w:t> :</w:t>
      </w:r>
    </w:p>
    <w:p w14:paraId="4FEB3BAA" w14:textId="4D40457A" w:rsidR="000E38CA" w:rsidRPr="00A53CF5" w:rsidRDefault="000E38CA" w:rsidP="000E38CA">
      <w:pPr>
        <w:suppressLineNumbers/>
        <w:tabs>
          <w:tab w:val="left" w:pos="1152"/>
        </w:tabs>
        <w:suppressAutoHyphens/>
        <w:spacing w:before="120" w:after="120"/>
        <w:ind w:firstLine="720"/>
        <w:rPr>
          <w:rFonts w:eastAsia="MS Mincho"/>
          <w:bCs/>
          <w:kern w:val="22"/>
          <w:szCs w:val="22"/>
          <w:lang w:val="fr-FR"/>
        </w:rPr>
      </w:pPr>
      <w:r w:rsidRPr="00A53CF5">
        <w:rPr>
          <w:rFonts w:eastAsia="MS Mincho"/>
          <w:bCs/>
          <w:kern w:val="22"/>
          <w:szCs w:val="22"/>
          <w:lang w:val="fr-FR"/>
        </w:rPr>
        <w:t>a)</w:t>
      </w:r>
      <w:r w:rsidR="00FE48E3">
        <w:rPr>
          <w:rFonts w:eastAsia="MS Mincho"/>
          <w:bCs/>
          <w:kern w:val="22"/>
          <w:szCs w:val="22"/>
          <w:lang w:val="fr-FR"/>
        </w:rPr>
        <w:tab/>
        <w:t>Suivent</w:t>
      </w:r>
      <w:r w:rsidRPr="00A53CF5">
        <w:rPr>
          <w:rFonts w:eastAsia="MS Mincho"/>
          <w:bCs/>
          <w:kern w:val="22"/>
          <w:szCs w:val="22"/>
          <w:lang w:val="fr-FR"/>
        </w:rPr>
        <w:t xml:space="preserve"> les procédures de publication établies en fonction de chaque centre d'échange ou du type d'information ;</w:t>
      </w:r>
    </w:p>
    <w:p w14:paraId="0E5CBEB4" w14:textId="7626F861" w:rsidR="000E38CA" w:rsidRPr="00A53CF5" w:rsidRDefault="00FE48E3" w:rsidP="000E38CA">
      <w:pPr>
        <w:suppressLineNumbers/>
        <w:tabs>
          <w:tab w:val="left" w:pos="1152"/>
        </w:tabs>
        <w:suppressAutoHyphens/>
        <w:spacing w:before="120" w:after="120"/>
        <w:ind w:firstLine="720"/>
        <w:rPr>
          <w:rFonts w:eastAsia="MS Mincho"/>
          <w:bCs/>
          <w:kern w:val="22"/>
          <w:szCs w:val="22"/>
          <w:lang w:val="fr-FR"/>
        </w:rPr>
      </w:pPr>
      <w:r>
        <w:rPr>
          <w:rFonts w:eastAsia="MS Mincho"/>
          <w:bCs/>
          <w:kern w:val="22"/>
          <w:szCs w:val="22"/>
          <w:lang w:val="fr-FR"/>
        </w:rPr>
        <w:t>b)</w:t>
      </w:r>
      <w:r>
        <w:rPr>
          <w:rFonts w:eastAsia="MS Mincho"/>
          <w:bCs/>
          <w:kern w:val="22"/>
          <w:szCs w:val="22"/>
          <w:lang w:val="fr-FR"/>
        </w:rPr>
        <w:tab/>
        <w:t>S'assurent</w:t>
      </w:r>
      <w:r w:rsidR="000E38CA" w:rsidRPr="00A53CF5">
        <w:rPr>
          <w:rFonts w:eastAsia="MS Mincho"/>
          <w:bCs/>
          <w:kern w:val="22"/>
          <w:szCs w:val="22"/>
          <w:lang w:val="fr-FR"/>
        </w:rPr>
        <w:t xml:space="preserve"> que les informations mises à disposition sont exactes, complètes, pertinentes et actualisées ;</w:t>
      </w:r>
    </w:p>
    <w:p w14:paraId="170CBFFB" w14:textId="244661DA" w:rsidR="000E38CA" w:rsidRPr="00A53CF5" w:rsidRDefault="00FE48E3" w:rsidP="000E38CA">
      <w:pPr>
        <w:suppressLineNumbers/>
        <w:tabs>
          <w:tab w:val="left" w:pos="1152"/>
        </w:tabs>
        <w:suppressAutoHyphens/>
        <w:spacing w:before="120" w:after="120"/>
        <w:ind w:firstLine="720"/>
        <w:rPr>
          <w:rFonts w:eastAsia="MS Mincho"/>
          <w:bCs/>
          <w:kern w:val="22"/>
          <w:szCs w:val="22"/>
          <w:lang w:val="fr-FR"/>
        </w:rPr>
      </w:pPr>
      <w:r>
        <w:rPr>
          <w:rFonts w:eastAsia="MS Mincho"/>
          <w:bCs/>
          <w:kern w:val="22"/>
          <w:szCs w:val="22"/>
          <w:lang w:val="fr-FR"/>
        </w:rPr>
        <w:t>c)</w:t>
      </w:r>
      <w:r>
        <w:rPr>
          <w:rFonts w:eastAsia="MS Mincho"/>
          <w:bCs/>
          <w:kern w:val="22"/>
          <w:szCs w:val="22"/>
          <w:lang w:val="fr-FR"/>
        </w:rPr>
        <w:tab/>
        <w:t>Excluent</w:t>
      </w:r>
      <w:r w:rsidR="000E38CA" w:rsidRPr="00A53CF5">
        <w:rPr>
          <w:rFonts w:eastAsia="MS Mincho"/>
          <w:bCs/>
          <w:kern w:val="22"/>
          <w:szCs w:val="22"/>
          <w:lang w:val="fr-FR"/>
        </w:rPr>
        <w:t xml:space="preserve"> les données confidentielles, car toutes les informations publiées dans les centres d'échange sont accessibles au public ;</w:t>
      </w:r>
    </w:p>
    <w:p w14:paraId="5F2DC9B0" w14:textId="3C347B86" w:rsidR="000E38CA" w:rsidRPr="00A53CF5" w:rsidRDefault="000E38CA" w:rsidP="000E38CA">
      <w:pPr>
        <w:suppressLineNumbers/>
        <w:tabs>
          <w:tab w:val="left" w:pos="1152"/>
        </w:tabs>
        <w:suppressAutoHyphens/>
        <w:spacing w:before="120" w:after="120"/>
        <w:ind w:firstLine="720"/>
        <w:rPr>
          <w:rFonts w:eastAsia="MS Mincho"/>
          <w:bCs/>
          <w:kern w:val="22"/>
          <w:szCs w:val="22"/>
          <w:lang w:val="fr-FR"/>
        </w:rPr>
      </w:pPr>
      <w:r w:rsidRPr="00A53CF5">
        <w:rPr>
          <w:rFonts w:eastAsia="MS Mincho"/>
          <w:bCs/>
          <w:kern w:val="22"/>
          <w:szCs w:val="22"/>
          <w:lang w:val="fr-FR"/>
        </w:rPr>
        <w:t>d)</w:t>
      </w:r>
      <w:r w:rsidRPr="00A53CF5">
        <w:rPr>
          <w:rFonts w:eastAsia="MS Mincho"/>
          <w:bCs/>
          <w:kern w:val="22"/>
          <w:szCs w:val="22"/>
          <w:lang w:val="fr-FR"/>
        </w:rPr>
        <w:tab/>
      </w:r>
      <w:r w:rsidR="005C6977">
        <w:rPr>
          <w:rFonts w:eastAsia="MS Mincho"/>
          <w:bCs/>
          <w:kern w:val="22"/>
          <w:szCs w:val="22"/>
          <w:lang w:val="fr-FR"/>
        </w:rPr>
        <w:t>Ne portent atteinte à</w:t>
      </w:r>
      <w:r w:rsidR="000B0BED" w:rsidRPr="00A53CF5">
        <w:rPr>
          <w:rFonts w:eastAsia="MS Mincho"/>
          <w:bCs/>
          <w:kern w:val="22"/>
          <w:szCs w:val="22"/>
          <w:lang w:val="fr-FR"/>
        </w:rPr>
        <w:t xml:space="preserve"> aucun droit</w:t>
      </w:r>
      <w:r w:rsidRPr="00A53CF5">
        <w:rPr>
          <w:rFonts w:eastAsia="MS Mincho"/>
          <w:bCs/>
          <w:kern w:val="22"/>
          <w:szCs w:val="22"/>
          <w:lang w:val="fr-FR"/>
        </w:rPr>
        <w:t xml:space="preserve"> de p</w:t>
      </w:r>
      <w:r w:rsidR="005C6977">
        <w:rPr>
          <w:rFonts w:eastAsia="MS Mincho"/>
          <w:bCs/>
          <w:kern w:val="22"/>
          <w:szCs w:val="22"/>
          <w:lang w:val="fr-FR"/>
        </w:rPr>
        <w:t>ropriété intellectuelle associé</w:t>
      </w:r>
      <w:r w:rsidRPr="00A53CF5">
        <w:rPr>
          <w:rFonts w:eastAsia="MS Mincho"/>
          <w:bCs/>
          <w:kern w:val="22"/>
          <w:szCs w:val="22"/>
          <w:lang w:val="fr-FR"/>
        </w:rPr>
        <w:t xml:space="preserve"> aux informations publiées ;</w:t>
      </w:r>
    </w:p>
    <w:p w14:paraId="7A9F460B" w14:textId="4572B286" w:rsidR="000E38CA" w:rsidRPr="00A53CF5" w:rsidRDefault="005C6977" w:rsidP="000E38CA">
      <w:pPr>
        <w:suppressLineNumbers/>
        <w:tabs>
          <w:tab w:val="left" w:pos="1152"/>
        </w:tabs>
        <w:suppressAutoHyphens/>
        <w:spacing w:before="120" w:after="120"/>
        <w:ind w:firstLine="720"/>
        <w:rPr>
          <w:rFonts w:eastAsia="MS Mincho"/>
          <w:bCs/>
          <w:kern w:val="22"/>
          <w:szCs w:val="22"/>
          <w:lang w:val="fr-FR"/>
        </w:rPr>
      </w:pPr>
      <w:r>
        <w:rPr>
          <w:rFonts w:eastAsia="MS Mincho"/>
          <w:bCs/>
          <w:kern w:val="22"/>
          <w:szCs w:val="22"/>
          <w:lang w:val="fr-FR"/>
        </w:rPr>
        <w:t>e)</w:t>
      </w:r>
      <w:r>
        <w:rPr>
          <w:rFonts w:eastAsia="MS Mincho"/>
          <w:bCs/>
          <w:kern w:val="22"/>
          <w:szCs w:val="22"/>
          <w:lang w:val="fr-FR"/>
        </w:rPr>
        <w:tab/>
        <w:t>Communiquent</w:t>
      </w:r>
      <w:r w:rsidR="000E38CA" w:rsidRPr="00A53CF5">
        <w:rPr>
          <w:rFonts w:eastAsia="MS Mincho"/>
          <w:bCs/>
          <w:kern w:val="22"/>
          <w:szCs w:val="22"/>
          <w:lang w:val="fr-FR"/>
        </w:rPr>
        <w:t xml:space="preserve"> les métadonné</w:t>
      </w:r>
      <w:r>
        <w:rPr>
          <w:rFonts w:eastAsia="MS Mincho"/>
          <w:bCs/>
          <w:kern w:val="22"/>
          <w:szCs w:val="22"/>
          <w:lang w:val="fr-FR"/>
        </w:rPr>
        <w:t>es relatives aux données primaires</w:t>
      </w:r>
      <w:r w:rsidR="000E38CA" w:rsidRPr="00A53CF5">
        <w:rPr>
          <w:rFonts w:eastAsia="MS Mincho"/>
          <w:bCs/>
          <w:kern w:val="22"/>
          <w:szCs w:val="22"/>
          <w:lang w:val="fr-FR"/>
        </w:rPr>
        <w:t xml:space="preserve"> (telles que les éléments décrivant le contenu d'une mesure législative choisie </w:t>
      </w:r>
      <w:r>
        <w:rPr>
          <w:rFonts w:eastAsia="MS Mincho"/>
          <w:bCs/>
          <w:kern w:val="22"/>
          <w:szCs w:val="22"/>
          <w:lang w:val="fr-FR"/>
        </w:rPr>
        <w:t>dans un vocabulaire contrôlé</w:t>
      </w:r>
      <w:r w:rsidR="000E38CA" w:rsidRPr="00A53CF5">
        <w:rPr>
          <w:rFonts w:eastAsia="MS Mincho"/>
          <w:bCs/>
          <w:kern w:val="22"/>
          <w:szCs w:val="22"/>
          <w:lang w:val="fr-FR"/>
        </w:rPr>
        <w:t>) dans une des langues off</w:t>
      </w:r>
      <w:r>
        <w:rPr>
          <w:rFonts w:eastAsia="MS Mincho"/>
          <w:bCs/>
          <w:kern w:val="22"/>
          <w:szCs w:val="22"/>
          <w:lang w:val="fr-FR"/>
        </w:rPr>
        <w:t>icielles des Nations Unies, tout</w:t>
      </w:r>
      <w:r w:rsidR="000E38CA" w:rsidRPr="00A53CF5">
        <w:rPr>
          <w:rFonts w:eastAsia="MS Mincho"/>
          <w:bCs/>
          <w:kern w:val="22"/>
          <w:szCs w:val="22"/>
          <w:lang w:val="fr-FR"/>
        </w:rPr>
        <w:t xml:space="preserve"> en sachant que ces données</w:t>
      </w:r>
      <w:r>
        <w:rPr>
          <w:rFonts w:eastAsia="MS Mincho"/>
          <w:bCs/>
          <w:kern w:val="22"/>
          <w:szCs w:val="22"/>
          <w:lang w:val="fr-FR"/>
        </w:rPr>
        <w:t xml:space="preserve"> primaires</w:t>
      </w:r>
      <w:r w:rsidR="000E38CA" w:rsidRPr="00A53CF5">
        <w:rPr>
          <w:rFonts w:eastAsia="MS Mincho"/>
          <w:bCs/>
          <w:kern w:val="22"/>
          <w:szCs w:val="22"/>
          <w:lang w:val="fr-FR"/>
        </w:rPr>
        <w:t xml:space="preserve"> (une mesure législative</w:t>
      </w:r>
      <w:r>
        <w:rPr>
          <w:rFonts w:eastAsia="MS Mincho"/>
          <w:bCs/>
          <w:kern w:val="22"/>
          <w:szCs w:val="22"/>
          <w:lang w:val="fr-FR"/>
        </w:rPr>
        <w:t>,</w:t>
      </w:r>
      <w:r w:rsidR="000E38CA" w:rsidRPr="00A53CF5">
        <w:rPr>
          <w:rFonts w:eastAsia="MS Mincho"/>
          <w:bCs/>
          <w:kern w:val="22"/>
          <w:szCs w:val="22"/>
          <w:lang w:val="fr-FR"/>
        </w:rPr>
        <w:t xml:space="preserve"> par exemple) peuvent être communiquées dans la langue originale ;</w:t>
      </w:r>
    </w:p>
    <w:p w14:paraId="4B4EFD6B" w14:textId="59E1C5A4" w:rsidR="000E38CA" w:rsidRPr="00A53CF5" w:rsidRDefault="00E25863" w:rsidP="000E38CA">
      <w:pPr>
        <w:suppressLineNumbers/>
        <w:tabs>
          <w:tab w:val="left" w:pos="1152"/>
        </w:tabs>
        <w:suppressAutoHyphens/>
        <w:spacing w:before="120" w:after="120"/>
        <w:ind w:firstLine="720"/>
        <w:rPr>
          <w:rFonts w:eastAsia="MS Mincho"/>
          <w:bCs/>
          <w:kern w:val="22"/>
          <w:szCs w:val="22"/>
          <w:lang w:val="fr-FR"/>
        </w:rPr>
      </w:pPr>
      <w:r>
        <w:rPr>
          <w:rFonts w:eastAsia="MS Mincho"/>
          <w:bCs/>
          <w:kern w:val="22"/>
          <w:szCs w:val="22"/>
          <w:lang w:val="fr-FR"/>
        </w:rPr>
        <w:t>f)</w:t>
      </w:r>
      <w:r>
        <w:rPr>
          <w:rFonts w:eastAsia="MS Mincho"/>
          <w:bCs/>
          <w:kern w:val="22"/>
          <w:szCs w:val="22"/>
          <w:lang w:val="fr-FR"/>
        </w:rPr>
        <w:tab/>
        <w:t xml:space="preserve">Font leur possible pour fournir une traduction de courtoisie des données primaires communiquées </w:t>
      </w:r>
      <w:r w:rsidR="000E38CA" w:rsidRPr="00A53CF5">
        <w:rPr>
          <w:rFonts w:eastAsia="MS Mincho"/>
          <w:bCs/>
          <w:kern w:val="22"/>
          <w:szCs w:val="22"/>
          <w:lang w:val="fr-FR"/>
        </w:rPr>
        <w:t>dans l'une des langues officielles des Nations Unies.</w:t>
      </w:r>
    </w:p>
    <w:p w14:paraId="0A288C28" w14:textId="7930E16F" w:rsidR="0001678F" w:rsidRPr="00A53CF5" w:rsidRDefault="0001678F" w:rsidP="0001678F">
      <w:pPr>
        <w:suppressLineNumbers/>
        <w:tabs>
          <w:tab w:val="left" w:pos="1152"/>
        </w:tabs>
        <w:suppressAutoHyphens/>
        <w:spacing w:before="120" w:after="120"/>
        <w:ind w:firstLine="720"/>
        <w:rPr>
          <w:rFonts w:eastAsia="MS Mincho"/>
          <w:bCs/>
          <w:kern w:val="22"/>
          <w:szCs w:val="22"/>
          <w:lang w:val="fr-FR"/>
        </w:rPr>
      </w:pPr>
    </w:p>
    <w:p w14:paraId="630F2556" w14:textId="25CA49F8" w:rsidR="00F267C2" w:rsidRPr="00A53CF5" w:rsidRDefault="0001678F" w:rsidP="000C104E">
      <w:pPr>
        <w:suppressLineNumbers/>
        <w:suppressAutoHyphens/>
        <w:spacing w:before="120" w:after="120"/>
        <w:jc w:val="center"/>
        <w:rPr>
          <w:kern w:val="22"/>
          <w:szCs w:val="22"/>
          <w:lang w:val="fr-FR"/>
        </w:rPr>
      </w:pPr>
      <w:r w:rsidRPr="00A53CF5">
        <w:rPr>
          <w:kern w:val="22"/>
          <w:szCs w:val="22"/>
          <w:lang w:val="fr-FR"/>
        </w:rPr>
        <w:t>__________</w:t>
      </w:r>
    </w:p>
    <w:sectPr w:rsidR="00F267C2" w:rsidRPr="00A53CF5"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2D5F6" w14:textId="77777777" w:rsidR="00517ECC" w:rsidRDefault="00517ECC" w:rsidP="00CF1848">
      <w:r>
        <w:separator/>
      </w:r>
    </w:p>
  </w:endnote>
  <w:endnote w:type="continuationSeparator" w:id="0">
    <w:p w14:paraId="7F842C11" w14:textId="77777777" w:rsidR="00517ECC" w:rsidRDefault="00517EC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A5367" w14:textId="77777777" w:rsidR="00517ECC" w:rsidRDefault="00517ECC" w:rsidP="00CF1848">
      <w:r>
        <w:separator/>
      </w:r>
    </w:p>
  </w:footnote>
  <w:footnote w:type="continuationSeparator" w:id="0">
    <w:p w14:paraId="33FD7E7B" w14:textId="77777777" w:rsidR="00517ECC" w:rsidRDefault="00517ECC" w:rsidP="00CF1848">
      <w:r>
        <w:continuationSeparator/>
      </w:r>
    </w:p>
  </w:footnote>
  <w:footnote w:id="1">
    <w:p w14:paraId="305CE197" w14:textId="77777777" w:rsidR="000E38CA" w:rsidRPr="000E38CA" w:rsidRDefault="000E38CA" w:rsidP="000E38CA">
      <w:pPr>
        <w:pStyle w:val="FootnoteText"/>
        <w:suppressLineNumbers/>
        <w:suppressAutoHyphens/>
        <w:kinsoku w:val="0"/>
        <w:overflowPunct w:val="0"/>
        <w:autoSpaceDE w:val="0"/>
        <w:autoSpaceDN w:val="0"/>
        <w:ind w:firstLine="0"/>
        <w:jc w:val="left"/>
        <w:rPr>
          <w:kern w:val="18"/>
          <w:szCs w:val="18"/>
          <w:lang w:val="fr-CA"/>
        </w:rPr>
      </w:pPr>
      <w:r>
        <w:rPr>
          <w:rStyle w:val="FootnoteReference"/>
          <w:kern w:val="18"/>
          <w:sz w:val="18"/>
          <w:szCs w:val="18"/>
        </w:rPr>
        <w:footnoteRef/>
      </w:r>
      <w:r w:rsidRPr="000E38CA">
        <w:rPr>
          <w:kern w:val="18"/>
          <w:szCs w:val="18"/>
          <w:lang w:val="fr-CA"/>
        </w:rPr>
        <w:t xml:space="preserve"> Voir CBD/COP/14/INF/4 et CBD/SBI/2/9.</w:t>
      </w:r>
    </w:p>
  </w:footnote>
  <w:footnote w:id="2">
    <w:p w14:paraId="76473106" w14:textId="52C229A1" w:rsidR="000E38CA" w:rsidRPr="000E38CA" w:rsidRDefault="000E38CA" w:rsidP="000E38CA">
      <w:pPr>
        <w:pStyle w:val="FootnoteText"/>
        <w:suppressLineNumbers/>
        <w:suppressAutoHyphens/>
        <w:ind w:firstLine="0"/>
        <w:jc w:val="left"/>
        <w:rPr>
          <w:kern w:val="18"/>
          <w:szCs w:val="18"/>
          <w:lang w:val="fr-CA"/>
        </w:rPr>
      </w:pPr>
      <w:r>
        <w:rPr>
          <w:rStyle w:val="FootnoteReference"/>
          <w:kern w:val="18"/>
          <w:sz w:val="18"/>
          <w:szCs w:val="18"/>
        </w:rPr>
        <w:footnoteRef/>
      </w:r>
      <w:r w:rsidR="00C343AB">
        <w:rPr>
          <w:kern w:val="18"/>
          <w:szCs w:val="18"/>
          <w:lang w:val="fr-CA"/>
        </w:rPr>
        <w:t xml:space="preserve"> Annexe de</w:t>
      </w:r>
      <w:r w:rsidRPr="000E38CA">
        <w:rPr>
          <w:kern w:val="18"/>
          <w:szCs w:val="18"/>
          <w:lang w:val="fr-CA"/>
        </w:rPr>
        <w:t xml:space="preserve"> la décision X/2.</w:t>
      </w:r>
    </w:p>
  </w:footnote>
  <w:footnote w:id="3">
    <w:p w14:paraId="2430A4D9" w14:textId="0DFD84B3" w:rsidR="000E38CA" w:rsidRPr="000E38CA" w:rsidRDefault="000E38CA" w:rsidP="000E38CA">
      <w:pPr>
        <w:pStyle w:val="FootnoteText"/>
        <w:suppressLineNumbers/>
        <w:suppressAutoHyphens/>
        <w:ind w:firstLine="0"/>
        <w:jc w:val="left"/>
        <w:rPr>
          <w:kern w:val="18"/>
          <w:szCs w:val="18"/>
          <w:lang w:val="fr-CA"/>
        </w:rPr>
      </w:pPr>
      <w:r>
        <w:rPr>
          <w:rStyle w:val="FootnoteReference"/>
          <w:kern w:val="18"/>
          <w:sz w:val="18"/>
          <w:szCs w:val="18"/>
        </w:rPr>
        <w:footnoteRef/>
      </w:r>
      <w:r w:rsidR="00C343AB">
        <w:rPr>
          <w:kern w:val="18"/>
          <w:szCs w:val="18"/>
          <w:lang w:val="fr-CA"/>
        </w:rPr>
        <w:t xml:space="preserve"> Voir la </w:t>
      </w:r>
      <w:r w:rsidR="00C343AB">
        <w:rPr>
          <w:kern w:val="18"/>
          <w:szCs w:val="18"/>
          <w:lang w:val="fr-CA"/>
        </w:rPr>
        <w:t>r</w:t>
      </w:r>
      <w:bookmarkStart w:id="0" w:name="_GoBack"/>
      <w:bookmarkEnd w:id="0"/>
      <w:r w:rsidRPr="000E38CA">
        <w:rPr>
          <w:kern w:val="18"/>
          <w:szCs w:val="18"/>
          <w:lang w:val="fr-CA"/>
        </w:rPr>
        <w:t>ésolution 70/1 de l'Assemblée générale des Nations Unies du 25 septembre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3D4D4DA6" w:rsidR="00936F43" w:rsidRPr="000C104E" w:rsidRDefault="002A2BF8" w:rsidP="000C104E">
        <w:pPr>
          <w:pStyle w:val="Header"/>
          <w:tabs>
            <w:tab w:val="clear" w:pos="4320"/>
            <w:tab w:val="clear" w:pos="8640"/>
          </w:tabs>
          <w:jc w:val="left"/>
          <w:rPr>
            <w:noProof/>
            <w:kern w:val="22"/>
          </w:rPr>
        </w:pPr>
        <w:r>
          <w:rPr>
            <w:noProof/>
            <w:kern w:val="22"/>
          </w:rPr>
          <w:t>CBD/COP/DEC/14/25</w:t>
        </w:r>
      </w:p>
    </w:sdtContent>
  </w:sdt>
  <w:p w14:paraId="57597240" w14:textId="2F42EFF0" w:rsidR="00936F43" w:rsidRPr="000C104E" w:rsidRDefault="00936F43" w:rsidP="000C104E">
    <w:pPr>
      <w:pStyle w:val="Header"/>
      <w:tabs>
        <w:tab w:val="clear" w:pos="4320"/>
        <w:tab w:val="clear" w:pos="8640"/>
      </w:tabs>
      <w:jc w:val="left"/>
      <w:rPr>
        <w:noProof/>
        <w:kern w:val="22"/>
      </w:rPr>
    </w:pPr>
    <w:r w:rsidRPr="000C104E">
      <w:rPr>
        <w:noProof/>
        <w:kern w:val="22"/>
      </w:rPr>
      <w:t xml:space="preserve">Page </w:t>
    </w:r>
    <w:r w:rsidRPr="000C104E">
      <w:rPr>
        <w:noProof/>
        <w:kern w:val="22"/>
      </w:rPr>
      <w:fldChar w:fldCharType="begin"/>
    </w:r>
    <w:r w:rsidRPr="000C104E">
      <w:rPr>
        <w:noProof/>
        <w:kern w:val="22"/>
      </w:rPr>
      <w:instrText xml:space="preserve"> PAGE   \* MERGEFORMAT </w:instrText>
    </w:r>
    <w:r w:rsidRPr="000C104E">
      <w:rPr>
        <w:noProof/>
        <w:kern w:val="22"/>
      </w:rPr>
      <w:fldChar w:fldCharType="separate"/>
    </w:r>
    <w:r w:rsidR="00B86EB0">
      <w:rPr>
        <w:noProof/>
        <w:kern w:val="22"/>
      </w:rPr>
      <w:t>4</w:t>
    </w:r>
    <w:r w:rsidRPr="000C104E">
      <w:rPr>
        <w:noProof/>
        <w:kern w:val="22"/>
      </w:rPr>
      <w:fldChar w:fldCharType="end"/>
    </w:r>
  </w:p>
  <w:p w14:paraId="1D80EB20" w14:textId="77777777" w:rsidR="00936F43" w:rsidRPr="000C104E" w:rsidRDefault="00936F43" w:rsidP="000C104E">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4480FAD8" w:rsidR="00936F43" w:rsidRPr="000C104E" w:rsidRDefault="002A2BF8" w:rsidP="000C104E">
        <w:pPr>
          <w:pStyle w:val="Header"/>
          <w:tabs>
            <w:tab w:val="clear" w:pos="4320"/>
            <w:tab w:val="clear" w:pos="8640"/>
          </w:tabs>
          <w:jc w:val="right"/>
          <w:rPr>
            <w:noProof/>
            <w:kern w:val="22"/>
          </w:rPr>
        </w:pPr>
        <w:r>
          <w:rPr>
            <w:noProof/>
            <w:kern w:val="22"/>
          </w:rPr>
          <w:t>CBD/COP/DEC/14/25</w:t>
        </w:r>
      </w:p>
    </w:sdtContent>
  </w:sdt>
  <w:p w14:paraId="7E9B8683" w14:textId="2E273C1B" w:rsidR="00936F43" w:rsidRPr="000C104E" w:rsidRDefault="00936F43" w:rsidP="000C104E">
    <w:pPr>
      <w:pStyle w:val="Header"/>
      <w:tabs>
        <w:tab w:val="clear" w:pos="4320"/>
        <w:tab w:val="clear" w:pos="8640"/>
      </w:tabs>
      <w:jc w:val="right"/>
      <w:rPr>
        <w:noProof/>
        <w:kern w:val="22"/>
      </w:rPr>
    </w:pPr>
    <w:r w:rsidRPr="000C104E">
      <w:rPr>
        <w:noProof/>
        <w:kern w:val="22"/>
      </w:rPr>
      <w:t xml:space="preserve">Page </w:t>
    </w:r>
    <w:r w:rsidRPr="000C104E">
      <w:rPr>
        <w:noProof/>
        <w:kern w:val="22"/>
      </w:rPr>
      <w:fldChar w:fldCharType="begin"/>
    </w:r>
    <w:r w:rsidRPr="000C104E">
      <w:rPr>
        <w:noProof/>
        <w:kern w:val="22"/>
      </w:rPr>
      <w:instrText xml:space="preserve"> PAGE   \* MERGEFORMAT </w:instrText>
    </w:r>
    <w:r w:rsidRPr="000C104E">
      <w:rPr>
        <w:noProof/>
        <w:kern w:val="22"/>
      </w:rPr>
      <w:fldChar w:fldCharType="separate"/>
    </w:r>
    <w:r w:rsidR="00B86EB0">
      <w:rPr>
        <w:noProof/>
        <w:kern w:val="22"/>
      </w:rPr>
      <w:t>3</w:t>
    </w:r>
    <w:r w:rsidRPr="000C104E">
      <w:rPr>
        <w:noProof/>
        <w:kern w:val="22"/>
      </w:rPr>
      <w:fldChar w:fldCharType="end"/>
    </w:r>
  </w:p>
  <w:p w14:paraId="2F845650" w14:textId="77777777" w:rsidR="00936F43" w:rsidRPr="000C104E" w:rsidRDefault="00936F43" w:rsidP="000C104E">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C71E5"/>
    <w:multiLevelType w:val="hybridMultilevel"/>
    <w:tmpl w:val="C6F2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3DF1"/>
    <w:multiLevelType w:val="hybridMultilevel"/>
    <w:tmpl w:val="F6BE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9C0127"/>
    <w:multiLevelType w:val="hybridMultilevel"/>
    <w:tmpl w:val="55041694"/>
    <w:lvl w:ilvl="0" w:tplc="FD18213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17E1F8E"/>
    <w:multiLevelType w:val="hybridMultilevel"/>
    <w:tmpl w:val="58CE61A6"/>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7231257"/>
    <w:multiLevelType w:val="hybridMultilevel"/>
    <w:tmpl w:val="A6409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A51AB"/>
    <w:multiLevelType w:val="hybridMultilevel"/>
    <w:tmpl w:val="8F3C8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6FB537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1434A3"/>
    <w:multiLevelType w:val="hybridMultilevel"/>
    <w:tmpl w:val="3FCE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D06FEB"/>
    <w:multiLevelType w:val="hybridMultilevel"/>
    <w:tmpl w:val="914EF66C"/>
    <w:lvl w:ilvl="0" w:tplc="04090001">
      <w:start w:val="1"/>
      <w:numFmt w:val="bullet"/>
      <w:lvlText w:val=""/>
      <w:lvlJc w:val="left"/>
      <w:pPr>
        <w:ind w:left="720" w:hanging="360"/>
      </w:pPr>
      <w:rPr>
        <w:rFonts w:ascii="Symbol" w:hAnsi="Symbol" w:hint="default"/>
      </w:rPr>
    </w:lvl>
    <w:lvl w:ilvl="1" w:tplc="6A92E88E">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0"/>
  </w:num>
  <w:num w:numId="5">
    <w:abstractNumId w:val="9"/>
  </w:num>
  <w:num w:numId="6">
    <w:abstractNumId w:val="0"/>
  </w:num>
  <w:num w:numId="7">
    <w:abstractNumId w:val="5"/>
  </w:num>
  <w:num w:numId="8">
    <w:abstractNumId w:val="8"/>
    <w:lvlOverride w:ilvl="0">
      <w:startOverride w:val="1"/>
    </w:lvlOverride>
  </w:num>
  <w:num w:numId="9">
    <w:abstractNumId w:val="15"/>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3"/>
  </w:num>
  <w:num w:numId="15">
    <w:abstractNumId w:val="12"/>
  </w:num>
  <w:num w:numId="16">
    <w:abstractNumId w:val="1"/>
  </w:num>
  <w:num w:numId="17">
    <w:abstractNumId w:val="17"/>
  </w:num>
  <w:num w:numId="18">
    <w:abstractNumId w:val="20"/>
  </w:num>
  <w:num w:numId="19">
    <w:abstractNumId w:val="6"/>
  </w:num>
  <w:num w:numId="20">
    <w:abstractNumId w:val="19"/>
  </w:num>
  <w:num w:numId="21">
    <w:abstractNumId w:val="3"/>
  </w:num>
  <w:num w:numId="22">
    <w:abstractNumId w:val="2"/>
  </w:num>
  <w:num w:numId="23">
    <w:abstractNumId w:val="18"/>
  </w:num>
  <w:num w:numId="24">
    <w:abstractNumId w:val="14"/>
  </w:num>
  <w:num w:numId="25">
    <w:abstractNumId w:val="11"/>
  </w:num>
  <w:num w:numId="26">
    <w:abstractNumId w:val="1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fr-CA"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068B4"/>
    <w:rsid w:val="0001678F"/>
    <w:rsid w:val="00064C90"/>
    <w:rsid w:val="000676F2"/>
    <w:rsid w:val="000A0609"/>
    <w:rsid w:val="000B0BED"/>
    <w:rsid w:val="000C104E"/>
    <w:rsid w:val="000E04FC"/>
    <w:rsid w:val="000E38CA"/>
    <w:rsid w:val="000E673A"/>
    <w:rsid w:val="000F235B"/>
    <w:rsid w:val="000F32B4"/>
    <w:rsid w:val="000F74F5"/>
    <w:rsid w:val="00105372"/>
    <w:rsid w:val="00115D25"/>
    <w:rsid w:val="00131E7A"/>
    <w:rsid w:val="00132A5D"/>
    <w:rsid w:val="00133244"/>
    <w:rsid w:val="00161FF2"/>
    <w:rsid w:val="00164F8A"/>
    <w:rsid w:val="00172AF6"/>
    <w:rsid w:val="0017389D"/>
    <w:rsid w:val="00176CEE"/>
    <w:rsid w:val="001C2379"/>
    <w:rsid w:val="001D56D7"/>
    <w:rsid w:val="002138A6"/>
    <w:rsid w:val="00243016"/>
    <w:rsid w:val="00281425"/>
    <w:rsid w:val="002833B5"/>
    <w:rsid w:val="002A2BF8"/>
    <w:rsid w:val="002B4F7B"/>
    <w:rsid w:val="002E30C7"/>
    <w:rsid w:val="003069A1"/>
    <w:rsid w:val="0035338C"/>
    <w:rsid w:val="00372F74"/>
    <w:rsid w:val="003B5256"/>
    <w:rsid w:val="003F7224"/>
    <w:rsid w:val="00405146"/>
    <w:rsid w:val="00417F7E"/>
    <w:rsid w:val="0042412C"/>
    <w:rsid w:val="00427D21"/>
    <w:rsid w:val="004644C2"/>
    <w:rsid w:val="00467F9C"/>
    <w:rsid w:val="00480EB7"/>
    <w:rsid w:val="0048599F"/>
    <w:rsid w:val="004B5202"/>
    <w:rsid w:val="004C2B9D"/>
    <w:rsid w:val="004D33C4"/>
    <w:rsid w:val="004F01F8"/>
    <w:rsid w:val="004F6ACA"/>
    <w:rsid w:val="005170DA"/>
    <w:rsid w:val="00517ECC"/>
    <w:rsid w:val="00523002"/>
    <w:rsid w:val="005245AE"/>
    <w:rsid w:val="00534681"/>
    <w:rsid w:val="00541EA0"/>
    <w:rsid w:val="005567DE"/>
    <w:rsid w:val="005B6AB6"/>
    <w:rsid w:val="005C6977"/>
    <w:rsid w:val="005F5070"/>
    <w:rsid w:val="006122BA"/>
    <w:rsid w:val="00612B96"/>
    <w:rsid w:val="0061445E"/>
    <w:rsid w:val="00617807"/>
    <w:rsid w:val="006637E2"/>
    <w:rsid w:val="00664450"/>
    <w:rsid w:val="00696F19"/>
    <w:rsid w:val="006A7FFD"/>
    <w:rsid w:val="006B2290"/>
    <w:rsid w:val="006B2759"/>
    <w:rsid w:val="006E40AB"/>
    <w:rsid w:val="00717D88"/>
    <w:rsid w:val="00722767"/>
    <w:rsid w:val="00747BF7"/>
    <w:rsid w:val="00765641"/>
    <w:rsid w:val="00777435"/>
    <w:rsid w:val="007942D3"/>
    <w:rsid w:val="007B6C09"/>
    <w:rsid w:val="007E09DA"/>
    <w:rsid w:val="007F0CAF"/>
    <w:rsid w:val="0081569C"/>
    <w:rsid w:val="008178B6"/>
    <w:rsid w:val="00830BC6"/>
    <w:rsid w:val="00837F01"/>
    <w:rsid w:val="00865B74"/>
    <w:rsid w:val="00885068"/>
    <w:rsid w:val="008B25D9"/>
    <w:rsid w:val="008C3F22"/>
    <w:rsid w:val="00930BA1"/>
    <w:rsid w:val="0093169E"/>
    <w:rsid w:val="00936F43"/>
    <w:rsid w:val="0094462C"/>
    <w:rsid w:val="009505C9"/>
    <w:rsid w:val="0097729C"/>
    <w:rsid w:val="00982F4A"/>
    <w:rsid w:val="0098417C"/>
    <w:rsid w:val="009C0DC1"/>
    <w:rsid w:val="009C200D"/>
    <w:rsid w:val="009E0CBB"/>
    <w:rsid w:val="00A53CF5"/>
    <w:rsid w:val="00A53F93"/>
    <w:rsid w:val="00AA0731"/>
    <w:rsid w:val="00AA19EB"/>
    <w:rsid w:val="00AE7F6E"/>
    <w:rsid w:val="00B01F4B"/>
    <w:rsid w:val="00B31CF9"/>
    <w:rsid w:val="00B32DC7"/>
    <w:rsid w:val="00B3369F"/>
    <w:rsid w:val="00B84B49"/>
    <w:rsid w:val="00B86EB0"/>
    <w:rsid w:val="00B96604"/>
    <w:rsid w:val="00BA1E9A"/>
    <w:rsid w:val="00BB2211"/>
    <w:rsid w:val="00BB6471"/>
    <w:rsid w:val="00BD4FF2"/>
    <w:rsid w:val="00C06C2D"/>
    <w:rsid w:val="00C24159"/>
    <w:rsid w:val="00C272D6"/>
    <w:rsid w:val="00C343AB"/>
    <w:rsid w:val="00C47599"/>
    <w:rsid w:val="00C9161D"/>
    <w:rsid w:val="00CE199F"/>
    <w:rsid w:val="00CE335F"/>
    <w:rsid w:val="00CF1848"/>
    <w:rsid w:val="00CF5767"/>
    <w:rsid w:val="00D12044"/>
    <w:rsid w:val="00D332B7"/>
    <w:rsid w:val="00D57901"/>
    <w:rsid w:val="00D76A18"/>
    <w:rsid w:val="00D867D9"/>
    <w:rsid w:val="00D925EE"/>
    <w:rsid w:val="00D93980"/>
    <w:rsid w:val="00D9403F"/>
    <w:rsid w:val="00DA7B16"/>
    <w:rsid w:val="00DC5510"/>
    <w:rsid w:val="00DC7A96"/>
    <w:rsid w:val="00DD118C"/>
    <w:rsid w:val="00E07BEA"/>
    <w:rsid w:val="00E1791F"/>
    <w:rsid w:val="00E25863"/>
    <w:rsid w:val="00E25CC6"/>
    <w:rsid w:val="00E305D0"/>
    <w:rsid w:val="00E66235"/>
    <w:rsid w:val="00E77076"/>
    <w:rsid w:val="00E83C24"/>
    <w:rsid w:val="00E9318D"/>
    <w:rsid w:val="00F11CF8"/>
    <w:rsid w:val="00F1434B"/>
    <w:rsid w:val="00F262F6"/>
    <w:rsid w:val="00F267C2"/>
    <w:rsid w:val="00F372C8"/>
    <w:rsid w:val="00F61883"/>
    <w:rsid w:val="00F852D7"/>
    <w:rsid w:val="00F94774"/>
    <w:rsid w:val="00FC22AB"/>
    <w:rsid w:val="00FC53DB"/>
    <w:rsid w:val="00FE48E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267C2"/>
    <w:pPr>
      <w:spacing w:after="160" w:line="240" w:lineRule="exac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F267C2"/>
    <w:rPr>
      <w:kern w:val="22"/>
      <w:sz w:val="18"/>
      <w:u w:val="none"/>
      <w:vertAlign w:val="superscript"/>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0E04FC"/>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66445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664450"/>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267C2"/>
    <w:pPr>
      <w:spacing w:after="160" w:line="240" w:lineRule="exac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F267C2"/>
    <w:rPr>
      <w:kern w:val="22"/>
      <w:sz w:val="18"/>
      <w:u w:val="none"/>
      <w:vertAlign w:val="superscript"/>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0E04FC"/>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66445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66445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86BF7B7BD08544C4AE5448FC67876A34"/>
        <w:category>
          <w:name w:val="General"/>
          <w:gallery w:val="placeholder"/>
        </w:category>
        <w:types>
          <w:type w:val="bbPlcHdr"/>
        </w:types>
        <w:behaviors>
          <w:behavior w:val="content"/>
        </w:behaviors>
        <w:guid w:val="{09526BF6-00E1-4AB3-AB78-BEAAFDBCFC6E}"/>
      </w:docPartPr>
      <w:docPartBody>
        <w:p w:rsidR="008E355A" w:rsidRDefault="00F128EB" w:rsidP="00F128EB">
          <w:pPr>
            <w:pStyle w:val="86BF7B7BD08544C4AE5448FC67876A34"/>
          </w:pPr>
          <w:r w:rsidRPr="007E02EB">
            <w:rPr>
              <w:rStyle w:val="PlaceholderText"/>
            </w:rPr>
            <w:t>[Status]</w:t>
          </w:r>
        </w:p>
      </w:docPartBody>
    </w:docPart>
    <w:docPart>
      <w:docPartPr>
        <w:name w:val="1C7216CA2FC7411CB83CD37C44C82B4C"/>
        <w:category>
          <w:name w:val="General"/>
          <w:gallery w:val="placeholder"/>
        </w:category>
        <w:types>
          <w:type w:val="bbPlcHdr"/>
        </w:types>
        <w:behaviors>
          <w:behavior w:val="content"/>
        </w:behaviors>
        <w:guid w:val="{C78544D8-A40D-427B-B6C9-ED8EC8DFF62F}"/>
      </w:docPartPr>
      <w:docPartBody>
        <w:p w:rsidR="008E355A" w:rsidRDefault="00F128EB" w:rsidP="00F128EB">
          <w:pPr>
            <w:pStyle w:val="1C7216CA2FC7411CB83CD37C44C82B4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04568"/>
    <w:rsid w:val="00261E9A"/>
    <w:rsid w:val="004B1B91"/>
    <w:rsid w:val="00500A2B"/>
    <w:rsid w:val="0058288D"/>
    <w:rsid w:val="0060174C"/>
    <w:rsid w:val="0063245B"/>
    <w:rsid w:val="006801B3"/>
    <w:rsid w:val="00720F63"/>
    <w:rsid w:val="007F1B76"/>
    <w:rsid w:val="00810A55"/>
    <w:rsid w:val="00872458"/>
    <w:rsid w:val="008C6619"/>
    <w:rsid w:val="008D420E"/>
    <w:rsid w:val="008E355A"/>
    <w:rsid w:val="0098642F"/>
    <w:rsid w:val="009F1BEA"/>
    <w:rsid w:val="00A15667"/>
    <w:rsid w:val="00A44126"/>
    <w:rsid w:val="00B17E0E"/>
    <w:rsid w:val="00BB3F71"/>
    <w:rsid w:val="00CE6602"/>
    <w:rsid w:val="00F1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667"/>
  </w:style>
  <w:style w:type="paragraph" w:customStyle="1" w:styleId="C444DEE40D7C456B82AF1A09CD132ABF">
    <w:name w:val="C444DEE40D7C456B82AF1A09CD132ABF"/>
    <w:rsid w:val="00CE6602"/>
    <w:pPr>
      <w:spacing w:after="160" w:line="259" w:lineRule="auto"/>
    </w:pPr>
  </w:style>
  <w:style w:type="paragraph" w:customStyle="1" w:styleId="86BF7B7BD08544C4AE5448FC67876A34">
    <w:name w:val="86BF7B7BD08544C4AE5448FC67876A34"/>
    <w:rsid w:val="00F128EB"/>
    <w:pPr>
      <w:spacing w:after="160" w:line="259" w:lineRule="auto"/>
    </w:pPr>
  </w:style>
  <w:style w:type="paragraph" w:customStyle="1" w:styleId="1C7216CA2FC7411CB83CD37C44C82B4C">
    <w:name w:val="1C7216CA2FC7411CB83CD37C44C82B4C"/>
    <w:rsid w:val="00F128EB"/>
    <w:pPr>
      <w:spacing w:after="160" w:line="259" w:lineRule="auto"/>
    </w:pPr>
  </w:style>
  <w:style w:type="paragraph" w:customStyle="1" w:styleId="34CC863307FA4FFD8DA2D0509FA22D17">
    <w:name w:val="34CC863307FA4FFD8DA2D0509FA22D17"/>
    <w:rsid w:val="00A15667"/>
    <w:pPr>
      <w:spacing w:after="160" w:line="259" w:lineRule="auto"/>
    </w:pPr>
    <w:rPr>
      <w:lang w:val="fr-CA" w:eastAsia="fr-CA"/>
    </w:rPr>
  </w:style>
  <w:style w:type="paragraph" w:customStyle="1" w:styleId="68B6FDBB8F444D49AE12B1C896F493F9">
    <w:name w:val="68B6FDBB8F444D49AE12B1C896F493F9"/>
    <w:rsid w:val="00A15667"/>
    <w:pPr>
      <w:spacing w:after="160" w:line="259" w:lineRule="auto"/>
    </w:pPr>
    <w:rPr>
      <w:lang w:val="fr-CA" w:eastAsia="fr-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667"/>
  </w:style>
  <w:style w:type="paragraph" w:customStyle="1" w:styleId="C444DEE40D7C456B82AF1A09CD132ABF">
    <w:name w:val="C444DEE40D7C456B82AF1A09CD132ABF"/>
    <w:rsid w:val="00CE6602"/>
    <w:pPr>
      <w:spacing w:after="160" w:line="259" w:lineRule="auto"/>
    </w:pPr>
  </w:style>
  <w:style w:type="paragraph" w:customStyle="1" w:styleId="86BF7B7BD08544C4AE5448FC67876A34">
    <w:name w:val="86BF7B7BD08544C4AE5448FC67876A34"/>
    <w:rsid w:val="00F128EB"/>
    <w:pPr>
      <w:spacing w:after="160" w:line="259" w:lineRule="auto"/>
    </w:pPr>
  </w:style>
  <w:style w:type="paragraph" w:customStyle="1" w:styleId="1C7216CA2FC7411CB83CD37C44C82B4C">
    <w:name w:val="1C7216CA2FC7411CB83CD37C44C82B4C"/>
    <w:rsid w:val="00F128EB"/>
    <w:pPr>
      <w:spacing w:after="160" w:line="259" w:lineRule="auto"/>
    </w:pPr>
  </w:style>
  <w:style w:type="paragraph" w:customStyle="1" w:styleId="34CC863307FA4FFD8DA2D0509FA22D17">
    <w:name w:val="34CC863307FA4FFD8DA2D0509FA22D17"/>
    <w:rsid w:val="00A15667"/>
    <w:pPr>
      <w:spacing w:after="160" w:line="259" w:lineRule="auto"/>
    </w:pPr>
    <w:rPr>
      <w:lang w:val="fr-CA" w:eastAsia="fr-CA"/>
    </w:rPr>
  </w:style>
  <w:style w:type="paragraph" w:customStyle="1" w:styleId="68B6FDBB8F444D49AE12B1C896F493F9">
    <w:name w:val="68B6FDBB8F444D49AE12B1C896F493F9"/>
    <w:rsid w:val="00A15667"/>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FFF289-39F6-472D-84F1-EB7EB984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1582</Words>
  <Characters>9023</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14/25.	Gestion des connaissances dans le cadre de la Convention et de ses protocoles</vt:lpstr>
      <vt:lpstr>Knowledge management under the Convention and its Protocols</vt:lpstr>
    </vt:vector>
  </TitlesOfParts>
  <Company>SCBD</Company>
  <LinksUpToDate>false</LinksUpToDate>
  <CharactersWithSpaces>10584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14/25.	Gestion des connaissances dans le cadre de la Convention et de ses protocoles</dc:title>
  <dc:subject>CBD/COP/DEC/14/25</dc:subject>
  <dc:creator>COP 14/WG 2</dc:creator>
  <cp:keywords>Knowledge management and communication</cp:keywords>
  <dc:description>Conference of the Parties, Convention on Biological Diversity, knowledge management and communication</dc:description>
  <cp:lastModifiedBy>--</cp:lastModifiedBy>
  <cp:revision>8</cp:revision>
  <dcterms:created xsi:type="dcterms:W3CDTF">2019-01-18T17:26:00Z</dcterms:created>
  <dcterms:modified xsi:type="dcterms:W3CDTF">2019-01-20T10:55:00Z</dcterms:modified>
  <cp:contentStatus>GÉNÉRALE</cp:contentStatus>
</cp:coreProperties>
</file>