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GoBack"/>
            <w:bookmarkStart w:id="1" w:name="_Hlk505247837"/>
            <w:bookmarkEnd w:id="0"/>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1"/>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p w:rsidR="00C9161D" w:rsidRPr="00A522AA" w:rsidRDefault="0000023F" w:rsidP="0038105E">
            <w:pPr>
              <w:suppressLineNumbers/>
              <w:suppressAutoHyphens/>
              <w:kinsoku w:val="0"/>
              <w:overflowPunct w:val="0"/>
              <w:autoSpaceDE w:val="0"/>
              <w:autoSpaceDN w:val="0"/>
              <w:ind w:left="1215"/>
              <w:rPr>
                <w:kern w:val="22"/>
                <w:szCs w:val="22"/>
              </w:rPr>
            </w:pPr>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r w:rsidR="00C32100" w:rsidRPr="00C32100">
                  <w:rPr>
                    <w:kern w:val="22"/>
                  </w:rPr>
                  <w:t>CBD/COP/DEC/14/2</w:t>
                </w:r>
              </w:sdtContent>
            </w:sdt>
            <w:r w:rsidR="00B31C60">
              <w:rPr>
                <w:kern w:val="22"/>
              </w:rPr>
              <w:t>5</w:t>
            </w:r>
          </w:p>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E3128D">
        <w:rPr>
          <w:kern w:val="22"/>
          <w:szCs w:val="22"/>
        </w:rPr>
        <w:t>1</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CF06FC" w:rsidRDefault="009F5421" w:rsidP="009F5421">
      <w:pPr>
        <w:keepNext/>
        <w:spacing w:before="120" w:after="120"/>
        <w:ind w:firstLine="709"/>
        <w:jc w:val="center"/>
        <w:rPr>
          <w:b/>
          <w:iCs/>
        </w:rPr>
      </w:pPr>
      <w:bookmarkStart w:id="2" w:name="_Toc522023215"/>
      <w:r w:rsidRPr="00CF06FC">
        <w:rPr>
          <w:b/>
          <w:iCs/>
        </w:rPr>
        <w:t>14</w:t>
      </w:r>
      <w:r w:rsidR="00B50D8E">
        <w:rPr>
          <w:b/>
          <w:iCs/>
        </w:rPr>
        <w:t>/</w:t>
      </w:r>
      <w:r w:rsidRPr="00CF06FC">
        <w:rPr>
          <w:b/>
          <w:iCs/>
        </w:rPr>
        <w:t>2</w:t>
      </w:r>
      <w:r w:rsidR="00B31C60" w:rsidRPr="00CF06FC">
        <w:rPr>
          <w:b/>
          <w:iCs/>
        </w:rPr>
        <w:t>5</w:t>
      </w:r>
      <w:r w:rsidR="00B31C60" w:rsidRPr="00CF06FC">
        <w:rPr>
          <w:b/>
          <w:iCs/>
        </w:rPr>
        <w:tab/>
        <w:t xml:space="preserve">Управление знаниями в рамках </w:t>
      </w:r>
      <w:r w:rsidR="00CF06FC">
        <w:rPr>
          <w:b/>
          <w:iCs/>
        </w:rPr>
        <w:t>К</w:t>
      </w:r>
      <w:r w:rsidR="00B31C60" w:rsidRPr="00CF06FC">
        <w:rPr>
          <w:b/>
          <w:iCs/>
        </w:rPr>
        <w:t xml:space="preserve">онвенции и протоколов к ней </w:t>
      </w:r>
    </w:p>
    <w:p w:rsidR="00B31C60" w:rsidRDefault="00B31C60" w:rsidP="00B31C60">
      <w:pPr>
        <w:suppressLineNumbers/>
        <w:suppressAutoHyphens/>
        <w:spacing w:before="120" w:after="120"/>
        <w:ind w:firstLine="720"/>
        <w:rPr>
          <w:rFonts w:eastAsia="Malgun Gothic"/>
          <w:i/>
          <w:snapToGrid w:val="0"/>
          <w:kern w:val="22"/>
          <w:szCs w:val="22"/>
        </w:rPr>
      </w:pPr>
      <w:r>
        <w:rPr>
          <w:i/>
        </w:rPr>
        <w:t>Конференция Сторон,</w:t>
      </w:r>
      <w:r>
        <w:rPr>
          <w:rFonts w:eastAsia="Malgun Gothic"/>
          <w:i/>
          <w:snapToGrid w:val="0"/>
          <w:kern w:val="22"/>
          <w:szCs w:val="22"/>
        </w:rPr>
        <w:t xml:space="preserve"> </w:t>
      </w:r>
    </w:p>
    <w:p w:rsidR="00B31C60" w:rsidRDefault="00B31C60" w:rsidP="00B31C60">
      <w:pPr>
        <w:pStyle w:val="Para1"/>
        <w:suppressLineNumbers/>
        <w:tabs>
          <w:tab w:val="left" w:pos="708"/>
        </w:tabs>
        <w:suppressAutoHyphens/>
        <w:ind w:left="709"/>
        <w:rPr>
          <w:i/>
          <w:snapToGrid/>
          <w:kern w:val="22"/>
          <w:szCs w:val="24"/>
        </w:rPr>
      </w:pPr>
      <w:r>
        <w:rPr>
          <w:i/>
        </w:rPr>
        <w:t>ссылаясь</w:t>
      </w:r>
      <w:r>
        <w:t xml:space="preserve"> на решения </w:t>
      </w:r>
      <w:r>
        <w:rPr>
          <w:lang w:val="en-US"/>
        </w:rPr>
        <w:t>XIII</w:t>
      </w:r>
      <w:r>
        <w:t xml:space="preserve">/23, </w:t>
      </w:r>
      <w:r>
        <w:rPr>
          <w:lang w:val="en-US"/>
        </w:rPr>
        <w:t>XIII</w:t>
      </w:r>
      <w:r>
        <w:t xml:space="preserve">/31, </w:t>
      </w:r>
      <w:r>
        <w:rPr>
          <w:lang w:val="en-US"/>
        </w:rPr>
        <w:t>XII</w:t>
      </w:r>
      <w:r>
        <w:t xml:space="preserve">/2 </w:t>
      </w:r>
      <w:r>
        <w:rPr>
          <w:lang w:val="en-US"/>
        </w:rPr>
        <w:t>B</w:t>
      </w:r>
      <w:r>
        <w:t xml:space="preserve">, </w:t>
      </w:r>
      <w:r>
        <w:rPr>
          <w:lang w:val="en-US"/>
        </w:rPr>
        <w:t>XI</w:t>
      </w:r>
      <w:r>
        <w:t xml:space="preserve">/24 и </w:t>
      </w:r>
      <w:r>
        <w:rPr>
          <w:lang w:val="en-US"/>
        </w:rPr>
        <w:t>X</w:t>
      </w:r>
      <w:r>
        <w:t>/15,</w:t>
      </w:r>
    </w:p>
    <w:p w:rsidR="00B31C60" w:rsidRDefault="00B31C60" w:rsidP="00B31C60">
      <w:pPr>
        <w:spacing w:before="120" w:after="120"/>
        <w:ind w:firstLine="709"/>
      </w:pPr>
      <w:r>
        <w:rPr>
          <w:i/>
          <w:iCs/>
          <w:kern w:val="22"/>
          <w:szCs w:val="22"/>
        </w:rPr>
        <w:t>отмечая</w:t>
      </w:r>
      <w:r>
        <w:rPr>
          <w:kern w:val="22"/>
          <w:szCs w:val="22"/>
        </w:rPr>
        <w:t xml:space="preserve"> прогресс, достигнутый в реализации </w:t>
      </w:r>
      <w:proofErr w:type="spellStart"/>
      <w:r>
        <w:rPr>
          <w:kern w:val="22"/>
          <w:szCs w:val="22"/>
        </w:rPr>
        <w:t>веб-стратегии</w:t>
      </w:r>
      <w:proofErr w:type="spellEnd"/>
      <w:r>
        <w:rPr>
          <w:kern w:val="22"/>
          <w:szCs w:val="22"/>
        </w:rPr>
        <w:t xml:space="preserve"> Конвенции и протоколов к ней и развитии национальных механизмов посредничества, в том числе внедрение Исполнительным секретарем инструмента </w:t>
      </w:r>
      <w:proofErr w:type="spellStart"/>
      <w:r>
        <w:rPr>
          <w:kern w:val="22"/>
          <w:szCs w:val="22"/>
        </w:rPr>
        <w:t>Биоземля</w:t>
      </w:r>
      <w:proofErr w:type="spellEnd"/>
      <w:r>
        <w:rPr>
          <w:kern w:val="22"/>
          <w:szCs w:val="22"/>
        </w:rPr>
        <w:t xml:space="preserve"> для оказания помощи </w:t>
      </w:r>
      <w:r w:rsidR="00D75251" w:rsidRPr="00D75251">
        <w:rPr>
          <w:kern w:val="22"/>
          <w:szCs w:val="22"/>
        </w:rPr>
        <w:t xml:space="preserve">Сторонам </w:t>
      </w:r>
      <w:r>
        <w:rPr>
          <w:kern w:val="22"/>
          <w:szCs w:val="22"/>
        </w:rPr>
        <w:t>в создании или совершенствовании их национальных механизмов посредничества</w:t>
      </w:r>
      <w:r>
        <w:rPr>
          <w:rStyle w:val="Appelnotedebasdep"/>
          <w:kern w:val="22"/>
        </w:rPr>
        <w:footnoteReference w:id="2"/>
      </w:r>
      <w:r>
        <w:t>,</w:t>
      </w:r>
    </w:p>
    <w:p w:rsidR="00B31C60" w:rsidRDefault="00B31C60" w:rsidP="00B31C60">
      <w:pPr>
        <w:spacing w:before="120" w:after="120"/>
        <w:ind w:firstLine="709"/>
      </w:pPr>
      <w:r>
        <w:rPr>
          <w:i/>
        </w:rPr>
        <w:t>признавая</w:t>
      </w:r>
      <w:r>
        <w:t xml:space="preserve"> необходимость сбора, организации и обмена знаниями и опытом в области биоразнообразия, в том числе традиционными знаниями, в целях оказания содействия и поддержки более активному осуществлению Конвенции и протоколов к ней, </w:t>
      </w:r>
    </w:p>
    <w:p w:rsidR="00B31C60" w:rsidRDefault="00B31C60" w:rsidP="00B31C60">
      <w:pPr>
        <w:spacing w:before="120" w:after="120"/>
        <w:ind w:firstLine="709"/>
      </w:pPr>
      <w:r>
        <w:rPr>
          <w:i/>
        </w:rPr>
        <w:t>признавая</w:t>
      </w:r>
      <w:r>
        <w:t xml:space="preserve"> необходимость</w:t>
      </w:r>
      <w:r w:rsidR="00E82536">
        <w:t xml:space="preserve"> использования</w:t>
      </w:r>
      <w:r>
        <w:t xml:space="preserve"> данны</w:t>
      </w:r>
      <w:r w:rsidR="00E82536">
        <w:t>х с открытым доступом</w:t>
      </w:r>
      <w:r>
        <w:t xml:space="preserve"> и инструментов с открытым исходным кодом, </w:t>
      </w:r>
      <w:r w:rsidR="00E82536">
        <w:t xml:space="preserve">без </w:t>
      </w:r>
      <w:r w:rsidR="00E82536" w:rsidRPr="00E82536">
        <w:t>которы</w:t>
      </w:r>
      <w:r w:rsidR="00E82536">
        <w:t>х невозможно обеспечить</w:t>
      </w:r>
      <w:r w:rsidR="00E82536" w:rsidRPr="00E82536">
        <w:t xml:space="preserve"> эффективно</w:t>
      </w:r>
      <w:r w:rsidR="00E82536">
        <w:t>е</w:t>
      </w:r>
      <w:r w:rsidR="00E82536" w:rsidRPr="00E82536">
        <w:t xml:space="preserve"> управлени</w:t>
      </w:r>
      <w:r w:rsidR="00E82536">
        <w:t>е</w:t>
      </w:r>
      <w:r w:rsidR="00E82536" w:rsidRPr="00E82536">
        <w:t xml:space="preserve"> </w:t>
      </w:r>
      <w:r>
        <w:t>знаниями, особенно в развивающихся странах,</w:t>
      </w:r>
    </w:p>
    <w:p w:rsidR="00B31C60" w:rsidRDefault="00B31C60" w:rsidP="00B31C60">
      <w:pPr>
        <w:suppressLineNumbers/>
        <w:suppressAutoHyphens/>
        <w:spacing w:before="120" w:after="120"/>
        <w:ind w:firstLine="709"/>
        <w:rPr>
          <w:kern w:val="22"/>
        </w:rPr>
      </w:pPr>
      <w:r>
        <w:rPr>
          <w:i/>
          <w:iCs/>
          <w:kern w:val="22"/>
        </w:rPr>
        <w:t>п</w:t>
      </w:r>
      <w:r>
        <w:rPr>
          <w:i/>
        </w:rPr>
        <w:t>одчеркивая</w:t>
      </w:r>
      <w:r>
        <w:t xml:space="preserve"> необходимость укрепления согласованности и интеграции между механизмом посредничества Конвенции, Механизмом посредничества по биобезопасности и Механизмом посредничества для регулирования доступа к генетическим ресурсам и совместного использования выгод, </w:t>
      </w:r>
    </w:p>
    <w:p w:rsidR="00B31C60" w:rsidRDefault="00B31C60" w:rsidP="00B31C60">
      <w:pPr>
        <w:pStyle w:val="Paragraphedeliste"/>
        <w:suppressLineNumbers/>
        <w:suppressAutoHyphens/>
        <w:spacing w:before="120" w:after="120"/>
        <w:ind w:left="0" w:firstLine="709"/>
      </w:pPr>
      <w:r>
        <w:rPr>
          <w:kern w:val="22"/>
        </w:rPr>
        <w:t>1.</w:t>
      </w:r>
      <w:r>
        <w:rPr>
          <w:kern w:val="22"/>
        </w:rPr>
        <w:tab/>
      </w:r>
      <w:r>
        <w:rPr>
          <w:i/>
          <w:kern w:val="22"/>
        </w:rPr>
        <w:t>утверждает</w:t>
      </w:r>
      <w:r>
        <w:t xml:space="preserve"> совместные </w:t>
      </w:r>
      <w:r w:rsidR="00E82536">
        <w:t>методы</w:t>
      </w:r>
      <w:r>
        <w:t xml:space="preserve"> функционирования механизма посредничества Конвенции, Механизма посредничества по биобезопасности и Механизма посредничества для регулирования доступа к генетическим ресурсам и совместного использования выгод, подготовленны</w:t>
      </w:r>
      <w:r w:rsidR="00E82536">
        <w:t>е</w:t>
      </w:r>
      <w:r>
        <w:t xml:space="preserve"> Исполнительным секретарем с участием неофициальных консультативных комитетов, которые приводятся в приложении к настоящему решению;</w:t>
      </w:r>
    </w:p>
    <w:p w:rsidR="00B31C60" w:rsidRDefault="00B31C60" w:rsidP="00B31C60">
      <w:pPr>
        <w:pStyle w:val="Para1"/>
        <w:suppressLineNumbers/>
        <w:tabs>
          <w:tab w:val="left" w:pos="708"/>
        </w:tabs>
        <w:suppressAutoHyphens/>
        <w:kinsoku w:val="0"/>
        <w:overflowPunct w:val="0"/>
        <w:autoSpaceDE w:val="0"/>
        <w:autoSpaceDN w:val="0"/>
        <w:adjustRightInd w:val="0"/>
        <w:ind w:firstLine="709"/>
        <w:rPr>
          <w:kern w:val="22"/>
          <w:szCs w:val="22"/>
        </w:rPr>
      </w:pPr>
      <w:r>
        <w:rPr>
          <w:kern w:val="22"/>
        </w:rPr>
        <w:t>2.</w:t>
      </w:r>
      <w:r>
        <w:rPr>
          <w:kern w:val="22"/>
        </w:rPr>
        <w:tab/>
      </w:r>
      <w:r>
        <w:rPr>
          <w:i/>
          <w:iCs/>
          <w:kern w:val="22"/>
          <w:szCs w:val="22"/>
        </w:rPr>
        <w:t>предлагает</w:t>
      </w:r>
      <w:r>
        <w:rPr>
          <w:kern w:val="22"/>
          <w:szCs w:val="22"/>
        </w:rPr>
        <w:t xml:space="preserve"> Сторонам и другим правительствам, которые не располагают национальными механизмами посредничества, и </w:t>
      </w:r>
      <w:r w:rsidR="00E82536">
        <w:rPr>
          <w:kern w:val="22"/>
          <w:szCs w:val="22"/>
        </w:rPr>
        <w:t>желающим</w:t>
      </w:r>
      <w:r>
        <w:rPr>
          <w:kern w:val="22"/>
          <w:szCs w:val="22"/>
        </w:rPr>
        <w:t xml:space="preserve"> реорганизовать существующие механизмы посредничества использовать инструмент </w:t>
      </w:r>
      <w:proofErr w:type="spellStart"/>
      <w:r>
        <w:rPr>
          <w:kern w:val="22"/>
          <w:szCs w:val="22"/>
        </w:rPr>
        <w:t>Биоземля</w:t>
      </w:r>
      <w:proofErr w:type="spellEnd"/>
      <w:r>
        <w:rPr>
          <w:kern w:val="22"/>
          <w:szCs w:val="22"/>
        </w:rPr>
        <w:t>, разработанный Исполнительным секретарем;</w:t>
      </w:r>
    </w:p>
    <w:p w:rsidR="00B31C60" w:rsidRDefault="00B31C60" w:rsidP="00B31C60">
      <w:pPr>
        <w:pStyle w:val="Paragraphedeliste"/>
        <w:suppressLineNumbers/>
        <w:suppressAutoHyphens/>
        <w:spacing w:before="120" w:after="120"/>
        <w:ind w:left="0" w:firstLine="709"/>
        <w:rPr>
          <w:kern w:val="22"/>
        </w:rPr>
      </w:pPr>
      <w:r>
        <w:rPr>
          <w:kern w:val="22"/>
          <w:szCs w:val="22"/>
        </w:rPr>
        <w:t>3.</w:t>
      </w:r>
      <w:r>
        <w:rPr>
          <w:kern w:val="22"/>
          <w:szCs w:val="22"/>
        </w:rPr>
        <w:tab/>
      </w:r>
      <w:r>
        <w:rPr>
          <w:i/>
          <w:iCs/>
          <w:kern w:val="22"/>
          <w:szCs w:val="22"/>
        </w:rPr>
        <w:t>предлагает</w:t>
      </w:r>
      <w:r>
        <w:rPr>
          <w:kern w:val="22"/>
          <w:szCs w:val="22"/>
        </w:rPr>
        <w:t xml:space="preserve"> Сторонам, другим правительствам и соответствующим организациям в зависимости от обстоятель</w:t>
      </w:r>
      <w:proofErr w:type="gramStart"/>
      <w:r>
        <w:rPr>
          <w:kern w:val="22"/>
          <w:szCs w:val="22"/>
        </w:rPr>
        <w:t>ств пр</w:t>
      </w:r>
      <w:proofErr w:type="gramEnd"/>
      <w:r>
        <w:rPr>
          <w:kern w:val="22"/>
          <w:szCs w:val="22"/>
        </w:rPr>
        <w:t xml:space="preserve">одолжать предоставлять необходимые финансовые, технические и </w:t>
      </w:r>
      <w:r>
        <w:rPr>
          <w:kern w:val="22"/>
          <w:szCs w:val="22"/>
        </w:rPr>
        <w:lastRenderedPageBreak/>
        <w:t xml:space="preserve">людские ресурсы для содействия дальнейшему развитию национальных механизмов посредничества или переводу существующих </w:t>
      </w:r>
      <w:proofErr w:type="spellStart"/>
      <w:r>
        <w:rPr>
          <w:kern w:val="22"/>
          <w:szCs w:val="22"/>
        </w:rPr>
        <w:t>веб-сайтов</w:t>
      </w:r>
      <w:proofErr w:type="spellEnd"/>
      <w:r>
        <w:rPr>
          <w:kern w:val="22"/>
          <w:szCs w:val="22"/>
        </w:rPr>
        <w:t xml:space="preserve"> механизмов посредничества на инструмент </w:t>
      </w:r>
      <w:proofErr w:type="spellStart"/>
      <w:r>
        <w:rPr>
          <w:kern w:val="22"/>
          <w:szCs w:val="22"/>
        </w:rPr>
        <w:t>Биоземля</w:t>
      </w:r>
      <w:proofErr w:type="spellEnd"/>
      <w:r>
        <w:rPr>
          <w:kern w:val="22"/>
          <w:szCs w:val="22"/>
        </w:rPr>
        <w:t>;</w:t>
      </w:r>
    </w:p>
    <w:p w:rsidR="00B31C60" w:rsidRDefault="00B31C60" w:rsidP="00B31C60">
      <w:pPr>
        <w:pStyle w:val="Paragraphedeliste"/>
        <w:suppressLineNumbers/>
        <w:suppressAutoHyphens/>
        <w:spacing w:before="120" w:after="120"/>
        <w:ind w:left="0" w:firstLine="709"/>
        <w:rPr>
          <w:kern w:val="22"/>
        </w:rPr>
      </w:pPr>
      <w:r>
        <w:rPr>
          <w:kern w:val="22"/>
          <w:lang w:val="en-US"/>
        </w:rPr>
        <w:t>4</w:t>
      </w:r>
      <w:r>
        <w:rPr>
          <w:kern w:val="22"/>
        </w:rPr>
        <w:t>.</w:t>
      </w:r>
      <w:r>
        <w:rPr>
          <w:kern w:val="22"/>
        </w:rPr>
        <w:tab/>
      </w:r>
      <w:proofErr w:type="gramStart"/>
      <w:r>
        <w:rPr>
          <w:i/>
        </w:rPr>
        <w:t>поручает</w:t>
      </w:r>
      <w:proofErr w:type="gramEnd"/>
      <w:r>
        <w:t xml:space="preserve"> Исполнительному секретарю, при условии наличия ресурсов</w:t>
      </w:r>
      <w:r>
        <w:rPr>
          <w:kern w:val="22"/>
        </w:rPr>
        <w:t>:</w:t>
      </w:r>
    </w:p>
    <w:p w:rsidR="00B31C60" w:rsidRDefault="00B31C60" w:rsidP="00B31C60">
      <w:pPr>
        <w:numPr>
          <w:ilvl w:val="1"/>
          <w:numId w:val="40"/>
        </w:numPr>
        <w:suppressLineNumbers/>
        <w:suppressAutoHyphens/>
        <w:spacing w:before="120" w:after="120"/>
        <w:ind w:left="0" w:firstLine="709"/>
        <w:rPr>
          <w:kern w:val="22"/>
        </w:rPr>
      </w:pPr>
      <w:r>
        <w:t>продолжать выполнение программы работы для механизма посредничества в поддержку Стратегического плана по сохранению и устойчивому использованию биоразнообразия на период 2011-2020 годов</w:t>
      </w:r>
      <w:r>
        <w:rPr>
          <w:rStyle w:val="Appelnotedebasdep"/>
        </w:rPr>
        <w:footnoteReference w:id="3"/>
      </w:r>
      <w:r>
        <w:t xml:space="preserve"> и Повестки дня в области устойчивого развития на период до 2030 года</w:t>
      </w:r>
      <w:r>
        <w:rPr>
          <w:rStyle w:val="Appelnotedebasdep"/>
        </w:rPr>
        <w:footnoteReference w:id="4"/>
      </w:r>
      <w:r>
        <w:t xml:space="preserve"> с учетом руководящих указаний Неофициального консультативного комитета по </w:t>
      </w:r>
      <w:r w:rsidR="00D75251">
        <w:t>м</w:t>
      </w:r>
      <w:r>
        <w:t>еханизму посредничества;</w:t>
      </w:r>
    </w:p>
    <w:p w:rsidR="00B31C60" w:rsidRDefault="00B31C60" w:rsidP="00B31C60">
      <w:pPr>
        <w:pStyle w:val="Para1"/>
        <w:suppressLineNumbers/>
        <w:tabs>
          <w:tab w:val="left" w:pos="708"/>
        </w:tabs>
        <w:suppressAutoHyphens/>
        <w:kinsoku w:val="0"/>
        <w:overflowPunct w:val="0"/>
        <w:autoSpaceDE w:val="0"/>
        <w:autoSpaceDN w:val="0"/>
        <w:adjustRightInd w:val="0"/>
        <w:ind w:firstLine="709"/>
        <w:rPr>
          <w:kern w:val="22"/>
          <w:szCs w:val="22"/>
        </w:rPr>
      </w:pPr>
      <w:r>
        <w:rPr>
          <w:lang w:val="fr-FR"/>
        </w:rPr>
        <w:t>b</w:t>
      </w:r>
      <w:r>
        <w:t>)</w:t>
      </w:r>
      <w:r>
        <w:tab/>
      </w:r>
      <w:r>
        <w:rPr>
          <w:kern w:val="22"/>
          <w:szCs w:val="22"/>
        </w:rPr>
        <w:t>продолжать оказание поддержки Сторонам в их усилиях по созданию, поддержанию и дальнейшему развитию их национальных механизмов посредничества, в том числе путем:</w:t>
      </w:r>
    </w:p>
    <w:p w:rsidR="00B31C60" w:rsidRDefault="00B31C60" w:rsidP="00E82536">
      <w:pPr>
        <w:kinsoku w:val="0"/>
        <w:overflowPunct w:val="0"/>
        <w:autoSpaceDE w:val="0"/>
        <w:autoSpaceDN w:val="0"/>
        <w:adjustRightInd w:val="0"/>
        <w:snapToGrid w:val="0"/>
        <w:spacing w:after="60"/>
        <w:ind w:left="709"/>
        <w:rPr>
          <w:kern w:val="22"/>
        </w:rPr>
      </w:pPr>
      <w:proofErr w:type="spellStart"/>
      <w:r>
        <w:rPr>
          <w:kern w:val="22"/>
        </w:rPr>
        <w:t>i</w:t>
      </w:r>
      <w:proofErr w:type="spellEnd"/>
      <w:r>
        <w:rPr>
          <w:kern w:val="22"/>
        </w:rPr>
        <w:t xml:space="preserve">) </w:t>
      </w:r>
      <w:r>
        <w:rPr>
          <w:kern w:val="22"/>
        </w:rPr>
        <w:tab/>
        <w:t xml:space="preserve">дальнейшей разработки и продвижения инструмента </w:t>
      </w:r>
      <w:proofErr w:type="spellStart"/>
      <w:r>
        <w:rPr>
          <w:kern w:val="22"/>
        </w:rPr>
        <w:t>Биоземля</w:t>
      </w:r>
      <w:proofErr w:type="spellEnd"/>
      <w:r>
        <w:rPr>
          <w:kern w:val="22"/>
        </w:rPr>
        <w:t>;</w:t>
      </w:r>
    </w:p>
    <w:p w:rsidR="00B31C60" w:rsidRDefault="00B31C60" w:rsidP="00E82536">
      <w:pPr>
        <w:kinsoku w:val="0"/>
        <w:overflowPunct w:val="0"/>
        <w:autoSpaceDE w:val="0"/>
        <w:autoSpaceDN w:val="0"/>
        <w:adjustRightInd w:val="0"/>
        <w:snapToGrid w:val="0"/>
        <w:spacing w:after="60"/>
        <w:ind w:left="709"/>
        <w:rPr>
          <w:kern w:val="22"/>
        </w:rPr>
      </w:pPr>
      <w:proofErr w:type="spellStart"/>
      <w:r>
        <w:rPr>
          <w:kern w:val="22"/>
        </w:rPr>
        <w:t>ii</w:t>
      </w:r>
      <w:proofErr w:type="spellEnd"/>
      <w:r>
        <w:rPr>
          <w:kern w:val="22"/>
        </w:rPr>
        <w:t>)</w:t>
      </w:r>
      <w:r>
        <w:rPr>
          <w:kern w:val="22"/>
        </w:rPr>
        <w:tab/>
        <w:t>организации обучения и содействия в его проведении в сотрудничестве со Сторонами и соответствующими организациями для оказания Сторонам помощи в развитии их национальных механизмов посредничества;</w:t>
      </w:r>
    </w:p>
    <w:p w:rsidR="00B31C60" w:rsidRDefault="00B31C60" w:rsidP="00B31C60">
      <w:pPr>
        <w:pStyle w:val="Para1"/>
        <w:suppressLineNumbers/>
        <w:tabs>
          <w:tab w:val="left" w:pos="708"/>
        </w:tabs>
        <w:suppressAutoHyphens/>
        <w:kinsoku w:val="0"/>
        <w:overflowPunct w:val="0"/>
        <w:autoSpaceDE w:val="0"/>
        <w:autoSpaceDN w:val="0"/>
        <w:adjustRightInd w:val="0"/>
        <w:ind w:firstLine="709"/>
        <w:rPr>
          <w:kern w:val="22"/>
          <w:szCs w:val="22"/>
        </w:rPr>
      </w:pPr>
      <w:proofErr w:type="spellStart"/>
      <w:proofErr w:type="gramStart"/>
      <w:r>
        <w:rPr>
          <w:kern w:val="22"/>
          <w:szCs w:val="22"/>
        </w:rPr>
        <w:t>c</w:t>
      </w:r>
      <w:proofErr w:type="spellEnd"/>
      <w:r>
        <w:rPr>
          <w:kern w:val="22"/>
          <w:szCs w:val="22"/>
        </w:rPr>
        <w:t>)</w:t>
      </w:r>
      <w:r>
        <w:rPr>
          <w:kern w:val="22"/>
          <w:szCs w:val="22"/>
        </w:rPr>
        <w:tab/>
        <w:t xml:space="preserve">продолжать разработку и осуществление </w:t>
      </w:r>
      <w:proofErr w:type="spellStart"/>
      <w:r>
        <w:rPr>
          <w:kern w:val="22"/>
          <w:szCs w:val="22"/>
        </w:rPr>
        <w:t>веб-стратегии</w:t>
      </w:r>
      <w:proofErr w:type="spellEnd"/>
      <w:r>
        <w:rPr>
          <w:kern w:val="22"/>
          <w:szCs w:val="22"/>
        </w:rPr>
        <w:t xml:space="preserve"> для Конвенции и протоколов к ней</w:t>
      </w:r>
      <w:r w:rsidR="00E82536">
        <w:rPr>
          <w:kern w:val="22"/>
          <w:szCs w:val="22"/>
        </w:rPr>
        <w:t xml:space="preserve"> путем определения</w:t>
      </w:r>
      <w:r>
        <w:rPr>
          <w:kern w:val="22"/>
          <w:szCs w:val="22"/>
        </w:rPr>
        <w:t xml:space="preserve"> приоритетн</w:t>
      </w:r>
      <w:r w:rsidR="00E82536">
        <w:rPr>
          <w:kern w:val="22"/>
          <w:szCs w:val="22"/>
        </w:rPr>
        <w:t xml:space="preserve">ых действия, которые должны быть предприняты </w:t>
      </w:r>
      <w:r>
        <w:rPr>
          <w:kern w:val="22"/>
          <w:szCs w:val="22"/>
        </w:rPr>
        <w:t>до 2020 года в соответствии с решениями, принятыми на 14-м совещании Конференции Сторон, третьем совещании Сторон Нагойского протокола регулирования доступа к генетическим ресурсам и совместного использования выгод и на девятом совещании Сторон Картахенского протокола по биобезопасности;</w:t>
      </w:r>
      <w:proofErr w:type="gramEnd"/>
    </w:p>
    <w:p w:rsidR="00B31C60" w:rsidRDefault="00B31C60" w:rsidP="00B31C60">
      <w:pPr>
        <w:pStyle w:val="Para1"/>
        <w:suppressLineNumbers/>
        <w:tabs>
          <w:tab w:val="left" w:pos="708"/>
        </w:tabs>
        <w:suppressAutoHyphens/>
        <w:kinsoku w:val="0"/>
        <w:overflowPunct w:val="0"/>
        <w:autoSpaceDE w:val="0"/>
        <w:autoSpaceDN w:val="0"/>
        <w:adjustRightInd w:val="0"/>
        <w:ind w:firstLine="709"/>
        <w:rPr>
          <w:kern w:val="22"/>
          <w:szCs w:val="22"/>
        </w:rPr>
      </w:pPr>
      <w:proofErr w:type="spellStart"/>
      <w:r>
        <w:rPr>
          <w:kern w:val="22"/>
          <w:szCs w:val="22"/>
        </w:rPr>
        <w:t>d</w:t>
      </w:r>
      <w:proofErr w:type="spellEnd"/>
      <w:r>
        <w:rPr>
          <w:kern w:val="22"/>
          <w:szCs w:val="22"/>
        </w:rPr>
        <w:t>)</w:t>
      </w:r>
      <w:r>
        <w:rPr>
          <w:kern w:val="22"/>
          <w:szCs w:val="22"/>
        </w:rPr>
        <w:tab/>
        <w:t xml:space="preserve">участвовать в разработке и тестировании инструмента представления данных и отчетности в сотрудничестве с инициативой </w:t>
      </w:r>
      <w:proofErr w:type="spellStart"/>
      <w:r>
        <w:rPr>
          <w:kern w:val="22"/>
          <w:szCs w:val="22"/>
        </w:rPr>
        <w:t>InforMEA</w:t>
      </w:r>
      <w:proofErr w:type="spellEnd"/>
      <w:r>
        <w:rPr>
          <w:kern w:val="22"/>
          <w:szCs w:val="22"/>
        </w:rPr>
        <w:t xml:space="preserve">, с </w:t>
      </w:r>
      <w:proofErr w:type="gramStart"/>
      <w:r>
        <w:rPr>
          <w:kern w:val="22"/>
          <w:szCs w:val="22"/>
        </w:rPr>
        <w:t>тем</w:t>
      </w:r>
      <w:proofErr w:type="gramEnd"/>
      <w:r>
        <w:rPr>
          <w:kern w:val="22"/>
          <w:szCs w:val="22"/>
        </w:rPr>
        <w:t xml:space="preserve"> чтобы узнать об опыте Сторон в предоставлении их шестых национальных докладов для Конвенции о биологическом разнообразии и содействовать при необходимости его использованию в других процессах отчетности в рамках конвенций, связанных с биоразнообразием;</w:t>
      </w:r>
    </w:p>
    <w:p w:rsidR="00B31C60" w:rsidRDefault="00B31C60" w:rsidP="00B31C60">
      <w:pPr>
        <w:pStyle w:val="Para1"/>
        <w:suppressLineNumbers/>
        <w:tabs>
          <w:tab w:val="left" w:pos="708"/>
        </w:tabs>
        <w:suppressAutoHyphens/>
        <w:kinsoku w:val="0"/>
        <w:overflowPunct w:val="0"/>
        <w:autoSpaceDE w:val="0"/>
        <w:autoSpaceDN w:val="0"/>
        <w:adjustRightInd w:val="0"/>
        <w:ind w:firstLine="709"/>
        <w:rPr>
          <w:kern w:val="22"/>
          <w:szCs w:val="22"/>
        </w:rPr>
      </w:pPr>
      <w:r>
        <w:rPr>
          <w:kern w:val="22"/>
          <w:szCs w:val="22"/>
          <w:lang w:val="fr-FR"/>
        </w:rPr>
        <w:t>e</w:t>
      </w:r>
      <w:r>
        <w:rPr>
          <w:kern w:val="22"/>
          <w:szCs w:val="22"/>
        </w:rPr>
        <w:t>)</w:t>
      </w:r>
      <w:r>
        <w:rPr>
          <w:kern w:val="22"/>
          <w:szCs w:val="22"/>
        </w:rPr>
        <w:tab/>
      </w:r>
      <w:r>
        <w:t>выявлять, освещать и поддерживать сообщества специалистов-практиков, сети знаний и платформы совместн</w:t>
      </w:r>
      <w:r w:rsidR="00646248">
        <w:t xml:space="preserve">ого </w:t>
      </w:r>
      <w:r>
        <w:t>диалог</w:t>
      </w:r>
      <w:r w:rsidR="00646248">
        <w:t>а</w:t>
      </w:r>
      <w:r>
        <w:t xml:space="preserve">, </w:t>
      </w:r>
      <w:r w:rsidR="00646248">
        <w:t>имеющие отношения к</w:t>
      </w:r>
      <w:r>
        <w:t xml:space="preserve"> осуществлени</w:t>
      </w:r>
      <w:r w:rsidR="00646248">
        <w:t>ю</w:t>
      </w:r>
      <w:r>
        <w:t xml:space="preserve"> Конвенции и протоколов к ней</w:t>
      </w:r>
      <w:r>
        <w:rPr>
          <w:kern w:val="22"/>
        </w:rPr>
        <w:t>.</w:t>
      </w:r>
    </w:p>
    <w:p w:rsidR="00B31C60" w:rsidRDefault="00B31C60" w:rsidP="00B31C60">
      <w:pPr>
        <w:pStyle w:val="Para1"/>
        <w:numPr>
          <w:ilvl w:val="0"/>
          <w:numId w:val="41"/>
        </w:numPr>
        <w:suppressLineNumbers/>
        <w:tabs>
          <w:tab w:val="left" w:pos="708"/>
        </w:tabs>
        <w:suppressAutoHyphens/>
        <w:kinsoku w:val="0"/>
        <w:overflowPunct w:val="0"/>
        <w:autoSpaceDE w:val="0"/>
        <w:autoSpaceDN w:val="0"/>
        <w:adjustRightInd w:val="0"/>
        <w:snapToGrid w:val="0"/>
        <w:ind w:left="0" w:firstLine="709"/>
        <w:rPr>
          <w:kern w:val="22"/>
          <w:szCs w:val="22"/>
        </w:rPr>
      </w:pPr>
      <w:proofErr w:type="gramStart"/>
      <w:r>
        <w:rPr>
          <w:kern w:val="22"/>
          <w:szCs w:val="22"/>
        </w:rPr>
        <w:t xml:space="preserve">разработать в консультации с Неофициальными консультативными комитетами по Механизму посредничества, Механизму посредничества по биобезопасности и Механизму посредничества </w:t>
      </w:r>
      <w:r>
        <w:t>для регулирования доступа к генетическим ресурсам и совместного использования выгод</w:t>
      </w:r>
      <w:r>
        <w:rPr>
          <w:kern w:val="22"/>
          <w:szCs w:val="22"/>
        </w:rPr>
        <w:t xml:space="preserve"> компонент управления знаниями в рамках процесса подготовки глобальной рамочной программы в области биоразнообразия на период после 2020 года, в частности, в качестве руководства по дальнейшему развитию </w:t>
      </w:r>
      <w:r w:rsidR="00D064E5">
        <w:rPr>
          <w:kern w:val="22"/>
          <w:szCs w:val="22"/>
        </w:rPr>
        <w:t>м</w:t>
      </w:r>
      <w:r>
        <w:rPr>
          <w:kern w:val="22"/>
          <w:szCs w:val="22"/>
        </w:rPr>
        <w:t>еханизма посредничества, Механизма посредничества по биобезопасности и</w:t>
      </w:r>
      <w:proofErr w:type="gramEnd"/>
      <w:r>
        <w:rPr>
          <w:kern w:val="22"/>
          <w:szCs w:val="22"/>
        </w:rPr>
        <w:t xml:space="preserve"> Механизма посредничества </w:t>
      </w:r>
      <w:r>
        <w:t>для регулирования доступа к генетическим ресурсам и совместного использования выгод</w:t>
      </w:r>
      <w:r>
        <w:rPr>
          <w:kern w:val="22"/>
          <w:szCs w:val="22"/>
        </w:rPr>
        <w:t xml:space="preserve">; </w:t>
      </w:r>
    </w:p>
    <w:p w:rsidR="00B31C60" w:rsidRDefault="00B31C60" w:rsidP="00B31C60">
      <w:pPr>
        <w:pStyle w:val="Para1"/>
        <w:numPr>
          <w:ilvl w:val="0"/>
          <w:numId w:val="41"/>
        </w:numPr>
        <w:suppressLineNumbers/>
        <w:tabs>
          <w:tab w:val="left" w:pos="708"/>
        </w:tabs>
        <w:suppressAutoHyphens/>
        <w:kinsoku w:val="0"/>
        <w:overflowPunct w:val="0"/>
        <w:autoSpaceDE w:val="0"/>
        <w:autoSpaceDN w:val="0"/>
        <w:adjustRightInd w:val="0"/>
        <w:snapToGrid w:val="0"/>
        <w:ind w:left="0" w:firstLine="709"/>
        <w:rPr>
          <w:kern w:val="22"/>
          <w:szCs w:val="22"/>
        </w:rPr>
      </w:pPr>
      <w:r>
        <w:rPr>
          <w:kern w:val="22"/>
          <w:szCs w:val="22"/>
        </w:rPr>
        <w:t xml:space="preserve">при разработке вышеупомянутого компонента управления знаниями использовать опыт соответствующих инициатив по управлению знаниями, таких как </w:t>
      </w:r>
      <w:proofErr w:type="spellStart"/>
      <w:r>
        <w:rPr>
          <w:kern w:val="22"/>
          <w:szCs w:val="22"/>
          <w:lang w:val="fr-FR"/>
        </w:rPr>
        <w:t>InforMEA</w:t>
      </w:r>
      <w:proofErr w:type="spellEnd"/>
      <w:r>
        <w:rPr>
          <w:kern w:val="22"/>
          <w:szCs w:val="22"/>
        </w:rPr>
        <w:t>, Инструмент представления данных и отчетности, Глобальный информационный механизм по биоразнообразию (ГИМБ), Цифровая обсерватория по охраняемым территориям и базу знаний Конвенции Организации Объединенных Наций по борьбе с опустыниванием;</w:t>
      </w:r>
    </w:p>
    <w:p w:rsidR="00B31C60" w:rsidRDefault="00B31C60" w:rsidP="00B31C60">
      <w:pPr>
        <w:pStyle w:val="Para1"/>
        <w:numPr>
          <w:ilvl w:val="0"/>
          <w:numId w:val="41"/>
        </w:numPr>
        <w:suppressLineNumbers/>
        <w:tabs>
          <w:tab w:val="left" w:pos="708"/>
        </w:tabs>
        <w:suppressAutoHyphens/>
        <w:kinsoku w:val="0"/>
        <w:overflowPunct w:val="0"/>
        <w:autoSpaceDE w:val="0"/>
        <w:autoSpaceDN w:val="0"/>
        <w:adjustRightInd w:val="0"/>
        <w:snapToGrid w:val="0"/>
        <w:ind w:left="0" w:firstLine="709"/>
        <w:rPr>
          <w:kern w:val="22"/>
          <w:szCs w:val="22"/>
        </w:rPr>
      </w:pPr>
      <w:r>
        <w:rPr>
          <w:kern w:val="22"/>
          <w:szCs w:val="22"/>
        </w:rPr>
        <w:t xml:space="preserve">систематически фиксировать извлеченные уроки и передовой опыт, содержащиеся в информации, предоставляемой Сторонами, другими правительствами, международными и другими </w:t>
      </w:r>
      <w:r>
        <w:rPr>
          <w:kern w:val="22"/>
          <w:szCs w:val="22"/>
        </w:rPr>
        <w:lastRenderedPageBreak/>
        <w:t>организациями, а также коренными народами и местными общинами, используя стандартизированный формат в рамках вышеупомянутого компонента управления знаниями;</w:t>
      </w:r>
    </w:p>
    <w:p w:rsidR="00B31C60" w:rsidRDefault="00B31C60" w:rsidP="00B31C60">
      <w:pPr>
        <w:pStyle w:val="Para1"/>
        <w:suppressLineNumbers/>
        <w:tabs>
          <w:tab w:val="left" w:pos="708"/>
        </w:tabs>
        <w:suppressAutoHyphens/>
        <w:kinsoku w:val="0"/>
        <w:overflowPunct w:val="0"/>
        <w:autoSpaceDE w:val="0"/>
        <w:autoSpaceDN w:val="0"/>
        <w:adjustRightInd w:val="0"/>
        <w:spacing w:before="0"/>
        <w:ind w:firstLine="709"/>
        <w:rPr>
          <w:kern w:val="22"/>
          <w:szCs w:val="22"/>
        </w:rPr>
      </w:pPr>
      <w:r>
        <w:rPr>
          <w:kern w:val="22"/>
          <w:szCs w:val="22"/>
          <w:lang w:val="fr-FR"/>
        </w:rPr>
        <w:t>i</w:t>
      </w:r>
      <w:r>
        <w:rPr>
          <w:kern w:val="22"/>
          <w:szCs w:val="22"/>
        </w:rPr>
        <w:t>)</w:t>
      </w:r>
      <w:r>
        <w:rPr>
          <w:kern w:val="22"/>
          <w:szCs w:val="22"/>
        </w:rPr>
        <w:tab/>
        <w:t xml:space="preserve">представить доклад о положении дел по вышеназванным мероприятиям, в том числе о результатах использования инструмента </w:t>
      </w:r>
      <w:proofErr w:type="spellStart"/>
      <w:r>
        <w:rPr>
          <w:kern w:val="22"/>
          <w:szCs w:val="22"/>
        </w:rPr>
        <w:t>Биоземля</w:t>
      </w:r>
      <w:proofErr w:type="spellEnd"/>
      <w:r>
        <w:rPr>
          <w:kern w:val="22"/>
          <w:szCs w:val="22"/>
        </w:rPr>
        <w:t xml:space="preserve"> и его эффективности, Вспомогательному органу по осуществлению для рассмотрения на его третьем совещании.</w:t>
      </w:r>
    </w:p>
    <w:p w:rsidR="00B31C60" w:rsidRDefault="00B31C60" w:rsidP="00B31C60">
      <w:pPr>
        <w:pStyle w:val="Para1"/>
        <w:suppressLineNumbers/>
        <w:tabs>
          <w:tab w:val="left" w:pos="708"/>
        </w:tabs>
        <w:suppressAutoHyphens/>
        <w:kinsoku w:val="0"/>
        <w:overflowPunct w:val="0"/>
        <w:autoSpaceDE w:val="0"/>
        <w:autoSpaceDN w:val="0"/>
        <w:adjustRightInd w:val="0"/>
        <w:spacing w:before="0"/>
        <w:ind w:firstLine="709"/>
        <w:jc w:val="center"/>
        <w:rPr>
          <w:i/>
          <w:kern w:val="22"/>
          <w:szCs w:val="22"/>
        </w:rPr>
      </w:pPr>
      <w:r>
        <w:rPr>
          <w:i/>
          <w:kern w:val="22"/>
          <w:szCs w:val="22"/>
        </w:rPr>
        <w:t>Приложение</w:t>
      </w:r>
    </w:p>
    <w:p w:rsidR="00B31C60" w:rsidRDefault="00B31C60" w:rsidP="00B31C60">
      <w:pPr>
        <w:keepNext/>
        <w:spacing w:before="120" w:after="120"/>
        <w:jc w:val="center"/>
        <w:rPr>
          <w:b/>
          <w:bCs/>
          <w:caps/>
          <w:kern w:val="22"/>
          <w:szCs w:val="22"/>
        </w:rPr>
      </w:pPr>
      <w:r>
        <w:rPr>
          <w:b/>
          <w:bCs/>
          <w:caps/>
          <w:kern w:val="22"/>
          <w:szCs w:val="22"/>
        </w:rPr>
        <w:t>Совместные условия функционирования центрального механизма посредничества, механизма посредничества по биобезопасности и механизма посредничества для регулирования доступа к генетическим ресурсам и совместного использования выгод</w:t>
      </w:r>
    </w:p>
    <w:p w:rsidR="00B31C60" w:rsidRDefault="00B31C60" w:rsidP="00B31C60">
      <w:pPr>
        <w:pStyle w:val="Paragraphedeliste"/>
        <w:keepNext/>
        <w:numPr>
          <w:ilvl w:val="0"/>
          <w:numId w:val="42"/>
        </w:numPr>
        <w:suppressLineNumbers/>
        <w:tabs>
          <w:tab w:val="left" w:pos="360"/>
        </w:tabs>
        <w:suppressAutoHyphens/>
        <w:spacing w:before="120" w:after="120"/>
        <w:jc w:val="center"/>
        <w:rPr>
          <w:b/>
          <w:kern w:val="22"/>
          <w:szCs w:val="22"/>
        </w:rPr>
      </w:pPr>
      <w:r>
        <w:rPr>
          <w:b/>
          <w:kern w:val="22"/>
          <w:szCs w:val="22"/>
        </w:rPr>
        <w:t xml:space="preserve">Разработка и </w:t>
      </w:r>
      <w:r w:rsidR="00114B3F">
        <w:rPr>
          <w:b/>
          <w:kern w:val="22"/>
          <w:szCs w:val="22"/>
        </w:rPr>
        <w:t xml:space="preserve">руководство </w:t>
      </w:r>
      <w:r>
        <w:rPr>
          <w:b/>
          <w:kern w:val="22"/>
          <w:szCs w:val="22"/>
        </w:rPr>
        <w:t>секретариат</w:t>
      </w:r>
      <w:r w:rsidR="00114B3F">
        <w:rPr>
          <w:b/>
          <w:kern w:val="22"/>
          <w:szCs w:val="22"/>
        </w:rPr>
        <w:t>а</w:t>
      </w:r>
    </w:p>
    <w:p w:rsidR="00B31C60" w:rsidRDefault="00B31C60" w:rsidP="00B31C60">
      <w:pPr>
        <w:pStyle w:val="Para1"/>
        <w:numPr>
          <w:ilvl w:val="0"/>
          <w:numId w:val="39"/>
        </w:numPr>
        <w:suppressLineNumbers/>
        <w:tabs>
          <w:tab w:val="left" w:pos="720"/>
        </w:tabs>
        <w:suppressAutoHyphens/>
        <w:snapToGrid w:val="0"/>
        <w:rPr>
          <w:kern w:val="22"/>
          <w:szCs w:val="22"/>
        </w:rPr>
      </w:pPr>
      <w:proofErr w:type="gramStart"/>
      <w:r>
        <w:rPr>
          <w:color w:val="000000"/>
          <w:kern w:val="22"/>
          <w:szCs w:val="22"/>
        </w:rPr>
        <w:t>Секретариат продолжает разработку и администрирование центрального механизма посредничества, Механизма посредничества по биобезопасности и Механизма посредничества для регулирования доступа к генетическим ресурсам и совместного использования выгод (далее «механизмы посредничества»), руководствуясь соответствующими мандатами и решениями по Конвенции и Протоколам к ней, обеспечивая, насколько это возможн</w:t>
      </w:r>
      <w:r w:rsidR="00114B3F">
        <w:rPr>
          <w:color w:val="000000"/>
          <w:kern w:val="22"/>
          <w:szCs w:val="22"/>
        </w:rPr>
        <w:t xml:space="preserve">о, общие подходы к разработке </w:t>
      </w:r>
      <w:r>
        <w:rPr>
          <w:color w:val="000000"/>
          <w:kern w:val="22"/>
          <w:szCs w:val="22"/>
        </w:rPr>
        <w:t>механизмов посредничества</w:t>
      </w:r>
      <w:r w:rsidR="00114B3F">
        <w:rPr>
          <w:color w:val="000000"/>
          <w:kern w:val="22"/>
          <w:szCs w:val="22"/>
        </w:rPr>
        <w:t xml:space="preserve"> и</w:t>
      </w:r>
      <w:r>
        <w:rPr>
          <w:color w:val="000000"/>
          <w:kern w:val="22"/>
          <w:szCs w:val="22"/>
        </w:rPr>
        <w:t xml:space="preserve"> </w:t>
      </w:r>
      <w:r w:rsidR="00114B3F" w:rsidRPr="00114B3F">
        <w:rPr>
          <w:color w:val="000000"/>
          <w:kern w:val="22"/>
          <w:szCs w:val="22"/>
        </w:rPr>
        <w:t xml:space="preserve">руководству </w:t>
      </w:r>
      <w:r w:rsidR="00114B3F">
        <w:rPr>
          <w:color w:val="000000"/>
          <w:kern w:val="22"/>
          <w:szCs w:val="22"/>
        </w:rPr>
        <w:t xml:space="preserve">ими </w:t>
      </w:r>
      <w:r>
        <w:rPr>
          <w:color w:val="000000"/>
          <w:kern w:val="22"/>
          <w:szCs w:val="22"/>
        </w:rPr>
        <w:t>при сохранении конкретных функциональных возможностей, специфических для каждого</w:t>
      </w:r>
      <w:proofErr w:type="gramEnd"/>
      <w:r>
        <w:rPr>
          <w:color w:val="000000"/>
          <w:kern w:val="22"/>
          <w:szCs w:val="22"/>
        </w:rPr>
        <w:t xml:space="preserve"> из механизмов посредничества, на основе руководящих принципов и основных характеристик, приведенных ниже.</w:t>
      </w:r>
    </w:p>
    <w:p w:rsidR="00B31C60" w:rsidRDefault="00114B3F" w:rsidP="00B31C60">
      <w:pPr>
        <w:pStyle w:val="Para1"/>
        <w:keepNext/>
        <w:numPr>
          <w:ilvl w:val="0"/>
          <w:numId w:val="39"/>
        </w:numPr>
        <w:suppressLineNumbers/>
        <w:tabs>
          <w:tab w:val="left" w:pos="720"/>
        </w:tabs>
        <w:suppressAutoHyphens/>
        <w:snapToGrid w:val="0"/>
        <w:rPr>
          <w:kern w:val="22"/>
          <w:szCs w:val="22"/>
        </w:rPr>
      </w:pPr>
      <w:r>
        <w:rPr>
          <w:color w:val="000000"/>
          <w:kern w:val="22"/>
          <w:szCs w:val="22"/>
        </w:rPr>
        <w:t>Р</w:t>
      </w:r>
      <w:r w:rsidRPr="00114B3F">
        <w:rPr>
          <w:color w:val="000000"/>
          <w:kern w:val="22"/>
          <w:szCs w:val="22"/>
        </w:rPr>
        <w:t>азработк</w:t>
      </w:r>
      <w:r>
        <w:rPr>
          <w:color w:val="000000"/>
          <w:kern w:val="22"/>
          <w:szCs w:val="22"/>
        </w:rPr>
        <w:t>а</w:t>
      </w:r>
      <w:r w:rsidRPr="00114B3F">
        <w:rPr>
          <w:color w:val="000000"/>
          <w:kern w:val="22"/>
          <w:szCs w:val="22"/>
        </w:rPr>
        <w:t xml:space="preserve"> механизмов посредничества и руководств</w:t>
      </w:r>
      <w:r>
        <w:rPr>
          <w:color w:val="000000"/>
          <w:kern w:val="22"/>
          <w:szCs w:val="22"/>
        </w:rPr>
        <w:t>о</w:t>
      </w:r>
      <w:r w:rsidRPr="00114B3F">
        <w:rPr>
          <w:color w:val="000000"/>
          <w:kern w:val="22"/>
          <w:szCs w:val="22"/>
        </w:rPr>
        <w:t xml:space="preserve"> ими</w:t>
      </w:r>
      <w:r>
        <w:rPr>
          <w:color w:val="000000"/>
          <w:kern w:val="22"/>
          <w:szCs w:val="22"/>
        </w:rPr>
        <w:t xml:space="preserve"> осуществляется </w:t>
      </w:r>
      <w:r w:rsidR="00B31C60">
        <w:rPr>
          <w:color w:val="000000"/>
          <w:kern w:val="22"/>
          <w:szCs w:val="22"/>
        </w:rPr>
        <w:t>в соответствии со следующими критериями</w:t>
      </w:r>
      <w:r w:rsidR="00B31C60">
        <w:rPr>
          <w:kern w:val="22"/>
          <w:szCs w:val="22"/>
        </w:rPr>
        <w:t>:</w:t>
      </w:r>
    </w:p>
    <w:p w:rsidR="00B31C60" w:rsidRDefault="00B31C60" w:rsidP="00B31C60">
      <w:pPr>
        <w:suppressLineNumbers/>
        <w:tabs>
          <w:tab w:val="left" w:pos="1152"/>
        </w:tabs>
        <w:suppressAutoHyphens/>
        <w:spacing w:before="120" w:after="120"/>
        <w:ind w:firstLine="720"/>
        <w:rPr>
          <w:rFonts w:eastAsia="MS Mincho"/>
          <w:bCs/>
          <w:kern w:val="22"/>
          <w:szCs w:val="22"/>
        </w:rPr>
      </w:pPr>
      <w:proofErr w:type="spellStart"/>
      <w:r>
        <w:rPr>
          <w:rFonts w:eastAsia="MS Mincho"/>
          <w:bCs/>
          <w:kern w:val="22"/>
          <w:szCs w:val="22"/>
        </w:rPr>
        <w:t>a</w:t>
      </w:r>
      <w:proofErr w:type="spellEnd"/>
      <w:r>
        <w:rPr>
          <w:rFonts w:eastAsia="MS Mincho"/>
          <w:bCs/>
          <w:kern w:val="22"/>
          <w:szCs w:val="22"/>
        </w:rPr>
        <w:t>)</w:t>
      </w:r>
      <w:r>
        <w:rPr>
          <w:rFonts w:eastAsia="MS Mincho"/>
          <w:bCs/>
          <w:kern w:val="22"/>
          <w:szCs w:val="22"/>
        </w:rPr>
        <w:tab/>
        <w:t>соблюдение принципов всеохватности, прозрачности, открытого доступа и открытости всем правительствам, коренным народам, местным общинам и соответствующим заинтересованным сторонам;</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b</w:t>
      </w:r>
      <w:proofErr w:type="spellEnd"/>
      <w:r>
        <w:rPr>
          <w:rFonts w:eastAsia="MS Mincho"/>
          <w:bCs/>
          <w:kern w:val="22"/>
          <w:szCs w:val="22"/>
        </w:rPr>
        <w:t>)</w:t>
      </w:r>
      <w:r>
        <w:rPr>
          <w:rFonts w:eastAsia="MS Mincho"/>
          <w:bCs/>
          <w:kern w:val="22"/>
          <w:szCs w:val="22"/>
        </w:rPr>
        <w:tab/>
        <w:t xml:space="preserve">разработка на основе ясного и идентифицированного спроса, накопленного опыта и доступных ресурсов, </w:t>
      </w:r>
      <w:r w:rsidR="00114B3F">
        <w:rPr>
          <w:rFonts w:eastAsia="MS Mincho"/>
          <w:bCs/>
          <w:kern w:val="22"/>
          <w:szCs w:val="22"/>
        </w:rPr>
        <w:t>избегая</w:t>
      </w:r>
      <w:r>
        <w:rPr>
          <w:rFonts w:eastAsia="MS Mincho"/>
          <w:bCs/>
          <w:kern w:val="22"/>
          <w:szCs w:val="22"/>
        </w:rPr>
        <w:t xml:space="preserve"> дублировани</w:t>
      </w:r>
      <w:r w:rsidR="00114B3F">
        <w:rPr>
          <w:rFonts w:eastAsia="MS Mincho"/>
          <w:bCs/>
          <w:kern w:val="22"/>
          <w:szCs w:val="22"/>
        </w:rPr>
        <w:t>я</w:t>
      </w:r>
      <w:r>
        <w:rPr>
          <w:rFonts w:eastAsia="MS Mincho"/>
          <w:bCs/>
          <w:kern w:val="22"/>
          <w:szCs w:val="22"/>
        </w:rPr>
        <w:t xml:space="preserve"> систем;</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c</w:t>
      </w:r>
      <w:proofErr w:type="spellEnd"/>
      <w:r>
        <w:rPr>
          <w:rFonts w:eastAsia="MS Mincho"/>
          <w:bCs/>
          <w:kern w:val="22"/>
          <w:szCs w:val="22"/>
        </w:rPr>
        <w:t>)</w:t>
      </w:r>
      <w:r>
        <w:rPr>
          <w:rFonts w:eastAsia="MS Mincho"/>
          <w:bCs/>
          <w:kern w:val="22"/>
          <w:szCs w:val="22"/>
        </w:rPr>
        <w:tab/>
        <w:t>обеспечение предсказуемости и согласованности работы пользовательского интерфейса во всех механизмах посредничества;</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d</w:t>
      </w:r>
      <w:proofErr w:type="spellEnd"/>
      <w:r>
        <w:rPr>
          <w:rFonts w:eastAsia="MS Mincho"/>
          <w:bCs/>
          <w:kern w:val="22"/>
          <w:szCs w:val="22"/>
        </w:rPr>
        <w:t>)</w:t>
      </w:r>
      <w:r>
        <w:rPr>
          <w:rFonts w:eastAsia="MS Mincho"/>
          <w:bCs/>
          <w:kern w:val="22"/>
          <w:szCs w:val="22"/>
        </w:rPr>
        <w:tab/>
        <w:t>обеспечение интуитивности, удобства и единообразия визуального дизайна и функциональных возможностей всех механизмов посредничества;</w:t>
      </w:r>
    </w:p>
    <w:p w:rsidR="00B31C60" w:rsidRDefault="00B31C60" w:rsidP="00B31C60">
      <w:pPr>
        <w:suppressLineNumbers/>
        <w:tabs>
          <w:tab w:val="left" w:pos="1152"/>
        </w:tabs>
        <w:suppressAutoHyphens/>
        <w:spacing w:before="120" w:after="120"/>
        <w:ind w:firstLine="720"/>
        <w:rPr>
          <w:rFonts w:eastAsia="MS Mincho"/>
          <w:bCs/>
          <w:kern w:val="22"/>
          <w:szCs w:val="22"/>
        </w:rPr>
      </w:pPr>
      <w:proofErr w:type="spellStart"/>
      <w:r>
        <w:rPr>
          <w:rFonts w:eastAsia="MS Mincho"/>
          <w:bCs/>
          <w:kern w:val="22"/>
          <w:szCs w:val="22"/>
        </w:rPr>
        <w:t>e</w:t>
      </w:r>
      <w:proofErr w:type="spellEnd"/>
      <w:r>
        <w:rPr>
          <w:rFonts w:eastAsia="MS Mincho"/>
          <w:bCs/>
          <w:kern w:val="22"/>
          <w:szCs w:val="22"/>
        </w:rPr>
        <w:t>)</w:t>
      </w:r>
      <w:r>
        <w:rPr>
          <w:rFonts w:eastAsia="MS Mincho"/>
          <w:bCs/>
          <w:kern w:val="22"/>
          <w:szCs w:val="22"/>
        </w:rPr>
        <w:tab/>
        <w:t xml:space="preserve">обеспечение как можно более своевременного удовлетворения просьб об оказании технической помощи для использования механизмов посредничества. </w:t>
      </w:r>
    </w:p>
    <w:p w:rsidR="00B31C60" w:rsidRDefault="00B31C60" w:rsidP="00B31C60">
      <w:pPr>
        <w:pStyle w:val="Para1"/>
        <w:keepNext/>
        <w:numPr>
          <w:ilvl w:val="0"/>
          <w:numId w:val="39"/>
        </w:numPr>
        <w:suppressLineNumbers/>
        <w:tabs>
          <w:tab w:val="left" w:pos="720"/>
        </w:tabs>
        <w:suppressAutoHyphens/>
        <w:snapToGrid w:val="0"/>
        <w:rPr>
          <w:kern w:val="22"/>
          <w:szCs w:val="22"/>
        </w:rPr>
      </w:pPr>
      <w:r>
        <w:rPr>
          <w:color w:val="000000"/>
          <w:kern w:val="22"/>
          <w:szCs w:val="22"/>
        </w:rPr>
        <w:t>Механизмы посредничества должны удовлетворять следующим основным характеристикам</w:t>
      </w:r>
      <w:r>
        <w:rPr>
          <w:kern w:val="22"/>
          <w:szCs w:val="22"/>
        </w:rPr>
        <w:t>:</w:t>
      </w:r>
    </w:p>
    <w:p w:rsidR="00B31C60" w:rsidRDefault="00B31C60" w:rsidP="00B31C60">
      <w:pPr>
        <w:tabs>
          <w:tab w:val="left" w:pos="1152"/>
        </w:tabs>
        <w:spacing w:before="120" w:after="120"/>
        <w:ind w:firstLine="720"/>
        <w:rPr>
          <w:rFonts w:eastAsia="MS Mincho"/>
          <w:bCs/>
          <w:kern w:val="22"/>
          <w:szCs w:val="22"/>
        </w:rPr>
      </w:pPr>
      <w:proofErr w:type="spellStart"/>
      <w:proofErr w:type="gramStart"/>
      <w:r>
        <w:rPr>
          <w:rFonts w:eastAsia="MS Mincho"/>
          <w:bCs/>
          <w:kern w:val="22"/>
          <w:szCs w:val="22"/>
        </w:rPr>
        <w:t>a</w:t>
      </w:r>
      <w:proofErr w:type="spellEnd"/>
      <w:r>
        <w:rPr>
          <w:rFonts w:eastAsia="MS Mincho"/>
          <w:bCs/>
          <w:kern w:val="22"/>
          <w:szCs w:val="22"/>
        </w:rPr>
        <w:t>)</w:t>
      </w:r>
      <w:r>
        <w:rPr>
          <w:rFonts w:eastAsia="MS Mincho"/>
          <w:bCs/>
          <w:kern w:val="22"/>
          <w:szCs w:val="22"/>
        </w:rPr>
        <w:tab/>
        <w:t xml:space="preserve">доступ и навигация через общедоступный </w:t>
      </w:r>
      <w:proofErr w:type="spellStart"/>
      <w:r>
        <w:rPr>
          <w:rFonts w:eastAsia="MS Mincho"/>
          <w:bCs/>
          <w:kern w:val="22"/>
          <w:szCs w:val="22"/>
        </w:rPr>
        <w:t>веб-портал</w:t>
      </w:r>
      <w:proofErr w:type="spellEnd"/>
      <w:r>
        <w:rPr>
          <w:rFonts w:eastAsia="MS Mincho"/>
          <w:bCs/>
          <w:kern w:val="22"/>
          <w:szCs w:val="22"/>
        </w:rPr>
        <w:t>, действующий на шести официальных языках Организации Объединенных Наций;</w:t>
      </w:r>
      <w:proofErr w:type="gramEnd"/>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b</w:t>
      </w:r>
      <w:proofErr w:type="spellEnd"/>
      <w:r>
        <w:rPr>
          <w:rFonts w:eastAsia="MS Mincho"/>
          <w:bCs/>
          <w:kern w:val="22"/>
          <w:szCs w:val="22"/>
        </w:rPr>
        <w:t>)</w:t>
      </w:r>
      <w:r>
        <w:rPr>
          <w:rFonts w:eastAsia="MS Mincho"/>
          <w:bCs/>
          <w:kern w:val="22"/>
          <w:szCs w:val="22"/>
        </w:rPr>
        <w:tab/>
        <w:t>безопасная центральная база данных, действующая как хранилище доступной информации;</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c</w:t>
      </w:r>
      <w:proofErr w:type="spellEnd"/>
      <w:r>
        <w:rPr>
          <w:rFonts w:eastAsia="MS Mincho"/>
          <w:bCs/>
          <w:kern w:val="22"/>
          <w:szCs w:val="22"/>
        </w:rPr>
        <w:t>)</w:t>
      </w:r>
      <w:r>
        <w:rPr>
          <w:rFonts w:eastAsia="MS Mincho"/>
          <w:bCs/>
          <w:kern w:val="22"/>
          <w:szCs w:val="22"/>
        </w:rPr>
        <w:tab/>
        <w:t>безопасный механизм представления информации через единую учетную запись пользователя, позволяющий публиковать информацию в структурированном виде с использованием общих форматов, метаданных и контролируемой терминологии, с различением обязательной и факультативной информации;</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d</w:t>
      </w:r>
      <w:proofErr w:type="spellEnd"/>
      <w:r>
        <w:rPr>
          <w:rFonts w:eastAsia="MS Mincho"/>
          <w:bCs/>
          <w:kern w:val="22"/>
          <w:szCs w:val="22"/>
        </w:rPr>
        <w:t>)</w:t>
      </w:r>
      <w:r>
        <w:rPr>
          <w:rFonts w:eastAsia="MS Mincho"/>
          <w:bCs/>
          <w:kern w:val="22"/>
          <w:szCs w:val="22"/>
        </w:rPr>
        <w:tab/>
        <w:t>общедоступный механизм поиска, позволяющий отыскивать и извлекать контент из всех механизмов посредничества с помощью метаданных и контролируемой терминологии;</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e</w:t>
      </w:r>
      <w:proofErr w:type="spellEnd"/>
      <w:r>
        <w:rPr>
          <w:rFonts w:eastAsia="MS Mincho"/>
          <w:bCs/>
          <w:kern w:val="22"/>
          <w:szCs w:val="22"/>
        </w:rPr>
        <w:t>)</w:t>
      </w:r>
      <w:r>
        <w:rPr>
          <w:rFonts w:eastAsia="MS Mincho"/>
          <w:bCs/>
          <w:kern w:val="22"/>
          <w:szCs w:val="22"/>
        </w:rPr>
        <w:tab/>
        <w:t>использование, где это целесообразно, уникальных идентификаторов для поиска и извлечения информации;</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lastRenderedPageBreak/>
        <w:t>f</w:t>
      </w:r>
      <w:proofErr w:type="spellEnd"/>
      <w:r>
        <w:rPr>
          <w:rFonts w:eastAsia="MS Mincho"/>
          <w:bCs/>
          <w:kern w:val="22"/>
          <w:szCs w:val="22"/>
        </w:rPr>
        <w:t>)</w:t>
      </w:r>
      <w:r>
        <w:rPr>
          <w:rFonts w:eastAsia="MS Mincho"/>
          <w:bCs/>
          <w:kern w:val="22"/>
          <w:szCs w:val="22"/>
        </w:rPr>
        <w:tab/>
        <w:t>безопасный механизм обновления информации, позволяющий пользователям с соответствующим уровнем доступа корректировать или обновлять информацию;</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g</w:t>
      </w:r>
      <w:proofErr w:type="spellEnd"/>
      <w:r>
        <w:rPr>
          <w:rFonts w:eastAsia="MS Mincho"/>
          <w:bCs/>
          <w:kern w:val="22"/>
          <w:szCs w:val="22"/>
        </w:rPr>
        <w:t>)</w:t>
      </w:r>
      <w:r>
        <w:rPr>
          <w:rFonts w:eastAsia="MS Mincho"/>
          <w:bCs/>
          <w:kern w:val="22"/>
          <w:szCs w:val="22"/>
        </w:rPr>
        <w:tab/>
      </w:r>
      <w:r w:rsidR="00A63CA8">
        <w:rPr>
          <w:rFonts w:eastAsia="MS Mincho"/>
          <w:bCs/>
          <w:kern w:val="22"/>
          <w:szCs w:val="22"/>
        </w:rPr>
        <w:t xml:space="preserve">концепция, позволяющая четко определить автора </w:t>
      </w:r>
      <w:r>
        <w:rPr>
          <w:rFonts w:eastAsia="MS Mincho"/>
          <w:bCs/>
          <w:kern w:val="22"/>
          <w:szCs w:val="22"/>
        </w:rPr>
        <w:t>опубликова</w:t>
      </w:r>
      <w:r w:rsidR="00A63CA8">
        <w:rPr>
          <w:rFonts w:eastAsia="MS Mincho"/>
          <w:bCs/>
          <w:kern w:val="22"/>
          <w:szCs w:val="22"/>
        </w:rPr>
        <w:t>нной</w:t>
      </w:r>
      <w:r>
        <w:rPr>
          <w:rFonts w:eastAsia="MS Mincho"/>
          <w:bCs/>
          <w:kern w:val="22"/>
          <w:szCs w:val="22"/>
        </w:rPr>
        <w:t xml:space="preserve"> информаци</w:t>
      </w:r>
      <w:r w:rsidR="00A63CA8">
        <w:rPr>
          <w:rFonts w:eastAsia="MS Mincho"/>
          <w:bCs/>
          <w:kern w:val="22"/>
          <w:szCs w:val="22"/>
        </w:rPr>
        <w:t>и</w:t>
      </w:r>
      <w:r>
        <w:rPr>
          <w:rFonts w:eastAsia="MS Mincho"/>
          <w:bCs/>
          <w:kern w:val="22"/>
          <w:szCs w:val="22"/>
        </w:rPr>
        <w:t>;</w:t>
      </w:r>
    </w:p>
    <w:p w:rsidR="00A63CA8"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h</w:t>
      </w:r>
      <w:proofErr w:type="spellEnd"/>
      <w:r>
        <w:rPr>
          <w:rFonts w:eastAsia="MS Mincho"/>
          <w:bCs/>
          <w:kern w:val="22"/>
          <w:szCs w:val="22"/>
        </w:rPr>
        <w:t>)</w:t>
      </w:r>
      <w:r>
        <w:rPr>
          <w:rFonts w:eastAsia="MS Mincho"/>
          <w:bCs/>
          <w:kern w:val="22"/>
          <w:szCs w:val="22"/>
        </w:rPr>
        <w:tab/>
      </w:r>
      <w:r w:rsidR="00A63CA8" w:rsidRPr="00A63CA8">
        <w:rPr>
          <w:rFonts w:eastAsia="MS Mincho"/>
          <w:bCs/>
          <w:kern w:val="22"/>
          <w:szCs w:val="22"/>
        </w:rPr>
        <w:t>механизм оперативной совместимости</w:t>
      </w:r>
      <w:r w:rsidR="00A63CA8">
        <w:rPr>
          <w:rFonts w:eastAsia="MS Mincho"/>
          <w:bCs/>
          <w:kern w:val="22"/>
          <w:szCs w:val="22"/>
        </w:rPr>
        <w:t xml:space="preserve"> </w:t>
      </w:r>
      <w:r w:rsidR="00A63CA8" w:rsidRPr="00A63CA8">
        <w:rPr>
          <w:rFonts w:eastAsia="MS Mincho"/>
          <w:bCs/>
          <w:kern w:val="22"/>
          <w:szCs w:val="22"/>
        </w:rPr>
        <w:t>для содействия обмену информацией с внешними базами данных и системами</w:t>
      </w:r>
      <w:r w:rsidR="00A63CA8">
        <w:rPr>
          <w:rFonts w:eastAsia="MS Mincho"/>
          <w:bCs/>
          <w:kern w:val="22"/>
          <w:szCs w:val="22"/>
        </w:rPr>
        <w:t xml:space="preserve"> в случае необходимости</w:t>
      </w:r>
      <w:r w:rsidR="00A63CA8" w:rsidRPr="00A63CA8">
        <w:rPr>
          <w:rFonts w:eastAsia="MS Mincho"/>
          <w:bCs/>
          <w:kern w:val="22"/>
          <w:szCs w:val="22"/>
        </w:rPr>
        <w:t>;</w:t>
      </w:r>
    </w:p>
    <w:p w:rsidR="00B31C60" w:rsidRDefault="00B31C60" w:rsidP="00B31C60">
      <w:pPr>
        <w:suppressLineNumbers/>
        <w:tabs>
          <w:tab w:val="left" w:pos="1152"/>
        </w:tabs>
        <w:suppressAutoHyphens/>
        <w:spacing w:before="120" w:after="120"/>
        <w:ind w:firstLine="720"/>
        <w:rPr>
          <w:rFonts w:eastAsia="MS Mincho"/>
          <w:bCs/>
          <w:kern w:val="22"/>
          <w:szCs w:val="22"/>
        </w:rPr>
      </w:pPr>
      <w:proofErr w:type="spellStart"/>
      <w:r>
        <w:rPr>
          <w:rFonts w:eastAsia="MS Mincho"/>
          <w:bCs/>
          <w:kern w:val="22"/>
          <w:szCs w:val="22"/>
        </w:rPr>
        <w:t>i</w:t>
      </w:r>
      <w:proofErr w:type="spellEnd"/>
      <w:r>
        <w:rPr>
          <w:rFonts w:eastAsia="MS Mincho"/>
          <w:bCs/>
          <w:kern w:val="22"/>
          <w:szCs w:val="22"/>
        </w:rPr>
        <w:t>)</w:t>
      </w:r>
      <w:r>
        <w:rPr>
          <w:rFonts w:eastAsia="MS Mincho"/>
          <w:bCs/>
          <w:kern w:val="22"/>
          <w:szCs w:val="22"/>
        </w:rPr>
        <w:tab/>
      </w:r>
      <w:proofErr w:type="spellStart"/>
      <w:r w:rsidR="00FB2547">
        <w:rPr>
          <w:rFonts w:eastAsia="MS Mincho"/>
          <w:bCs/>
          <w:kern w:val="22"/>
          <w:szCs w:val="22"/>
        </w:rPr>
        <w:t>оффлайновый</w:t>
      </w:r>
      <w:proofErr w:type="spellEnd"/>
      <w:r>
        <w:rPr>
          <w:rFonts w:eastAsia="MS Mincho"/>
          <w:bCs/>
          <w:kern w:val="22"/>
          <w:szCs w:val="22"/>
        </w:rPr>
        <w:t xml:space="preserve"> механизм для регистрации информации</w:t>
      </w:r>
      <w:r w:rsidR="00FB2547">
        <w:rPr>
          <w:rFonts w:eastAsia="MS Mincho"/>
          <w:bCs/>
          <w:kern w:val="22"/>
          <w:szCs w:val="22"/>
        </w:rPr>
        <w:t xml:space="preserve"> и обеспечения</w:t>
      </w:r>
      <w:r>
        <w:rPr>
          <w:rFonts w:eastAsia="MS Mincho"/>
          <w:bCs/>
          <w:kern w:val="22"/>
          <w:szCs w:val="22"/>
        </w:rPr>
        <w:t xml:space="preserve"> </w:t>
      </w:r>
      <w:proofErr w:type="spellStart"/>
      <w:r w:rsidR="00FB2547">
        <w:rPr>
          <w:rFonts w:eastAsia="MS Mincho"/>
          <w:bCs/>
          <w:kern w:val="22"/>
          <w:szCs w:val="22"/>
        </w:rPr>
        <w:t>оффлайнового</w:t>
      </w:r>
      <w:proofErr w:type="spellEnd"/>
      <w:r w:rsidR="00FB2547">
        <w:rPr>
          <w:rFonts w:eastAsia="MS Mincho"/>
          <w:bCs/>
          <w:kern w:val="22"/>
          <w:szCs w:val="22"/>
        </w:rPr>
        <w:t xml:space="preserve"> </w:t>
      </w:r>
      <w:r>
        <w:rPr>
          <w:rFonts w:eastAsia="MS Mincho"/>
          <w:bCs/>
          <w:kern w:val="22"/>
          <w:szCs w:val="22"/>
        </w:rPr>
        <w:t xml:space="preserve">доступа к имеющейся информации по запросу, в частности, для пользователей, имеющих ограниченный доступ в </w:t>
      </w:r>
      <w:r w:rsidR="00A63CA8">
        <w:rPr>
          <w:rFonts w:eastAsia="MS Mincho"/>
          <w:bCs/>
          <w:kern w:val="22"/>
          <w:szCs w:val="22"/>
        </w:rPr>
        <w:t>и</w:t>
      </w:r>
      <w:r>
        <w:rPr>
          <w:rFonts w:eastAsia="MS Mincho"/>
          <w:bCs/>
          <w:kern w:val="22"/>
          <w:szCs w:val="22"/>
        </w:rPr>
        <w:t>нтернет.</w:t>
      </w:r>
    </w:p>
    <w:p w:rsidR="00B31C60" w:rsidRDefault="00B31C60" w:rsidP="00B31C60">
      <w:pPr>
        <w:keepNext/>
        <w:suppressLineNumbers/>
        <w:tabs>
          <w:tab w:val="left" w:pos="360"/>
        </w:tabs>
        <w:suppressAutoHyphens/>
        <w:spacing w:before="120" w:after="120"/>
        <w:jc w:val="center"/>
        <w:rPr>
          <w:b/>
          <w:kern w:val="22"/>
          <w:szCs w:val="22"/>
        </w:rPr>
      </w:pPr>
      <w:r>
        <w:rPr>
          <w:b/>
          <w:kern w:val="22"/>
          <w:szCs w:val="22"/>
        </w:rPr>
        <w:t>B.</w:t>
      </w:r>
      <w:r>
        <w:rPr>
          <w:b/>
          <w:kern w:val="22"/>
          <w:szCs w:val="22"/>
        </w:rPr>
        <w:tab/>
        <w:t>Роль пользователей в обмен</w:t>
      </w:r>
      <w:r w:rsidR="00FB2547">
        <w:rPr>
          <w:b/>
          <w:kern w:val="22"/>
          <w:szCs w:val="22"/>
        </w:rPr>
        <w:t>е</w:t>
      </w:r>
      <w:r>
        <w:rPr>
          <w:b/>
          <w:kern w:val="22"/>
          <w:szCs w:val="22"/>
        </w:rPr>
        <w:t xml:space="preserve"> информацией</w:t>
      </w:r>
    </w:p>
    <w:p w:rsidR="00B31C60" w:rsidRDefault="00B31C60" w:rsidP="00B31C60">
      <w:pPr>
        <w:pStyle w:val="Para1"/>
        <w:keepNext/>
        <w:numPr>
          <w:ilvl w:val="0"/>
          <w:numId w:val="39"/>
        </w:numPr>
        <w:suppressLineNumbers/>
        <w:tabs>
          <w:tab w:val="left" w:pos="720"/>
        </w:tabs>
        <w:suppressAutoHyphens/>
        <w:snapToGrid w:val="0"/>
        <w:rPr>
          <w:kern w:val="22"/>
          <w:szCs w:val="22"/>
        </w:rPr>
      </w:pPr>
      <w:r>
        <w:rPr>
          <w:color w:val="000000"/>
          <w:kern w:val="22"/>
          <w:szCs w:val="22"/>
        </w:rPr>
        <w:t xml:space="preserve">Обмениваясь информацией </w:t>
      </w:r>
      <w:r w:rsidR="00650760">
        <w:rPr>
          <w:color w:val="000000"/>
          <w:kern w:val="22"/>
          <w:szCs w:val="22"/>
        </w:rPr>
        <w:t>через</w:t>
      </w:r>
      <w:r>
        <w:rPr>
          <w:color w:val="000000"/>
          <w:kern w:val="22"/>
          <w:szCs w:val="22"/>
        </w:rPr>
        <w:t xml:space="preserve"> од</w:t>
      </w:r>
      <w:r w:rsidR="00650760">
        <w:rPr>
          <w:color w:val="000000"/>
          <w:kern w:val="22"/>
          <w:szCs w:val="22"/>
        </w:rPr>
        <w:t>ин</w:t>
      </w:r>
      <w:r>
        <w:rPr>
          <w:color w:val="000000"/>
          <w:kern w:val="22"/>
          <w:szCs w:val="22"/>
        </w:rPr>
        <w:t xml:space="preserve"> из механизмов посредничества, пользователи</w:t>
      </w:r>
      <w:r w:rsidR="00A35B7E">
        <w:rPr>
          <w:color w:val="000000"/>
          <w:kern w:val="22"/>
          <w:szCs w:val="22"/>
        </w:rPr>
        <w:t xml:space="preserve"> должны:</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a</w:t>
      </w:r>
      <w:proofErr w:type="spellEnd"/>
      <w:r>
        <w:rPr>
          <w:rFonts w:eastAsia="MS Mincho"/>
          <w:bCs/>
          <w:kern w:val="22"/>
          <w:szCs w:val="22"/>
        </w:rPr>
        <w:t>)</w:t>
      </w:r>
      <w:r>
        <w:rPr>
          <w:rFonts w:eastAsia="MS Mincho"/>
          <w:bCs/>
          <w:kern w:val="22"/>
          <w:szCs w:val="22"/>
        </w:rPr>
        <w:tab/>
        <w:t>след</w:t>
      </w:r>
      <w:r w:rsidR="00A35B7E">
        <w:rPr>
          <w:rFonts w:eastAsia="MS Mincho"/>
          <w:bCs/>
          <w:kern w:val="22"/>
          <w:szCs w:val="22"/>
        </w:rPr>
        <w:t>овать п</w:t>
      </w:r>
      <w:r>
        <w:rPr>
          <w:rFonts w:eastAsia="MS Mincho"/>
          <w:bCs/>
          <w:kern w:val="22"/>
          <w:szCs w:val="22"/>
        </w:rPr>
        <w:t>роцедуре публикации, установленной для каждого из механизмов посредничества или типа информации;</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b</w:t>
      </w:r>
      <w:proofErr w:type="spellEnd"/>
      <w:r>
        <w:rPr>
          <w:rFonts w:eastAsia="MS Mincho"/>
          <w:bCs/>
          <w:kern w:val="22"/>
          <w:szCs w:val="22"/>
        </w:rPr>
        <w:t>)</w:t>
      </w:r>
      <w:r>
        <w:rPr>
          <w:rFonts w:eastAsia="MS Mincho"/>
          <w:bCs/>
          <w:kern w:val="22"/>
          <w:szCs w:val="22"/>
        </w:rPr>
        <w:tab/>
        <w:t>нес</w:t>
      </w:r>
      <w:r w:rsidR="00A35B7E">
        <w:rPr>
          <w:rFonts w:eastAsia="MS Mincho"/>
          <w:bCs/>
          <w:kern w:val="22"/>
          <w:szCs w:val="22"/>
        </w:rPr>
        <w:t>ти</w:t>
      </w:r>
      <w:r>
        <w:rPr>
          <w:rFonts w:eastAsia="MS Mincho"/>
          <w:bCs/>
          <w:kern w:val="22"/>
          <w:szCs w:val="22"/>
        </w:rPr>
        <w:t xml:space="preserve"> ответственность за обеспечение достоверности, полноты, актуальности и новизны представляемой ими информации;</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c</w:t>
      </w:r>
      <w:proofErr w:type="spellEnd"/>
      <w:r>
        <w:rPr>
          <w:rFonts w:eastAsia="MS Mincho"/>
          <w:bCs/>
          <w:kern w:val="22"/>
          <w:szCs w:val="22"/>
        </w:rPr>
        <w:t>)</w:t>
      </w:r>
      <w:r>
        <w:rPr>
          <w:rFonts w:eastAsia="MS Mincho"/>
          <w:bCs/>
          <w:kern w:val="22"/>
          <w:szCs w:val="22"/>
        </w:rPr>
        <w:tab/>
      </w:r>
      <w:r w:rsidR="00A35B7E">
        <w:rPr>
          <w:rFonts w:eastAsia="MS Mincho"/>
          <w:bCs/>
          <w:kern w:val="22"/>
          <w:szCs w:val="22"/>
        </w:rPr>
        <w:t>исключить</w:t>
      </w:r>
      <w:r>
        <w:rPr>
          <w:rFonts w:eastAsia="MS Mincho"/>
          <w:bCs/>
          <w:kern w:val="22"/>
          <w:szCs w:val="22"/>
        </w:rPr>
        <w:t xml:space="preserve"> конфиденциальные данные, так как вся информация, публикуемая в механизмах посредничества, является общедоступной;</w:t>
      </w:r>
    </w:p>
    <w:p w:rsidR="00B31C60" w:rsidRDefault="00B31C60" w:rsidP="00B31C60">
      <w:pPr>
        <w:tabs>
          <w:tab w:val="left" w:pos="1152"/>
        </w:tabs>
        <w:spacing w:before="120" w:after="120"/>
        <w:ind w:firstLine="720"/>
        <w:rPr>
          <w:rFonts w:eastAsia="MS Mincho"/>
          <w:bCs/>
          <w:kern w:val="22"/>
          <w:szCs w:val="22"/>
        </w:rPr>
      </w:pPr>
      <w:proofErr w:type="spellStart"/>
      <w:r>
        <w:rPr>
          <w:rFonts w:eastAsia="MS Mincho"/>
          <w:bCs/>
          <w:kern w:val="22"/>
          <w:szCs w:val="22"/>
        </w:rPr>
        <w:t>d</w:t>
      </w:r>
      <w:proofErr w:type="spellEnd"/>
      <w:r>
        <w:rPr>
          <w:rFonts w:eastAsia="MS Mincho"/>
          <w:bCs/>
          <w:kern w:val="22"/>
          <w:szCs w:val="22"/>
        </w:rPr>
        <w:t>)</w:t>
      </w:r>
      <w:r>
        <w:rPr>
          <w:rFonts w:eastAsia="MS Mincho"/>
          <w:bCs/>
          <w:kern w:val="22"/>
          <w:szCs w:val="22"/>
        </w:rPr>
        <w:tab/>
      </w:r>
      <w:r w:rsidR="00A35B7E">
        <w:rPr>
          <w:rFonts w:eastAsia="MS Mincho"/>
          <w:bCs/>
          <w:kern w:val="22"/>
          <w:szCs w:val="22"/>
        </w:rPr>
        <w:t>соблюдать</w:t>
      </w:r>
      <w:r>
        <w:rPr>
          <w:rFonts w:eastAsia="MS Mincho"/>
          <w:bCs/>
          <w:kern w:val="22"/>
          <w:szCs w:val="22"/>
        </w:rPr>
        <w:t xml:space="preserve"> права </w:t>
      </w:r>
      <w:r w:rsidR="00A35B7E">
        <w:rPr>
          <w:rFonts w:eastAsia="MS Mincho"/>
          <w:bCs/>
          <w:kern w:val="22"/>
          <w:szCs w:val="22"/>
        </w:rPr>
        <w:t xml:space="preserve">на </w:t>
      </w:r>
      <w:r>
        <w:rPr>
          <w:rFonts w:eastAsia="MS Mincho"/>
          <w:bCs/>
          <w:kern w:val="22"/>
          <w:szCs w:val="22"/>
        </w:rPr>
        <w:t>интеллектуальн</w:t>
      </w:r>
      <w:r w:rsidR="00A35B7E">
        <w:rPr>
          <w:rFonts w:eastAsia="MS Mincho"/>
          <w:bCs/>
          <w:kern w:val="22"/>
          <w:szCs w:val="22"/>
        </w:rPr>
        <w:t>ую</w:t>
      </w:r>
      <w:r>
        <w:rPr>
          <w:rFonts w:eastAsia="MS Mincho"/>
          <w:bCs/>
          <w:kern w:val="22"/>
          <w:szCs w:val="22"/>
        </w:rPr>
        <w:t xml:space="preserve"> собственност</w:t>
      </w:r>
      <w:r w:rsidR="00A35B7E">
        <w:rPr>
          <w:rFonts w:eastAsia="MS Mincho"/>
          <w:bCs/>
          <w:kern w:val="22"/>
          <w:szCs w:val="22"/>
        </w:rPr>
        <w:t>ь</w:t>
      </w:r>
      <w:r>
        <w:rPr>
          <w:rFonts w:eastAsia="MS Mincho"/>
          <w:bCs/>
          <w:kern w:val="22"/>
          <w:szCs w:val="22"/>
        </w:rPr>
        <w:t>, связанные с опубликованной информацией;</w:t>
      </w:r>
    </w:p>
    <w:p w:rsidR="00B31C60" w:rsidRDefault="00B31C60" w:rsidP="00B31C60">
      <w:pPr>
        <w:tabs>
          <w:tab w:val="left" w:pos="1152"/>
        </w:tabs>
        <w:spacing w:before="120" w:after="120"/>
        <w:ind w:firstLine="720"/>
        <w:rPr>
          <w:rFonts w:eastAsia="MS Mincho"/>
          <w:bCs/>
          <w:kern w:val="22"/>
          <w:szCs w:val="22"/>
        </w:rPr>
      </w:pPr>
      <w:proofErr w:type="spellStart"/>
      <w:proofErr w:type="gramStart"/>
      <w:r>
        <w:rPr>
          <w:rFonts w:eastAsia="MS Mincho"/>
          <w:bCs/>
          <w:kern w:val="22"/>
          <w:szCs w:val="22"/>
        </w:rPr>
        <w:t>e</w:t>
      </w:r>
      <w:proofErr w:type="spellEnd"/>
      <w:r>
        <w:rPr>
          <w:rFonts w:eastAsia="MS Mincho"/>
          <w:bCs/>
          <w:kern w:val="22"/>
          <w:szCs w:val="22"/>
        </w:rPr>
        <w:t>)</w:t>
      </w:r>
      <w:r>
        <w:rPr>
          <w:rFonts w:eastAsia="MS Mincho"/>
          <w:bCs/>
          <w:kern w:val="22"/>
          <w:szCs w:val="22"/>
        </w:rPr>
        <w:tab/>
        <w:t>предоставля</w:t>
      </w:r>
      <w:r w:rsidR="00A35B7E">
        <w:rPr>
          <w:rFonts w:eastAsia="MS Mincho"/>
          <w:bCs/>
          <w:kern w:val="22"/>
          <w:szCs w:val="22"/>
        </w:rPr>
        <w:t>ть</w:t>
      </w:r>
      <w:r>
        <w:rPr>
          <w:rFonts w:eastAsia="MS Mincho"/>
          <w:bCs/>
          <w:kern w:val="22"/>
          <w:szCs w:val="22"/>
        </w:rPr>
        <w:t xml:space="preserve"> метаданные</w:t>
      </w:r>
      <w:r w:rsidR="00A35B7E">
        <w:rPr>
          <w:rFonts w:eastAsia="MS Mincho"/>
          <w:bCs/>
          <w:kern w:val="22"/>
          <w:szCs w:val="22"/>
        </w:rPr>
        <w:t xml:space="preserve"> о</w:t>
      </w:r>
      <w:r>
        <w:rPr>
          <w:rFonts w:eastAsia="MS Mincho"/>
          <w:bCs/>
          <w:kern w:val="22"/>
          <w:szCs w:val="22"/>
        </w:rPr>
        <w:t xml:space="preserve"> первичны</w:t>
      </w:r>
      <w:r w:rsidR="00A35B7E">
        <w:rPr>
          <w:rFonts w:eastAsia="MS Mincho"/>
          <w:bCs/>
          <w:kern w:val="22"/>
          <w:szCs w:val="22"/>
        </w:rPr>
        <w:t>х данных</w:t>
      </w:r>
      <w:r>
        <w:rPr>
          <w:rFonts w:eastAsia="MS Mincho"/>
          <w:bCs/>
          <w:kern w:val="22"/>
          <w:szCs w:val="22"/>
        </w:rPr>
        <w:t xml:space="preserve"> (например, термины, описывающие содержание законодательной меры, взятые из </w:t>
      </w:r>
      <w:r w:rsidR="00A35B7E" w:rsidRPr="00A35B7E">
        <w:rPr>
          <w:rFonts w:eastAsia="MS Mincho"/>
          <w:bCs/>
          <w:kern w:val="22"/>
          <w:szCs w:val="22"/>
        </w:rPr>
        <w:t>стандартизованной терминологии</w:t>
      </w:r>
      <w:r>
        <w:rPr>
          <w:rFonts w:eastAsia="MS Mincho"/>
          <w:bCs/>
          <w:kern w:val="22"/>
          <w:szCs w:val="22"/>
        </w:rPr>
        <w:t xml:space="preserve">) на одном из официальных языков Организации Объединенных Наций, </w:t>
      </w:r>
      <w:r w:rsidR="00A35B7E">
        <w:rPr>
          <w:rFonts w:eastAsia="MS Mincho"/>
          <w:bCs/>
          <w:kern w:val="22"/>
          <w:szCs w:val="22"/>
        </w:rPr>
        <w:t>но с учетом того,</w:t>
      </w:r>
      <w:r>
        <w:rPr>
          <w:rFonts w:eastAsia="MS Mincho"/>
          <w:bCs/>
          <w:kern w:val="22"/>
          <w:szCs w:val="22"/>
        </w:rPr>
        <w:t xml:space="preserve"> что сами первичные данные (например, текст законодательной меры) могут быть представлены на языке оригинала; </w:t>
      </w:r>
      <w:proofErr w:type="gramEnd"/>
    </w:p>
    <w:p w:rsidR="00B31C60" w:rsidRDefault="00B31C60" w:rsidP="00B31C60">
      <w:pPr>
        <w:suppressLineNumbers/>
        <w:tabs>
          <w:tab w:val="left" w:pos="1152"/>
        </w:tabs>
        <w:suppressAutoHyphens/>
        <w:spacing w:before="120" w:after="120"/>
        <w:ind w:firstLine="720"/>
        <w:rPr>
          <w:rFonts w:eastAsia="MS Mincho"/>
          <w:bCs/>
          <w:kern w:val="22"/>
          <w:szCs w:val="22"/>
        </w:rPr>
      </w:pPr>
      <w:proofErr w:type="spellStart"/>
      <w:r>
        <w:rPr>
          <w:rFonts w:eastAsia="MS Mincho"/>
          <w:bCs/>
          <w:kern w:val="22"/>
          <w:szCs w:val="22"/>
        </w:rPr>
        <w:t>f</w:t>
      </w:r>
      <w:proofErr w:type="spellEnd"/>
      <w:r>
        <w:rPr>
          <w:rFonts w:eastAsia="MS Mincho"/>
          <w:bCs/>
          <w:kern w:val="22"/>
          <w:szCs w:val="22"/>
        </w:rPr>
        <w:t>)</w:t>
      </w:r>
      <w:r>
        <w:rPr>
          <w:rFonts w:eastAsia="MS Mincho"/>
          <w:bCs/>
          <w:kern w:val="22"/>
          <w:szCs w:val="22"/>
        </w:rPr>
        <w:tab/>
        <w:t>обеспечить бесплатный перевод представленных первичных данных на один из официальных языков Организации Объединенных Наций.</w:t>
      </w:r>
    </w:p>
    <w:p w:rsidR="009F5421" w:rsidRPr="009E74CD" w:rsidRDefault="009F5421" w:rsidP="00BA6194">
      <w:pPr>
        <w:pStyle w:val="Corpsdetexte"/>
        <w:suppressLineNumbers/>
        <w:suppressAutoHyphens/>
        <w:ind w:left="851" w:firstLine="0"/>
        <w:rPr>
          <w:kern w:val="22"/>
          <w:szCs w:val="22"/>
        </w:rPr>
      </w:pPr>
    </w:p>
    <w:bookmarkEnd w:id="2"/>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B36" w:rsidRDefault="00C24B36" w:rsidP="00CF1848">
      <w:r>
        <w:separator/>
      </w:r>
    </w:p>
  </w:endnote>
  <w:endnote w:type="continuationSeparator" w:id="0">
    <w:p w:rsidR="00C24B36" w:rsidRDefault="00C24B36" w:rsidP="00CF1848">
      <w:r>
        <w:continuationSeparator/>
      </w:r>
    </w:p>
  </w:endnote>
  <w:endnote w:type="continuationNotice" w:id="1">
    <w:p w:rsidR="00C24B36" w:rsidRDefault="00C24B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B36" w:rsidRDefault="00C24B36" w:rsidP="00CF1848">
      <w:r>
        <w:separator/>
      </w:r>
    </w:p>
  </w:footnote>
  <w:footnote w:type="continuationSeparator" w:id="0">
    <w:p w:rsidR="00C24B36" w:rsidRDefault="00C24B36" w:rsidP="00CF1848">
      <w:r>
        <w:continuationSeparator/>
      </w:r>
    </w:p>
  </w:footnote>
  <w:footnote w:type="continuationNotice" w:id="1">
    <w:p w:rsidR="00C24B36" w:rsidRDefault="00C24B36"/>
  </w:footnote>
  <w:footnote w:id="2">
    <w:p w:rsidR="00B31C60" w:rsidRDefault="00B31C60" w:rsidP="00B31C60">
      <w:pPr>
        <w:pStyle w:val="Notedebasdepage"/>
        <w:suppressLineNumbers/>
        <w:suppressAutoHyphens/>
        <w:kinsoku w:val="0"/>
        <w:overflowPunct w:val="0"/>
        <w:autoSpaceDE w:val="0"/>
        <w:autoSpaceDN w:val="0"/>
        <w:ind w:firstLine="0"/>
        <w:jc w:val="left"/>
        <w:rPr>
          <w:snapToGrid w:val="0"/>
          <w:kern w:val="18"/>
          <w:szCs w:val="18"/>
        </w:rPr>
      </w:pPr>
      <w:r>
        <w:rPr>
          <w:snapToGrid w:val="0"/>
          <w:kern w:val="18"/>
          <w:szCs w:val="18"/>
          <w:vertAlign w:val="superscript"/>
        </w:rPr>
        <w:footnoteRef/>
      </w:r>
      <w:r>
        <w:rPr>
          <w:rStyle w:val="Appelnotedebasdep"/>
          <w:kern w:val="22"/>
          <w:szCs w:val="22"/>
        </w:rPr>
        <w:t xml:space="preserve"> </w:t>
      </w:r>
      <w:r>
        <w:rPr>
          <w:snapToGrid w:val="0"/>
          <w:kern w:val="18"/>
        </w:rPr>
        <w:t xml:space="preserve">См. документ CBD/SBI/2/9. </w:t>
      </w:r>
    </w:p>
  </w:footnote>
  <w:footnote w:id="3">
    <w:p w:rsidR="00B31C60" w:rsidRDefault="00B31C60" w:rsidP="00B31C60">
      <w:pPr>
        <w:pStyle w:val="Notedebasdepage"/>
        <w:spacing w:after="0"/>
        <w:ind w:firstLine="0"/>
      </w:pPr>
      <w:r>
        <w:rPr>
          <w:rStyle w:val="Appelnotedebasdep"/>
        </w:rPr>
        <w:footnoteRef/>
      </w:r>
      <w:r>
        <w:t xml:space="preserve"> См. приложение к решению </w:t>
      </w:r>
      <w:r>
        <w:rPr>
          <w:lang w:val="fr-FR"/>
        </w:rPr>
        <w:t>X</w:t>
      </w:r>
      <w:r>
        <w:t>/2.</w:t>
      </w:r>
    </w:p>
  </w:footnote>
  <w:footnote w:id="4">
    <w:p w:rsidR="00B31C60" w:rsidRDefault="00B31C60" w:rsidP="00B31C60">
      <w:pPr>
        <w:pStyle w:val="Notedebasdepage"/>
        <w:spacing w:after="0"/>
        <w:ind w:firstLine="0"/>
      </w:pPr>
      <w:r>
        <w:rPr>
          <w:rStyle w:val="Appelnotedebasdep"/>
        </w:rPr>
        <w:footnoteRef/>
      </w:r>
      <w:r>
        <w:t xml:space="preserve"> </w:t>
      </w:r>
      <w:r>
        <w:rPr>
          <w:szCs w:val="18"/>
        </w:rPr>
        <w:t>См. резолюцию 70/1 Генеральной Ассамблеи от 25 сентября 2015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00" w:rsidRDefault="0000023F" w:rsidP="00C32100">
    <w:pPr>
      <w:pStyle w:val="En-tte"/>
      <w:jc w:val="left"/>
      <w:rPr>
        <w:noProof/>
        <w:kern w:val="22"/>
      </w:rPr>
    </w:pPr>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r w:rsidR="00451FAC">
          <w:rPr>
            <w:noProof/>
            <w:kern w:val="22"/>
            <w:lang w:val="fr-FR"/>
          </w:rPr>
          <w:t>CBD/COP/DEC/14/2</w:t>
        </w:r>
      </w:sdtContent>
    </w:sdt>
    <w:r w:rsidR="00B31C60">
      <w:rPr>
        <w:noProof/>
        <w:kern w:val="22"/>
      </w:rPr>
      <w:t>5</w:t>
    </w:r>
  </w:p>
  <w:p w:rsidR="006B12C7" w:rsidRDefault="006B12C7" w:rsidP="00534681">
    <w:pPr>
      <w:pStyle w:val="En-tte"/>
      <w:rPr>
        <w:noProof/>
      </w:rPr>
    </w:pPr>
    <w:r>
      <w:rPr>
        <w:noProof/>
      </w:rPr>
      <w:t xml:space="preserve">Страница </w:t>
    </w:r>
    <w:r w:rsidR="0000023F">
      <w:rPr>
        <w:noProof/>
      </w:rPr>
      <w:fldChar w:fldCharType="begin"/>
    </w:r>
    <w:r>
      <w:rPr>
        <w:noProof/>
      </w:rPr>
      <w:instrText xml:space="preserve"> PAGE   \* MERGEFORMAT </w:instrText>
    </w:r>
    <w:r w:rsidR="0000023F">
      <w:rPr>
        <w:noProof/>
      </w:rPr>
      <w:fldChar w:fldCharType="separate"/>
    </w:r>
    <w:r w:rsidR="00B50D8E">
      <w:rPr>
        <w:noProof/>
      </w:rPr>
      <w:t>4</w:t>
    </w:r>
    <w:r w:rsidR="0000023F">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FAC" w:rsidRDefault="0000023F" w:rsidP="00451FAC">
    <w:pPr>
      <w:pStyle w:val="En-tte"/>
      <w:jc w:val="right"/>
      <w:rPr>
        <w:noProof/>
        <w:kern w:val="22"/>
      </w:rPr>
    </w:pPr>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r w:rsidR="00451FAC">
          <w:rPr>
            <w:noProof/>
            <w:kern w:val="22"/>
          </w:rPr>
          <w:t>CBD/COP/DEC/14/2</w:t>
        </w:r>
      </w:sdtContent>
    </w:sdt>
    <w:r w:rsidR="00B31C60">
      <w:rPr>
        <w:noProof/>
        <w:kern w:val="22"/>
      </w:rPr>
      <w:t>5</w:t>
    </w:r>
  </w:p>
  <w:p w:rsidR="006B12C7" w:rsidRDefault="006B12C7" w:rsidP="009505C9">
    <w:pPr>
      <w:pStyle w:val="En-tte"/>
      <w:jc w:val="right"/>
    </w:pPr>
    <w:r>
      <w:t xml:space="preserve">Страница </w:t>
    </w:r>
    <w:r w:rsidR="0000023F">
      <w:fldChar w:fldCharType="begin"/>
    </w:r>
    <w:r>
      <w:instrText xml:space="preserve"> PAGE   \* MERGEFORMAT </w:instrText>
    </w:r>
    <w:r w:rsidR="0000023F">
      <w:fldChar w:fldCharType="separate"/>
    </w:r>
    <w:r w:rsidR="00B50D8E">
      <w:rPr>
        <w:noProof/>
      </w:rPr>
      <w:t>3</w:t>
    </w:r>
    <w:r w:rsidR="0000023F">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D77328"/>
    <w:multiLevelType w:val="hybridMultilevel"/>
    <w:tmpl w:val="9336019E"/>
    <w:lvl w:ilvl="0" w:tplc="040C0017">
      <w:start w:val="6"/>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06FEB"/>
    <w:multiLevelType w:val="hybridMultilevel"/>
    <w:tmpl w:val="378A2802"/>
    <w:lvl w:ilvl="0" w:tplc="04090001">
      <w:start w:val="1"/>
      <w:numFmt w:val="bullet"/>
      <w:lvlText w:val=""/>
      <w:lvlJc w:val="left"/>
      <w:pPr>
        <w:ind w:left="720" w:hanging="360"/>
      </w:pPr>
      <w:rPr>
        <w:rFonts w:ascii="Symbol" w:hAnsi="Symbol" w:hint="default"/>
      </w:rPr>
    </w:lvl>
    <w:lvl w:ilvl="1" w:tplc="040C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973734"/>
    <w:multiLevelType w:val="hybridMultilevel"/>
    <w:tmpl w:val="FAF8A4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4"/>
  </w:num>
  <w:num w:numId="4">
    <w:abstractNumId w:val="36"/>
  </w:num>
  <w:num w:numId="5">
    <w:abstractNumId w:val="7"/>
  </w:num>
  <w:num w:numId="6">
    <w:abstractNumId w:val="28"/>
  </w:num>
  <w:num w:numId="7">
    <w:abstractNumId w:val="32"/>
  </w:num>
  <w:num w:numId="8">
    <w:abstractNumId w:val="0"/>
  </w:num>
  <w:num w:numId="9">
    <w:abstractNumId w:val="31"/>
  </w:num>
  <w:num w:numId="10">
    <w:abstractNumId w:val="19"/>
  </w:num>
  <w:num w:numId="11">
    <w:abstractNumId w:val="33"/>
  </w:num>
  <w:num w:numId="12">
    <w:abstractNumId w:val="3"/>
  </w:num>
  <w:num w:numId="13">
    <w:abstractNumId w:val="9"/>
  </w:num>
  <w:num w:numId="14">
    <w:abstractNumId w:val="13"/>
  </w:num>
  <w:num w:numId="15">
    <w:abstractNumId w:val="1"/>
  </w:num>
  <w:num w:numId="16">
    <w:abstractNumId w:val="29"/>
  </w:num>
  <w:num w:numId="17">
    <w:abstractNumId w:val="15"/>
  </w:num>
  <w:num w:numId="18">
    <w:abstractNumId w:val="14"/>
  </w:num>
  <w:num w:numId="19">
    <w:abstractNumId w:val="8"/>
  </w:num>
  <w:num w:numId="20">
    <w:abstractNumId w:val="16"/>
  </w:num>
  <w:num w:numId="21">
    <w:abstractNumId w:val="21"/>
  </w:num>
  <w:num w:numId="22">
    <w:abstractNumId w:val="12"/>
  </w:num>
  <w:num w:numId="23">
    <w:abstractNumId w:val="40"/>
  </w:num>
  <w:num w:numId="24">
    <w:abstractNumId w:val="20"/>
  </w:num>
  <w:num w:numId="25">
    <w:abstractNumId w:val="35"/>
  </w:num>
  <w:num w:numId="26">
    <w:abstractNumId w:val="6"/>
  </w:num>
  <w:num w:numId="27">
    <w:abstractNumId w:val="30"/>
  </w:num>
  <w:num w:numId="28">
    <w:abstractNumId w:val="4"/>
  </w:num>
  <w:num w:numId="29">
    <w:abstractNumId w:val="24"/>
  </w:num>
  <w:num w:numId="30">
    <w:abstractNumId w:val="10"/>
  </w:num>
  <w:num w:numId="31">
    <w:abstractNumId w:val="2"/>
  </w:num>
  <w:num w:numId="32">
    <w:abstractNumId w:val="17"/>
  </w:num>
  <w:num w:numId="33">
    <w:abstractNumId w:val="11"/>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9"/>
  </w:num>
  <w:num w:numId="3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6866"/>
  </w:hdrShapeDefaults>
  <w:footnotePr>
    <w:footnote w:id="-1"/>
    <w:footnote w:id="0"/>
    <w:footnote w:id="1"/>
  </w:footnotePr>
  <w:endnotePr>
    <w:endnote w:id="-1"/>
    <w:endnote w:id="0"/>
    <w:endnote w:id="1"/>
  </w:endnotePr>
  <w:compat>
    <w:useFELayout/>
  </w:compat>
  <w:rsids>
    <w:rsidRoot w:val="00C9161D"/>
    <w:rsid w:val="0000023F"/>
    <w:rsid w:val="00003528"/>
    <w:rsid w:val="0000698B"/>
    <w:rsid w:val="0001146F"/>
    <w:rsid w:val="00017FF2"/>
    <w:rsid w:val="00020D29"/>
    <w:rsid w:val="00024146"/>
    <w:rsid w:val="000260FA"/>
    <w:rsid w:val="00032EFE"/>
    <w:rsid w:val="00035677"/>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4343"/>
    <w:rsid w:val="00105372"/>
    <w:rsid w:val="00106603"/>
    <w:rsid w:val="00110827"/>
    <w:rsid w:val="00110EC6"/>
    <w:rsid w:val="00113368"/>
    <w:rsid w:val="00114B3F"/>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6295"/>
    <w:rsid w:val="00266DF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3F31D2"/>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248"/>
    <w:rsid w:val="00646EE6"/>
    <w:rsid w:val="00650760"/>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55491"/>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57D7F"/>
    <w:rsid w:val="00966335"/>
    <w:rsid w:val="00970EA8"/>
    <w:rsid w:val="00976A8E"/>
    <w:rsid w:val="009830B9"/>
    <w:rsid w:val="009831A5"/>
    <w:rsid w:val="0098437C"/>
    <w:rsid w:val="00985F72"/>
    <w:rsid w:val="009869BE"/>
    <w:rsid w:val="009934C1"/>
    <w:rsid w:val="0099629E"/>
    <w:rsid w:val="00997208"/>
    <w:rsid w:val="009A49FD"/>
    <w:rsid w:val="009A4E93"/>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35B7E"/>
    <w:rsid w:val="00A42B3A"/>
    <w:rsid w:val="00A43AFA"/>
    <w:rsid w:val="00A441EA"/>
    <w:rsid w:val="00A522AA"/>
    <w:rsid w:val="00A52383"/>
    <w:rsid w:val="00A54FAB"/>
    <w:rsid w:val="00A638EC"/>
    <w:rsid w:val="00A63CA8"/>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1C60"/>
    <w:rsid w:val="00B3369F"/>
    <w:rsid w:val="00B41428"/>
    <w:rsid w:val="00B41A6C"/>
    <w:rsid w:val="00B4583D"/>
    <w:rsid w:val="00B4789D"/>
    <w:rsid w:val="00B50C13"/>
    <w:rsid w:val="00B50D8E"/>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409F"/>
    <w:rsid w:val="00C17876"/>
    <w:rsid w:val="00C1788A"/>
    <w:rsid w:val="00C21435"/>
    <w:rsid w:val="00C24357"/>
    <w:rsid w:val="00C24B36"/>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06FC"/>
    <w:rsid w:val="00CF1848"/>
    <w:rsid w:val="00CF1C28"/>
    <w:rsid w:val="00CF2608"/>
    <w:rsid w:val="00CF70B3"/>
    <w:rsid w:val="00D01B2C"/>
    <w:rsid w:val="00D03D2E"/>
    <w:rsid w:val="00D064E5"/>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57BE8"/>
    <w:rsid w:val="00D64023"/>
    <w:rsid w:val="00D75251"/>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C6835"/>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128D"/>
    <w:rsid w:val="00E36441"/>
    <w:rsid w:val="00E41AF1"/>
    <w:rsid w:val="00E44659"/>
    <w:rsid w:val="00E54407"/>
    <w:rsid w:val="00E54EC5"/>
    <w:rsid w:val="00E5731E"/>
    <w:rsid w:val="00E66235"/>
    <w:rsid w:val="00E671EF"/>
    <w:rsid w:val="00E70296"/>
    <w:rsid w:val="00E71B4A"/>
    <w:rsid w:val="00E75953"/>
    <w:rsid w:val="00E807AD"/>
    <w:rsid w:val="00E82536"/>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2547"/>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34"/>
    <w:qFormat/>
    <w:locked/>
    <w:rsid w:val="00B31C60"/>
    <w:rPr>
      <w:rFonts w:ascii="Times New Roman" w:eastAsia="Times New Roman" w:hAnsi="Times New Roman" w:cs="Times New Roman"/>
      <w:sz w:val="22"/>
      <w:szCs w:val="24"/>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D342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D342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4A55C4"/>
    <w:rsid w:val="005C5751"/>
    <w:rsid w:val="007C585D"/>
    <w:rsid w:val="008767A5"/>
    <w:rsid w:val="009D7472"/>
    <w:rsid w:val="00BD3422"/>
    <w:rsid w:val="00CC68AE"/>
    <w:rsid w:val="00D229D9"/>
    <w:rsid w:val="00DF7856"/>
    <w:rsid w:val="00EA3983"/>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D3A7CB-624B-4049-B76B-8D51BAC4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1564</Words>
  <Characters>8604</Characters>
  <Application>Microsoft Office Word</Application>
  <DocSecurity>0</DocSecurity>
  <Lines>71</Lines>
  <Paragraphs>20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10148</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dc:subject>
  <dc:creator>SCBD</dc:creator>
  <cp:lastModifiedBy>Bureau</cp:lastModifiedBy>
  <cp:revision>12</cp:revision>
  <cp:lastPrinted>2019-01-18T14:24:00Z</cp:lastPrinted>
  <dcterms:created xsi:type="dcterms:W3CDTF">2019-01-17T18:56:00Z</dcterms:created>
  <dcterms:modified xsi:type="dcterms:W3CDTF">2019-02-06T16:27:00Z</dcterms:modified>
  <cp:contentStatus>CBD/COP/DEC/14/2</cp:contentStatus>
</cp:coreProperties>
</file>