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769A2" w:rsidRPr="00717AA2" w14:paraId="769EC073" w14:textId="77777777" w:rsidTr="009756DC">
        <w:trPr>
          <w:trHeight w:val="709"/>
        </w:trPr>
        <w:tc>
          <w:tcPr>
            <w:tcW w:w="976" w:type="dxa"/>
            <w:tcBorders>
              <w:bottom w:val="single" w:sz="12" w:space="0" w:color="auto"/>
            </w:tcBorders>
          </w:tcPr>
          <w:p w14:paraId="3890006D" w14:textId="77777777" w:rsidR="00B769A2" w:rsidRPr="00717AA2" w:rsidRDefault="00B769A2" w:rsidP="009756DC">
            <w:pPr>
              <w:rPr>
                <w:lang w:val="fr-FR"/>
              </w:rPr>
            </w:pPr>
            <w:r w:rsidRPr="00717AA2">
              <w:rPr>
                <w:noProof/>
                <w:lang w:eastAsia="en-GB"/>
              </w:rPr>
              <w:drawing>
                <wp:inline distT="0" distB="0" distL="0" distR="0" wp14:anchorId="412EAFFE" wp14:editId="37226F5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76D331D" w14:textId="77777777" w:rsidR="00B769A2" w:rsidRPr="00717AA2" w:rsidRDefault="00B769A2" w:rsidP="009756DC">
            <w:pPr>
              <w:rPr>
                <w:lang w:val="fr-FR"/>
              </w:rPr>
            </w:pPr>
            <w:r w:rsidRPr="00717AA2">
              <w:rPr>
                <w:noProof/>
                <w:lang w:eastAsia="en-GB"/>
              </w:rPr>
              <w:drawing>
                <wp:inline distT="0" distB="0" distL="0" distR="0" wp14:anchorId="3F15AB01" wp14:editId="3D4E15C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34E8707" w14:textId="77777777" w:rsidR="00B769A2" w:rsidRPr="00717AA2" w:rsidRDefault="00B769A2" w:rsidP="009756DC">
            <w:pPr>
              <w:jc w:val="right"/>
              <w:rPr>
                <w:rFonts w:ascii="Arial" w:hAnsi="Arial" w:cs="Arial"/>
                <w:b/>
                <w:sz w:val="32"/>
                <w:szCs w:val="32"/>
                <w:lang w:val="fr-FR"/>
              </w:rPr>
            </w:pPr>
            <w:r w:rsidRPr="00717AA2">
              <w:rPr>
                <w:rFonts w:ascii="Arial" w:hAnsi="Arial" w:cs="Arial"/>
                <w:b/>
                <w:sz w:val="32"/>
                <w:szCs w:val="32"/>
                <w:lang w:val="fr-FR"/>
              </w:rPr>
              <w:t>CBD</w:t>
            </w:r>
          </w:p>
        </w:tc>
      </w:tr>
      <w:tr w:rsidR="00B769A2" w:rsidRPr="00717AA2" w14:paraId="44F81FDC" w14:textId="77777777" w:rsidTr="009756DC">
        <w:tc>
          <w:tcPr>
            <w:tcW w:w="6117" w:type="dxa"/>
            <w:gridSpan w:val="2"/>
            <w:tcBorders>
              <w:top w:val="single" w:sz="12" w:space="0" w:color="auto"/>
              <w:bottom w:val="single" w:sz="36" w:space="0" w:color="auto"/>
            </w:tcBorders>
            <w:vAlign w:val="center"/>
          </w:tcPr>
          <w:p w14:paraId="434A02BA" w14:textId="3D21AB96" w:rsidR="00B769A2" w:rsidRPr="00717AA2" w:rsidRDefault="00101F1F" w:rsidP="009756DC">
            <w:pPr>
              <w:rPr>
                <w:lang w:val="fr-FR"/>
              </w:rPr>
            </w:pPr>
            <w:r w:rsidRPr="00717AA2">
              <w:rPr>
                <w:bCs/>
                <w:noProof/>
                <w:szCs w:val="22"/>
                <w:lang w:eastAsia="en-GB"/>
              </w:rPr>
              <w:drawing>
                <wp:inline distT="0" distB="0" distL="0" distR="0" wp14:anchorId="4FC0737B" wp14:editId="251B154B">
                  <wp:extent cx="2851150" cy="1079500"/>
                  <wp:effectExtent l="19050" t="0" r="6350" b="0"/>
                  <wp:docPr id="2"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srcRect/>
                          <a:stretch>
                            <a:fillRect/>
                          </a:stretch>
                        </pic:blipFill>
                        <pic:spPr bwMode="auto">
                          <a:xfrm>
                            <a:off x="0" y="0"/>
                            <a:ext cx="2851150" cy="10795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09576939" w14:textId="77777777" w:rsidR="00B769A2" w:rsidRPr="00717AA2" w:rsidRDefault="00B769A2" w:rsidP="009756DC">
            <w:pPr>
              <w:ind w:left="1215"/>
              <w:rPr>
                <w:noProof/>
                <w:szCs w:val="22"/>
                <w:lang w:val="fr-FR"/>
              </w:rPr>
            </w:pPr>
            <w:r w:rsidRPr="00717AA2">
              <w:rPr>
                <w:noProof/>
                <w:szCs w:val="22"/>
                <w:lang w:val="fr-FR"/>
              </w:rPr>
              <w:t>Distr.</w:t>
            </w:r>
          </w:p>
          <w:p w14:paraId="796C6667" w14:textId="50E30691" w:rsidR="00B769A2" w:rsidRPr="00717AA2" w:rsidRDefault="00925C96" w:rsidP="009756DC">
            <w:pPr>
              <w:ind w:left="1215"/>
              <w:rPr>
                <w:szCs w:val="22"/>
                <w:lang w:val="fr-FR"/>
              </w:rPr>
            </w:pPr>
            <w:sdt>
              <w:sdtPr>
                <w:rPr>
                  <w:szCs w:val="22"/>
                  <w:lang w:val="fr-FR"/>
                </w:rPr>
                <w:alias w:val="Status"/>
                <w:tag w:val=""/>
                <w:id w:val="307985777"/>
                <w:placeholder>
                  <w:docPart w:val="BC98A406362F41F091A43DD382B4C7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DB5E9B">
                  <w:rPr>
                    <w:szCs w:val="22"/>
                  </w:rPr>
                  <w:t>GÉNÉRALE</w:t>
                </w:r>
              </w:sdtContent>
            </w:sdt>
          </w:p>
          <w:p w14:paraId="4EA16E2F" w14:textId="77777777" w:rsidR="00B769A2" w:rsidRPr="00717AA2" w:rsidRDefault="00B769A2" w:rsidP="009756DC">
            <w:pPr>
              <w:ind w:left="1215"/>
              <w:rPr>
                <w:szCs w:val="22"/>
                <w:lang w:val="fr-FR"/>
              </w:rPr>
            </w:pPr>
          </w:p>
          <w:p w14:paraId="220CE927" w14:textId="580D3BA5" w:rsidR="00B769A2" w:rsidRPr="00717AA2" w:rsidRDefault="00925C96" w:rsidP="009756DC">
            <w:pPr>
              <w:ind w:left="1215"/>
              <w:rPr>
                <w:szCs w:val="22"/>
                <w:lang w:val="fr-FR"/>
              </w:rPr>
            </w:pPr>
            <w:sdt>
              <w:sdtPr>
                <w:rPr>
                  <w:lang w:val="fr-FR"/>
                </w:rPr>
                <w:alias w:val="Subject"/>
                <w:tag w:val=""/>
                <w:id w:val="2137136483"/>
                <w:placeholder>
                  <w:docPart w:val="2F5F6A7A0EA44AD89C6CA1660E93BD77"/>
                </w:placeholder>
                <w:dataBinding w:prefixMappings="xmlns:ns0='http://purl.org/dc/elements/1.1/' xmlns:ns1='http://schemas.openxmlformats.org/package/2006/metadata/core-properties' " w:xpath="/ns1:coreProperties[1]/ns0:subject[1]" w:storeItemID="{6C3C8BC8-F283-45AE-878A-BAB7291924A1}"/>
                <w:text/>
              </w:sdtPr>
              <w:sdtEndPr/>
              <w:sdtContent>
                <w:r w:rsidR="00DB5E9B">
                  <w:t>CBD/COP/DEC/14/27</w:t>
                </w:r>
              </w:sdtContent>
            </w:sdt>
          </w:p>
          <w:p w14:paraId="64593C1B" w14:textId="1C268C2F" w:rsidR="00B769A2" w:rsidRPr="00717AA2" w:rsidRDefault="00A33F89" w:rsidP="00101F1F">
            <w:pPr>
              <w:ind w:left="1215"/>
              <w:rPr>
                <w:szCs w:val="22"/>
                <w:lang w:val="fr-FR"/>
              </w:rPr>
            </w:pPr>
            <w:r>
              <w:rPr>
                <w:szCs w:val="22"/>
                <w:lang w:val="fr-FR"/>
              </w:rPr>
              <w:t>30</w:t>
            </w:r>
            <w:r w:rsidR="00101F1F" w:rsidRPr="00717AA2">
              <w:rPr>
                <w:szCs w:val="22"/>
                <w:lang w:val="fr-FR"/>
              </w:rPr>
              <w:t xml:space="preserve"> novembre </w:t>
            </w:r>
            <w:r w:rsidR="00B769A2" w:rsidRPr="00717AA2">
              <w:rPr>
                <w:szCs w:val="22"/>
                <w:lang w:val="fr-FR"/>
              </w:rPr>
              <w:t>2018</w:t>
            </w:r>
          </w:p>
          <w:p w14:paraId="4E63C7D3" w14:textId="77777777" w:rsidR="00B769A2" w:rsidRPr="00717AA2" w:rsidRDefault="00B769A2" w:rsidP="009756DC">
            <w:pPr>
              <w:ind w:left="1215"/>
              <w:rPr>
                <w:szCs w:val="22"/>
                <w:lang w:val="fr-FR"/>
              </w:rPr>
            </w:pPr>
          </w:p>
          <w:p w14:paraId="5C12BAF4" w14:textId="29B501CA" w:rsidR="00101F1F" w:rsidRPr="00717AA2" w:rsidRDefault="00101F1F" w:rsidP="009756DC">
            <w:pPr>
              <w:ind w:left="1215"/>
              <w:rPr>
                <w:szCs w:val="22"/>
                <w:lang w:val="fr-FR"/>
              </w:rPr>
            </w:pPr>
            <w:r w:rsidRPr="00717AA2">
              <w:rPr>
                <w:szCs w:val="22"/>
                <w:lang w:val="fr-FR"/>
              </w:rPr>
              <w:t>FRANÇAIS</w:t>
            </w:r>
          </w:p>
          <w:p w14:paraId="64F5D8B2" w14:textId="2B4801F3" w:rsidR="00B769A2" w:rsidRPr="00717AA2" w:rsidRDefault="00101F1F" w:rsidP="00101F1F">
            <w:pPr>
              <w:ind w:left="1215"/>
              <w:rPr>
                <w:szCs w:val="22"/>
                <w:lang w:val="fr-FR"/>
              </w:rPr>
            </w:pPr>
            <w:r w:rsidRPr="00717AA2">
              <w:rPr>
                <w:szCs w:val="22"/>
                <w:lang w:val="fr-FR"/>
              </w:rPr>
              <w:t>O</w:t>
            </w:r>
            <w:r w:rsidR="00B769A2" w:rsidRPr="00717AA2">
              <w:rPr>
                <w:szCs w:val="22"/>
                <w:lang w:val="fr-FR"/>
              </w:rPr>
              <w:t>RIGINAL</w:t>
            </w:r>
            <w:r w:rsidRPr="00717AA2">
              <w:rPr>
                <w:szCs w:val="22"/>
                <w:lang w:val="fr-FR"/>
              </w:rPr>
              <w:t> : ANGLAIS</w:t>
            </w:r>
          </w:p>
          <w:p w14:paraId="468705D9" w14:textId="77777777" w:rsidR="00B769A2" w:rsidRPr="00717AA2" w:rsidRDefault="00B769A2" w:rsidP="009756DC">
            <w:pPr>
              <w:rPr>
                <w:lang w:val="fr-FR"/>
              </w:rPr>
            </w:pPr>
          </w:p>
        </w:tc>
      </w:tr>
    </w:tbl>
    <w:p w14:paraId="7DEB2671" w14:textId="74175235" w:rsidR="00B769A2" w:rsidRPr="00717AA2" w:rsidRDefault="00101F1F" w:rsidP="00101F1F">
      <w:pPr>
        <w:pStyle w:val="NoSpacing"/>
        <w:ind w:left="142" w:right="4682" w:hanging="142"/>
        <w:rPr>
          <w:rFonts w:ascii="Times New Roman" w:hAnsi="Times New Roman"/>
          <w:lang w:val="fr-FR"/>
        </w:rPr>
      </w:pPr>
      <w:r w:rsidRPr="00717AA2">
        <w:rPr>
          <w:rFonts w:ascii="Times New Roman" w:hAnsi="Times New Roman"/>
          <w:lang w:val="fr-FR"/>
        </w:rPr>
        <w:t>CONFÉ</w:t>
      </w:r>
      <w:r w:rsidR="00B769A2" w:rsidRPr="00717AA2">
        <w:rPr>
          <w:rFonts w:ascii="Times New Roman" w:hAnsi="Times New Roman"/>
          <w:lang w:val="fr-FR"/>
        </w:rPr>
        <w:t xml:space="preserve">RENCE </w:t>
      </w:r>
      <w:r w:rsidRPr="00717AA2">
        <w:rPr>
          <w:rFonts w:ascii="Times New Roman" w:hAnsi="Times New Roman"/>
          <w:lang w:val="fr-FR"/>
        </w:rPr>
        <w:t>DES</w:t>
      </w:r>
      <w:r w:rsidR="00B769A2" w:rsidRPr="00717AA2">
        <w:rPr>
          <w:rFonts w:ascii="Times New Roman" w:hAnsi="Times New Roman"/>
          <w:lang w:val="fr-FR"/>
        </w:rPr>
        <w:t xml:space="preserve"> PARTIES </w:t>
      </w:r>
      <w:r w:rsidRPr="00717AA2">
        <w:rPr>
          <w:rFonts w:ascii="Times New Roman" w:hAnsi="Times New Roman"/>
          <w:lang w:val="fr-FR"/>
        </w:rPr>
        <w:t xml:space="preserve">À LA </w:t>
      </w:r>
      <w:r w:rsidR="00B769A2" w:rsidRPr="00717AA2">
        <w:rPr>
          <w:rFonts w:ascii="Times New Roman" w:hAnsi="Times New Roman"/>
          <w:lang w:val="fr-FR"/>
        </w:rPr>
        <w:t xml:space="preserve">CONVENTION </w:t>
      </w:r>
      <w:r w:rsidRPr="00717AA2">
        <w:rPr>
          <w:rFonts w:ascii="Times New Roman" w:hAnsi="Times New Roman"/>
          <w:lang w:val="fr-FR"/>
        </w:rPr>
        <w:t>SUR LA DIVERSITÉ BIOLOGIQUE</w:t>
      </w:r>
    </w:p>
    <w:p w14:paraId="5B0F9F9E" w14:textId="213F292F" w:rsidR="0061445E" w:rsidRPr="00717AA2" w:rsidRDefault="00101F1F" w:rsidP="00101F1F">
      <w:pPr>
        <w:pStyle w:val="NoSpacing"/>
        <w:rPr>
          <w:rFonts w:ascii="Times New Roman" w:hAnsi="Times New Roman"/>
          <w:lang w:val="fr-FR"/>
        </w:rPr>
      </w:pPr>
      <w:r w:rsidRPr="00717AA2">
        <w:rPr>
          <w:rFonts w:ascii="Times New Roman" w:hAnsi="Times New Roman"/>
          <w:lang w:val="fr-FR"/>
        </w:rPr>
        <w:t>Quatorzième</w:t>
      </w:r>
      <w:r w:rsidR="0061445E" w:rsidRPr="00717AA2">
        <w:rPr>
          <w:rFonts w:ascii="Times New Roman" w:hAnsi="Times New Roman"/>
          <w:lang w:val="fr-FR"/>
        </w:rPr>
        <w:t xml:space="preserve"> </w:t>
      </w:r>
      <w:r w:rsidRPr="00717AA2">
        <w:rPr>
          <w:rFonts w:ascii="Times New Roman" w:hAnsi="Times New Roman"/>
          <w:lang w:val="fr-FR"/>
        </w:rPr>
        <w:t>réunion</w:t>
      </w:r>
    </w:p>
    <w:p w14:paraId="016B4752" w14:textId="0414BD23" w:rsidR="0061445E" w:rsidRPr="00717AA2" w:rsidRDefault="003848E1" w:rsidP="00101F1F">
      <w:pPr>
        <w:pStyle w:val="NoSpacing"/>
        <w:rPr>
          <w:rFonts w:ascii="Times New Roman" w:hAnsi="Times New Roman"/>
          <w:lang w:val="fr-FR"/>
        </w:rPr>
      </w:pPr>
      <w:r>
        <w:rPr>
          <w:rFonts w:ascii="Times New Roman" w:hAnsi="Times New Roman"/>
          <w:noProof/>
          <w:lang w:val="fr-FR"/>
        </w:rPr>
        <w:t>C</w:t>
      </w:r>
      <w:r w:rsidR="0061445E" w:rsidRPr="00717AA2">
        <w:rPr>
          <w:rFonts w:ascii="Times New Roman" w:hAnsi="Times New Roman"/>
          <w:noProof/>
          <w:lang w:val="fr-FR"/>
        </w:rPr>
        <w:t>harm</w:t>
      </w:r>
      <w:r w:rsidR="0061445E" w:rsidRPr="00717AA2">
        <w:rPr>
          <w:rFonts w:ascii="Times New Roman" w:hAnsi="Times New Roman"/>
          <w:lang w:val="fr-FR"/>
        </w:rPr>
        <w:t xml:space="preserve"> </w:t>
      </w:r>
      <w:r>
        <w:rPr>
          <w:rFonts w:ascii="Times New Roman" w:hAnsi="Times New Roman"/>
          <w:lang w:val="fr-FR"/>
        </w:rPr>
        <w:t>el-C</w:t>
      </w:r>
      <w:r w:rsidR="00101F1F" w:rsidRPr="00717AA2">
        <w:rPr>
          <w:rFonts w:ascii="Times New Roman" w:hAnsi="Times New Roman"/>
          <w:lang w:val="fr-FR"/>
        </w:rPr>
        <w:t>heikh (É</w:t>
      </w:r>
      <w:r w:rsidR="0061445E" w:rsidRPr="00717AA2">
        <w:rPr>
          <w:rFonts w:ascii="Times New Roman" w:hAnsi="Times New Roman"/>
          <w:lang w:val="fr-FR"/>
        </w:rPr>
        <w:t>gypt</w:t>
      </w:r>
      <w:r w:rsidR="00101F1F" w:rsidRPr="00717AA2">
        <w:rPr>
          <w:rFonts w:ascii="Times New Roman" w:hAnsi="Times New Roman"/>
          <w:lang w:val="fr-FR"/>
        </w:rPr>
        <w:t>e)</w:t>
      </w:r>
      <w:r w:rsidR="0061445E" w:rsidRPr="00717AA2">
        <w:rPr>
          <w:rFonts w:ascii="Times New Roman" w:hAnsi="Times New Roman"/>
          <w:lang w:val="fr-FR"/>
        </w:rPr>
        <w:t>, 17-29</w:t>
      </w:r>
      <w:r w:rsidR="00101F1F" w:rsidRPr="00717AA2">
        <w:rPr>
          <w:rFonts w:ascii="Times New Roman" w:hAnsi="Times New Roman"/>
          <w:lang w:val="fr-FR"/>
        </w:rPr>
        <w:t xml:space="preserve"> novembre </w:t>
      </w:r>
      <w:r w:rsidR="0061445E" w:rsidRPr="00717AA2">
        <w:rPr>
          <w:rFonts w:ascii="Times New Roman" w:hAnsi="Times New Roman"/>
          <w:lang w:val="fr-FR"/>
        </w:rPr>
        <w:t>2018</w:t>
      </w:r>
    </w:p>
    <w:p w14:paraId="0B9BBCE1" w14:textId="00F0660D" w:rsidR="00C9161D" w:rsidRDefault="00101F1F" w:rsidP="00101F1F">
      <w:pPr>
        <w:rPr>
          <w:lang w:val="fr-FR"/>
        </w:rPr>
      </w:pPr>
      <w:r w:rsidRPr="00717AA2">
        <w:rPr>
          <w:lang w:val="fr-FR"/>
        </w:rPr>
        <w:t>Point </w:t>
      </w:r>
      <w:r w:rsidR="00C545B9" w:rsidRPr="00717AA2">
        <w:rPr>
          <w:lang w:val="fr-FR"/>
        </w:rPr>
        <w:t>12</w:t>
      </w:r>
      <w:r w:rsidRPr="00717AA2">
        <w:rPr>
          <w:lang w:val="fr-FR"/>
        </w:rPr>
        <w:t xml:space="preserve"> de l’ordre du jour</w:t>
      </w:r>
    </w:p>
    <w:p w14:paraId="0DDCAE42" w14:textId="257B3EEB" w:rsidR="00A33F89" w:rsidRPr="00A33F89" w:rsidRDefault="00A33F89" w:rsidP="00A33F89">
      <w:pPr>
        <w:spacing w:before="240" w:after="120"/>
        <w:jc w:val="center"/>
        <w:rPr>
          <w:b/>
          <w:lang w:val="fr-FR"/>
        </w:rPr>
      </w:pPr>
      <w:r>
        <w:rPr>
          <w:b/>
          <w:lang w:val="fr-FR"/>
        </w:rPr>
        <w:t>DÉCISION ADOPTÉE PAR LA CONFÉRENCE DES PARTIES À LA CONVENTION SUR LA DIVERSITÉ BIOLOGIQUE</w:t>
      </w:r>
    </w:p>
    <w:p w14:paraId="70A9BE08" w14:textId="59833D40" w:rsidR="00C9161D" w:rsidRPr="00717AA2" w:rsidRDefault="00925C96" w:rsidP="00101F1F">
      <w:pPr>
        <w:spacing w:before="120" w:after="240"/>
        <w:jc w:val="center"/>
        <w:rPr>
          <w:b/>
          <w:caps/>
          <w:lang w:val="fr-FR"/>
        </w:rPr>
      </w:pPr>
      <w:sdt>
        <w:sdtPr>
          <w:rPr>
            <w:b/>
            <w:bC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030D1">
            <w:rPr>
              <w:b/>
              <w:bCs/>
              <w:lang w:val="fr-FR"/>
            </w:rPr>
            <w:t>14/27.</w:t>
          </w:r>
          <w:r w:rsidR="005030D1">
            <w:rPr>
              <w:b/>
              <w:bCs/>
              <w:lang w:val="fr-FR"/>
            </w:rPr>
            <w:tab/>
            <w:t>Processus d</w:t>
          </w:r>
          <w:r w:rsidR="005030D1" w:rsidRPr="00717AA2">
            <w:rPr>
              <w:b/>
              <w:bCs/>
              <w:lang w:val="fr-FR"/>
            </w:rPr>
            <w:t>’alignement, évaluation et examen des rapports nationaux</w:t>
          </w:r>
        </w:sdtContent>
      </w:sdt>
      <w:r w:rsidR="00FD7A33" w:rsidRPr="00717AA2">
        <w:rPr>
          <w:b/>
          <w:lang w:val="fr-FR"/>
        </w:rPr>
        <w:t xml:space="preserve"> </w:t>
      </w:r>
    </w:p>
    <w:p w14:paraId="03DAAECA" w14:textId="6D744094" w:rsidR="001A6239" w:rsidRPr="00717AA2" w:rsidRDefault="007A3196" w:rsidP="001A6239">
      <w:pPr>
        <w:keepNext/>
        <w:suppressLineNumbers/>
        <w:suppressAutoHyphens/>
        <w:kinsoku w:val="0"/>
        <w:overflowPunct w:val="0"/>
        <w:autoSpaceDE w:val="0"/>
        <w:autoSpaceDN w:val="0"/>
        <w:adjustRightInd w:val="0"/>
        <w:snapToGrid w:val="0"/>
        <w:spacing w:before="120" w:after="120" w:line="238" w:lineRule="auto"/>
        <w:ind w:firstLine="851"/>
        <w:rPr>
          <w:i/>
          <w:snapToGrid w:val="0"/>
          <w:kern w:val="22"/>
          <w:szCs w:val="22"/>
          <w:lang w:val="fr-FR"/>
        </w:rPr>
      </w:pPr>
      <w:r>
        <w:rPr>
          <w:i/>
          <w:snapToGrid w:val="0"/>
          <w:kern w:val="22"/>
          <w:szCs w:val="22"/>
          <w:lang w:val="fr-FR" w:bidi="fr-FR"/>
        </w:rPr>
        <w:t>L</w:t>
      </w:r>
      <w:r w:rsidR="00FA2266">
        <w:rPr>
          <w:i/>
          <w:snapToGrid w:val="0"/>
          <w:kern w:val="22"/>
          <w:szCs w:val="22"/>
          <w:lang w:val="fr-FR" w:bidi="fr-FR"/>
        </w:rPr>
        <w:t>a</w:t>
      </w:r>
      <w:r w:rsidR="00987764" w:rsidRPr="00717AA2">
        <w:rPr>
          <w:i/>
          <w:snapToGrid w:val="0"/>
          <w:kern w:val="22"/>
          <w:szCs w:val="22"/>
          <w:lang w:val="fr-FR" w:bidi="fr-FR"/>
        </w:rPr>
        <w:t xml:space="preserve"> Conférence des Parties</w:t>
      </w:r>
      <w:r w:rsidR="00B769A2" w:rsidRPr="00717AA2">
        <w:rPr>
          <w:i/>
          <w:snapToGrid w:val="0"/>
          <w:kern w:val="22"/>
          <w:szCs w:val="22"/>
          <w:lang w:val="fr-FR"/>
        </w:rPr>
        <w:t>,</w:t>
      </w:r>
    </w:p>
    <w:p w14:paraId="61C918A0" w14:textId="5F5EAF14" w:rsidR="00C545B9" w:rsidRPr="00717AA2" w:rsidRDefault="00987764" w:rsidP="00C545B9">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i/>
          <w:snapToGrid/>
          <w:kern w:val="22"/>
          <w:szCs w:val="22"/>
          <w:lang w:val="fr-FR" w:bidi="fr-FR"/>
        </w:rPr>
        <w:t>Soulignant</w:t>
      </w:r>
      <w:r w:rsidRPr="00717AA2">
        <w:rPr>
          <w:snapToGrid/>
          <w:kern w:val="22"/>
          <w:szCs w:val="22"/>
          <w:lang w:val="fr-FR" w:bidi="fr-FR"/>
        </w:rPr>
        <w:t xml:space="preserve"> l’importance d’améliorer l’alignement des rapports nationaux au titre de la Convention et de ses protocoles afin de réduire les exigences en matière d’établissement de rapports</w:t>
      </w:r>
      <w:r w:rsidR="00C545B9" w:rsidRPr="00717AA2">
        <w:rPr>
          <w:snapToGrid/>
          <w:kern w:val="22"/>
          <w:szCs w:val="22"/>
          <w:lang w:val="fr-FR"/>
        </w:rPr>
        <w:t>,</w:t>
      </w:r>
    </w:p>
    <w:p w14:paraId="7AC297B9" w14:textId="4EE86547" w:rsidR="00C545B9" w:rsidRPr="00717AA2" w:rsidRDefault="005030D1" w:rsidP="00C545B9">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Pr>
          <w:i/>
          <w:snapToGrid/>
          <w:kern w:val="22"/>
          <w:szCs w:val="22"/>
          <w:lang w:val="fr-FR" w:bidi="fr-FR"/>
        </w:rPr>
        <w:t>Soulign</w:t>
      </w:r>
      <w:r w:rsidR="00987764" w:rsidRPr="00717AA2">
        <w:rPr>
          <w:i/>
          <w:snapToGrid/>
          <w:kern w:val="22"/>
          <w:szCs w:val="22"/>
          <w:lang w:val="fr-FR" w:bidi="fr-FR"/>
        </w:rPr>
        <w:t>ant également</w:t>
      </w:r>
      <w:r w:rsidR="00987764" w:rsidRPr="00717AA2">
        <w:rPr>
          <w:snapToGrid/>
          <w:kern w:val="22"/>
          <w:szCs w:val="22"/>
          <w:lang w:val="fr-FR" w:bidi="fr-FR"/>
        </w:rPr>
        <w:t xml:space="preserve"> l’i</w:t>
      </w:r>
      <w:bookmarkStart w:id="0" w:name="_GoBack"/>
      <w:bookmarkEnd w:id="0"/>
      <w:r w:rsidR="00987764" w:rsidRPr="00717AA2">
        <w:rPr>
          <w:snapToGrid/>
          <w:kern w:val="22"/>
          <w:szCs w:val="22"/>
          <w:lang w:val="fr-FR" w:bidi="fr-FR"/>
        </w:rPr>
        <w:t xml:space="preserve">mportance d’accroître les synergies entre les conventions relatives à la diversité biologique et les conventions de Rio, et </w:t>
      </w:r>
      <w:r w:rsidR="00987764" w:rsidRPr="00717AA2">
        <w:rPr>
          <w:i/>
          <w:snapToGrid/>
          <w:kern w:val="22"/>
          <w:szCs w:val="22"/>
          <w:lang w:val="fr-FR" w:bidi="fr-FR"/>
        </w:rPr>
        <w:t>prenant note</w:t>
      </w:r>
      <w:r w:rsidR="00987764" w:rsidRPr="00717AA2">
        <w:rPr>
          <w:snapToGrid/>
          <w:kern w:val="22"/>
          <w:szCs w:val="22"/>
          <w:lang w:val="fr-FR" w:bidi="fr-FR"/>
        </w:rPr>
        <w:t xml:space="preserve"> des progrès déjà accomplis à cet égard, y compris les activités du groupe de liaison</w:t>
      </w:r>
      <w:r>
        <w:rPr>
          <w:snapToGrid/>
          <w:kern w:val="22"/>
          <w:szCs w:val="22"/>
          <w:lang w:val="fr-FR" w:bidi="fr-FR"/>
        </w:rPr>
        <w:t xml:space="preserve"> des conventions relatives à la biodiversité et </w:t>
      </w:r>
      <w:r w:rsidR="00987764" w:rsidRPr="00717AA2">
        <w:rPr>
          <w:snapToGrid/>
          <w:kern w:val="22"/>
          <w:szCs w:val="22"/>
          <w:lang w:val="fr-FR" w:bidi="fr-FR"/>
        </w:rPr>
        <w:t>du gr</w:t>
      </w:r>
      <w:r>
        <w:rPr>
          <w:snapToGrid/>
          <w:kern w:val="22"/>
          <w:szCs w:val="22"/>
          <w:lang w:val="fr-FR" w:bidi="fr-FR"/>
        </w:rPr>
        <w:t>oupe de liaison conjoint des c</w:t>
      </w:r>
      <w:r w:rsidR="00987764" w:rsidRPr="00717AA2">
        <w:rPr>
          <w:snapToGrid/>
          <w:kern w:val="22"/>
          <w:szCs w:val="22"/>
          <w:lang w:val="fr-FR" w:bidi="fr-FR"/>
        </w:rPr>
        <w:t>onvention</w:t>
      </w:r>
      <w:r>
        <w:rPr>
          <w:snapToGrid/>
          <w:kern w:val="22"/>
          <w:szCs w:val="22"/>
          <w:lang w:val="fr-FR" w:bidi="fr-FR"/>
        </w:rPr>
        <w:t>s</w:t>
      </w:r>
      <w:r w:rsidR="00987764" w:rsidRPr="00717AA2">
        <w:rPr>
          <w:snapToGrid/>
          <w:kern w:val="22"/>
          <w:szCs w:val="22"/>
          <w:lang w:val="fr-FR" w:bidi="fr-FR"/>
        </w:rPr>
        <w:t xml:space="preserve"> de Rio, ainsi que des initiatives pertinentes </w:t>
      </w:r>
      <w:r>
        <w:rPr>
          <w:snapToGrid/>
          <w:kern w:val="22"/>
          <w:szCs w:val="22"/>
          <w:lang w:val="fr-FR" w:bidi="fr-FR"/>
        </w:rPr>
        <w:t>telles que le développement de l’</w:t>
      </w:r>
      <w:r w:rsidR="00987764" w:rsidRPr="00717AA2">
        <w:rPr>
          <w:snapToGrid/>
          <w:kern w:val="22"/>
          <w:szCs w:val="22"/>
          <w:lang w:val="fr-FR" w:bidi="fr-FR"/>
        </w:rPr>
        <w:t>o</w:t>
      </w:r>
      <w:r w:rsidR="00764742">
        <w:rPr>
          <w:snapToGrid/>
          <w:kern w:val="22"/>
          <w:szCs w:val="22"/>
          <w:lang w:val="fr-FR" w:bidi="fr-FR"/>
        </w:rPr>
        <w:t xml:space="preserve">util d’analyse et de communication </w:t>
      </w:r>
      <w:r w:rsidR="00987764" w:rsidRPr="00717AA2">
        <w:rPr>
          <w:snapToGrid/>
          <w:kern w:val="22"/>
          <w:szCs w:val="22"/>
          <w:lang w:val="fr-FR" w:bidi="fr-FR"/>
        </w:rPr>
        <w:t>des données dans le cadre d’</w:t>
      </w:r>
      <w:proofErr w:type="spellStart"/>
      <w:r w:rsidR="00987764" w:rsidRPr="00717AA2">
        <w:rPr>
          <w:snapToGrid/>
          <w:kern w:val="22"/>
          <w:szCs w:val="22"/>
          <w:lang w:val="fr-FR" w:bidi="fr-FR"/>
        </w:rPr>
        <w:t>InforMEA</w:t>
      </w:r>
      <w:proofErr w:type="spellEnd"/>
      <w:r w:rsidR="00C545B9" w:rsidRPr="00717AA2">
        <w:rPr>
          <w:snapToGrid/>
          <w:kern w:val="22"/>
          <w:szCs w:val="22"/>
          <w:lang w:val="fr-FR"/>
        </w:rPr>
        <w:t>,</w:t>
      </w:r>
    </w:p>
    <w:p w14:paraId="1643A01A" w14:textId="360F7265" w:rsidR="00C545B9" w:rsidRPr="00717AA2" w:rsidRDefault="00987764" w:rsidP="00C545B9">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i/>
          <w:snapToGrid/>
          <w:kern w:val="22"/>
          <w:szCs w:val="22"/>
          <w:lang w:val="fr-FR" w:bidi="fr-FR"/>
        </w:rPr>
        <w:t>Reconnaissant</w:t>
      </w:r>
      <w:r w:rsidRPr="00717AA2">
        <w:rPr>
          <w:snapToGrid/>
          <w:kern w:val="22"/>
          <w:szCs w:val="22"/>
          <w:lang w:val="fr-FR" w:bidi="fr-FR"/>
        </w:rPr>
        <w:t xml:space="preserve"> le potentiel du cadre mondial de la biodiversité pour l'après-2020 pour faciliter l’alignement des rapports nationaux au titre de la Convention et de ses protocoles</w:t>
      </w:r>
      <w:r w:rsidR="00C545B9" w:rsidRPr="00717AA2">
        <w:rPr>
          <w:snapToGrid/>
          <w:kern w:val="22"/>
          <w:szCs w:val="22"/>
          <w:lang w:val="fr-FR"/>
        </w:rPr>
        <w:t>,</w:t>
      </w:r>
    </w:p>
    <w:p w14:paraId="3B61BDB8" w14:textId="2C11126D" w:rsidR="00C545B9" w:rsidRPr="00717AA2" w:rsidRDefault="00F364F9" w:rsidP="00C545B9">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Pr>
          <w:i/>
          <w:snapToGrid/>
          <w:kern w:val="22"/>
          <w:szCs w:val="22"/>
          <w:lang w:val="fr-FR" w:bidi="fr-FR"/>
        </w:rPr>
        <w:t>Reconnaissant</w:t>
      </w:r>
      <w:r w:rsidR="00987764" w:rsidRPr="00717AA2">
        <w:rPr>
          <w:i/>
          <w:snapToGrid/>
          <w:kern w:val="22"/>
          <w:szCs w:val="22"/>
          <w:lang w:val="fr-FR" w:bidi="fr-FR"/>
        </w:rPr>
        <w:t xml:space="preserve"> également </w:t>
      </w:r>
      <w:r w:rsidR="00987764" w:rsidRPr="00717AA2">
        <w:rPr>
          <w:snapToGrid/>
          <w:kern w:val="22"/>
          <w:szCs w:val="22"/>
          <w:lang w:val="fr-FR" w:bidi="fr-FR"/>
        </w:rPr>
        <w:t>que la Convention et chacun des protocoles sont des i</w:t>
      </w:r>
      <w:r>
        <w:rPr>
          <w:snapToGrid/>
          <w:kern w:val="22"/>
          <w:szCs w:val="22"/>
          <w:lang w:val="fr-FR" w:bidi="fr-FR"/>
        </w:rPr>
        <w:t>nstruments juridiques distincts</w:t>
      </w:r>
      <w:r w:rsidR="00987764" w:rsidRPr="00717AA2">
        <w:rPr>
          <w:snapToGrid/>
          <w:kern w:val="22"/>
          <w:szCs w:val="22"/>
          <w:lang w:val="fr-FR" w:bidi="fr-FR"/>
        </w:rPr>
        <w:t xml:space="preserve"> impliquant des obligations spécifiques pour leurs Parties, et que les renseigneme</w:t>
      </w:r>
      <w:r>
        <w:rPr>
          <w:snapToGrid/>
          <w:kern w:val="22"/>
          <w:szCs w:val="22"/>
          <w:lang w:val="fr-FR" w:bidi="fr-FR"/>
        </w:rPr>
        <w:t>nts fournis dans les formats</w:t>
      </w:r>
      <w:r w:rsidR="00987764" w:rsidRPr="00717AA2">
        <w:rPr>
          <w:snapToGrid/>
          <w:kern w:val="22"/>
          <w:szCs w:val="22"/>
          <w:lang w:val="fr-FR" w:bidi="fr-FR"/>
        </w:rPr>
        <w:t xml:space="preserve"> des rapports nationaux dépendent de l’orientation et des objectifs des stratégies d’application adoptée</w:t>
      </w:r>
      <w:r>
        <w:rPr>
          <w:snapToGrid/>
          <w:kern w:val="22"/>
          <w:szCs w:val="22"/>
          <w:lang w:val="fr-FR" w:bidi="fr-FR"/>
        </w:rPr>
        <w:t>s au titre de chaque instrument</w:t>
      </w:r>
      <w:r w:rsidR="00987764" w:rsidRPr="00717AA2">
        <w:rPr>
          <w:snapToGrid/>
          <w:kern w:val="22"/>
          <w:szCs w:val="22"/>
          <w:lang w:val="fr-FR" w:bidi="fr-FR"/>
        </w:rPr>
        <w:t xml:space="preserve"> à un moment donné</w:t>
      </w:r>
      <w:r w:rsidR="00C545B9" w:rsidRPr="00717AA2">
        <w:rPr>
          <w:snapToGrid/>
          <w:kern w:val="22"/>
          <w:szCs w:val="22"/>
          <w:lang w:val="fr-FR"/>
        </w:rPr>
        <w:t>,</w:t>
      </w:r>
    </w:p>
    <w:p w14:paraId="2FB7FF21" w14:textId="1E290FE9" w:rsidR="00C545B9" w:rsidRPr="00717AA2" w:rsidRDefault="00987764" w:rsidP="00C545B9">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i/>
          <w:snapToGrid/>
          <w:kern w:val="22"/>
          <w:szCs w:val="22"/>
          <w:lang w:val="fr-FR" w:bidi="fr-FR"/>
        </w:rPr>
        <w:t xml:space="preserve">Prenant note </w:t>
      </w:r>
      <w:r w:rsidRPr="00717AA2">
        <w:rPr>
          <w:snapToGrid/>
          <w:kern w:val="22"/>
          <w:szCs w:val="22"/>
          <w:lang w:val="fr-FR" w:bidi="fr-FR"/>
        </w:rPr>
        <w:t>du besoin continu de renforcement des capacités et de soutien financier des pays en</w:t>
      </w:r>
      <w:r w:rsidR="00A53FF4">
        <w:rPr>
          <w:snapToGrid/>
          <w:kern w:val="22"/>
          <w:szCs w:val="22"/>
          <w:lang w:val="fr-FR" w:bidi="fr-FR"/>
        </w:rPr>
        <w:t xml:space="preserve"> développement, en particulier des pays les moins avancés et d</w:t>
      </w:r>
      <w:r w:rsidRPr="00717AA2">
        <w:rPr>
          <w:snapToGrid/>
          <w:kern w:val="22"/>
          <w:szCs w:val="22"/>
          <w:lang w:val="fr-FR" w:bidi="fr-FR"/>
        </w:rPr>
        <w:t>es petits État</w:t>
      </w:r>
      <w:r w:rsidR="00A53FF4">
        <w:rPr>
          <w:snapToGrid/>
          <w:kern w:val="22"/>
          <w:szCs w:val="22"/>
          <w:lang w:val="fr-FR" w:bidi="fr-FR"/>
        </w:rPr>
        <w:t>s insulaires en développement, ainsi que des</w:t>
      </w:r>
      <w:r w:rsidRPr="00717AA2">
        <w:rPr>
          <w:snapToGrid/>
          <w:kern w:val="22"/>
          <w:szCs w:val="22"/>
          <w:lang w:val="fr-FR" w:bidi="fr-FR"/>
        </w:rPr>
        <w:t xml:space="preserve"> pays à économie en transition, lors des prochains cycles de rapports en vertu de la Convention et de ses protocoles</w:t>
      </w:r>
      <w:r w:rsidR="00C545B9" w:rsidRPr="00717AA2">
        <w:rPr>
          <w:snapToGrid/>
          <w:kern w:val="22"/>
          <w:szCs w:val="22"/>
          <w:lang w:val="fr-FR"/>
        </w:rPr>
        <w:t>,</w:t>
      </w:r>
    </w:p>
    <w:p w14:paraId="40C3732C" w14:textId="07DF7F86" w:rsidR="00C545B9" w:rsidRPr="00717AA2" w:rsidRDefault="00C545B9" w:rsidP="00987764">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1.</w:t>
      </w:r>
      <w:r w:rsidRPr="00717AA2">
        <w:rPr>
          <w:snapToGrid/>
          <w:kern w:val="22"/>
          <w:szCs w:val="22"/>
          <w:lang w:val="fr-FR"/>
        </w:rPr>
        <w:tab/>
      </w:r>
      <w:r w:rsidR="00987764" w:rsidRPr="00717AA2">
        <w:rPr>
          <w:i/>
          <w:snapToGrid/>
          <w:kern w:val="22"/>
          <w:szCs w:val="22"/>
          <w:lang w:val="fr-FR" w:bidi="fr-FR"/>
        </w:rPr>
        <w:t>Décide</w:t>
      </w:r>
      <w:r w:rsidR="00A53FF4">
        <w:rPr>
          <w:snapToGrid/>
          <w:kern w:val="22"/>
          <w:szCs w:val="22"/>
          <w:lang w:val="fr-FR" w:bidi="fr-FR"/>
        </w:rPr>
        <w:t xml:space="preserve"> de commencer la synchronisation des cycles de rapports</w:t>
      </w:r>
      <w:r w:rsidR="00987764" w:rsidRPr="00717AA2">
        <w:rPr>
          <w:snapToGrid/>
          <w:kern w:val="22"/>
          <w:szCs w:val="22"/>
          <w:lang w:val="fr-FR" w:bidi="fr-FR"/>
        </w:rPr>
        <w:t xml:space="preserve"> pour la Convention, l</w:t>
      </w:r>
      <w:r w:rsidR="00A53FF4">
        <w:rPr>
          <w:snapToGrid/>
          <w:kern w:val="22"/>
          <w:szCs w:val="22"/>
          <w:lang w:val="fr-FR" w:bidi="fr-FR"/>
        </w:rPr>
        <w:t>e protocole de Cartagena et le P</w:t>
      </w:r>
      <w:r w:rsidR="00987764" w:rsidRPr="00717AA2">
        <w:rPr>
          <w:snapToGrid/>
          <w:kern w:val="22"/>
          <w:szCs w:val="22"/>
          <w:lang w:val="fr-FR" w:bidi="fr-FR"/>
        </w:rPr>
        <w:t xml:space="preserve">rotocole de Nagoya en 2023, et </w:t>
      </w:r>
      <w:r w:rsidR="00987764" w:rsidRPr="00717AA2">
        <w:rPr>
          <w:i/>
          <w:snapToGrid/>
          <w:kern w:val="22"/>
          <w:szCs w:val="22"/>
          <w:lang w:val="fr-FR" w:bidi="fr-FR"/>
        </w:rPr>
        <w:t>invite</w:t>
      </w:r>
      <w:r w:rsidR="00987764" w:rsidRPr="00717AA2">
        <w:rPr>
          <w:snapToGrid/>
          <w:kern w:val="22"/>
          <w:szCs w:val="22"/>
          <w:lang w:val="fr-FR" w:bidi="fr-FR"/>
        </w:rPr>
        <w:t xml:space="preserve"> la Conférence des Parties siégeant en tant que réunion des Parties au Protocole de Cartagena et la Conférence des Parties siégeant en tant que réunion des Parties au Protocole de Nagoya, à prendre les mesures préparatoires nécessaires pour la réalisation de ces approches et cycles d’établissement de rapports synchronisés </w:t>
      </w:r>
      <w:r w:rsidRPr="00717AA2">
        <w:rPr>
          <w:snapToGrid/>
          <w:kern w:val="22"/>
          <w:szCs w:val="22"/>
          <w:lang w:val="fr-FR"/>
        </w:rPr>
        <w:t>;</w:t>
      </w:r>
    </w:p>
    <w:p w14:paraId="25264530" w14:textId="7539671B" w:rsidR="00C545B9" w:rsidRPr="00717AA2" w:rsidRDefault="00C545B9" w:rsidP="00987764">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2.</w:t>
      </w:r>
      <w:r w:rsidRPr="00717AA2">
        <w:rPr>
          <w:snapToGrid/>
          <w:kern w:val="22"/>
          <w:szCs w:val="22"/>
          <w:lang w:val="fr-FR"/>
        </w:rPr>
        <w:tab/>
      </w:r>
      <w:r w:rsidR="00987764" w:rsidRPr="00717AA2">
        <w:rPr>
          <w:i/>
          <w:snapToGrid/>
          <w:kern w:val="22"/>
          <w:szCs w:val="22"/>
          <w:lang w:val="fr-FR" w:bidi="fr-FR"/>
        </w:rPr>
        <w:t>Encourage</w:t>
      </w:r>
      <w:r w:rsidR="00987764" w:rsidRPr="00717AA2">
        <w:rPr>
          <w:snapToGrid/>
          <w:kern w:val="22"/>
          <w:szCs w:val="22"/>
          <w:lang w:val="fr-FR" w:bidi="fr-FR"/>
        </w:rPr>
        <w:t xml:space="preserve"> les Parties à examiner les synergies possibles au niveau national, impliquant tous les processus pertinents relatifs à la diversité biologique, afin d’améliorer l’alignement et la cohérence des informations et des données dans les rapports nationaux </w:t>
      </w:r>
      <w:r w:rsidRPr="00717AA2">
        <w:rPr>
          <w:snapToGrid/>
          <w:kern w:val="22"/>
          <w:szCs w:val="22"/>
          <w:lang w:val="fr-FR"/>
        </w:rPr>
        <w:t>;</w:t>
      </w:r>
    </w:p>
    <w:p w14:paraId="483912FC" w14:textId="65586858" w:rsidR="00C545B9" w:rsidRPr="00717AA2" w:rsidRDefault="00C545B9" w:rsidP="00987764">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3.</w:t>
      </w:r>
      <w:r w:rsidRPr="00717AA2">
        <w:rPr>
          <w:snapToGrid/>
          <w:kern w:val="22"/>
          <w:szCs w:val="22"/>
          <w:lang w:val="fr-FR"/>
        </w:rPr>
        <w:tab/>
      </w:r>
      <w:r w:rsidR="00987764" w:rsidRPr="00717AA2">
        <w:rPr>
          <w:i/>
          <w:snapToGrid/>
          <w:kern w:val="22"/>
          <w:szCs w:val="22"/>
          <w:lang w:val="fr-FR" w:bidi="fr-FR"/>
        </w:rPr>
        <w:t>Demande</w:t>
      </w:r>
      <w:r w:rsidR="00987764" w:rsidRPr="00717AA2">
        <w:rPr>
          <w:snapToGrid/>
          <w:kern w:val="22"/>
          <w:szCs w:val="22"/>
          <w:lang w:val="fr-FR" w:bidi="fr-FR"/>
        </w:rPr>
        <w:t xml:space="preserve"> à la Secrétaire exécutive </w:t>
      </w:r>
      <w:r w:rsidR="00B769A2" w:rsidRPr="00717AA2">
        <w:rPr>
          <w:snapToGrid/>
          <w:kern w:val="22"/>
          <w:szCs w:val="22"/>
          <w:lang w:val="fr-FR"/>
        </w:rPr>
        <w:t>:</w:t>
      </w:r>
      <w:r w:rsidRPr="00717AA2">
        <w:rPr>
          <w:snapToGrid/>
          <w:kern w:val="22"/>
          <w:szCs w:val="22"/>
          <w:lang w:val="fr-FR"/>
        </w:rPr>
        <w:t xml:space="preserve"> </w:t>
      </w:r>
    </w:p>
    <w:p w14:paraId="509A3180" w14:textId="0844207C" w:rsidR="00C545B9" w:rsidRPr="00717AA2" w:rsidRDefault="00C545B9" w:rsidP="004F06B0">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lastRenderedPageBreak/>
        <w:t>a)</w:t>
      </w:r>
      <w:r w:rsidRPr="00717AA2">
        <w:rPr>
          <w:snapToGrid/>
          <w:kern w:val="22"/>
          <w:szCs w:val="22"/>
          <w:lang w:val="fr-FR"/>
        </w:rPr>
        <w:tab/>
      </w:r>
      <w:r w:rsidR="004F06B0" w:rsidRPr="00717AA2">
        <w:rPr>
          <w:snapToGrid/>
          <w:kern w:val="22"/>
          <w:szCs w:val="22"/>
          <w:lang w:val="fr-FR" w:bidi="fr-FR"/>
        </w:rPr>
        <w:t>D’évaluer les incidences financières des cycles de rapports synch</w:t>
      </w:r>
      <w:r w:rsidR="00DD6770">
        <w:rPr>
          <w:snapToGrid/>
          <w:kern w:val="22"/>
          <w:szCs w:val="22"/>
          <w:lang w:val="fr-FR" w:bidi="fr-FR"/>
        </w:rPr>
        <w:t>ronisés pour la Convention, le Protocole de Cartagena et le P</w:t>
      </w:r>
      <w:r w:rsidR="004F06B0" w:rsidRPr="00717AA2">
        <w:rPr>
          <w:snapToGrid/>
          <w:kern w:val="22"/>
          <w:szCs w:val="22"/>
          <w:lang w:val="fr-FR" w:bidi="fr-FR"/>
        </w:rPr>
        <w:t>rotocole de Nagoya à partir de 2023 afin d’informer le Fonds pour l’environnement mondial, dans</w:t>
      </w:r>
      <w:r w:rsidR="00DD6770">
        <w:rPr>
          <w:snapToGrid/>
          <w:kern w:val="22"/>
          <w:szCs w:val="22"/>
          <w:lang w:val="fr-FR" w:bidi="fr-FR"/>
        </w:rPr>
        <w:t xml:space="preserve"> le cadre de la préparation de</w:t>
      </w:r>
      <w:r w:rsidR="004F06B0" w:rsidRPr="00717AA2">
        <w:rPr>
          <w:snapToGrid/>
          <w:kern w:val="22"/>
          <w:szCs w:val="22"/>
          <w:lang w:val="fr-FR" w:bidi="fr-FR"/>
        </w:rPr>
        <w:t xml:space="preserve"> la reconstitution du Fonds d’affectation spéciale pour le cycle 2022-2026 </w:t>
      </w:r>
      <w:r w:rsidRPr="00717AA2">
        <w:rPr>
          <w:snapToGrid/>
          <w:kern w:val="22"/>
          <w:szCs w:val="22"/>
          <w:lang w:val="fr-FR"/>
        </w:rPr>
        <w:t>;</w:t>
      </w:r>
    </w:p>
    <w:p w14:paraId="4669E12D" w14:textId="5A88068E" w:rsidR="00C545B9" w:rsidRPr="00717AA2" w:rsidRDefault="00C545B9" w:rsidP="004F06B0">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b)</w:t>
      </w:r>
      <w:r w:rsidRPr="00717AA2">
        <w:rPr>
          <w:snapToGrid/>
          <w:kern w:val="22"/>
          <w:szCs w:val="22"/>
          <w:lang w:val="fr-FR"/>
        </w:rPr>
        <w:tab/>
      </w:r>
      <w:r w:rsidR="004F06B0" w:rsidRPr="00717AA2">
        <w:rPr>
          <w:snapToGrid/>
          <w:kern w:val="22"/>
          <w:szCs w:val="22"/>
          <w:lang w:val="fr-FR" w:bidi="fr-FR"/>
        </w:rPr>
        <w:t>De poursuivre les efforts visant à améliorer et harmoniser l’interface utilisateur et la conception des rapports nationaux, y compris l’outil d’établissement de rapports en ligne, en vertu de la Convention et de s</w:t>
      </w:r>
      <w:r w:rsidR="00DD6770">
        <w:rPr>
          <w:snapToGrid/>
          <w:kern w:val="22"/>
          <w:szCs w:val="22"/>
          <w:lang w:val="fr-FR" w:bidi="fr-FR"/>
        </w:rPr>
        <w:t>es protocoles, et de rendre compte des progrès accomplis à l’O</w:t>
      </w:r>
      <w:r w:rsidR="004F06B0" w:rsidRPr="00717AA2">
        <w:rPr>
          <w:snapToGrid/>
          <w:kern w:val="22"/>
          <w:szCs w:val="22"/>
          <w:lang w:val="fr-FR" w:bidi="fr-FR"/>
        </w:rPr>
        <w:t>rgane s</w:t>
      </w:r>
      <w:r w:rsidR="00DD6770">
        <w:rPr>
          <w:snapToGrid/>
          <w:kern w:val="22"/>
          <w:szCs w:val="22"/>
          <w:lang w:val="fr-FR" w:bidi="fr-FR"/>
        </w:rPr>
        <w:t>ubsidiaire chargé de l’application à sa troisième réunion</w:t>
      </w:r>
      <w:r w:rsidR="004F06B0" w:rsidRPr="00717AA2">
        <w:rPr>
          <w:snapToGrid/>
          <w:kern w:val="22"/>
          <w:szCs w:val="22"/>
          <w:lang w:val="fr-FR" w:bidi="fr-FR"/>
        </w:rPr>
        <w:t> </w:t>
      </w:r>
      <w:r w:rsidRPr="00717AA2">
        <w:rPr>
          <w:snapToGrid/>
          <w:kern w:val="22"/>
          <w:szCs w:val="22"/>
          <w:lang w:val="fr-FR"/>
        </w:rPr>
        <w:t>;</w:t>
      </w:r>
    </w:p>
    <w:p w14:paraId="66F067D7" w14:textId="3FA55358" w:rsidR="00C545B9" w:rsidRPr="00717AA2" w:rsidRDefault="00C545B9" w:rsidP="004F06B0">
      <w:pPr>
        <w:suppressLineNumbers/>
        <w:suppressAutoHyphens/>
        <w:kinsoku w:val="0"/>
        <w:overflowPunct w:val="0"/>
        <w:autoSpaceDE w:val="0"/>
        <w:autoSpaceDN w:val="0"/>
        <w:adjustRightInd w:val="0"/>
        <w:snapToGrid w:val="0"/>
        <w:spacing w:after="120"/>
        <w:ind w:firstLine="709"/>
        <w:rPr>
          <w:kern w:val="22"/>
          <w:szCs w:val="22"/>
          <w:lang w:val="fr-FR"/>
        </w:rPr>
      </w:pPr>
      <w:r w:rsidRPr="00717AA2">
        <w:rPr>
          <w:kern w:val="22"/>
          <w:szCs w:val="22"/>
          <w:lang w:val="fr-FR"/>
        </w:rPr>
        <w:t>c)</w:t>
      </w:r>
      <w:r w:rsidRPr="00717AA2">
        <w:rPr>
          <w:kern w:val="22"/>
          <w:szCs w:val="22"/>
          <w:lang w:val="fr-FR"/>
        </w:rPr>
        <w:tab/>
      </w:r>
      <w:r w:rsidR="004F06B0" w:rsidRPr="00717AA2">
        <w:rPr>
          <w:kern w:val="22"/>
          <w:szCs w:val="22"/>
          <w:lang w:val="fr-FR" w:bidi="fr-FR"/>
        </w:rPr>
        <w:t xml:space="preserve">De mettre à profit les expériences et les enseignements tirés des rapports les plus récents des </w:t>
      </w:r>
      <w:r w:rsidR="00DD6770">
        <w:rPr>
          <w:kern w:val="22"/>
          <w:szCs w:val="22"/>
          <w:lang w:val="fr-FR" w:bidi="fr-FR"/>
        </w:rPr>
        <w:t>Parties à la Convention et aux P</w:t>
      </w:r>
      <w:r w:rsidR="004F06B0" w:rsidRPr="00717AA2">
        <w:rPr>
          <w:kern w:val="22"/>
          <w:szCs w:val="22"/>
          <w:lang w:val="fr-FR" w:bidi="fr-FR"/>
        </w:rPr>
        <w:t>rotocoles de Cartagena et de Nagoya, en particulier pour favoriser le renforcement de l’alignement des processus d’établissement de rapports </w:t>
      </w:r>
      <w:r w:rsidRPr="00717AA2">
        <w:rPr>
          <w:kern w:val="22"/>
          <w:szCs w:val="22"/>
          <w:lang w:val="fr-FR"/>
        </w:rPr>
        <w:t>;</w:t>
      </w:r>
    </w:p>
    <w:p w14:paraId="2FCCA3E9" w14:textId="28522822" w:rsidR="00C545B9" w:rsidRPr="00717AA2" w:rsidRDefault="00C545B9" w:rsidP="004F06B0">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d)</w:t>
      </w:r>
      <w:r w:rsidRPr="00717AA2">
        <w:rPr>
          <w:snapToGrid/>
          <w:kern w:val="22"/>
          <w:szCs w:val="22"/>
          <w:lang w:val="fr-FR"/>
        </w:rPr>
        <w:tab/>
      </w:r>
      <w:r w:rsidR="004F06B0" w:rsidRPr="00717AA2">
        <w:rPr>
          <w:snapToGrid/>
          <w:kern w:val="22"/>
          <w:szCs w:val="22"/>
          <w:lang w:val="fr-FR" w:bidi="fr-FR"/>
        </w:rPr>
        <w:t>D’identifier, lors de la préparation des documents relatifs au cadre mondial de la biodiversité pour l'après-2020, les implications et les options de l’alignement des rapports nationaux au titre de la Convention et de ses protocoles </w:t>
      </w:r>
      <w:r w:rsidRPr="00717AA2">
        <w:rPr>
          <w:snapToGrid/>
          <w:kern w:val="22"/>
          <w:szCs w:val="22"/>
          <w:lang w:val="fr-FR"/>
        </w:rPr>
        <w:t>;</w:t>
      </w:r>
    </w:p>
    <w:p w14:paraId="58B8DE56" w14:textId="3C733AD7" w:rsidR="00C545B9" w:rsidRPr="00717AA2" w:rsidRDefault="00C545B9" w:rsidP="004F06B0">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e)</w:t>
      </w:r>
      <w:r w:rsidRPr="00717AA2">
        <w:rPr>
          <w:snapToGrid/>
          <w:kern w:val="22"/>
          <w:szCs w:val="22"/>
          <w:lang w:val="fr-FR"/>
        </w:rPr>
        <w:tab/>
      </w:r>
      <w:r w:rsidR="004F06B0" w:rsidRPr="00717AA2">
        <w:rPr>
          <w:snapToGrid/>
          <w:kern w:val="22"/>
          <w:szCs w:val="22"/>
          <w:lang w:val="fr-FR" w:bidi="fr-FR"/>
        </w:rPr>
        <w:t xml:space="preserve">D’identifier, en consultation avec les secrétariats </w:t>
      </w:r>
      <w:r w:rsidR="00DD6770">
        <w:rPr>
          <w:snapToGrid/>
          <w:kern w:val="22"/>
          <w:szCs w:val="22"/>
          <w:lang w:val="fr-FR" w:bidi="fr-FR"/>
        </w:rPr>
        <w:t xml:space="preserve">des conventions pertinentes, </w:t>
      </w:r>
      <w:r w:rsidR="004F06B0" w:rsidRPr="00717AA2">
        <w:rPr>
          <w:snapToGrid/>
          <w:kern w:val="22"/>
          <w:szCs w:val="22"/>
          <w:lang w:val="fr-FR" w:bidi="fr-FR"/>
        </w:rPr>
        <w:t xml:space="preserve">le groupe de liaison </w:t>
      </w:r>
      <w:r w:rsidR="00CC7F20">
        <w:rPr>
          <w:snapToGrid/>
          <w:kern w:val="22"/>
          <w:szCs w:val="22"/>
          <w:lang w:val="fr-FR" w:bidi="fr-FR"/>
        </w:rPr>
        <w:t xml:space="preserve">des conventions relatives à la </w:t>
      </w:r>
      <w:r w:rsidR="004F06B0" w:rsidRPr="00717AA2">
        <w:rPr>
          <w:snapToGrid/>
          <w:kern w:val="22"/>
          <w:szCs w:val="22"/>
          <w:lang w:val="fr-FR" w:bidi="fr-FR"/>
        </w:rPr>
        <w:t>diversité biolog</w:t>
      </w:r>
      <w:r w:rsidR="00CC7F20">
        <w:rPr>
          <w:snapToGrid/>
          <w:kern w:val="22"/>
          <w:szCs w:val="22"/>
          <w:lang w:val="fr-FR" w:bidi="fr-FR"/>
        </w:rPr>
        <w:t>ique</w:t>
      </w:r>
      <w:r w:rsidR="004F06B0" w:rsidRPr="00717AA2">
        <w:rPr>
          <w:snapToGrid/>
          <w:kern w:val="22"/>
          <w:szCs w:val="22"/>
          <w:lang w:val="fr-FR" w:bidi="fr-FR"/>
        </w:rPr>
        <w:t xml:space="preserve"> et le </w:t>
      </w:r>
      <w:r w:rsidR="00CC7F20">
        <w:rPr>
          <w:snapToGrid/>
          <w:kern w:val="22"/>
          <w:szCs w:val="22"/>
          <w:lang w:val="fr-FR" w:bidi="fr-FR"/>
        </w:rPr>
        <w:t>groupe de liaison conjoint des c</w:t>
      </w:r>
      <w:r w:rsidR="004F06B0" w:rsidRPr="00717AA2">
        <w:rPr>
          <w:snapToGrid/>
          <w:kern w:val="22"/>
          <w:szCs w:val="22"/>
          <w:lang w:val="fr-FR" w:bidi="fr-FR"/>
        </w:rPr>
        <w:t>onventions de Rio et, sur la base des suggestions émanant du groupe consultatif informel sur les synergies entre les conventions relatives à la d</w:t>
      </w:r>
      <w:r w:rsidR="00CC7F20">
        <w:rPr>
          <w:snapToGrid/>
          <w:kern w:val="22"/>
          <w:szCs w:val="22"/>
          <w:lang w:val="fr-FR" w:bidi="fr-FR"/>
        </w:rPr>
        <w:t>iversité biologique, des mesures</w:t>
      </w:r>
      <w:r w:rsidR="004F06B0" w:rsidRPr="00717AA2">
        <w:rPr>
          <w:snapToGrid/>
          <w:kern w:val="22"/>
          <w:szCs w:val="22"/>
          <w:lang w:val="fr-FR" w:bidi="fr-FR"/>
        </w:rPr>
        <w:t xml:space="preserve"> concrètes visant à faire avancer les synergies sur l’établissement de rapports,</w:t>
      </w:r>
      <w:r w:rsidR="00CC7F20">
        <w:rPr>
          <w:snapToGrid/>
          <w:kern w:val="22"/>
          <w:szCs w:val="22"/>
          <w:lang w:val="fr-FR" w:bidi="fr-FR"/>
        </w:rPr>
        <w:t xml:space="preserve"> au moyen, entre autres</w:t>
      </w:r>
      <w:r w:rsidR="004F06B0" w:rsidRPr="00717AA2">
        <w:rPr>
          <w:snapToGrid/>
          <w:kern w:val="22"/>
          <w:szCs w:val="22"/>
          <w:lang w:val="fr-FR" w:bidi="fr-FR"/>
        </w:rPr>
        <w:t> </w:t>
      </w:r>
      <w:r w:rsidRPr="00717AA2">
        <w:rPr>
          <w:snapToGrid/>
          <w:kern w:val="22"/>
          <w:szCs w:val="22"/>
          <w:lang w:val="fr-FR"/>
        </w:rPr>
        <w:t>:</w:t>
      </w:r>
    </w:p>
    <w:p w14:paraId="47366807" w14:textId="037D240D" w:rsidR="00C545B9" w:rsidRPr="00717AA2" w:rsidRDefault="00C545B9" w:rsidP="00717AA2">
      <w:pPr>
        <w:pStyle w:val="Para1"/>
        <w:numPr>
          <w:ilvl w:val="0"/>
          <w:numId w:val="0"/>
        </w:numPr>
        <w:suppressLineNumbers/>
        <w:suppressAutoHyphens/>
        <w:kinsoku w:val="0"/>
        <w:overflowPunct w:val="0"/>
        <w:autoSpaceDE w:val="0"/>
        <w:autoSpaceDN w:val="0"/>
        <w:adjustRightInd w:val="0"/>
        <w:snapToGrid w:val="0"/>
        <w:spacing w:after="60"/>
        <w:ind w:left="1560" w:hanging="850"/>
        <w:rPr>
          <w:snapToGrid/>
          <w:kern w:val="22"/>
          <w:szCs w:val="22"/>
          <w:lang w:val="fr-FR"/>
        </w:rPr>
      </w:pPr>
      <w:r w:rsidRPr="00717AA2">
        <w:rPr>
          <w:snapToGrid/>
          <w:kern w:val="22"/>
          <w:szCs w:val="22"/>
          <w:lang w:val="fr-FR"/>
        </w:rPr>
        <w:t>i)</w:t>
      </w:r>
      <w:r w:rsidRPr="00717AA2">
        <w:rPr>
          <w:snapToGrid/>
          <w:kern w:val="22"/>
          <w:szCs w:val="22"/>
          <w:lang w:val="fr-FR"/>
        </w:rPr>
        <w:tab/>
      </w:r>
      <w:r w:rsidR="00CC7F20">
        <w:rPr>
          <w:snapToGrid/>
          <w:kern w:val="22"/>
          <w:szCs w:val="22"/>
          <w:lang w:val="fr-FR" w:bidi="fr-FR"/>
        </w:rPr>
        <w:t>D’</w:t>
      </w:r>
      <w:r w:rsidR="00717AA2" w:rsidRPr="00717AA2">
        <w:rPr>
          <w:snapToGrid/>
          <w:kern w:val="22"/>
          <w:szCs w:val="22"/>
          <w:lang w:val="fr-FR" w:bidi="fr-FR"/>
        </w:rPr>
        <w:t>indicateurs communs, le cas échéant </w:t>
      </w:r>
      <w:r w:rsidRPr="00717AA2">
        <w:rPr>
          <w:snapToGrid/>
          <w:kern w:val="22"/>
          <w:szCs w:val="22"/>
          <w:lang w:val="fr-FR"/>
        </w:rPr>
        <w:t>;</w:t>
      </w:r>
    </w:p>
    <w:p w14:paraId="0D41A5C5" w14:textId="19364452" w:rsidR="00C545B9" w:rsidRPr="00717AA2" w:rsidRDefault="00C545B9" w:rsidP="00717AA2">
      <w:pPr>
        <w:pStyle w:val="Para1"/>
        <w:numPr>
          <w:ilvl w:val="0"/>
          <w:numId w:val="0"/>
        </w:numPr>
        <w:suppressLineNumbers/>
        <w:suppressAutoHyphens/>
        <w:kinsoku w:val="0"/>
        <w:overflowPunct w:val="0"/>
        <w:autoSpaceDE w:val="0"/>
        <w:autoSpaceDN w:val="0"/>
        <w:adjustRightInd w:val="0"/>
        <w:snapToGrid w:val="0"/>
        <w:spacing w:after="60"/>
        <w:ind w:left="1560" w:hanging="850"/>
        <w:rPr>
          <w:snapToGrid/>
          <w:kern w:val="22"/>
          <w:szCs w:val="22"/>
          <w:lang w:val="fr-FR"/>
        </w:rPr>
      </w:pPr>
      <w:r w:rsidRPr="00717AA2">
        <w:rPr>
          <w:snapToGrid/>
          <w:kern w:val="22"/>
          <w:szCs w:val="22"/>
          <w:lang w:val="fr-FR"/>
        </w:rPr>
        <w:t>ii)</w:t>
      </w:r>
      <w:r w:rsidRPr="00717AA2">
        <w:rPr>
          <w:snapToGrid/>
          <w:kern w:val="22"/>
          <w:szCs w:val="22"/>
          <w:lang w:val="fr-FR"/>
        </w:rPr>
        <w:tab/>
      </w:r>
      <w:r w:rsidR="00CC7F20">
        <w:rPr>
          <w:snapToGrid/>
          <w:kern w:val="22"/>
          <w:szCs w:val="22"/>
          <w:lang w:val="fr-FR" w:bidi="fr-FR"/>
        </w:rPr>
        <w:t>De</w:t>
      </w:r>
      <w:r w:rsidR="00717AA2" w:rsidRPr="00717AA2">
        <w:rPr>
          <w:snapToGrid/>
          <w:kern w:val="22"/>
          <w:szCs w:val="22"/>
          <w:lang w:val="fr-FR" w:bidi="fr-FR"/>
        </w:rPr>
        <w:t xml:space="preserve"> modules d’établissement de rapports sur des questions communes </w:t>
      </w:r>
      <w:r w:rsidRPr="00717AA2">
        <w:rPr>
          <w:snapToGrid/>
          <w:kern w:val="22"/>
          <w:szCs w:val="22"/>
          <w:lang w:val="fr-FR"/>
        </w:rPr>
        <w:t>;</w:t>
      </w:r>
    </w:p>
    <w:p w14:paraId="2A812626" w14:textId="242C1468" w:rsidR="00C545B9" w:rsidRPr="00717AA2" w:rsidRDefault="00C545B9" w:rsidP="00717AA2">
      <w:pPr>
        <w:pStyle w:val="Para1"/>
        <w:numPr>
          <w:ilvl w:val="0"/>
          <w:numId w:val="0"/>
        </w:numPr>
        <w:suppressLineNumbers/>
        <w:suppressAutoHyphens/>
        <w:kinsoku w:val="0"/>
        <w:overflowPunct w:val="0"/>
        <w:autoSpaceDE w:val="0"/>
        <w:autoSpaceDN w:val="0"/>
        <w:adjustRightInd w:val="0"/>
        <w:snapToGrid w:val="0"/>
        <w:spacing w:after="60"/>
        <w:ind w:left="1560" w:hanging="850"/>
        <w:rPr>
          <w:snapToGrid/>
          <w:kern w:val="22"/>
          <w:szCs w:val="22"/>
          <w:lang w:val="fr-FR"/>
        </w:rPr>
      </w:pPr>
      <w:r w:rsidRPr="00717AA2">
        <w:rPr>
          <w:snapToGrid/>
          <w:kern w:val="22"/>
          <w:szCs w:val="22"/>
          <w:lang w:val="fr-FR"/>
        </w:rPr>
        <w:t>iii)</w:t>
      </w:r>
      <w:r w:rsidRPr="00717AA2">
        <w:rPr>
          <w:snapToGrid/>
          <w:kern w:val="22"/>
          <w:szCs w:val="22"/>
          <w:lang w:val="fr-FR"/>
        </w:rPr>
        <w:tab/>
      </w:r>
      <w:r w:rsidR="00CC7F20">
        <w:rPr>
          <w:snapToGrid/>
          <w:kern w:val="22"/>
          <w:szCs w:val="22"/>
          <w:lang w:val="fr-FR" w:bidi="fr-FR"/>
        </w:rPr>
        <w:t>De l’inter</w:t>
      </w:r>
      <w:r w:rsidR="00717AA2" w:rsidRPr="00717AA2">
        <w:rPr>
          <w:snapToGrid/>
          <w:kern w:val="22"/>
          <w:szCs w:val="22"/>
          <w:lang w:val="fr-FR" w:bidi="fr-FR"/>
        </w:rPr>
        <w:t>opérabilité de la gestion de l’information et des systèmes</w:t>
      </w:r>
      <w:r w:rsidR="00CC7F20">
        <w:rPr>
          <w:snapToGrid/>
          <w:kern w:val="22"/>
          <w:szCs w:val="22"/>
          <w:lang w:val="fr-FR" w:bidi="fr-FR"/>
        </w:rPr>
        <w:t xml:space="preserve"> de rapport</w:t>
      </w:r>
      <w:r w:rsidR="00717AA2" w:rsidRPr="00717AA2">
        <w:rPr>
          <w:snapToGrid/>
          <w:kern w:val="22"/>
          <w:szCs w:val="22"/>
          <w:lang w:val="fr-FR" w:bidi="fr-FR"/>
        </w:rPr>
        <w:t> </w:t>
      </w:r>
      <w:r w:rsidRPr="00717AA2">
        <w:rPr>
          <w:snapToGrid/>
          <w:kern w:val="22"/>
          <w:szCs w:val="22"/>
          <w:lang w:val="fr-FR"/>
        </w:rPr>
        <w:t>;</w:t>
      </w:r>
    </w:p>
    <w:p w14:paraId="37A14065" w14:textId="483B2656" w:rsidR="00C545B9" w:rsidRPr="00717AA2" w:rsidRDefault="00C545B9" w:rsidP="00717AA2">
      <w:pPr>
        <w:pStyle w:val="Para1"/>
        <w:numPr>
          <w:ilvl w:val="0"/>
          <w:numId w:val="0"/>
        </w:numPr>
        <w:suppressLineNumbers/>
        <w:suppressAutoHyphens/>
        <w:kinsoku w:val="0"/>
        <w:overflowPunct w:val="0"/>
        <w:autoSpaceDE w:val="0"/>
        <w:autoSpaceDN w:val="0"/>
        <w:adjustRightInd w:val="0"/>
        <w:snapToGrid w:val="0"/>
        <w:spacing w:after="60"/>
        <w:ind w:left="1560" w:hanging="850"/>
        <w:rPr>
          <w:snapToGrid/>
          <w:kern w:val="22"/>
          <w:szCs w:val="22"/>
          <w:lang w:val="fr-FR"/>
        </w:rPr>
      </w:pPr>
      <w:r w:rsidRPr="00717AA2">
        <w:rPr>
          <w:snapToGrid/>
          <w:kern w:val="22"/>
          <w:szCs w:val="22"/>
          <w:lang w:val="fr-FR"/>
        </w:rPr>
        <w:t>iv)</w:t>
      </w:r>
      <w:r w:rsidRPr="00717AA2">
        <w:rPr>
          <w:snapToGrid/>
          <w:kern w:val="22"/>
          <w:szCs w:val="22"/>
          <w:lang w:val="fr-FR"/>
        </w:rPr>
        <w:tab/>
      </w:r>
      <w:r w:rsidR="00717AA2" w:rsidRPr="00717AA2">
        <w:rPr>
          <w:snapToGrid/>
          <w:kern w:val="22"/>
          <w:szCs w:val="22"/>
          <w:lang w:val="fr-FR" w:bidi="fr-FR"/>
        </w:rPr>
        <w:t xml:space="preserve">D’autres options pour </w:t>
      </w:r>
      <w:r w:rsidR="00CC7F20">
        <w:rPr>
          <w:snapToGrid/>
          <w:kern w:val="22"/>
          <w:szCs w:val="22"/>
          <w:lang w:val="fr-FR" w:bidi="fr-FR"/>
        </w:rPr>
        <w:t>accroître les synergies dans l’établissement des</w:t>
      </w:r>
      <w:r w:rsidR="00717AA2" w:rsidRPr="00717AA2">
        <w:rPr>
          <w:snapToGrid/>
          <w:kern w:val="22"/>
          <w:szCs w:val="22"/>
          <w:lang w:val="fr-FR" w:bidi="fr-FR"/>
        </w:rPr>
        <w:t xml:space="preserve"> rapports nationaux entre les conventions relatives à la diversité biologique et les conventions de Rio </w:t>
      </w:r>
      <w:r w:rsidRPr="00717AA2">
        <w:rPr>
          <w:snapToGrid/>
          <w:kern w:val="22"/>
          <w:szCs w:val="22"/>
          <w:lang w:val="fr-FR"/>
        </w:rPr>
        <w:t>;</w:t>
      </w:r>
    </w:p>
    <w:p w14:paraId="40302C32" w14:textId="5110DAA0" w:rsidR="00C545B9" w:rsidRPr="00717AA2" w:rsidRDefault="00CC7F20" w:rsidP="00CC7F20">
      <w:pPr>
        <w:pStyle w:val="Para1"/>
        <w:numPr>
          <w:ilvl w:val="0"/>
          <w:numId w:val="0"/>
        </w:numPr>
        <w:suppressLineNumbers/>
        <w:suppressAutoHyphens/>
        <w:kinsoku w:val="0"/>
        <w:overflowPunct w:val="0"/>
        <w:autoSpaceDE w:val="0"/>
        <w:autoSpaceDN w:val="0"/>
        <w:adjustRightInd w:val="0"/>
        <w:snapToGrid w:val="0"/>
        <w:rPr>
          <w:snapToGrid/>
          <w:kern w:val="22"/>
          <w:szCs w:val="22"/>
          <w:lang w:val="fr-FR"/>
        </w:rPr>
      </w:pPr>
      <w:proofErr w:type="gramStart"/>
      <w:r>
        <w:rPr>
          <w:snapToGrid/>
          <w:kern w:val="22"/>
          <w:szCs w:val="22"/>
          <w:lang w:val="fr-FR" w:bidi="fr-FR"/>
        </w:rPr>
        <w:t>et</w:t>
      </w:r>
      <w:proofErr w:type="gramEnd"/>
      <w:r>
        <w:rPr>
          <w:snapToGrid/>
          <w:kern w:val="22"/>
          <w:szCs w:val="22"/>
          <w:lang w:val="fr-FR" w:bidi="fr-FR"/>
        </w:rPr>
        <w:t xml:space="preserve"> d’évaluer les répercussions financières de ces mesures et faire rapport à l’O</w:t>
      </w:r>
      <w:r w:rsidR="00717AA2" w:rsidRPr="00717AA2">
        <w:rPr>
          <w:snapToGrid/>
          <w:kern w:val="22"/>
          <w:szCs w:val="22"/>
          <w:lang w:val="fr-FR" w:bidi="fr-FR"/>
        </w:rPr>
        <w:t>rgane subsidiaire</w:t>
      </w:r>
      <w:r>
        <w:rPr>
          <w:snapToGrid/>
          <w:kern w:val="22"/>
          <w:szCs w:val="22"/>
          <w:lang w:val="fr-FR" w:bidi="fr-FR"/>
        </w:rPr>
        <w:t xml:space="preserve"> chargé de l’application</w:t>
      </w:r>
      <w:r w:rsidR="00717AA2" w:rsidRPr="00717AA2">
        <w:rPr>
          <w:snapToGrid/>
          <w:kern w:val="22"/>
          <w:szCs w:val="22"/>
          <w:lang w:val="fr-FR" w:bidi="fr-FR"/>
        </w:rPr>
        <w:t>, à sa troisième réunion </w:t>
      </w:r>
      <w:r w:rsidR="00C545B9" w:rsidRPr="00717AA2">
        <w:rPr>
          <w:snapToGrid/>
          <w:kern w:val="22"/>
          <w:szCs w:val="22"/>
          <w:lang w:val="fr-FR"/>
        </w:rPr>
        <w:t>;</w:t>
      </w:r>
    </w:p>
    <w:p w14:paraId="131C5B46" w14:textId="49D72A93" w:rsidR="00C545B9" w:rsidRPr="00717AA2" w:rsidRDefault="00C545B9" w:rsidP="00717AA2">
      <w:pPr>
        <w:suppressLineNumbers/>
        <w:suppressAutoHyphens/>
        <w:kinsoku w:val="0"/>
        <w:overflowPunct w:val="0"/>
        <w:autoSpaceDE w:val="0"/>
        <w:autoSpaceDN w:val="0"/>
        <w:adjustRightInd w:val="0"/>
        <w:snapToGrid w:val="0"/>
        <w:spacing w:after="120"/>
        <w:ind w:firstLine="709"/>
        <w:rPr>
          <w:kern w:val="22"/>
          <w:szCs w:val="22"/>
          <w:lang w:val="fr-FR"/>
        </w:rPr>
      </w:pPr>
      <w:r w:rsidRPr="00717AA2">
        <w:rPr>
          <w:kern w:val="22"/>
          <w:szCs w:val="22"/>
          <w:lang w:val="fr-FR"/>
        </w:rPr>
        <w:t>f)</w:t>
      </w:r>
      <w:r w:rsidRPr="00717AA2">
        <w:rPr>
          <w:kern w:val="22"/>
          <w:szCs w:val="22"/>
          <w:lang w:val="fr-FR"/>
        </w:rPr>
        <w:tab/>
      </w:r>
      <w:r w:rsidR="00717AA2" w:rsidRPr="009A11C4">
        <w:rPr>
          <w:kern w:val="22"/>
          <w:szCs w:val="22"/>
          <w:lang w:val="fr-FR" w:bidi="fr-FR"/>
        </w:rPr>
        <w:t>De continuer à contribuer au processus de suivi pour le Programme de développement durable à l'horizon 2030</w:t>
      </w:r>
      <w:r w:rsidRPr="00717AA2">
        <w:rPr>
          <w:rStyle w:val="FootnoteReference"/>
          <w:kern w:val="22"/>
          <w:szCs w:val="22"/>
          <w:lang w:val="fr-FR"/>
        </w:rPr>
        <w:footnoteReference w:id="1"/>
      </w:r>
      <w:r w:rsidRPr="00717AA2">
        <w:rPr>
          <w:kern w:val="22"/>
          <w:szCs w:val="22"/>
          <w:lang w:val="fr-FR"/>
        </w:rPr>
        <w:t xml:space="preserve"> </w:t>
      </w:r>
      <w:r w:rsidR="00717AA2" w:rsidRPr="009A11C4">
        <w:rPr>
          <w:kern w:val="22"/>
          <w:szCs w:val="22"/>
          <w:lang w:val="fr-FR" w:bidi="fr-FR"/>
        </w:rPr>
        <w:t>et d’analyser les synergies avec les outils et les systèmes pertinents d’étab</w:t>
      </w:r>
      <w:r w:rsidR="00CC7F20">
        <w:rPr>
          <w:kern w:val="22"/>
          <w:szCs w:val="22"/>
          <w:lang w:val="fr-FR" w:bidi="fr-FR"/>
        </w:rPr>
        <w:t>lissement de rapports pour les O</w:t>
      </w:r>
      <w:r w:rsidR="00717AA2" w:rsidRPr="009A11C4">
        <w:rPr>
          <w:kern w:val="22"/>
          <w:szCs w:val="22"/>
          <w:lang w:val="fr-FR" w:bidi="fr-FR"/>
        </w:rPr>
        <w:t>bjectifs de développement durable, notamment concernant les approches méthodologiques </w:t>
      </w:r>
      <w:r w:rsidRPr="00717AA2">
        <w:rPr>
          <w:kern w:val="22"/>
          <w:szCs w:val="22"/>
          <w:lang w:val="fr-FR"/>
        </w:rPr>
        <w:t>;</w:t>
      </w:r>
    </w:p>
    <w:p w14:paraId="41E64F7E" w14:textId="3A565F70" w:rsidR="00C545B9" w:rsidRPr="00717AA2" w:rsidRDefault="00C545B9" w:rsidP="00717AA2">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g)</w:t>
      </w:r>
      <w:r w:rsidRPr="00717AA2">
        <w:rPr>
          <w:snapToGrid/>
          <w:kern w:val="22"/>
          <w:szCs w:val="22"/>
          <w:lang w:val="fr-FR"/>
        </w:rPr>
        <w:tab/>
      </w:r>
      <w:r w:rsidR="00717AA2" w:rsidRPr="009A11C4">
        <w:rPr>
          <w:snapToGrid/>
          <w:kern w:val="22"/>
          <w:szCs w:val="22"/>
          <w:lang w:val="fr-FR" w:bidi="fr-FR"/>
        </w:rPr>
        <w:t>De contribuer au développement, aux essais et à la promotion de l’outil d’établissement des comptes et des données, en collaboration avec l’</w:t>
      </w:r>
      <w:r w:rsidR="00717AA2">
        <w:rPr>
          <w:snapToGrid/>
          <w:kern w:val="22"/>
          <w:szCs w:val="22"/>
          <w:lang w:val="fr-FR" w:bidi="fr-FR"/>
        </w:rPr>
        <w:t>i</w:t>
      </w:r>
      <w:r w:rsidR="00717AA2" w:rsidRPr="009A11C4">
        <w:rPr>
          <w:snapToGrid/>
          <w:kern w:val="22"/>
          <w:szCs w:val="22"/>
          <w:lang w:val="fr-FR" w:bidi="fr-FR"/>
        </w:rPr>
        <w:t xml:space="preserve">nitiative </w:t>
      </w:r>
      <w:proofErr w:type="spellStart"/>
      <w:r w:rsidR="00717AA2" w:rsidRPr="009A11C4">
        <w:rPr>
          <w:snapToGrid/>
          <w:kern w:val="22"/>
          <w:szCs w:val="22"/>
          <w:lang w:val="fr-FR" w:bidi="fr-FR"/>
        </w:rPr>
        <w:t>InforMEA</w:t>
      </w:r>
      <w:proofErr w:type="spellEnd"/>
      <w:r w:rsidR="00717AA2" w:rsidRPr="009A11C4">
        <w:rPr>
          <w:snapToGrid/>
          <w:kern w:val="22"/>
          <w:szCs w:val="22"/>
          <w:lang w:val="fr-FR" w:bidi="fr-FR"/>
        </w:rPr>
        <w:t>, en tenant compte des expériences des Parties dans la préparation de leur sixième Rapports nationaux à la Convention, en vue de faciliter l’utilisation de l’o</w:t>
      </w:r>
      <w:r w:rsidR="006F2629">
        <w:rPr>
          <w:snapToGrid/>
          <w:kern w:val="22"/>
          <w:szCs w:val="22"/>
          <w:lang w:val="fr-FR" w:bidi="fr-FR"/>
        </w:rPr>
        <w:t xml:space="preserve">util d’analyse et de communication </w:t>
      </w:r>
      <w:r w:rsidR="00717AA2" w:rsidRPr="009A11C4">
        <w:rPr>
          <w:snapToGrid/>
          <w:kern w:val="22"/>
          <w:szCs w:val="22"/>
          <w:lang w:val="fr-FR" w:bidi="fr-FR"/>
        </w:rPr>
        <w:t>des données au sein des conventions relatives à la diversité biologique, selon le cas </w:t>
      </w:r>
      <w:r w:rsidRPr="00717AA2">
        <w:rPr>
          <w:snapToGrid/>
          <w:kern w:val="22"/>
          <w:szCs w:val="22"/>
          <w:lang w:val="fr-FR"/>
        </w:rPr>
        <w:t>;</w:t>
      </w:r>
    </w:p>
    <w:p w14:paraId="3B845E0E" w14:textId="4CEB51DD" w:rsidR="00C545B9" w:rsidRPr="00717AA2" w:rsidRDefault="00C545B9" w:rsidP="00717AA2">
      <w:pPr>
        <w:suppressLineNumbers/>
        <w:suppressAutoHyphens/>
        <w:kinsoku w:val="0"/>
        <w:overflowPunct w:val="0"/>
        <w:autoSpaceDE w:val="0"/>
        <w:autoSpaceDN w:val="0"/>
        <w:adjustRightInd w:val="0"/>
        <w:snapToGrid w:val="0"/>
        <w:ind w:firstLine="709"/>
        <w:rPr>
          <w:kern w:val="22"/>
          <w:szCs w:val="22"/>
          <w:lang w:val="fr-FR"/>
        </w:rPr>
      </w:pPr>
      <w:r w:rsidRPr="00717AA2">
        <w:rPr>
          <w:kern w:val="22"/>
          <w:szCs w:val="22"/>
          <w:lang w:val="fr-FR"/>
        </w:rPr>
        <w:t>h)</w:t>
      </w:r>
      <w:r w:rsidRPr="00717AA2">
        <w:rPr>
          <w:kern w:val="22"/>
          <w:szCs w:val="22"/>
          <w:lang w:val="fr-FR"/>
        </w:rPr>
        <w:tab/>
      </w:r>
      <w:r w:rsidR="00717AA2" w:rsidRPr="009A11C4">
        <w:rPr>
          <w:kern w:val="22"/>
          <w:szCs w:val="22"/>
          <w:lang w:val="fr-FR" w:bidi="fr-FR"/>
        </w:rPr>
        <w:t>D’évaluer l’utilisation par les Parties des outils d’établissement de rapports en ligne pour le sixième rapport national, le rappor</w:t>
      </w:r>
      <w:r w:rsidR="006F2629">
        <w:rPr>
          <w:kern w:val="22"/>
          <w:szCs w:val="22"/>
          <w:lang w:val="fr-FR" w:bidi="fr-FR"/>
        </w:rPr>
        <w:t>t national intérimaire au titre du P</w:t>
      </w:r>
      <w:r w:rsidR="00717AA2" w:rsidRPr="009A11C4">
        <w:rPr>
          <w:kern w:val="22"/>
          <w:szCs w:val="22"/>
          <w:lang w:val="fr-FR" w:bidi="fr-FR"/>
        </w:rPr>
        <w:t>rotocole de Nagoy</w:t>
      </w:r>
      <w:r w:rsidR="006F2629">
        <w:rPr>
          <w:kern w:val="22"/>
          <w:szCs w:val="22"/>
          <w:lang w:val="fr-FR" w:bidi="fr-FR"/>
        </w:rPr>
        <w:t>a et le rapport national au titre du P</w:t>
      </w:r>
      <w:r w:rsidR="00717AA2" w:rsidRPr="009A11C4">
        <w:rPr>
          <w:kern w:val="22"/>
          <w:szCs w:val="22"/>
          <w:lang w:val="fr-FR" w:bidi="fr-FR"/>
        </w:rPr>
        <w:t>roto</w:t>
      </w:r>
      <w:r w:rsidR="006F2629">
        <w:rPr>
          <w:kern w:val="22"/>
          <w:szCs w:val="22"/>
          <w:lang w:val="fr-FR" w:bidi="fr-FR"/>
        </w:rPr>
        <w:t>cole de Cartagena, afin d’étudier</w:t>
      </w:r>
      <w:r w:rsidR="00717AA2" w:rsidRPr="009A11C4">
        <w:rPr>
          <w:kern w:val="22"/>
          <w:szCs w:val="22"/>
          <w:lang w:val="fr-FR" w:bidi="fr-FR"/>
        </w:rPr>
        <w:t xml:space="preserve"> l’harmonisation avec les systèmes d’établissement de rapports uti</w:t>
      </w:r>
      <w:r w:rsidR="006F2629">
        <w:rPr>
          <w:kern w:val="22"/>
          <w:szCs w:val="22"/>
          <w:lang w:val="fr-FR" w:bidi="fr-FR"/>
        </w:rPr>
        <w:t>lisés par les secrétariats des conventions pertinentes et de faire rapport à l’O</w:t>
      </w:r>
      <w:r w:rsidR="00717AA2" w:rsidRPr="009A11C4">
        <w:rPr>
          <w:kern w:val="22"/>
          <w:szCs w:val="22"/>
          <w:lang w:val="fr-FR" w:bidi="fr-FR"/>
        </w:rPr>
        <w:t>rgane s</w:t>
      </w:r>
      <w:r w:rsidR="006F2629">
        <w:rPr>
          <w:kern w:val="22"/>
          <w:szCs w:val="22"/>
          <w:lang w:val="fr-FR" w:bidi="fr-FR"/>
        </w:rPr>
        <w:t xml:space="preserve">ubsidiaire chargé de l’application </w:t>
      </w:r>
      <w:r w:rsidR="00717AA2" w:rsidRPr="009A11C4">
        <w:rPr>
          <w:kern w:val="22"/>
          <w:szCs w:val="22"/>
          <w:lang w:val="fr-FR" w:bidi="fr-FR"/>
        </w:rPr>
        <w:t>à sa troisième réunion </w:t>
      </w:r>
      <w:r w:rsidRPr="00717AA2">
        <w:rPr>
          <w:kern w:val="22"/>
          <w:szCs w:val="22"/>
          <w:lang w:val="fr-FR"/>
        </w:rPr>
        <w:t>;</w:t>
      </w:r>
    </w:p>
    <w:p w14:paraId="60190B49" w14:textId="14A26A81" w:rsidR="00C545B9" w:rsidRPr="00717AA2" w:rsidRDefault="00C545B9" w:rsidP="00717AA2">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sidRPr="00717AA2">
        <w:rPr>
          <w:snapToGrid/>
          <w:kern w:val="22"/>
          <w:szCs w:val="22"/>
          <w:lang w:val="fr-FR"/>
        </w:rPr>
        <w:t>i)</w:t>
      </w:r>
      <w:r w:rsidRPr="00717AA2">
        <w:rPr>
          <w:snapToGrid/>
          <w:kern w:val="22"/>
          <w:szCs w:val="22"/>
          <w:lang w:val="fr-FR"/>
        </w:rPr>
        <w:tab/>
      </w:r>
      <w:r w:rsidR="006F2629">
        <w:rPr>
          <w:snapToGrid/>
          <w:kern w:val="22"/>
          <w:szCs w:val="22"/>
          <w:lang w:val="fr-FR" w:bidi="fr-FR"/>
        </w:rPr>
        <w:t>De continuer de fournir un</w:t>
      </w:r>
      <w:r w:rsidR="00717AA2" w:rsidRPr="009A11C4">
        <w:rPr>
          <w:snapToGrid/>
          <w:kern w:val="22"/>
          <w:szCs w:val="22"/>
          <w:lang w:val="fr-FR" w:bidi="fr-FR"/>
        </w:rPr>
        <w:t xml:space="preserve"> renforcement des capacités sur l’utilisation d’outils pour</w:t>
      </w:r>
      <w:r w:rsidR="006F2629">
        <w:rPr>
          <w:snapToGrid/>
          <w:kern w:val="22"/>
          <w:szCs w:val="22"/>
          <w:lang w:val="fr-FR" w:bidi="fr-FR"/>
        </w:rPr>
        <w:t xml:space="preserve"> l’établissement et la présentation</w:t>
      </w:r>
      <w:r w:rsidR="00717AA2" w:rsidRPr="009A11C4">
        <w:rPr>
          <w:snapToGrid/>
          <w:kern w:val="22"/>
          <w:szCs w:val="22"/>
          <w:lang w:val="fr-FR" w:bidi="fr-FR"/>
        </w:rPr>
        <w:t xml:space="preserve"> des rapports nationaux </w:t>
      </w:r>
      <w:r w:rsidRPr="00717AA2">
        <w:rPr>
          <w:snapToGrid/>
          <w:kern w:val="22"/>
          <w:szCs w:val="22"/>
          <w:lang w:val="fr-FR"/>
        </w:rPr>
        <w:t>;</w:t>
      </w:r>
    </w:p>
    <w:p w14:paraId="3BD2E54F" w14:textId="3CACFA87" w:rsidR="00C545B9" w:rsidRPr="00717AA2" w:rsidRDefault="00C545B9" w:rsidP="00717AA2">
      <w:pPr>
        <w:pStyle w:val="Para1"/>
        <w:numPr>
          <w:ilvl w:val="0"/>
          <w:numId w:val="0"/>
        </w:numPr>
        <w:tabs>
          <w:tab w:val="left" w:pos="720"/>
        </w:tabs>
        <w:kinsoku w:val="0"/>
        <w:overflowPunct w:val="0"/>
        <w:autoSpaceDE w:val="0"/>
        <w:autoSpaceDN w:val="0"/>
        <w:snapToGrid w:val="0"/>
        <w:ind w:firstLine="709"/>
        <w:rPr>
          <w:snapToGrid/>
          <w:kern w:val="22"/>
          <w:szCs w:val="22"/>
          <w:lang w:val="fr-FR"/>
        </w:rPr>
      </w:pPr>
      <w:r w:rsidRPr="00717AA2">
        <w:rPr>
          <w:snapToGrid/>
          <w:kern w:val="22"/>
          <w:szCs w:val="22"/>
          <w:lang w:val="fr-FR"/>
        </w:rPr>
        <w:lastRenderedPageBreak/>
        <w:t>j)</w:t>
      </w:r>
      <w:r w:rsidRPr="00717AA2">
        <w:rPr>
          <w:snapToGrid/>
          <w:kern w:val="22"/>
          <w:szCs w:val="22"/>
          <w:lang w:val="fr-FR"/>
        </w:rPr>
        <w:tab/>
      </w:r>
      <w:r w:rsidR="006F2629">
        <w:rPr>
          <w:snapToGrid/>
          <w:kern w:val="22"/>
          <w:szCs w:val="22"/>
          <w:lang w:val="fr-FR" w:bidi="fr-FR"/>
        </w:rPr>
        <w:t>De fournir aux</w:t>
      </w:r>
      <w:r w:rsidR="00717AA2" w:rsidRPr="009A11C4">
        <w:rPr>
          <w:snapToGrid/>
          <w:kern w:val="22"/>
          <w:szCs w:val="22"/>
          <w:lang w:val="fr-FR" w:bidi="fr-FR"/>
        </w:rPr>
        <w:t xml:space="preserve"> Parties, en collaboration avec les partenaires concernés, </w:t>
      </w:r>
      <w:r w:rsidR="006F2629">
        <w:rPr>
          <w:snapToGrid/>
          <w:kern w:val="22"/>
          <w:szCs w:val="22"/>
          <w:lang w:val="fr-FR" w:bidi="fr-FR"/>
        </w:rPr>
        <w:t xml:space="preserve">des orientations </w:t>
      </w:r>
      <w:r w:rsidR="00717AA2" w:rsidRPr="009A11C4">
        <w:rPr>
          <w:snapToGrid/>
          <w:kern w:val="22"/>
          <w:szCs w:val="22"/>
          <w:lang w:val="fr-FR" w:bidi="fr-FR"/>
        </w:rPr>
        <w:t xml:space="preserve">sur les sources de données spatio-temporelles </w:t>
      </w:r>
      <w:r w:rsidR="006F2629">
        <w:rPr>
          <w:snapToGrid/>
          <w:kern w:val="22"/>
          <w:szCs w:val="22"/>
          <w:lang w:val="fr-FR" w:bidi="fr-FR"/>
        </w:rPr>
        <w:t>relatives à la biodiversité</w:t>
      </w:r>
      <w:r w:rsidR="00717AA2" w:rsidRPr="009A11C4">
        <w:rPr>
          <w:snapToGrid/>
          <w:kern w:val="22"/>
          <w:szCs w:val="22"/>
          <w:lang w:val="fr-FR" w:bidi="fr-FR"/>
        </w:rPr>
        <w:t xml:space="preserve"> pour appuyer les analyses</w:t>
      </w:r>
      <w:r w:rsidR="005826F2">
        <w:rPr>
          <w:snapToGrid/>
          <w:kern w:val="22"/>
          <w:szCs w:val="22"/>
          <w:lang w:val="fr-FR" w:bidi="fr-FR"/>
        </w:rPr>
        <w:t xml:space="preserve"> sur lesquelles repose </w:t>
      </w:r>
      <w:r w:rsidR="00717AA2" w:rsidRPr="009A11C4">
        <w:rPr>
          <w:snapToGrid/>
          <w:kern w:val="22"/>
          <w:szCs w:val="22"/>
          <w:lang w:val="fr-FR" w:bidi="fr-FR"/>
        </w:rPr>
        <w:t>l’évaluation des progrès accomplis dans les rapports nationaux</w:t>
      </w:r>
      <w:r w:rsidRPr="00717AA2">
        <w:rPr>
          <w:snapToGrid/>
          <w:kern w:val="22"/>
          <w:szCs w:val="22"/>
          <w:lang w:val="fr-FR"/>
        </w:rPr>
        <w:t>.</w:t>
      </w:r>
    </w:p>
    <w:p w14:paraId="77A58B70" w14:textId="74487960" w:rsidR="001A6239" w:rsidRPr="00717AA2" w:rsidRDefault="00B769A2" w:rsidP="00F60E18">
      <w:pPr>
        <w:pStyle w:val="NormalWeb"/>
        <w:suppressLineNumbers/>
        <w:suppressAutoHyphens/>
        <w:kinsoku w:val="0"/>
        <w:autoSpaceDE w:val="0"/>
        <w:autoSpaceDN w:val="0"/>
        <w:adjustRightInd w:val="0"/>
        <w:snapToGrid w:val="0"/>
        <w:spacing w:before="120" w:beforeAutospacing="0" w:after="120" w:afterAutospacing="0"/>
        <w:ind w:firstLine="720"/>
        <w:jc w:val="center"/>
        <w:rPr>
          <w:rFonts w:ascii="Times New Roman" w:hAnsi="Times New Roman" w:cs="Times New Roman"/>
          <w:kern w:val="22"/>
          <w:sz w:val="22"/>
          <w:szCs w:val="22"/>
          <w:lang w:val="fr-FR"/>
        </w:rPr>
      </w:pPr>
      <w:r w:rsidRPr="00717AA2">
        <w:rPr>
          <w:rFonts w:ascii="Times New Roman" w:hAnsi="Times New Roman" w:cs="Times New Roman"/>
          <w:kern w:val="22"/>
          <w:sz w:val="22"/>
          <w:szCs w:val="22"/>
          <w:lang w:val="fr-FR"/>
        </w:rPr>
        <w:t>__________</w:t>
      </w:r>
    </w:p>
    <w:p w14:paraId="187AC5EF" w14:textId="77777777" w:rsidR="00717AA2" w:rsidRPr="00717AA2" w:rsidRDefault="00717AA2">
      <w:pPr>
        <w:pStyle w:val="NormalWeb"/>
        <w:suppressLineNumbers/>
        <w:suppressAutoHyphens/>
        <w:kinsoku w:val="0"/>
        <w:autoSpaceDE w:val="0"/>
        <w:autoSpaceDN w:val="0"/>
        <w:adjustRightInd w:val="0"/>
        <w:snapToGrid w:val="0"/>
        <w:spacing w:before="120" w:beforeAutospacing="0" w:after="120" w:afterAutospacing="0"/>
        <w:ind w:firstLine="720"/>
        <w:jc w:val="center"/>
        <w:rPr>
          <w:rFonts w:ascii="Times New Roman" w:hAnsi="Times New Roman" w:cs="Times New Roman"/>
          <w:kern w:val="22"/>
          <w:sz w:val="22"/>
          <w:szCs w:val="22"/>
          <w:lang w:val="fr-FR"/>
        </w:rPr>
      </w:pPr>
    </w:p>
    <w:sectPr w:rsidR="00717AA2" w:rsidRPr="00717AA2"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5852B" w14:textId="77777777" w:rsidR="00925C96" w:rsidRDefault="00925C96" w:rsidP="00CF1848">
      <w:r>
        <w:separator/>
      </w:r>
    </w:p>
  </w:endnote>
  <w:endnote w:type="continuationSeparator" w:id="0">
    <w:p w14:paraId="32DB7F7A" w14:textId="77777777" w:rsidR="00925C96" w:rsidRDefault="00925C9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03F53" w14:textId="77777777" w:rsidR="00925C96" w:rsidRDefault="00925C96" w:rsidP="00CF1848">
      <w:r>
        <w:separator/>
      </w:r>
    </w:p>
  </w:footnote>
  <w:footnote w:type="continuationSeparator" w:id="0">
    <w:p w14:paraId="2C25F5B0" w14:textId="77777777" w:rsidR="00925C96" w:rsidRDefault="00925C96" w:rsidP="00CF1848">
      <w:r>
        <w:continuationSeparator/>
      </w:r>
    </w:p>
  </w:footnote>
  <w:footnote w:id="1">
    <w:p w14:paraId="24B3CFDB" w14:textId="66C1D4C2" w:rsidR="00C545B9" w:rsidRPr="0025586F" w:rsidRDefault="00C545B9" w:rsidP="00717AA2">
      <w:pPr>
        <w:pStyle w:val="FootnoteText"/>
        <w:kinsoku w:val="0"/>
        <w:overflowPunct w:val="0"/>
        <w:autoSpaceDE w:val="0"/>
        <w:autoSpaceDN w:val="0"/>
        <w:ind w:firstLine="0"/>
      </w:pPr>
      <w:r w:rsidRPr="0025586F">
        <w:rPr>
          <w:rStyle w:val="FootnoteReference"/>
        </w:rPr>
        <w:footnoteRef/>
      </w:r>
      <w:r w:rsidRPr="0025586F">
        <w:t xml:space="preserve"> </w:t>
      </w:r>
      <w:r w:rsidR="00717AA2" w:rsidRPr="0025586F">
        <w:rPr>
          <w:lang w:val="fr-FR" w:bidi="fr-FR"/>
        </w:rPr>
        <w:t>Résolution de l’Assemblée générale 70/1 du 25 septembre 2015</w:t>
      </w:r>
      <w:r w:rsidRPr="0025586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16A0736" w:rsidR="001A6239" w:rsidRPr="0019296B" w:rsidRDefault="00DB5E9B" w:rsidP="00534681">
        <w:pPr>
          <w:pStyle w:val="Header"/>
          <w:rPr>
            <w:lang w:val="en-CA"/>
          </w:rPr>
        </w:pPr>
        <w:r>
          <w:t>CBD/COP/DEC/14/27</w:t>
        </w:r>
      </w:p>
    </w:sdtContent>
  </w:sdt>
  <w:p w14:paraId="57597240" w14:textId="6F6CD275" w:rsidR="001A6239" w:rsidRPr="00000614" w:rsidRDefault="001A6239"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B69A3">
      <w:rPr>
        <w:noProof/>
        <w:lang w:val="fr-FR"/>
      </w:rPr>
      <w:t>2</w:t>
    </w:r>
    <w:r>
      <w:rPr>
        <w:noProof/>
      </w:rPr>
      <w:fldChar w:fldCharType="end"/>
    </w:r>
  </w:p>
  <w:p w14:paraId="1D80EB20" w14:textId="77777777" w:rsidR="001A6239" w:rsidRPr="00000614" w:rsidRDefault="001A6239">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768D1039" w:rsidR="001A6239" w:rsidRPr="0019296B" w:rsidRDefault="00DB5E9B" w:rsidP="009505C9">
        <w:pPr>
          <w:pStyle w:val="Header"/>
          <w:jc w:val="right"/>
          <w:rPr>
            <w:lang w:val="en-CA"/>
          </w:rPr>
        </w:pPr>
        <w:r>
          <w:t>CBD/COP/DEC/14/27</w:t>
        </w:r>
      </w:p>
    </w:sdtContent>
  </w:sdt>
  <w:p w14:paraId="7E9B8683" w14:textId="3F231203" w:rsidR="001A6239" w:rsidRPr="00000614" w:rsidRDefault="001A623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B69A3">
      <w:rPr>
        <w:noProof/>
        <w:lang w:val="fr-FR"/>
      </w:rPr>
      <w:t>3</w:t>
    </w:r>
    <w:r>
      <w:rPr>
        <w:noProof/>
      </w:rPr>
      <w:fldChar w:fldCharType="end"/>
    </w:r>
  </w:p>
  <w:p w14:paraId="2F845650" w14:textId="77777777" w:rsidR="001A6239" w:rsidRPr="00000614" w:rsidRDefault="001A623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6BDB"/>
    <w:rsid w:val="00014254"/>
    <w:rsid w:val="00046FA1"/>
    <w:rsid w:val="00060B74"/>
    <w:rsid w:val="000B4CA8"/>
    <w:rsid w:val="000D0D8F"/>
    <w:rsid w:val="000E673A"/>
    <w:rsid w:val="000F6126"/>
    <w:rsid w:val="000F74F5"/>
    <w:rsid w:val="00100FAD"/>
    <w:rsid w:val="00101F1F"/>
    <w:rsid w:val="00105372"/>
    <w:rsid w:val="00131E7A"/>
    <w:rsid w:val="001511E6"/>
    <w:rsid w:val="0015619B"/>
    <w:rsid w:val="00172AF6"/>
    <w:rsid w:val="00176CEE"/>
    <w:rsid w:val="00183F86"/>
    <w:rsid w:val="0019296B"/>
    <w:rsid w:val="001A6239"/>
    <w:rsid w:val="00216EFF"/>
    <w:rsid w:val="00242C60"/>
    <w:rsid w:val="00253598"/>
    <w:rsid w:val="002540C7"/>
    <w:rsid w:val="00272D6D"/>
    <w:rsid w:val="00347FF9"/>
    <w:rsid w:val="00353A7C"/>
    <w:rsid w:val="00372F74"/>
    <w:rsid w:val="003848E1"/>
    <w:rsid w:val="003D3030"/>
    <w:rsid w:val="003D708B"/>
    <w:rsid w:val="003E0411"/>
    <w:rsid w:val="003F7224"/>
    <w:rsid w:val="00405146"/>
    <w:rsid w:val="0042412C"/>
    <w:rsid w:val="00427D21"/>
    <w:rsid w:val="004644C2"/>
    <w:rsid w:val="00467F9C"/>
    <w:rsid w:val="0047645E"/>
    <w:rsid w:val="00476FDC"/>
    <w:rsid w:val="0048059E"/>
    <w:rsid w:val="0048775C"/>
    <w:rsid w:val="004A6E32"/>
    <w:rsid w:val="004B69A3"/>
    <w:rsid w:val="004F06B0"/>
    <w:rsid w:val="00501F5F"/>
    <w:rsid w:val="005030D1"/>
    <w:rsid w:val="0050593C"/>
    <w:rsid w:val="00507B8E"/>
    <w:rsid w:val="00534681"/>
    <w:rsid w:val="0055233C"/>
    <w:rsid w:val="005826F2"/>
    <w:rsid w:val="005B0F10"/>
    <w:rsid w:val="006122BA"/>
    <w:rsid w:val="0061445E"/>
    <w:rsid w:val="006630D9"/>
    <w:rsid w:val="0068528E"/>
    <w:rsid w:val="006B2290"/>
    <w:rsid w:val="006E3202"/>
    <w:rsid w:val="006F2629"/>
    <w:rsid w:val="00717AA2"/>
    <w:rsid w:val="00717D88"/>
    <w:rsid w:val="00764742"/>
    <w:rsid w:val="00771AE9"/>
    <w:rsid w:val="00774F37"/>
    <w:rsid w:val="007942D3"/>
    <w:rsid w:val="007A3196"/>
    <w:rsid w:val="007B6C09"/>
    <w:rsid w:val="007E09DA"/>
    <w:rsid w:val="007E76BC"/>
    <w:rsid w:val="008178B6"/>
    <w:rsid w:val="00861C10"/>
    <w:rsid w:val="00865B74"/>
    <w:rsid w:val="00882B03"/>
    <w:rsid w:val="00925C96"/>
    <w:rsid w:val="00930BA1"/>
    <w:rsid w:val="0093169E"/>
    <w:rsid w:val="009505C9"/>
    <w:rsid w:val="00987764"/>
    <w:rsid w:val="009A6450"/>
    <w:rsid w:val="009C200D"/>
    <w:rsid w:val="009C2794"/>
    <w:rsid w:val="009D397C"/>
    <w:rsid w:val="009F6C90"/>
    <w:rsid w:val="00A33F89"/>
    <w:rsid w:val="00A53FF4"/>
    <w:rsid w:val="00A543CA"/>
    <w:rsid w:val="00B1511B"/>
    <w:rsid w:val="00B3369F"/>
    <w:rsid w:val="00B769A2"/>
    <w:rsid w:val="00BA0DE7"/>
    <w:rsid w:val="00BF20A5"/>
    <w:rsid w:val="00C545B9"/>
    <w:rsid w:val="00C860A4"/>
    <w:rsid w:val="00C9161D"/>
    <w:rsid w:val="00CC7F20"/>
    <w:rsid w:val="00CF1848"/>
    <w:rsid w:val="00D12044"/>
    <w:rsid w:val="00D56A59"/>
    <w:rsid w:val="00D7094F"/>
    <w:rsid w:val="00D76A18"/>
    <w:rsid w:val="00DB5E9B"/>
    <w:rsid w:val="00DC01D0"/>
    <w:rsid w:val="00DD118C"/>
    <w:rsid w:val="00DD6770"/>
    <w:rsid w:val="00E66235"/>
    <w:rsid w:val="00E83C24"/>
    <w:rsid w:val="00E9318D"/>
    <w:rsid w:val="00F0077D"/>
    <w:rsid w:val="00F364F9"/>
    <w:rsid w:val="00F60E18"/>
    <w:rsid w:val="00F60E21"/>
    <w:rsid w:val="00F94031"/>
    <w:rsid w:val="00F94774"/>
    <w:rsid w:val="00F9511F"/>
    <w:rsid w:val="00FA2266"/>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C98A406362F41F091A43DD382B4C72F"/>
        <w:category>
          <w:name w:val="General"/>
          <w:gallery w:val="placeholder"/>
        </w:category>
        <w:types>
          <w:type w:val="bbPlcHdr"/>
        </w:types>
        <w:behaviors>
          <w:behavior w:val="content"/>
        </w:behaviors>
        <w:guid w:val="{5AD4CC47-208D-4D1A-A8FA-41075A4651A0}"/>
      </w:docPartPr>
      <w:docPartBody>
        <w:p w:rsidR="00A21712" w:rsidRDefault="00FF6B89" w:rsidP="00FF6B89">
          <w:pPr>
            <w:pStyle w:val="BC98A406362F41F091A43DD382B4C72F"/>
          </w:pPr>
          <w:r w:rsidRPr="007E02EB">
            <w:rPr>
              <w:rStyle w:val="PlaceholderText"/>
            </w:rPr>
            <w:t>[Status]</w:t>
          </w:r>
        </w:p>
      </w:docPartBody>
    </w:docPart>
    <w:docPart>
      <w:docPartPr>
        <w:name w:val="2F5F6A7A0EA44AD89C6CA1660E93BD77"/>
        <w:category>
          <w:name w:val="General"/>
          <w:gallery w:val="placeholder"/>
        </w:category>
        <w:types>
          <w:type w:val="bbPlcHdr"/>
        </w:types>
        <w:behaviors>
          <w:behavior w:val="content"/>
        </w:behaviors>
        <w:guid w:val="{F1D75718-1CC1-4723-8C8C-D8F4BA9A61E9}"/>
      </w:docPartPr>
      <w:docPartBody>
        <w:p w:rsidR="00A21712" w:rsidRDefault="00FF6B89" w:rsidP="00FF6B89">
          <w:pPr>
            <w:pStyle w:val="2F5F6A7A0EA44AD89C6CA1660E93BD7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3C10E0"/>
    <w:rsid w:val="004E6203"/>
    <w:rsid w:val="00500A2B"/>
    <w:rsid w:val="0053231E"/>
    <w:rsid w:val="0058288D"/>
    <w:rsid w:val="006801B3"/>
    <w:rsid w:val="00720F63"/>
    <w:rsid w:val="007F1B76"/>
    <w:rsid w:val="00810A55"/>
    <w:rsid w:val="008C6619"/>
    <w:rsid w:val="008D420E"/>
    <w:rsid w:val="0098642F"/>
    <w:rsid w:val="00A21712"/>
    <w:rsid w:val="00B51630"/>
    <w:rsid w:val="00CE6602"/>
    <w:rsid w:val="00F53976"/>
    <w:rsid w:val="00FF6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6B89"/>
    <w:rPr>
      <w:color w:val="808080"/>
    </w:rPr>
  </w:style>
  <w:style w:type="paragraph" w:customStyle="1" w:styleId="C444DEE40D7C456B82AF1A09CD132ABF">
    <w:name w:val="C444DEE40D7C456B82AF1A09CD132ABF"/>
    <w:rsid w:val="00CE6602"/>
    <w:pPr>
      <w:spacing w:after="160" w:line="259" w:lineRule="auto"/>
    </w:pPr>
  </w:style>
  <w:style w:type="paragraph" w:customStyle="1" w:styleId="602C3973D3064B5A8784D32438850F75">
    <w:name w:val="602C3973D3064B5A8784D32438850F75"/>
    <w:rsid w:val="00FF6B89"/>
    <w:pPr>
      <w:spacing w:after="160" w:line="259" w:lineRule="auto"/>
    </w:pPr>
    <w:rPr>
      <w:lang w:val="en-CA" w:eastAsia="en-CA"/>
    </w:rPr>
  </w:style>
  <w:style w:type="paragraph" w:customStyle="1" w:styleId="8A1250AFADCC411FB1F9C2F272EB510A">
    <w:name w:val="8A1250AFADCC411FB1F9C2F272EB510A"/>
    <w:rsid w:val="00FF6B89"/>
    <w:pPr>
      <w:spacing w:after="160" w:line="259" w:lineRule="auto"/>
    </w:pPr>
    <w:rPr>
      <w:lang w:val="en-CA" w:eastAsia="en-CA"/>
    </w:rPr>
  </w:style>
  <w:style w:type="paragraph" w:customStyle="1" w:styleId="BC98A406362F41F091A43DD382B4C72F">
    <w:name w:val="BC98A406362F41F091A43DD382B4C72F"/>
    <w:rsid w:val="00FF6B89"/>
    <w:pPr>
      <w:spacing w:after="160" w:line="259" w:lineRule="auto"/>
    </w:pPr>
    <w:rPr>
      <w:lang w:val="en-CA" w:eastAsia="en-CA"/>
    </w:rPr>
  </w:style>
  <w:style w:type="paragraph" w:customStyle="1" w:styleId="2F5F6A7A0EA44AD89C6CA1660E93BD77">
    <w:name w:val="2F5F6A7A0EA44AD89C6CA1660E93BD77"/>
    <w:rsid w:val="00FF6B89"/>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6B89"/>
    <w:rPr>
      <w:color w:val="808080"/>
    </w:rPr>
  </w:style>
  <w:style w:type="paragraph" w:customStyle="1" w:styleId="C444DEE40D7C456B82AF1A09CD132ABF">
    <w:name w:val="C444DEE40D7C456B82AF1A09CD132ABF"/>
    <w:rsid w:val="00CE6602"/>
    <w:pPr>
      <w:spacing w:after="160" w:line="259" w:lineRule="auto"/>
    </w:pPr>
  </w:style>
  <w:style w:type="paragraph" w:customStyle="1" w:styleId="602C3973D3064B5A8784D32438850F75">
    <w:name w:val="602C3973D3064B5A8784D32438850F75"/>
    <w:rsid w:val="00FF6B89"/>
    <w:pPr>
      <w:spacing w:after="160" w:line="259" w:lineRule="auto"/>
    </w:pPr>
    <w:rPr>
      <w:lang w:val="en-CA" w:eastAsia="en-CA"/>
    </w:rPr>
  </w:style>
  <w:style w:type="paragraph" w:customStyle="1" w:styleId="8A1250AFADCC411FB1F9C2F272EB510A">
    <w:name w:val="8A1250AFADCC411FB1F9C2F272EB510A"/>
    <w:rsid w:val="00FF6B89"/>
    <w:pPr>
      <w:spacing w:after="160" w:line="259" w:lineRule="auto"/>
    </w:pPr>
    <w:rPr>
      <w:lang w:val="en-CA" w:eastAsia="en-CA"/>
    </w:rPr>
  </w:style>
  <w:style w:type="paragraph" w:customStyle="1" w:styleId="BC98A406362F41F091A43DD382B4C72F">
    <w:name w:val="BC98A406362F41F091A43DD382B4C72F"/>
    <w:rsid w:val="00FF6B89"/>
    <w:pPr>
      <w:spacing w:after="160" w:line="259" w:lineRule="auto"/>
    </w:pPr>
    <w:rPr>
      <w:lang w:val="en-CA" w:eastAsia="en-CA"/>
    </w:rPr>
  </w:style>
  <w:style w:type="paragraph" w:customStyle="1" w:styleId="2F5F6A7A0EA44AD89C6CA1660E93BD77">
    <w:name w:val="2F5F6A7A0EA44AD89C6CA1660E93BD77"/>
    <w:rsid w:val="00FF6B8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F75A6C-8203-4714-B800-E49CBFB2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995</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14/27.	Processus d’alignement, évaluation et examen des rapports nationaux</vt:lpstr>
      <vt:lpstr>PROCESSUS POUR L’ALIGNEMENT, ÉVALUATION ET EXAMEN DES RAPPORTS NATIONAUX</vt:lpstr>
    </vt:vector>
  </TitlesOfParts>
  <Company>SCBD</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14/27.	Processus d’alignement, évaluation et examen des rapports nationaux</dc:title>
  <dc:subject>CBD/COP/DEC/14/27</dc:subject>
  <dc:creator>SCBD</dc:creator>
  <cp:lastModifiedBy>--</cp:lastModifiedBy>
  <cp:revision>9</cp:revision>
  <cp:lastPrinted>2018-11-20T11:21:00Z</cp:lastPrinted>
  <dcterms:created xsi:type="dcterms:W3CDTF">2019-01-20T18:28:00Z</dcterms:created>
  <dcterms:modified xsi:type="dcterms:W3CDTF">2019-01-21T08:49:00Z</dcterms:modified>
  <cp:contentStatus>GÉNÉRALE</cp:contentStatus>
</cp:coreProperties>
</file>