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F00ECA" w:rsidRPr="00941EA3" w14:paraId="7D2436B6" w14:textId="77777777" w:rsidTr="009756DC">
        <w:trPr>
          <w:trHeight w:val="709"/>
        </w:trPr>
        <w:tc>
          <w:tcPr>
            <w:tcW w:w="976" w:type="dxa"/>
            <w:tcBorders>
              <w:bottom w:val="single" w:sz="12" w:space="0" w:color="auto"/>
            </w:tcBorders>
          </w:tcPr>
          <w:p w14:paraId="0BB6FD97" w14:textId="77777777" w:rsidR="00F00ECA" w:rsidRPr="00941EA3" w:rsidRDefault="00F00ECA" w:rsidP="009756DC">
            <w:pPr>
              <w:rPr>
                <w:kern w:val="20"/>
                <w:lang w:val="fr-FR"/>
              </w:rPr>
            </w:pPr>
            <w:r w:rsidRPr="00941EA3">
              <w:rPr>
                <w:noProof/>
                <w:kern w:val="20"/>
                <w:lang w:eastAsia="en-GB"/>
              </w:rPr>
              <w:drawing>
                <wp:inline distT="0" distB="0" distL="0" distR="0" wp14:anchorId="424ADB47" wp14:editId="4CCB00F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062B4FC4" w14:textId="77777777" w:rsidR="00F00ECA" w:rsidRPr="00941EA3" w:rsidRDefault="00F00ECA" w:rsidP="009756DC">
            <w:pPr>
              <w:rPr>
                <w:kern w:val="20"/>
                <w:lang w:val="fr-FR"/>
              </w:rPr>
            </w:pPr>
            <w:r w:rsidRPr="00941EA3">
              <w:rPr>
                <w:noProof/>
                <w:kern w:val="20"/>
                <w:lang w:eastAsia="en-GB"/>
              </w:rPr>
              <w:drawing>
                <wp:inline distT="0" distB="0" distL="0" distR="0" wp14:anchorId="22F008B3" wp14:editId="6D8A8B2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469FD7BD" w14:textId="77777777" w:rsidR="00F00ECA" w:rsidRPr="00941EA3" w:rsidRDefault="00F00ECA" w:rsidP="009756DC">
            <w:pPr>
              <w:jc w:val="right"/>
              <w:rPr>
                <w:rFonts w:ascii="Arial" w:hAnsi="Arial" w:cs="Arial"/>
                <w:b/>
                <w:kern w:val="20"/>
                <w:sz w:val="32"/>
                <w:szCs w:val="32"/>
                <w:lang w:val="fr-FR"/>
              </w:rPr>
            </w:pPr>
            <w:r w:rsidRPr="00941EA3">
              <w:rPr>
                <w:rFonts w:ascii="Arial" w:hAnsi="Arial" w:cs="Arial"/>
                <w:b/>
                <w:kern w:val="20"/>
                <w:sz w:val="32"/>
                <w:szCs w:val="32"/>
                <w:lang w:val="fr-FR"/>
              </w:rPr>
              <w:t>CBD</w:t>
            </w:r>
          </w:p>
        </w:tc>
      </w:tr>
      <w:tr w:rsidR="00F00ECA" w:rsidRPr="00941EA3" w14:paraId="43447539" w14:textId="77777777" w:rsidTr="009756DC">
        <w:tc>
          <w:tcPr>
            <w:tcW w:w="6117" w:type="dxa"/>
            <w:gridSpan w:val="2"/>
            <w:tcBorders>
              <w:top w:val="single" w:sz="12" w:space="0" w:color="auto"/>
              <w:bottom w:val="single" w:sz="36" w:space="0" w:color="auto"/>
            </w:tcBorders>
            <w:vAlign w:val="center"/>
          </w:tcPr>
          <w:p w14:paraId="7153E823" w14:textId="6C0028EA" w:rsidR="00F00ECA" w:rsidRPr="00941EA3" w:rsidRDefault="00F321FF" w:rsidP="009756DC">
            <w:pPr>
              <w:rPr>
                <w:kern w:val="20"/>
                <w:lang w:val="fr-FR"/>
              </w:rPr>
            </w:pPr>
            <w:r w:rsidRPr="00941EA3">
              <w:rPr>
                <w:bCs/>
                <w:noProof/>
                <w:szCs w:val="22"/>
                <w:lang w:eastAsia="en-GB"/>
              </w:rPr>
              <w:drawing>
                <wp:inline distT="0" distB="0" distL="0" distR="0" wp14:anchorId="5D2E8AD3" wp14:editId="5D909731">
                  <wp:extent cx="2857500" cy="1076325"/>
                  <wp:effectExtent l="0" t="0" r="0" b="9525"/>
                  <wp:docPr id="2" name="Picture 2"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AFD8904" w14:textId="77777777" w:rsidR="00F00ECA" w:rsidRPr="00941EA3" w:rsidRDefault="00F00ECA" w:rsidP="009756DC">
            <w:pPr>
              <w:ind w:left="1215"/>
              <w:rPr>
                <w:noProof/>
                <w:kern w:val="20"/>
                <w:szCs w:val="22"/>
                <w:lang w:val="fr-FR"/>
              </w:rPr>
            </w:pPr>
            <w:r w:rsidRPr="00941EA3">
              <w:rPr>
                <w:noProof/>
                <w:kern w:val="20"/>
                <w:szCs w:val="22"/>
                <w:lang w:val="fr-FR"/>
              </w:rPr>
              <w:t>Distr.</w:t>
            </w:r>
          </w:p>
          <w:p w14:paraId="2B7E3380" w14:textId="76406EB6" w:rsidR="00F00ECA" w:rsidRPr="00941EA3" w:rsidRDefault="005504E8" w:rsidP="009756DC">
            <w:pPr>
              <w:ind w:left="1215"/>
              <w:rPr>
                <w:kern w:val="20"/>
                <w:szCs w:val="22"/>
                <w:lang w:val="fr-FR"/>
              </w:rPr>
            </w:pPr>
            <w:sdt>
              <w:sdtPr>
                <w:rPr>
                  <w:kern w:val="20"/>
                  <w:szCs w:val="22"/>
                  <w:lang w:val="fr-FR"/>
                </w:rPr>
                <w:alias w:val="Status"/>
                <w:tag w:val=""/>
                <w:id w:val="307985777"/>
                <w:placeholder>
                  <w:docPart w:val="E4A9A11A2861436AA32E3F89A5EC89C6"/>
                </w:placeholder>
                <w:dataBinding w:prefixMappings="xmlns:ns0='http://purl.org/dc/elements/1.1/' xmlns:ns1='http://schemas.openxmlformats.org/package/2006/metadata/core-properties' " w:xpath="/ns1:coreProperties[1]/ns1:contentStatus[1]" w:storeItemID="{6C3C8BC8-F283-45AE-878A-BAB7291924A1}"/>
                <w:text/>
              </w:sdtPr>
              <w:sdtEndPr/>
              <w:sdtContent>
                <w:r w:rsidR="002A5D48">
                  <w:rPr>
                    <w:kern w:val="20"/>
                    <w:szCs w:val="22"/>
                  </w:rPr>
                  <w:t>GÉNÉRALE</w:t>
                </w:r>
              </w:sdtContent>
            </w:sdt>
          </w:p>
          <w:p w14:paraId="238A6F32" w14:textId="77777777" w:rsidR="00F00ECA" w:rsidRPr="00941EA3" w:rsidRDefault="00F00ECA" w:rsidP="009756DC">
            <w:pPr>
              <w:ind w:left="1215"/>
              <w:rPr>
                <w:kern w:val="20"/>
                <w:szCs w:val="22"/>
                <w:lang w:val="fr-FR"/>
              </w:rPr>
            </w:pPr>
          </w:p>
          <w:p w14:paraId="10D8A5C3" w14:textId="3FECA0D0" w:rsidR="00F00ECA" w:rsidRPr="00941EA3" w:rsidRDefault="005504E8" w:rsidP="009756DC">
            <w:pPr>
              <w:ind w:left="1215"/>
              <w:rPr>
                <w:kern w:val="20"/>
                <w:szCs w:val="22"/>
                <w:lang w:val="fr-FR"/>
              </w:rPr>
            </w:pPr>
            <w:sdt>
              <w:sdtPr>
                <w:rPr>
                  <w:kern w:val="20"/>
                  <w:lang w:val="fr-FR"/>
                </w:rPr>
                <w:alias w:val="Subject"/>
                <w:tag w:val=""/>
                <w:id w:val="2137136483"/>
                <w:placeholder>
                  <w:docPart w:val="42EE975683514D8DBC226F9B74E393E5"/>
                </w:placeholder>
                <w:dataBinding w:prefixMappings="xmlns:ns0='http://purl.org/dc/elements/1.1/' xmlns:ns1='http://schemas.openxmlformats.org/package/2006/metadata/core-properties' " w:xpath="/ns1:coreProperties[1]/ns0:subject[1]" w:storeItemID="{6C3C8BC8-F283-45AE-878A-BAB7291924A1}"/>
                <w:text/>
              </w:sdtPr>
              <w:sdtEndPr/>
              <w:sdtContent>
                <w:r w:rsidR="002A5D48">
                  <w:rPr>
                    <w:kern w:val="20"/>
                  </w:rPr>
                  <w:t>CBD/COP/DEC/14/28</w:t>
                </w:r>
              </w:sdtContent>
            </w:sdt>
          </w:p>
          <w:p w14:paraId="625BE016" w14:textId="4402E2DB" w:rsidR="00F00ECA" w:rsidRPr="00941EA3" w:rsidRDefault="002A5D48" w:rsidP="009756DC">
            <w:pPr>
              <w:ind w:left="1215"/>
              <w:rPr>
                <w:kern w:val="20"/>
                <w:szCs w:val="22"/>
                <w:lang w:val="fr-FR"/>
              </w:rPr>
            </w:pPr>
            <w:r>
              <w:rPr>
                <w:kern w:val="20"/>
                <w:szCs w:val="22"/>
                <w:lang w:val="fr-FR"/>
              </w:rPr>
              <w:t>30</w:t>
            </w:r>
            <w:r w:rsidR="00F00ECA" w:rsidRPr="00941EA3">
              <w:rPr>
                <w:kern w:val="20"/>
                <w:szCs w:val="22"/>
                <w:lang w:val="fr-FR"/>
              </w:rPr>
              <w:t xml:space="preserve"> </w:t>
            </w:r>
            <w:r w:rsidR="00F321FF" w:rsidRPr="00941EA3">
              <w:rPr>
                <w:kern w:val="20"/>
                <w:szCs w:val="22"/>
                <w:lang w:val="fr-FR"/>
              </w:rPr>
              <w:t>novembre</w:t>
            </w:r>
            <w:r w:rsidR="00F00ECA" w:rsidRPr="00941EA3">
              <w:rPr>
                <w:kern w:val="20"/>
                <w:szCs w:val="22"/>
                <w:lang w:val="fr-FR"/>
              </w:rPr>
              <w:t xml:space="preserve"> 2018</w:t>
            </w:r>
          </w:p>
          <w:p w14:paraId="79B0994F" w14:textId="77777777" w:rsidR="00F00ECA" w:rsidRPr="00941EA3" w:rsidRDefault="00F00ECA" w:rsidP="009756DC">
            <w:pPr>
              <w:ind w:left="1215"/>
              <w:rPr>
                <w:kern w:val="20"/>
                <w:szCs w:val="22"/>
                <w:lang w:val="fr-FR"/>
              </w:rPr>
            </w:pPr>
          </w:p>
          <w:p w14:paraId="385C3AF0" w14:textId="77777777" w:rsidR="00F321FF" w:rsidRPr="00941EA3" w:rsidRDefault="00F321FF" w:rsidP="00F321FF">
            <w:pPr>
              <w:ind w:left="1215"/>
              <w:rPr>
                <w:kern w:val="20"/>
                <w:szCs w:val="22"/>
                <w:lang w:val="fr-FR"/>
              </w:rPr>
            </w:pPr>
            <w:r w:rsidRPr="00941EA3">
              <w:rPr>
                <w:kern w:val="20"/>
                <w:szCs w:val="22"/>
                <w:lang w:val="fr-FR"/>
              </w:rPr>
              <w:t>FRANÇAIS</w:t>
            </w:r>
          </w:p>
          <w:p w14:paraId="36AA6DD6" w14:textId="6C47942C" w:rsidR="00F321FF" w:rsidRPr="00941EA3" w:rsidRDefault="00F321FF" w:rsidP="00F321FF">
            <w:pPr>
              <w:ind w:left="1215"/>
              <w:rPr>
                <w:kern w:val="20"/>
                <w:szCs w:val="22"/>
                <w:lang w:val="fr-FR"/>
              </w:rPr>
            </w:pPr>
            <w:r w:rsidRPr="00941EA3">
              <w:rPr>
                <w:kern w:val="20"/>
                <w:szCs w:val="22"/>
                <w:lang w:val="fr-FR"/>
              </w:rPr>
              <w:t>ORIGINAL : ANGLAIS</w:t>
            </w:r>
          </w:p>
        </w:tc>
      </w:tr>
    </w:tbl>
    <w:p w14:paraId="0B18DF6A" w14:textId="77777777" w:rsidR="0011568D" w:rsidRPr="00941EA3" w:rsidRDefault="0011568D" w:rsidP="0011568D">
      <w:pPr>
        <w:pStyle w:val="Cornernotation"/>
        <w:kinsoku w:val="0"/>
        <w:overflowPunct w:val="0"/>
        <w:autoSpaceDE w:val="0"/>
        <w:autoSpaceDN w:val="0"/>
        <w:ind w:left="187" w:right="4423" w:hanging="187"/>
        <w:rPr>
          <w:snapToGrid w:val="0"/>
          <w:kern w:val="22"/>
          <w:szCs w:val="22"/>
          <w:lang w:val="fr-FR"/>
        </w:rPr>
      </w:pPr>
      <w:r w:rsidRPr="00941EA3">
        <w:rPr>
          <w:kern w:val="22"/>
          <w:lang w:val="fr-FR"/>
        </w:rPr>
        <w:t>CONFÉRENCE DES PARTIES À LA CONVENTION SUR LA DIVERSITÉ BIOLOGIQUE</w:t>
      </w:r>
    </w:p>
    <w:p w14:paraId="543F8F04" w14:textId="77777777" w:rsidR="0011568D" w:rsidRPr="00941EA3" w:rsidRDefault="0011568D" w:rsidP="0011568D">
      <w:pPr>
        <w:pStyle w:val="Cornernotation"/>
        <w:kinsoku w:val="0"/>
        <w:overflowPunct w:val="0"/>
        <w:autoSpaceDE w:val="0"/>
        <w:autoSpaceDN w:val="0"/>
        <w:ind w:left="187" w:right="4421" w:hanging="187"/>
        <w:rPr>
          <w:snapToGrid w:val="0"/>
          <w:kern w:val="22"/>
          <w:szCs w:val="22"/>
          <w:lang w:val="fr-FR"/>
        </w:rPr>
      </w:pPr>
      <w:r w:rsidRPr="00941EA3">
        <w:rPr>
          <w:snapToGrid w:val="0"/>
          <w:kern w:val="22"/>
          <w:szCs w:val="22"/>
          <w:lang w:val="fr-FR"/>
        </w:rPr>
        <w:t>Quatorzième réunion</w:t>
      </w:r>
    </w:p>
    <w:p w14:paraId="255E7E6C" w14:textId="776C5026" w:rsidR="0011568D" w:rsidRPr="00941EA3" w:rsidRDefault="002A5D48" w:rsidP="0011568D">
      <w:pPr>
        <w:pStyle w:val="NoSpacing"/>
        <w:rPr>
          <w:rFonts w:ascii="Times New Roman" w:hAnsi="Times New Roman"/>
          <w:lang w:val="fr-FR"/>
        </w:rPr>
      </w:pPr>
      <w:r>
        <w:rPr>
          <w:rFonts w:ascii="Times New Roman" w:hAnsi="Times New Roman"/>
          <w:noProof/>
          <w:snapToGrid w:val="0"/>
          <w:kern w:val="22"/>
          <w:lang w:val="fr-FR"/>
        </w:rPr>
        <w:t>C</w:t>
      </w:r>
      <w:r w:rsidR="0011568D" w:rsidRPr="00941EA3">
        <w:rPr>
          <w:rFonts w:ascii="Times New Roman" w:hAnsi="Times New Roman"/>
          <w:noProof/>
          <w:snapToGrid w:val="0"/>
          <w:kern w:val="22"/>
          <w:lang w:val="fr-FR"/>
        </w:rPr>
        <w:t>harm</w:t>
      </w:r>
      <w:r>
        <w:rPr>
          <w:rFonts w:ascii="Times New Roman" w:hAnsi="Times New Roman"/>
          <w:snapToGrid w:val="0"/>
          <w:kern w:val="22"/>
          <w:lang w:val="fr-FR"/>
        </w:rPr>
        <w:t xml:space="preserve"> el-C</w:t>
      </w:r>
      <w:r w:rsidR="0011568D" w:rsidRPr="00941EA3">
        <w:rPr>
          <w:rFonts w:ascii="Times New Roman" w:hAnsi="Times New Roman"/>
          <w:snapToGrid w:val="0"/>
          <w:kern w:val="22"/>
          <w:lang w:val="fr-FR"/>
        </w:rPr>
        <w:t xml:space="preserve">heikh, Égypte, 17-29 novembre </w:t>
      </w:r>
      <w:r w:rsidR="0011568D" w:rsidRPr="00941EA3">
        <w:rPr>
          <w:rFonts w:ascii="Times New Roman" w:hAnsi="Times New Roman"/>
          <w:lang w:val="fr-FR"/>
        </w:rPr>
        <w:t>2018</w:t>
      </w:r>
    </w:p>
    <w:p w14:paraId="0C1FF526" w14:textId="02AEDD48" w:rsidR="00F00ECA" w:rsidRDefault="0011568D" w:rsidP="00941EA3">
      <w:pPr>
        <w:pStyle w:val="Cornernotation"/>
        <w:ind w:right="3973"/>
        <w:rPr>
          <w:lang w:val="fr-FR"/>
        </w:rPr>
      </w:pPr>
      <w:r w:rsidRPr="00941EA3">
        <w:rPr>
          <w:lang w:val="fr-FR"/>
        </w:rPr>
        <w:t>Point 12 de l’ordre du jour</w:t>
      </w:r>
    </w:p>
    <w:p w14:paraId="5BC7C0DE" w14:textId="61A43422" w:rsidR="002A5D48" w:rsidRPr="002A5D48" w:rsidRDefault="002A5D48" w:rsidP="002A5D48">
      <w:pPr>
        <w:suppressLineNumbers/>
        <w:suppressAutoHyphens/>
        <w:spacing w:before="240" w:after="120"/>
        <w:jc w:val="center"/>
        <w:rPr>
          <w:b/>
          <w:kern w:val="20"/>
          <w:szCs w:val="22"/>
          <w:lang w:val="fr-FR"/>
        </w:rPr>
      </w:pPr>
      <w:r>
        <w:rPr>
          <w:b/>
          <w:kern w:val="20"/>
          <w:szCs w:val="22"/>
          <w:lang w:val="fr-FR"/>
        </w:rPr>
        <w:t xml:space="preserve">DÉCISION ADOPTÉE PAR LA CONFÉRENCE DES PARTIES </w:t>
      </w:r>
      <w:bookmarkStart w:id="0" w:name="_GoBack"/>
      <w:bookmarkEnd w:id="0"/>
      <w:r>
        <w:rPr>
          <w:b/>
          <w:kern w:val="20"/>
          <w:szCs w:val="22"/>
          <w:lang w:val="fr-FR"/>
        </w:rPr>
        <w:t>À LA CONVENTION SUR LA DIVERSITÉ BIOLOGIQUE</w:t>
      </w:r>
    </w:p>
    <w:p w14:paraId="70A9BE08" w14:textId="61CC7E62" w:rsidR="00C9161D" w:rsidRPr="00941EA3" w:rsidRDefault="005504E8" w:rsidP="00470BA4">
      <w:pPr>
        <w:spacing w:before="240" w:after="120"/>
        <w:jc w:val="center"/>
        <w:rPr>
          <w:rFonts w:ascii="Times New Roman Bold" w:hAnsi="Times New Roman Bold"/>
          <w:b/>
          <w:caps/>
          <w:kern w:val="20"/>
          <w:szCs w:val="22"/>
          <w:lang w:val="fr-FR"/>
        </w:rPr>
      </w:pPr>
      <w:sdt>
        <w:sdtPr>
          <w:rPr>
            <w:b/>
            <w:kern w:val="22"/>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2A5D48" w:rsidRPr="00941EA3">
            <w:rPr>
              <w:b/>
              <w:kern w:val="22"/>
              <w:lang w:val="fr-FR"/>
            </w:rPr>
            <w:t>Outils d’évaluation de l’efficacité des instruments de politique générale pour la mise en œuvre du plan stratégique pour la diversité biologique 2011-202</w:t>
          </w:r>
          <w:r w:rsidR="002A5D48">
            <w:rPr>
              <w:b/>
              <w:kern w:val="22"/>
              <w:lang w:val="fr-FR"/>
            </w:rPr>
            <w:t>0</w:t>
          </w:r>
        </w:sdtContent>
      </w:sdt>
    </w:p>
    <w:p w14:paraId="7F396FA9" w14:textId="77777777" w:rsidR="0011568D" w:rsidRPr="00941EA3" w:rsidRDefault="0011568D" w:rsidP="0011568D">
      <w:pPr>
        <w:pStyle w:val="Para1"/>
        <w:keepNext/>
        <w:numPr>
          <w:ilvl w:val="0"/>
          <w:numId w:val="0"/>
        </w:numPr>
        <w:suppressLineNumbers/>
        <w:suppressAutoHyphens/>
        <w:ind w:firstLine="709"/>
        <w:rPr>
          <w:i/>
          <w:iCs/>
          <w:snapToGrid/>
          <w:kern w:val="22"/>
          <w:szCs w:val="22"/>
          <w:lang w:val="fr-FR" w:eastAsia="nl-BE"/>
        </w:rPr>
      </w:pPr>
      <w:r w:rsidRPr="00941EA3">
        <w:rPr>
          <w:i/>
          <w:iCs/>
          <w:snapToGrid/>
          <w:kern w:val="22"/>
          <w:szCs w:val="22"/>
          <w:lang w:val="fr-FR" w:eastAsia="nl-BE"/>
        </w:rPr>
        <w:t>La Conférence des Parties,</w:t>
      </w:r>
    </w:p>
    <w:p w14:paraId="597D9058" w14:textId="77777777" w:rsidR="0011568D" w:rsidRPr="00941EA3" w:rsidRDefault="0011568D" w:rsidP="0011568D">
      <w:pPr>
        <w:pStyle w:val="Para1"/>
        <w:numPr>
          <w:ilvl w:val="0"/>
          <w:numId w:val="0"/>
        </w:numPr>
        <w:suppressLineNumbers/>
        <w:suppressAutoHyphens/>
        <w:spacing w:before="0"/>
        <w:ind w:firstLine="709"/>
        <w:rPr>
          <w:kern w:val="22"/>
          <w:szCs w:val="22"/>
          <w:lang w:val="fr-FR"/>
        </w:rPr>
      </w:pPr>
      <w:r w:rsidRPr="00941EA3">
        <w:rPr>
          <w:i/>
          <w:iCs/>
          <w:kern w:val="22"/>
          <w:szCs w:val="22"/>
          <w:lang w:val="fr-FR"/>
        </w:rPr>
        <w:t>Rappelant</w:t>
      </w:r>
      <w:r w:rsidRPr="00941EA3">
        <w:rPr>
          <w:iCs/>
          <w:kern w:val="22"/>
          <w:szCs w:val="22"/>
          <w:lang w:val="fr-FR"/>
        </w:rPr>
        <w:t xml:space="preserve"> les paragraphes 29 et 30 de la </w:t>
      </w:r>
      <w:hyperlink r:id="rId13" w:history="1">
        <w:r w:rsidRPr="00941EA3">
          <w:rPr>
            <w:rStyle w:val="Hyperlink"/>
            <w:iCs/>
            <w:kern w:val="22"/>
            <w:sz w:val="22"/>
            <w:szCs w:val="22"/>
            <w:lang w:val="fr-FR"/>
          </w:rPr>
          <w:t>décision XIII/1</w:t>
        </w:r>
      </w:hyperlink>
      <w:r w:rsidRPr="00941EA3">
        <w:rPr>
          <w:iCs/>
          <w:kern w:val="22"/>
          <w:szCs w:val="22"/>
          <w:lang w:val="fr-FR"/>
        </w:rPr>
        <w:t>,</w:t>
      </w:r>
    </w:p>
    <w:p w14:paraId="411753D0" w14:textId="286BB2EB" w:rsidR="0011568D" w:rsidRPr="00941EA3" w:rsidRDefault="0011568D" w:rsidP="0011568D">
      <w:pPr>
        <w:pStyle w:val="Para1"/>
        <w:numPr>
          <w:ilvl w:val="0"/>
          <w:numId w:val="19"/>
        </w:numPr>
        <w:suppressLineNumbers/>
        <w:tabs>
          <w:tab w:val="clear" w:pos="360"/>
        </w:tabs>
        <w:suppressAutoHyphens/>
        <w:spacing w:before="0"/>
        <w:ind w:firstLine="709"/>
        <w:rPr>
          <w:kern w:val="22"/>
          <w:szCs w:val="22"/>
          <w:lang w:val="fr-FR"/>
        </w:rPr>
      </w:pPr>
      <w:r w:rsidRPr="00941EA3">
        <w:rPr>
          <w:i/>
          <w:iCs/>
          <w:kern w:val="22"/>
          <w:szCs w:val="22"/>
          <w:lang w:val="fr-FR"/>
        </w:rPr>
        <w:t xml:space="preserve">Souligne </w:t>
      </w:r>
      <w:r w:rsidRPr="00941EA3">
        <w:rPr>
          <w:iCs/>
          <w:kern w:val="22"/>
          <w:szCs w:val="22"/>
          <w:lang w:val="fr-FR"/>
        </w:rPr>
        <w:t>la nécessité d’une solide évaluation de l’efficacité des instruments de politique et des mesures d'appui à la mise en œuvre de la Convention et du Plan stratégique pour la diversité biologique à 2011-2020</w:t>
      </w:r>
      <w:r w:rsidR="00941EA3" w:rsidRPr="00941EA3">
        <w:rPr>
          <w:iCs/>
          <w:kern w:val="22"/>
          <w:szCs w:val="22"/>
          <w:lang w:val="fr-FR"/>
        </w:rPr>
        <w:t xml:space="preserve">, ainsi que </w:t>
      </w:r>
      <w:r w:rsidRPr="00941EA3">
        <w:rPr>
          <w:iCs/>
          <w:kern w:val="22"/>
          <w:szCs w:val="22"/>
          <w:lang w:val="fr-FR"/>
        </w:rPr>
        <w:t xml:space="preserve">de renforcer les capacités connexes, et </w:t>
      </w:r>
      <w:r w:rsidRPr="00941EA3">
        <w:rPr>
          <w:i/>
          <w:iCs/>
          <w:kern w:val="22"/>
          <w:szCs w:val="22"/>
          <w:lang w:val="fr-FR"/>
        </w:rPr>
        <w:t>prie</w:t>
      </w:r>
      <w:r w:rsidRPr="00941EA3">
        <w:rPr>
          <w:iCs/>
          <w:kern w:val="22"/>
          <w:szCs w:val="22"/>
          <w:lang w:val="fr-FR"/>
        </w:rPr>
        <w:t xml:space="preserve"> par conséquent la Secrétaire exécutive de tenir compte de ces deux points lors de l’élaboration du cadre mondial de la diversité biologique pour l’après-2020 et lors de la préparation de la troisième réunion de l'Organe subsidiaire chargé de l’application ;</w:t>
      </w:r>
    </w:p>
    <w:p w14:paraId="36F73638" w14:textId="5CE865CE" w:rsidR="0011568D" w:rsidRPr="00941EA3" w:rsidRDefault="0011568D" w:rsidP="0011568D">
      <w:pPr>
        <w:pStyle w:val="Para1"/>
        <w:numPr>
          <w:ilvl w:val="0"/>
          <w:numId w:val="2"/>
        </w:numPr>
        <w:suppressLineNumbers/>
        <w:tabs>
          <w:tab w:val="clear" w:pos="360"/>
        </w:tabs>
        <w:suppressAutoHyphens/>
        <w:spacing w:before="0"/>
        <w:ind w:firstLine="709"/>
        <w:rPr>
          <w:kern w:val="22"/>
          <w:szCs w:val="22"/>
          <w:lang w:val="fr-FR"/>
        </w:rPr>
      </w:pPr>
      <w:r w:rsidRPr="00941EA3">
        <w:rPr>
          <w:i/>
          <w:iCs/>
          <w:kern w:val="22"/>
          <w:szCs w:val="22"/>
          <w:lang w:val="fr-FR"/>
        </w:rPr>
        <w:t>Souligne également</w:t>
      </w:r>
      <w:r w:rsidR="002A5D48">
        <w:rPr>
          <w:iCs/>
          <w:kern w:val="22"/>
          <w:szCs w:val="22"/>
          <w:lang w:val="fr-FR"/>
        </w:rPr>
        <w:t>,</w:t>
      </w:r>
      <w:r w:rsidRPr="00941EA3">
        <w:rPr>
          <w:i/>
          <w:iCs/>
          <w:kern w:val="22"/>
          <w:szCs w:val="22"/>
          <w:lang w:val="fr-FR"/>
        </w:rPr>
        <w:t xml:space="preserve"> </w:t>
      </w:r>
      <w:r w:rsidRPr="00941EA3">
        <w:rPr>
          <w:iCs/>
          <w:kern w:val="22"/>
          <w:szCs w:val="22"/>
          <w:lang w:val="fr-FR"/>
        </w:rPr>
        <w:t>dans ce contexte</w:t>
      </w:r>
      <w:r w:rsidR="002A5D48">
        <w:rPr>
          <w:iCs/>
          <w:kern w:val="22"/>
          <w:szCs w:val="22"/>
          <w:lang w:val="fr-FR"/>
        </w:rPr>
        <w:t>,</w:t>
      </w:r>
      <w:r w:rsidRPr="00941EA3">
        <w:rPr>
          <w:iCs/>
          <w:kern w:val="22"/>
          <w:szCs w:val="22"/>
          <w:lang w:val="fr-FR"/>
        </w:rPr>
        <w:t xml:space="preserve"> </w:t>
      </w:r>
      <w:r w:rsidR="00941EA3" w:rsidRPr="00941EA3">
        <w:rPr>
          <w:iCs/>
          <w:kern w:val="22"/>
          <w:szCs w:val="22"/>
          <w:lang w:val="fr-FR"/>
        </w:rPr>
        <w:t>l’importance</w:t>
      </w:r>
      <w:r w:rsidRPr="00941EA3">
        <w:rPr>
          <w:iCs/>
          <w:kern w:val="22"/>
          <w:szCs w:val="22"/>
          <w:lang w:val="fr-FR"/>
        </w:rPr>
        <w:t xml:space="preserve"> d’aligner les indicateurs utilisés dans les différents processus de communication des données sur la diversité biologique et le développement durable ;</w:t>
      </w:r>
    </w:p>
    <w:p w14:paraId="44E7CC26" w14:textId="77777777" w:rsidR="0011568D" w:rsidRPr="00941EA3" w:rsidRDefault="0011568D" w:rsidP="0011568D">
      <w:pPr>
        <w:pStyle w:val="Para1"/>
        <w:numPr>
          <w:ilvl w:val="0"/>
          <w:numId w:val="2"/>
        </w:numPr>
        <w:tabs>
          <w:tab w:val="clear" w:pos="360"/>
        </w:tabs>
        <w:ind w:firstLine="709"/>
        <w:rPr>
          <w:kern w:val="22"/>
          <w:szCs w:val="22"/>
          <w:lang w:val="fr-FR"/>
        </w:rPr>
      </w:pPr>
      <w:r w:rsidRPr="00941EA3">
        <w:rPr>
          <w:i/>
          <w:iCs/>
          <w:kern w:val="22"/>
          <w:szCs w:val="22"/>
          <w:lang w:val="fr-FR"/>
        </w:rPr>
        <w:t>Encourage</w:t>
      </w:r>
      <w:r w:rsidRPr="00941EA3">
        <w:rPr>
          <w:iCs/>
          <w:kern w:val="22"/>
          <w:szCs w:val="22"/>
          <w:lang w:val="fr-FR"/>
        </w:rPr>
        <w:t xml:space="preserve"> l’utilisation par les Parties, les autres gouvernements, les organisations internationales, les peuples autochtones et les communautés locales, le secteur privé et les autres parties prenantes, de l’information contenue dans la note de la Secrétaire exécutive sur les outils d’évaluation de l’efficacité des instruments de politique générale pour la mise en œuvre de la Convention</w:t>
      </w:r>
      <w:bookmarkStart w:id="1" w:name="_Ref500789132"/>
      <w:r w:rsidRPr="00941EA3">
        <w:rPr>
          <w:rStyle w:val="FootnoteReference"/>
          <w:rFonts w:eastAsiaTheme="majorEastAsia"/>
          <w:kern w:val="22"/>
          <w:szCs w:val="22"/>
          <w:lang w:val="fr-FR"/>
        </w:rPr>
        <w:footnoteReference w:id="1"/>
      </w:r>
      <w:bookmarkEnd w:id="1"/>
      <w:r w:rsidRPr="00941EA3">
        <w:rPr>
          <w:iCs/>
          <w:kern w:val="22"/>
          <w:szCs w:val="22"/>
          <w:lang w:val="fr-FR"/>
        </w:rPr>
        <w:t>, selon qu’il convient, lors de la conception et de la conduite d’évaluations de l’efficacité des mesures prises pour appliquer la Convention, notamment dans le contexte de l’élaboration des rapports nationaux ;</w:t>
      </w:r>
    </w:p>
    <w:p w14:paraId="60B68053" w14:textId="77777777" w:rsidR="0011568D" w:rsidRPr="00941EA3" w:rsidRDefault="0011568D" w:rsidP="0011568D">
      <w:pPr>
        <w:pStyle w:val="Para1"/>
        <w:numPr>
          <w:ilvl w:val="0"/>
          <w:numId w:val="2"/>
        </w:numPr>
        <w:suppressLineNumbers/>
        <w:tabs>
          <w:tab w:val="clear" w:pos="360"/>
        </w:tabs>
        <w:suppressAutoHyphens/>
        <w:spacing w:before="0"/>
        <w:ind w:firstLine="709"/>
        <w:rPr>
          <w:iCs/>
          <w:kern w:val="22"/>
          <w:szCs w:val="22"/>
          <w:lang w:val="fr-FR"/>
        </w:rPr>
      </w:pPr>
      <w:r w:rsidRPr="00941EA3">
        <w:rPr>
          <w:i/>
          <w:iCs/>
          <w:kern w:val="22"/>
          <w:szCs w:val="22"/>
          <w:lang w:val="fr-FR"/>
        </w:rPr>
        <w:t>Demande</w:t>
      </w:r>
      <w:r w:rsidRPr="00941EA3">
        <w:rPr>
          <w:iCs/>
          <w:kern w:val="22"/>
          <w:szCs w:val="22"/>
          <w:lang w:val="fr-FR"/>
        </w:rPr>
        <w:t xml:space="preserve"> aux Parties et </w:t>
      </w:r>
      <w:r w:rsidRPr="00941EA3">
        <w:rPr>
          <w:i/>
          <w:iCs/>
          <w:kern w:val="22"/>
          <w:szCs w:val="22"/>
          <w:lang w:val="fr-FR"/>
        </w:rPr>
        <w:t>invite</w:t>
      </w:r>
      <w:r w:rsidRPr="00941EA3">
        <w:rPr>
          <w:iCs/>
          <w:kern w:val="22"/>
          <w:szCs w:val="22"/>
          <w:lang w:val="fr-FR"/>
        </w:rPr>
        <w:t xml:space="preserve"> les autres gouvernements, les organisations internationales, les peuples autochtones et les communautés locales, le secteur privé et les autres parties prenantes à </w:t>
      </w:r>
      <w:r w:rsidRPr="00941EA3">
        <w:rPr>
          <w:kern w:val="22"/>
          <w:szCs w:val="22"/>
          <w:lang w:val="fr-FR"/>
        </w:rPr>
        <w:t>communiquer des informations sur les méthodes utilisées pour évaluer l’efficacité des mesures prises pour appliquer la Convention, selon qu’il convient, ainsi que les enseignements tirés de ces évaluations et des études de cas, dans leurs rapports nationaux, par le biais du centre d’échange et d’autres moyens appropriés ;</w:t>
      </w:r>
    </w:p>
    <w:p w14:paraId="76B7FDC4" w14:textId="0E6B6A17" w:rsidR="00BA3912" w:rsidRPr="00941EA3" w:rsidRDefault="0011568D" w:rsidP="0011568D">
      <w:pPr>
        <w:pStyle w:val="Para1"/>
        <w:numPr>
          <w:ilvl w:val="0"/>
          <w:numId w:val="2"/>
        </w:numPr>
        <w:suppressLineNumbers/>
        <w:tabs>
          <w:tab w:val="clear" w:pos="360"/>
        </w:tabs>
        <w:suppressAutoHyphens/>
        <w:spacing w:before="0"/>
        <w:ind w:firstLine="709"/>
        <w:rPr>
          <w:iCs/>
          <w:kern w:val="22"/>
          <w:szCs w:val="22"/>
          <w:lang w:val="fr-FR"/>
        </w:rPr>
      </w:pPr>
      <w:r w:rsidRPr="00941EA3">
        <w:rPr>
          <w:i/>
          <w:lang w:val="fr-FR"/>
        </w:rPr>
        <w:t xml:space="preserve">Prie </w:t>
      </w:r>
      <w:r w:rsidRPr="00941EA3">
        <w:rPr>
          <w:lang w:val="fr-FR"/>
        </w:rPr>
        <w:t xml:space="preserve">la Secrétaire exécutive, </w:t>
      </w:r>
      <w:r w:rsidR="00941EA3" w:rsidRPr="00941EA3">
        <w:rPr>
          <w:lang w:val="fr-FR"/>
        </w:rPr>
        <w:t>sous réserve de la disponibilité des ressources, d’élaborer</w:t>
      </w:r>
      <w:r w:rsidR="001C65A2">
        <w:rPr>
          <w:lang w:val="fr-FR"/>
        </w:rPr>
        <w:t xml:space="preserve">, aux fins d’examen par  </w:t>
      </w:r>
      <w:r w:rsidRPr="00941EA3">
        <w:rPr>
          <w:iCs/>
          <w:kern w:val="22"/>
          <w:szCs w:val="22"/>
          <w:lang w:val="fr-FR"/>
        </w:rPr>
        <w:t>l'Organe subsidiaire chargé de l’application à sa troisième réunion,</w:t>
      </w:r>
      <w:r w:rsidRPr="00941EA3">
        <w:rPr>
          <w:lang w:val="fr-FR"/>
        </w:rPr>
        <w:t xml:space="preserve"> </w:t>
      </w:r>
      <w:r w:rsidR="001C65A2" w:rsidRPr="00941EA3">
        <w:rPr>
          <w:lang w:val="fr-FR"/>
        </w:rPr>
        <w:t>une boîte à outils</w:t>
      </w:r>
      <w:r w:rsidR="001C65A2" w:rsidRPr="00941EA3">
        <w:rPr>
          <w:lang w:val="fr-FR"/>
        </w:rPr>
        <w:t xml:space="preserve"> </w:t>
      </w:r>
      <w:r w:rsidR="00941EA3" w:rsidRPr="00941EA3">
        <w:rPr>
          <w:lang w:val="fr-FR"/>
        </w:rPr>
        <w:t>destinée à</w:t>
      </w:r>
      <w:r w:rsidRPr="00941EA3">
        <w:rPr>
          <w:lang w:val="fr-FR"/>
        </w:rPr>
        <w:t xml:space="preserve"> aider les Parties, </w:t>
      </w:r>
      <w:r w:rsidRPr="00941EA3">
        <w:rPr>
          <w:iCs/>
          <w:kern w:val="22"/>
          <w:szCs w:val="22"/>
          <w:lang w:val="fr-FR"/>
        </w:rPr>
        <w:t>les autres gouvernements, les organisations internationales, les peuples autochtones et les communautés locales, le secteur privé et les autres parties prenantes,</w:t>
      </w:r>
      <w:r w:rsidRPr="00941EA3">
        <w:rPr>
          <w:lang w:val="fr-FR"/>
        </w:rPr>
        <w:t xml:space="preserve"> à mener des </w:t>
      </w:r>
      <w:r w:rsidRPr="00941EA3">
        <w:rPr>
          <w:lang w:val="fr-FR"/>
        </w:rPr>
        <w:lastRenderedPageBreak/>
        <w:t>évaluations de l’efficacité des mesures, en prenant appui sur les orientations fournies dans la note de la Secrétaire exécutive</w:t>
      </w:r>
      <w:r w:rsidR="00941EA3" w:rsidRPr="00941EA3">
        <w:rPr>
          <w:rStyle w:val="FootnoteReference"/>
          <w:rFonts w:eastAsiaTheme="majorEastAsia"/>
          <w:kern w:val="18"/>
          <w:lang w:val="fr-FR"/>
        </w:rPr>
        <w:footnoteRef/>
      </w:r>
      <w:r w:rsidRPr="00941EA3">
        <w:rPr>
          <w:lang w:val="fr-FR"/>
        </w:rPr>
        <w:t>, et sur l’information fournie conformément au paragraphe 4 ci-dessus</w:t>
      </w:r>
      <w:r w:rsidR="00BA3912" w:rsidRPr="00941EA3">
        <w:rPr>
          <w:iCs/>
          <w:snapToGrid/>
          <w:kern w:val="20"/>
          <w:szCs w:val="22"/>
          <w:lang w:val="fr-FR"/>
        </w:rPr>
        <w:t>.</w:t>
      </w:r>
      <w:r w:rsidR="00941EA3" w:rsidRPr="00941EA3">
        <w:rPr>
          <w:iCs/>
          <w:snapToGrid/>
          <w:kern w:val="20"/>
          <w:szCs w:val="22"/>
          <w:lang w:val="fr-FR"/>
        </w:rPr>
        <w:t xml:space="preserve"> </w:t>
      </w:r>
      <w:r w:rsidR="0063300F">
        <w:rPr>
          <w:iCs/>
          <w:snapToGrid/>
          <w:kern w:val="20"/>
          <w:szCs w:val="22"/>
          <w:lang w:val="fr-FR"/>
        </w:rPr>
        <w:t xml:space="preserve"> </w:t>
      </w:r>
    </w:p>
    <w:p w14:paraId="77A58B70" w14:textId="663C0A73" w:rsidR="001A6239" w:rsidRPr="00941EA3" w:rsidRDefault="005904AB" w:rsidP="005904AB">
      <w:pPr>
        <w:pStyle w:val="NormalWeb"/>
        <w:suppressLineNumbers/>
        <w:suppressAutoHyphens/>
        <w:kinsoku w:val="0"/>
        <w:autoSpaceDE w:val="0"/>
        <w:autoSpaceDN w:val="0"/>
        <w:adjustRightInd w:val="0"/>
        <w:snapToGrid w:val="0"/>
        <w:spacing w:before="120" w:beforeAutospacing="0" w:after="120" w:afterAutospacing="0"/>
        <w:jc w:val="center"/>
        <w:rPr>
          <w:rFonts w:ascii="Times New Roman" w:hAnsi="Times New Roman" w:cs="Times New Roman"/>
          <w:kern w:val="20"/>
          <w:sz w:val="22"/>
          <w:szCs w:val="22"/>
          <w:lang w:val="fr-FR"/>
        </w:rPr>
      </w:pPr>
      <w:r w:rsidRPr="00941EA3">
        <w:rPr>
          <w:rFonts w:ascii="Times New Roman" w:hAnsi="Times New Roman" w:cs="Times New Roman"/>
          <w:kern w:val="20"/>
          <w:sz w:val="22"/>
          <w:szCs w:val="22"/>
          <w:lang w:val="fr-FR"/>
        </w:rPr>
        <w:t>__________</w:t>
      </w:r>
    </w:p>
    <w:sectPr w:rsidR="001A6239" w:rsidRPr="00941EA3" w:rsidSect="009C200D">
      <w:headerReference w:type="even" r:id="rId14"/>
      <w:headerReference w:type="default" r:id="rId15"/>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B56E4" w14:textId="77777777" w:rsidR="005504E8" w:rsidRDefault="005504E8" w:rsidP="00CF1848">
      <w:r>
        <w:separator/>
      </w:r>
    </w:p>
  </w:endnote>
  <w:endnote w:type="continuationSeparator" w:id="0">
    <w:p w14:paraId="0E2FF25A" w14:textId="77777777" w:rsidR="005504E8" w:rsidRDefault="005504E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DF21F6" w14:textId="77777777" w:rsidR="005504E8" w:rsidRDefault="005504E8" w:rsidP="00CF1848">
      <w:r>
        <w:separator/>
      </w:r>
    </w:p>
  </w:footnote>
  <w:footnote w:type="continuationSeparator" w:id="0">
    <w:p w14:paraId="384E9F39" w14:textId="77777777" w:rsidR="005504E8" w:rsidRDefault="005504E8" w:rsidP="00CF1848">
      <w:r>
        <w:continuationSeparator/>
      </w:r>
    </w:p>
  </w:footnote>
  <w:footnote w:id="1">
    <w:p w14:paraId="3FAB3520" w14:textId="77777777" w:rsidR="0011568D" w:rsidRPr="00D2294E" w:rsidRDefault="0011568D" w:rsidP="0011568D">
      <w:pPr>
        <w:pStyle w:val="FootnoteText"/>
        <w:keepLines w:val="0"/>
        <w:ind w:firstLine="0"/>
        <w:jc w:val="left"/>
        <w:rPr>
          <w:kern w:val="18"/>
          <w:lang w:val="fr-CA"/>
        </w:rPr>
      </w:pPr>
      <w:r w:rsidRPr="00F963AF">
        <w:rPr>
          <w:rStyle w:val="FootnoteReference"/>
          <w:rFonts w:eastAsiaTheme="majorEastAsia"/>
          <w:kern w:val="18"/>
        </w:rPr>
        <w:footnoteRef/>
      </w:r>
      <w:r w:rsidRPr="00D2294E">
        <w:rPr>
          <w:kern w:val="18"/>
          <w:lang w:val="fr-CA"/>
        </w:rPr>
        <w:t xml:space="preserve"> </w:t>
      </w:r>
      <w:hyperlink r:id="rId1" w:history="1">
        <w:r w:rsidRPr="00D2294E">
          <w:rPr>
            <w:rStyle w:val="Hyperlink"/>
            <w:kern w:val="18"/>
            <w:lang w:val="fr-CA"/>
          </w:rPr>
          <w:t>CBD/SBSTTA/21/7</w:t>
        </w:r>
      </w:hyperlink>
      <w:r w:rsidRPr="00D2294E">
        <w:rPr>
          <w:kern w:val="18"/>
          <w:lang w:val="fr-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6AE8B5A1" w:rsidR="001A6239" w:rsidRPr="008C5732" w:rsidRDefault="002A5D48" w:rsidP="00534681">
        <w:pPr>
          <w:pStyle w:val="Header"/>
          <w:rPr>
            <w:lang w:val="en-CA"/>
          </w:rPr>
        </w:pPr>
        <w:r>
          <w:t>CBD/COP/DEC/14/28</w:t>
        </w:r>
      </w:p>
    </w:sdtContent>
  </w:sdt>
  <w:p w14:paraId="57597240" w14:textId="7FE78B61" w:rsidR="001A6239" w:rsidRPr="00000614" w:rsidRDefault="001A6239"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7A555B">
      <w:rPr>
        <w:noProof/>
        <w:lang w:val="fr-FR"/>
      </w:rPr>
      <w:t>2</w:t>
    </w:r>
    <w:r>
      <w:rPr>
        <w:noProof/>
      </w:rPr>
      <w:fldChar w:fldCharType="end"/>
    </w:r>
  </w:p>
  <w:p w14:paraId="1D80EB20" w14:textId="77777777" w:rsidR="001A6239" w:rsidRPr="00000614" w:rsidRDefault="001A6239">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48179731" w:rsidR="001A6239" w:rsidRPr="008C5732" w:rsidRDefault="002A5D48" w:rsidP="009505C9">
        <w:pPr>
          <w:pStyle w:val="Header"/>
          <w:jc w:val="right"/>
          <w:rPr>
            <w:lang w:val="en-CA"/>
          </w:rPr>
        </w:pPr>
        <w:r>
          <w:t>CBD/COP/DEC/14/28</w:t>
        </w:r>
      </w:p>
    </w:sdtContent>
  </w:sdt>
  <w:p w14:paraId="7E9B8683" w14:textId="3F231203" w:rsidR="001A6239" w:rsidRPr="00000614" w:rsidRDefault="001A6239"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242C60">
      <w:rPr>
        <w:noProof/>
        <w:lang w:val="fr-FR"/>
      </w:rPr>
      <w:t>7</w:t>
    </w:r>
    <w:r>
      <w:rPr>
        <w:noProof/>
      </w:rPr>
      <w:fldChar w:fldCharType="end"/>
    </w:r>
  </w:p>
  <w:p w14:paraId="2F845650" w14:textId="77777777" w:rsidR="001A6239" w:rsidRPr="00000614" w:rsidRDefault="001A6239">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fr-FR" w:vendorID="64" w:dllVersion="131078" w:nlCheck="1" w:checkStyle="1"/>
  <w:activeWritingStyle w:appName="MSWord" w:lang="en-GB"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6BDB"/>
    <w:rsid w:val="00014254"/>
    <w:rsid w:val="00046FA1"/>
    <w:rsid w:val="00060B74"/>
    <w:rsid w:val="00090AD0"/>
    <w:rsid w:val="000B4CA8"/>
    <w:rsid w:val="000E673A"/>
    <w:rsid w:val="000E74FE"/>
    <w:rsid w:val="000F6126"/>
    <w:rsid w:val="000F74F5"/>
    <w:rsid w:val="00105372"/>
    <w:rsid w:val="0011568D"/>
    <w:rsid w:val="00131E7A"/>
    <w:rsid w:val="0015619B"/>
    <w:rsid w:val="00172AF6"/>
    <w:rsid w:val="00176CEE"/>
    <w:rsid w:val="00183F86"/>
    <w:rsid w:val="001A6239"/>
    <w:rsid w:val="001B584D"/>
    <w:rsid w:val="001B7818"/>
    <w:rsid w:val="001C5063"/>
    <w:rsid w:val="001C65A2"/>
    <w:rsid w:val="00216EFF"/>
    <w:rsid w:val="00242C60"/>
    <w:rsid w:val="002540C7"/>
    <w:rsid w:val="002A5D48"/>
    <w:rsid w:val="00347FF9"/>
    <w:rsid w:val="00372F74"/>
    <w:rsid w:val="003D3030"/>
    <w:rsid w:val="003D708B"/>
    <w:rsid w:val="003E0411"/>
    <w:rsid w:val="003F7224"/>
    <w:rsid w:val="00405146"/>
    <w:rsid w:val="0042412C"/>
    <w:rsid w:val="00427D21"/>
    <w:rsid w:val="00454205"/>
    <w:rsid w:val="004644C2"/>
    <w:rsid w:val="00467F9C"/>
    <w:rsid w:val="00470BA4"/>
    <w:rsid w:val="0047645E"/>
    <w:rsid w:val="00476FDC"/>
    <w:rsid w:val="0048059E"/>
    <w:rsid w:val="0048775C"/>
    <w:rsid w:val="004A6E32"/>
    <w:rsid w:val="004F0D0C"/>
    <w:rsid w:val="00501F5F"/>
    <w:rsid w:val="0050593C"/>
    <w:rsid w:val="0052166D"/>
    <w:rsid w:val="0052751F"/>
    <w:rsid w:val="00532B7E"/>
    <w:rsid w:val="00534681"/>
    <w:rsid w:val="005504E8"/>
    <w:rsid w:val="005904AB"/>
    <w:rsid w:val="0061028F"/>
    <w:rsid w:val="006122BA"/>
    <w:rsid w:val="0061445E"/>
    <w:rsid w:val="0063300F"/>
    <w:rsid w:val="006418A8"/>
    <w:rsid w:val="006630D9"/>
    <w:rsid w:val="0068528E"/>
    <w:rsid w:val="006B2290"/>
    <w:rsid w:val="006E3202"/>
    <w:rsid w:val="00717D88"/>
    <w:rsid w:val="00771AE9"/>
    <w:rsid w:val="007942D3"/>
    <w:rsid w:val="007A555B"/>
    <w:rsid w:val="007B6C09"/>
    <w:rsid w:val="007D3B09"/>
    <w:rsid w:val="007E09DA"/>
    <w:rsid w:val="007E76BC"/>
    <w:rsid w:val="008178B6"/>
    <w:rsid w:val="00823D4C"/>
    <w:rsid w:val="00861C10"/>
    <w:rsid w:val="00865B74"/>
    <w:rsid w:val="00882B03"/>
    <w:rsid w:val="008C5732"/>
    <w:rsid w:val="00930BA1"/>
    <w:rsid w:val="0093169E"/>
    <w:rsid w:val="00941EA3"/>
    <w:rsid w:val="009505C9"/>
    <w:rsid w:val="009A6450"/>
    <w:rsid w:val="009C200D"/>
    <w:rsid w:val="009C2794"/>
    <w:rsid w:val="009D397C"/>
    <w:rsid w:val="009F6C90"/>
    <w:rsid w:val="00A543CA"/>
    <w:rsid w:val="00A73DB9"/>
    <w:rsid w:val="00B1511B"/>
    <w:rsid w:val="00B3369F"/>
    <w:rsid w:val="00B463A1"/>
    <w:rsid w:val="00B94027"/>
    <w:rsid w:val="00BA0DE7"/>
    <w:rsid w:val="00BA3912"/>
    <w:rsid w:val="00BA4219"/>
    <w:rsid w:val="00BF02E0"/>
    <w:rsid w:val="00BF20A5"/>
    <w:rsid w:val="00C545B9"/>
    <w:rsid w:val="00C860A4"/>
    <w:rsid w:val="00C9161D"/>
    <w:rsid w:val="00CB5558"/>
    <w:rsid w:val="00CF1848"/>
    <w:rsid w:val="00D12044"/>
    <w:rsid w:val="00D56A59"/>
    <w:rsid w:val="00D76A18"/>
    <w:rsid w:val="00D8416C"/>
    <w:rsid w:val="00DC01D0"/>
    <w:rsid w:val="00DD118C"/>
    <w:rsid w:val="00E66235"/>
    <w:rsid w:val="00E83C24"/>
    <w:rsid w:val="00E90EBD"/>
    <w:rsid w:val="00E9318D"/>
    <w:rsid w:val="00F0077D"/>
    <w:rsid w:val="00F00ECA"/>
    <w:rsid w:val="00F321FF"/>
    <w:rsid w:val="00F33EEC"/>
    <w:rsid w:val="00F50509"/>
    <w:rsid w:val="00F60E21"/>
    <w:rsid w:val="00F94031"/>
    <w:rsid w:val="00F94774"/>
    <w:rsid w:val="00FB0760"/>
    <w:rsid w:val="00FC53DB"/>
    <w:rsid w:val="00FD1F10"/>
    <w:rsid w:val="00FD7A33"/>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6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71677">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01-fr.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sbstta/sbstta-21/official/sbstta-21-07-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4A9A11A2861436AA32E3F89A5EC89C6"/>
        <w:category>
          <w:name w:val="General"/>
          <w:gallery w:val="placeholder"/>
        </w:category>
        <w:types>
          <w:type w:val="bbPlcHdr"/>
        </w:types>
        <w:behaviors>
          <w:behavior w:val="content"/>
        </w:behaviors>
        <w:guid w:val="{4C139C4B-06D4-4669-B8C9-EDD89582145E}"/>
      </w:docPartPr>
      <w:docPartBody>
        <w:p w:rsidR="00B9476F" w:rsidRDefault="003432AD" w:rsidP="003432AD">
          <w:pPr>
            <w:pStyle w:val="E4A9A11A2861436AA32E3F89A5EC89C6"/>
          </w:pPr>
          <w:r w:rsidRPr="007E02EB">
            <w:rPr>
              <w:rStyle w:val="PlaceholderText"/>
            </w:rPr>
            <w:t>[Status]</w:t>
          </w:r>
        </w:p>
      </w:docPartBody>
    </w:docPart>
    <w:docPart>
      <w:docPartPr>
        <w:name w:val="42EE975683514D8DBC226F9B74E393E5"/>
        <w:category>
          <w:name w:val="General"/>
          <w:gallery w:val="placeholder"/>
        </w:category>
        <w:types>
          <w:type w:val="bbPlcHdr"/>
        </w:types>
        <w:behaviors>
          <w:behavior w:val="content"/>
        </w:behaviors>
        <w:guid w:val="{0BE60ACC-0D04-4B73-BB4E-E846C88C16D3}"/>
      </w:docPartPr>
      <w:docPartBody>
        <w:p w:rsidR="00B9476F" w:rsidRDefault="003432AD" w:rsidP="003432AD">
          <w:pPr>
            <w:pStyle w:val="42EE975683514D8DBC226F9B74E393E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61E9A"/>
    <w:rsid w:val="003432AD"/>
    <w:rsid w:val="00500A2B"/>
    <w:rsid w:val="0058288D"/>
    <w:rsid w:val="006801B3"/>
    <w:rsid w:val="00720F63"/>
    <w:rsid w:val="007F1B76"/>
    <w:rsid w:val="00810A55"/>
    <w:rsid w:val="008C6619"/>
    <w:rsid w:val="008D420E"/>
    <w:rsid w:val="0098642F"/>
    <w:rsid w:val="00B51630"/>
    <w:rsid w:val="00B9476F"/>
    <w:rsid w:val="00BC3058"/>
    <w:rsid w:val="00C443EE"/>
    <w:rsid w:val="00CE6602"/>
    <w:rsid w:val="00EB4DBD"/>
    <w:rsid w:val="00F53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432AD"/>
    <w:rPr>
      <w:color w:val="808080"/>
    </w:rPr>
  </w:style>
  <w:style w:type="paragraph" w:customStyle="1" w:styleId="C444DEE40D7C456B82AF1A09CD132ABF">
    <w:name w:val="C444DEE40D7C456B82AF1A09CD132ABF"/>
    <w:rsid w:val="00CE6602"/>
    <w:pPr>
      <w:spacing w:after="160" w:line="259" w:lineRule="auto"/>
    </w:pPr>
  </w:style>
  <w:style w:type="paragraph" w:customStyle="1" w:styleId="E4A9A11A2861436AA32E3F89A5EC89C6">
    <w:name w:val="E4A9A11A2861436AA32E3F89A5EC89C6"/>
    <w:rsid w:val="003432AD"/>
    <w:pPr>
      <w:spacing w:after="160" w:line="259" w:lineRule="auto"/>
    </w:pPr>
    <w:rPr>
      <w:lang w:val="en-CA" w:eastAsia="en-CA"/>
    </w:rPr>
  </w:style>
  <w:style w:type="paragraph" w:customStyle="1" w:styleId="42EE975683514D8DBC226F9B74E393E5">
    <w:name w:val="42EE975683514D8DBC226F9B74E393E5"/>
    <w:rsid w:val="003432AD"/>
    <w:pPr>
      <w:spacing w:after="160" w:line="259" w:lineRule="auto"/>
    </w:pPr>
    <w:rPr>
      <w:lang w:val="en-CA" w:eastAsia="en-C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432AD"/>
    <w:rPr>
      <w:color w:val="808080"/>
    </w:rPr>
  </w:style>
  <w:style w:type="paragraph" w:customStyle="1" w:styleId="C444DEE40D7C456B82AF1A09CD132ABF">
    <w:name w:val="C444DEE40D7C456B82AF1A09CD132ABF"/>
    <w:rsid w:val="00CE6602"/>
    <w:pPr>
      <w:spacing w:after="160" w:line="259" w:lineRule="auto"/>
    </w:pPr>
  </w:style>
  <w:style w:type="paragraph" w:customStyle="1" w:styleId="E4A9A11A2861436AA32E3F89A5EC89C6">
    <w:name w:val="E4A9A11A2861436AA32E3F89A5EC89C6"/>
    <w:rsid w:val="003432AD"/>
    <w:pPr>
      <w:spacing w:after="160" w:line="259" w:lineRule="auto"/>
    </w:pPr>
    <w:rPr>
      <w:lang w:val="en-CA" w:eastAsia="en-CA"/>
    </w:rPr>
  </w:style>
  <w:style w:type="paragraph" w:customStyle="1" w:styleId="42EE975683514D8DBC226F9B74E393E5">
    <w:name w:val="42EE975683514D8DBC226F9B74E393E5"/>
    <w:rsid w:val="003432AD"/>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4AC79D-20D4-4992-9845-4F8BB56C5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468</Words>
  <Characters>2671</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OUTILS D’ÉVALUATION DE L’EFFICACITÉ DES INSTRUMENTS DE POLITIQUE GÉNÉRALE POUR LA MISE EN ŒUVRE DU PLAN STRATÉGIQUE POUR LA DIVERSITÉ BIOLOGIQUE 2011-202</vt:lpstr>
      <vt:lpstr>Tools to evaluate the effectiveness of policy instruments for the implementation of the Strategic Plan for Biodiversity 2011-2020</vt:lpstr>
    </vt:vector>
  </TitlesOfParts>
  <Company>SCBD</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Outils d’évaluation de l’efficacité des instruments de politique générale pour la mise en œuvre du plan stratégique pour la diversité biologique 2011-2020</dc:title>
  <dc:subject>CBD/COP/DEC/14/28</dc:subject>
  <dc:creator>COP 14</dc:creator>
  <cp:keywords>Mechanisms for national reporting, assessment and review</cp:keywords>
  <cp:lastModifiedBy>--</cp:lastModifiedBy>
  <cp:revision>6</cp:revision>
  <cp:lastPrinted>2018-11-22T09:26:00Z</cp:lastPrinted>
  <dcterms:created xsi:type="dcterms:W3CDTF">2019-01-21T08:51:00Z</dcterms:created>
  <dcterms:modified xsi:type="dcterms:W3CDTF">2019-01-21T09:18:00Z</dcterms:modified>
  <cp:contentStatus>GÉNÉRALE</cp:contentStatus>
</cp:coreProperties>
</file>