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GoBack"/>
            <w:bookmarkStart w:id="1" w:name="_Hlk505247837"/>
            <w:bookmarkEnd w:id="0"/>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1"/>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CBD/COP/DEC/14/2</w:t>
                </w:r>
                <w:r w:rsidR="00743330">
                  <w:rPr>
                    <w:kern w:val="22"/>
                    <w:lang w:val="fr-FR"/>
                  </w:rPr>
                  <w:t>8</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743330">
        <w:rPr>
          <w:kern w:val="22"/>
          <w:szCs w:val="22"/>
          <w:lang w:val="fr-FR"/>
        </w:rPr>
        <w:t>2</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743330" w:rsidRPr="00F812D0" w:rsidRDefault="009F5421" w:rsidP="00743330">
      <w:pPr>
        <w:pStyle w:val="sub-item"/>
        <w:tabs>
          <w:tab w:val="clear" w:pos="720"/>
        </w:tabs>
        <w:ind w:firstLine="0"/>
        <w:jc w:val="center"/>
        <w:rPr>
          <w:lang w:val="ru-RU"/>
        </w:rPr>
      </w:pPr>
      <w:bookmarkStart w:id="2" w:name="_Toc522023215"/>
      <w:r w:rsidRPr="009F5421">
        <w:rPr>
          <w:lang w:val="fr-FR"/>
        </w:rPr>
        <w:t>14</w:t>
      </w:r>
      <w:r w:rsidR="00DC2268">
        <w:rPr>
          <w:lang w:val="ru-RU"/>
        </w:rPr>
        <w:t>/</w:t>
      </w:r>
      <w:r w:rsidRPr="009F5421">
        <w:rPr>
          <w:lang w:val="fr-FR"/>
        </w:rPr>
        <w:t>2</w:t>
      </w:r>
      <w:r w:rsidR="00743330" w:rsidRPr="00B90915">
        <w:rPr>
          <w:lang w:val="fr-FR"/>
        </w:rPr>
        <w:t>8</w:t>
      </w:r>
      <w:r w:rsidRPr="009F5421">
        <w:rPr>
          <w:lang w:val="fr-FR"/>
        </w:rPr>
        <w:tab/>
      </w:r>
      <w:r w:rsidR="00743330">
        <w:rPr>
          <w:lang w:val="ru-RU"/>
        </w:rPr>
        <w:t>Ср</w:t>
      </w:r>
      <w:r w:rsidR="00743330" w:rsidRPr="00304E14">
        <w:rPr>
          <w:lang w:val="ru-RU"/>
        </w:rPr>
        <w:t xml:space="preserve">едства оценки эффективности политических инструментов для осуществления </w:t>
      </w:r>
      <w:r w:rsidR="00743330">
        <w:rPr>
          <w:lang w:val="ru-RU"/>
        </w:rPr>
        <w:t>С</w:t>
      </w:r>
      <w:r w:rsidR="00743330" w:rsidRPr="00304E14">
        <w:rPr>
          <w:lang w:val="ru-RU"/>
        </w:rPr>
        <w:t xml:space="preserve">тратегического плана в области сохранения и устойчивого использования </w:t>
      </w:r>
      <w:r w:rsidR="00743330">
        <w:rPr>
          <w:lang w:val="ru-RU"/>
        </w:rPr>
        <w:br/>
      </w:r>
      <w:r w:rsidR="00743330" w:rsidRPr="00304E14">
        <w:rPr>
          <w:lang w:val="ru-RU"/>
        </w:rPr>
        <w:t>биоразнообразия на 2011-2020 годы</w:t>
      </w:r>
    </w:p>
    <w:p w:rsidR="00743330" w:rsidRPr="00304E14" w:rsidRDefault="00743330" w:rsidP="00743330">
      <w:pPr>
        <w:pStyle w:val="Para1"/>
        <w:keepNext/>
        <w:suppressLineNumbers/>
        <w:suppressAutoHyphens/>
        <w:ind w:left="90" w:firstLine="630"/>
        <w:rPr>
          <w:i/>
          <w:iCs/>
          <w:kern w:val="22"/>
          <w:szCs w:val="22"/>
          <w:lang w:eastAsia="nl-BE"/>
        </w:rPr>
      </w:pPr>
      <w:r w:rsidRPr="00304E14">
        <w:rPr>
          <w:i/>
          <w:iCs/>
          <w:kern w:val="22"/>
          <w:szCs w:val="22"/>
          <w:lang w:eastAsia="nl-BE"/>
        </w:rPr>
        <w:t>Конференция Сторон,</w:t>
      </w:r>
    </w:p>
    <w:p w:rsidR="00743330" w:rsidRPr="00E937B7" w:rsidRDefault="00743330" w:rsidP="00743330">
      <w:pPr>
        <w:pStyle w:val="Para1"/>
        <w:suppressLineNumbers/>
        <w:suppressAutoHyphens/>
        <w:spacing w:before="0"/>
        <w:ind w:left="720"/>
        <w:rPr>
          <w:kern w:val="22"/>
          <w:szCs w:val="22"/>
        </w:rPr>
      </w:pPr>
      <w:r w:rsidRPr="00304E14">
        <w:rPr>
          <w:i/>
          <w:iCs/>
          <w:kern w:val="22"/>
          <w:szCs w:val="22"/>
        </w:rPr>
        <w:t xml:space="preserve">ссылаясь </w:t>
      </w:r>
      <w:r w:rsidRPr="00304E14">
        <w:rPr>
          <w:iCs/>
          <w:kern w:val="22"/>
          <w:szCs w:val="22"/>
        </w:rPr>
        <w:t xml:space="preserve">на пункты 29 и </w:t>
      </w:r>
      <w:r w:rsidRPr="00E937B7">
        <w:rPr>
          <w:iCs/>
          <w:kern w:val="22"/>
          <w:szCs w:val="22"/>
        </w:rPr>
        <w:t xml:space="preserve">30 </w:t>
      </w:r>
      <w:hyperlink r:id="rId12" w:history="1">
        <w:r w:rsidRPr="00E937B7">
          <w:rPr>
            <w:rStyle w:val="Lienhypertexte"/>
            <w:kern w:val="22"/>
            <w:sz w:val="22"/>
            <w:szCs w:val="22"/>
          </w:rPr>
          <w:t>решения XIII/1</w:t>
        </w:r>
      </w:hyperlink>
      <w:r w:rsidRPr="00E937B7">
        <w:rPr>
          <w:iCs/>
          <w:kern w:val="22"/>
          <w:szCs w:val="22"/>
        </w:rPr>
        <w:t>,</w:t>
      </w:r>
    </w:p>
    <w:p w:rsidR="00743330" w:rsidRPr="007D44A8" w:rsidRDefault="00743330" w:rsidP="00743330">
      <w:pPr>
        <w:pStyle w:val="Para1"/>
        <w:numPr>
          <w:ilvl w:val="0"/>
          <w:numId w:val="39"/>
        </w:numPr>
        <w:suppressLineNumbers/>
        <w:suppressAutoHyphens/>
        <w:spacing w:before="0"/>
        <w:ind w:firstLine="709"/>
        <w:rPr>
          <w:kern w:val="22"/>
          <w:szCs w:val="22"/>
        </w:rPr>
      </w:pPr>
      <w:r w:rsidRPr="00304E14">
        <w:rPr>
          <w:i/>
          <w:iCs/>
          <w:kern w:val="22"/>
          <w:szCs w:val="22"/>
        </w:rPr>
        <w:t xml:space="preserve">подчеркивает </w:t>
      </w:r>
      <w:r>
        <w:rPr>
          <w:iCs/>
          <w:kern w:val="22"/>
          <w:szCs w:val="22"/>
        </w:rPr>
        <w:t>необходимость в</w:t>
      </w:r>
      <w:r w:rsidRPr="00304E14">
        <w:rPr>
          <w:iCs/>
          <w:kern w:val="22"/>
          <w:szCs w:val="22"/>
        </w:rPr>
        <w:t xml:space="preserve"> проведени</w:t>
      </w:r>
      <w:r>
        <w:rPr>
          <w:iCs/>
          <w:kern w:val="22"/>
          <w:szCs w:val="22"/>
        </w:rPr>
        <w:t>и</w:t>
      </w:r>
      <w:r w:rsidRPr="00304E14">
        <w:rPr>
          <w:iCs/>
          <w:kern w:val="22"/>
          <w:szCs w:val="22"/>
        </w:rPr>
        <w:t xml:space="preserve"> тщательных оценок эффективности политических инструментов или мер </w:t>
      </w:r>
      <w:r w:rsidR="00B90915">
        <w:rPr>
          <w:iCs/>
          <w:kern w:val="22"/>
          <w:szCs w:val="22"/>
        </w:rPr>
        <w:t>по</w:t>
      </w:r>
      <w:r w:rsidRPr="00304E14">
        <w:rPr>
          <w:iCs/>
          <w:kern w:val="22"/>
          <w:szCs w:val="22"/>
        </w:rPr>
        <w:t xml:space="preserve"> оказани</w:t>
      </w:r>
      <w:r w:rsidR="00B90915">
        <w:rPr>
          <w:iCs/>
          <w:kern w:val="22"/>
          <w:szCs w:val="22"/>
        </w:rPr>
        <w:t>ю</w:t>
      </w:r>
      <w:r w:rsidRPr="00304E14">
        <w:rPr>
          <w:iCs/>
          <w:kern w:val="22"/>
          <w:szCs w:val="22"/>
        </w:rPr>
        <w:t xml:space="preserve"> поддержки осуществлению Конвенции и Стратегического плана в области сохранения и устойчивого использования биоразнообразия на 2011-2020 годы и в создании соответствующего потенциала и поэтому </w:t>
      </w:r>
      <w:r w:rsidRPr="00304E14">
        <w:rPr>
          <w:i/>
          <w:iCs/>
          <w:kern w:val="22"/>
          <w:szCs w:val="22"/>
        </w:rPr>
        <w:t>поручает</w:t>
      </w:r>
      <w:r w:rsidRPr="00304E14">
        <w:rPr>
          <w:iCs/>
          <w:kern w:val="22"/>
          <w:szCs w:val="22"/>
        </w:rPr>
        <w:t xml:space="preserve"> Исполнительному секретарю принимать оба элемента во внимание при подготовке</w:t>
      </w:r>
      <w:r w:rsidRPr="00304E14">
        <w:t xml:space="preserve"> </w:t>
      </w:r>
      <w:r w:rsidRPr="009347BD">
        <w:rPr>
          <w:iCs/>
          <w:kern w:val="22"/>
          <w:szCs w:val="22"/>
        </w:rPr>
        <w:t xml:space="preserve">глобальной рамочной программы </w:t>
      </w:r>
      <w:proofErr w:type="gramStart"/>
      <w:r w:rsidRPr="009347BD">
        <w:rPr>
          <w:iCs/>
          <w:kern w:val="22"/>
          <w:szCs w:val="22"/>
        </w:rPr>
        <w:t>в</w:t>
      </w:r>
      <w:proofErr w:type="gramEnd"/>
      <w:r w:rsidRPr="009347BD">
        <w:rPr>
          <w:iCs/>
          <w:kern w:val="22"/>
          <w:szCs w:val="22"/>
        </w:rPr>
        <w:t xml:space="preserve"> области биоразнообразия </w:t>
      </w:r>
      <w:r w:rsidRPr="00304E14">
        <w:rPr>
          <w:iCs/>
          <w:kern w:val="22"/>
          <w:szCs w:val="22"/>
        </w:rPr>
        <w:t>на период после 2020 года и при подготовке к третьему совещанию Вспомогательного органа по осуществлению;</w:t>
      </w:r>
    </w:p>
    <w:p w:rsidR="00743330" w:rsidRPr="007D44A8" w:rsidRDefault="00743330" w:rsidP="00743330">
      <w:pPr>
        <w:pStyle w:val="Para1"/>
        <w:numPr>
          <w:ilvl w:val="0"/>
          <w:numId w:val="39"/>
        </w:numPr>
        <w:suppressLineNumbers/>
        <w:suppressAutoHyphens/>
        <w:spacing w:before="0"/>
        <w:ind w:firstLine="709"/>
        <w:rPr>
          <w:kern w:val="22"/>
          <w:szCs w:val="22"/>
        </w:rPr>
      </w:pPr>
      <w:r w:rsidRPr="00304E14">
        <w:rPr>
          <w:i/>
          <w:iCs/>
          <w:kern w:val="22"/>
          <w:szCs w:val="22"/>
        </w:rPr>
        <w:t xml:space="preserve">также подчеркивает </w:t>
      </w:r>
      <w:r w:rsidRPr="00304E14">
        <w:rPr>
          <w:iCs/>
          <w:kern w:val="22"/>
          <w:szCs w:val="22"/>
        </w:rPr>
        <w:t>в этом контексте важно</w:t>
      </w:r>
      <w:r>
        <w:rPr>
          <w:iCs/>
          <w:kern w:val="22"/>
          <w:szCs w:val="22"/>
        </w:rPr>
        <w:t>сть</w:t>
      </w:r>
      <w:r w:rsidRPr="00304E14">
        <w:rPr>
          <w:iCs/>
          <w:kern w:val="22"/>
          <w:szCs w:val="22"/>
        </w:rPr>
        <w:t xml:space="preserve"> согласования индикаторов, используемых в различных процессах представления отчетности о биоразнообразии и устойчивом развитии;</w:t>
      </w:r>
    </w:p>
    <w:p w:rsidR="00743330" w:rsidRPr="007D44A8" w:rsidRDefault="00743330" w:rsidP="00743330">
      <w:pPr>
        <w:pStyle w:val="Para1"/>
        <w:numPr>
          <w:ilvl w:val="0"/>
          <w:numId w:val="39"/>
        </w:numPr>
        <w:suppressLineNumbers/>
        <w:suppressAutoHyphens/>
        <w:spacing w:before="0"/>
        <w:ind w:firstLine="709"/>
        <w:rPr>
          <w:kern w:val="22"/>
          <w:szCs w:val="22"/>
        </w:rPr>
      </w:pPr>
      <w:proofErr w:type="gramStart"/>
      <w:r w:rsidRPr="00304E14">
        <w:rPr>
          <w:i/>
          <w:iCs/>
          <w:kern w:val="22"/>
          <w:szCs w:val="22"/>
        </w:rPr>
        <w:t>поощряет</w:t>
      </w:r>
      <w:r w:rsidRPr="00304E14">
        <w:rPr>
          <w:iCs/>
          <w:kern w:val="22"/>
          <w:szCs w:val="22"/>
        </w:rPr>
        <w:t xml:space="preserve"> использование сообразно обстоятельствам Сторонами, другими правительствами, международными организациями, коренными народами и местными общинами, деловыми кругами и другими субъектами деятельности информации, приведенной в записке Исполнительного секретаря о </w:t>
      </w:r>
      <w:r w:rsidRPr="00304E14">
        <w:rPr>
          <w:bCs/>
          <w:szCs w:val="22"/>
        </w:rPr>
        <w:t xml:space="preserve">средствах оценки эффективности политических инструментов для осуществления </w:t>
      </w:r>
      <w:bookmarkStart w:id="3" w:name="_Ref500789132"/>
      <w:r>
        <w:rPr>
          <w:iCs/>
          <w:kern w:val="20"/>
          <w:szCs w:val="22"/>
        </w:rPr>
        <w:t>Конвенции</w:t>
      </w:r>
      <w:r w:rsidRPr="00E937B7">
        <w:rPr>
          <w:rStyle w:val="Appelnotedebasdep"/>
          <w:rFonts w:eastAsiaTheme="majorEastAsia"/>
          <w:kern w:val="20"/>
          <w:sz w:val="22"/>
          <w:szCs w:val="22"/>
        </w:rPr>
        <w:footnoteReference w:id="2"/>
      </w:r>
      <w:bookmarkEnd w:id="3"/>
      <w:r>
        <w:rPr>
          <w:iCs/>
          <w:kern w:val="20"/>
          <w:szCs w:val="22"/>
        </w:rPr>
        <w:t>,</w:t>
      </w:r>
      <w:r w:rsidRPr="00E937B7">
        <w:rPr>
          <w:kern w:val="20"/>
          <w:szCs w:val="22"/>
        </w:rPr>
        <w:t xml:space="preserve"> </w:t>
      </w:r>
      <w:r w:rsidRPr="00304E14">
        <w:rPr>
          <w:iCs/>
          <w:kern w:val="22"/>
          <w:szCs w:val="22"/>
        </w:rPr>
        <w:t>при разработке и проведении оценок эффективности мер, принятых для осуществления Конвенции, и в частности в контексте подготовки своих национальных докладов;</w:t>
      </w:r>
      <w:proofErr w:type="gramEnd"/>
    </w:p>
    <w:p w:rsidR="00743330" w:rsidRPr="007D44A8" w:rsidRDefault="00743330" w:rsidP="00743330">
      <w:pPr>
        <w:pStyle w:val="Para1"/>
        <w:numPr>
          <w:ilvl w:val="0"/>
          <w:numId w:val="39"/>
        </w:numPr>
        <w:suppressLineNumbers/>
        <w:suppressAutoHyphens/>
        <w:spacing w:before="0"/>
        <w:ind w:firstLine="709"/>
        <w:rPr>
          <w:kern w:val="22"/>
          <w:szCs w:val="22"/>
        </w:rPr>
      </w:pPr>
      <w:proofErr w:type="gramStart"/>
      <w:r w:rsidRPr="00304E14">
        <w:rPr>
          <w:i/>
          <w:iCs/>
          <w:kern w:val="22"/>
          <w:szCs w:val="22"/>
        </w:rPr>
        <w:t xml:space="preserve">просит </w:t>
      </w:r>
      <w:r w:rsidRPr="00304E14">
        <w:rPr>
          <w:iCs/>
          <w:kern w:val="22"/>
          <w:szCs w:val="22"/>
        </w:rPr>
        <w:t xml:space="preserve">Стороны и </w:t>
      </w:r>
      <w:r w:rsidRPr="00304E14">
        <w:rPr>
          <w:i/>
          <w:iCs/>
          <w:kern w:val="22"/>
          <w:szCs w:val="22"/>
        </w:rPr>
        <w:t>предлагает</w:t>
      </w:r>
      <w:r w:rsidRPr="00304E14">
        <w:rPr>
          <w:iCs/>
          <w:kern w:val="22"/>
          <w:szCs w:val="22"/>
        </w:rPr>
        <w:t xml:space="preserve"> другим правительствам, международным организациям, коренным народам и местным общинам, деловым кругам и другим субъектам деятельности распространять сообразно обстоятельствам через свои национальные доклады, через механизм посредничества и други</w:t>
      </w:r>
      <w:r w:rsidR="00B90915">
        <w:rPr>
          <w:iCs/>
          <w:kern w:val="22"/>
          <w:szCs w:val="22"/>
        </w:rPr>
        <w:t>е</w:t>
      </w:r>
      <w:r w:rsidRPr="00304E14">
        <w:rPr>
          <w:iCs/>
          <w:kern w:val="22"/>
          <w:szCs w:val="22"/>
        </w:rPr>
        <w:t xml:space="preserve"> соответствующи</w:t>
      </w:r>
      <w:r w:rsidR="00B90915">
        <w:rPr>
          <w:iCs/>
          <w:kern w:val="22"/>
          <w:szCs w:val="22"/>
        </w:rPr>
        <w:t>е</w:t>
      </w:r>
      <w:r w:rsidRPr="00304E14">
        <w:rPr>
          <w:iCs/>
          <w:kern w:val="22"/>
          <w:szCs w:val="22"/>
        </w:rPr>
        <w:t xml:space="preserve"> средства информацию о методологиях, используемых в оценках эффективности мер, принятых для осуществления Конвенции, включая тематические исследования, а также полезные выводы, сделанные на основе данных оценок;</w:t>
      </w:r>
      <w:proofErr w:type="gramEnd"/>
    </w:p>
    <w:p w:rsidR="00743330" w:rsidRPr="00430DDE" w:rsidRDefault="00743330" w:rsidP="00743330">
      <w:pPr>
        <w:pStyle w:val="Para1"/>
        <w:numPr>
          <w:ilvl w:val="0"/>
          <w:numId w:val="39"/>
        </w:numPr>
        <w:suppressLineNumbers/>
        <w:suppressAutoHyphens/>
        <w:spacing w:before="0"/>
        <w:ind w:firstLine="709"/>
        <w:rPr>
          <w:kern w:val="22"/>
          <w:szCs w:val="22"/>
        </w:rPr>
      </w:pPr>
      <w:r w:rsidRPr="00304E14">
        <w:rPr>
          <w:i/>
          <w:iCs/>
          <w:kern w:val="22"/>
          <w:szCs w:val="22"/>
        </w:rPr>
        <w:t xml:space="preserve">поручает </w:t>
      </w:r>
      <w:r w:rsidRPr="00304E14">
        <w:rPr>
          <w:iCs/>
          <w:kern w:val="22"/>
          <w:szCs w:val="22"/>
        </w:rPr>
        <w:t>Исполнительному секретарю</w:t>
      </w:r>
      <w:r w:rsidRPr="00E937B7">
        <w:rPr>
          <w:iCs/>
          <w:kern w:val="22"/>
          <w:szCs w:val="22"/>
        </w:rPr>
        <w:t xml:space="preserve"> </w:t>
      </w:r>
      <w:r>
        <w:rPr>
          <w:iCs/>
          <w:kern w:val="22"/>
          <w:szCs w:val="22"/>
        </w:rPr>
        <w:t>при условии наличия ресурсов</w:t>
      </w:r>
      <w:r w:rsidRPr="00304E14">
        <w:rPr>
          <w:iCs/>
          <w:kern w:val="22"/>
          <w:szCs w:val="22"/>
        </w:rPr>
        <w:t xml:space="preserve"> разработать для </w:t>
      </w:r>
      <w:r>
        <w:rPr>
          <w:iCs/>
          <w:kern w:val="22"/>
          <w:szCs w:val="22"/>
        </w:rPr>
        <w:t>рассмотрения</w:t>
      </w:r>
      <w:r w:rsidRPr="00304E14">
        <w:rPr>
          <w:iCs/>
          <w:kern w:val="22"/>
          <w:szCs w:val="22"/>
        </w:rPr>
        <w:t xml:space="preserve"> Вспомогательным органом по осуществлению на его третьем совещании набор </w:t>
      </w:r>
      <w:r w:rsidRPr="00304E14">
        <w:rPr>
          <w:iCs/>
          <w:kern w:val="22"/>
          <w:szCs w:val="22"/>
        </w:rPr>
        <w:lastRenderedPageBreak/>
        <w:t>инструментальных средств для оказания содействия Сторонам, другим правительствам, международным организациям, коренным народам и местным общинам, деловым кругам и другим субъектам деятельности в проведении оценок эффективности мер, опираясь на руководящие указания, изложенные в записке Исполнительного секретаря</w:t>
      </w:r>
      <w:proofErr w:type="gramStart"/>
      <w:r>
        <w:rPr>
          <w:iCs/>
          <w:kern w:val="22"/>
          <w:szCs w:val="22"/>
          <w:vertAlign w:val="superscript"/>
        </w:rPr>
        <w:t>1</w:t>
      </w:r>
      <w:proofErr w:type="gramEnd"/>
      <w:r w:rsidRPr="00304E14">
        <w:rPr>
          <w:iCs/>
          <w:kern w:val="22"/>
          <w:szCs w:val="22"/>
        </w:rPr>
        <w:t xml:space="preserve">, и на информацию, представленную в соответствии с вышеприведенным пунктом </w:t>
      </w:r>
      <w:r>
        <w:rPr>
          <w:iCs/>
          <w:kern w:val="22"/>
          <w:szCs w:val="22"/>
        </w:rPr>
        <w:t>4.</w:t>
      </w:r>
    </w:p>
    <w:p w:rsidR="009F5421" w:rsidRPr="009F5421" w:rsidRDefault="009F5421" w:rsidP="00743330">
      <w:pPr>
        <w:keepNext/>
        <w:spacing w:before="120" w:after="120"/>
        <w:ind w:firstLine="709"/>
        <w:jc w:val="left"/>
        <w:rPr>
          <w:b/>
          <w:iCs/>
          <w:lang w:val="fr-FR"/>
        </w:rPr>
      </w:pPr>
    </w:p>
    <w:p w:rsidR="009F5421" w:rsidRPr="009E74CD" w:rsidRDefault="009F5421" w:rsidP="00BA6194">
      <w:pPr>
        <w:pStyle w:val="Corpsdetexte"/>
        <w:suppressLineNumbers/>
        <w:suppressAutoHyphens/>
        <w:ind w:left="851" w:firstLine="0"/>
        <w:rPr>
          <w:kern w:val="22"/>
          <w:szCs w:val="22"/>
        </w:rPr>
      </w:pPr>
    </w:p>
    <w:bookmarkEnd w:id="2"/>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4CE" w:rsidRDefault="008774CE" w:rsidP="00CF1848">
      <w:r>
        <w:separator/>
      </w:r>
    </w:p>
  </w:endnote>
  <w:endnote w:type="continuationSeparator" w:id="0">
    <w:p w:rsidR="008774CE" w:rsidRDefault="008774CE" w:rsidP="00CF1848">
      <w:r>
        <w:continuationSeparator/>
      </w:r>
    </w:p>
  </w:endnote>
  <w:endnote w:type="continuationNotice" w:id="1">
    <w:p w:rsidR="008774CE" w:rsidRDefault="008774C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4CE" w:rsidRDefault="008774CE" w:rsidP="00CF1848">
      <w:r>
        <w:separator/>
      </w:r>
    </w:p>
  </w:footnote>
  <w:footnote w:type="continuationSeparator" w:id="0">
    <w:p w:rsidR="008774CE" w:rsidRDefault="008774CE" w:rsidP="00CF1848">
      <w:r>
        <w:continuationSeparator/>
      </w:r>
    </w:p>
  </w:footnote>
  <w:footnote w:type="continuationNotice" w:id="1">
    <w:p w:rsidR="008774CE" w:rsidRDefault="008774CE"/>
  </w:footnote>
  <w:footnote w:id="2">
    <w:p w:rsidR="00743330" w:rsidRPr="004F0D0C" w:rsidRDefault="00743330" w:rsidP="00743330">
      <w:pPr>
        <w:pStyle w:val="Notedebasdepage"/>
        <w:keepLines w:val="0"/>
        <w:ind w:firstLine="0"/>
        <w:jc w:val="left"/>
        <w:rPr>
          <w:kern w:val="18"/>
          <w:szCs w:val="18"/>
        </w:rPr>
      </w:pPr>
      <w:r w:rsidRPr="00E937B7">
        <w:rPr>
          <w:rStyle w:val="Appelnotedebasdep"/>
          <w:rFonts w:eastAsiaTheme="majorEastAsia"/>
          <w:kern w:val="18"/>
          <w:szCs w:val="18"/>
        </w:rPr>
        <w:footnoteRef/>
      </w:r>
      <w:r w:rsidRPr="0052751F">
        <w:rPr>
          <w:kern w:val="18"/>
          <w:szCs w:val="18"/>
        </w:rPr>
        <w:t xml:space="preserve"> </w:t>
      </w:r>
      <w:hyperlink r:id="rId1" w:history="1">
        <w:r w:rsidRPr="004F0D0C">
          <w:rPr>
            <w:rStyle w:val="Lienhypertexte"/>
            <w:kern w:val="18"/>
            <w:szCs w:val="18"/>
          </w:rPr>
          <w:t>CBD/SBSTTA/21/7</w:t>
        </w:r>
      </w:hyperlink>
      <w:r w:rsidRPr="0052751F">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r w:rsidR="00743330">
          <w:rPr>
            <w:noProof/>
            <w:kern w:val="22"/>
          </w:rPr>
          <w:t>8</w:t>
        </w:r>
      </w:p>
    </w:sdtContent>
  </w:sdt>
  <w:p w:rsidR="006B12C7" w:rsidRDefault="006B12C7" w:rsidP="00534681">
    <w:pPr>
      <w:pStyle w:val="En-tte"/>
      <w:rPr>
        <w:noProof/>
      </w:rPr>
    </w:pPr>
    <w:r>
      <w:rPr>
        <w:noProof/>
      </w:rPr>
      <w:t xml:space="preserve">Страница </w:t>
    </w:r>
    <w:r w:rsidR="004611DC">
      <w:rPr>
        <w:noProof/>
      </w:rPr>
      <w:fldChar w:fldCharType="begin"/>
    </w:r>
    <w:r>
      <w:rPr>
        <w:noProof/>
      </w:rPr>
      <w:instrText xml:space="preserve"> PAGE   \* MERGEFORMAT </w:instrText>
    </w:r>
    <w:r w:rsidR="004611DC">
      <w:rPr>
        <w:noProof/>
      </w:rPr>
      <w:fldChar w:fldCharType="separate"/>
    </w:r>
    <w:r w:rsidR="00DC2268">
      <w:rPr>
        <w:noProof/>
      </w:rPr>
      <w:t>2</w:t>
    </w:r>
    <w:r w:rsidR="004611DC">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743330" w:rsidP="00451FAC">
        <w:pPr>
          <w:pStyle w:val="En-tte"/>
          <w:jc w:val="right"/>
          <w:rPr>
            <w:noProof/>
            <w:kern w:val="22"/>
          </w:rPr>
        </w:pPr>
        <w:r>
          <w:rPr>
            <w:noProof/>
            <w:kern w:val="22"/>
            <w:lang w:val="fr-FR"/>
          </w:rPr>
          <w:t>CBD/COP/DEC/14/28</w:t>
        </w:r>
      </w:p>
    </w:sdtContent>
  </w:sdt>
  <w:p w:rsidR="006B12C7" w:rsidRDefault="006B12C7" w:rsidP="009505C9">
    <w:pPr>
      <w:pStyle w:val="En-tte"/>
      <w:jc w:val="right"/>
    </w:pPr>
    <w:r>
      <w:t xml:space="preserve">Страница </w:t>
    </w:r>
    <w:r w:rsidR="004611DC">
      <w:fldChar w:fldCharType="begin"/>
    </w:r>
    <w:r>
      <w:instrText xml:space="preserve"> PAGE   \* MERGEFORMAT </w:instrText>
    </w:r>
    <w:r w:rsidR="004611DC">
      <w:fldChar w:fldCharType="separate"/>
    </w:r>
    <w:r w:rsidR="00BA6194">
      <w:rPr>
        <w:noProof/>
      </w:rPr>
      <w:t>3</w:t>
    </w:r>
    <w:r w:rsidR="004611DC">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447CDC54">
      <w:start w:val="1"/>
      <w:numFmt w:val="decimal"/>
      <w:lvlText w:val="%1."/>
      <w:lvlJc w:val="left"/>
      <w:pPr>
        <w:ind w:left="1080" w:hanging="720"/>
      </w:pPr>
      <w:rPr>
        <w:rFonts w:hint="default"/>
      </w:rPr>
    </w:lvl>
    <w:lvl w:ilvl="1" w:tplc="17FEE61E">
      <w:start w:val="1"/>
      <w:numFmt w:val="lowerLetter"/>
      <w:lvlText w:val="%2."/>
      <w:lvlJc w:val="left"/>
      <w:pPr>
        <w:ind w:left="1440" w:hanging="360"/>
      </w:pPr>
    </w:lvl>
    <w:lvl w:ilvl="2" w:tplc="BEF65630" w:tentative="1">
      <w:start w:val="1"/>
      <w:numFmt w:val="lowerRoman"/>
      <w:lvlText w:val="%3."/>
      <w:lvlJc w:val="right"/>
      <w:pPr>
        <w:ind w:left="2160" w:hanging="180"/>
      </w:pPr>
    </w:lvl>
    <w:lvl w:ilvl="3" w:tplc="CC44C0A2" w:tentative="1">
      <w:start w:val="1"/>
      <w:numFmt w:val="decimal"/>
      <w:lvlText w:val="%4."/>
      <w:lvlJc w:val="left"/>
      <w:pPr>
        <w:ind w:left="2880" w:hanging="360"/>
      </w:pPr>
    </w:lvl>
    <w:lvl w:ilvl="4" w:tplc="B6C8C722" w:tentative="1">
      <w:start w:val="1"/>
      <w:numFmt w:val="lowerLetter"/>
      <w:lvlText w:val="%5."/>
      <w:lvlJc w:val="left"/>
      <w:pPr>
        <w:ind w:left="3600" w:hanging="360"/>
      </w:pPr>
    </w:lvl>
    <w:lvl w:ilvl="5" w:tplc="116E25E4" w:tentative="1">
      <w:start w:val="1"/>
      <w:numFmt w:val="lowerRoman"/>
      <w:lvlText w:val="%6."/>
      <w:lvlJc w:val="right"/>
      <w:pPr>
        <w:ind w:left="4320" w:hanging="180"/>
      </w:pPr>
    </w:lvl>
    <w:lvl w:ilvl="6" w:tplc="FAECDE0E" w:tentative="1">
      <w:start w:val="1"/>
      <w:numFmt w:val="decimal"/>
      <w:lvlText w:val="%7."/>
      <w:lvlJc w:val="left"/>
      <w:pPr>
        <w:ind w:left="5040" w:hanging="360"/>
      </w:pPr>
    </w:lvl>
    <w:lvl w:ilvl="7" w:tplc="40D47826" w:tentative="1">
      <w:start w:val="1"/>
      <w:numFmt w:val="lowerLetter"/>
      <w:lvlText w:val="%8."/>
      <w:lvlJc w:val="left"/>
      <w:pPr>
        <w:ind w:left="5760" w:hanging="360"/>
      </w:pPr>
    </w:lvl>
    <w:lvl w:ilvl="8" w:tplc="D86428C6" w:tentative="1">
      <w:start w:val="1"/>
      <w:numFmt w:val="lowerRoman"/>
      <w:lvlText w:val="%9."/>
      <w:lvlJc w:val="right"/>
      <w:pPr>
        <w:ind w:left="6480" w:hanging="180"/>
      </w:pPr>
    </w:lvl>
  </w:abstractNum>
  <w:abstractNum w:abstractNumId="32">
    <w:nsid w:val="6E144B75"/>
    <w:multiLevelType w:val="hybridMultilevel"/>
    <w:tmpl w:val="CBD8D0CA"/>
    <w:lvl w:ilvl="0" w:tplc="2AC2DBBC">
      <w:start w:val="1"/>
      <w:numFmt w:val="lowerRoman"/>
      <w:lvlText w:val="%1)"/>
      <w:lvlJc w:val="center"/>
      <w:pPr>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82968"/>
    <w:multiLevelType w:val="hybridMultilevel"/>
    <w:tmpl w:val="FE162F2C"/>
    <w:lvl w:ilvl="0" w:tplc="438CB432">
      <w:start w:val="1"/>
      <w:numFmt w:val="bullet"/>
      <w:pStyle w:val="CBD-Doc"/>
      <w:lvlText w:val=""/>
      <w:lvlJc w:val="left"/>
      <w:pPr>
        <w:tabs>
          <w:tab w:val="num" w:pos="567"/>
        </w:tabs>
        <w:ind w:left="567" w:hanging="567"/>
      </w:pPr>
      <w:rPr>
        <w:rFonts w:ascii="Symbol" w:hAnsi="Symbol" w:hint="default"/>
      </w:rPr>
    </w:lvl>
    <w:lvl w:ilvl="1" w:tplc="10090019" w:tentative="1">
      <w:start w:val="1"/>
      <w:numFmt w:val="bullet"/>
      <w:lvlText w:val="o"/>
      <w:lvlJc w:val="left"/>
      <w:pPr>
        <w:tabs>
          <w:tab w:val="num" w:pos="1440"/>
        </w:tabs>
        <w:ind w:left="1440" w:hanging="360"/>
      </w:pPr>
      <w:rPr>
        <w:rFonts w:ascii="Courier New" w:hAnsi="Courier New" w:cs="Courier New" w:hint="default"/>
      </w:rPr>
    </w:lvl>
    <w:lvl w:ilvl="2" w:tplc="1009001B" w:tentative="1">
      <w:start w:val="1"/>
      <w:numFmt w:val="bullet"/>
      <w:lvlText w:val=""/>
      <w:lvlJc w:val="left"/>
      <w:pPr>
        <w:tabs>
          <w:tab w:val="num" w:pos="2160"/>
        </w:tabs>
        <w:ind w:left="2160" w:hanging="360"/>
      </w:pPr>
      <w:rPr>
        <w:rFonts w:ascii="Wingdings" w:hAnsi="Wingdings" w:hint="default"/>
      </w:rPr>
    </w:lvl>
    <w:lvl w:ilvl="3" w:tplc="1009000F" w:tentative="1">
      <w:start w:val="1"/>
      <w:numFmt w:val="bullet"/>
      <w:lvlText w:val=""/>
      <w:lvlJc w:val="left"/>
      <w:pPr>
        <w:tabs>
          <w:tab w:val="num" w:pos="2880"/>
        </w:tabs>
        <w:ind w:left="2880" w:hanging="360"/>
      </w:pPr>
      <w:rPr>
        <w:rFonts w:ascii="Symbol" w:hAnsi="Symbol" w:hint="default"/>
      </w:rPr>
    </w:lvl>
    <w:lvl w:ilvl="4" w:tplc="10090019" w:tentative="1">
      <w:start w:val="1"/>
      <w:numFmt w:val="bullet"/>
      <w:lvlText w:val="o"/>
      <w:lvlJc w:val="left"/>
      <w:pPr>
        <w:tabs>
          <w:tab w:val="num" w:pos="3600"/>
        </w:tabs>
        <w:ind w:left="3600" w:hanging="360"/>
      </w:pPr>
      <w:rPr>
        <w:rFonts w:ascii="Courier New" w:hAnsi="Courier New" w:cs="Courier New" w:hint="default"/>
      </w:rPr>
    </w:lvl>
    <w:lvl w:ilvl="5" w:tplc="1009001B" w:tentative="1">
      <w:start w:val="1"/>
      <w:numFmt w:val="bullet"/>
      <w:lvlText w:val=""/>
      <w:lvlJc w:val="left"/>
      <w:pPr>
        <w:tabs>
          <w:tab w:val="num" w:pos="4320"/>
        </w:tabs>
        <w:ind w:left="4320" w:hanging="360"/>
      </w:pPr>
      <w:rPr>
        <w:rFonts w:ascii="Wingdings" w:hAnsi="Wingdings" w:hint="default"/>
      </w:rPr>
    </w:lvl>
    <w:lvl w:ilvl="6" w:tplc="1009000F" w:tentative="1">
      <w:start w:val="1"/>
      <w:numFmt w:val="bullet"/>
      <w:lvlText w:val=""/>
      <w:lvlJc w:val="left"/>
      <w:pPr>
        <w:tabs>
          <w:tab w:val="num" w:pos="5040"/>
        </w:tabs>
        <w:ind w:left="5040" w:hanging="360"/>
      </w:pPr>
      <w:rPr>
        <w:rFonts w:ascii="Symbol" w:hAnsi="Symbol" w:hint="default"/>
      </w:rPr>
    </w:lvl>
    <w:lvl w:ilvl="7" w:tplc="10090019" w:tentative="1">
      <w:start w:val="1"/>
      <w:numFmt w:val="bullet"/>
      <w:lvlText w:val="o"/>
      <w:lvlJc w:val="left"/>
      <w:pPr>
        <w:tabs>
          <w:tab w:val="num" w:pos="5760"/>
        </w:tabs>
        <w:ind w:left="5760" w:hanging="360"/>
      </w:pPr>
      <w:rPr>
        <w:rFonts w:ascii="Courier New" w:hAnsi="Courier New" w:cs="Courier New" w:hint="default"/>
      </w:rPr>
    </w:lvl>
    <w:lvl w:ilvl="8" w:tplc="10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004B57A">
      <w:start w:val="1"/>
      <w:numFmt w:val="decimal"/>
      <w:lvlText w:val="%1."/>
      <w:lvlJc w:val="left"/>
      <w:pPr>
        <w:ind w:left="1080" w:hanging="720"/>
      </w:pPr>
      <w:rPr>
        <w:rFonts w:hint="default"/>
      </w:rPr>
    </w:lvl>
    <w:lvl w:ilvl="1" w:tplc="E3FE1308">
      <w:start w:val="1"/>
      <w:numFmt w:val="lowerLetter"/>
      <w:lvlText w:val="%2)"/>
      <w:lvlJc w:val="left"/>
      <w:pPr>
        <w:ind w:left="1440" w:hanging="360"/>
      </w:pPr>
      <w:rPr>
        <w:rFonts w:hint="default"/>
        <w:b w:val="0"/>
        <w:i w:val="0"/>
      </w:rPr>
    </w:lvl>
    <w:lvl w:ilvl="2" w:tplc="12162BAC"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2AC2DBBC">
      <w:start w:val="1"/>
      <w:numFmt w:val="lowerLetter"/>
      <w:lvlText w:val="%1)"/>
      <w:lvlJc w:val="left"/>
      <w:pPr>
        <w:ind w:left="1440" w:hanging="360"/>
      </w:pPr>
      <w:rPr>
        <w:rFonts w:cs="Times New Roman" w:hint="default"/>
        <w:b w:val="0"/>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519C205E">
      <w:start w:val="1"/>
      <w:numFmt w:val="decimal"/>
      <w:lvlText w:val="%1."/>
      <w:lvlJc w:val="left"/>
      <w:pPr>
        <w:ind w:left="1080" w:hanging="720"/>
      </w:pPr>
      <w:rPr>
        <w:rFonts w:hint="default"/>
      </w:rPr>
    </w:lvl>
    <w:lvl w:ilvl="1" w:tplc="04190019">
      <w:start w:val="1"/>
      <w:numFmt w:val="lowerLetter"/>
      <w:lvlText w:val="%2)"/>
      <w:lvlJc w:val="left"/>
      <w:pPr>
        <w:ind w:left="1440" w:hanging="360"/>
      </w:pPr>
      <w:rPr>
        <w:rFonts w:hint="default"/>
        <w:b w:val="0"/>
        <w:i w:val="0"/>
      </w:rPr>
    </w:lvl>
    <w:lvl w:ilvl="2" w:tplc="0419001B">
      <w:start w:val="1"/>
      <w:numFmt w:val="lowerRoman"/>
      <w:lvlText w:val="%3)"/>
      <w:lvlJc w:val="center"/>
      <w:pPr>
        <w:ind w:left="2160" w:hanging="180"/>
      </w:pPr>
      <w:rPr>
        <w:rFonts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0722"/>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5677"/>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4343"/>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3FCC"/>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1F712A"/>
    <w:rsid w:val="0020750D"/>
    <w:rsid w:val="00211B51"/>
    <w:rsid w:val="002159A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11DC"/>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3330"/>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55491"/>
    <w:rsid w:val="00860DF6"/>
    <w:rsid w:val="00863C33"/>
    <w:rsid w:val="00863F69"/>
    <w:rsid w:val="0086743A"/>
    <w:rsid w:val="00867B36"/>
    <w:rsid w:val="00871144"/>
    <w:rsid w:val="00872854"/>
    <w:rsid w:val="008774CE"/>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57D7F"/>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091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C29F8"/>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6474"/>
    <w:rsid w:val="00D37DE5"/>
    <w:rsid w:val="00D40CE3"/>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268"/>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85C91"/>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paragraph" w:customStyle="1" w:styleId="sub-item">
    <w:name w:val="sub-item"/>
    <w:basedOn w:val="Titre2"/>
    <w:qFormat/>
    <w:rsid w:val="00743330"/>
    <w:pPr>
      <w:spacing w:before="240"/>
      <w:ind w:firstLine="709"/>
      <w:jc w:val="left"/>
      <w:outlineLvl w:val="0"/>
    </w:pPr>
    <w:rPr>
      <w:szCs w:val="22"/>
      <w:lang w:val="en-CA"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13/cop-13-dec-01-ru.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meetings/sbstta/sbstta-21/official/sbstta-21-07-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BD3422"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BD3422"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4A55C4"/>
    <w:rsid w:val="005C5751"/>
    <w:rsid w:val="007C585D"/>
    <w:rsid w:val="00BD3422"/>
    <w:rsid w:val="00CC68AE"/>
    <w:rsid w:val="00DD75E8"/>
    <w:rsid w:val="00DF7856"/>
    <w:rsid w:val="00F14F0D"/>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3DEEA5-55E7-47AB-849B-E4AD63CF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454</Words>
  <Characters>2503</Characters>
  <Application>Microsoft Office Word</Application>
  <DocSecurity>0</DocSecurity>
  <Lines>20</Lines>
  <Paragraphs>5</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2952</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CBD/COP/DEC/14/28</dc:subject>
  <dc:creator>SCBD</dc:creator>
  <cp:lastModifiedBy>Bureau</cp:lastModifiedBy>
  <cp:revision>5</cp:revision>
  <cp:lastPrinted>2018-10-14T15:07:00Z</cp:lastPrinted>
  <dcterms:created xsi:type="dcterms:W3CDTF">2019-01-17T18:56:00Z</dcterms:created>
  <dcterms:modified xsi:type="dcterms:W3CDTF">2019-02-06T16:28:00Z</dcterms:modified>
  <cp:contentStatus>CBD/COP/DEC/14/28</cp:contentStatus>
</cp:coreProperties>
</file>