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732C0D" w:rsidRPr="00A35F4D" w14:paraId="57DE3853" w14:textId="77777777" w:rsidTr="00A757FD">
        <w:trPr>
          <w:trHeight w:val="709"/>
        </w:trPr>
        <w:tc>
          <w:tcPr>
            <w:tcW w:w="976" w:type="dxa"/>
            <w:tcBorders>
              <w:bottom w:val="single" w:sz="12" w:space="0" w:color="auto"/>
            </w:tcBorders>
          </w:tcPr>
          <w:p w14:paraId="2DC5DE2C" w14:textId="77777777" w:rsidR="00732C0D" w:rsidRPr="00A35F4D" w:rsidRDefault="00732C0D" w:rsidP="00A757FD">
            <w:pPr>
              <w:rPr>
                <w:kern w:val="22"/>
              </w:rPr>
            </w:pPr>
            <w:r w:rsidRPr="00A35F4D">
              <w:rPr>
                <w:kern w:val="22"/>
              </w:rPr>
              <w:drawing>
                <wp:inline distT="0" distB="0" distL="0" distR="0" wp14:anchorId="1FEA359E" wp14:editId="7717ABC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1AE900AC" w14:textId="77777777" w:rsidR="00732C0D" w:rsidRPr="00A35F4D" w:rsidRDefault="00732C0D" w:rsidP="00A757FD">
            <w:pPr>
              <w:rPr>
                <w:kern w:val="22"/>
              </w:rPr>
            </w:pPr>
            <w:r w:rsidRPr="00A35F4D">
              <w:rPr>
                <w:kern w:val="22"/>
              </w:rPr>
              <w:drawing>
                <wp:inline distT="0" distB="0" distL="0" distR="0" wp14:anchorId="62254EF9" wp14:editId="4C539F77">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77CB9348" w14:textId="77777777" w:rsidR="00732C0D" w:rsidRPr="00A35F4D" w:rsidRDefault="00732C0D" w:rsidP="00A757FD">
            <w:pPr>
              <w:jc w:val="right"/>
              <w:rPr>
                <w:rFonts w:ascii="Arial" w:hAnsi="Arial" w:cs="Arial"/>
                <w:b/>
                <w:kern w:val="22"/>
                <w:sz w:val="32"/>
                <w:szCs w:val="32"/>
              </w:rPr>
            </w:pPr>
            <w:r w:rsidRPr="00A35F4D">
              <w:rPr>
                <w:rFonts w:ascii="Arial" w:hAnsi="Arial" w:cs="Arial"/>
                <w:b/>
                <w:kern w:val="22"/>
                <w:sz w:val="32"/>
                <w:szCs w:val="32"/>
              </w:rPr>
              <w:t>CBD</w:t>
            </w:r>
          </w:p>
        </w:tc>
      </w:tr>
      <w:tr w:rsidR="00732C0D" w:rsidRPr="00A35F4D" w14:paraId="6F40B199" w14:textId="77777777" w:rsidTr="00A757FD">
        <w:tc>
          <w:tcPr>
            <w:tcW w:w="6117" w:type="dxa"/>
            <w:gridSpan w:val="2"/>
            <w:tcBorders>
              <w:top w:val="single" w:sz="12" w:space="0" w:color="auto"/>
              <w:bottom w:val="single" w:sz="36" w:space="0" w:color="auto"/>
            </w:tcBorders>
            <w:vAlign w:val="center"/>
          </w:tcPr>
          <w:p w14:paraId="0323BC12" w14:textId="77777777" w:rsidR="00732C0D" w:rsidRPr="00A35F4D" w:rsidRDefault="00732C0D" w:rsidP="00A757FD">
            <w:pPr>
              <w:rPr>
                <w:kern w:val="22"/>
              </w:rPr>
            </w:pPr>
            <w:r w:rsidRPr="00A35F4D">
              <w:rPr>
                <w:kern w:val="22"/>
              </w:rPr>
              <w:drawing>
                <wp:inline distT="0" distB="0" distL="0" distR="0" wp14:anchorId="3F197F7B" wp14:editId="503C7710">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0CF2B1F1" w14:textId="77777777" w:rsidR="00732C0D" w:rsidRPr="00A35F4D" w:rsidRDefault="00732C0D" w:rsidP="00A757FD">
            <w:pPr>
              <w:ind w:left="1215"/>
              <w:rPr>
                <w:kern w:val="22"/>
                <w:szCs w:val="22"/>
              </w:rPr>
            </w:pPr>
            <w:r w:rsidRPr="00A35F4D">
              <w:rPr>
                <w:kern w:val="22"/>
                <w:szCs w:val="22"/>
              </w:rPr>
              <w:t>Distr.</w:t>
            </w:r>
          </w:p>
          <w:p w14:paraId="55A13541" w14:textId="77C2D7A0" w:rsidR="00732C0D" w:rsidRPr="00A35F4D" w:rsidRDefault="00A35F4D" w:rsidP="00A757FD">
            <w:pPr>
              <w:ind w:left="1215"/>
              <w:rPr>
                <w:kern w:val="22"/>
                <w:szCs w:val="22"/>
              </w:rPr>
            </w:pPr>
            <w:sdt>
              <w:sdtPr>
                <w:rPr>
                  <w:caps/>
                  <w:kern w:val="22"/>
                  <w:szCs w:val="22"/>
                </w:rPr>
                <w:alias w:val="Status"/>
                <w:tag w:val=""/>
                <w:id w:val="307985777"/>
                <w:placeholder>
                  <w:docPart w:val="993E383E59AF4AD4AD2BFA535CAECC3D"/>
                </w:placeholder>
                <w:dataBinding w:prefixMappings="xmlns:ns0='http://purl.org/dc/elements/1.1/' xmlns:ns1='http://schemas.openxmlformats.org/package/2006/metadata/core-properties' " w:xpath="/ns1:coreProperties[1]/ns1:contentStatus[1]" w:storeItemID="{6C3C8BC8-F283-45AE-878A-BAB7291924A1}"/>
                <w:text/>
              </w:sdtPr>
              <w:sdtEndPr/>
              <w:sdtContent>
                <w:r w:rsidR="00FC46DC" w:rsidRPr="00A35F4D">
                  <w:rPr>
                    <w:caps/>
                    <w:kern w:val="22"/>
                    <w:szCs w:val="22"/>
                  </w:rPr>
                  <w:t>GENERAL</w:t>
                </w:r>
              </w:sdtContent>
            </w:sdt>
          </w:p>
          <w:p w14:paraId="2484F31F" w14:textId="77777777" w:rsidR="00732C0D" w:rsidRPr="00A35F4D" w:rsidRDefault="00732C0D" w:rsidP="00A757FD">
            <w:pPr>
              <w:ind w:left="1215"/>
              <w:rPr>
                <w:kern w:val="22"/>
                <w:szCs w:val="22"/>
              </w:rPr>
            </w:pPr>
          </w:p>
          <w:p w14:paraId="1B6FA1C3" w14:textId="220992E4" w:rsidR="00732C0D" w:rsidRPr="00A35F4D" w:rsidRDefault="00A35F4D" w:rsidP="00A757FD">
            <w:pPr>
              <w:ind w:left="1215"/>
              <w:rPr>
                <w:kern w:val="22"/>
                <w:szCs w:val="22"/>
              </w:rPr>
            </w:pPr>
            <w:sdt>
              <w:sdtPr>
                <w:rPr>
                  <w:kern w:val="22"/>
                </w:rPr>
                <w:alias w:val="Subject"/>
                <w:tag w:val=""/>
                <w:id w:val="2137136483"/>
                <w:placeholder>
                  <w:docPart w:val="D980B1FF6C544157B44D36CB04ED9D07"/>
                </w:placeholder>
                <w:dataBinding w:prefixMappings="xmlns:ns0='http://purl.org/dc/elements/1.1/' xmlns:ns1='http://schemas.openxmlformats.org/package/2006/metadata/core-properties' " w:xpath="/ns1:coreProperties[1]/ns0:subject[1]" w:storeItemID="{6C3C8BC8-F283-45AE-878A-BAB7291924A1}"/>
                <w:text/>
              </w:sdtPr>
              <w:sdtEndPr/>
              <w:sdtContent>
                <w:r w:rsidR="00FC46DC" w:rsidRPr="00A35F4D">
                  <w:rPr>
                    <w:kern w:val="22"/>
                  </w:rPr>
                  <w:t>CBD/COP/DEC/14/31</w:t>
                </w:r>
              </w:sdtContent>
            </w:sdt>
          </w:p>
          <w:p w14:paraId="249D83D8" w14:textId="1EB7E3FA" w:rsidR="00732C0D" w:rsidRPr="00A35F4D" w:rsidRDefault="00FC46DC" w:rsidP="00A757FD">
            <w:pPr>
              <w:ind w:left="1215"/>
              <w:rPr>
                <w:kern w:val="22"/>
                <w:szCs w:val="22"/>
              </w:rPr>
            </w:pPr>
            <w:r w:rsidRPr="00A35F4D">
              <w:rPr>
                <w:kern w:val="22"/>
                <w:szCs w:val="22"/>
              </w:rPr>
              <w:t xml:space="preserve">30 </w:t>
            </w:r>
            <w:r w:rsidR="00732C0D" w:rsidRPr="00A35F4D">
              <w:rPr>
                <w:kern w:val="22"/>
                <w:szCs w:val="22"/>
              </w:rPr>
              <w:t>November 2018</w:t>
            </w:r>
          </w:p>
          <w:p w14:paraId="49D7AC51" w14:textId="77777777" w:rsidR="00732C0D" w:rsidRPr="00A35F4D" w:rsidRDefault="00732C0D" w:rsidP="00A757FD">
            <w:pPr>
              <w:ind w:left="1215"/>
              <w:rPr>
                <w:kern w:val="22"/>
                <w:szCs w:val="22"/>
              </w:rPr>
            </w:pPr>
          </w:p>
          <w:p w14:paraId="71FA77C3" w14:textId="77777777" w:rsidR="00732C0D" w:rsidRPr="00A35F4D" w:rsidRDefault="00732C0D" w:rsidP="00A757FD">
            <w:pPr>
              <w:ind w:left="1215"/>
              <w:rPr>
                <w:kern w:val="22"/>
                <w:szCs w:val="22"/>
              </w:rPr>
            </w:pPr>
            <w:r w:rsidRPr="00A35F4D">
              <w:rPr>
                <w:kern w:val="22"/>
                <w:szCs w:val="22"/>
              </w:rPr>
              <w:t>ORIGINAL: ENGLISH</w:t>
            </w:r>
          </w:p>
          <w:p w14:paraId="30D179F6" w14:textId="77777777" w:rsidR="00732C0D" w:rsidRPr="00A35F4D" w:rsidRDefault="00732C0D" w:rsidP="00A757FD">
            <w:pPr>
              <w:rPr>
                <w:kern w:val="22"/>
              </w:rPr>
            </w:pPr>
          </w:p>
        </w:tc>
      </w:tr>
    </w:tbl>
    <w:p w14:paraId="1DC2F3CC" w14:textId="77777777" w:rsidR="0061445E" w:rsidRPr="00A35F4D" w:rsidRDefault="0061445E" w:rsidP="00FA33A5">
      <w:pPr>
        <w:pStyle w:val="NoSpacing"/>
        <w:suppressLineNumbers/>
        <w:suppressAutoHyphens/>
        <w:ind w:left="142" w:right="4682" w:hanging="142"/>
        <w:rPr>
          <w:rFonts w:ascii="Times New Roman" w:hAnsi="Times New Roman"/>
          <w:kern w:val="22"/>
          <w:lang w:val="en-GB"/>
        </w:rPr>
      </w:pPr>
      <w:r w:rsidRPr="00A0089B">
        <w:rPr>
          <w:rFonts w:ascii="Times New Roman" w:hAnsi="Times New Roman"/>
          <w:kern w:val="22"/>
          <w:lang w:val="en-GB"/>
        </w:rPr>
        <w:t>CONFERENCE OF THE PARTIES TO THE CONVENTION ON BIOLOGICAL DIVERSITY</w:t>
      </w:r>
    </w:p>
    <w:p w14:paraId="5B0F9F9E" w14:textId="77777777" w:rsidR="0061445E" w:rsidRPr="00A35F4D" w:rsidRDefault="0061445E" w:rsidP="00FA33A5">
      <w:pPr>
        <w:pStyle w:val="NoSpacing"/>
        <w:suppressLineNumbers/>
        <w:suppressAutoHyphens/>
        <w:rPr>
          <w:rFonts w:ascii="Times New Roman" w:hAnsi="Times New Roman"/>
          <w:kern w:val="22"/>
          <w:lang w:val="en-GB"/>
        </w:rPr>
      </w:pPr>
      <w:r w:rsidRPr="00A35F4D">
        <w:rPr>
          <w:rFonts w:ascii="Times New Roman" w:hAnsi="Times New Roman"/>
          <w:kern w:val="22"/>
          <w:lang w:val="en-GB"/>
        </w:rPr>
        <w:t>Fourteenth meeting</w:t>
      </w:r>
    </w:p>
    <w:p w14:paraId="016B4752" w14:textId="3DF15894" w:rsidR="0061445E" w:rsidRPr="00A35F4D" w:rsidRDefault="0061445E" w:rsidP="00FA33A5">
      <w:pPr>
        <w:pStyle w:val="NoSpacing"/>
        <w:suppressLineNumbers/>
        <w:suppressAutoHyphens/>
        <w:rPr>
          <w:rFonts w:ascii="Times New Roman" w:hAnsi="Times New Roman"/>
          <w:kern w:val="22"/>
          <w:lang w:val="en-GB"/>
        </w:rPr>
      </w:pPr>
      <w:r w:rsidRPr="00A35F4D">
        <w:rPr>
          <w:rFonts w:ascii="Times New Roman" w:hAnsi="Times New Roman"/>
          <w:kern w:val="22"/>
          <w:lang w:val="en-GB"/>
        </w:rPr>
        <w:t xml:space="preserve">Sharm </w:t>
      </w:r>
      <w:r w:rsidR="001C1AFE" w:rsidRPr="00A35F4D">
        <w:rPr>
          <w:rFonts w:ascii="Times New Roman" w:hAnsi="Times New Roman"/>
          <w:kern w:val="22"/>
          <w:lang w:val="en-GB"/>
        </w:rPr>
        <w:t>E</w:t>
      </w:r>
      <w:r w:rsidRPr="00A35F4D">
        <w:rPr>
          <w:rFonts w:ascii="Times New Roman" w:hAnsi="Times New Roman"/>
          <w:kern w:val="22"/>
          <w:lang w:val="en-GB"/>
        </w:rPr>
        <w:t>l-Sheikh, Egypt, 17-29 November 2018</w:t>
      </w:r>
    </w:p>
    <w:p w14:paraId="0B9BBCE1" w14:textId="241AAC65" w:rsidR="00C9161D" w:rsidRPr="00A35F4D" w:rsidRDefault="00A7689D" w:rsidP="00FA33A5">
      <w:pPr>
        <w:suppressLineNumbers/>
        <w:suppressAutoHyphens/>
        <w:rPr>
          <w:kern w:val="22"/>
        </w:rPr>
      </w:pPr>
      <w:r w:rsidRPr="00A35F4D">
        <w:rPr>
          <w:kern w:val="22"/>
        </w:rPr>
        <w:t>Agenda item 13</w:t>
      </w:r>
    </w:p>
    <w:p w14:paraId="78D1D463" w14:textId="5ECCB8AF" w:rsidR="00FC46DC" w:rsidRPr="00A35F4D" w:rsidRDefault="00CD427B" w:rsidP="00A35F4D">
      <w:pPr>
        <w:suppressLineNumbers/>
        <w:suppressAutoHyphens/>
        <w:spacing w:before="240" w:after="120"/>
        <w:jc w:val="center"/>
        <w:rPr>
          <w:rFonts w:ascii="Times New Roman Bold" w:hAnsi="Times New Roman Bold"/>
          <w:caps/>
          <w:kern w:val="22"/>
          <w:szCs w:val="22"/>
          <w:lang w:val="en-CA"/>
        </w:rPr>
      </w:pPr>
      <w:r w:rsidRPr="00A35F4D">
        <w:rPr>
          <w:rFonts w:ascii="Times New Roman Bold" w:hAnsi="Times New Roman Bold"/>
          <w:b/>
          <w:caps/>
          <w:kern w:val="22"/>
          <w:szCs w:val="22"/>
        </w:rPr>
        <w:t>Decision adopted by the Conference of the Parties to the Convention on Biological Diversity</w:t>
      </w:r>
    </w:p>
    <w:p w14:paraId="70A9BE08" w14:textId="5A9FAD24" w:rsidR="00C9161D" w:rsidRPr="00A35F4D" w:rsidRDefault="00A35F4D" w:rsidP="00FC46DC">
      <w:pPr>
        <w:pStyle w:val="recommendationheader"/>
        <w:ind w:left="1843" w:hanging="992"/>
        <w:jc w:val="left"/>
        <w:rPr>
          <w:b w:val="0"/>
          <w:caps/>
          <w:kern w:val="22"/>
        </w:rPr>
      </w:pPr>
      <w:sdt>
        <w:sdtPr>
          <w:rPr>
            <w:rStyle w:val="Heading2Char"/>
            <w:b/>
            <w:caps/>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CD427B" w:rsidRPr="00A0089B">
            <w:rPr>
              <w:rStyle w:val="Heading2Char"/>
              <w:b/>
              <w:kern w:val="22"/>
            </w:rPr>
            <w:t>14/31.</w:t>
          </w:r>
          <w:r w:rsidR="00CD427B" w:rsidRPr="00A0089B">
            <w:rPr>
              <w:rStyle w:val="Heading2Char"/>
              <w:b/>
              <w:kern w:val="22"/>
            </w:rPr>
            <w:tab/>
          </w:r>
          <w:r w:rsidR="00CD427B" w:rsidRPr="00A0089B">
            <w:rPr>
              <w:rStyle w:val="Heading2Char"/>
              <w:b/>
              <w:caps/>
              <w:kern w:val="22"/>
            </w:rPr>
            <w:t>E</w:t>
          </w:r>
          <w:r w:rsidR="005B650F" w:rsidRPr="00A0089B">
            <w:rPr>
              <w:rStyle w:val="Heading2Char"/>
              <w:b/>
              <w:kern w:val="22"/>
            </w:rPr>
            <w:t>nhancing integration under the C</w:t>
          </w:r>
          <w:r w:rsidR="00CD427B" w:rsidRPr="00A0089B">
            <w:rPr>
              <w:rStyle w:val="Heading2Char"/>
              <w:b/>
              <w:kern w:val="22"/>
            </w:rPr>
            <w:t xml:space="preserve">onvention and its </w:t>
          </w:r>
          <w:r w:rsidR="005B650F" w:rsidRPr="00A0089B">
            <w:rPr>
              <w:rStyle w:val="Heading2Char"/>
              <w:b/>
              <w:kern w:val="22"/>
            </w:rPr>
            <w:t>P</w:t>
          </w:r>
          <w:r w:rsidR="00CD427B" w:rsidRPr="00A0089B">
            <w:rPr>
              <w:rStyle w:val="Heading2Char"/>
              <w:b/>
              <w:kern w:val="22"/>
            </w:rPr>
            <w:t>rotocols with respect to provisions related to biosafety and access and benefit-sharing</w:t>
          </w:r>
        </w:sdtContent>
      </w:sdt>
    </w:p>
    <w:p w14:paraId="4FD8A895" w14:textId="77777777" w:rsidR="00B21819" w:rsidRPr="00A35F4D" w:rsidRDefault="00B21819" w:rsidP="00053E08">
      <w:pPr>
        <w:pStyle w:val="Para1"/>
        <w:numPr>
          <w:ilvl w:val="0"/>
          <w:numId w:val="0"/>
        </w:numPr>
        <w:suppressLineNumbers/>
        <w:suppressAutoHyphens/>
        <w:kinsoku w:val="0"/>
        <w:overflowPunct w:val="0"/>
        <w:autoSpaceDE w:val="0"/>
        <w:autoSpaceDN w:val="0"/>
        <w:ind w:firstLine="720"/>
        <w:rPr>
          <w:i/>
          <w:snapToGrid/>
          <w:kern w:val="22"/>
          <w:szCs w:val="22"/>
        </w:rPr>
      </w:pPr>
      <w:r w:rsidRPr="00A35F4D">
        <w:rPr>
          <w:i/>
          <w:snapToGrid/>
          <w:kern w:val="22"/>
          <w:szCs w:val="22"/>
        </w:rPr>
        <w:t>The Conference of the Parties,</w:t>
      </w:r>
    </w:p>
    <w:p w14:paraId="45C84AA6" w14:textId="041916C4" w:rsidR="00B21819" w:rsidRPr="00A35F4D" w:rsidRDefault="00B21819" w:rsidP="00FA33A5">
      <w:pPr>
        <w:pStyle w:val="Para1"/>
        <w:numPr>
          <w:ilvl w:val="0"/>
          <w:numId w:val="0"/>
        </w:numPr>
        <w:suppressLineNumbers/>
        <w:suppressAutoHyphens/>
        <w:ind w:firstLine="720"/>
        <w:jc w:val="center"/>
        <w:rPr>
          <w:b/>
          <w:kern w:val="22"/>
        </w:rPr>
      </w:pPr>
      <w:r w:rsidRPr="00A35F4D">
        <w:rPr>
          <w:b/>
          <w:kern w:val="22"/>
        </w:rPr>
        <w:t>A.</w:t>
      </w:r>
      <w:r w:rsidR="00FC46DC" w:rsidRPr="00A35F4D">
        <w:rPr>
          <w:b/>
          <w:kern w:val="22"/>
        </w:rPr>
        <w:tab/>
      </w:r>
      <w:r w:rsidRPr="00A35F4D">
        <w:rPr>
          <w:b/>
          <w:kern w:val="22"/>
        </w:rPr>
        <w:t>Provisions related to biosafety</w:t>
      </w:r>
    </w:p>
    <w:p w14:paraId="2FE49913" w14:textId="77777777" w:rsidR="00B21819" w:rsidRPr="00A0089B" w:rsidRDefault="00B21819" w:rsidP="00053E08">
      <w:pPr>
        <w:pStyle w:val="Para1"/>
        <w:numPr>
          <w:ilvl w:val="0"/>
          <w:numId w:val="0"/>
        </w:numPr>
        <w:suppressLineNumbers/>
        <w:suppressAutoHyphens/>
        <w:kinsoku w:val="0"/>
        <w:overflowPunct w:val="0"/>
        <w:autoSpaceDE w:val="0"/>
        <w:autoSpaceDN w:val="0"/>
        <w:ind w:firstLine="720"/>
        <w:rPr>
          <w:snapToGrid/>
          <w:kern w:val="22"/>
          <w:szCs w:val="22"/>
        </w:rPr>
      </w:pPr>
      <w:r w:rsidRPr="00A35F4D">
        <w:rPr>
          <w:i/>
          <w:snapToGrid/>
          <w:kern w:val="22"/>
          <w:szCs w:val="22"/>
        </w:rPr>
        <w:t>Recalling</w:t>
      </w:r>
      <w:r w:rsidRPr="00A35F4D">
        <w:rPr>
          <w:snapToGrid/>
          <w:kern w:val="22"/>
          <w:szCs w:val="22"/>
        </w:rPr>
        <w:t xml:space="preserve"> the call to Parties to integrate biosafety within their national biodiversity strategies and action plans, national development plans and other relevant sectoral and cross-sectoral policies, plans and programmes, as appropriate, </w:t>
      </w:r>
      <w:proofErr w:type="gramStart"/>
      <w:r w:rsidRPr="00A35F4D">
        <w:rPr>
          <w:snapToGrid/>
          <w:kern w:val="22"/>
          <w:szCs w:val="22"/>
        </w:rPr>
        <w:t>taking into account</w:t>
      </w:r>
      <w:proofErr w:type="gramEnd"/>
      <w:r w:rsidRPr="00A35F4D">
        <w:rPr>
          <w:snapToGrid/>
          <w:kern w:val="22"/>
          <w:szCs w:val="22"/>
        </w:rPr>
        <w:t xml:space="preserve"> national circumstances, legislation and priorities,</w:t>
      </w:r>
      <w:r w:rsidRPr="00A0089B">
        <w:rPr>
          <w:rStyle w:val="FootnoteReference"/>
          <w:snapToGrid/>
          <w:kern w:val="22"/>
          <w:szCs w:val="22"/>
        </w:rPr>
        <w:footnoteReference w:id="1"/>
      </w:r>
    </w:p>
    <w:p w14:paraId="6FD12E6A" w14:textId="77777777" w:rsidR="00B21819" w:rsidRPr="00A35F4D" w:rsidRDefault="00B21819" w:rsidP="00053E08">
      <w:pPr>
        <w:pStyle w:val="Para1"/>
        <w:numPr>
          <w:ilvl w:val="0"/>
          <w:numId w:val="0"/>
        </w:numPr>
        <w:suppressLineNumbers/>
        <w:suppressAutoHyphens/>
        <w:kinsoku w:val="0"/>
        <w:overflowPunct w:val="0"/>
        <w:autoSpaceDE w:val="0"/>
        <w:autoSpaceDN w:val="0"/>
        <w:ind w:firstLine="720"/>
        <w:rPr>
          <w:snapToGrid/>
          <w:kern w:val="22"/>
          <w:szCs w:val="22"/>
        </w:rPr>
      </w:pPr>
      <w:r w:rsidRPr="00A35F4D">
        <w:rPr>
          <w:i/>
          <w:snapToGrid/>
          <w:kern w:val="22"/>
          <w:szCs w:val="22"/>
        </w:rPr>
        <w:t>Noting</w:t>
      </w:r>
      <w:r w:rsidRPr="00A35F4D">
        <w:rPr>
          <w:snapToGrid/>
          <w:kern w:val="22"/>
          <w:szCs w:val="22"/>
        </w:rPr>
        <w:t xml:space="preserve"> the relationship between the biosafety-related provisions of the Convention, </w:t>
      </w:r>
      <w:proofErr w:type="gramStart"/>
      <w:r w:rsidRPr="00A35F4D">
        <w:rPr>
          <w:snapToGrid/>
          <w:kern w:val="22"/>
          <w:szCs w:val="22"/>
        </w:rPr>
        <w:t>in particular its</w:t>
      </w:r>
      <w:proofErr w:type="gramEnd"/>
      <w:r w:rsidRPr="00A35F4D">
        <w:rPr>
          <w:snapToGrid/>
          <w:kern w:val="22"/>
          <w:szCs w:val="22"/>
        </w:rPr>
        <w:t xml:space="preserve"> Articles 8(g) and 19, paragraph 4, and the Cartagena Protocol on Biosafety,</w:t>
      </w:r>
    </w:p>
    <w:p w14:paraId="46EE8168" w14:textId="77777777" w:rsidR="00B21819" w:rsidRPr="00A35F4D" w:rsidRDefault="00B21819" w:rsidP="00272C8A">
      <w:pPr>
        <w:pStyle w:val="Para1"/>
        <w:numPr>
          <w:ilvl w:val="0"/>
          <w:numId w:val="0"/>
        </w:numPr>
        <w:suppressLineNumbers/>
        <w:suppressAutoHyphens/>
        <w:kinsoku w:val="0"/>
        <w:overflowPunct w:val="0"/>
        <w:autoSpaceDE w:val="0"/>
        <w:autoSpaceDN w:val="0"/>
        <w:ind w:firstLine="720"/>
        <w:rPr>
          <w:snapToGrid/>
          <w:kern w:val="22"/>
          <w:szCs w:val="22"/>
        </w:rPr>
      </w:pPr>
      <w:r w:rsidRPr="00A35F4D">
        <w:rPr>
          <w:i/>
          <w:snapToGrid/>
          <w:kern w:val="22"/>
          <w:szCs w:val="22"/>
        </w:rPr>
        <w:t>Recognizing</w:t>
      </w:r>
      <w:r w:rsidRPr="00A35F4D">
        <w:rPr>
          <w:snapToGrid/>
          <w:kern w:val="22"/>
          <w:szCs w:val="22"/>
        </w:rPr>
        <w:t xml:space="preserve"> that ratification and implementation of the Cartagena Protocol and the Nagoya – Kuala Lumpur Supplementary Protocol on Liability and Redress contribute to achieving the objectives of the Convention,</w:t>
      </w:r>
    </w:p>
    <w:p w14:paraId="46E75802" w14:textId="77777777" w:rsidR="00B21819" w:rsidRPr="00A35F4D" w:rsidRDefault="00B21819" w:rsidP="0051125E">
      <w:pPr>
        <w:pStyle w:val="Para1"/>
        <w:numPr>
          <w:ilvl w:val="0"/>
          <w:numId w:val="0"/>
        </w:numPr>
        <w:suppressLineNumbers/>
        <w:suppressAutoHyphens/>
        <w:kinsoku w:val="0"/>
        <w:overflowPunct w:val="0"/>
        <w:autoSpaceDE w:val="0"/>
        <w:autoSpaceDN w:val="0"/>
        <w:ind w:firstLine="720"/>
        <w:rPr>
          <w:snapToGrid/>
          <w:kern w:val="22"/>
          <w:szCs w:val="22"/>
        </w:rPr>
      </w:pPr>
      <w:r w:rsidRPr="00A35F4D">
        <w:rPr>
          <w:snapToGrid/>
          <w:kern w:val="22"/>
          <w:szCs w:val="22"/>
        </w:rPr>
        <w:t>1.</w:t>
      </w:r>
      <w:r w:rsidRPr="00A35F4D">
        <w:rPr>
          <w:snapToGrid/>
          <w:kern w:val="22"/>
          <w:szCs w:val="22"/>
        </w:rPr>
        <w:tab/>
      </w:r>
      <w:r w:rsidRPr="00A35F4D">
        <w:rPr>
          <w:i/>
          <w:snapToGrid/>
          <w:kern w:val="22"/>
          <w:szCs w:val="22"/>
        </w:rPr>
        <w:t>Urges</w:t>
      </w:r>
      <w:r w:rsidRPr="00A35F4D">
        <w:rPr>
          <w:snapToGrid/>
          <w:kern w:val="22"/>
          <w:szCs w:val="22"/>
        </w:rPr>
        <w:t xml:space="preserve"> Parties to the Convention on Biological Diversity that have not yet done so to deposit their instrument of ratification, acceptance, approval or accession to the Cartagena Protocol as soon as possible, and to take steps towards its implementation, including by establishing institutional structures and legislative, administrative and policy measures on biosafety, taking into account the participation of indigenous peoples and local communities, and other relevant stakeholders, in the development of such measures;</w:t>
      </w:r>
      <w:bookmarkStart w:id="0" w:name="_GoBack"/>
      <w:bookmarkEnd w:id="0"/>
    </w:p>
    <w:p w14:paraId="34282DC7" w14:textId="77777777" w:rsidR="00B21819" w:rsidRPr="00A35F4D" w:rsidRDefault="00B21819" w:rsidP="00FA33A5">
      <w:pPr>
        <w:pStyle w:val="Para1"/>
        <w:numPr>
          <w:ilvl w:val="0"/>
          <w:numId w:val="0"/>
        </w:numPr>
        <w:suppressLineNumbers/>
        <w:suppressAutoHyphens/>
        <w:kinsoku w:val="0"/>
        <w:overflowPunct w:val="0"/>
        <w:autoSpaceDE w:val="0"/>
        <w:autoSpaceDN w:val="0"/>
        <w:ind w:firstLine="720"/>
        <w:rPr>
          <w:snapToGrid/>
          <w:kern w:val="22"/>
          <w:szCs w:val="22"/>
        </w:rPr>
      </w:pPr>
      <w:r w:rsidRPr="00A35F4D">
        <w:rPr>
          <w:snapToGrid/>
          <w:kern w:val="22"/>
          <w:szCs w:val="22"/>
        </w:rPr>
        <w:t>2.</w:t>
      </w:r>
      <w:r w:rsidRPr="00A35F4D">
        <w:rPr>
          <w:snapToGrid/>
          <w:kern w:val="22"/>
          <w:szCs w:val="22"/>
        </w:rPr>
        <w:tab/>
      </w:r>
      <w:r w:rsidRPr="00A35F4D">
        <w:rPr>
          <w:i/>
          <w:snapToGrid/>
          <w:kern w:val="22"/>
          <w:szCs w:val="22"/>
        </w:rPr>
        <w:t>Reminds</w:t>
      </w:r>
      <w:r w:rsidRPr="00A35F4D">
        <w:rPr>
          <w:snapToGrid/>
          <w:kern w:val="22"/>
          <w:szCs w:val="22"/>
        </w:rPr>
        <w:t xml:space="preserve"> Parties to the Convention on Biological Diversity that are not Parties to the Cartagena Protocol of their biosafety-related obligations under the Convention, and invites them to continue making relevant information available to the Biosafety Clearing-House and to submit the fourth national report under the Cartagena Protocol;</w:t>
      </w:r>
    </w:p>
    <w:p w14:paraId="0470F819" w14:textId="77777777" w:rsidR="00B21819" w:rsidRPr="00A35F4D" w:rsidRDefault="00B21819" w:rsidP="00FA33A5">
      <w:pPr>
        <w:pStyle w:val="Para1"/>
        <w:numPr>
          <w:ilvl w:val="0"/>
          <w:numId w:val="0"/>
        </w:numPr>
        <w:suppressLineNumbers/>
        <w:suppressAutoHyphens/>
        <w:kinsoku w:val="0"/>
        <w:overflowPunct w:val="0"/>
        <w:autoSpaceDE w:val="0"/>
        <w:autoSpaceDN w:val="0"/>
        <w:ind w:firstLine="720"/>
        <w:rPr>
          <w:snapToGrid/>
          <w:kern w:val="22"/>
          <w:szCs w:val="22"/>
        </w:rPr>
      </w:pPr>
      <w:r w:rsidRPr="00A35F4D">
        <w:rPr>
          <w:snapToGrid/>
          <w:kern w:val="22"/>
          <w:szCs w:val="22"/>
        </w:rPr>
        <w:t>3.</w:t>
      </w:r>
      <w:r w:rsidRPr="00A35F4D">
        <w:rPr>
          <w:snapToGrid/>
          <w:kern w:val="22"/>
          <w:szCs w:val="22"/>
        </w:rPr>
        <w:tab/>
      </w:r>
      <w:r w:rsidRPr="00A35F4D">
        <w:rPr>
          <w:i/>
          <w:snapToGrid/>
          <w:kern w:val="22"/>
          <w:szCs w:val="22"/>
        </w:rPr>
        <w:t>Encourages</w:t>
      </w:r>
      <w:r w:rsidRPr="00A35F4D">
        <w:rPr>
          <w:snapToGrid/>
          <w:kern w:val="22"/>
          <w:szCs w:val="22"/>
        </w:rPr>
        <w:t xml:space="preserve"> Parties to develop and implement national action plans for mainstreaming biosafety into national legal and policy instruments and to report on the progress in this regard in their national report;</w:t>
      </w:r>
    </w:p>
    <w:p w14:paraId="02F312F1" w14:textId="58F073DF" w:rsidR="004D1127" w:rsidRPr="00A35F4D" w:rsidRDefault="00B21819" w:rsidP="00C63CC8">
      <w:pPr>
        <w:pStyle w:val="Para1"/>
        <w:numPr>
          <w:ilvl w:val="0"/>
          <w:numId w:val="0"/>
        </w:numPr>
        <w:suppressLineNumbers/>
        <w:suppressAutoHyphens/>
        <w:kinsoku w:val="0"/>
        <w:overflowPunct w:val="0"/>
        <w:autoSpaceDE w:val="0"/>
        <w:autoSpaceDN w:val="0"/>
        <w:ind w:firstLine="720"/>
        <w:rPr>
          <w:snapToGrid/>
          <w:kern w:val="22"/>
          <w:szCs w:val="22"/>
        </w:rPr>
      </w:pPr>
      <w:r w:rsidRPr="00A35F4D">
        <w:rPr>
          <w:snapToGrid/>
          <w:kern w:val="22"/>
          <w:szCs w:val="22"/>
        </w:rPr>
        <w:t>4.</w:t>
      </w:r>
      <w:r w:rsidRPr="00A35F4D">
        <w:rPr>
          <w:snapToGrid/>
          <w:kern w:val="22"/>
          <w:szCs w:val="22"/>
        </w:rPr>
        <w:tab/>
      </w:r>
      <w:r w:rsidRPr="00A35F4D">
        <w:rPr>
          <w:i/>
          <w:snapToGrid/>
          <w:kern w:val="22"/>
          <w:szCs w:val="22"/>
        </w:rPr>
        <w:t>Invites</w:t>
      </w:r>
      <w:r w:rsidRPr="00A35F4D">
        <w:rPr>
          <w:snapToGrid/>
          <w:kern w:val="22"/>
          <w:szCs w:val="22"/>
        </w:rPr>
        <w:t xml:space="preserve"> Governments and relevant organizations in a position to do so to provide technical and financial support to address needs for capacity-building and development activities, as well as financial resources to support ratification and implementation of the Cartagena Protocol;</w:t>
      </w:r>
    </w:p>
    <w:p w14:paraId="4DDDB598" w14:textId="77777777" w:rsidR="00B21819" w:rsidRPr="00A35F4D" w:rsidRDefault="00B21819" w:rsidP="00FA33A5">
      <w:pPr>
        <w:pStyle w:val="Para1"/>
        <w:numPr>
          <w:ilvl w:val="0"/>
          <w:numId w:val="0"/>
        </w:numPr>
        <w:suppressLineNumbers/>
        <w:suppressAutoHyphens/>
        <w:kinsoku w:val="0"/>
        <w:overflowPunct w:val="0"/>
        <w:autoSpaceDE w:val="0"/>
        <w:autoSpaceDN w:val="0"/>
        <w:ind w:firstLine="720"/>
        <w:rPr>
          <w:snapToGrid/>
          <w:kern w:val="22"/>
          <w:szCs w:val="22"/>
        </w:rPr>
      </w:pPr>
      <w:r w:rsidRPr="00A35F4D">
        <w:rPr>
          <w:snapToGrid/>
          <w:kern w:val="22"/>
          <w:szCs w:val="22"/>
        </w:rPr>
        <w:lastRenderedPageBreak/>
        <w:t>5.</w:t>
      </w:r>
      <w:r w:rsidRPr="00A35F4D">
        <w:rPr>
          <w:snapToGrid/>
          <w:kern w:val="22"/>
          <w:szCs w:val="22"/>
        </w:rPr>
        <w:tab/>
      </w:r>
      <w:r w:rsidRPr="00A35F4D">
        <w:rPr>
          <w:i/>
          <w:snapToGrid/>
          <w:kern w:val="22"/>
          <w:szCs w:val="22"/>
        </w:rPr>
        <w:t>Agrees</w:t>
      </w:r>
      <w:r w:rsidRPr="00A35F4D">
        <w:rPr>
          <w:snapToGrid/>
          <w:kern w:val="22"/>
          <w:szCs w:val="22"/>
        </w:rPr>
        <w:t xml:space="preserve"> to consider the addition of biosafety considerations to the post-2020 global biodiversity framework and national reporting format under the Convention, and to other areas of work under the Convention;</w:t>
      </w:r>
    </w:p>
    <w:p w14:paraId="4D8C620F" w14:textId="77777777" w:rsidR="00B21819" w:rsidRPr="00A35F4D" w:rsidRDefault="00B21819" w:rsidP="00FA33A5">
      <w:pPr>
        <w:pStyle w:val="Para1"/>
        <w:numPr>
          <w:ilvl w:val="0"/>
          <w:numId w:val="0"/>
        </w:numPr>
        <w:suppressLineNumbers/>
        <w:suppressAutoHyphens/>
        <w:ind w:firstLine="720"/>
        <w:rPr>
          <w:snapToGrid/>
          <w:kern w:val="22"/>
          <w:szCs w:val="22"/>
        </w:rPr>
      </w:pPr>
      <w:r w:rsidRPr="00A35F4D">
        <w:rPr>
          <w:snapToGrid/>
          <w:kern w:val="22"/>
          <w:szCs w:val="22"/>
        </w:rPr>
        <w:t>6.</w:t>
      </w:r>
      <w:r w:rsidRPr="00A35F4D">
        <w:rPr>
          <w:snapToGrid/>
          <w:kern w:val="22"/>
          <w:szCs w:val="22"/>
        </w:rPr>
        <w:tab/>
      </w:r>
      <w:r w:rsidRPr="00A35F4D">
        <w:rPr>
          <w:i/>
          <w:snapToGrid/>
          <w:kern w:val="22"/>
          <w:szCs w:val="22"/>
        </w:rPr>
        <w:t>Requests</w:t>
      </w:r>
      <w:r w:rsidRPr="00A35F4D">
        <w:rPr>
          <w:snapToGrid/>
          <w:kern w:val="22"/>
          <w:szCs w:val="22"/>
        </w:rPr>
        <w:t xml:space="preserve"> the Executive Secretary, subject to the availability of resources and taking into account the objectives of the Convention, the Cartagena Protocol and the Nagoya – Kuala Lumpur Supplementary Protocol on Liability and Redress, to continue efforts to (a) integrate biosafety across the programmes of work of the Secretariat; (b) raise awareness of biosafety-related provisions of the Convention and the Cartagena Protocol; and (c) support Parties in efforts to integrate biosafety across various sectors at the national level;</w:t>
      </w:r>
    </w:p>
    <w:p w14:paraId="21AF44D1" w14:textId="518B06CA" w:rsidR="00A7689D" w:rsidRPr="00A35F4D" w:rsidRDefault="00DD76FA" w:rsidP="00FA33A5">
      <w:pPr>
        <w:pStyle w:val="Para1"/>
        <w:numPr>
          <w:ilvl w:val="0"/>
          <w:numId w:val="0"/>
        </w:numPr>
        <w:suppressLineNumbers/>
        <w:suppressAutoHyphens/>
        <w:jc w:val="center"/>
        <w:rPr>
          <w:b/>
          <w:kern w:val="22"/>
        </w:rPr>
      </w:pPr>
      <w:r w:rsidRPr="00A35F4D">
        <w:rPr>
          <w:b/>
          <w:kern w:val="22"/>
        </w:rPr>
        <w:t>B.</w:t>
      </w:r>
      <w:r w:rsidR="00FC46DC" w:rsidRPr="00A35F4D">
        <w:rPr>
          <w:b/>
          <w:kern w:val="22"/>
        </w:rPr>
        <w:tab/>
      </w:r>
      <w:r w:rsidR="00A7689D" w:rsidRPr="00A35F4D">
        <w:rPr>
          <w:b/>
          <w:kern w:val="22"/>
        </w:rPr>
        <w:t>Provisions related to access and benefit-sharing</w:t>
      </w:r>
    </w:p>
    <w:p w14:paraId="5091F867" w14:textId="6206877D" w:rsidR="0077349D" w:rsidRPr="00A35F4D" w:rsidRDefault="00A7689D" w:rsidP="009B4879">
      <w:pPr>
        <w:pStyle w:val="Para1"/>
        <w:numPr>
          <w:ilvl w:val="0"/>
          <w:numId w:val="0"/>
        </w:numPr>
        <w:suppressLineNumbers/>
        <w:suppressAutoHyphens/>
        <w:ind w:firstLine="720"/>
        <w:rPr>
          <w:kern w:val="22"/>
        </w:rPr>
      </w:pPr>
      <w:r w:rsidRPr="00A35F4D">
        <w:rPr>
          <w:kern w:val="22"/>
        </w:rPr>
        <w:t>7.</w:t>
      </w:r>
      <w:r w:rsidRPr="00A35F4D">
        <w:rPr>
          <w:kern w:val="22"/>
        </w:rPr>
        <w:tab/>
      </w:r>
      <w:r w:rsidRPr="00A35F4D">
        <w:rPr>
          <w:i/>
          <w:kern w:val="22"/>
        </w:rPr>
        <w:t>Welcomes</w:t>
      </w:r>
      <w:r w:rsidRPr="00A35F4D">
        <w:rPr>
          <w:kern w:val="22"/>
        </w:rPr>
        <w:t xml:space="preserve"> the efforts made by Parties </w:t>
      </w:r>
      <w:r w:rsidR="0077349D" w:rsidRPr="00A35F4D">
        <w:rPr>
          <w:kern w:val="22"/>
        </w:rPr>
        <w:t>in implementing the Nagoya Protocol on Access to Genetic Resources and the Fair and Equitable Sharing of Benefits Arising from their Utilization</w:t>
      </w:r>
      <w:r w:rsidR="00C63CC8" w:rsidRPr="00A35F4D">
        <w:rPr>
          <w:kern w:val="22"/>
        </w:rPr>
        <w:t>,</w:t>
      </w:r>
      <w:r w:rsidR="0077349D" w:rsidRPr="00A35F4D">
        <w:rPr>
          <w:kern w:val="22"/>
        </w:rPr>
        <w:t xml:space="preserve"> as well as the efforts made by</w:t>
      </w:r>
      <w:r w:rsidRPr="00A35F4D">
        <w:rPr>
          <w:kern w:val="22"/>
        </w:rPr>
        <w:t xml:space="preserve"> non-Parties</w:t>
      </w:r>
      <w:r w:rsidR="0077349D" w:rsidRPr="00A35F4D">
        <w:rPr>
          <w:kern w:val="22"/>
        </w:rPr>
        <w:t xml:space="preserve"> towards ratification </w:t>
      </w:r>
      <w:r w:rsidR="003A4B7D" w:rsidRPr="00A35F4D">
        <w:rPr>
          <w:kern w:val="22"/>
        </w:rPr>
        <w:t>of the Protocol</w:t>
      </w:r>
      <w:r w:rsidRPr="00A35F4D">
        <w:rPr>
          <w:kern w:val="22"/>
        </w:rPr>
        <w:t>;</w:t>
      </w:r>
    </w:p>
    <w:p w14:paraId="17CDA8E7" w14:textId="2B648D23" w:rsidR="00A7689D" w:rsidRPr="00A35F4D" w:rsidRDefault="00A7689D" w:rsidP="00512E45">
      <w:pPr>
        <w:pStyle w:val="Para1"/>
        <w:numPr>
          <w:ilvl w:val="0"/>
          <w:numId w:val="0"/>
        </w:numPr>
        <w:suppressLineNumbers/>
        <w:suppressAutoHyphens/>
        <w:ind w:firstLine="720"/>
        <w:rPr>
          <w:kern w:val="22"/>
        </w:rPr>
      </w:pPr>
      <w:r w:rsidRPr="00A35F4D">
        <w:rPr>
          <w:kern w:val="22"/>
        </w:rPr>
        <w:t>8.</w:t>
      </w:r>
      <w:r w:rsidRPr="00A35F4D">
        <w:rPr>
          <w:kern w:val="22"/>
        </w:rPr>
        <w:tab/>
      </w:r>
      <w:r w:rsidRPr="00A35F4D">
        <w:rPr>
          <w:i/>
          <w:kern w:val="22"/>
        </w:rPr>
        <w:t>Urges</w:t>
      </w:r>
      <w:r w:rsidRPr="00A35F4D">
        <w:rPr>
          <w:kern w:val="22"/>
        </w:rPr>
        <w:t xml:space="preserve"> Parties to the Convention on Biological Diversity that have not yet done so to deposit their instrument of ratification, acceptance or approval or their instrument of accession to the Nagoya Protocol as soon as possible, and to take steps towards its implementation, including by establishing institutional structures and legislative, administrative and policy measures on access and benefit-sharing</w:t>
      </w:r>
      <w:r w:rsidR="001661D7" w:rsidRPr="00A35F4D">
        <w:rPr>
          <w:kern w:val="22"/>
        </w:rPr>
        <w:t xml:space="preserve">, </w:t>
      </w:r>
      <w:r w:rsidR="00D443C1" w:rsidRPr="00A35F4D">
        <w:rPr>
          <w:kern w:val="22"/>
        </w:rPr>
        <w:t>including measures to ensure that the benefits arising from the utilization of traditional knowledge associated with genetic resources are shared in a fair and equitable way with indigenous peoples and local communities holding such knowledge</w:t>
      </w:r>
      <w:r w:rsidR="00512E45" w:rsidRPr="00A35F4D">
        <w:rPr>
          <w:kern w:val="22"/>
        </w:rPr>
        <w:t xml:space="preserve">, </w:t>
      </w:r>
      <w:r w:rsidRPr="00A35F4D">
        <w:rPr>
          <w:kern w:val="22"/>
        </w:rPr>
        <w:t>and to make relevant information available to the Access and Benefit-sharing Clearing-House;</w:t>
      </w:r>
    </w:p>
    <w:p w14:paraId="47D55A98" w14:textId="77777777" w:rsidR="00A7689D" w:rsidRPr="00A35F4D" w:rsidRDefault="00A7689D" w:rsidP="00FA33A5">
      <w:pPr>
        <w:pStyle w:val="Para1"/>
        <w:numPr>
          <w:ilvl w:val="0"/>
          <w:numId w:val="0"/>
        </w:numPr>
        <w:suppressLineNumbers/>
        <w:suppressAutoHyphens/>
        <w:ind w:firstLine="720"/>
        <w:rPr>
          <w:kern w:val="22"/>
        </w:rPr>
      </w:pPr>
      <w:r w:rsidRPr="00A35F4D">
        <w:rPr>
          <w:kern w:val="22"/>
        </w:rPr>
        <w:t xml:space="preserve">9. </w:t>
      </w:r>
      <w:r w:rsidRPr="00A35F4D">
        <w:rPr>
          <w:kern w:val="22"/>
        </w:rPr>
        <w:tab/>
      </w:r>
      <w:r w:rsidRPr="00A35F4D">
        <w:rPr>
          <w:i/>
          <w:kern w:val="22"/>
        </w:rPr>
        <w:t>Requests</w:t>
      </w:r>
      <w:r w:rsidRPr="00A35F4D">
        <w:rPr>
          <w:kern w:val="22"/>
        </w:rPr>
        <w:t xml:space="preserve"> the Executive Secretary to support strategic communication to enhance awareness about the Nagoya Protocol and enhance its integration in various sectors;</w:t>
      </w:r>
    </w:p>
    <w:p w14:paraId="5F01474B" w14:textId="23A23BA3" w:rsidR="00A7689D" w:rsidRPr="00A35F4D" w:rsidRDefault="00A7689D" w:rsidP="00FA33A5">
      <w:pPr>
        <w:pStyle w:val="Para1"/>
        <w:numPr>
          <w:ilvl w:val="0"/>
          <w:numId w:val="0"/>
        </w:numPr>
        <w:suppressLineNumbers/>
        <w:suppressAutoHyphens/>
        <w:ind w:firstLine="720"/>
        <w:rPr>
          <w:kern w:val="22"/>
        </w:rPr>
      </w:pPr>
      <w:r w:rsidRPr="00A35F4D">
        <w:rPr>
          <w:kern w:val="22"/>
        </w:rPr>
        <w:t>10.</w:t>
      </w:r>
      <w:r w:rsidRPr="00A35F4D">
        <w:rPr>
          <w:kern w:val="22"/>
        </w:rPr>
        <w:tab/>
      </w:r>
      <w:r w:rsidRPr="00A35F4D">
        <w:rPr>
          <w:i/>
          <w:kern w:val="22"/>
        </w:rPr>
        <w:t>Urges</w:t>
      </w:r>
      <w:r w:rsidRPr="00A35F4D">
        <w:rPr>
          <w:kern w:val="22"/>
        </w:rPr>
        <w:t xml:space="preserve"> Parties to the Convention that are not yet Parties to the Nagoya Protocol to report on access and benefit-sharing implementation in their sixth national reports;</w:t>
      </w:r>
    </w:p>
    <w:p w14:paraId="7FD3E7FA" w14:textId="0AF35EDD" w:rsidR="00C62564" w:rsidRPr="00A35F4D" w:rsidRDefault="00A7689D" w:rsidP="00FA33A5">
      <w:pPr>
        <w:pStyle w:val="Para1"/>
        <w:numPr>
          <w:ilvl w:val="0"/>
          <w:numId w:val="0"/>
        </w:numPr>
        <w:suppressLineNumbers/>
        <w:suppressAutoHyphens/>
        <w:ind w:firstLine="720"/>
        <w:rPr>
          <w:kern w:val="22"/>
        </w:rPr>
      </w:pPr>
      <w:r w:rsidRPr="00A35F4D">
        <w:rPr>
          <w:kern w:val="22"/>
        </w:rPr>
        <w:t>11.</w:t>
      </w:r>
      <w:r w:rsidRPr="00A35F4D">
        <w:rPr>
          <w:kern w:val="22"/>
        </w:rPr>
        <w:tab/>
      </w:r>
      <w:r w:rsidRPr="00A35F4D">
        <w:rPr>
          <w:i/>
          <w:kern w:val="22"/>
        </w:rPr>
        <w:t>Reiterates</w:t>
      </w:r>
      <w:r w:rsidRPr="00A35F4D">
        <w:rPr>
          <w:kern w:val="22"/>
        </w:rPr>
        <w:t xml:space="preserve"> the need for capacity-building and development activities as well as financial resources to support ratification and effective implementation of the Nagoya Protocol, and </w:t>
      </w:r>
      <w:r w:rsidRPr="00A35F4D">
        <w:rPr>
          <w:i/>
          <w:kern w:val="22"/>
        </w:rPr>
        <w:t xml:space="preserve">invites </w:t>
      </w:r>
      <w:r w:rsidRPr="00A35F4D">
        <w:rPr>
          <w:kern w:val="22"/>
        </w:rPr>
        <w:t>Governments and relevant organizations, where possible, to provide technical and financial support;</w:t>
      </w:r>
    </w:p>
    <w:p w14:paraId="0A32E5D2" w14:textId="42FC60D0" w:rsidR="00A7689D" w:rsidRPr="00A35F4D" w:rsidRDefault="00A7689D" w:rsidP="00FA33A5">
      <w:pPr>
        <w:pStyle w:val="Para1"/>
        <w:numPr>
          <w:ilvl w:val="0"/>
          <w:numId w:val="0"/>
        </w:numPr>
        <w:suppressLineNumbers/>
        <w:suppressAutoHyphens/>
        <w:ind w:firstLine="720"/>
        <w:rPr>
          <w:kern w:val="22"/>
        </w:rPr>
      </w:pPr>
      <w:r w:rsidRPr="00A35F4D">
        <w:rPr>
          <w:kern w:val="22"/>
        </w:rPr>
        <w:t>12.</w:t>
      </w:r>
      <w:r w:rsidRPr="00A35F4D">
        <w:rPr>
          <w:kern w:val="22"/>
        </w:rPr>
        <w:tab/>
      </w:r>
      <w:r w:rsidRPr="00A35F4D">
        <w:rPr>
          <w:i/>
          <w:kern w:val="22"/>
        </w:rPr>
        <w:t>Encourages</w:t>
      </w:r>
      <w:r w:rsidRPr="00A35F4D">
        <w:rPr>
          <w:kern w:val="22"/>
        </w:rPr>
        <w:t xml:space="preserve"> Parties to consider further integration of access and benefit-sharing into other areas of work under the Convention as part of discussions on the post-2020 global biodiversity framework;</w:t>
      </w:r>
    </w:p>
    <w:p w14:paraId="53A59B05" w14:textId="5D9045F4" w:rsidR="00315342" w:rsidRPr="00A35F4D" w:rsidRDefault="00A7689D" w:rsidP="00FA33A5">
      <w:pPr>
        <w:pStyle w:val="Para1"/>
        <w:numPr>
          <w:ilvl w:val="0"/>
          <w:numId w:val="0"/>
        </w:numPr>
        <w:suppressLineNumbers/>
        <w:suppressAutoHyphens/>
        <w:ind w:firstLine="720"/>
        <w:rPr>
          <w:kern w:val="22"/>
        </w:rPr>
      </w:pPr>
      <w:r w:rsidRPr="00A35F4D">
        <w:rPr>
          <w:kern w:val="22"/>
        </w:rPr>
        <w:t>13.</w:t>
      </w:r>
      <w:r w:rsidRPr="00A35F4D">
        <w:rPr>
          <w:kern w:val="22"/>
        </w:rPr>
        <w:tab/>
      </w:r>
      <w:r w:rsidRPr="00A35F4D">
        <w:rPr>
          <w:i/>
          <w:kern w:val="22"/>
        </w:rPr>
        <w:t>Requests</w:t>
      </w:r>
      <w:r w:rsidRPr="00A35F4D">
        <w:rPr>
          <w:kern w:val="22"/>
        </w:rPr>
        <w:t xml:space="preserve"> the Executive Secretary to continue efforts to integrate access and benefit-sharing</w:t>
      </w:r>
      <w:r w:rsidR="001661D7" w:rsidRPr="00A35F4D">
        <w:rPr>
          <w:kern w:val="22"/>
        </w:rPr>
        <w:t xml:space="preserve">, including issues related to </w:t>
      </w:r>
      <w:r w:rsidR="00A8035A" w:rsidRPr="00A35F4D">
        <w:rPr>
          <w:kern w:val="22"/>
        </w:rPr>
        <w:t xml:space="preserve">the </w:t>
      </w:r>
      <w:r w:rsidR="001661D7" w:rsidRPr="00A35F4D">
        <w:rPr>
          <w:kern w:val="22"/>
        </w:rPr>
        <w:t xml:space="preserve">traditional knowledge associated with genetic resources </w:t>
      </w:r>
      <w:r w:rsidR="0077349D" w:rsidRPr="00A35F4D">
        <w:rPr>
          <w:kern w:val="22"/>
        </w:rPr>
        <w:t xml:space="preserve">held by </w:t>
      </w:r>
      <w:r w:rsidR="001661D7" w:rsidRPr="00A35F4D">
        <w:rPr>
          <w:kern w:val="22"/>
        </w:rPr>
        <w:t>indigenous peoples and local communities,</w:t>
      </w:r>
      <w:r w:rsidRPr="00A35F4D">
        <w:rPr>
          <w:kern w:val="22"/>
        </w:rPr>
        <w:t xml:space="preserve"> across the work of the Secretariat</w:t>
      </w:r>
      <w:r w:rsidR="00315342" w:rsidRPr="00A35F4D">
        <w:rPr>
          <w:kern w:val="22"/>
        </w:rPr>
        <w:t>;</w:t>
      </w:r>
    </w:p>
    <w:p w14:paraId="629CD389" w14:textId="1E57CADC" w:rsidR="00315342" w:rsidRPr="00A35F4D" w:rsidRDefault="00315342" w:rsidP="00FA33A5">
      <w:pPr>
        <w:pStyle w:val="Para1"/>
        <w:numPr>
          <w:ilvl w:val="0"/>
          <w:numId w:val="0"/>
        </w:numPr>
        <w:suppressLineNumbers/>
        <w:suppressAutoHyphens/>
        <w:ind w:firstLine="720"/>
        <w:rPr>
          <w:kern w:val="22"/>
        </w:rPr>
      </w:pPr>
      <w:r w:rsidRPr="00A35F4D">
        <w:rPr>
          <w:kern w:val="22"/>
        </w:rPr>
        <w:t>1</w:t>
      </w:r>
      <w:r w:rsidR="00236828" w:rsidRPr="00A35F4D">
        <w:rPr>
          <w:kern w:val="22"/>
        </w:rPr>
        <w:t>4</w:t>
      </w:r>
      <w:r w:rsidRPr="00A35F4D">
        <w:rPr>
          <w:kern w:val="22"/>
        </w:rPr>
        <w:t>.</w:t>
      </w:r>
      <w:r w:rsidR="00D6110C" w:rsidRPr="00A35F4D">
        <w:rPr>
          <w:i/>
          <w:kern w:val="22"/>
        </w:rPr>
        <w:tab/>
        <w:t>Also r</w:t>
      </w:r>
      <w:r w:rsidRPr="00A35F4D">
        <w:rPr>
          <w:i/>
          <w:kern w:val="22"/>
        </w:rPr>
        <w:t>equests</w:t>
      </w:r>
      <w:r w:rsidRPr="00A35F4D">
        <w:rPr>
          <w:kern w:val="22"/>
        </w:rPr>
        <w:t xml:space="preserve"> the Executive </w:t>
      </w:r>
      <w:proofErr w:type="gramStart"/>
      <w:r w:rsidRPr="00A35F4D">
        <w:rPr>
          <w:kern w:val="22"/>
        </w:rPr>
        <w:t>Secretary, and</w:t>
      </w:r>
      <w:proofErr w:type="gramEnd"/>
      <w:r w:rsidRPr="00A35F4D">
        <w:rPr>
          <w:kern w:val="22"/>
        </w:rPr>
        <w:t xml:space="preserve"> </w:t>
      </w:r>
      <w:r w:rsidRPr="00A35F4D">
        <w:rPr>
          <w:i/>
          <w:kern w:val="22"/>
        </w:rPr>
        <w:t>encourages</w:t>
      </w:r>
      <w:r w:rsidRPr="00A35F4D">
        <w:rPr>
          <w:kern w:val="22"/>
        </w:rPr>
        <w:t xml:space="preserve"> Parties and relevant organizations in a position to do so</w:t>
      </w:r>
      <w:r w:rsidR="00F33DC9" w:rsidRPr="00A35F4D">
        <w:rPr>
          <w:kern w:val="22"/>
        </w:rPr>
        <w:t>,</w:t>
      </w:r>
      <w:r w:rsidRPr="00A35F4D">
        <w:rPr>
          <w:kern w:val="22"/>
        </w:rPr>
        <w:t xml:space="preserve"> to support Parties in efforts to integrate access and benefit-sharing across various sectors at the national level</w:t>
      </w:r>
      <w:r w:rsidR="00F33DC9" w:rsidRPr="00A35F4D">
        <w:rPr>
          <w:kern w:val="22"/>
        </w:rPr>
        <w:t>.</w:t>
      </w:r>
    </w:p>
    <w:p w14:paraId="02531827" w14:textId="3B2160CA" w:rsidR="00C9161D" w:rsidRPr="00A35F4D" w:rsidRDefault="00C9161D" w:rsidP="00FA33A5">
      <w:pPr>
        <w:suppressLineNumbers/>
        <w:suppressAutoHyphens/>
        <w:jc w:val="center"/>
        <w:rPr>
          <w:kern w:val="22"/>
        </w:rPr>
      </w:pPr>
      <w:r w:rsidRPr="00A35F4D">
        <w:rPr>
          <w:kern w:val="22"/>
        </w:rPr>
        <w:t>______</w:t>
      </w:r>
      <w:r w:rsidR="001C1AFE" w:rsidRPr="00A35F4D">
        <w:rPr>
          <w:kern w:val="22"/>
        </w:rPr>
        <w:t>____</w:t>
      </w:r>
    </w:p>
    <w:p w14:paraId="48D24824" w14:textId="77777777" w:rsidR="00B3369F" w:rsidRPr="00A35F4D" w:rsidRDefault="00B3369F" w:rsidP="00FA33A5">
      <w:pPr>
        <w:suppressLineNumbers/>
        <w:suppressAutoHyphens/>
        <w:rPr>
          <w:kern w:val="22"/>
        </w:rPr>
      </w:pPr>
    </w:p>
    <w:sectPr w:rsidR="00B3369F" w:rsidRPr="00A35F4D"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D620A" w14:textId="77777777" w:rsidR="00B13D97" w:rsidRDefault="00B13D97" w:rsidP="00CF1848">
      <w:r>
        <w:separator/>
      </w:r>
    </w:p>
  </w:endnote>
  <w:endnote w:type="continuationSeparator" w:id="0">
    <w:p w14:paraId="7B6A163F" w14:textId="77777777" w:rsidR="00B13D97" w:rsidRDefault="00B13D97"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D82F1E" w14:textId="77777777" w:rsidR="00B13D97" w:rsidRDefault="00B13D97" w:rsidP="00CF1848">
      <w:r>
        <w:separator/>
      </w:r>
    </w:p>
  </w:footnote>
  <w:footnote w:type="continuationSeparator" w:id="0">
    <w:p w14:paraId="77807FA7" w14:textId="77777777" w:rsidR="00B13D97" w:rsidRDefault="00B13D97" w:rsidP="00CF1848">
      <w:r>
        <w:continuationSeparator/>
      </w:r>
    </w:p>
  </w:footnote>
  <w:footnote w:id="1">
    <w:p w14:paraId="4569C004" w14:textId="0982D0D1" w:rsidR="00843930" w:rsidRPr="00FA33A5" w:rsidRDefault="00843930" w:rsidP="00FA33A5">
      <w:pPr>
        <w:pStyle w:val="FootnoteText"/>
        <w:kinsoku w:val="0"/>
        <w:overflowPunct w:val="0"/>
        <w:autoSpaceDE w:val="0"/>
        <w:autoSpaceDN w:val="0"/>
        <w:ind w:firstLine="0"/>
        <w:jc w:val="left"/>
        <w:rPr>
          <w:kern w:val="18"/>
          <w:szCs w:val="18"/>
          <w:lang w:val="en-US"/>
        </w:rPr>
      </w:pPr>
      <w:r w:rsidRPr="00FA33A5">
        <w:rPr>
          <w:rStyle w:val="FootnoteReference"/>
          <w:kern w:val="18"/>
          <w:sz w:val="18"/>
          <w:szCs w:val="18"/>
        </w:rPr>
        <w:footnoteRef/>
      </w:r>
      <w:r w:rsidRPr="00FA33A5">
        <w:rPr>
          <w:kern w:val="18"/>
          <w:szCs w:val="18"/>
        </w:rPr>
        <w:t xml:space="preserve"> Decision XII/29, para</w:t>
      </w:r>
      <w:r>
        <w:rPr>
          <w:kern w:val="18"/>
          <w:szCs w:val="18"/>
        </w:rPr>
        <w:t>. </w:t>
      </w:r>
      <w:r w:rsidRPr="00FA33A5">
        <w:rPr>
          <w:kern w:val="18"/>
          <w:szCs w:val="18"/>
        </w:rPr>
        <w:t>9, and decision BS-VII/5, para.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7863E20B" w:rsidR="00843930" w:rsidRPr="00A35F4D" w:rsidRDefault="00FC46DC" w:rsidP="00FA33A5">
        <w:pPr>
          <w:pStyle w:val="Header"/>
          <w:tabs>
            <w:tab w:val="clear" w:pos="4320"/>
            <w:tab w:val="clear" w:pos="8640"/>
          </w:tabs>
          <w:jc w:val="left"/>
          <w:rPr>
            <w:noProof/>
            <w:kern w:val="22"/>
          </w:rPr>
        </w:pPr>
        <w:r w:rsidRPr="00A35F4D">
          <w:rPr>
            <w:noProof/>
            <w:kern w:val="22"/>
          </w:rPr>
          <w:t>CBD/COP/DEC/14/31</w:t>
        </w:r>
      </w:p>
    </w:sdtContent>
  </w:sdt>
  <w:p w14:paraId="57597240" w14:textId="6CC3084B" w:rsidR="00843930" w:rsidRPr="00A35F4D" w:rsidRDefault="00843930" w:rsidP="00FA33A5">
    <w:pPr>
      <w:pStyle w:val="Header"/>
      <w:tabs>
        <w:tab w:val="clear" w:pos="4320"/>
        <w:tab w:val="clear" w:pos="8640"/>
      </w:tabs>
      <w:jc w:val="left"/>
      <w:rPr>
        <w:noProof/>
        <w:kern w:val="22"/>
      </w:rPr>
    </w:pPr>
    <w:r w:rsidRPr="00A35F4D">
      <w:rPr>
        <w:noProof/>
        <w:kern w:val="22"/>
      </w:rPr>
      <w:t xml:space="preserve">Page </w:t>
    </w:r>
    <w:r w:rsidRPr="008168A3">
      <w:rPr>
        <w:noProof/>
        <w:kern w:val="22"/>
      </w:rPr>
      <w:fldChar w:fldCharType="begin"/>
    </w:r>
    <w:r w:rsidRPr="00A35F4D">
      <w:rPr>
        <w:noProof/>
        <w:kern w:val="22"/>
      </w:rPr>
      <w:instrText xml:space="preserve"> PAGE   \* MERGEFORMAT </w:instrText>
    </w:r>
    <w:r w:rsidRPr="00A35F4D">
      <w:rPr>
        <w:noProof/>
        <w:kern w:val="22"/>
      </w:rPr>
      <w:fldChar w:fldCharType="separate"/>
    </w:r>
    <w:r w:rsidR="004F7D0C" w:rsidRPr="00A35F4D">
      <w:rPr>
        <w:noProof/>
        <w:kern w:val="22"/>
      </w:rPr>
      <w:t>2</w:t>
    </w:r>
    <w:r w:rsidRPr="00A35F4D">
      <w:rPr>
        <w:noProof/>
        <w:kern w:val="22"/>
      </w:rPr>
      <w:fldChar w:fldCharType="end"/>
    </w:r>
  </w:p>
  <w:p w14:paraId="1D80EB20" w14:textId="77777777" w:rsidR="00843930" w:rsidRPr="00A35F4D" w:rsidRDefault="00843930" w:rsidP="00FA33A5">
    <w:pPr>
      <w:pStyle w:val="Header"/>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9C61189" w14:textId="56CC0AF2" w:rsidR="00843930" w:rsidRPr="00AF0778" w:rsidRDefault="00FC46DC" w:rsidP="009505C9">
        <w:pPr>
          <w:pStyle w:val="Header"/>
          <w:jc w:val="right"/>
          <w:rPr>
            <w:lang w:val="fr-FR"/>
          </w:rPr>
        </w:pPr>
        <w:r>
          <w:rPr>
            <w:lang w:val="fr-FR"/>
          </w:rPr>
          <w:t>CBD/COP/DEC/14/31</w:t>
        </w:r>
      </w:p>
    </w:sdtContent>
  </w:sdt>
  <w:p w14:paraId="7E9B8683" w14:textId="77777777" w:rsidR="00843930" w:rsidRPr="00000614" w:rsidRDefault="00843930"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843930" w:rsidRPr="00000614" w:rsidRDefault="00843930">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proofState w:spelling="clean" w:grammar="clean"/>
  <w:revisionView w:markup="0"/>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45702"/>
    <w:rsid w:val="00053E08"/>
    <w:rsid w:val="000571C2"/>
    <w:rsid w:val="00065935"/>
    <w:rsid w:val="000D77F1"/>
    <w:rsid w:val="000E673A"/>
    <w:rsid w:val="000F74F5"/>
    <w:rsid w:val="00105372"/>
    <w:rsid w:val="00131E7A"/>
    <w:rsid w:val="001661D7"/>
    <w:rsid w:val="00172AF6"/>
    <w:rsid w:val="00176CEE"/>
    <w:rsid w:val="001B23E4"/>
    <w:rsid w:val="001C1AFE"/>
    <w:rsid w:val="001F527E"/>
    <w:rsid w:val="001F590B"/>
    <w:rsid w:val="00236828"/>
    <w:rsid w:val="00272C8A"/>
    <w:rsid w:val="00315342"/>
    <w:rsid w:val="0036588C"/>
    <w:rsid w:val="00372F74"/>
    <w:rsid w:val="003A4318"/>
    <w:rsid w:val="003A4B7D"/>
    <w:rsid w:val="003B3CFF"/>
    <w:rsid w:val="003F572C"/>
    <w:rsid w:val="003F7224"/>
    <w:rsid w:val="00405146"/>
    <w:rsid w:val="00407620"/>
    <w:rsid w:val="0042412C"/>
    <w:rsid w:val="00427D21"/>
    <w:rsid w:val="004644C2"/>
    <w:rsid w:val="00467F9C"/>
    <w:rsid w:val="004C0449"/>
    <w:rsid w:val="004D1127"/>
    <w:rsid w:val="004F7D0C"/>
    <w:rsid w:val="0051125E"/>
    <w:rsid w:val="00512E45"/>
    <w:rsid w:val="00534681"/>
    <w:rsid w:val="005662B1"/>
    <w:rsid w:val="00590C10"/>
    <w:rsid w:val="005B650F"/>
    <w:rsid w:val="005D32BD"/>
    <w:rsid w:val="005E3A6D"/>
    <w:rsid w:val="005E61DE"/>
    <w:rsid w:val="006122BA"/>
    <w:rsid w:val="0061445E"/>
    <w:rsid w:val="00614F6D"/>
    <w:rsid w:val="006342E5"/>
    <w:rsid w:val="006612C0"/>
    <w:rsid w:val="006709D3"/>
    <w:rsid w:val="006B2290"/>
    <w:rsid w:val="007126E7"/>
    <w:rsid w:val="00717D88"/>
    <w:rsid w:val="00732C0D"/>
    <w:rsid w:val="0077349D"/>
    <w:rsid w:val="00790CCD"/>
    <w:rsid w:val="007942D3"/>
    <w:rsid w:val="007A7D0A"/>
    <w:rsid w:val="007B0052"/>
    <w:rsid w:val="007B6C09"/>
    <w:rsid w:val="007E09DA"/>
    <w:rsid w:val="008168A3"/>
    <w:rsid w:val="008178B6"/>
    <w:rsid w:val="00843930"/>
    <w:rsid w:val="00865B74"/>
    <w:rsid w:val="00930BA1"/>
    <w:rsid w:val="00930ECC"/>
    <w:rsid w:val="0093169E"/>
    <w:rsid w:val="009505C9"/>
    <w:rsid w:val="009A4C7D"/>
    <w:rsid w:val="009B4879"/>
    <w:rsid w:val="009C200D"/>
    <w:rsid w:val="00A0089B"/>
    <w:rsid w:val="00A25908"/>
    <w:rsid w:val="00A35F4D"/>
    <w:rsid w:val="00A54132"/>
    <w:rsid w:val="00A7689D"/>
    <w:rsid w:val="00A8035A"/>
    <w:rsid w:val="00AF0778"/>
    <w:rsid w:val="00B00400"/>
    <w:rsid w:val="00B13D97"/>
    <w:rsid w:val="00B21819"/>
    <w:rsid w:val="00B3080B"/>
    <w:rsid w:val="00B3369F"/>
    <w:rsid w:val="00B63125"/>
    <w:rsid w:val="00BD611A"/>
    <w:rsid w:val="00C114BE"/>
    <w:rsid w:val="00C62564"/>
    <w:rsid w:val="00C63CC8"/>
    <w:rsid w:val="00C86FA9"/>
    <w:rsid w:val="00C9161D"/>
    <w:rsid w:val="00CA14DC"/>
    <w:rsid w:val="00CB65E7"/>
    <w:rsid w:val="00CD427B"/>
    <w:rsid w:val="00CF1848"/>
    <w:rsid w:val="00CF3A0B"/>
    <w:rsid w:val="00D0211E"/>
    <w:rsid w:val="00D0439C"/>
    <w:rsid w:val="00D12044"/>
    <w:rsid w:val="00D31D99"/>
    <w:rsid w:val="00D3348E"/>
    <w:rsid w:val="00D443C1"/>
    <w:rsid w:val="00D6110C"/>
    <w:rsid w:val="00D64928"/>
    <w:rsid w:val="00D76A18"/>
    <w:rsid w:val="00D8410A"/>
    <w:rsid w:val="00DB4943"/>
    <w:rsid w:val="00DC615B"/>
    <w:rsid w:val="00DD118C"/>
    <w:rsid w:val="00DD4A94"/>
    <w:rsid w:val="00DD76FA"/>
    <w:rsid w:val="00E26D04"/>
    <w:rsid w:val="00E308F9"/>
    <w:rsid w:val="00E66235"/>
    <w:rsid w:val="00E83C24"/>
    <w:rsid w:val="00E9318D"/>
    <w:rsid w:val="00EC636C"/>
    <w:rsid w:val="00EE5485"/>
    <w:rsid w:val="00F33DC9"/>
    <w:rsid w:val="00F5489B"/>
    <w:rsid w:val="00F77389"/>
    <w:rsid w:val="00F94774"/>
    <w:rsid w:val="00FA33A5"/>
    <w:rsid w:val="00FC2BF4"/>
    <w:rsid w:val="00FC46DC"/>
    <w:rsid w:val="00FC53DB"/>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59608F0"/>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5E3A6D"/>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E3A6D"/>
    <w:rPr>
      <w:rFonts w:ascii="Times New Roman" w:eastAsia="Times New Roman" w:hAnsi="Times New Roman" w:cs="Times New Roman"/>
      <w:b/>
      <w:bCs/>
      <w:sz w:val="20"/>
      <w:szCs w:val="20"/>
      <w:lang w:val="en-GB"/>
    </w:rPr>
  </w:style>
  <w:style w:type="paragraph" w:styleId="Revision">
    <w:name w:val="Revision"/>
    <w:hidden/>
    <w:uiPriority w:val="99"/>
    <w:semiHidden/>
    <w:rsid w:val="001B23E4"/>
    <w:rPr>
      <w:rFonts w:ascii="Times New Roman" w:eastAsia="Times New Roman" w:hAnsi="Times New Roman" w:cs="Times New Roman"/>
      <w:sz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B21819"/>
    <w:pPr>
      <w:spacing w:after="160" w:line="240" w:lineRule="exac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993E383E59AF4AD4AD2BFA535CAECC3D"/>
        <w:category>
          <w:name w:val="General"/>
          <w:gallery w:val="placeholder"/>
        </w:category>
        <w:types>
          <w:type w:val="bbPlcHdr"/>
        </w:types>
        <w:behaviors>
          <w:behavior w:val="content"/>
        </w:behaviors>
        <w:guid w:val="{7CEE7CC3-CE7E-469D-B268-52D0F219F279}"/>
      </w:docPartPr>
      <w:docPartBody>
        <w:p w:rsidR="002B3842" w:rsidRDefault="00D57689" w:rsidP="00D57689">
          <w:pPr>
            <w:pStyle w:val="993E383E59AF4AD4AD2BFA535CAECC3D"/>
          </w:pPr>
          <w:r w:rsidRPr="007E02EB">
            <w:rPr>
              <w:rStyle w:val="PlaceholderText"/>
            </w:rPr>
            <w:t>[Status]</w:t>
          </w:r>
        </w:p>
      </w:docPartBody>
    </w:docPart>
    <w:docPart>
      <w:docPartPr>
        <w:name w:val="D980B1FF6C544157B44D36CB04ED9D07"/>
        <w:category>
          <w:name w:val="General"/>
          <w:gallery w:val="placeholder"/>
        </w:category>
        <w:types>
          <w:type w:val="bbPlcHdr"/>
        </w:types>
        <w:behaviors>
          <w:behavior w:val="content"/>
        </w:behaviors>
        <w:guid w:val="{D88DB074-9222-441A-91F6-0D842645C875}"/>
      </w:docPartPr>
      <w:docPartBody>
        <w:p w:rsidR="002B3842" w:rsidRDefault="00D57689" w:rsidP="00D57689">
          <w:pPr>
            <w:pStyle w:val="D980B1FF6C544157B44D36CB04ED9D07"/>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67EBB"/>
    <w:rsid w:val="00111C5F"/>
    <w:rsid w:val="00261E9A"/>
    <w:rsid w:val="002B3842"/>
    <w:rsid w:val="00500A2B"/>
    <w:rsid w:val="0052248F"/>
    <w:rsid w:val="0058288D"/>
    <w:rsid w:val="005A786D"/>
    <w:rsid w:val="00643BAB"/>
    <w:rsid w:val="006801B3"/>
    <w:rsid w:val="006B5CB3"/>
    <w:rsid w:val="00720F63"/>
    <w:rsid w:val="007F1B76"/>
    <w:rsid w:val="00810A55"/>
    <w:rsid w:val="0087612D"/>
    <w:rsid w:val="008C6619"/>
    <w:rsid w:val="008D420E"/>
    <w:rsid w:val="0098642F"/>
    <w:rsid w:val="00B81E9E"/>
    <w:rsid w:val="00CA0AB5"/>
    <w:rsid w:val="00CE6602"/>
    <w:rsid w:val="00D57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689"/>
    <w:rPr>
      <w:color w:val="808080"/>
    </w:rPr>
  </w:style>
  <w:style w:type="paragraph" w:customStyle="1" w:styleId="C444DEE40D7C456B82AF1A09CD132ABF">
    <w:name w:val="C444DEE40D7C456B82AF1A09CD132ABF"/>
    <w:rsid w:val="00CE6602"/>
    <w:pPr>
      <w:spacing w:after="160" w:line="259" w:lineRule="auto"/>
    </w:pPr>
  </w:style>
  <w:style w:type="paragraph" w:customStyle="1" w:styleId="1AC7CB2F123A4AF387E86E19A9774457">
    <w:name w:val="1AC7CB2F123A4AF387E86E19A9774457"/>
    <w:rsid w:val="00B81E9E"/>
    <w:pPr>
      <w:spacing w:after="160" w:line="259" w:lineRule="auto"/>
    </w:pPr>
    <w:rPr>
      <w:lang w:val="en-CA" w:eastAsia="en-CA"/>
    </w:rPr>
  </w:style>
  <w:style w:type="paragraph" w:customStyle="1" w:styleId="A659F3D049CE4AB78BB13D670E0A15D0">
    <w:name w:val="A659F3D049CE4AB78BB13D670E0A15D0"/>
    <w:rsid w:val="00B81E9E"/>
    <w:pPr>
      <w:spacing w:after="160" w:line="259" w:lineRule="auto"/>
    </w:pPr>
    <w:rPr>
      <w:lang w:val="en-CA" w:eastAsia="en-CA"/>
    </w:rPr>
  </w:style>
  <w:style w:type="paragraph" w:customStyle="1" w:styleId="993E383E59AF4AD4AD2BFA535CAECC3D">
    <w:name w:val="993E383E59AF4AD4AD2BFA535CAECC3D"/>
    <w:rsid w:val="00D57689"/>
    <w:pPr>
      <w:spacing w:after="160" w:line="259" w:lineRule="auto"/>
    </w:pPr>
    <w:rPr>
      <w:lang w:val="en-CA" w:eastAsia="en-CA"/>
    </w:rPr>
  </w:style>
  <w:style w:type="paragraph" w:customStyle="1" w:styleId="D980B1FF6C544157B44D36CB04ED9D07">
    <w:name w:val="D980B1FF6C544157B44D36CB04ED9D07"/>
    <w:rsid w:val="00D57689"/>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29E5BD-D365-4D76-8DF8-15430E2C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14/31.	Enhancing integration under the Convention and its Protocols with respect to provisions related to biosafety and access and benefit-sharing</vt:lpstr>
    </vt:vector>
  </TitlesOfParts>
  <Company>SCBD</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14/31.	Enhancing integration under the Convention and its Protocols with respect to provisions related to biosafety and access and benefit-sharing</dc:title>
  <dc:subject>CBD/COP/DEC/14/31</dc:subject>
  <dc:creator>COP 14</dc:creator>
  <cp:keywords>Enhancing integration under the Convention and its Protocols with respect to provisions related to access and benefit-sharing, biosafety, and Article 8(j) and related provisions, Convention on Biological Diversity</cp:keywords>
  <cp:lastModifiedBy>Orestes Plasencia</cp:lastModifiedBy>
  <cp:revision>2</cp:revision>
  <dcterms:created xsi:type="dcterms:W3CDTF">2018-12-17T22:44:00Z</dcterms:created>
  <dcterms:modified xsi:type="dcterms:W3CDTF">2018-12-17T22:44:00Z</dcterms:modified>
  <cp:contentStatus>GENERAL</cp:contentStatus>
</cp:coreProperties>
</file>