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31B38" w:rsidRPr="00876327" w14:paraId="6FA471F1" w14:textId="77777777" w:rsidTr="00D31B38">
        <w:trPr>
          <w:trHeight w:val="709"/>
        </w:trPr>
        <w:tc>
          <w:tcPr>
            <w:tcW w:w="976" w:type="dxa"/>
            <w:tcBorders>
              <w:top w:val="nil"/>
              <w:left w:val="nil"/>
              <w:bottom w:val="single" w:sz="12" w:space="0" w:color="auto"/>
              <w:right w:val="nil"/>
            </w:tcBorders>
            <w:hideMark/>
          </w:tcPr>
          <w:p w14:paraId="243EEBF1" w14:textId="6371071B" w:rsidR="00D31B38" w:rsidRPr="00876327" w:rsidRDefault="00D31B38">
            <w:pPr>
              <w:rPr>
                <w:kern w:val="22"/>
              </w:rPr>
            </w:pPr>
            <w:r w:rsidRPr="00876327">
              <w:rPr>
                <w:noProof/>
                <w:kern w:val="22"/>
              </w:rPr>
              <w:drawing>
                <wp:inline distT="0" distB="0" distL="0" distR="0" wp14:anchorId="7619E0BB" wp14:editId="61D5D59E">
                  <wp:extent cx="478155" cy="401320"/>
                  <wp:effectExtent l="0" t="0" r="0"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 cy="401320"/>
                          </a:xfrm>
                          <a:prstGeom prst="rect">
                            <a:avLst/>
                          </a:prstGeom>
                          <a:noFill/>
                          <a:ln>
                            <a:noFill/>
                          </a:ln>
                        </pic:spPr>
                      </pic:pic>
                    </a:graphicData>
                  </a:graphic>
                </wp:inline>
              </w:drawing>
            </w:r>
          </w:p>
        </w:tc>
        <w:tc>
          <w:tcPr>
            <w:tcW w:w="5141" w:type="dxa"/>
            <w:tcBorders>
              <w:top w:val="nil"/>
              <w:left w:val="nil"/>
              <w:bottom w:val="single" w:sz="12" w:space="0" w:color="auto"/>
              <w:right w:val="nil"/>
            </w:tcBorders>
            <w:hideMark/>
          </w:tcPr>
          <w:p w14:paraId="1CEE484E" w14:textId="3C04CC60" w:rsidR="00D31B38" w:rsidRPr="00876327" w:rsidRDefault="00D31B38">
            <w:pPr>
              <w:rPr>
                <w:kern w:val="22"/>
              </w:rPr>
            </w:pPr>
            <w:r w:rsidRPr="00876327">
              <w:rPr>
                <w:noProof/>
                <w:kern w:val="22"/>
              </w:rPr>
              <w:drawing>
                <wp:inline distT="0" distB="0" distL="0" distR="0" wp14:anchorId="59CF5ECB" wp14:editId="09311BD1">
                  <wp:extent cx="342265" cy="401320"/>
                  <wp:effectExtent l="0" t="0" r="635"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265" cy="40132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14:paraId="7C58A44F" w14:textId="77777777" w:rsidR="00D31B38" w:rsidRPr="00876327" w:rsidRDefault="00D31B38">
            <w:pPr>
              <w:jc w:val="right"/>
              <w:rPr>
                <w:rFonts w:ascii="Arial" w:hAnsi="Arial" w:cs="Arial"/>
                <w:b/>
                <w:kern w:val="22"/>
                <w:sz w:val="32"/>
                <w:szCs w:val="32"/>
              </w:rPr>
            </w:pPr>
            <w:r w:rsidRPr="00876327">
              <w:rPr>
                <w:rFonts w:ascii="Arial" w:hAnsi="Arial" w:cs="Arial"/>
                <w:b/>
                <w:kern w:val="22"/>
                <w:sz w:val="32"/>
                <w:szCs w:val="32"/>
              </w:rPr>
              <w:t>CBD</w:t>
            </w:r>
          </w:p>
        </w:tc>
      </w:tr>
      <w:tr w:rsidR="00D31B38" w:rsidRPr="00876327" w14:paraId="73C7C96E" w14:textId="77777777" w:rsidTr="00D31B38">
        <w:tc>
          <w:tcPr>
            <w:tcW w:w="6117" w:type="dxa"/>
            <w:gridSpan w:val="2"/>
            <w:tcBorders>
              <w:top w:val="single" w:sz="12" w:space="0" w:color="auto"/>
              <w:left w:val="nil"/>
              <w:bottom w:val="single" w:sz="36" w:space="0" w:color="auto"/>
              <w:right w:val="nil"/>
            </w:tcBorders>
            <w:vAlign w:val="center"/>
            <w:hideMark/>
          </w:tcPr>
          <w:p w14:paraId="12B42583" w14:textId="648C73BC" w:rsidR="00D31B38" w:rsidRPr="00876327" w:rsidRDefault="00D31B38">
            <w:pPr>
              <w:rPr>
                <w:kern w:val="22"/>
              </w:rPr>
            </w:pPr>
            <w:r w:rsidRPr="00876327">
              <w:rPr>
                <w:noProof/>
                <w:kern w:val="22"/>
              </w:rPr>
              <w:drawing>
                <wp:inline distT="0" distB="0" distL="0" distR="0" wp14:anchorId="03746B24" wp14:editId="123A6048">
                  <wp:extent cx="2890520" cy="1079500"/>
                  <wp:effectExtent l="0" t="0" r="0" b="6350"/>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0520" cy="1079500"/>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14:paraId="240FC8EA" w14:textId="77777777" w:rsidR="00D31B38" w:rsidRPr="00876327" w:rsidRDefault="00D31B38">
            <w:pPr>
              <w:ind w:left="1215"/>
              <w:rPr>
                <w:kern w:val="22"/>
                <w:szCs w:val="22"/>
              </w:rPr>
            </w:pPr>
            <w:r w:rsidRPr="00876327">
              <w:rPr>
                <w:kern w:val="22"/>
                <w:szCs w:val="22"/>
              </w:rPr>
              <w:t>Distr.</w:t>
            </w:r>
          </w:p>
          <w:p w14:paraId="0C9B86F0" w14:textId="35637613" w:rsidR="00D31B38" w:rsidRPr="00876327" w:rsidRDefault="008B0CB7">
            <w:pPr>
              <w:ind w:left="1215"/>
              <w:rPr>
                <w:kern w:val="22"/>
                <w:szCs w:val="22"/>
              </w:rPr>
            </w:pPr>
            <w:sdt>
              <w:sdtPr>
                <w:rPr>
                  <w:kern w:val="22"/>
                  <w:szCs w:val="22"/>
                </w:rPr>
                <w:alias w:val="Status"/>
                <w:id w:val="307985777"/>
                <w:placeholder>
                  <w:docPart w:val="718FB3F2CB054496830914C92368C42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640B0" w:rsidRPr="00876327">
                  <w:rPr>
                    <w:kern w:val="22"/>
                    <w:szCs w:val="22"/>
                  </w:rPr>
                  <w:t>GENERAL</w:t>
                </w:r>
              </w:sdtContent>
            </w:sdt>
          </w:p>
          <w:p w14:paraId="45945511" w14:textId="77777777" w:rsidR="00D31B38" w:rsidRPr="00876327" w:rsidRDefault="00D31B38">
            <w:pPr>
              <w:ind w:left="1215"/>
              <w:rPr>
                <w:kern w:val="22"/>
                <w:szCs w:val="22"/>
              </w:rPr>
            </w:pPr>
          </w:p>
          <w:p w14:paraId="669049A3" w14:textId="578A0394" w:rsidR="00D31B38" w:rsidRPr="00876327" w:rsidRDefault="00AA1959">
            <w:pPr>
              <w:ind w:left="1215"/>
              <w:rPr>
                <w:kern w:val="22"/>
                <w:szCs w:val="22"/>
              </w:rPr>
            </w:pPr>
            <w:sdt>
              <w:sdtPr>
                <w:rPr>
                  <w:kern w:val="22"/>
                </w:rPr>
                <w:alias w:val="Subject"/>
                <w:id w:val="2137136483"/>
                <w:placeholder>
                  <w:docPart w:val="7D6B075B29BE476CBE63123CB6870055"/>
                </w:placeholder>
                <w:dataBinding w:prefixMappings="xmlns:ns0='http://purl.org/dc/elements/1.1/' xmlns:ns1='http://schemas.openxmlformats.org/package/2006/metadata/core-properties' " w:xpath="/ns1:coreProperties[1]/ns0:subject[1]" w:storeItemID="{6C3C8BC8-F283-45AE-878A-BAB7291924A1}"/>
                <w:text/>
              </w:sdtPr>
              <w:sdtContent>
                <w:r w:rsidRPr="00876327">
                  <w:rPr>
                    <w:kern w:val="22"/>
                  </w:rPr>
                  <w:t>CBD/COP/</w:t>
                </w:r>
                <w:r>
                  <w:rPr>
                    <w:kern w:val="22"/>
                  </w:rPr>
                  <w:t>DEC/</w:t>
                </w:r>
                <w:r w:rsidRPr="00876327">
                  <w:rPr>
                    <w:kern w:val="22"/>
                  </w:rPr>
                  <w:t>14/36</w:t>
                </w:r>
              </w:sdtContent>
            </w:sdt>
          </w:p>
          <w:p w14:paraId="4865D199" w14:textId="467B0A39" w:rsidR="00D31B38" w:rsidRPr="00876327" w:rsidRDefault="006640B0">
            <w:pPr>
              <w:ind w:left="1215"/>
              <w:rPr>
                <w:kern w:val="22"/>
                <w:szCs w:val="22"/>
              </w:rPr>
            </w:pPr>
            <w:r w:rsidRPr="00876327">
              <w:rPr>
                <w:kern w:val="22"/>
                <w:szCs w:val="22"/>
              </w:rPr>
              <w:t xml:space="preserve">30 </w:t>
            </w:r>
            <w:r w:rsidR="00D31B38" w:rsidRPr="00876327">
              <w:rPr>
                <w:kern w:val="22"/>
                <w:szCs w:val="22"/>
              </w:rPr>
              <w:t>November 2018</w:t>
            </w:r>
          </w:p>
          <w:p w14:paraId="0526BD31" w14:textId="77777777" w:rsidR="00D31B38" w:rsidRPr="00876327" w:rsidRDefault="00D31B38">
            <w:pPr>
              <w:ind w:left="1215"/>
              <w:rPr>
                <w:kern w:val="22"/>
                <w:szCs w:val="22"/>
              </w:rPr>
            </w:pPr>
          </w:p>
          <w:p w14:paraId="3A34B5C7" w14:textId="77777777" w:rsidR="00D31B38" w:rsidRPr="00876327" w:rsidRDefault="00D31B38">
            <w:pPr>
              <w:ind w:left="1215"/>
              <w:rPr>
                <w:kern w:val="22"/>
                <w:szCs w:val="22"/>
              </w:rPr>
            </w:pPr>
            <w:r w:rsidRPr="00876327">
              <w:rPr>
                <w:kern w:val="22"/>
                <w:szCs w:val="22"/>
              </w:rPr>
              <w:t>ORIGINAL: ENGLISH</w:t>
            </w:r>
          </w:p>
          <w:p w14:paraId="132E56E2" w14:textId="77777777" w:rsidR="00D31B38" w:rsidRPr="00876327" w:rsidRDefault="00D31B38">
            <w:pPr>
              <w:rPr>
                <w:kern w:val="22"/>
              </w:rPr>
            </w:pPr>
          </w:p>
        </w:tc>
      </w:tr>
    </w:tbl>
    <w:p w14:paraId="1DC2F3CC" w14:textId="77777777" w:rsidR="0061445E" w:rsidRPr="0045173F" w:rsidRDefault="0061445E" w:rsidP="0061445E">
      <w:pPr>
        <w:pStyle w:val="NoSpacing"/>
        <w:ind w:left="142" w:right="4682" w:hanging="142"/>
        <w:rPr>
          <w:rFonts w:ascii="Times New Roman" w:hAnsi="Times New Roman"/>
          <w:kern w:val="22"/>
          <w:lang w:val="en-GB"/>
        </w:rPr>
      </w:pPr>
      <w:r w:rsidRPr="004D19B6">
        <w:rPr>
          <w:rFonts w:ascii="Times New Roman" w:hAnsi="Times New Roman"/>
          <w:kern w:val="22"/>
          <w:lang w:val="en-GB"/>
        </w:rPr>
        <w:t>CONFERENCE OF THE PARTIES TO THE CONVENTION ON BIOLOGICAL DIVERSITY</w:t>
      </w:r>
    </w:p>
    <w:p w14:paraId="5B0F9F9E" w14:textId="77777777" w:rsidR="0061445E" w:rsidRPr="00876327" w:rsidRDefault="0061445E" w:rsidP="0061445E">
      <w:pPr>
        <w:pStyle w:val="NoSpacing"/>
        <w:rPr>
          <w:rFonts w:ascii="Times New Roman" w:hAnsi="Times New Roman"/>
          <w:kern w:val="22"/>
          <w:lang w:val="en-GB"/>
        </w:rPr>
      </w:pPr>
      <w:r w:rsidRPr="00876327">
        <w:rPr>
          <w:rFonts w:ascii="Times New Roman" w:hAnsi="Times New Roman"/>
          <w:kern w:val="22"/>
          <w:lang w:val="en-GB"/>
        </w:rPr>
        <w:t>Fourteenth meeting</w:t>
      </w:r>
    </w:p>
    <w:p w14:paraId="016B4752" w14:textId="396FE83E" w:rsidR="0061445E" w:rsidRPr="00876327" w:rsidRDefault="0061445E" w:rsidP="0061445E">
      <w:pPr>
        <w:pStyle w:val="NoSpacing"/>
        <w:rPr>
          <w:rFonts w:ascii="Times New Roman" w:hAnsi="Times New Roman"/>
          <w:kern w:val="22"/>
          <w:lang w:val="en-GB"/>
        </w:rPr>
      </w:pPr>
      <w:r w:rsidRPr="00876327">
        <w:rPr>
          <w:rFonts w:ascii="Times New Roman" w:hAnsi="Times New Roman"/>
          <w:kern w:val="22"/>
          <w:lang w:val="en-GB"/>
        </w:rPr>
        <w:t>Sharm</w:t>
      </w:r>
      <w:r w:rsidR="00E40B9A" w:rsidRPr="00876327">
        <w:rPr>
          <w:rFonts w:ascii="Times New Roman" w:hAnsi="Times New Roman"/>
          <w:kern w:val="22"/>
          <w:lang w:val="en-GB"/>
        </w:rPr>
        <w:t xml:space="preserve"> </w:t>
      </w:r>
      <w:r w:rsidR="00CC62F1" w:rsidRPr="00876327">
        <w:rPr>
          <w:rFonts w:ascii="Times New Roman" w:hAnsi="Times New Roman"/>
          <w:kern w:val="22"/>
          <w:lang w:val="en-GB"/>
        </w:rPr>
        <w:t>E</w:t>
      </w:r>
      <w:r w:rsidRPr="00876327">
        <w:rPr>
          <w:rFonts w:ascii="Times New Roman" w:hAnsi="Times New Roman"/>
          <w:kern w:val="22"/>
          <w:lang w:val="en-GB"/>
        </w:rPr>
        <w:t>l-Sheikh, Egypt, 17-29 November 2018</w:t>
      </w:r>
    </w:p>
    <w:p w14:paraId="0B9BBCE1" w14:textId="3DC9CCF9" w:rsidR="00C9161D" w:rsidRPr="00876327" w:rsidRDefault="00405146" w:rsidP="00C9161D">
      <w:pPr>
        <w:rPr>
          <w:kern w:val="22"/>
        </w:rPr>
      </w:pPr>
      <w:r w:rsidRPr="00876327">
        <w:rPr>
          <w:kern w:val="22"/>
        </w:rPr>
        <w:t xml:space="preserve">Agenda item </w:t>
      </w:r>
      <w:r w:rsidR="00C545B9" w:rsidRPr="00876327">
        <w:rPr>
          <w:kern w:val="22"/>
        </w:rPr>
        <w:t>1</w:t>
      </w:r>
      <w:r w:rsidR="00961FF5" w:rsidRPr="00876327">
        <w:rPr>
          <w:kern w:val="22"/>
        </w:rPr>
        <w:t>6</w:t>
      </w:r>
    </w:p>
    <w:p w14:paraId="214A26E8" w14:textId="6910B281" w:rsidR="006640B0" w:rsidRPr="00876327" w:rsidRDefault="00B17865" w:rsidP="00876327">
      <w:pPr>
        <w:suppressLineNumbers/>
        <w:suppressAutoHyphens/>
        <w:spacing w:before="240" w:after="120"/>
        <w:jc w:val="center"/>
        <w:rPr>
          <w:caps/>
          <w:kern w:val="22"/>
          <w:szCs w:val="22"/>
        </w:rPr>
      </w:pPr>
      <w:r w:rsidRPr="00876327">
        <w:rPr>
          <w:b/>
          <w:caps/>
          <w:kern w:val="22"/>
          <w:szCs w:val="22"/>
        </w:rPr>
        <w:t>Decision adopted by the Conference of the Parties to the Convention on Biological Diversity</w:t>
      </w:r>
    </w:p>
    <w:p w14:paraId="70A9BE08" w14:textId="4F76FF53" w:rsidR="00C9161D" w:rsidRPr="004D19B6" w:rsidRDefault="008B0CB7" w:rsidP="00F87024">
      <w:pPr>
        <w:spacing w:before="240" w:after="120"/>
        <w:jc w:val="center"/>
        <w:rPr>
          <w:b/>
          <w:caps/>
          <w:kern w:val="22"/>
        </w:rPr>
      </w:pPr>
      <w:sdt>
        <w:sdtPr>
          <w:rPr>
            <w:b/>
            <w:caps/>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C7A2A" w:rsidRPr="004D19B6">
            <w:rPr>
              <w:b/>
              <w:caps/>
              <w:kern w:val="22"/>
            </w:rPr>
            <w:t>14/36.</w:t>
          </w:r>
          <w:r w:rsidR="001C7A2A" w:rsidRPr="004D19B6">
            <w:rPr>
              <w:b/>
              <w:caps/>
              <w:kern w:val="22"/>
            </w:rPr>
            <w:tab/>
          </w:r>
          <w:r w:rsidR="006640B0" w:rsidRPr="004D19B6">
            <w:rPr>
              <w:b/>
              <w:caps/>
              <w:kern w:val="22"/>
            </w:rPr>
            <w:t>S</w:t>
          </w:r>
          <w:r w:rsidR="006640B0" w:rsidRPr="004D19B6">
            <w:rPr>
              <w:b/>
              <w:kern w:val="22"/>
            </w:rPr>
            <w:t>econd work programme of the Intergovernmental Science-Policy Platform on Biodiversity and Ecosystem Services</w:t>
          </w:r>
        </w:sdtContent>
      </w:sdt>
    </w:p>
    <w:p w14:paraId="03DAAECA" w14:textId="2A39AC61" w:rsidR="001A6239" w:rsidRPr="0045173F" w:rsidRDefault="001A6239" w:rsidP="00F87024">
      <w:pPr>
        <w:keepNext/>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45173F">
        <w:rPr>
          <w:i/>
          <w:snapToGrid w:val="0"/>
          <w:kern w:val="22"/>
          <w:szCs w:val="22"/>
        </w:rPr>
        <w:t>The Conference of the Parties</w:t>
      </w:r>
      <w:r w:rsidR="002C5195" w:rsidRPr="0045173F">
        <w:rPr>
          <w:i/>
          <w:snapToGrid w:val="0"/>
          <w:kern w:val="22"/>
          <w:szCs w:val="22"/>
        </w:rPr>
        <w:t>,</w:t>
      </w:r>
    </w:p>
    <w:p w14:paraId="6009CDB5" w14:textId="267B171D" w:rsidR="005474E5" w:rsidRPr="00876327"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876327">
        <w:rPr>
          <w:i/>
          <w:iCs/>
          <w:snapToGrid/>
          <w:kern w:val="22"/>
          <w:szCs w:val="22"/>
        </w:rPr>
        <w:t xml:space="preserve">Recalling </w:t>
      </w:r>
      <w:r w:rsidRPr="00876327">
        <w:rPr>
          <w:iCs/>
          <w:snapToGrid/>
          <w:kern w:val="22"/>
          <w:szCs w:val="22"/>
        </w:rPr>
        <w:t>decisions XII/25 and XIII/29,</w:t>
      </w:r>
    </w:p>
    <w:p w14:paraId="5B326CA1" w14:textId="62A7D21D" w:rsidR="003C318F" w:rsidRPr="004D19B6" w:rsidRDefault="003C318F"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876327">
        <w:rPr>
          <w:i/>
          <w:iCs/>
          <w:snapToGrid/>
          <w:kern w:val="22"/>
          <w:szCs w:val="22"/>
        </w:rPr>
        <w:t>Recognizing</w:t>
      </w:r>
      <w:r w:rsidRPr="00876327">
        <w:rPr>
          <w:iCs/>
          <w:snapToGrid/>
          <w:kern w:val="22"/>
          <w:szCs w:val="22"/>
        </w:rPr>
        <w:t xml:space="preserve"> the growing relevance of </w:t>
      </w:r>
      <w:r w:rsidRPr="00876327">
        <w:rPr>
          <w:snapToGrid/>
          <w:kern w:val="22"/>
          <w:szCs w:val="22"/>
        </w:rPr>
        <w:t>the Intergovernmental Science-Policy Platform on Biodiversity and Ecosystem Services for the work under the Con</w:t>
      </w:r>
      <w:bookmarkStart w:id="0" w:name="_GoBack"/>
      <w:bookmarkEnd w:id="0"/>
      <w:r w:rsidRPr="00876327">
        <w:rPr>
          <w:snapToGrid/>
          <w:kern w:val="22"/>
          <w:szCs w:val="22"/>
        </w:rPr>
        <w:t>vention</w:t>
      </w:r>
      <w:r w:rsidR="00CC62F1" w:rsidRPr="00876327">
        <w:rPr>
          <w:snapToGrid/>
          <w:kern w:val="22"/>
          <w:szCs w:val="22"/>
        </w:rPr>
        <w:t>,</w:t>
      </w:r>
    </w:p>
    <w:p w14:paraId="73257942" w14:textId="30304D46" w:rsidR="005474E5" w:rsidRPr="00876327" w:rsidRDefault="005474E5" w:rsidP="00A24305">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rPr>
      </w:pPr>
      <w:r w:rsidRPr="0045173F">
        <w:rPr>
          <w:rFonts w:ascii="Times New Roman" w:hAnsi="Times New Roman"/>
          <w:snapToGrid/>
          <w:kern w:val="22"/>
          <w:szCs w:val="22"/>
        </w:rPr>
        <w:t>1.</w:t>
      </w:r>
      <w:r w:rsidRPr="0045173F">
        <w:rPr>
          <w:rFonts w:ascii="Times New Roman" w:hAnsi="Times New Roman"/>
          <w:snapToGrid/>
          <w:kern w:val="22"/>
          <w:szCs w:val="22"/>
        </w:rPr>
        <w:tab/>
      </w:r>
      <w:r w:rsidRPr="0045173F">
        <w:rPr>
          <w:rFonts w:ascii="Times New Roman" w:hAnsi="Times New Roman"/>
          <w:i/>
          <w:iCs/>
          <w:snapToGrid/>
          <w:kern w:val="22"/>
          <w:szCs w:val="22"/>
        </w:rPr>
        <w:t xml:space="preserve">Welcomes </w:t>
      </w:r>
      <w:r w:rsidR="001C6679" w:rsidRPr="0045173F">
        <w:rPr>
          <w:rFonts w:ascii="Times New Roman" w:hAnsi="Times New Roman"/>
          <w:i/>
          <w:iCs/>
          <w:snapToGrid/>
          <w:kern w:val="22"/>
          <w:szCs w:val="22"/>
        </w:rPr>
        <w:t xml:space="preserve">with appreciation </w:t>
      </w:r>
      <w:r w:rsidRPr="0045173F">
        <w:rPr>
          <w:rFonts w:ascii="Times New Roman" w:hAnsi="Times New Roman"/>
          <w:snapToGrid/>
          <w:kern w:val="22"/>
          <w:szCs w:val="22"/>
        </w:rPr>
        <w:t>the progress in implementing the first work programme of the</w:t>
      </w:r>
      <w:r w:rsidRPr="004E0AC6">
        <w:rPr>
          <w:rFonts w:ascii="Times New Roman" w:hAnsi="Times New Roman"/>
          <w:snapToGrid/>
          <w:kern w:val="22"/>
          <w:szCs w:val="22"/>
        </w:rPr>
        <w:t xml:space="preserve"> Intergovernmental Science-Policy Platform on Biodiversity and Ecosystem Services;</w:t>
      </w:r>
    </w:p>
    <w:p w14:paraId="7FA9D761" w14:textId="77777777" w:rsidR="005474E5" w:rsidRPr="00876327" w:rsidRDefault="005474E5" w:rsidP="002D0C17">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rPr>
      </w:pPr>
      <w:r w:rsidRPr="00876327">
        <w:rPr>
          <w:rFonts w:ascii="Times New Roman" w:hAnsi="Times New Roman"/>
          <w:iCs/>
          <w:snapToGrid/>
          <w:kern w:val="22"/>
          <w:szCs w:val="22"/>
        </w:rPr>
        <w:t>2.</w:t>
      </w:r>
      <w:r w:rsidRPr="00876327">
        <w:rPr>
          <w:rFonts w:ascii="Times New Roman" w:hAnsi="Times New Roman"/>
          <w:i/>
          <w:iCs/>
          <w:snapToGrid/>
          <w:kern w:val="22"/>
          <w:szCs w:val="22"/>
        </w:rPr>
        <w:tab/>
        <w:t xml:space="preserve">Also welcomes </w:t>
      </w:r>
      <w:r w:rsidRPr="00876327">
        <w:rPr>
          <w:rFonts w:ascii="Times New Roman" w:hAnsi="Times New Roman"/>
          <w:iCs/>
          <w:snapToGrid/>
          <w:kern w:val="22"/>
          <w:szCs w:val="22"/>
        </w:rPr>
        <w:t xml:space="preserve">the </w:t>
      </w:r>
      <w:r w:rsidRPr="00876327">
        <w:rPr>
          <w:rFonts w:ascii="Times New Roman" w:hAnsi="Times New Roman"/>
          <w:snapToGrid/>
          <w:kern w:val="22"/>
          <w:szCs w:val="22"/>
        </w:rPr>
        <w:t>approval by the Plenary of the Intergovernmental Science-Policy Platform on Biodiversity and Ecosystem Services to undertake the thematic assessment of the sustainable use of wild species, the thematic assessment of invasive alien species, and the methodological assessment regarding the diverse conceptualization of multiple values of nature and its benefits;</w:t>
      </w:r>
    </w:p>
    <w:p w14:paraId="31B88E90" w14:textId="09156F39" w:rsidR="005474E5" w:rsidRPr="00876327" w:rsidRDefault="005474E5" w:rsidP="00477731">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iCs/>
          <w:snapToGrid/>
          <w:kern w:val="22"/>
          <w:szCs w:val="22"/>
        </w:rPr>
      </w:pPr>
      <w:r w:rsidRPr="00876327">
        <w:rPr>
          <w:rFonts w:ascii="Times New Roman" w:hAnsi="Times New Roman"/>
          <w:iCs/>
          <w:snapToGrid/>
          <w:kern w:val="22"/>
          <w:szCs w:val="22"/>
        </w:rPr>
        <w:t>3.</w:t>
      </w:r>
      <w:r w:rsidRPr="00876327">
        <w:rPr>
          <w:rFonts w:ascii="Times New Roman" w:hAnsi="Times New Roman"/>
          <w:iCs/>
          <w:snapToGrid/>
          <w:kern w:val="22"/>
          <w:szCs w:val="22"/>
        </w:rPr>
        <w:tab/>
      </w:r>
      <w:r w:rsidRPr="00876327">
        <w:rPr>
          <w:rFonts w:ascii="Times New Roman" w:hAnsi="Times New Roman"/>
          <w:i/>
          <w:snapToGrid/>
          <w:kern w:val="22"/>
          <w:szCs w:val="22"/>
        </w:rPr>
        <w:t>Agrees</w:t>
      </w:r>
      <w:r w:rsidRPr="00876327">
        <w:rPr>
          <w:rFonts w:ascii="Times New Roman" w:hAnsi="Times New Roman"/>
          <w:iCs/>
          <w:snapToGrid/>
          <w:kern w:val="22"/>
          <w:szCs w:val="22"/>
        </w:rPr>
        <w:t xml:space="preserve"> that the strategic framework up to 2030 and elements of the rolling work programme of the Intergovernmental Science-Policy Platform on Biodiversity and Ecosystem Services should be relevant to the post-2020 global biodiversity framework, and will contribute</w:t>
      </w:r>
      <w:r w:rsidR="008107E8" w:rsidRPr="00876327">
        <w:rPr>
          <w:rFonts w:ascii="Times New Roman" w:hAnsi="Times New Roman"/>
          <w:iCs/>
          <w:snapToGrid/>
          <w:kern w:val="22"/>
          <w:szCs w:val="22"/>
        </w:rPr>
        <w:t xml:space="preserve"> </w:t>
      </w:r>
      <w:r w:rsidRPr="00876327">
        <w:rPr>
          <w:rFonts w:ascii="Times New Roman" w:hAnsi="Times New Roman"/>
          <w:iCs/>
          <w:snapToGrid/>
          <w:kern w:val="22"/>
          <w:szCs w:val="22"/>
        </w:rPr>
        <w:t xml:space="preserve">to supporting its implementation and assessing progress, </w:t>
      </w:r>
      <w:r w:rsidR="008107E8" w:rsidRPr="00876327">
        <w:rPr>
          <w:rFonts w:ascii="Times New Roman" w:hAnsi="Times New Roman"/>
          <w:iCs/>
          <w:snapToGrid/>
          <w:kern w:val="22"/>
          <w:szCs w:val="22"/>
        </w:rPr>
        <w:t xml:space="preserve">including through further integration of </w:t>
      </w:r>
      <w:r w:rsidR="00F207C5" w:rsidRPr="00876327">
        <w:rPr>
          <w:rFonts w:ascii="Times New Roman" w:hAnsi="Times New Roman"/>
          <w:iCs/>
          <w:snapToGrid/>
          <w:kern w:val="22"/>
          <w:szCs w:val="22"/>
        </w:rPr>
        <w:t xml:space="preserve">the </w:t>
      </w:r>
      <w:r w:rsidR="008107E8" w:rsidRPr="00876327">
        <w:rPr>
          <w:rFonts w:ascii="Times New Roman" w:hAnsi="Times New Roman"/>
          <w:iCs/>
          <w:snapToGrid/>
          <w:kern w:val="22"/>
          <w:szCs w:val="22"/>
        </w:rPr>
        <w:t>four functions</w:t>
      </w:r>
      <w:r w:rsidR="00F207C5" w:rsidRPr="00876327">
        <w:rPr>
          <w:rFonts w:ascii="Times New Roman" w:hAnsi="Times New Roman"/>
          <w:iCs/>
          <w:snapToGrid/>
          <w:kern w:val="22"/>
          <w:szCs w:val="22"/>
        </w:rPr>
        <w:t xml:space="preserve"> of the Platform</w:t>
      </w:r>
      <w:r w:rsidR="008107E8" w:rsidRPr="00876327">
        <w:rPr>
          <w:rFonts w:ascii="Times New Roman" w:hAnsi="Times New Roman"/>
          <w:iCs/>
          <w:snapToGrid/>
          <w:kern w:val="22"/>
          <w:szCs w:val="22"/>
        </w:rPr>
        <w:t xml:space="preserve">, </w:t>
      </w:r>
      <w:r w:rsidRPr="00876327">
        <w:rPr>
          <w:rFonts w:ascii="Times New Roman" w:hAnsi="Times New Roman"/>
          <w:iCs/>
          <w:snapToGrid/>
          <w:kern w:val="22"/>
          <w:szCs w:val="22"/>
        </w:rPr>
        <w:t xml:space="preserve">and </w:t>
      </w:r>
      <w:r w:rsidRPr="00876327">
        <w:rPr>
          <w:rFonts w:ascii="Times New Roman" w:hAnsi="Times New Roman"/>
          <w:i/>
          <w:iCs/>
          <w:snapToGrid/>
          <w:kern w:val="22"/>
          <w:szCs w:val="22"/>
        </w:rPr>
        <w:t>recognizes</w:t>
      </w:r>
      <w:r w:rsidRPr="00876327">
        <w:rPr>
          <w:rFonts w:ascii="Times New Roman" w:hAnsi="Times New Roman"/>
          <w:iCs/>
          <w:snapToGrid/>
          <w:kern w:val="22"/>
          <w:szCs w:val="22"/>
        </w:rPr>
        <w:t xml:space="preserve"> that the rolling nature of the work plan should allow for ongoing exchange of information and further requests from the Convention in the light of the needs arising from the final form and implementation of the post-2020 global biodiversity framework;</w:t>
      </w:r>
    </w:p>
    <w:p w14:paraId="1041FA90" w14:textId="1CD8B6AA" w:rsidR="005474E5" w:rsidRPr="00134F8F"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iCs/>
          <w:snapToGrid/>
          <w:kern w:val="22"/>
          <w:szCs w:val="22"/>
        </w:rPr>
      </w:pPr>
      <w:r w:rsidRPr="00876327">
        <w:rPr>
          <w:rFonts w:ascii="Times New Roman" w:hAnsi="Times New Roman"/>
          <w:snapToGrid/>
          <w:kern w:val="22"/>
          <w:szCs w:val="22"/>
        </w:rPr>
        <w:t>4.</w:t>
      </w:r>
      <w:r w:rsidRPr="00876327">
        <w:rPr>
          <w:rFonts w:ascii="Times New Roman" w:hAnsi="Times New Roman"/>
          <w:i/>
          <w:snapToGrid/>
          <w:kern w:val="22"/>
          <w:szCs w:val="22"/>
        </w:rPr>
        <w:tab/>
        <w:t>Notes</w:t>
      </w:r>
      <w:r w:rsidRPr="00876327">
        <w:rPr>
          <w:rFonts w:ascii="Times New Roman" w:hAnsi="Times New Roman"/>
          <w:iCs/>
          <w:snapToGrid/>
          <w:kern w:val="22"/>
          <w:szCs w:val="22"/>
        </w:rPr>
        <w:t xml:space="preserve"> that the strategic framework up to 2030 and elements of the rolling work programme of the Intergovernmental Science-Policy Platform on Biodiversity and Ecosystem Services is </w:t>
      </w:r>
      <w:r w:rsidR="009133FB" w:rsidRPr="00876327">
        <w:rPr>
          <w:rFonts w:ascii="Times New Roman" w:hAnsi="Times New Roman"/>
          <w:iCs/>
          <w:snapToGrid/>
          <w:kern w:val="22"/>
          <w:szCs w:val="22"/>
        </w:rPr>
        <w:t xml:space="preserve">also </w:t>
      </w:r>
      <w:r w:rsidRPr="00876327">
        <w:rPr>
          <w:rFonts w:ascii="Times New Roman" w:hAnsi="Times New Roman"/>
          <w:iCs/>
          <w:snapToGrid/>
          <w:kern w:val="22"/>
          <w:szCs w:val="22"/>
        </w:rPr>
        <w:t>expected to be relevant to the 2030 Agenda for Sustainable Development,</w:t>
      </w:r>
      <w:r w:rsidRPr="004D19B6">
        <w:rPr>
          <w:rStyle w:val="FootnoteReference"/>
          <w:rFonts w:ascii="Times New Roman" w:hAnsi="Times New Roman"/>
          <w:snapToGrid/>
          <w:kern w:val="22"/>
          <w:szCs w:val="22"/>
        </w:rPr>
        <w:footnoteReference w:id="1"/>
      </w:r>
      <w:r w:rsidRPr="004D19B6">
        <w:rPr>
          <w:rFonts w:ascii="Times New Roman" w:hAnsi="Times New Roman"/>
          <w:iCs/>
          <w:snapToGrid/>
          <w:kern w:val="22"/>
          <w:szCs w:val="22"/>
        </w:rPr>
        <w:t xml:space="preserve"> and</w:t>
      </w:r>
      <w:r w:rsidRPr="00134F8F">
        <w:rPr>
          <w:rFonts w:ascii="Times New Roman" w:hAnsi="Times New Roman"/>
          <w:iCs/>
          <w:snapToGrid/>
          <w:kern w:val="22"/>
          <w:szCs w:val="22"/>
        </w:rPr>
        <w:t xml:space="preserve"> the Paris Agreement on Climate Change</w:t>
      </w:r>
      <w:r w:rsidRPr="004D19B6">
        <w:rPr>
          <w:rStyle w:val="FootnoteReference"/>
          <w:rFonts w:ascii="Times New Roman" w:hAnsi="Times New Roman"/>
          <w:iCs/>
          <w:snapToGrid/>
          <w:kern w:val="22"/>
          <w:szCs w:val="22"/>
        </w:rPr>
        <w:footnoteReference w:id="2"/>
      </w:r>
      <w:r w:rsidRPr="004D19B6">
        <w:rPr>
          <w:rFonts w:ascii="Times New Roman" w:hAnsi="Times New Roman"/>
          <w:iCs/>
          <w:snapToGrid/>
          <w:kern w:val="22"/>
          <w:szCs w:val="22"/>
        </w:rPr>
        <w:t xml:space="preserve"> and other biodiversity-relevant processes;</w:t>
      </w:r>
    </w:p>
    <w:p w14:paraId="434F7FE9" w14:textId="0DB7AF18" w:rsidR="000763E5" w:rsidRPr="00876327" w:rsidRDefault="005474E5" w:rsidP="00873200">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rPr>
      </w:pPr>
      <w:r w:rsidRPr="0045173F">
        <w:rPr>
          <w:rFonts w:ascii="Times New Roman" w:hAnsi="Times New Roman"/>
          <w:iCs/>
          <w:snapToGrid/>
          <w:kern w:val="22"/>
          <w:szCs w:val="22"/>
        </w:rPr>
        <w:t>5</w:t>
      </w:r>
      <w:r w:rsidRPr="0045173F">
        <w:rPr>
          <w:rFonts w:ascii="Times New Roman" w:hAnsi="Times New Roman"/>
          <w:i/>
          <w:iCs/>
          <w:snapToGrid/>
          <w:kern w:val="22"/>
          <w:szCs w:val="22"/>
        </w:rPr>
        <w:t>.</w:t>
      </w:r>
      <w:r w:rsidRPr="0045173F">
        <w:rPr>
          <w:rFonts w:ascii="Times New Roman" w:hAnsi="Times New Roman"/>
          <w:i/>
          <w:iCs/>
          <w:snapToGrid/>
          <w:kern w:val="22"/>
          <w:szCs w:val="22"/>
        </w:rPr>
        <w:tab/>
        <w:t xml:space="preserve">Welcomes </w:t>
      </w:r>
      <w:r w:rsidRPr="0045173F">
        <w:rPr>
          <w:rFonts w:ascii="Times New Roman" w:hAnsi="Times New Roman"/>
          <w:iCs/>
          <w:snapToGrid/>
          <w:kern w:val="22"/>
          <w:szCs w:val="22"/>
        </w:rPr>
        <w:t>the efforts of</w:t>
      </w:r>
      <w:r w:rsidRPr="0045173F">
        <w:rPr>
          <w:rFonts w:ascii="Times New Roman" w:hAnsi="Times New Roman"/>
          <w:snapToGrid/>
          <w:kern w:val="22"/>
          <w:szCs w:val="22"/>
        </w:rPr>
        <w:t xml:space="preserve"> the Intergovernmental Science-Policy Platform on Biodiversity and Ecosystem Services to further enhance its cooperation with the Intergovernmental Panel on Climate Change, in developing and implementing its work programme, and </w:t>
      </w:r>
      <w:r w:rsidRPr="00876327">
        <w:rPr>
          <w:rFonts w:ascii="Times New Roman" w:hAnsi="Times New Roman"/>
          <w:i/>
          <w:iCs/>
          <w:snapToGrid/>
          <w:kern w:val="22"/>
          <w:szCs w:val="22"/>
        </w:rPr>
        <w:t>notes</w:t>
      </w:r>
      <w:r w:rsidRPr="00876327">
        <w:rPr>
          <w:rFonts w:ascii="Times New Roman" w:hAnsi="Times New Roman"/>
          <w:snapToGrid/>
          <w:kern w:val="22"/>
          <w:szCs w:val="22"/>
        </w:rPr>
        <w:t xml:space="preserve"> that the Convention will benefit from coherence between the scenarios and related assessments </w:t>
      </w:r>
      <w:r w:rsidR="001C6679" w:rsidRPr="00876327">
        <w:rPr>
          <w:rFonts w:ascii="Times New Roman" w:hAnsi="Times New Roman"/>
          <w:snapToGrid/>
          <w:kern w:val="22"/>
          <w:szCs w:val="22"/>
        </w:rPr>
        <w:t xml:space="preserve">and synthesis reports </w:t>
      </w:r>
      <w:r w:rsidRPr="00876327">
        <w:rPr>
          <w:rFonts w:ascii="Times New Roman" w:hAnsi="Times New Roman"/>
          <w:snapToGrid/>
          <w:kern w:val="22"/>
          <w:szCs w:val="22"/>
        </w:rPr>
        <w:t xml:space="preserve">prepared in the context of biodiversity and climate change and the enhanced collaboration between the scientific communities related </w:t>
      </w:r>
      <w:r w:rsidRPr="00876327">
        <w:rPr>
          <w:rFonts w:ascii="Times New Roman" w:hAnsi="Times New Roman"/>
          <w:snapToGrid/>
          <w:kern w:val="22"/>
          <w:szCs w:val="22"/>
        </w:rPr>
        <w:lastRenderedPageBreak/>
        <w:t>to these bodies</w:t>
      </w:r>
      <w:r w:rsidR="008107E8" w:rsidRPr="00876327">
        <w:rPr>
          <w:rFonts w:ascii="Times New Roman" w:hAnsi="Times New Roman"/>
          <w:snapToGrid/>
          <w:kern w:val="22"/>
          <w:szCs w:val="22"/>
        </w:rPr>
        <w:t xml:space="preserve"> with a view</w:t>
      </w:r>
      <w:r w:rsidR="0000781A" w:rsidRPr="00876327">
        <w:rPr>
          <w:rFonts w:ascii="Times New Roman" w:hAnsi="Times New Roman"/>
          <w:snapToGrid/>
          <w:kern w:val="22"/>
          <w:szCs w:val="22"/>
        </w:rPr>
        <w:t>, among other things,</w:t>
      </w:r>
      <w:r w:rsidR="008107E8" w:rsidRPr="00876327">
        <w:rPr>
          <w:rFonts w:ascii="Times New Roman" w:hAnsi="Times New Roman"/>
          <w:snapToGrid/>
          <w:kern w:val="22"/>
          <w:szCs w:val="22"/>
        </w:rPr>
        <w:t xml:space="preserve"> to </w:t>
      </w:r>
      <w:r w:rsidR="008107E8" w:rsidRPr="00876327">
        <w:rPr>
          <w:rFonts w:ascii="Times New Roman" w:hAnsi="Times New Roman"/>
          <w:kern w:val="22"/>
          <w:szCs w:val="22"/>
        </w:rPr>
        <w:t>facilitating the inclusion of biodiversity</w:t>
      </w:r>
      <w:r w:rsidR="0000781A" w:rsidRPr="00876327">
        <w:rPr>
          <w:rFonts w:ascii="Times New Roman" w:hAnsi="Times New Roman"/>
          <w:kern w:val="22"/>
          <w:szCs w:val="22"/>
        </w:rPr>
        <w:t>–</w:t>
      </w:r>
      <w:r w:rsidR="008107E8" w:rsidRPr="00876327">
        <w:rPr>
          <w:rFonts w:ascii="Times New Roman" w:hAnsi="Times New Roman"/>
          <w:kern w:val="22"/>
          <w:szCs w:val="22"/>
        </w:rPr>
        <w:t>climate change linkages and their implications for human well-being in all assessments of the Platform</w:t>
      </w:r>
      <w:r w:rsidRPr="00876327">
        <w:rPr>
          <w:rFonts w:ascii="Times New Roman" w:hAnsi="Times New Roman"/>
          <w:snapToGrid/>
          <w:kern w:val="22"/>
          <w:szCs w:val="22"/>
        </w:rPr>
        <w:t>;</w:t>
      </w:r>
    </w:p>
    <w:p w14:paraId="0F9EA87E" w14:textId="6E4AD1A1" w:rsidR="005474E5" w:rsidRPr="00876327"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rPr>
      </w:pPr>
      <w:r w:rsidRPr="00876327">
        <w:rPr>
          <w:rFonts w:ascii="Times New Roman" w:hAnsi="Times New Roman"/>
          <w:snapToGrid/>
          <w:kern w:val="22"/>
          <w:szCs w:val="22"/>
        </w:rPr>
        <w:t>6.</w:t>
      </w:r>
      <w:r w:rsidRPr="00876327">
        <w:rPr>
          <w:rFonts w:ascii="Times New Roman" w:hAnsi="Times New Roman"/>
          <w:snapToGrid/>
          <w:kern w:val="22"/>
          <w:szCs w:val="22"/>
        </w:rPr>
        <w:tab/>
      </w:r>
      <w:r w:rsidRPr="00876327">
        <w:rPr>
          <w:rFonts w:ascii="Times New Roman" w:hAnsi="Times New Roman"/>
          <w:i/>
          <w:iCs/>
          <w:snapToGrid/>
          <w:kern w:val="22"/>
          <w:szCs w:val="22"/>
        </w:rPr>
        <w:t xml:space="preserve">Recognizes </w:t>
      </w:r>
      <w:r w:rsidRPr="00876327">
        <w:rPr>
          <w:rFonts w:ascii="Times New Roman" w:hAnsi="Times New Roman"/>
          <w:iCs/>
          <w:snapToGrid/>
          <w:kern w:val="22"/>
          <w:szCs w:val="22"/>
        </w:rPr>
        <w:t>the benefits to the Convention of enhanced cooperation between the</w:t>
      </w:r>
      <w:r w:rsidRPr="00876327">
        <w:rPr>
          <w:rFonts w:ascii="Times New Roman" w:hAnsi="Times New Roman"/>
          <w:snapToGrid/>
          <w:kern w:val="22"/>
          <w:szCs w:val="22"/>
        </w:rPr>
        <w:t xml:space="preserve"> Intergovernmental Science-Policy Platform on Biodiversity and Ecosystem Services and other relevant assessment activities undertaken by United Nations agencies and multilateral environmental agreements, and </w:t>
      </w:r>
      <w:r w:rsidRPr="00876327">
        <w:rPr>
          <w:rFonts w:ascii="Times New Roman" w:hAnsi="Times New Roman"/>
          <w:i/>
          <w:snapToGrid/>
          <w:kern w:val="22"/>
          <w:szCs w:val="22"/>
        </w:rPr>
        <w:t>invites</w:t>
      </w:r>
      <w:r w:rsidRPr="00876327">
        <w:rPr>
          <w:rFonts w:ascii="Times New Roman" w:hAnsi="Times New Roman"/>
          <w:snapToGrid/>
          <w:kern w:val="22"/>
          <w:szCs w:val="22"/>
        </w:rPr>
        <w:t xml:space="preserve"> the Intergovernmental Science-Policy Platform on Biodiversity and Ecosystem Services to continue to collaborate with relevant international organizations, including those engaged in activities relevant to the mainstreaming of biodiversity in production sectors;</w:t>
      </w:r>
    </w:p>
    <w:p w14:paraId="54B2AE68" w14:textId="77777777" w:rsidR="005474E5" w:rsidRPr="00876327"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iCs/>
          <w:snapToGrid/>
          <w:kern w:val="22"/>
          <w:szCs w:val="22"/>
        </w:rPr>
      </w:pPr>
      <w:r w:rsidRPr="00876327">
        <w:rPr>
          <w:rFonts w:ascii="Times New Roman" w:hAnsi="Times New Roman"/>
          <w:iCs/>
          <w:snapToGrid/>
          <w:kern w:val="22"/>
          <w:szCs w:val="22"/>
        </w:rPr>
        <w:t>7.</w:t>
      </w:r>
      <w:r w:rsidRPr="00876327">
        <w:rPr>
          <w:rFonts w:ascii="Times New Roman" w:hAnsi="Times New Roman"/>
          <w:i/>
          <w:iCs/>
          <w:snapToGrid/>
          <w:kern w:val="22"/>
          <w:szCs w:val="22"/>
        </w:rPr>
        <w:tab/>
        <w:t xml:space="preserve">Invites </w:t>
      </w:r>
      <w:r w:rsidRPr="00876327">
        <w:rPr>
          <w:rFonts w:ascii="Times New Roman" w:hAnsi="Times New Roman"/>
          <w:iCs/>
          <w:snapToGrid/>
          <w:kern w:val="22"/>
          <w:szCs w:val="22"/>
        </w:rPr>
        <w:t xml:space="preserve">the </w:t>
      </w:r>
      <w:r w:rsidRPr="00876327">
        <w:rPr>
          <w:rFonts w:ascii="Times New Roman" w:hAnsi="Times New Roman"/>
          <w:snapToGrid/>
          <w:kern w:val="22"/>
          <w:szCs w:val="22"/>
        </w:rPr>
        <w:t>Intergovernmental Science-Policy Platform on Biodiversity and Ecosystem Services</w:t>
      </w:r>
      <w:r w:rsidRPr="00876327">
        <w:rPr>
          <w:rFonts w:ascii="Times New Roman" w:hAnsi="Times New Roman"/>
          <w:iCs/>
          <w:snapToGrid/>
          <w:kern w:val="22"/>
          <w:szCs w:val="22"/>
        </w:rPr>
        <w:t xml:space="preserve"> to consider the request contained in the annex to the present decision as part of its </w:t>
      </w:r>
      <w:r w:rsidRPr="00876327">
        <w:rPr>
          <w:rFonts w:ascii="Times New Roman" w:hAnsi="Times New Roman"/>
          <w:snapToGrid/>
          <w:kern w:val="22"/>
          <w:szCs w:val="22"/>
        </w:rPr>
        <w:t>strategic framework</w:t>
      </w:r>
      <w:r w:rsidRPr="00876327">
        <w:rPr>
          <w:rFonts w:ascii="Times New Roman" w:hAnsi="Times New Roman"/>
          <w:iCs/>
          <w:snapToGrid/>
          <w:kern w:val="22"/>
          <w:szCs w:val="22"/>
        </w:rPr>
        <w:t xml:space="preserve"> and work programme towards 2030;</w:t>
      </w:r>
    </w:p>
    <w:p w14:paraId="65D9B44E" w14:textId="7360322E" w:rsidR="005474E5" w:rsidRPr="00876327"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rPr>
      </w:pPr>
      <w:r w:rsidRPr="00876327">
        <w:rPr>
          <w:rFonts w:ascii="Times New Roman" w:hAnsi="Times New Roman"/>
          <w:iCs/>
          <w:snapToGrid/>
          <w:kern w:val="22"/>
          <w:szCs w:val="22"/>
        </w:rPr>
        <w:t>8.</w:t>
      </w:r>
      <w:r w:rsidRPr="00876327">
        <w:rPr>
          <w:rFonts w:ascii="Times New Roman" w:hAnsi="Times New Roman"/>
          <w:snapToGrid/>
          <w:kern w:val="22"/>
          <w:szCs w:val="22"/>
        </w:rPr>
        <w:tab/>
      </w:r>
      <w:r w:rsidRPr="00876327">
        <w:rPr>
          <w:rFonts w:ascii="Times New Roman" w:hAnsi="Times New Roman"/>
          <w:i/>
          <w:iCs/>
          <w:snapToGrid/>
          <w:kern w:val="22"/>
          <w:szCs w:val="22"/>
        </w:rPr>
        <w:t xml:space="preserve">Also invites </w:t>
      </w:r>
      <w:r w:rsidRPr="00876327">
        <w:rPr>
          <w:rFonts w:ascii="Times New Roman" w:hAnsi="Times New Roman"/>
          <w:iCs/>
          <w:snapToGrid/>
          <w:kern w:val="22"/>
          <w:szCs w:val="22"/>
        </w:rPr>
        <w:t xml:space="preserve">the </w:t>
      </w:r>
      <w:r w:rsidRPr="00876327">
        <w:rPr>
          <w:rFonts w:ascii="Times New Roman" w:hAnsi="Times New Roman"/>
          <w:snapToGrid/>
          <w:kern w:val="22"/>
          <w:szCs w:val="22"/>
        </w:rPr>
        <w:t>Intergovernmental Science-Policy Platform on Biodiversity and Ecosystem Services</w:t>
      </w:r>
      <w:r w:rsidRPr="00876327">
        <w:rPr>
          <w:rFonts w:ascii="Times New Roman" w:hAnsi="Times New Roman"/>
          <w:iCs/>
          <w:snapToGrid/>
          <w:kern w:val="22"/>
          <w:szCs w:val="22"/>
        </w:rPr>
        <w:t xml:space="preserve"> to allow for additional inputs to its work programme towards 2030 in the light of the development of the post-2020 global biodiversity framework;</w:t>
      </w:r>
    </w:p>
    <w:p w14:paraId="6BE6FD15" w14:textId="223FFDBE" w:rsidR="005474E5" w:rsidRPr="00876327"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iCs/>
          <w:snapToGrid/>
          <w:kern w:val="22"/>
          <w:szCs w:val="22"/>
        </w:rPr>
      </w:pPr>
      <w:r w:rsidRPr="00876327">
        <w:rPr>
          <w:rFonts w:ascii="Times New Roman" w:hAnsi="Times New Roman"/>
          <w:iCs/>
          <w:snapToGrid/>
          <w:kern w:val="22"/>
          <w:szCs w:val="22"/>
        </w:rPr>
        <w:t>9</w:t>
      </w:r>
      <w:r w:rsidRPr="00876327">
        <w:rPr>
          <w:rFonts w:ascii="Times New Roman" w:hAnsi="Times New Roman"/>
          <w:i/>
          <w:iCs/>
          <w:snapToGrid/>
          <w:kern w:val="22"/>
          <w:szCs w:val="22"/>
        </w:rPr>
        <w:t>.</w:t>
      </w:r>
      <w:r w:rsidRPr="00876327">
        <w:rPr>
          <w:rFonts w:ascii="Times New Roman" w:hAnsi="Times New Roman"/>
          <w:snapToGrid/>
          <w:kern w:val="22"/>
          <w:szCs w:val="22"/>
        </w:rPr>
        <w:tab/>
      </w:r>
      <w:r w:rsidRPr="00876327">
        <w:rPr>
          <w:rFonts w:ascii="Times New Roman" w:hAnsi="Times New Roman"/>
          <w:i/>
          <w:iCs/>
          <w:snapToGrid/>
          <w:kern w:val="22"/>
          <w:szCs w:val="22"/>
        </w:rPr>
        <w:t xml:space="preserve">Requests </w:t>
      </w:r>
      <w:r w:rsidRPr="00876327">
        <w:rPr>
          <w:rFonts w:ascii="Times New Roman" w:hAnsi="Times New Roman"/>
          <w:iCs/>
          <w:snapToGrid/>
          <w:kern w:val="22"/>
          <w:szCs w:val="22"/>
        </w:rPr>
        <w:t xml:space="preserve">the </w:t>
      </w:r>
      <w:r w:rsidR="009133FB" w:rsidRPr="00876327">
        <w:rPr>
          <w:rFonts w:ascii="Times New Roman" w:hAnsi="Times New Roman"/>
          <w:iCs/>
          <w:snapToGrid/>
          <w:kern w:val="22"/>
          <w:szCs w:val="22"/>
        </w:rPr>
        <w:t xml:space="preserve">Executive Secretary to prepare, for consideration by </w:t>
      </w:r>
      <w:r w:rsidR="00B2689C" w:rsidRPr="00876327">
        <w:rPr>
          <w:rFonts w:ascii="Times New Roman" w:hAnsi="Times New Roman"/>
          <w:iCs/>
          <w:snapToGrid/>
          <w:kern w:val="22"/>
          <w:szCs w:val="22"/>
        </w:rPr>
        <w:t xml:space="preserve">the </w:t>
      </w:r>
      <w:r w:rsidRPr="00876327">
        <w:rPr>
          <w:rFonts w:ascii="Times New Roman" w:hAnsi="Times New Roman"/>
          <w:iCs/>
          <w:snapToGrid/>
          <w:kern w:val="22"/>
          <w:szCs w:val="22"/>
        </w:rPr>
        <w:t xml:space="preserve">Subsidiary Body on Scientific, Technical and Technological Advice, </w:t>
      </w:r>
      <w:r w:rsidR="00B2689C" w:rsidRPr="00876327">
        <w:rPr>
          <w:rFonts w:ascii="Times New Roman" w:hAnsi="Times New Roman"/>
          <w:iCs/>
          <w:snapToGrid/>
          <w:kern w:val="22"/>
          <w:szCs w:val="22"/>
        </w:rPr>
        <w:t xml:space="preserve">and </w:t>
      </w:r>
      <w:r w:rsidRPr="00876327">
        <w:rPr>
          <w:rFonts w:ascii="Times New Roman" w:hAnsi="Times New Roman"/>
          <w:iCs/>
          <w:snapToGrid/>
          <w:kern w:val="22"/>
          <w:szCs w:val="22"/>
        </w:rPr>
        <w:t xml:space="preserve">for </w:t>
      </w:r>
      <w:r w:rsidR="00B2689C" w:rsidRPr="00876327">
        <w:rPr>
          <w:rFonts w:ascii="Times New Roman" w:hAnsi="Times New Roman"/>
          <w:iCs/>
          <w:snapToGrid/>
          <w:kern w:val="22"/>
          <w:szCs w:val="22"/>
        </w:rPr>
        <w:t xml:space="preserve">subsequent </w:t>
      </w:r>
      <w:r w:rsidRPr="00876327">
        <w:rPr>
          <w:rFonts w:ascii="Times New Roman" w:hAnsi="Times New Roman"/>
          <w:iCs/>
          <w:snapToGrid/>
          <w:kern w:val="22"/>
          <w:szCs w:val="22"/>
        </w:rPr>
        <w:t xml:space="preserve">consideration by the Conference of the Parties at its fifteenth meeting, proposals for a further request </w:t>
      </w:r>
      <w:r w:rsidR="00AE66C2" w:rsidRPr="00876327">
        <w:rPr>
          <w:rFonts w:ascii="Times New Roman" w:hAnsi="Times New Roman"/>
          <w:iCs/>
          <w:snapToGrid/>
          <w:kern w:val="22"/>
          <w:szCs w:val="22"/>
        </w:rPr>
        <w:t>to be considered for inclusion in the work programme towards 2030</w:t>
      </w:r>
      <w:r w:rsidR="00AE66C2" w:rsidRPr="00876327">
        <w:rPr>
          <w:rFonts w:ascii="Times New Roman" w:hAnsi="Times New Roman"/>
          <w:snapToGrid/>
          <w:kern w:val="22"/>
          <w:szCs w:val="22"/>
        </w:rPr>
        <w:t xml:space="preserve"> </w:t>
      </w:r>
      <w:r w:rsidR="00AE66C2" w:rsidRPr="00876327">
        <w:rPr>
          <w:rFonts w:ascii="Times New Roman" w:hAnsi="Times New Roman"/>
          <w:iCs/>
          <w:snapToGrid/>
          <w:kern w:val="22"/>
          <w:szCs w:val="22"/>
        </w:rPr>
        <w:t xml:space="preserve">of </w:t>
      </w:r>
      <w:r w:rsidRPr="00876327">
        <w:rPr>
          <w:rFonts w:ascii="Times New Roman" w:hAnsi="Times New Roman"/>
          <w:iCs/>
          <w:snapToGrid/>
          <w:kern w:val="22"/>
          <w:szCs w:val="22"/>
        </w:rPr>
        <w:t xml:space="preserve">the </w:t>
      </w:r>
      <w:r w:rsidRPr="00876327">
        <w:rPr>
          <w:rFonts w:ascii="Times New Roman" w:hAnsi="Times New Roman"/>
          <w:snapToGrid/>
          <w:kern w:val="22"/>
          <w:szCs w:val="22"/>
        </w:rPr>
        <w:t>Intergovernmental Science-Policy Platform on Biodiversity and Ecosystem Services</w:t>
      </w:r>
      <w:r w:rsidR="005A68DA" w:rsidRPr="00876327">
        <w:rPr>
          <w:rFonts w:ascii="Times New Roman" w:hAnsi="Times New Roman"/>
          <w:iCs/>
          <w:snapToGrid/>
          <w:kern w:val="22"/>
          <w:szCs w:val="22"/>
        </w:rPr>
        <w:t xml:space="preserve"> </w:t>
      </w:r>
      <w:r w:rsidRPr="00876327">
        <w:rPr>
          <w:rFonts w:ascii="Times New Roman" w:hAnsi="Times New Roman"/>
          <w:snapToGrid/>
          <w:kern w:val="22"/>
          <w:szCs w:val="22"/>
        </w:rPr>
        <w:t>with a view to supporting the implementation of</w:t>
      </w:r>
      <w:r w:rsidRPr="00876327">
        <w:rPr>
          <w:rFonts w:ascii="Times New Roman" w:hAnsi="Times New Roman"/>
          <w:iCs/>
          <w:snapToGrid/>
          <w:kern w:val="22"/>
          <w:szCs w:val="22"/>
        </w:rPr>
        <w:t xml:space="preserve"> the post-2020 global biodiversity framework;</w:t>
      </w:r>
    </w:p>
    <w:p w14:paraId="17880C49" w14:textId="0BF622D7" w:rsidR="005474E5" w:rsidRPr="00876327"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rPr>
      </w:pPr>
      <w:r w:rsidRPr="00876327">
        <w:rPr>
          <w:rFonts w:ascii="Times New Roman" w:hAnsi="Times New Roman"/>
          <w:snapToGrid/>
          <w:kern w:val="22"/>
          <w:szCs w:val="22"/>
        </w:rPr>
        <w:t>10.</w:t>
      </w:r>
      <w:r w:rsidRPr="00876327">
        <w:rPr>
          <w:rFonts w:ascii="Times New Roman" w:hAnsi="Times New Roman"/>
          <w:snapToGrid/>
          <w:kern w:val="22"/>
          <w:szCs w:val="22"/>
        </w:rPr>
        <w:tab/>
      </w:r>
      <w:r w:rsidR="00BA3683" w:rsidRPr="00876327">
        <w:rPr>
          <w:rFonts w:ascii="Times New Roman" w:hAnsi="Times New Roman"/>
          <w:i/>
          <w:iCs/>
          <w:snapToGrid/>
          <w:kern w:val="22"/>
          <w:szCs w:val="22"/>
        </w:rPr>
        <w:t>Also r</w:t>
      </w:r>
      <w:r w:rsidRPr="00876327">
        <w:rPr>
          <w:rFonts w:ascii="Times New Roman" w:hAnsi="Times New Roman"/>
          <w:i/>
          <w:iCs/>
          <w:snapToGrid/>
          <w:kern w:val="22"/>
          <w:szCs w:val="22"/>
        </w:rPr>
        <w:t>equests</w:t>
      </w:r>
      <w:r w:rsidRPr="00876327">
        <w:rPr>
          <w:rFonts w:ascii="Times New Roman" w:hAnsi="Times New Roman"/>
          <w:snapToGrid/>
          <w:kern w:val="22"/>
          <w:szCs w:val="22"/>
        </w:rPr>
        <w:t xml:space="preserve"> the Executive Secretary, further to decision XII/25, to develop modalities for the systematic consideration of all deliverables</w:t>
      </w:r>
      <w:r w:rsidRPr="00876327">
        <w:rPr>
          <w:rFonts w:ascii="Times New Roman" w:hAnsi="Times New Roman"/>
          <w:iCs/>
          <w:snapToGrid/>
          <w:kern w:val="22"/>
          <w:szCs w:val="22"/>
        </w:rPr>
        <w:t xml:space="preserve"> of the </w:t>
      </w:r>
      <w:r w:rsidRPr="00876327">
        <w:rPr>
          <w:rFonts w:ascii="Times New Roman" w:hAnsi="Times New Roman"/>
          <w:snapToGrid/>
          <w:kern w:val="22"/>
          <w:szCs w:val="22"/>
        </w:rPr>
        <w:t xml:space="preserve">Intergovernmental Science-Policy Platform on Biodiversity and Ecosystem </w:t>
      </w:r>
      <w:r w:rsidRPr="00876327">
        <w:rPr>
          <w:rFonts w:ascii="Times New Roman" w:hAnsi="Times New Roman"/>
          <w:iCs/>
          <w:snapToGrid/>
          <w:kern w:val="22"/>
          <w:szCs w:val="22"/>
        </w:rPr>
        <w:t xml:space="preserve">Services, </w:t>
      </w:r>
      <w:r w:rsidR="00CC2C7F" w:rsidRPr="00876327">
        <w:rPr>
          <w:rFonts w:ascii="Times New Roman" w:hAnsi="Times New Roman"/>
          <w:iCs/>
          <w:snapToGrid/>
          <w:kern w:val="22"/>
          <w:szCs w:val="22"/>
        </w:rPr>
        <w:t xml:space="preserve">taking into consideration the </w:t>
      </w:r>
      <w:r w:rsidR="00F6073E" w:rsidRPr="00876327">
        <w:rPr>
          <w:rFonts w:ascii="Times New Roman" w:hAnsi="Times New Roman"/>
          <w:iCs/>
          <w:snapToGrid/>
          <w:kern w:val="22"/>
          <w:szCs w:val="22"/>
        </w:rPr>
        <w:t>findings</w:t>
      </w:r>
      <w:r w:rsidR="00CC2C7F" w:rsidRPr="00876327">
        <w:rPr>
          <w:rFonts w:ascii="Times New Roman" w:hAnsi="Times New Roman"/>
          <w:iCs/>
          <w:snapToGrid/>
          <w:kern w:val="22"/>
          <w:szCs w:val="22"/>
        </w:rPr>
        <w:t xml:space="preserve"> of the </w:t>
      </w:r>
      <w:r w:rsidR="00F207C5" w:rsidRPr="00876327">
        <w:rPr>
          <w:rFonts w:ascii="Times New Roman" w:hAnsi="Times New Roman"/>
          <w:iCs/>
          <w:snapToGrid/>
          <w:kern w:val="22"/>
          <w:szCs w:val="22"/>
        </w:rPr>
        <w:t>r</w:t>
      </w:r>
      <w:r w:rsidR="00F6073E" w:rsidRPr="00876327">
        <w:rPr>
          <w:rFonts w:ascii="Times New Roman" w:hAnsi="Times New Roman"/>
          <w:iCs/>
          <w:snapToGrid/>
          <w:kern w:val="22"/>
          <w:szCs w:val="22"/>
        </w:rPr>
        <w:t>eview of the Intergovernmental Science-Policy Platform</w:t>
      </w:r>
      <w:r w:rsidR="00D82688" w:rsidRPr="00876327">
        <w:rPr>
          <w:rFonts w:ascii="Times New Roman" w:hAnsi="Times New Roman"/>
          <w:iCs/>
          <w:snapToGrid/>
          <w:kern w:val="22"/>
          <w:szCs w:val="22"/>
        </w:rPr>
        <w:t xml:space="preserve"> </w:t>
      </w:r>
      <w:r w:rsidR="00F6073E" w:rsidRPr="00876327">
        <w:rPr>
          <w:rFonts w:ascii="Times New Roman" w:hAnsi="Times New Roman"/>
          <w:kern w:val="22"/>
        </w:rPr>
        <w:t>on Biodiversity and Ecosystem Services</w:t>
      </w:r>
      <w:r w:rsidR="00D82688" w:rsidRPr="00876327">
        <w:rPr>
          <w:rFonts w:ascii="Times New Roman" w:hAnsi="Times New Roman"/>
          <w:kern w:val="22"/>
        </w:rPr>
        <w:t>,</w:t>
      </w:r>
      <w:r w:rsidR="00F6073E" w:rsidRPr="004D19B6">
        <w:rPr>
          <w:rStyle w:val="FootnoteReference"/>
          <w:rFonts w:ascii="Times New Roman" w:hAnsi="Times New Roman"/>
          <w:kern w:val="22"/>
        </w:rPr>
        <w:footnoteReference w:id="3"/>
      </w:r>
      <w:r w:rsidR="00F6073E" w:rsidRPr="004D19B6">
        <w:rPr>
          <w:rFonts w:ascii="Times New Roman" w:eastAsia="Arial" w:hAnsi="Times New Roman"/>
          <w:kern w:val="22"/>
        </w:rPr>
        <w:t xml:space="preserve"> </w:t>
      </w:r>
      <w:r w:rsidRPr="004D19B6">
        <w:rPr>
          <w:rFonts w:ascii="Times New Roman" w:hAnsi="Times New Roman"/>
          <w:snapToGrid/>
          <w:kern w:val="22"/>
          <w:szCs w:val="22"/>
        </w:rPr>
        <w:t>with a view to optimizing their use in support of the implementation of the Convention, and to report to the Subsidiary Body on Scientific, Technical a</w:t>
      </w:r>
      <w:r w:rsidRPr="0045173F">
        <w:rPr>
          <w:rFonts w:ascii="Times New Roman" w:hAnsi="Times New Roman"/>
          <w:snapToGrid/>
          <w:kern w:val="22"/>
          <w:szCs w:val="22"/>
        </w:rPr>
        <w:t>nd Technological Advice at a meeting to be held prior to the fifteenth meeting of the Conference of the Parties.</w:t>
      </w:r>
    </w:p>
    <w:p w14:paraId="594C1786" w14:textId="77777777" w:rsidR="005474E5" w:rsidRPr="00876327" w:rsidRDefault="005474E5" w:rsidP="005474E5">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sidRPr="00876327">
        <w:rPr>
          <w:i/>
          <w:kern w:val="22"/>
          <w:szCs w:val="22"/>
        </w:rPr>
        <w:t>Annex</w:t>
      </w:r>
    </w:p>
    <w:p w14:paraId="572F42B3" w14:textId="77777777" w:rsidR="005474E5" w:rsidRPr="00876327" w:rsidRDefault="005474E5" w:rsidP="005474E5">
      <w:pPr>
        <w:pStyle w:val="Para1"/>
        <w:keepNext/>
        <w:numPr>
          <w:ilvl w:val="0"/>
          <w:numId w:val="0"/>
        </w:numPr>
        <w:suppressLineNumbers/>
        <w:suppressAutoHyphens/>
        <w:kinsoku w:val="0"/>
        <w:overflowPunct w:val="0"/>
        <w:autoSpaceDE w:val="0"/>
        <w:autoSpaceDN w:val="0"/>
        <w:adjustRightInd w:val="0"/>
        <w:snapToGrid w:val="0"/>
        <w:ind w:left="720"/>
        <w:jc w:val="center"/>
        <w:rPr>
          <w:b/>
          <w:iCs/>
          <w:snapToGrid/>
          <w:kern w:val="22"/>
          <w:szCs w:val="22"/>
        </w:rPr>
      </w:pPr>
      <w:r w:rsidRPr="00876327">
        <w:rPr>
          <w:b/>
          <w:iCs/>
          <w:snapToGrid/>
          <w:kern w:val="22"/>
          <w:szCs w:val="22"/>
        </w:rPr>
        <w:t>REQUEST FOR CONSIDERATION BY THE INTERGOVERNMENTAL SCIENCE-POLICY PLATFORM ON BIODIVERSITY AND ECOSYSTEM SERVICES IN THE CONTEXT OF ITS STRATEGIC FRAMEWORK AND WORK PROGRAMME TOWARDS 2030</w:t>
      </w:r>
    </w:p>
    <w:p w14:paraId="4B1EB0C2" w14:textId="77777777" w:rsidR="005474E5" w:rsidRPr="00876327" w:rsidRDefault="005474E5" w:rsidP="005474E5">
      <w:pPr>
        <w:pStyle w:val="Para1"/>
        <w:numPr>
          <w:ilvl w:val="0"/>
          <w:numId w:val="0"/>
        </w:numPr>
        <w:suppressLineNumbers/>
        <w:suppressAutoHyphens/>
        <w:kinsoku w:val="0"/>
        <w:overflowPunct w:val="0"/>
        <w:autoSpaceDE w:val="0"/>
        <w:autoSpaceDN w:val="0"/>
        <w:adjustRightInd w:val="0"/>
        <w:snapToGrid w:val="0"/>
        <w:rPr>
          <w:iCs/>
          <w:snapToGrid/>
          <w:kern w:val="22"/>
          <w:szCs w:val="22"/>
        </w:rPr>
      </w:pPr>
      <w:r w:rsidRPr="00876327">
        <w:rPr>
          <w:iCs/>
          <w:snapToGrid/>
          <w:kern w:val="22"/>
          <w:szCs w:val="22"/>
        </w:rPr>
        <w:t>1.</w:t>
      </w:r>
      <w:r w:rsidRPr="00876327">
        <w:rPr>
          <w:iCs/>
          <w:snapToGrid/>
          <w:kern w:val="22"/>
          <w:szCs w:val="22"/>
        </w:rPr>
        <w:tab/>
        <w:t xml:space="preserve">The Intergovernmental Science-Policy Platform on Biodiversity and Ecosystem Services is invited to </w:t>
      </w:r>
      <w:proofErr w:type="gramStart"/>
      <w:r w:rsidRPr="00876327">
        <w:rPr>
          <w:iCs/>
          <w:snapToGrid/>
          <w:kern w:val="22"/>
          <w:szCs w:val="22"/>
        </w:rPr>
        <w:t>take into account</w:t>
      </w:r>
      <w:proofErr w:type="gramEnd"/>
      <w:r w:rsidRPr="00876327">
        <w:rPr>
          <w:iCs/>
          <w:snapToGrid/>
          <w:kern w:val="22"/>
          <w:szCs w:val="22"/>
        </w:rPr>
        <w:t xml:space="preserve"> the following considerations when developing its strategic framework and work programme towards 2030:</w:t>
      </w:r>
    </w:p>
    <w:p w14:paraId="736FD33F" w14:textId="77777777" w:rsidR="005474E5" w:rsidRPr="00876327"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876327">
        <w:rPr>
          <w:iCs/>
          <w:snapToGrid/>
          <w:kern w:val="22"/>
          <w:szCs w:val="22"/>
        </w:rPr>
        <w:t>(a)</w:t>
      </w:r>
      <w:r w:rsidRPr="00876327">
        <w:rPr>
          <w:iCs/>
          <w:snapToGrid/>
          <w:kern w:val="22"/>
          <w:szCs w:val="22"/>
        </w:rPr>
        <w:tab/>
        <w:t xml:space="preserve">The </w:t>
      </w:r>
      <w:r w:rsidRPr="00876327">
        <w:rPr>
          <w:snapToGrid/>
          <w:kern w:val="22"/>
          <w:szCs w:val="22"/>
        </w:rPr>
        <w:t>key scientific and technical needs for the implementation of the Strategic Plan for Biodiversity 2011-2020, endorsed in decision XII/1, remain valid and should therefore continue to be considered in the design and delivery of future activities of the Platform across all four of its functions;</w:t>
      </w:r>
    </w:p>
    <w:p w14:paraId="240810C0" w14:textId="724C58C2" w:rsidR="005474E5" w:rsidRPr="00876327"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876327">
        <w:rPr>
          <w:iCs/>
          <w:snapToGrid/>
          <w:kern w:val="22"/>
          <w:szCs w:val="22"/>
        </w:rPr>
        <w:t>(b)</w:t>
      </w:r>
      <w:r w:rsidRPr="00876327">
        <w:rPr>
          <w:iCs/>
          <w:snapToGrid/>
          <w:kern w:val="22"/>
          <w:szCs w:val="22"/>
        </w:rPr>
        <w:tab/>
      </w:r>
      <w:r w:rsidRPr="00876327">
        <w:rPr>
          <w:snapToGrid/>
          <w:kern w:val="22"/>
          <w:szCs w:val="22"/>
        </w:rPr>
        <w:t xml:space="preserve">The scope and timing of a future global assessment, including consideration of a single assessment that integrates the regional and global components, including resource requirements for the regional components, should be considered carefully to serve the assessment needs arising from the post-2020 global biodiversity framework as well as the 2030 Agenda for Sustainable Development in relation to biodiversity and ecosystem services. Overlap with other activities, analyses and assessments, including possible future editions of the </w:t>
      </w:r>
      <w:r w:rsidRPr="00876327">
        <w:rPr>
          <w:i/>
          <w:snapToGrid/>
          <w:kern w:val="22"/>
          <w:szCs w:val="22"/>
        </w:rPr>
        <w:t>Global Biodiversity Outlook</w:t>
      </w:r>
      <w:r w:rsidRPr="00876327">
        <w:rPr>
          <w:iCs/>
          <w:snapToGrid/>
          <w:kern w:val="22"/>
          <w:szCs w:val="22"/>
        </w:rPr>
        <w:t>,</w:t>
      </w:r>
      <w:r w:rsidRPr="00876327">
        <w:rPr>
          <w:snapToGrid/>
          <w:kern w:val="22"/>
          <w:szCs w:val="22"/>
        </w:rPr>
        <w:t xml:space="preserve"> should be minimized and synergies maximized;</w:t>
      </w:r>
    </w:p>
    <w:p w14:paraId="75F60ECC" w14:textId="0B8D0D85" w:rsidR="008107E8" w:rsidRPr="00876327" w:rsidRDefault="008107E8" w:rsidP="00F8702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876327">
        <w:rPr>
          <w:kern w:val="22"/>
          <w:szCs w:val="22"/>
        </w:rPr>
        <w:t>(</w:t>
      </w:r>
      <w:r w:rsidR="00CC62F1" w:rsidRPr="00876327">
        <w:rPr>
          <w:kern w:val="22"/>
          <w:szCs w:val="22"/>
        </w:rPr>
        <w:t>c</w:t>
      </w:r>
      <w:r w:rsidRPr="00876327">
        <w:rPr>
          <w:kern w:val="22"/>
          <w:szCs w:val="22"/>
        </w:rPr>
        <w:t>)</w:t>
      </w:r>
      <w:r w:rsidR="00CC62F1" w:rsidRPr="00876327">
        <w:rPr>
          <w:kern w:val="22"/>
          <w:szCs w:val="22"/>
        </w:rPr>
        <w:tab/>
      </w:r>
      <w:r w:rsidR="00F207C5" w:rsidRPr="00876327">
        <w:rPr>
          <w:kern w:val="22"/>
          <w:szCs w:val="22"/>
        </w:rPr>
        <w:t xml:space="preserve">The need for a </w:t>
      </w:r>
      <w:r w:rsidRPr="00876327">
        <w:rPr>
          <w:kern w:val="22"/>
          <w:szCs w:val="22"/>
        </w:rPr>
        <w:t>gender equality and women’s empowerment</w:t>
      </w:r>
      <w:r w:rsidR="00F207C5" w:rsidRPr="00876327">
        <w:rPr>
          <w:kern w:val="22"/>
          <w:szCs w:val="22"/>
        </w:rPr>
        <w:t xml:space="preserve"> perspective in its </w:t>
      </w:r>
      <w:r w:rsidR="00F207C5" w:rsidRPr="00876327">
        <w:rPr>
          <w:iCs/>
          <w:snapToGrid/>
          <w:kern w:val="22"/>
          <w:szCs w:val="22"/>
        </w:rPr>
        <w:t xml:space="preserve">strategic framework and in the </w:t>
      </w:r>
      <w:r w:rsidR="00F207C5" w:rsidRPr="00876327">
        <w:rPr>
          <w:kern w:val="22"/>
          <w:szCs w:val="22"/>
        </w:rPr>
        <w:t xml:space="preserve">implementation of its </w:t>
      </w:r>
      <w:r w:rsidR="00F207C5" w:rsidRPr="00876327">
        <w:rPr>
          <w:iCs/>
          <w:snapToGrid/>
          <w:kern w:val="22"/>
          <w:szCs w:val="22"/>
        </w:rPr>
        <w:t>work programme towards 2030;</w:t>
      </w:r>
    </w:p>
    <w:p w14:paraId="647748C6" w14:textId="03E66099" w:rsidR="005474E5" w:rsidRPr="00876327"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876327">
        <w:rPr>
          <w:iCs/>
          <w:snapToGrid/>
          <w:kern w:val="22"/>
          <w:szCs w:val="22"/>
        </w:rPr>
        <w:t>(</w:t>
      </w:r>
      <w:r w:rsidR="00CC62F1" w:rsidRPr="00876327">
        <w:rPr>
          <w:iCs/>
          <w:snapToGrid/>
          <w:kern w:val="22"/>
          <w:szCs w:val="22"/>
        </w:rPr>
        <w:t>d</w:t>
      </w:r>
      <w:r w:rsidRPr="00876327">
        <w:rPr>
          <w:iCs/>
          <w:snapToGrid/>
          <w:kern w:val="22"/>
          <w:szCs w:val="22"/>
        </w:rPr>
        <w:t>)</w:t>
      </w:r>
      <w:r w:rsidRPr="00876327">
        <w:rPr>
          <w:iCs/>
          <w:snapToGrid/>
          <w:kern w:val="22"/>
          <w:szCs w:val="22"/>
        </w:rPr>
        <w:tab/>
      </w:r>
      <w:r w:rsidRPr="00876327">
        <w:rPr>
          <w:snapToGrid/>
          <w:kern w:val="22"/>
          <w:szCs w:val="22"/>
        </w:rPr>
        <w:t>There is a strong need to further enhance cooperation with the Intergovernmental Panel on Climate Change, with a view to promoting coherence between the scenarios and related assessments prepared in the context of biodiversity and climate change, including consideration of joint assessment activities, and to fostering further enhanced collaboration between the scientific communities related to these bodies;</w:t>
      </w:r>
    </w:p>
    <w:p w14:paraId="4F2FC884" w14:textId="36B6BEBC" w:rsidR="005474E5" w:rsidRPr="00876327"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4D19B6">
        <w:rPr>
          <w:iCs/>
          <w:snapToGrid/>
          <w:kern w:val="22"/>
          <w:szCs w:val="22"/>
        </w:rPr>
        <w:t>(</w:t>
      </w:r>
      <w:r w:rsidR="00CC62F1" w:rsidRPr="004D19B6">
        <w:rPr>
          <w:iCs/>
          <w:snapToGrid/>
          <w:kern w:val="22"/>
          <w:szCs w:val="22"/>
        </w:rPr>
        <w:t>e</w:t>
      </w:r>
      <w:r w:rsidRPr="0045173F">
        <w:rPr>
          <w:iCs/>
          <w:snapToGrid/>
          <w:kern w:val="22"/>
          <w:szCs w:val="22"/>
        </w:rPr>
        <w:t>)</w:t>
      </w:r>
      <w:r w:rsidRPr="0045173F">
        <w:rPr>
          <w:iCs/>
          <w:snapToGrid/>
          <w:kern w:val="22"/>
          <w:szCs w:val="22"/>
        </w:rPr>
        <w:tab/>
      </w:r>
      <w:r w:rsidRPr="0045173F">
        <w:rPr>
          <w:snapToGrid/>
          <w:kern w:val="22"/>
          <w:szCs w:val="22"/>
        </w:rPr>
        <w:t>There is a conti</w:t>
      </w:r>
      <w:r w:rsidRPr="004E0AC6">
        <w:rPr>
          <w:snapToGrid/>
          <w:kern w:val="22"/>
          <w:szCs w:val="22"/>
        </w:rPr>
        <w:t>nued need for work on scenarios and models to assess pathways towards, and the transformational change required for, a sustainable future;</w:t>
      </w:r>
    </w:p>
    <w:p w14:paraId="4F19FBD6" w14:textId="73D0D2C4" w:rsidR="000763E5" w:rsidRPr="00876327" w:rsidRDefault="005474E5" w:rsidP="005F76C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876327">
        <w:rPr>
          <w:iCs/>
          <w:snapToGrid/>
          <w:kern w:val="22"/>
          <w:szCs w:val="22"/>
        </w:rPr>
        <w:t>(</w:t>
      </w:r>
      <w:r w:rsidR="00CC62F1" w:rsidRPr="00876327">
        <w:rPr>
          <w:iCs/>
          <w:snapToGrid/>
          <w:kern w:val="22"/>
          <w:szCs w:val="22"/>
        </w:rPr>
        <w:t>f</w:t>
      </w:r>
      <w:r w:rsidRPr="00876327">
        <w:rPr>
          <w:iCs/>
          <w:snapToGrid/>
          <w:kern w:val="22"/>
          <w:szCs w:val="22"/>
        </w:rPr>
        <w:t>)</w:t>
      </w:r>
      <w:r w:rsidRPr="00876327">
        <w:rPr>
          <w:iCs/>
          <w:snapToGrid/>
          <w:kern w:val="22"/>
          <w:szCs w:val="22"/>
        </w:rPr>
        <w:tab/>
      </w:r>
      <w:r w:rsidRPr="00876327">
        <w:rPr>
          <w:snapToGrid/>
          <w:kern w:val="22"/>
          <w:szCs w:val="22"/>
        </w:rPr>
        <w:t xml:space="preserve">The steps being taken by the </w:t>
      </w:r>
      <w:r w:rsidRPr="00876327">
        <w:rPr>
          <w:iCs/>
          <w:snapToGrid/>
          <w:kern w:val="22"/>
          <w:szCs w:val="22"/>
        </w:rPr>
        <w:t xml:space="preserve">Intergovernmental Science-Policy Platform on Biodiversity and Ecosystem Services </w:t>
      </w:r>
      <w:r w:rsidRPr="00876327">
        <w:rPr>
          <w:snapToGrid/>
          <w:kern w:val="22"/>
          <w:szCs w:val="22"/>
        </w:rPr>
        <w:t>to further integrate the four functions of the Platform will help to ensure that its deliverables are relevant to the work under the Convention;</w:t>
      </w:r>
    </w:p>
    <w:p w14:paraId="7CBB1883" w14:textId="325F03B9" w:rsidR="005474E5" w:rsidRPr="00876327"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4D19B6">
        <w:rPr>
          <w:snapToGrid/>
          <w:kern w:val="22"/>
          <w:szCs w:val="22"/>
        </w:rPr>
        <w:t>(</w:t>
      </w:r>
      <w:r w:rsidR="00CC62F1" w:rsidRPr="004D19B6">
        <w:rPr>
          <w:snapToGrid/>
          <w:kern w:val="22"/>
          <w:szCs w:val="22"/>
        </w:rPr>
        <w:t>g</w:t>
      </w:r>
      <w:r w:rsidRPr="0045173F">
        <w:rPr>
          <w:snapToGrid/>
          <w:kern w:val="22"/>
          <w:szCs w:val="22"/>
        </w:rPr>
        <w:t>)</w:t>
      </w:r>
      <w:r w:rsidRPr="0045173F">
        <w:rPr>
          <w:snapToGrid/>
          <w:kern w:val="22"/>
          <w:szCs w:val="22"/>
        </w:rPr>
        <w:tab/>
        <w:t>The knowledge and data gaps that have been identified in the first work programme should be addressed;</w:t>
      </w:r>
    </w:p>
    <w:p w14:paraId="230D87D1" w14:textId="6C3ACDDE" w:rsidR="008107E8" w:rsidRPr="00876327" w:rsidRDefault="008107E8"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876327">
        <w:rPr>
          <w:snapToGrid/>
          <w:kern w:val="22"/>
          <w:szCs w:val="22"/>
        </w:rPr>
        <w:t>(</w:t>
      </w:r>
      <w:r w:rsidR="00CC62F1" w:rsidRPr="00876327">
        <w:rPr>
          <w:snapToGrid/>
          <w:kern w:val="22"/>
          <w:szCs w:val="22"/>
        </w:rPr>
        <w:t>h</w:t>
      </w:r>
      <w:r w:rsidRPr="00876327">
        <w:rPr>
          <w:snapToGrid/>
          <w:kern w:val="22"/>
          <w:szCs w:val="22"/>
        </w:rPr>
        <w:t xml:space="preserve">) </w:t>
      </w:r>
      <w:r w:rsidRPr="00876327">
        <w:rPr>
          <w:snapToGrid/>
          <w:kern w:val="22"/>
          <w:szCs w:val="22"/>
        </w:rPr>
        <w:tab/>
        <w:t>The importance of communication with organizations and initiatives, such as One Health, the International Resource Panel, the One Planet Network, the World Economic Forum, the United Nations Global Compact, the United Nations Statistics Division, the International Integrated Reporting Council, the Natural Capital Coalition and its biodiversity working group, and the Global Reporting Initiative, among others;</w:t>
      </w:r>
    </w:p>
    <w:p w14:paraId="30A860FD" w14:textId="77777777" w:rsidR="005474E5" w:rsidRPr="00876327" w:rsidRDefault="005474E5" w:rsidP="005474E5">
      <w:pPr>
        <w:pStyle w:val="Para1"/>
        <w:numPr>
          <w:ilvl w:val="0"/>
          <w:numId w:val="0"/>
        </w:numPr>
        <w:suppressLineNumbers/>
        <w:suppressAutoHyphens/>
        <w:kinsoku w:val="0"/>
        <w:overflowPunct w:val="0"/>
        <w:autoSpaceDE w:val="0"/>
        <w:autoSpaceDN w:val="0"/>
        <w:adjustRightInd w:val="0"/>
        <w:snapToGrid w:val="0"/>
        <w:rPr>
          <w:snapToGrid/>
          <w:kern w:val="22"/>
          <w:szCs w:val="22"/>
        </w:rPr>
      </w:pPr>
      <w:r w:rsidRPr="004D19B6">
        <w:rPr>
          <w:snapToGrid/>
          <w:kern w:val="22"/>
          <w:szCs w:val="22"/>
        </w:rPr>
        <w:t>2.</w:t>
      </w:r>
      <w:r w:rsidRPr="004D19B6">
        <w:rPr>
          <w:snapToGrid/>
          <w:kern w:val="22"/>
          <w:szCs w:val="22"/>
        </w:rPr>
        <w:tab/>
        <w:t>Noting that further scoping and prioritization of the needs of the Convention will arise from devel</w:t>
      </w:r>
      <w:r w:rsidRPr="0045173F">
        <w:rPr>
          <w:snapToGrid/>
          <w:kern w:val="22"/>
          <w:szCs w:val="22"/>
        </w:rPr>
        <w:t xml:space="preserve">oping and implementing the post-2020 global biodiversity framework, the </w:t>
      </w:r>
      <w:r w:rsidRPr="0045173F">
        <w:rPr>
          <w:iCs/>
          <w:snapToGrid/>
          <w:kern w:val="22"/>
          <w:szCs w:val="22"/>
        </w:rPr>
        <w:t>Intergovernmental Science-Policy Platform on Biodiversity and Ecosystem Services</w:t>
      </w:r>
      <w:r w:rsidRPr="00876327">
        <w:rPr>
          <w:snapToGrid/>
          <w:kern w:val="22"/>
          <w:szCs w:val="22"/>
        </w:rPr>
        <w:t xml:space="preserve"> is also invited to </w:t>
      </w:r>
      <w:proofErr w:type="gramStart"/>
      <w:r w:rsidRPr="00876327">
        <w:rPr>
          <w:snapToGrid/>
          <w:kern w:val="22"/>
          <w:szCs w:val="22"/>
        </w:rPr>
        <w:t>take into account</w:t>
      </w:r>
      <w:proofErr w:type="gramEnd"/>
      <w:r w:rsidRPr="00876327">
        <w:rPr>
          <w:snapToGrid/>
          <w:kern w:val="22"/>
          <w:szCs w:val="22"/>
        </w:rPr>
        <w:t xml:space="preserve"> the following initial requests for </w:t>
      </w:r>
      <w:r w:rsidRPr="00876327">
        <w:rPr>
          <w:iCs/>
          <w:snapToGrid/>
          <w:kern w:val="22"/>
          <w:szCs w:val="22"/>
        </w:rPr>
        <w:t>its rolling work programme towards 2030:</w:t>
      </w:r>
    </w:p>
    <w:p w14:paraId="469D8614" w14:textId="77777777" w:rsidR="005474E5" w:rsidRPr="00876327"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876327">
        <w:rPr>
          <w:snapToGrid/>
          <w:kern w:val="22"/>
          <w:szCs w:val="22"/>
        </w:rPr>
        <w:t>(a)</w:t>
      </w:r>
      <w:r w:rsidRPr="00876327">
        <w:rPr>
          <w:snapToGrid/>
          <w:kern w:val="22"/>
          <w:szCs w:val="22"/>
        </w:rPr>
        <w:tab/>
        <w:t>Understand and assess the behavioural, social, economic, institutional, technical and technological determinants of transformational change, and how these may be deployed to achieve the 2050 Vision for Biodiversity;</w:t>
      </w:r>
    </w:p>
    <w:p w14:paraId="242D81A3" w14:textId="26F8AA00" w:rsidR="005474E5" w:rsidRPr="00876327"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876327">
        <w:rPr>
          <w:snapToGrid/>
          <w:kern w:val="22"/>
          <w:szCs w:val="22"/>
        </w:rPr>
        <w:t>(b)</w:t>
      </w:r>
      <w:r w:rsidRPr="00876327">
        <w:rPr>
          <w:snapToGrid/>
          <w:kern w:val="22"/>
          <w:szCs w:val="22"/>
        </w:rPr>
        <w:tab/>
        <w:t>Develop a multidisciplinary approach to understand the interactions of the direct and indirect drivers of biodiversity loss;</w:t>
      </w:r>
    </w:p>
    <w:p w14:paraId="00D311ED" w14:textId="57834A2E" w:rsidR="005474E5" w:rsidRPr="00876327"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876327">
        <w:rPr>
          <w:snapToGrid/>
          <w:kern w:val="22"/>
          <w:szCs w:val="22"/>
        </w:rPr>
        <w:t>(c)</w:t>
      </w:r>
      <w:r w:rsidRPr="00876327">
        <w:rPr>
          <w:snapToGrid/>
          <w:kern w:val="22"/>
          <w:szCs w:val="22"/>
        </w:rPr>
        <w:tab/>
        <w:t>Assess issues at the nexus of biodiversity, food and water, agriculture and health</w:t>
      </w:r>
      <w:r w:rsidR="008107E8" w:rsidRPr="00876327">
        <w:rPr>
          <w:snapToGrid/>
          <w:kern w:val="22"/>
          <w:szCs w:val="22"/>
        </w:rPr>
        <w:t>,</w:t>
      </w:r>
      <w:r w:rsidR="00CC62F1" w:rsidRPr="00876327">
        <w:rPr>
          <w:snapToGrid/>
          <w:kern w:val="22"/>
          <w:szCs w:val="22"/>
        </w:rPr>
        <w:t xml:space="preserve"> </w:t>
      </w:r>
      <w:r w:rsidRPr="00876327">
        <w:rPr>
          <w:snapToGrid/>
          <w:kern w:val="22"/>
          <w:szCs w:val="22"/>
        </w:rPr>
        <w:t>nutrition</w:t>
      </w:r>
      <w:r w:rsidR="00CC2C7F" w:rsidRPr="00876327">
        <w:rPr>
          <w:snapToGrid/>
          <w:kern w:val="22"/>
          <w:szCs w:val="22"/>
        </w:rPr>
        <w:t xml:space="preserve"> and food security</w:t>
      </w:r>
      <w:r w:rsidRPr="00876327">
        <w:rPr>
          <w:snapToGrid/>
          <w:kern w:val="22"/>
          <w:szCs w:val="22"/>
        </w:rPr>
        <w:t>,</w:t>
      </w:r>
      <w:r w:rsidR="00CB7433" w:rsidRPr="00876327">
        <w:rPr>
          <w:i/>
          <w:kern w:val="22"/>
          <w:szCs w:val="22"/>
        </w:rPr>
        <w:t xml:space="preserve"> </w:t>
      </w:r>
      <w:r w:rsidRPr="00876327">
        <w:rPr>
          <w:snapToGrid/>
          <w:kern w:val="22"/>
          <w:szCs w:val="22"/>
        </w:rPr>
        <w:t>forestry and fisheries, considering trade-offs among these areas and related policy options regarding sustainable production and consumption, pollution and urbanization, including implications for energy and climate, taking into account the role of biodiversity and ecosystem services in addressing the Sustainable Development Goals, with a view to enabling decisions that support the coherent policy and transformational change necessary to achieve the 2050 Vision for Biodiversity;</w:t>
      </w:r>
    </w:p>
    <w:p w14:paraId="3C635E0E" w14:textId="5AC4E44A" w:rsidR="005474E5" w:rsidRPr="00876327"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876327">
        <w:rPr>
          <w:snapToGrid/>
          <w:kern w:val="22"/>
          <w:szCs w:val="22"/>
        </w:rPr>
        <w:t>(d)</w:t>
      </w:r>
      <w:r w:rsidRPr="00876327">
        <w:rPr>
          <w:snapToGrid/>
          <w:kern w:val="22"/>
          <w:szCs w:val="22"/>
        </w:rPr>
        <w:tab/>
        <w:t>Undertake methodological assessments on the effectiveness of various policy instruments and policy and planning support tools for understanding on how to achieve transformational change, and to characterize and quantify successful approaches and cases of the conservation and sustainable use of biodiversity, and their impacts;</w:t>
      </w:r>
    </w:p>
    <w:p w14:paraId="2D32964D" w14:textId="3619C33D" w:rsidR="005F76C4" w:rsidRPr="00876327"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876327">
        <w:rPr>
          <w:snapToGrid/>
          <w:kern w:val="22"/>
          <w:szCs w:val="22"/>
        </w:rPr>
        <w:t>(e)</w:t>
      </w:r>
      <w:r w:rsidRPr="00876327">
        <w:rPr>
          <w:snapToGrid/>
          <w:kern w:val="22"/>
          <w:szCs w:val="22"/>
        </w:rPr>
        <w:tab/>
        <w:t>Assess the potential positive and negative impacts of productive sectors and undertake a methodological assessment of the criteria, metrics and indicators of the impacts of productive sectors on biodiversity and ecosystem services as well as the benefits derived from biodiversity and ecosystem services, with a view to enabling business to reduce such negative impacts and to promote consistency in assessment and reporting, taking into account the direct and indirect pressures on biodiversity as well as the interconnections between them.</w:t>
      </w:r>
    </w:p>
    <w:p w14:paraId="77A58B70" w14:textId="47DCE55E" w:rsidR="001A6239" w:rsidRPr="00876327" w:rsidRDefault="00CC62F1" w:rsidP="00F87024">
      <w:pPr>
        <w:pStyle w:val="NormalWeb"/>
        <w:suppressLineNumbers/>
        <w:suppressAutoHyphens/>
        <w:kinsoku w:val="0"/>
        <w:autoSpaceDE w:val="0"/>
        <w:autoSpaceDN w:val="0"/>
        <w:adjustRightInd w:val="0"/>
        <w:snapToGrid w:val="0"/>
        <w:spacing w:before="120" w:beforeAutospacing="0" w:after="120" w:afterAutospacing="0"/>
        <w:ind w:firstLine="720"/>
        <w:jc w:val="center"/>
        <w:rPr>
          <w:rFonts w:ascii="Times New Roman" w:hAnsi="Times New Roman" w:cs="Times New Roman"/>
          <w:color w:val="auto"/>
          <w:kern w:val="22"/>
          <w:sz w:val="22"/>
          <w:szCs w:val="22"/>
          <w:lang w:val="en-GB"/>
        </w:rPr>
      </w:pPr>
      <w:r w:rsidRPr="00876327">
        <w:rPr>
          <w:rFonts w:ascii="Times New Roman" w:hAnsi="Times New Roman" w:cs="Times New Roman"/>
          <w:color w:val="auto"/>
          <w:kern w:val="22"/>
          <w:sz w:val="22"/>
          <w:szCs w:val="22"/>
          <w:lang w:val="en-GB"/>
        </w:rPr>
        <w:t>__________</w:t>
      </w:r>
    </w:p>
    <w:sectPr w:rsidR="001A6239" w:rsidRPr="00876327"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CC87B" w14:textId="77777777" w:rsidR="005E4DBE" w:rsidRDefault="005E4DBE" w:rsidP="00CF1848">
      <w:r>
        <w:separator/>
      </w:r>
    </w:p>
  </w:endnote>
  <w:endnote w:type="continuationSeparator" w:id="0">
    <w:p w14:paraId="2010AC99" w14:textId="77777777" w:rsidR="005E4DBE" w:rsidRDefault="005E4DB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62CD8" w14:textId="77777777" w:rsidR="005E4DBE" w:rsidRDefault="005E4DBE" w:rsidP="00CF1848">
      <w:r>
        <w:separator/>
      </w:r>
    </w:p>
  </w:footnote>
  <w:footnote w:type="continuationSeparator" w:id="0">
    <w:p w14:paraId="53C8AB69" w14:textId="77777777" w:rsidR="005E4DBE" w:rsidRDefault="005E4DBE" w:rsidP="00CF1848">
      <w:r>
        <w:continuationSeparator/>
      </w:r>
    </w:p>
  </w:footnote>
  <w:footnote w:id="1">
    <w:p w14:paraId="56A2950B" w14:textId="77777777" w:rsidR="009C2E48" w:rsidRPr="0045173F" w:rsidRDefault="009C2E48" w:rsidP="00D017AE">
      <w:pPr>
        <w:pStyle w:val="FootnoteText"/>
        <w:kinsoku w:val="0"/>
        <w:overflowPunct w:val="0"/>
        <w:autoSpaceDE w:val="0"/>
        <w:autoSpaceDN w:val="0"/>
        <w:adjustRightInd w:val="0"/>
        <w:snapToGrid w:val="0"/>
        <w:ind w:firstLine="0"/>
        <w:jc w:val="left"/>
        <w:rPr>
          <w:kern w:val="18"/>
          <w:szCs w:val="18"/>
        </w:rPr>
      </w:pPr>
      <w:r w:rsidRPr="0045173F">
        <w:rPr>
          <w:rStyle w:val="FootnoteReference"/>
          <w:kern w:val="18"/>
          <w:sz w:val="18"/>
          <w:szCs w:val="18"/>
        </w:rPr>
        <w:footnoteRef/>
      </w:r>
      <w:r w:rsidRPr="0045173F">
        <w:rPr>
          <w:kern w:val="18"/>
          <w:szCs w:val="18"/>
        </w:rPr>
        <w:t xml:space="preserve"> See General Assembly resolution </w:t>
      </w:r>
      <w:hyperlink r:id="rId1" w:history="1">
        <w:r w:rsidRPr="00876327">
          <w:rPr>
            <w:rStyle w:val="Hyperlink"/>
            <w:kern w:val="18"/>
            <w:szCs w:val="18"/>
          </w:rPr>
          <w:t>70/1</w:t>
        </w:r>
      </w:hyperlink>
      <w:r w:rsidRPr="0045173F">
        <w:rPr>
          <w:kern w:val="18"/>
          <w:szCs w:val="18"/>
        </w:rPr>
        <w:t xml:space="preserve"> of 25 September 2015.</w:t>
      </w:r>
    </w:p>
  </w:footnote>
  <w:footnote w:id="2">
    <w:p w14:paraId="363CA7E1" w14:textId="77777777" w:rsidR="009C2E48" w:rsidRPr="004E0AC6" w:rsidRDefault="009C2E48" w:rsidP="00D017AE">
      <w:pPr>
        <w:pStyle w:val="FootnoteText"/>
        <w:kinsoku w:val="0"/>
        <w:overflowPunct w:val="0"/>
        <w:autoSpaceDE w:val="0"/>
        <w:autoSpaceDN w:val="0"/>
        <w:adjustRightInd w:val="0"/>
        <w:snapToGrid w:val="0"/>
        <w:ind w:firstLine="0"/>
        <w:jc w:val="left"/>
        <w:rPr>
          <w:kern w:val="18"/>
          <w:szCs w:val="18"/>
        </w:rPr>
      </w:pPr>
      <w:r w:rsidRPr="0045173F">
        <w:rPr>
          <w:rStyle w:val="FootnoteReference"/>
          <w:kern w:val="18"/>
          <w:sz w:val="18"/>
          <w:szCs w:val="18"/>
        </w:rPr>
        <w:footnoteRef/>
      </w:r>
      <w:r w:rsidRPr="0045173F">
        <w:rPr>
          <w:kern w:val="18"/>
          <w:szCs w:val="18"/>
        </w:rPr>
        <w:t xml:space="preserve"> United Nations, </w:t>
      </w:r>
      <w:r w:rsidRPr="0045173F">
        <w:rPr>
          <w:i/>
          <w:iCs/>
          <w:kern w:val="18"/>
          <w:szCs w:val="18"/>
        </w:rPr>
        <w:t>Treaty Series</w:t>
      </w:r>
      <w:r w:rsidRPr="004E0AC6">
        <w:rPr>
          <w:kern w:val="18"/>
          <w:szCs w:val="18"/>
        </w:rPr>
        <w:t>, No. 54113.</w:t>
      </w:r>
    </w:p>
  </w:footnote>
  <w:footnote w:id="3">
    <w:p w14:paraId="4EF4223A" w14:textId="244E675F" w:rsidR="009C2E48" w:rsidRPr="004E0AC6" w:rsidRDefault="009C2E48" w:rsidP="00F87024">
      <w:pPr>
        <w:pStyle w:val="FootnoteText"/>
        <w:ind w:firstLine="0"/>
        <w:jc w:val="left"/>
        <w:rPr>
          <w:kern w:val="18"/>
          <w:szCs w:val="18"/>
          <w:lang w:val="en-US"/>
        </w:rPr>
      </w:pPr>
      <w:r w:rsidRPr="0045173F">
        <w:rPr>
          <w:rStyle w:val="FootnoteReference"/>
          <w:kern w:val="18"/>
          <w:sz w:val="18"/>
          <w:szCs w:val="18"/>
        </w:rPr>
        <w:footnoteRef/>
      </w:r>
      <w:r w:rsidRPr="0045173F">
        <w:rPr>
          <w:kern w:val="18"/>
          <w:szCs w:val="18"/>
        </w:rPr>
        <w:t xml:space="preserve"> Decision IPBES-6/1 on</w:t>
      </w:r>
      <w:r w:rsidRPr="004E0AC6">
        <w:rPr>
          <w:kern w:val="18"/>
          <w:szCs w:val="18"/>
        </w:rPr>
        <w:t xml:space="preserve"> implementation of the first work programme of the Platform.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1248370" w:rsidR="009C2E48" w:rsidRPr="00F87024" w:rsidRDefault="00AA1959" w:rsidP="00F87024">
        <w:pPr>
          <w:pStyle w:val="Header"/>
          <w:tabs>
            <w:tab w:val="clear" w:pos="4320"/>
            <w:tab w:val="clear" w:pos="8640"/>
          </w:tabs>
          <w:jc w:val="left"/>
          <w:rPr>
            <w:noProof/>
            <w:kern w:val="22"/>
          </w:rPr>
        </w:pPr>
        <w:r>
          <w:rPr>
            <w:noProof/>
            <w:kern w:val="22"/>
          </w:rPr>
          <w:t>CBD/COP/DEC/14/36</w:t>
        </w:r>
      </w:p>
    </w:sdtContent>
  </w:sdt>
  <w:p w14:paraId="57597240" w14:textId="09D93840" w:rsidR="009C2E48" w:rsidRPr="00F87024" w:rsidRDefault="009C2E48" w:rsidP="00F87024">
    <w:pPr>
      <w:pStyle w:val="Header"/>
      <w:tabs>
        <w:tab w:val="clear" w:pos="4320"/>
        <w:tab w:val="clear" w:pos="8640"/>
      </w:tabs>
      <w:jc w:val="left"/>
      <w:rPr>
        <w:noProof/>
        <w:kern w:val="22"/>
      </w:rPr>
    </w:pPr>
    <w:r w:rsidRPr="00F87024">
      <w:rPr>
        <w:noProof/>
        <w:kern w:val="22"/>
      </w:rPr>
      <w:t xml:space="preserve">Page </w:t>
    </w:r>
    <w:r w:rsidRPr="00F87024">
      <w:rPr>
        <w:noProof/>
        <w:kern w:val="22"/>
      </w:rPr>
      <w:fldChar w:fldCharType="begin"/>
    </w:r>
    <w:r w:rsidRPr="00F87024">
      <w:rPr>
        <w:noProof/>
        <w:kern w:val="22"/>
      </w:rPr>
      <w:instrText xml:space="preserve"> PAGE   \* MERGEFORMAT </w:instrText>
    </w:r>
    <w:r w:rsidRPr="00F87024">
      <w:rPr>
        <w:noProof/>
        <w:kern w:val="22"/>
      </w:rPr>
      <w:fldChar w:fldCharType="separate"/>
    </w:r>
    <w:r w:rsidR="00873200">
      <w:rPr>
        <w:noProof/>
        <w:kern w:val="22"/>
      </w:rPr>
      <w:t>2</w:t>
    </w:r>
    <w:r w:rsidRPr="00F87024">
      <w:rPr>
        <w:noProof/>
        <w:kern w:val="22"/>
      </w:rPr>
      <w:fldChar w:fldCharType="end"/>
    </w:r>
  </w:p>
  <w:p w14:paraId="1D80EB20" w14:textId="77777777" w:rsidR="009C2E48" w:rsidRPr="00F87024" w:rsidRDefault="009C2E48" w:rsidP="00F87024">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388D0F2C" w:rsidR="009C2E48" w:rsidRPr="00F87024" w:rsidRDefault="00AA1959" w:rsidP="00F87024">
        <w:pPr>
          <w:pStyle w:val="Header"/>
          <w:tabs>
            <w:tab w:val="clear" w:pos="4320"/>
            <w:tab w:val="clear" w:pos="8640"/>
          </w:tabs>
          <w:jc w:val="right"/>
          <w:rPr>
            <w:noProof/>
            <w:kern w:val="22"/>
          </w:rPr>
        </w:pPr>
        <w:r>
          <w:rPr>
            <w:noProof/>
            <w:kern w:val="22"/>
          </w:rPr>
          <w:t>CBD/COP/DEC/14/36</w:t>
        </w:r>
      </w:p>
    </w:sdtContent>
  </w:sdt>
  <w:p w14:paraId="7E9B8683" w14:textId="712C9ED6" w:rsidR="009C2E48" w:rsidRPr="00F87024" w:rsidRDefault="009C2E48" w:rsidP="00F87024">
    <w:pPr>
      <w:pStyle w:val="Header"/>
      <w:tabs>
        <w:tab w:val="clear" w:pos="4320"/>
        <w:tab w:val="clear" w:pos="8640"/>
      </w:tabs>
      <w:jc w:val="right"/>
      <w:rPr>
        <w:noProof/>
        <w:kern w:val="22"/>
      </w:rPr>
    </w:pPr>
    <w:r w:rsidRPr="00F87024">
      <w:rPr>
        <w:noProof/>
        <w:kern w:val="22"/>
      </w:rPr>
      <w:t xml:space="preserve">Page </w:t>
    </w:r>
    <w:r w:rsidRPr="00F87024">
      <w:rPr>
        <w:noProof/>
        <w:kern w:val="22"/>
      </w:rPr>
      <w:fldChar w:fldCharType="begin"/>
    </w:r>
    <w:r w:rsidRPr="00F87024">
      <w:rPr>
        <w:noProof/>
        <w:kern w:val="22"/>
      </w:rPr>
      <w:instrText xml:space="preserve"> PAGE   \* MERGEFORMAT </w:instrText>
    </w:r>
    <w:r w:rsidRPr="00F87024">
      <w:rPr>
        <w:noProof/>
        <w:kern w:val="22"/>
      </w:rPr>
      <w:fldChar w:fldCharType="separate"/>
    </w:r>
    <w:r w:rsidR="00AF0963">
      <w:rPr>
        <w:noProof/>
        <w:kern w:val="22"/>
      </w:rPr>
      <w:t>3</w:t>
    </w:r>
    <w:r w:rsidRPr="00F87024">
      <w:rPr>
        <w:noProof/>
        <w:kern w:val="22"/>
      </w:rPr>
      <w:fldChar w:fldCharType="end"/>
    </w:r>
  </w:p>
  <w:p w14:paraId="2F845650" w14:textId="77777777" w:rsidR="009C2E48" w:rsidRPr="00F87024" w:rsidRDefault="009C2E48" w:rsidP="00F87024">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5E16C1C"/>
    <w:multiLevelType w:val="multilevel"/>
    <w:tmpl w:val="9B32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7"/>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SG"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0781A"/>
    <w:rsid w:val="00014254"/>
    <w:rsid w:val="000301C5"/>
    <w:rsid w:val="00046FA1"/>
    <w:rsid w:val="00060B74"/>
    <w:rsid w:val="000763E5"/>
    <w:rsid w:val="000B4CA8"/>
    <w:rsid w:val="000E673A"/>
    <w:rsid w:val="000F6126"/>
    <w:rsid w:val="000F74F5"/>
    <w:rsid w:val="00105372"/>
    <w:rsid w:val="00124609"/>
    <w:rsid w:val="00131E7A"/>
    <w:rsid w:val="00134F8F"/>
    <w:rsid w:val="0015619B"/>
    <w:rsid w:val="0016676E"/>
    <w:rsid w:val="00172AF6"/>
    <w:rsid w:val="00176CEE"/>
    <w:rsid w:val="00183F86"/>
    <w:rsid w:val="001A6239"/>
    <w:rsid w:val="001C6679"/>
    <w:rsid w:val="001C7A2A"/>
    <w:rsid w:val="001F2B3F"/>
    <w:rsid w:val="00216EFF"/>
    <w:rsid w:val="00242C60"/>
    <w:rsid w:val="002540C7"/>
    <w:rsid w:val="00292623"/>
    <w:rsid w:val="002C5195"/>
    <w:rsid w:val="002D0C17"/>
    <w:rsid w:val="003011FC"/>
    <w:rsid w:val="0034691A"/>
    <w:rsid w:val="00347FF9"/>
    <w:rsid w:val="00365849"/>
    <w:rsid w:val="00372F74"/>
    <w:rsid w:val="003773A5"/>
    <w:rsid w:val="00396D2A"/>
    <w:rsid w:val="003B77BE"/>
    <w:rsid w:val="003C318F"/>
    <w:rsid w:val="003C68E3"/>
    <w:rsid w:val="003D3030"/>
    <w:rsid w:val="003D708B"/>
    <w:rsid w:val="003E0411"/>
    <w:rsid w:val="003F7224"/>
    <w:rsid w:val="00405146"/>
    <w:rsid w:val="0042412C"/>
    <w:rsid w:val="00427D21"/>
    <w:rsid w:val="0045173F"/>
    <w:rsid w:val="004644C2"/>
    <w:rsid w:val="00467F9C"/>
    <w:rsid w:val="0047645E"/>
    <w:rsid w:val="00476FDC"/>
    <w:rsid w:val="00477731"/>
    <w:rsid w:val="0048059E"/>
    <w:rsid w:val="00480F35"/>
    <w:rsid w:val="0048252E"/>
    <w:rsid w:val="0048775C"/>
    <w:rsid w:val="004913D1"/>
    <w:rsid w:val="00492589"/>
    <w:rsid w:val="004927F1"/>
    <w:rsid w:val="004A6E32"/>
    <w:rsid w:val="004B2A81"/>
    <w:rsid w:val="004B4617"/>
    <w:rsid w:val="004B5882"/>
    <w:rsid w:val="004D19B6"/>
    <w:rsid w:val="004E0AC6"/>
    <w:rsid w:val="00501F5F"/>
    <w:rsid w:val="0050593C"/>
    <w:rsid w:val="00534681"/>
    <w:rsid w:val="005474E5"/>
    <w:rsid w:val="005A68DA"/>
    <w:rsid w:val="005E4DBE"/>
    <w:rsid w:val="005F76C4"/>
    <w:rsid w:val="006122BA"/>
    <w:rsid w:val="0061445E"/>
    <w:rsid w:val="006630D9"/>
    <w:rsid w:val="006640B0"/>
    <w:rsid w:val="0068528E"/>
    <w:rsid w:val="006B2290"/>
    <w:rsid w:val="006C6E3E"/>
    <w:rsid w:val="006D5200"/>
    <w:rsid w:val="006E3202"/>
    <w:rsid w:val="00717D88"/>
    <w:rsid w:val="00736461"/>
    <w:rsid w:val="00752601"/>
    <w:rsid w:val="00771AE9"/>
    <w:rsid w:val="007942D3"/>
    <w:rsid w:val="007B6C09"/>
    <w:rsid w:val="007E09DA"/>
    <w:rsid w:val="007E76BC"/>
    <w:rsid w:val="007E7D1C"/>
    <w:rsid w:val="007F4F44"/>
    <w:rsid w:val="008107E8"/>
    <w:rsid w:val="008178B6"/>
    <w:rsid w:val="00847189"/>
    <w:rsid w:val="00851DBF"/>
    <w:rsid w:val="00861C10"/>
    <w:rsid w:val="00865B74"/>
    <w:rsid w:val="008716F4"/>
    <w:rsid w:val="00873200"/>
    <w:rsid w:val="00876327"/>
    <w:rsid w:val="00882B03"/>
    <w:rsid w:val="00883DFA"/>
    <w:rsid w:val="008873C8"/>
    <w:rsid w:val="008B0CB7"/>
    <w:rsid w:val="009133FB"/>
    <w:rsid w:val="00930BA1"/>
    <w:rsid w:val="0093169E"/>
    <w:rsid w:val="00941D7F"/>
    <w:rsid w:val="009505C9"/>
    <w:rsid w:val="00961FF5"/>
    <w:rsid w:val="00992E56"/>
    <w:rsid w:val="009A6450"/>
    <w:rsid w:val="009C200D"/>
    <w:rsid w:val="009C2794"/>
    <w:rsid w:val="009C2E48"/>
    <w:rsid w:val="009D397C"/>
    <w:rsid w:val="009F6C90"/>
    <w:rsid w:val="00A24305"/>
    <w:rsid w:val="00A43B39"/>
    <w:rsid w:val="00A543CA"/>
    <w:rsid w:val="00A56C0D"/>
    <w:rsid w:val="00A774F1"/>
    <w:rsid w:val="00AA1959"/>
    <w:rsid w:val="00AC736A"/>
    <w:rsid w:val="00AE363D"/>
    <w:rsid w:val="00AE66C2"/>
    <w:rsid w:val="00AE6755"/>
    <w:rsid w:val="00AF0963"/>
    <w:rsid w:val="00B1511B"/>
    <w:rsid w:val="00B17865"/>
    <w:rsid w:val="00B2689C"/>
    <w:rsid w:val="00B3369F"/>
    <w:rsid w:val="00B90618"/>
    <w:rsid w:val="00BA0DE7"/>
    <w:rsid w:val="00BA3683"/>
    <w:rsid w:val="00BD5374"/>
    <w:rsid w:val="00BF20A5"/>
    <w:rsid w:val="00C545B9"/>
    <w:rsid w:val="00C7275B"/>
    <w:rsid w:val="00C860A4"/>
    <w:rsid w:val="00C9161D"/>
    <w:rsid w:val="00CB7433"/>
    <w:rsid w:val="00CC1EF3"/>
    <w:rsid w:val="00CC2C7F"/>
    <w:rsid w:val="00CC62F1"/>
    <w:rsid w:val="00CE25BA"/>
    <w:rsid w:val="00CF1848"/>
    <w:rsid w:val="00D017AE"/>
    <w:rsid w:val="00D10DBF"/>
    <w:rsid w:val="00D12044"/>
    <w:rsid w:val="00D31B38"/>
    <w:rsid w:val="00D56A59"/>
    <w:rsid w:val="00D76A18"/>
    <w:rsid w:val="00D771B2"/>
    <w:rsid w:val="00D823FF"/>
    <w:rsid w:val="00D82688"/>
    <w:rsid w:val="00DC01D0"/>
    <w:rsid w:val="00DD118C"/>
    <w:rsid w:val="00E048B4"/>
    <w:rsid w:val="00E317B9"/>
    <w:rsid w:val="00E40B9A"/>
    <w:rsid w:val="00E66235"/>
    <w:rsid w:val="00E8249D"/>
    <w:rsid w:val="00E83C24"/>
    <w:rsid w:val="00E9318D"/>
    <w:rsid w:val="00EB18CF"/>
    <w:rsid w:val="00EC1CAE"/>
    <w:rsid w:val="00ED10FC"/>
    <w:rsid w:val="00F0077D"/>
    <w:rsid w:val="00F03483"/>
    <w:rsid w:val="00F207C5"/>
    <w:rsid w:val="00F337E9"/>
    <w:rsid w:val="00F6073E"/>
    <w:rsid w:val="00F60E21"/>
    <w:rsid w:val="00F87024"/>
    <w:rsid w:val="00F94031"/>
    <w:rsid w:val="00F94774"/>
    <w:rsid w:val="00FB0760"/>
    <w:rsid w:val="00FB3B99"/>
    <w:rsid w:val="00FC53DB"/>
    <w:rsid w:val="00FD1F10"/>
    <w:rsid w:val="00FD7A33"/>
    <w:rsid w:val="00FE1764"/>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 w:type="paragraph" w:customStyle="1" w:styleId="Item">
    <w:name w:val="Item"/>
    <w:basedOn w:val="Normal"/>
    <w:qFormat/>
    <w:rsid w:val="005474E5"/>
    <w:pPr>
      <w:keepNext/>
      <w:spacing w:before="240" w:after="120"/>
      <w:ind w:left="720" w:hanging="720"/>
      <w:jc w:val="center"/>
    </w:pPr>
    <w:rPr>
      <w:b/>
      <w:kern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 w:id="1990937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18FB3F2CB054496830914C92368C42B"/>
        <w:category>
          <w:name w:val="General"/>
          <w:gallery w:val="placeholder"/>
        </w:category>
        <w:types>
          <w:type w:val="bbPlcHdr"/>
        </w:types>
        <w:behaviors>
          <w:behavior w:val="content"/>
        </w:behaviors>
        <w:guid w:val="{35BA9D3F-1C1F-4B6C-AEEB-B74096716BFA}"/>
      </w:docPartPr>
      <w:docPartBody>
        <w:p w:rsidR="00E15CA5" w:rsidRDefault="003C755C" w:rsidP="003C755C">
          <w:pPr>
            <w:pStyle w:val="718FB3F2CB054496830914C92368C42B"/>
          </w:pPr>
          <w:r>
            <w:rPr>
              <w:rStyle w:val="PlaceholderText"/>
            </w:rPr>
            <w:t>[Status]</w:t>
          </w:r>
        </w:p>
      </w:docPartBody>
    </w:docPart>
    <w:docPart>
      <w:docPartPr>
        <w:name w:val="7D6B075B29BE476CBE63123CB6870055"/>
        <w:category>
          <w:name w:val="General"/>
          <w:gallery w:val="placeholder"/>
        </w:category>
        <w:types>
          <w:type w:val="bbPlcHdr"/>
        </w:types>
        <w:behaviors>
          <w:behavior w:val="content"/>
        </w:behaviors>
        <w:guid w:val="{E470167E-8F1C-4D66-9901-64735A7822E9}"/>
      </w:docPartPr>
      <w:docPartBody>
        <w:p w:rsidR="00E15CA5" w:rsidRDefault="003C755C" w:rsidP="003C755C">
          <w:pPr>
            <w:pStyle w:val="7D6B075B29BE476CBE63123CB6870055"/>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095A"/>
    <w:rsid w:val="00261E9A"/>
    <w:rsid w:val="003C755C"/>
    <w:rsid w:val="00431C49"/>
    <w:rsid w:val="00500A2B"/>
    <w:rsid w:val="0058288D"/>
    <w:rsid w:val="006801B3"/>
    <w:rsid w:val="00720F63"/>
    <w:rsid w:val="007F1B76"/>
    <w:rsid w:val="00810A55"/>
    <w:rsid w:val="008C6619"/>
    <w:rsid w:val="008D420E"/>
    <w:rsid w:val="00915A9A"/>
    <w:rsid w:val="0098642F"/>
    <w:rsid w:val="00B51630"/>
    <w:rsid w:val="00CE6602"/>
    <w:rsid w:val="00E15CA5"/>
    <w:rsid w:val="00F5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55C"/>
  </w:style>
  <w:style w:type="paragraph" w:customStyle="1" w:styleId="C444DEE40D7C456B82AF1A09CD132ABF">
    <w:name w:val="C444DEE40D7C456B82AF1A09CD132ABF"/>
    <w:rsid w:val="00CE6602"/>
    <w:pPr>
      <w:spacing w:after="160" w:line="259" w:lineRule="auto"/>
    </w:pPr>
  </w:style>
  <w:style w:type="paragraph" w:customStyle="1" w:styleId="718FB3F2CB054496830914C92368C42B">
    <w:name w:val="718FB3F2CB054496830914C92368C42B"/>
    <w:rsid w:val="003C755C"/>
    <w:pPr>
      <w:spacing w:after="160" w:line="259" w:lineRule="auto"/>
    </w:pPr>
    <w:rPr>
      <w:lang w:val="en-CA" w:eastAsia="en-CA"/>
    </w:rPr>
  </w:style>
  <w:style w:type="paragraph" w:customStyle="1" w:styleId="7D6B075B29BE476CBE63123CB6870055">
    <w:name w:val="7D6B075B29BE476CBE63123CB6870055"/>
    <w:rsid w:val="003C755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356F50-E9E8-493B-9DE9-42D021C2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14/36.	Second work programme of the Intergovernmental Science-Policy Platform on Biodiversity and Ecosystem Services</vt:lpstr>
    </vt:vector>
  </TitlesOfParts>
  <Company>SCBD</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14/36.	Second work programme of the Intergovernmental Science-Policy Platform on Biodiversity and Ecosystem Services</dc:title>
  <dc:subject>CBD/COP/DEC/14/36</dc:subject>
  <dc:creator>COP 14/WG 2</dc:creator>
  <cp:keywords>Second work programme of the Intergovernmental Platform on Biodiversity and Ecosystem Services (IPBES), Convention on Biological Diversity</cp:keywords>
  <cp:lastModifiedBy>Veronique Lefebvre</cp:lastModifiedBy>
  <cp:revision>3</cp:revision>
  <cp:lastPrinted>2018-11-26T18:50:00Z</cp:lastPrinted>
  <dcterms:created xsi:type="dcterms:W3CDTF">2019-01-11T15:17:00Z</dcterms:created>
  <dcterms:modified xsi:type="dcterms:W3CDTF">2019-01-11T15:17:00Z</dcterms:modified>
  <cp:contentStatus>GENERAL</cp:contentStatus>
</cp:coreProperties>
</file>